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4.xml" ContentType="application/vnd.openxmlformats-officedocument.wordprocessingml.header+xml"/>
  <Override PartName="/word/footer10.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 w:rsidR="00000000" w:rsidRDefault="00000000">
      <w:pPr>
        <w:pStyle w:val="BodyText3"/>
      </w:pPr>
      <w:commentRangeStart w:id="0"/>
      <w:r>
        <w:t xml:space="preserve">Комитет </w:t>
      </w:r>
      <w:commentRangeEnd w:id="0"/>
      <w:r>
        <w:rPr>
          <w:rStyle w:val="CommentReference"/>
          <w:b w:val="0"/>
          <w:vanish/>
        </w:rPr>
        <w:commentReference w:id="0"/>
      </w:r>
      <w:r>
        <w:t xml:space="preserve">по ликвидации дискриминации </w:t>
      </w:r>
      <w:r>
        <w:br/>
        <w:t>в отношении женщин</w:t>
      </w:r>
    </w:p>
    <w:p w:rsidR="00000000" w:rsidRDefault="00000000"/>
    <w:p w:rsidR="00000000" w:rsidRDefault="00000000"/>
    <w:p w:rsidR="00000000" w:rsidRDefault="00000000"/>
    <w:p w:rsidR="00000000" w:rsidRDefault="00000000">
      <w:pPr>
        <w:rPr>
          <w:b/>
        </w:rPr>
      </w:pPr>
    </w:p>
    <w:p w:rsidR="00000000" w:rsidRDefault="00000000">
      <w:pPr>
        <w:pStyle w:val="BodyText2"/>
        <w:rPr>
          <w:b/>
          <w:sz w:val="28"/>
        </w:rPr>
      </w:pPr>
      <w:r>
        <w:rPr>
          <w:b/>
          <w:sz w:val="28"/>
        </w:rPr>
        <w:t xml:space="preserve">Рассмотрение докладов, представленных государствами-участниками </w:t>
      </w:r>
      <w:r>
        <w:rPr>
          <w:b/>
          <w:sz w:val="28"/>
        </w:rPr>
        <w:br/>
        <w:t xml:space="preserve">в соответствии со статьей 18 Конвенции о ликвидации </w:t>
      </w:r>
      <w:r>
        <w:rPr>
          <w:b/>
          <w:sz w:val="28"/>
        </w:rPr>
        <w:br/>
        <w:t>всех форм дискриминации в отношении женщин</w:t>
      </w:r>
    </w:p>
    <w:p w:rsidR="00000000" w:rsidRDefault="00000000">
      <w:pPr>
        <w:jc w:val="center"/>
      </w:pPr>
    </w:p>
    <w:p w:rsidR="00000000" w:rsidRDefault="00000000">
      <w:pPr>
        <w:jc w:val="center"/>
      </w:pPr>
    </w:p>
    <w:p w:rsidR="00000000" w:rsidRDefault="00000000">
      <w:pPr>
        <w:jc w:val="center"/>
      </w:pPr>
    </w:p>
    <w:p w:rsidR="00000000" w:rsidRDefault="00000000">
      <w:pPr>
        <w:pStyle w:val="BodyText2"/>
        <w:rPr>
          <w:u w:val="single"/>
        </w:rPr>
      </w:pPr>
      <w:r>
        <w:rPr>
          <w:u w:val="single"/>
        </w:rPr>
        <w:t>Четвертые периодические доклады государств-участников</w:t>
      </w:r>
    </w:p>
    <w:p w:rsidR="00000000" w:rsidRDefault="00000000"/>
    <w:p w:rsidR="00000000" w:rsidRDefault="00000000"/>
    <w:p w:rsidR="00000000" w:rsidRDefault="00000000"/>
    <w:p w:rsidR="00000000" w:rsidRDefault="00000000">
      <w:pPr>
        <w:spacing w:line="360" w:lineRule="auto"/>
        <w:jc w:val="center"/>
        <w:outlineLvl w:val="0"/>
        <w:rPr>
          <w:b/>
          <w:sz w:val="28"/>
        </w:rPr>
      </w:pPr>
      <w:r>
        <w:rPr>
          <w:b/>
          <w:sz w:val="28"/>
        </w:rPr>
        <w:t>Коста-Рика</w:t>
      </w:r>
      <w:r>
        <w:rPr>
          <w:b/>
          <w:sz w:val="28"/>
        </w:rPr>
        <w:footnoteReference w:customMarkFollows="1" w:id="1"/>
        <w:t>*</w:t>
      </w:r>
    </w:p>
    <w:p w:rsidR="00000000" w:rsidRDefault="00000000">
      <w:pPr>
        <w:jc w:val="center"/>
      </w:pPr>
    </w:p>
    <w:p w:rsidR="00000000" w:rsidRDefault="00000000">
      <w:pPr>
        <w:pStyle w:val="Heading3"/>
        <w:sectPr w:rsidR="00000000">
          <w:headerReference w:type="even" r:id="rId8"/>
          <w:headerReference w:type="default" r:id="rId9"/>
          <w:footerReference w:type="even" r:id="rId10"/>
          <w:footerReference w:type="default" r:id="rId11"/>
          <w:footerReference w:type="first" r:id="rId12"/>
          <w:pgSz w:w="12242" w:h="15842" w:code="1"/>
          <w:pgMar w:top="907" w:right="1304" w:bottom="1247" w:left="1304" w:header="567" w:footer="851" w:gutter="0"/>
          <w:cols w:space="708"/>
          <w:docGrid w:linePitch="360"/>
        </w:sectPr>
      </w:pPr>
    </w:p>
    <w:p w:rsidR="00000000" w:rsidRDefault="00000000">
      <w:pPr>
        <w:tabs>
          <w:tab w:val="left" w:pos="8208"/>
          <w:tab w:val="left" w:pos="9570"/>
        </w:tabs>
        <w:jc w:val="center"/>
        <w:rPr>
          <w:b/>
          <w:sz w:val="28"/>
        </w:rPr>
      </w:pPr>
    </w:p>
    <w:p w:rsidR="00000000" w:rsidRDefault="00000000">
      <w:pPr>
        <w:tabs>
          <w:tab w:val="left" w:pos="8208"/>
          <w:tab w:val="left" w:pos="9570"/>
        </w:tabs>
        <w:jc w:val="center"/>
        <w:rPr>
          <w:b/>
          <w:sz w:val="28"/>
        </w:rPr>
      </w:pPr>
    </w:p>
    <w:p w:rsidR="00000000" w:rsidRDefault="00000000">
      <w:pPr>
        <w:tabs>
          <w:tab w:val="left" w:pos="8208"/>
          <w:tab w:val="left" w:pos="9570"/>
        </w:tabs>
        <w:jc w:val="center"/>
        <w:rPr>
          <w:b/>
          <w:sz w:val="28"/>
        </w:rPr>
      </w:pPr>
    </w:p>
    <w:p w:rsidR="00000000" w:rsidRDefault="00000000">
      <w:pPr>
        <w:tabs>
          <w:tab w:val="left" w:pos="8208"/>
          <w:tab w:val="left" w:pos="9570"/>
        </w:tabs>
        <w:jc w:val="center"/>
        <w:rPr>
          <w:b/>
          <w:sz w:val="28"/>
        </w:rPr>
      </w:pPr>
    </w:p>
    <w:p w:rsidR="00000000" w:rsidRDefault="00000000">
      <w:pPr>
        <w:tabs>
          <w:tab w:val="left" w:pos="8208"/>
          <w:tab w:val="left" w:pos="9570"/>
        </w:tabs>
        <w:jc w:val="center"/>
        <w:rPr>
          <w:b/>
          <w:sz w:val="28"/>
        </w:rPr>
      </w:pPr>
    </w:p>
    <w:p w:rsidR="00000000" w:rsidRDefault="00000000">
      <w:pPr>
        <w:tabs>
          <w:tab w:val="left" w:pos="8208"/>
          <w:tab w:val="left" w:pos="9570"/>
        </w:tabs>
        <w:jc w:val="center"/>
        <w:rPr>
          <w:b/>
          <w:sz w:val="28"/>
        </w:rPr>
      </w:pPr>
    </w:p>
    <w:p w:rsidR="00000000" w:rsidRDefault="00000000">
      <w:pPr>
        <w:tabs>
          <w:tab w:val="left" w:pos="8208"/>
          <w:tab w:val="left" w:pos="9570"/>
        </w:tabs>
        <w:jc w:val="center"/>
        <w:rPr>
          <w:b/>
          <w:sz w:val="28"/>
        </w:rPr>
      </w:pPr>
    </w:p>
    <w:p w:rsidR="00000000" w:rsidRDefault="00000000">
      <w:pPr>
        <w:tabs>
          <w:tab w:val="left" w:pos="8208"/>
          <w:tab w:val="left" w:pos="9570"/>
        </w:tabs>
        <w:jc w:val="center"/>
        <w:rPr>
          <w:b/>
          <w:sz w:val="28"/>
        </w:rPr>
      </w:pPr>
    </w:p>
    <w:p w:rsidR="00000000" w:rsidRDefault="00000000">
      <w:pPr>
        <w:tabs>
          <w:tab w:val="left" w:pos="8208"/>
          <w:tab w:val="left" w:pos="9570"/>
        </w:tabs>
        <w:jc w:val="center"/>
        <w:rPr>
          <w:b/>
          <w:sz w:val="28"/>
        </w:rPr>
      </w:pPr>
    </w:p>
    <w:p w:rsidR="00000000" w:rsidRDefault="00000000">
      <w:pPr>
        <w:tabs>
          <w:tab w:val="left" w:pos="8208"/>
          <w:tab w:val="left" w:pos="9570"/>
        </w:tabs>
        <w:jc w:val="center"/>
        <w:rPr>
          <w:b/>
          <w:sz w:val="28"/>
        </w:rPr>
      </w:pPr>
    </w:p>
    <w:p w:rsidR="00000000" w:rsidRDefault="00000000">
      <w:pPr>
        <w:tabs>
          <w:tab w:val="left" w:pos="8208"/>
          <w:tab w:val="left" w:pos="9570"/>
        </w:tabs>
        <w:jc w:val="center"/>
        <w:rPr>
          <w:b/>
          <w:sz w:val="28"/>
        </w:rPr>
      </w:pPr>
    </w:p>
    <w:p w:rsidR="00000000" w:rsidRDefault="00000000">
      <w:pPr>
        <w:tabs>
          <w:tab w:val="left" w:pos="8208"/>
          <w:tab w:val="left" w:pos="9570"/>
        </w:tabs>
        <w:jc w:val="center"/>
        <w:rPr>
          <w:b/>
          <w:sz w:val="28"/>
        </w:rPr>
      </w:pPr>
      <w:r>
        <w:rPr>
          <w:b/>
          <w:sz w:val="28"/>
        </w:rPr>
        <w:t xml:space="preserve">Доклад правительства Коста-Рика </w:t>
      </w:r>
      <w:r>
        <w:rPr>
          <w:b/>
          <w:sz w:val="28"/>
        </w:rPr>
        <w:br/>
        <w:t xml:space="preserve">по осуществлению Конвенции </w:t>
      </w:r>
      <w:r>
        <w:rPr>
          <w:b/>
          <w:sz w:val="28"/>
        </w:rPr>
        <w:br/>
        <w:t xml:space="preserve">о ликвидации всех форм дискриминации </w:t>
      </w:r>
      <w:r>
        <w:rPr>
          <w:b/>
          <w:sz w:val="28"/>
        </w:rPr>
        <w:br/>
        <w:t>в отношении женщин</w:t>
      </w:r>
    </w:p>
    <w:p w:rsidR="00000000" w:rsidRDefault="00000000">
      <w:pPr>
        <w:tabs>
          <w:tab w:val="left" w:pos="8208"/>
          <w:tab w:val="left" w:pos="9570"/>
        </w:tabs>
        <w:jc w:val="center"/>
        <w:rPr>
          <w:b/>
          <w:sz w:val="28"/>
        </w:rPr>
      </w:pPr>
    </w:p>
    <w:p w:rsidR="00000000" w:rsidRDefault="00000000">
      <w:pPr>
        <w:tabs>
          <w:tab w:val="left" w:pos="8208"/>
          <w:tab w:val="left" w:pos="9570"/>
        </w:tabs>
        <w:jc w:val="center"/>
        <w:rPr>
          <w:b/>
          <w:sz w:val="28"/>
        </w:rPr>
      </w:pPr>
    </w:p>
    <w:p w:rsidR="00000000" w:rsidRDefault="00000000">
      <w:pPr>
        <w:tabs>
          <w:tab w:val="left" w:pos="8208"/>
          <w:tab w:val="left" w:pos="9570"/>
        </w:tabs>
        <w:jc w:val="center"/>
        <w:rPr>
          <w:sz w:val="28"/>
        </w:rPr>
      </w:pPr>
      <w:r>
        <w:rPr>
          <w:sz w:val="28"/>
        </w:rPr>
        <w:t xml:space="preserve">По состоянию на период </w:t>
      </w:r>
      <w:r>
        <w:rPr>
          <w:sz w:val="28"/>
        </w:rPr>
        <w:br/>
        <w:t>с 1 апреля 1998 года по 31 марта 2002 года</w:t>
      </w:r>
    </w:p>
    <w:p w:rsidR="00000000" w:rsidRDefault="00000000">
      <w:pPr>
        <w:tabs>
          <w:tab w:val="left" w:pos="8208"/>
          <w:tab w:val="left" w:pos="9570"/>
        </w:tabs>
        <w:jc w:val="center"/>
        <w:rPr>
          <w:b/>
          <w:sz w:val="28"/>
        </w:rPr>
      </w:pPr>
    </w:p>
    <w:p w:rsidR="00000000" w:rsidRDefault="00000000">
      <w:pPr>
        <w:tabs>
          <w:tab w:val="left" w:pos="8208"/>
          <w:tab w:val="left" w:pos="9570"/>
        </w:tabs>
        <w:jc w:val="center"/>
        <w:rPr>
          <w:b/>
          <w:sz w:val="28"/>
        </w:rPr>
      </w:pPr>
    </w:p>
    <w:p w:rsidR="00000000" w:rsidRDefault="00000000">
      <w:pPr>
        <w:tabs>
          <w:tab w:val="left" w:pos="8208"/>
          <w:tab w:val="left" w:pos="9570"/>
        </w:tabs>
        <w:jc w:val="center"/>
        <w:rPr>
          <w:b/>
          <w:sz w:val="28"/>
        </w:rPr>
      </w:pPr>
    </w:p>
    <w:p w:rsidR="00000000" w:rsidRDefault="00000000">
      <w:pPr>
        <w:tabs>
          <w:tab w:val="left" w:pos="8208"/>
          <w:tab w:val="left" w:pos="9570"/>
        </w:tabs>
        <w:jc w:val="center"/>
        <w:rPr>
          <w:b/>
          <w:sz w:val="28"/>
        </w:rPr>
      </w:pPr>
    </w:p>
    <w:p w:rsidR="00000000" w:rsidRDefault="00000000">
      <w:pPr>
        <w:tabs>
          <w:tab w:val="left" w:pos="8208"/>
          <w:tab w:val="left" w:pos="9570"/>
        </w:tabs>
        <w:jc w:val="center"/>
        <w:rPr>
          <w:b/>
          <w:sz w:val="28"/>
        </w:rPr>
      </w:pPr>
    </w:p>
    <w:p w:rsidR="00000000" w:rsidRDefault="00000000">
      <w:pPr>
        <w:tabs>
          <w:tab w:val="left" w:pos="8208"/>
          <w:tab w:val="left" w:pos="9570"/>
        </w:tabs>
        <w:jc w:val="center"/>
        <w:rPr>
          <w:b/>
          <w:sz w:val="28"/>
        </w:rPr>
      </w:pPr>
    </w:p>
    <w:p w:rsidR="00000000" w:rsidRDefault="00000000">
      <w:pPr>
        <w:tabs>
          <w:tab w:val="left" w:pos="8208"/>
          <w:tab w:val="left" w:pos="9570"/>
        </w:tabs>
        <w:jc w:val="center"/>
        <w:rPr>
          <w:b/>
          <w:sz w:val="28"/>
        </w:rPr>
      </w:pPr>
    </w:p>
    <w:p w:rsidR="00000000" w:rsidRDefault="00000000">
      <w:pPr>
        <w:tabs>
          <w:tab w:val="left" w:pos="8208"/>
          <w:tab w:val="left" w:pos="9570"/>
        </w:tabs>
        <w:jc w:val="center"/>
        <w:rPr>
          <w:b/>
          <w:sz w:val="28"/>
        </w:rPr>
      </w:pPr>
    </w:p>
    <w:p w:rsidR="00000000" w:rsidRDefault="00000000">
      <w:pPr>
        <w:tabs>
          <w:tab w:val="left" w:pos="8208"/>
          <w:tab w:val="left" w:pos="9570"/>
        </w:tabs>
        <w:jc w:val="center"/>
        <w:rPr>
          <w:b/>
          <w:sz w:val="28"/>
        </w:rPr>
      </w:pPr>
    </w:p>
    <w:p w:rsidR="00000000" w:rsidRDefault="00000000">
      <w:pPr>
        <w:tabs>
          <w:tab w:val="left" w:pos="8208"/>
          <w:tab w:val="left" w:pos="9570"/>
        </w:tabs>
        <w:jc w:val="center"/>
        <w:rPr>
          <w:b/>
          <w:sz w:val="28"/>
        </w:rPr>
      </w:pPr>
    </w:p>
    <w:p w:rsidR="00000000" w:rsidRDefault="00000000">
      <w:pPr>
        <w:tabs>
          <w:tab w:val="left" w:pos="8208"/>
          <w:tab w:val="left" w:pos="9570"/>
        </w:tabs>
        <w:jc w:val="center"/>
        <w:rPr>
          <w:b/>
          <w:sz w:val="28"/>
        </w:rPr>
      </w:pPr>
    </w:p>
    <w:p w:rsidR="00000000" w:rsidRDefault="00000000">
      <w:pPr>
        <w:tabs>
          <w:tab w:val="left" w:pos="8208"/>
          <w:tab w:val="left" w:pos="9570"/>
        </w:tabs>
        <w:jc w:val="center"/>
        <w:rPr>
          <w:b/>
          <w:sz w:val="28"/>
        </w:rPr>
      </w:pPr>
    </w:p>
    <w:p w:rsidR="00000000" w:rsidRDefault="00000000">
      <w:pPr>
        <w:tabs>
          <w:tab w:val="left" w:pos="8208"/>
          <w:tab w:val="left" w:pos="9570"/>
        </w:tabs>
        <w:jc w:val="center"/>
        <w:rPr>
          <w:b/>
          <w:sz w:val="28"/>
        </w:rPr>
      </w:pPr>
    </w:p>
    <w:p w:rsidR="00000000" w:rsidRDefault="00000000">
      <w:pPr>
        <w:tabs>
          <w:tab w:val="left" w:pos="8208"/>
          <w:tab w:val="left" w:pos="9570"/>
        </w:tabs>
        <w:jc w:val="center"/>
        <w:rPr>
          <w:b/>
          <w:sz w:val="28"/>
        </w:rPr>
      </w:pPr>
    </w:p>
    <w:p w:rsidR="00000000" w:rsidRDefault="00000000">
      <w:pPr>
        <w:tabs>
          <w:tab w:val="left" w:pos="8208"/>
          <w:tab w:val="left" w:pos="9570"/>
        </w:tabs>
        <w:jc w:val="center"/>
        <w:rPr>
          <w:b/>
          <w:sz w:val="28"/>
        </w:rPr>
      </w:pPr>
    </w:p>
    <w:p w:rsidR="00000000" w:rsidRDefault="00000000">
      <w:pPr>
        <w:tabs>
          <w:tab w:val="left" w:pos="8208"/>
          <w:tab w:val="left" w:pos="9570"/>
        </w:tabs>
        <w:jc w:val="center"/>
        <w:rPr>
          <w:b/>
          <w:sz w:val="28"/>
        </w:rPr>
      </w:pPr>
    </w:p>
    <w:p w:rsidR="00000000" w:rsidRDefault="00000000">
      <w:pPr>
        <w:tabs>
          <w:tab w:val="left" w:pos="8208"/>
          <w:tab w:val="left" w:pos="9570"/>
        </w:tabs>
        <w:jc w:val="center"/>
        <w:rPr>
          <w:b/>
          <w:sz w:val="28"/>
        </w:rPr>
      </w:pPr>
    </w:p>
    <w:p w:rsidR="00000000" w:rsidRDefault="00000000">
      <w:pPr>
        <w:tabs>
          <w:tab w:val="left" w:pos="8208"/>
          <w:tab w:val="left" w:pos="9570"/>
        </w:tabs>
        <w:jc w:val="center"/>
        <w:rPr>
          <w:b/>
          <w:sz w:val="28"/>
        </w:rPr>
      </w:pPr>
    </w:p>
    <w:p w:rsidR="00000000" w:rsidRDefault="00000000">
      <w:pPr>
        <w:tabs>
          <w:tab w:val="left" w:pos="8208"/>
          <w:tab w:val="left" w:pos="9570"/>
        </w:tabs>
        <w:jc w:val="center"/>
        <w:rPr>
          <w:b/>
          <w:sz w:val="28"/>
        </w:rPr>
      </w:pPr>
    </w:p>
    <w:p w:rsidR="00000000" w:rsidRDefault="00000000">
      <w:pPr>
        <w:tabs>
          <w:tab w:val="left" w:pos="8208"/>
          <w:tab w:val="left" w:pos="9570"/>
        </w:tabs>
        <w:jc w:val="center"/>
        <w:sectPr w:rsidR="00000000">
          <w:headerReference w:type="default" r:id="rId13"/>
          <w:footerReference w:type="even" r:id="rId14"/>
          <w:footerReference w:type="default" r:id="rId15"/>
          <w:pgSz w:w="12242" w:h="15842" w:code="1"/>
          <w:pgMar w:top="1304" w:right="1701" w:bottom="1701" w:left="1701" w:header="567" w:footer="851" w:gutter="0"/>
          <w:pgNumType w:fmt="lowerRoman" w:start="2"/>
          <w:cols w:space="708"/>
          <w:docGrid w:linePitch="360"/>
        </w:sectPr>
      </w:pPr>
      <w:r>
        <w:t>Сентябрь 2002 года</w:t>
      </w:r>
    </w:p>
    <w:p w:rsidR="00000000" w:rsidRDefault="00000000">
      <w:pPr>
        <w:tabs>
          <w:tab w:val="left" w:pos="8208"/>
          <w:tab w:val="left" w:pos="9570"/>
        </w:tabs>
        <w:jc w:val="center"/>
        <w:rPr>
          <w:b/>
        </w:rPr>
      </w:pPr>
      <w:r>
        <w:rPr>
          <w:b/>
        </w:rPr>
        <w:t>СОДЕРЖАНИЕ</w:t>
      </w:r>
    </w:p>
    <w:p w:rsidR="00000000" w:rsidRDefault="00000000">
      <w:pPr>
        <w:tabs>
          <w:tab w:val="left" w:pos="680"/>
          <w:tab w:val="left" w:leader="dot" w:pos="8222"/>
          <w:tab w:val="right" w:pos="8789"/>
        </w:tabs>
        <w:spacing w:before="120" w:line="260" w:lineRule="exact"/>
        <w:jc w:val="right"/>
        <w:rPr>
          <w:i/>
          <w:caps/>
          <w:sz w:val="18"/>
        </w:rPr>
      </w:pPr>
      <w:r>
        <w:rPr>
          <w:i/>
          <w:sz w:val="18"/>
        </w:rPr>
        <w:t>Стр.</w:t>
      </w:r>
    </w:p>
    <w:p w:rsidR="00000000" w:rsidRDefault="00000000">
      <w:pPr>
        <w:tabs>
          <w:tab w:val="left" w:pos="680"/>
          <w:tab w:val="left" w:leader="dot" w:pos="8222"/>
          <w:tab w:val="right" w:pos="8789"/>
        </w:tabs>
        <w:spacing w:before="120" w:line="260" w:lineRule="exact"/>
        <w:jc w:val="both"/>
        <w:rPr>
          <w:sz w:val="22"/>
        </w:rPr>
      </w:pPr>
      <w:r>
        <w:rPr>
          <w:b/>
          <w:caps/>
          <w:sz w:val="22"/>
        </w:rPr>
        <w:t>Введение</w:t>
      </w:r>
      <w:r>
        <w:rPr>
          <w:sz w:val="22"/>
        </w:rPr>
        <w:tab/>
      </w:r>
      <w:r>
        <w:rPr>
          <w:sz w:val="22"/>
        </w:rPr>
        <w:tab/>
      </w:r>
      <w:r>
        <w:rPr>
          <w:b/>
          <w:sz w:val="22"/>
        </w:rPr>
        <w:t>1</w:t>
      </w:r>
    </w:p>
    <w:p w:rsidR="00000000" w:rsidRDefault="00000000">
      <w:pPr>
        <w:tabs>
          <w:tab w:val="left" w:pos="680"/>
          <w:tab w:val="left" w:leader="dot" w:pos="8222"/>
          <w:tab w:val="right" w:pos="8789"/>
        </w:tabs>
        <w:spacing w:line="260" w:lineRule="exact"/>
        <w:rPr>
          <w:caps/>
          <w:sz w:val="22"/>
        </w:rPr>
      </w:pPr>
    </w:p>
    <w:p w:rsidR="00000000" w:rsidRDefault="00000000">
      <w:pPr>
        <w:tabs>
          <w:tab w:val="left" w:pos="680"/>
          <w:tab w:val="left" w:leader="dot" w:pos="8222"/>
          <w:tab w:val="right" w:pos="8789"/>
        </w:tabs>
        <w:spacing w:before="120" w:line="260" w:lineRule="exact"/>
        <w:rPr>
          <w:caps/>
          <w:sz w:val="22"/>
        </w:rPr>
      </w:pPr>
      <w:r>
        <w:rPr>
          <w:b/>
          <w:caps/>
          <w:sz w:val="22"/>
        </w:rPr>
        <w:t xml:space="preserve">Часть </w:t>
      </w:r>
      <w:r>
        <w:rPr>
          <w:b/>
          <w:caps/>
          <w:sz w:val="22"/>
          <w:lang w:val="en-US"/>
        </w:rPr>
        <w:t>I</w:t>
      </w:r>
      <w:r>
        <w:rPr>
          <w:b/>
          <w:caps/>
          <w:sz w:val="22"/>
        </w:rPr>
        <w:t xml:space="preserve">. Успехи, достигнутые в улучшении положения </w:t>
      </w:r>
      <w:r>
        <w:rPr>
          <w:b/>
          <w:caps/>
          <w:sz w:val="22"/>
        </w:rPr>
        <w:br/>
        <w:t>женщин Коста-РикИ: ОБЩИЕ ИТОГИ</w:t>
      </w:r>
      <w:r>
        <w:rPr>
          <w:caps/>
          <w:sz w:val="22"/>
        </w:rPr>
        <w:tab/>
      </w:r>
      <w:r>
        <w:rPr>
          <w:caps/>
          <w:sz w:val="22"/>
        </w:rPr>
        <w:tab/>
      </w:r>
      <w:r>
        <w:rPr>
          <w:b/>
          <w:caps/>
          <w:sz w:val="22"/>
        </w:rPr>
        <w:t>9</w:t>
      </w:r>
    </w:p>
    <w:p w:rsidR="00000000" w:rsidRDefault="00000000">
      <w:pPr>
        <w:tabs>
          <w:tab w:val="left" w:pos="680"/>
          <w:tab w:val="left" w:leader="dot" w:pos="8222"/>
          <w:tab w:val="right" w:pos="8789"/>
        </w:tabs>
        <w:spacing w:line="260" w:lineRule="exact"/>
        <w:rPr>
          <w:caps/>
          <w:sz w:val="22"/>
        </w:rPr>
      </w:pPr>
    </w:p>
    <w:p w:rsidR="00000000" w:rsidRDefault="00000000">
      <w:pPr>
        <w:tabs>
          <w:tab w:val="left" w:pos="680"/>
          <w:tab w:val="left" w:leader="dot" w:pos="8222"/>
          <w:tab w:val="right" w:pos="8789"/>
        </w:tabs>
        <w:spacing w:before="120" w:line="260" w:lineRule="exact"/>
        <w:jc w:val="both"/>
        <w:rPr>
          <w:caps/>
          <w:sz w:val="22"/>
        </w:rPr>
      </w:pPr>
      <w:r>
        <w:rPr>
          <w:b/>
          <w:caps/>
          <w:sz w:val="22"/>
        </w:rPr>
        <w:t xml:space="preserve">Часть </w:t>
      </w:r>
      <w:r>
        <w:rPr>
          <w:b/>
          <w:caps/>
          <w:sz w:val="22"/>
          <w:lang w:val="en-US"/>
        </w:rPr>
        <w:t>II</w:t>
      </w:r>
      <w:r>
        <w:rPr>
          <w:b/>
          <w:caps/>
          <w:sz w:val="22"/>
        </w:rPr>
        <w:t>. Анализ статей Конвенции</w:t>
      </w:r>
      <w:r>
        <w:rPr>
          <w:caps/>
          <w:sz w:val="22"/>
        </w:rPr>
        <w:tab/>
      </w:r>
      <w:r>
        <w:rPr>
          <w:caps/>
          <w:sz w:val="22"/>
        </w:rPr>
        <w:tab/>
      </w:r>
      <w:r>
        <w:rPr>
          <w:b/>
          <w:caps/>
          <w:sz w:val="22"/>
        </w:rPr>
        <w:t>27</w:t>
      </w:r>
    </w:p>
    <w:p w:rsidR="00000000" w:rsidRDefault="00000000">
      <w:pPr>
        <w:tabs>
          <w:tab w:val="left" w:pos="680"/>
          <w:tab w:val="left" w:leader="dot" w:pos="8222"/>
          <w:tab w:val="right" w:pos="8789"/>
        </w:tabs>
        <w:spacing w:before="120" w:line="260" w:lineRule="exact"/>
        <w:rPr>
          <w:sz w:val="22"/>
        </w:rPr>
      </w:pPr>
      <w:r>
        <w:rPr>
          <w:b/>
          <w:sz w:val="22"/>
        </w:rPr>
        <w:t xml:space="preserve">Статьи 1 и 2. Политика и средства, направленные на ликвидацию дискриминации </w:t>
      </w:r>
      <w:r>
        <w:rPr>
          <w:b/>
          <w:sz w:val="22"/>
        </w:rPr>
        <w:br/>
        <w:t>в отношении женщин</w:t>
      </w:r>
      <w:r>
        <w:rPr>
          <w:sz w:val="22"/>
        </w:rPr>
        <w:tab/>
      </w:r>
      <w:r>
        <w:rPr>
          <w:sz w:val="22"/>
        </w:rPr>
        <w:tab/>
      </w:r>
      <w:r>
        <w:rPr>
          <w:b/>
          <w:sz w:val="22"/>
        </w:rPr>
        <w:t>27</w:t>
      </w:r>
    </w:p>
    <w:p w:rsidR="00000000" w:rsidRDefault="00000000">
      <w:pPr>
        <w:tabs>
          <w:tab w:val="left" w:pos="680"/>
          <w:tab w:val="left" w:leader="dot" w:pos="8222"/>
          <w:tab w:val="right" w:pos="8789"/>
        </w:tabs>
        <w:spacing w:line="260" w:lineRule="exact"/>
        <w:jc w:val="both"/>
        <w:rPr>
          <w:sz w:val="22"/>
        </w:rPr>
      </w:pPr>
      <w:r>
        <w:rPr>
          <w:sz w:val="22"/>
        </w:rPr>
        <w:tab/>
        <w:t>Конституционные нормы и международные договоры</w:t>
      </w:r>
      <w:r>
        <w:rPr>
          <w:sz w:val="22"/>
        </w:rPr>
        <w:tab/>
      </w:r>
      <w:r>
        <w:rPr>
          <w:sz w:val="22"/>
        </w:rPr>
        <w:tab/>
        <w:t>28</w:t>
      </w:r>
    </w:p>
    <w:p w:rsidR="00000000" w:rsidRDefault="00000000">
      <w:pPr>
        <w:tabs>
          <w:tab w:val="left" w:pos="680"/>
          <w:tab w:val="left" w:leader="dot" w:pos="8222"/>
          <w:tab w:val="right" w:pos="8789"/>
        </w:tabs>
        <w:spacing w:line="260" w:lineRule="exact"/>
        <w:jc w:val="both"/>
        <w:rPr>
          <w:sz w:val="22"/>
        </w:rPr>
      </w:pPr>
      <w:r>
        <w:rPr>
          <w:sz w:val="22"/>
        </w:rPr>
        <w:tab/>
        <w:t>Общие и специальные законы</w:t>
      </w:r>
      <w:r>
        <w:rPr>
          <w:sz w:val="22"/>
        </w:rPr>
        <w:tab/>
      </w:r>
      <w:r>
        <w:rPr>
          <w:sz w:val="22"/>
        </w:rPr>
        <w:tab/>
        <w:t>29</w:t>
      </w:r>
    </w:p>
    <w:p w:rsidR="00000000" w:rsidRDefault="00000000">
      <w:pPr>
        <w:tabs>
          <w:tab w:val="left" w:pos="680"/>
          <w:tab w:val="left" w:leader="dot" w:pos="8222"/>
          <w:tab w:val="right" w:pos="8789"/>
        </w:tabs>
        <w:spacing w:line="260" w:lineRule="exact"/>
        <w:jc w:val="both"/>
        <w:rPr>
          <w:sz w:val="22"/>
        </w:rPr>
      </w:pPr>
      <w:r>
        <w:rPr>
          <w:sz w:val="22"/>
        </w:rPr>
        <w:tab/>
        <w:t>Правительственные декреты</w:t>
      </w:r>
      <w:r>
        <w:rPr>
          <w:sz w:val="22"/>
        </w:rPr>
        <w:tab/>
      </w:r>
      <w:r>
        <w:rPr>
          <w:sz w:val="22"/>
        </w:rPr>
        <w:tab/>
        <w:t>33</w:t>
      </w:r>
    </w:p>
    <w:p w:rsidR="00000000" w:rsidRDefault="00000000">
      <w:pPr>
        <w:tabs>
          <w:tab w:val="left" w:pos="680"/>
          <w:tab w:val="left" w:leader="dot" w:pos="8222"/>
          <w:tab w:val="right" w:pos="8789"/>
        </w:tabs>
        <w:spacing w:line="260" w:lineRule="exact"/>
        <w:ind w:left="680" w:hanging="680"/>
        <w:rPr>
          <w:sz w:val="22"/>
        </w:rPr>
      </w:pPr>
      <w:r>
        <w:rPr>
          <w:sz w:val="22"/>
        </w:rPr>
        <w:tab/>
        <w:t>Решения и директивы правительства Коста-Рики и Верховного суда в интересах гендерного равенства</w:t>
      </w:r>
      <w:r>
        <w:rPr>
          <w:sz w:val="22"/>
        </w:rPr>
        <w:tab/>
      </w:r>
      <w:r>
        <w:rPr>
          <w:sz w:val="22"/>
        </w:rPr>
        <w:tab/>
        <w:t>34</w:t>
      </w:r>
    </w:p>
    <w:p w:rsidR="00000000" w:rsidRDefault="00000000">
      <w:pPr>
        <w:tabs>
          <w:tab w:val="left" w:pos="680"/>
          <w:tab w:val="left" w:leader="dot" w:pos="8222"/>
          <w:tab w:val="right" w:pos="8789"/>
        </w:tabs>
        <w:spacing w:line="260" w:lineRule="exact"/>
        <w:jc w:val="both"/>
        <w:rPr>
          <w:sz w:val="22"/>
        </w:rPr>
      </w:pPr>
      <w:r>
        <w:rPr>
          <w:sz w:val="22"/>
        </w:rPr>
        <w:tab/>
        <w:t>Изменения, внесенные в законодательные регламенты</w:t>
      </w:r>
      <w:r>
        <w:rPr>
          <w:sz w:val="22"/>
        </w:rPr>
        <w:tab/>
      </w:r>
      <w:r>
        <w:rPr>
          <w:sz w:val="22"/>
        </w:rPr>
        <w:tab/>
        <w:t>35</w:t>
      </w:r>
    </w:p>
    <w:p w:rsidR="00000000" w:rsidRDefault="00000000">
      <w:pPr>
        <w:tabs>
          <w:tab w:val="left" w:pos="680"/>
          <w:tab w:val="left" w:leader="dot" w:pos="8222"/>
          <w:tab w:val="right" w:pos="8789"/>
        </w:tabs>
        <w:spacing w:line="260" w:lineRule="exact"/>
        <w:jc w:val="both"/>
        <w:rPr>
          <w:sz w:val="22"/>
        </w:rPr>
      </w:pPr>
      <w:r>
        <w:rPr>
          <w:sz w:val="22"/>
        </w:rPr>
        <w:tab/>
        <w:t>Услуги по оказанию правовой помощи</w:t>
      </w:r>
      <w:r>
        <w:rPr>
          <w:sz w:val="22"/>
        </w:rPr>
        <w:tab/>
      </w:r>
      <w:r>
        <w:rPr>
          <w:sz w:val="22"/>
        </w:rPr>
        <w:tab/>
        <w:t>35</w:t>
      </w:r>
    </w:p>
    <w:p w:rsidR="00000000" w:rsidRDefault="00000000">
      <w:pPr>
        <w:tabs>
          <w:tab w:val="left" w:pos="680"/>
          <w:tab w:val="left" w:leader="dot" w:pos="8222"/>
          <w:tab w:val="right" w:pos="8789"/>
        </w:tabs>
        <w:spacing w:line="260" w:lineRule="exact"/>
        <w:jc w:val="both"/>
        <w:rPr>
          <w:sz w:val="22"/>
        </w:rPr>
      </w:pPr>
      <w:r>
        <w:rPr>
          <w:sz w:val="22"/>
        </w:rPr>
        <w:tab/>
        <w:t>Еще не принятые законопроекты и необходимые реформы</w:t>
      </w:r>
      <w:r>
        <w:rPr>
          <w:sz w:val="22"/>
        </w:rPr>
        <w:tab/>
      </w:r>
      <w:r>
        <w:rPr>
          <w:sz w:val="22"/>
        </w:rPr>
        <w:tab/>
        <w:t>36</w:t>
      </w:r>
    </w:p>
    <w:p w:rsidR="00000000" w:rsidRDefault="00000000">
      <w:pPr>
        <w:tabs>
          <w:tab w:val="left" w:pos="680"/>
          <w:tab w:val="left" w:leader="dot" w:pos="8222"/>
          <w:tab w:val="right" w:pos="8789"/>
        </w:tabs>
        <w:spacing w:line="260" w:lineRule="exact"/>
        <w:jc w:val="both"/>
        <w:rPr>
          <w:sz w:val="22"/>
        </w:rPr>
      </w:pPr>
      <w:r>
        <w:rPr>
          <w:sz w:val="22"/>
        </w:rPr>
        <w:tab/>
        <w:t>Ликвидация правовой неграмотности</w:t>
      </w:r>
      <w:r>
        <w:rPr>
          <w:sz w:val="22"/>
        </w:rPr>
        <w:tab/>
      </w:r>
      <w:r>
        <w:rPr>
          <w:sz w:val="22"/>
        </w:rPr>
        <w:tab/>
        <w:t>37</w:t>
      </w:r>
    </w:p>
    <w:p w:rsidR="00000000" w:rsidRDefault="00000000">
      <w:pPr>
        <w:tabs>
          <w:tab w:val="left" w:pos="680"/>
          <w:tab w:val="left" w:leader="dot" w:pos="8222"/>
          <w:tab w:val="right" w:pos="8789"/>
        </w:tabs>
        <w:spacing w:line="260" w:lineRule="exact"/>
        <w:rPr>
          <w:sz w:val="22"/>
        </w:rPr>
      </w:pPr>
    </w:p>
    <w:p w:rsidR="00000000" w:rsidRDefault="00000000">
      <w:pPr>
        <w:tabs>
          <w:tab w:val="left" w:pos="680"/>
          <w:tab w:val="left" w:leader="dot" w:pos="8222"/>
          <w:tab w:val="right" w:pos="8789"/>
        </w:tabs>
        <w:spacing w:before="120" w:line="260" w:lineRule="exact"/>
        <w:rPr>
          <w:sz w:val="22"/>
        </w:rPr>
      </w:pPr>
      <w:r>
        <w:rPr>
          <w:b/>
          <w:sz w:val="22"/>
        </w:rPr>
        <w:t xml:space="preserve">Статья 3. Национальные, отраслевые и институциональные стратегии </w:t>
      </w:r>
      <w:r>
        <w:rPr>
          <w:b/>
          <w:sz w:val="22"/>
        </w:rPr>
        <w:br/>
        <w:t>содействия равенству возможностей</w:t>
      </w:r>
      <w:r>
        <w:rPr>
          <w:sz w:val="22"/>
        </w:rPr>
        <w:tab/>
      </w:r>
      <w:r>
        <w:rPr>
          <w:sz w:val="22"/>
        </w:rPr>
        <w:tab/>
      </w:r>
      <w:r>
        <w:rPr>
          <w:b/>
          <w:sz w:val="22"/>
        </w:rPr>
        <w:t>38</w:t>
      </w:r>
    </w:p>
    <w:p w:rsidR="00000000" w:rsidRDefault="00000000">
      <w:pPr>
        <w:tabs>
          <w:tab w:val="left" w:pos="680"/>
          <w:tab w:val="left" w:leader="dot" w:pos="8222"/>
          <w:tab w:val="right" w:pos="8789"/>
        </w:tabs>
        <w:spacing w:line="260" w:lineRule="exact"/>
        <w:jc w:val="both"/>
        <w:rPr>
          <w:sz w:val="22"/>
        </w:rPr>
      </w:pPr>
      <w:r>
        <w:rPr>
          <w:sz w:val="22"/>
        </w:rPr>
        <w:tab/>
        <w:t>Институциональные механизмы улучшения положения женщин</w:t>
      </w:r>
      <w:r>
        <w:rPr>
          <w:sz w:val="22"/>
        </w:rPr>
        <w:tab/>
      </w:r>
      <w:r>
        <w:rPr>
          <w:sz w:val="22"/>
        </w:rPr>
        <w:tab/>
        <w:t>38</w:t>
      </w:r>
    </w:p>
    <w:p w:rsidR="00000000" w:rsidRDefault="00000000">
      <w:pPr>
        <w:tabs>
          <w:tab w:val="left" w:pos="680"/>
          <w:tab w:val="left" w:leader="dot" w:pos="8222"/>
          <w:tab w:val="right" w:pos="8789"/>
        </w:tabs>
        <w:spacing w:line="260" w:lineRule="exact"/>
        <w:ind w:left="680" w:hanging="680"/>
        <w:rPr>
          <w:sz w:val="22"/>
        </w:rPr>
      </w:pPr>
      <w:r>
        <w:rPr>
          <w:sz w:val="22"/>
        </w:rPr>
        <w:tab/>
        <w:t xml:space="preserve">Национальный правительственный механизм: Национальный институт </w:t>
      </w:r>
      <w:r>
        <w:rPr>
          <w:sz w:val="22"/>
        </w:rPr>
        <w:br/>
        <w:t>по делам женщин (ИНАМУ)</w:t>
      </w:r>
      <w:r>
        <w:rPr>
          <w:sz w:val="22"/>
        </w:rPr>
        <w:tab/>
      </w:r>
      <w:r>
        <w:rPr>
          <w:sz w:val="22"/>
        </w:rPr>
        <w:tab/>
        <w:t>38</w:t>
      </w:r>
    </w:p>
    <w:p w:rsidR="00000000" w:rsidRDefault="00000000">
      <w:pPr>
        <w:tabs>
          <w:tab w:val="left" w:pos="680"/>
          <w:tab w:val="left" w:leader="dot" w:pos="8222"/>
          <w:tab w:val="right" w:pos="8789"/>
        </w:tabs>
      </w:pPr>
      <w:r>
        <w:rPr>
          <w:sz w:val="22"/>
        </w:rPr>
        <w:tab/>
        <w:t>Стратегии, осуществляемые на национальном уровне</w:t>
      </w:r>
      <w:r>
        <w:tab/>
      </w:r>
      <w:r>
        <w:tab/>
      </w:r>
      <w:r>
        <w:rPr>
          <w:sz w:val="22"/>
        </w:rPr>
        <w:t>42</w:t>
      </w:r>
    </w:p>
    <w:p w:rsidR="00000000" w:rsidRDefault="00000000">
      <w:pPr>
        <w:tabs>
          <w:tab w:val="left" w:pos="680"/>
          <w:tab w:val="left" w:leader="dot" w:pos="8222"/>
          <w:tab w:val="right" w:pos="8789"/>
        </w:tabs>
        <w:rPr>
          <w:sz w:val="22"/>
        </w:rPr>
      </w:pPr>
      <w:r>
        <w:rPr>
          <w:sz w:val="22"/>
        </w:rPr>
        <w:tab/>
        <w:t>Стратегии, осуществляемые на региональном и местном уровнях</w:t>
      </w:r>
      <w:r>
        <w:rPr>
          <w:sz w:val="22"/>
        </w:rPr>
        <w:tab/>
      </w:r>
      <w:r>
        <w:rPr>
          <w:sz w:val="22"/>
        </w:rPr>
        <w:tab/>
        <w:t>45</w:t>
      </w:r>
    </w:p>
    <w:p w:rsidR="00000000" w:rsidRDefault="00000000">
      <w:pPr>
        <w:tabs>
          <w:tab w:val="left" w:pos="680"/>
          <w:tab w:val="left" w:leader="dot" w:pos="8222"/>
          <w:tab w:val="right" w:pos="8789"/>
        </w:tabs>
        <w:rPr>
          <w:sz w:val="22"/>
        </w:rPr>
      </w:pPr>
      <w:r>
        <w:rPr>
          <w:sz w:val="22"/>
        </w:rPr>
        <w:tab/>
        <w:t>Укрепление роли женщин</w:t>
      </w:r>
      <w:r>
        <w:rPr>
          <w:sz w:val="22"/>
        </w:rPr>
        <w:tab/>
      </w:r>
      <w:r>
        <w:rPr>
          <w:sz w:val="22"/>
        </w:rPr>
        <w:tab/>
        <w:t>46</w:t>
      </w:r>
    </w:p>
    <w:p w:rsidR="00000000" w:rsidRDefault="00000000">
      <w:pPr>
        <w:tabs>
          <w:tab w:val="left" w:pos="680"/>
          <w:tab w:val="left" w:leader="dot" w:pos="8222"/>
          <w:tab w:val="right" w:pos="8789"/>
        </w:tabs>
        <w:rPr>
          <w:sz w:val="22"/>
        </w:rPr>
      </w:pPr>
      <w:r>
        <w:rPr>
          <w:sz w:val="22"/>
        </w:rPr>
        <w:tab/>
        <w:t>Финансирование национального механизма</w:t>
      </w:r>
      <w:r>
        <w:rPr>
          <w:sz w:val="22"/>
        </w:rPr>
        <w:tab/>
      </w:r>
      <w:r>
        <w:rPr>
          <w:sz w:val="22"/>
        </w:rPr>
        <w:tab/>
        <w:t>47</w:t>
      </w:r>
    </w:p>
    <w:p w:rsidR="00000000" w:rsidRDefault="00000000">
      <w:pPr>
        <w:tabs>
          <w:tab w:val="left" w:pos="680"/>
          <w:tab w:val="left" w:leader="dot" w:pos="8222"/>
          <w:tab w:val="right" w:pos="8789"/>
        </w:tabs>
        <w:spacing w:line="260" w:lineRule="exact"/>
        <w:ind w:left="680" w:hanging="680"/>
        <w:rPr>
          <w:sz w:val="22"/>
        </w:rPr>
      </w:pPr>
      <w:r>
        <w:rPr>
          <w:sz w:val="22"/>
        </w:rPr>
        <w:tab/>
        <w:t>Децентрализованные министерские и отраслевые механизмы: бюро и группы в интересах гендерного равенства</w:t>
      </w:r>
      <w:r>
        <w:rPr>
          <w:sz w:val="22"/>
        </w:rPr>
        <w:tab/>
      </w:r>
      <w:r>
        <w:rPr>
          <w:sz w:val="22"/>
        </w:rPr>
        <w:tab/>
        <w:t>48</w:t>
      </w:r>
    </w:p>
    <w:p w:rsidR="00000000" w:rsidRDefault="00000000">
      <w:pPr>
        <w:tabs>
          <w:tab w:val="left" w:pos="680"/>
          <w:tab w:val="left" w:leader="dot" w:pos="8222"/>
          <w:tab w:val="right" w:pos="8789"/>
        </w:tabs>
        <w:spacing w:line="260" w:lineRule="exact"/>
        <w:ind w:left="680" w:hanging="680"/>
        <w:rPr>
          <w:sz w:val="22"/>
        </w:rPr>
      </w:pPr>
      <w:r>
        <w:rPr>
          <w:sz w:val="22"/>
        </w:rPr>
        <w:tab/>
        <w:t xml:space="preserve">Децентрализованные механизмы на местах: муниципальные бюро по делам </w:t>
      </w:r>
      <w:r>
        <w:rPr>
          <w:sz w:val="22"/>
        </w:rPr>
        <w:br/>
        <w:t>женщин</w:t>
      </w:r>
      <w:r>
        <w:rPr>
          <w:sz w:val="22"/>
        </w:rPr>
        <w:tab/>
      </w:r>
      <w:r>
        <w:rPr>
          <w:sz w:val="22"/>
        </w:rPr>
        <w:tab/>
        <w:t>50</w:t>
      </w:r>
    </w:p>
    <w:p w:rsidR="00000000" w:rsidRDefault="00000000">
      <w:pPr>
        <w:tabs>
          <w:tab w:val="left" w:pos="680"/>
          <w:tab w:val="left" w:leader="dot" w:pos="8222"/>
          <w:tab w:val="right" w:pos="8789"/>
        </w:tabs>
        <w:spacing w:line="260" w:lineRule="exact"/>
        <w:jc w:val="both"/>
        <w:rPr>
          <w:sz w:val="22"/>
        </w:rPr>
      </w:pPr>
      <w:r>
        <w:rPr>
          <w:sz w:val="22"/>
        </w:rPr>
        <w:tab/>
        <w:t>Специализированные учреждения</w:t>
      </w:r>
      <w:r>
        <w:rPr>
          <w:sz w:val="22"/>
        </w:rPr>
        <w:tab/>
      </w:r>
      <w:r>
        <w:rPr>
          <w:sz w:val="22"/>
        </w:rPr>
        <w:tab/>
        <w:t>51</w:t>
      </w:r>
    </w:p>
    <w:p w:rsidR="00000000" w:rsidRDefault="00000000">
      <w:pPr>
        <w:tabs>
          <w:tab w:val="left" w:pos="680"/>
          <w:tab w:val="left" w:leader="dot" w:pos="8222"/>
          <w:tab w:val="right" w:pos="8789"/>
        </w:tabs>
        <w:spacing w:line="260" w:lineRule="exact"/>
        <w:ind w:left="680" w:hanging="680"/>
        <w:rPr>
          <w:sz w:val="22"/>
        </w:rPr>
      </w:pPr>
      <w:r>
        <w:rPr>
          <w:sz w:val="22"/>
        </w:rPr>
        <w:tab/>
        <w:t xml:space="preserve">Разработка и распространение сведений и информации, касающихся </w:t>
      </w:r>
      <w:r>
        <w:rPr>
          <w:sz w:val="22"/>
        </w:rPr>
        <w:br/>
        <w:t>планирования и оценки, в разбивке по полу</w:t>
      </w:r>
      <w:r>
        <w:rPr>
          <w:sz w:val="22"/>
        </w:rPr>
        <w:tab/>
      </w:r>
      <w:r>
        <w:rPr>
          <w:sz w:val="22"/>
        </w:rPr>
        <w:tab/>
        <w:t>54</w:t>
      </w:r>
    </w:p>
    <w:p w:rsidR="00000000" w:rsidRDefault="00000000">
      <w:pPr>
        <w:tabs>
          <w:tab w:val="left" w:pos="680"/>
          <w:tab w:val="left" w:leader="dot" w:pos="8222"/>
          <w:tab w:val="right" w:pos="8789"/>
        </w:tabs>
        <w:spacing w:line="260" w:lineRule="exact"/>
        <w:rPr>
          <w:sz w:val="22"/>
        </w:rPr>
      </w:pPr>
    </w:p>
    <w:p w:rsidR="00000000" w:rsidRDefault="00000000">
      <w:pPr>
        <w:tabs>
          <w:tab w:val="left" w:pos="680"/>
          <w:tab w:val="left" w:leader="dot" w:pos="8222"/>
          <w:tab w:val="right" w:pos="8789"/>
        </w:tabs>
        <w:spacing w:before="120" w:line="260" w:lineRule="exact"/>
        <w:rPr>
          <w:sz w:val="22"/>
        </w:rPr>
      </w:pPr>
      <w:r>
        <w:rPr>
          <w:b/>
          <w:sz w:val="22"/>
        </w:rPr>
        <w:t xml:space="preserve">Статья 4. Временные специальные меры, направленные на ускорение </w:t>
      </w:r>
      <w:r>
        <w:rPr>
          <w:b/>
          <w:sz w:val="22"/>
        </w:rPr>
        <w:br/>
        <w:t>установления фактического равенства между мужчинами и женщинами</w:t>
      </w:r>
      <w:r>
        <w:rPr>
          <w:sz w:val="22"/>
        </w:rPr>
        <w:tab/>
      </w:r>
      <w:r>
        <w:rPr>
          <w:sz w:val="22"/>
        </w:rPr>
        <w:tab/>
      </w:r>
      <w:r>
        <w:rPr>
          <w:b/>
          <w:sz w:val="22"/>
        </w:rPr>
        <w:t>54</w:t>
      </w:r>
    </w:p>
    <w:p w:rsidR="00000000" w:rsidRDefault="00000000">
      <w:pPr>
        <w:tabs>
          <w:tab w:val="left" w:pos="680"/>
          <w:tab w:val="left" w:leader="dot" w:pos="8222"/>
          <w:tab w:val="right" w:pos="8789"/>
        </w:tabs>
        <w:spacing w:line="260" w:lineRule="exact"/>
        <w:ind w:left="680" w:hanging="680"/>
        <w:rPr>
          <w:sz w:val="22"/>
        </w:rPr>
      </w:pPr>
      <w:r>
        <w:rPr>
          <w:sz w:val="22"/>
        </w:rPr>
        <w:tab/>
        <w:t>Меры позитивного действия по ускорению установления равенства между мужчинами и женщинами в политических процессах</w:t>
      </w:r>
      <w:r>
        <w:rPr>
          <w:sz w:val="22"/>
        </w:rPr>
        <w:tab/>
      </w:r>
      <w:r>
        <w:rPr>
          <w:sz w:val="22"/>
        </w:rPr>
        <w:tab/>
        <w:t>55</w:t>
      </w:r>
    </w:p>
    <w:p w:rsidR="00000000" w:rsidRDefault="00000000">
      <w:pPr>
        <w:tabs>
          <w:tab w:val="left" w:pos="680"/>
          <w:tab w:val="left" w:leader="dot" w:pos="8222"/>
          <w:tab w:val="right" w:pos="8789"/>
        </w:tabs>
        <w:spacing w:line="260" w:lineRule="exact"/>
        <w:ind w:left="680" w:hanging="680"/>
        <w:rPr>
          <w:sz w:val="22"/>
        </w:rPr>
      </w:pPr>
      <w:r>
        <w:rPr>
          <w:sz w:val="22"/>
        </w:rPr>
        <w:tab/>
        <w:t>Специальные меры по ускорению установления равенства между мужчинами и женщинами в других областях</w:t>
      </w:r>
      <w:r>
        <w:rPr>
          <w:sz w:val="22"/>
        </w:rPr>
        <w:tab/>
      </w:r>
      <w:r>
        <w:rPr>
          <w:sz w:val="22"/>
        </w:rPr>
        <w:tab/>
        <w:t>57</w:t>
      </w:r>
    </w:p>
    <w:p w:rsidR="00000000" w:rsidRDefault="00000000">
      <w:pPr>
        <w:pStyle w:val="Heading3"/>
        <w:tabs>
          <w:tab w:val="left" w:leader="dot" w:pos="8222"/>
          <w:tab w:val="right" w:pos="8789"/>
        </w:tabs>
        <w:spacing w:before="0"/>
        <w:rPr>
          <w:b w:val="0"/>
        </w:rPr>
      </w:pPr>
      <w:r>
        <w:rPr>
          <w:b w:val="0"/>
        </w:rPr>
        <w:tab/>
      </w:r>
      <w:r>
        <w:rPr>
          <w:b w:val="0"/>
          <w:caps/>
        </w:rPr>
        <w:t>с</w:t>
      </w:r>
      <w:r>
        <w:rPr>
          <w:b w:val="0"/>
        </w:rPr>
        <w:t>пециальные меры, направленные на охрану материнства</w:t>
      </w:r>
      <w:r>
        <w:rPr>
          <w:b w:val="0"/>
        </w:rPr>
        <w:tab/>
      </w:r>
      <w:r>
        <w:rPr>
          <w:b w:val="0"/>
        </w:rPr>
        <w:tab/>
        <w:t>60</w:t>
      </w:r>
    </w:p>
    <w:p w:rsidR="00000000" w:rsidRDefault="00000000">
      <w:pPr>
        <w:tabs>
          <w:tab w:val="left" w:pos="680"/>
          <w:tab w:val="left" w:leader="dot" w:pos="8222"/>
          <w:tab w:val="right" w:pos="8789"/>
        </w:tabs>
        <w:spacing w:line="260" w:lineRule="exact"/>
        <w:ind w:left="680" w:hanging="680"/>
        <w:rPr>
          <w:sz w:val="22"/>
        </w:rPr>
      </w:pPr>
      <w:r>
        <w:rPr>
          <w:sz w:val="22"/>
        </w:rPr>
        <w:tab/>
      </w:r>
    </w:p>
    <w:p w:rsidR="00000000" w:rsidRDefault="00000000">
      <w:pPr>
        <w:tabs>
          <w:tab w:val="left" w:pos="680"/>
          <w:tab w:val="left" w:leader="dot" w:pos="8222"/>
          <w:tab w:val="right" w:pos="8789"/>
        </w:tabs>
        <w:spacing w:after="120" w:line="260" w:lineRule="exact"/>
        <w:jc w:val="right"/>
        <w:rPr>
          <w:i/>
          <w:caps/>
          <w:sz w:val="18"/>
        </w:rPr>
      </w:pPr>
      <w:r>
        <w:rPr>
          <w:i/>
          <w:sz w:val="18"/>
        </w:rPr>
        <w:br w:type="page"/>
        <w:t>Стр.</w:t>
      </w:r>
    </w:p>
    <w:p w:rsidR="00000000" w:rsidRDefault="00000000">
      <w:pPr>
        <w:tabs>
          <w:tab w:val="left" w:pos="680"/>
          <w:tab w:val="left" w:leader="dot" w:pos="8222"/>
          <w:tab w:val="right" w:pos="8789"/>
        </w:tabs>
        <w:spacing w:before="120" w:line="260" w:lineRule="exact"/>
        <w:rPr>
          <w:sz w:val="22"/>
        </w:rPr>
      </w:pPr>
      <w:r>
        <w:rPr>
          <w:b/>
          <w:sz w:val="22"/>
        </w:rPr>
        <w:t xml:space="preserve">Статья 5. Меры по изменению ролей мужчин и женщин и соответствующих </w:t>
      </w:r>
      <w:r>
        <w:rPr>
          <w:b/>
          <w:sz w:val="22"/>
        </w:rPr>
        <w:br/>
        <w:t>стереотипов</w:t>
      </w:r>
      <w:r>
        <w:rPr>
          <w:sz w:val="22"/>
        </w:rPr>
        <w:tab/>
      </w:r>
      <w:r>
        <w:rPr>
          <w:sz w:val="22"/>
        </w:rPr>
        <w:tab/>
      </w:r>
      <w:r>
        <w:rPr>
          <w:b/>
          <w:sz w:val="22"/>
        </w:rPr>
        <w:t>61</w:t>
      </w:r>
    </w:p>
    <w:p w:rsidR="00000000" w:rsidRDefault="00000000">
      <w:pPr>
        <w:tabs>
          <w:tab w:val="left" w:pos="680"/>
          <w:tab w:val="left" w:leader="dot" w:pos="8222"/>
          <w:tab w:val="right" w:pos="8789"/>
        </w:tabs>
        <w:spacing w:line="260" w:lineRule="exact"/>
        <w:jc w:val="both"/>
        <w:rPr>
          <w:sz w:val="22"/>
        </w:rPr>
      </w:pPr>
      <w:r>
        <w:rPr>
          <w:sz w:val="22"/>
        </w:rPr>
        <w:tab/>
        <w:t>Гендерные роли и стереотипы в образовании</w:t>
      </w:r>
      <w:r>
        <w:rPr>
          <w:sz w:val="22"/>
        </w:rPr>
        <w:tab/>
      </w:r>
      <w:r>
        <w:rPr>
          <w:sz w:val="22"/>
        </w:rPr>
        <w:tab/>
        <w:t>61</w:t>
      </w:r>
    </w:p>
    <w:p w:rsidR="00000000" w:rsidRDefault="00000000">
      <w:pPr>
        <w:tabs>
          <w:tab w:val="left" w:pos="680"/>
          <w:tab w:val="left" w:leader="dot" w:pos="8222"/>
          <w:tab w:val="right" w:pos="8789"/>
        </w:tabs>
        <w:spacing w:line="260" w:lineRule="exact"/>
        <w:jc w:val="both"/>
        <w:rPr>
          <w:sz w:val="22"/>
        </w:rPr>
      </w:pPr>
      <w:r>
        <w:rPr>
          <w:sz w:val="22"/>
        </w:rPr>
        <w:tab/>
        <w:t>Образ женщины в рекламе</w:t>
      </w:r>
      <w:r>
        <w:rPr>
          <w:sz w:val="22"/>
        </w:rPr>
        <w:tab/>
      </w:r>
      <w:r>
        <w:rPr>
          <w:sz w:val="22"/>
        </w:rPr>
        <w:tab/>
        <w:t>68</w:t>
      </w:r>
    </w:p>
    <w:p w:rsidR="00000000" w:rsidRDefault="00000000">
      <w:pPr>
        <w:tabs>
          <w:tab w:val="left" w:pos="680"/>
          <w:tab w:val="left" w:leader="dot" w:pos="8222"/>
          <w:tab w:val="right" w:pos="8789"/>
        </w:tabs>
        <w:spacing w:before="120" w:line="260" w:lineRule="exact"/>
        <w:rPr>
          <w:sz w:val="22"/>
        </w:rPr>
      </w:pPr>
    </w:p>
    <w:p w:rsidR="00000000" w:rsidRDefault="00000000">
      <w:pPr>
        <w:tabs>
          <w:tab w:val="left" w:pos="680"/>
          <w:tab w:val="left" w:leader="dot" w:pos="8222"/>
          <w:tab w:val="right" w:pos="8789"/>
        </w:tabs>
        <w:spacing w:before="120" w:line="260" w:lineRule="exact"/>
        <w:rPr>
          <w:sz w:val="22"/>
        </w:rPr>
      </w:pPr>
      <w:r>
        <w:rPr>
          <w:b/>
          <w:sz w:val="22"/>
        </w:rPr>
        <w:t>Статья 6. М</w:t>
      </w:r>
      <w:r>
        <w:rPr>
          <w:b/>
          <w:color w:val="000000"/>
          <w:sz w:val="22"/>
        </w:rPr>
        <w:t>еры по пресечению всех видов торговли женщинами и эксплуатации женской проституции</w:t>
      </w:r>
      <w:r>
        <w:rPr>
          <w:sz w:val="22"/>
        </w:rPr>
        <w:tab/>
      </w:r>
      <w:r>
        <w:rPr>
          <w:sz w:val="22"/>
        </w:rPr>
        <w:tab/>
      </w:r>
      <w:r>
        <w:rPr>
          <w:b/>
          <w:sz w:val="22"/>
        </w:rPr>
        <w:t>69</w:t>
      </w:r>
    </w:p>
    <w:p w:rsidR="00000000" w:rsidRDefault="00000000">
      <w:pPr>
        <w:tabs>
          <w:tab w:val="left" w:pos="680"/>
          <w:tab w:val="left" w:leader="dot" w:pos="8222"/>
          <w:tab w:val="right" w:pos="8789"/>
        </w:tabs>
        <w:spacing w:line="260" w:lineRule="exact"/>
        <w:ind w:left="680" w:hanging="680"/>
        <w:rPr>
          <w:sz w:val="22"/>
        </w:rPr>
      </w:pPr>
      <w:r>
        <w:rPr>
          <w:sz w:val="22"/>
        </w:rPr>
        <w:tab/>
        <w:t xml:space="preserve">Сексуальная эксплуатация и принудительное вовлечение в занятие </w:t>
      </w:r>
      <w:r>
        <w:rPr>
          <w:sz w:val="22"/>
        </w:rPr>
        <w:br/>
        <w:t>проституцией девочек и подростков</w:t>
      </w:r>
      <w:r>
        <w:rPr>
          <w:sz w:val="22"/>
        </w:rPr>
        <w:tab/>
      </w:r>
      <w:r>
        <w:rPr>
          <w:sz w:val="22"/>
        </w:rPr>
        <w:tab/>
        <w:t>69</w:t>
      </w:r>
    </w:p>
    <w:p w:rsidR="00000000" w:rsidRDefault="00000000">
      <w:pPr>
        <w:tabs>
          <w:tab w:val="left" w:pos="680"/>
          <w:tab w:val="left" w:leader="dot" w:pos="8222"/>
          <w:tab w:val="right" w:pos="8789"/>
        </w:tabs>
        <w:spacing w:before="120" w:line="260" w:lineRule="exact"/>
        <w:jc w:val="both"/>
        <w:rPr>
          <w:sz w:val="22"/>
        </w:rPr>
      </w:pPr>
    </w:p>
    <w:p w:rsidR="00000000" w:rsidRDefault="00000000">
      <w:pPr>
        <w:tabs>
          <w:tab w:val="left" w:pos="680"/>
          <w:tab w:val="left" w:leader="dot" w:pos="8222"/>
          <w:tab w:val="right" w:pos="8789"/>
        </w:tabs>
        <w:spacing w:before="120" w:line="260" w:lineRule="exact"/>
        <w:jc w:val="both"/>
        <w:rPr>
          <w:sz w:val="22"/>
        </w:rPr>
      </w:pPr>
      <w:r>
        <w:rPr>
          <w:b/>
          <w:sz w:val="22"/>
        </w:rPr>
        <w:t>Статья 7. Участие женщин в общественной и политической жизни страны</w:t>
      </w:r>
      <w:r>
        <w:rPr>
          <w:sz w:val="22"/>
        </w:rPr>
        <w:tab/>
      </w:r>
      <w:r>
        <w:rPr>
          <w:sz w:val="22"/>
        </w:rPr>
        <w:tab/>
      </w:r>
      <w:r>
        <w:rPr>
          <w:b/>
          <w:sz w:val="22"/>
        </w:rPr>
        <w:t>71</w:t>
      </w:r>
    </w:p>
    <w:p w:rsidR="00000000" w:rsidRDefault="00000000">
      <w:pPr>
        <w:tabs>
          <w:tab w:val="left" w:pos="680"/>
          <w:tab w:val="left" w:leader="dot" w:pos="8222"/>
          <w:tab w:val="right" w:pos="8789"/>
        </w:tabs>
        <w:spacing w:line="260" w:lineRule="exact"/>
        <w:jc w:val="both"/>
        <w:rPr>
          <w:sz w:val="22"/>
        </w:rPr>
      </w:pPr>
      <w:r>
        <w:rPr>
          <w:sz w:val="22"/>
        </w:rPr>
        <w:tab/>
        <w:t>Участие женщин в политической жизни.</w:t>
      </w:r>
      <w:r>
        <w:rPr>
          <w:sz w:val="22"/>
        </w:rPr>
        <w:tab/>
      </w:r>
      <w:r>
        <w:rPr>
          <w:sz w:val="22"/>
        </w:rPr>
        <w:tab/>
        <w:t>71</w:t>
      </w:r>
    </w:p>
    <w:p w:rsidR="00000000" w:rsidRDefault="00000000">
      <w:pPr>
        <w:tabs>
          <w:tab w:val="left" w:pos="680"/>
          <w:tab w:val="left" w:leader="dot" w:pos="8222"/>
          <w:tab w:val="right" w:pos="8789"/>
        </w:tabs>
        <w:spacing w:line="260" w:lineRule="exact"/>
        <w:jc w:val="both"/>
        <w:rPr>
          <w:sz w:val="22"/>
        </w:rPr>
      </w:pPr>
      <w:r>
        <w:rPr>
          <w:sz w:val="22"/>
        </w:rPr>
        <w:tab/>
        <w:t>Участие в управлении государством и доступ к государственным постам</w:t>
      </w:r>
      <w:r>
        <w:rPr>
          <w:sz w:val="22"/>
        </w:rPr>
        <w:tab/>
      </w:r>
      <w:r>
        <w:rPr>
          <w:sz w:val="22"/>
        </w:rPr>
        <w:tab/>
        <w:t>72</w:t>
      </w:r>
    </w:p>
    <w:p w:rsidR="00000000" w:rsidRDefault="00000000">
      <w:pPr>
        <w:tabs>
          <w:tab w:val="left" w:pos="680"/>
          <w:tab w:val="left" w:leader="dot" w:pos="8222"/>
          <w:tab w:val="right" w:pos="8789"/>
        </w:tabs>
        <w:spacing w:line="260" w:lineRule="exact"/>
        <w:jc w:val="both"/>
        <w:rPr>
          <w:sz w:val="22"/>
        </w:rPr>
      </w:pPr>
      <w:r>
        <w:rPr>
          <w:sz w:val="22"/>
        </w:rPr>
        <w:tab/>
        <w:t>Участие женщин в работе судебных органов</w:t>
      </w:r>
      <w:r>
        <w:rPr>
          <w:sz w:val="22"/>
        </w:rPr>
        <w:tab/>
      </w:r>
      <w:r>
        <w:rPr>
          <w:sz w:val="22"/>
        </w:rPr>
        <w:tab/>
        <w:t>83</w:t>
      </w:r>
    </w:p>
    <w:p w:rsidR="00000000" w:rsidRDefault="00000000">
      <w:pPr>
        <w:tabs>
          <w:tab w:val="left" w:pos="680"/>
          <w:tab w:val="left" w:leader="dot" w:pos="8222"/>
          <w:tab w:val="right" w:pos="8789"/>
        </w:tabs>
        <w:spacing w:line="260" w:lineRule="exact"/>
        <w:jc w:val="both"/>
        <w:rPr>
          <w:sz w:val="22"/>
        </w:rPr>
      </w:pPr>
      <w:r>
        <w:rPr>
          <w:sz w:val="22"/>
        </w:rPr>
        <w:tab/>
        <w:t>Участие женщин в деятельности Высшего избирательного трибунала.</w:t>
      </w:r>
      <w:r>
        <w:rPr>
          <w:sz w:val="22"/>
        </w:rPr>
        <w:tab/>
      </w:r>
      <w:r>
        <w:rPr>
          <w:sz w:val="22"/>
        </w:rPr>
        <w:tab/>
        <w:t>83</w:t>
      </w:r>
    </w:p>
    <w:p w:rsidR="00000000" w:rsidRDefault="00000000">
      <w:pPr>
        <w:tabs>
          <w:tab w:val="left" w:pos="680"/>
          <w:tab w:val="left" w:leader="dot" w:pos="8222"/>
          <w:tab w:val="right" w:pos="8789"/>
        </w:tabs>
        <w:spacing w:line="260" w:lineRule="exact"/>
        <w:jc w:val="both"/>
        <w:rPr>
          <w:sz w:val="22"/>
        </w:rPr>
      </w:pPr>
      <w:r>
        <w:rPr>
          <w:sz w:val="22"/>
        </w:rPr>
        <w:tab/>
        <w:t>Достижения женских движений и организаций.</w:t>
      </w:r>
      <w:r>
        <w:rPr>
          <w:sz w:val="22"/>
        </w:rPr>
        <w:tab/>
      </w:r>
      <w:r>
        <w:rPr>
          <w:sz w:val="22"/>
        </w:rPr>
        <w:tab/>
        <w:t>83</w:t>
      </w:r>
    </w:p>
    <w:p w:rsidR="00000000" w:rsidRDefault="00000000">
      <w:pPr>
        <w:tabs>
          <w:tab w:val="left" w:pos="680"/>
          <w:tab w:val="left" w:leader="dot" w:pos="8222"/>
          <w:tab w:val="right" w:pos="8789"/>
        </w:tabs>
        <w:spacing w:before="120" w:line="260" w:lineRule="exact"/>
        <w:rPr>
          <w:sz w:val="22"/>
        </w:rPr>
      </w:pPr>
    </w:p>
    <w:p w:rsidR="00000000" w:rsidRDefault="00000000">
      <w:pPr>
        <w:tabs>
          <w:tab w:val="left" w:pos="680"/>
          <w:tab w:val="left" w:leader="dot" w:pos="8222"/>
          <w:tab w:val="right" w:pos="8789"/>
        </w:tabs>
        <w:spacing w:before="120" w:line="260" w:lineRule="exact"/>
        <w:rPr>
          <w:sz w:val="22"/>
        </w:rPr>
      </w:pPr>
      <w:r>
        <w:rPr>
          <w:b/>
          <w:sz w:val="22"/>
        </w:rPr>
        <w:t xml:space="preserve">Статья 8. Представительство на международном уровне и участие в работе </w:t>
      </w:r>
      <w:r>
        <w:rPr>
          <w:b/>
          <w:sz w:val="22"/>
        </w:rPr>
        <w:br/>
        <w:t>международных организаций</w:t>
      </w:r>
      <w:r>
        <w:rPr>
          <w:sz w:val="22"/>
        </w:rPr>
        <w:tab/>
      </w:r>
      <w:r>
        <w:rPr>
          <w:sz w:val="22"/>
        </w:rPr>
        <w:tab/>
      </w:r>
      <w:r>
        <w:rPr>
          <w:b/>
          <w:sz w:val="22"/>
        </w:rPr>
        <w:t>85</w:t>
      </w:r>
    </w:p>
    <w:p w:rsidR="00000000" w:rsidRDefault="00000000">
      <w:pPr>
        <w:tabs>
          <w:tab w:val="left" w:pos="680"/>
          <w:tab w:val="left" w:leader="dot" w:pos="8222"/>
          <w:tab w:val="right" w:pos="8789"/>
        </w:tabs>
        <w:spacing w:line="260" w:lineRule="exact"/>
        <w:jc w:val="both"/>
        <w:rPr>
          <w:sz w:val="22"/>
        </w:rPr>
      </w:pPr>
      <w:r>
        <w:rPr>
          <w:sz w:val="22"/>
        </w:rPr>
        <w:tab/>
        <w:t>Участие женщин в работе дипломатических представительств</w:t>
      </w:r>
      <w:r>
        <w:rPr>
          <w:sz w:val="22"/>
        </w:rPr>
        <w:tab/>
      </w:r>
      <w:r>
        <w:rPr>
          <w:sz w:val="22"/>
        </w:rPr>
        <w:tab/>
        <w:t>85</w:t>
      </w:r>
    </w:p>
    <w:p w:rsidR="00000000" w:rsidRDefault="00000000">
      <w:pPr>
        <w:tabs>
          <w:tab w:val="left" w:pos="680"/>
          <w:tab w:val="left" w:leader="dot" w:pos="8222"/>
          <w:tab w:val="right" w:pos="8789"/>
        </w:tabs>
        <w:spacing w:line="260" w:lineRule="exact"/>
        <w:jc w:val="both"/>
        <w:rPr>
          <w:sz w:val="22"/>
        </w:rPr>
      </w:pPr>
      <w:r>
        <w:rPr>
          <w:sz w:val="22"/>
        </w:rPr>
        <w:tab/>
        <w:t>Гендерное равноправие в сфере внешней политики</w:t>
      </w:r>
      <w:r>
        <w:rPr>
          <w:sz w:val="22"/>
        </w:rPr>
        <w:tab/>
      </w:r>
      <w:r>
        <w:rPr>
          <w:sz w:val="22"/>
        </w:rPr>
        <w:tab/>
        <w:t>89</w:t>
      </w:r>
    </w:p>
    <w:p w:rsidR="00000000" w:rsidRDefault="00000000">
      <w:pPr>
        <w:tabs>
          <w:tab w:val="left" w:pos="680"/>
          <w:tab w:val="left" w:leader="dot" w:pos="8222"/>
          <w:tab w:val="right" w:pos="8789"/>
        </w:tabs>
        <w:spacing w:line="260" w:lineRule="exact"/>
        <w:ind w:left="680" w:hanging="680"/>
        <w:rPr>
          <w:sz w:val="22"/>
        </w:rPr>
      </w:pPr>
      <w:r>
        <w:rPr>
          <w:sz w:val="22"/>
        </w:rPr>
        <w:tab/>
        <w:t>Представление отчетов о выполнении международных обязательств в сфере гендерного равенства и равноправия.</w:t>
      </w:r>
      <w:r>
        <w:rPr>
          <w:sz w:val="22"/>
        </w:rPr>
        <w:tab/>
      </w:r>
      <w:r>
        <w:rPr>
          <w:sz w:val="22"/>
        </w:rPr>
        <w:tab/>
        <w:t>90</w:t>
      </w:r>
    </w:p>
    <w:p w:rsidR="00000000" w:rsidRDefault="00000000">
      <w:pPr>
        <w:tabs>
          <w:tab w:val="left" w:pos="680"/>
          <w:tab w:val="left" w:leader="dot" w:pos="8222"/>
          <w:tab w:val="right" w:pos="8789"/>
        </w:tabs>
        <w:spacing w:before="120" w:line="260" w:lineRule="exact"/>
        <w:jc w:val="both"/>
        <w:rPr>
          <w:sz w:val="22"/>
        </w:rPr>
      </w:pPr>
    </w:p>
    <w:p w:rsidR="00000000" w:rsidRDefault="00000000">
      <w:pPr>
        <w:tabs>
          <w:tab w:val="left" w:pos="680"/>
          <w:tab w:val="left" w:leader="dot" w:pos="8222"/>
          <w:tab w:val="right" w:pos="8789"/>
        </w:tabs>
        <w:spacing w:before="120" w:line="260" w:lineRule="exact"/>
        <w:jc w:val="both"/>
        <w:rPr>
          <w:sz w:val="22"/>
        </w:rPr>
      </w:pPr>
      <w:r>
        <w:rPr>
          <w:b/>
          <w:sz w:val="22"/>
        </w:rPr>
        <w:t>Статья 9. Гражданство</w:t>
      </w:r>
      <w:r>
        <w:rPr>
          <w:sz w:val="22"/>
        </w:rPr>
        <w:tab/>
      </w:r>
      <w:r>
        <w:rPr>
          <w:sz w:val="22"/>
        </w:rPr>
        <w:tab/>
      </w:r>
      <w:r>
        <w:rPr>
          <w:b/>
          <w:sz w:val="22"/>
        </w:rPr>
        <w:t>90</w:t>
      </w:r>
    </w:p>
    <w:p w:rsidR="00000000" w:rsidRDefault="00000000">
      <w:pPr>
        <w:tabs>
          <w:tab w:val="left" w:pos="680"/>
          <w:tab w:val="left" w:leader="dot" w:pos="8222"/>
          <w:tab w:val="right" w:pos="8789"/>
        </w:tabs>
        <w:spacing w:line="260" w:lineRule="exact"/>
        <w:jc w:val="both"/>
        <w:rPr>
          <w:sz w:val="22"/>
        </w:rPr>
      </w:pPr>
      <w:r>
        <w:rPr>
          <w:sz w:val="22"/>
        </w:rPr>
        <w:tab/>
        <w:t>Новые проблемы в сфере гражданства в связи с миграцией</w:t>
      </w:r>
      <w:r>
        <w:rPr>
          <w:sz w:val="22"/>
        </w:rPr>
        <w:tab/>
      </w:r>
      <w:r>
        <w:rPr>
          <w:sz w:val="22"/>
        </w:rPr>
        <w:tab/>
        <w:t>91</w:t>
      </w:r>
    </w:p>
    <w:p w:rsidR="00000000" w:rsidRDefault="00000000">
      <w:pPr>
        <w:tabs>
          <w:tab w:val="left" w:pos="680"/>
          <w:tab w:val="left" w:leader="dot" w:pos="8222"/>
          <w:tab w:val="right" w:pos="8789"/>
        </w:tabs>
        <w:spacing w:line="260" w:lineRule="exact"/>
        <w:jc w:val="both"/>
        <w:rPr>
          <w:sz w:val="22"/>
        </w:rPr>
      </w:pPr>
      <w:r>
        <w:rPr>
          <w:sz w:val="22"/>
        </w:rPr>
        <w:tab/>
        <w:t>Никарагуанские женщины-иммигранты</w:t>
      </w:r>
      <w:r>
        <w:rPr>
          <w:sz w:val="22"/>
        </w:rPr>
        <w:tab/>
      </w:r>
      <w:r>
        <w:rPr>
          <w:sz w:val="22"/>
        </w:rPr>
        <w:tab/>
        <w:t>91</w:t>
      </w:r>
    </w:p>
    <w:p w:rsidR="00000000" w:rsidRDefault="00000000">
      <w:pPr>
        <w:tabs>
          <w:tab w:val="left" w:pos="680"/>
          <w:tab w:val="left" w:leader="dot" w:pos="8222"/>
          <w:tab w:val="right" w:pos="8789"/>
        </w:tabs>
        <w:spacing w:line="260" w:lineRule="exact"/>
        <w:jc w:val="both"/>
        <w:rPr>
          <w:sz w:val="22"/>
        </w:rPr>
      </w:pPr>
    </w:p>
    <w:p w:rsidR="00000000" w:rsidRDefault="00000000">
      <w:pPr>
        <w:tabs>
          <w:tab w:val="left" w:pos="680"/>
          <w:tab w:val="left" w:leader="dot" w:pos="8222"/>
          <w:tab w:val="right" w:pos="8789"/>
        </w:tabs>
        <w:spacing w:before="120" w:line="260" w:lineRule="exact"/>
        <w:rPr>
          <w:sz w:val="22"/>
        </w:rPr>
      </w:pPr>
      <w:r>
        <w:rPr>
          <w:b/>
          <w:sz w:val="22"/>
        </w:rPr>
        <w:t>Статья 10. Равенство прав в области культуры, образования и профессиональной подготовки</w:t>
      </w:r>
      <w:r>
        <w:rPr>
          <w:sz w:val="22"/>
        </w:rPr>
        <w:tab/>
      </w:r>
      <w:r>
        <w:rPr>
          <w:sz w:val="22"/>
        </w:rPr>
        <w:tab/>
      </w:r>
      <w:r>
        <w:rPr>
          <w:b/>
          <w:sz w:val="22"/>
        </w:rPr>
        <w:t>94</w:t>
      </w:r>
    </w:p>
    <w:p w:rsidR="00000000" w:rsidRDefault="00000000">
      <w:pPr>
        <w:tabs>
          <w:tab w:val="left" w:pos="680"/>
          <w:tab w:val="left" w:leader="dot" w:pos="8222"/>
          <w:tab w:val="right" w:pos="8789"/>
        </w:tabs>
        <w:spacing w:line="260" w:lineRule="exact"/>
        <w:jc w:val="both"/>
        <w:rPr>
          <w:sz w:val="22"/>
        </w:rPr>
      </w:pPr>
      <w:r>
        <w:rPr>
          <w:sz w:val="22"/>
        </w:rPr>
        <w:tab/>
        <w:t>Доступ к получению образования и овладению профессией.</w:t>
      </w:r>
      <w:r>
        <w:rPr>
          <w:sz w:val="22"/>
        </w:rPr>
        <w:tab/>
      </w:r>
      <w:r>
        <w:rPr>
          <w:sz w:val="22"/>
        </w:rPr>
        <w:tab/>
        <w:t>95</w:t>
      </w:r>
    </w:p>
    <w:p w:rsidR="00000000" w:rsidRDefault="00000000">
      <w:pPr>
        <w:tabs>
          <w:tab w:val="left" w:pos="680"/>
          <w:tab w:val="left" w:leader="dot" w:pos="8222"/>
          <w:tab w:val="right" w:pos="8789"/>
        </w:tabs>
        <w:spacing w:line="260" w:lineRule="exact"/>
        <w:jc w:val="both"/>
        <w:rPr>
          <w:sz w:val="22"/>
        </w:rPr>
      </w:pPr>
      <w:r>
        <w:rPr>
          <w:sz w:val="22"/>
        </w:rPr>
        <w:tab/>
        <w:t>Женщины в государственных высших учебных заведениях</w:t>
      </w:r>
      <w:r>
        <w:rPr>
          <w:sz w:val="22"/>
        </w:rPr>
        <w:tab/>
      </w:r>
      <w:r>
        <w:rPr>
          <w:sz w:val="22"/>
        </w:rPr>
        <w:tab/>
        <w:t>96</w:t>
      </w:r>
    </w:p>
    <w:p w:rsidR="00000000" w:rsidRDefault="00000000">
      <w:pPr>
        <w:tabs>
          <w:tab w:val="left" w:pos="680"/>
          <w:tab w:val="left" w:leader="dot" w:pos="8222"/>
          <w:tab w:val="right" w:pos="8789"/>
        </w:tabs>
        <w:spacing w:line="260" w:lineRule="exact"/>
        <w:jc w:val="both"/>
        <w:rPr>
          <w:sz w:val="22"/>
        </w:rPr>
      </w:pPr>
      <w:r>
        <w:rPr>
          <w:sz w:val="22"/>
        </w:rPr>
        <w:tab/>
        <w:t>Гендерное равенство и равноправие в Университете Коста-Рики (УКР, 2001 год)</w:t>
      </w:r>
      <w:r>
        <w:rPr>
          <w:sz w:val="22"/>
        </w:rPr>
        <w:tab/>
        <w:t>97</w:t>
      </w:r>
    </w:p>
    <w:p w:rsidR="00000000" w:rsidRDefault="00000000">
      <w:pPr>
        <w:tabs>
          <w:tab w:val="left" w:pos="680"/>
          <w:tab w:val="left" w:leader="dot" w:pos="8222"/>
          <w:tab w:val="right" w:pos="8789"/>
        </w:tabs>
        <w:spacing w:line="260" w:lineRule="exact"/>
        <w:jc w:val="both"/>
        <w:rPr>
          <w:sz w:val="22"/>
        </w:rPr>
      </w:pPr>
    </w:p>
    <w:p w:rsidR="00000000" w:rsidRDefault="00000000">
      <w:pPr>
        <w:tabs>
          <w:tab w:val="left" w:pos="680"/>
          <w:tab w:val="left" w:leader="dot" w:pos="8222"/>
          <w:tab w:val="right" w:pos="8789"/>
        </w:tabs>
        <w:spacing w:before="120" w:line="260" w:lineRule="exact"/>
        <w:jc w:val="both"/>
        <w:rPr>
          <w:sz w:val="22"/>
        </w:rPr>
      </w:pPr>
      <w:r>
        <w:rPr>
          <w:b/>
          <w:sz w:val="22"/>
        </w:rPr>
        <w:t>Статья 11. Равный доступ к занятости</w:t>
      </w:r>
      <w:r>
        <w:rPr>
          <w:sz w:val="22"/>
        </w:rPr>
        <w:tab/>
      </w:r>
      <w:r>
        <w:rPr>
          <w:sz w:val="22"/>
        </w:rPr>
        <w:tab/>
      </w:r>
      <w:r>
        <w:rPr>
          <w:b/>
          <w:sz w:val="22"/>
        </w:rPr>
        <w:t>99</w:t>
      </w:r>
    </w:p>
    <w:p w:rsidR="00000000" w:rsidRDefault="00000000">
      <w:pPr>
        <w:tabs>
          <w:tab w:val="left" w:pos="680"/>
          <w:tab w:val="left" w:leader="dot" w:pos="8222"/>
          <w:tab w:val="right" w:pos="8789"/>
        </w:tabs>
        <w:spacing w:line="260" w:lineRule="exact"/>
        <w:ind w:left="680" w:hanging="680"/>
        <w:rPr>
          <w:sz w:val="22"/>
        </w:rPr>
      </w:pPr>
      <w:r>
        <w:rPr>
          <w:sz w:val="22"/>
        </w:rPr>
        <w:tab/>
        <w:t xml:space="preserve">Активизация участия женщин в трудовой деятельности, но на невыгодных </w:t>
      </w:r>
      <w:r>
        <w:rPr>
          <w:sz w:val="22"/>
        </w:rPr>
        <w:br/>
        <w:t xml:space="preserve">условиях </w:t>
      </w:r>
      <w:r>
        <w:rPr>
          <w:sz w:val="22"/>
        </w:rPr>
        <w:tab/>
      </w:r>
      <w:r>
        <w:rPr>
          <w:sz w:val="22"/>
        </w:rPr>
        <w:tab/>
        <w:t>101</w:t>
      </w:r>
    </w:p>
    <w:p w:rsidR="00000000" w:rsidRDefault="00000000">
      <w:pPr>
        <w:tabs>
          <w:tab w:val="left" w:pos="680"/>
          <w:tab w:val="left" w:leader="dot" w:pos="8222"/>
          <w:tab w:val="right" w:pos="8789"/>
        </w:tabs>
        <w:spacing w:line="260" w:lineRule="exact"/>
        <w:ind w:left="680" w:hanging="680"/>
        <w:rPr>
          <w:sz w:val="22"/>
        </w:rPr>
      </w:pPr>
      <w:r>
        <w:rPr>
          <w:sz w:val="22"/>
        </w:rPr>
        <w:tab/>
        <w:t>Дифференцированное участие женщин в трудовой  деятельности по отраслям экономики</w:t>
      </w:r>
      <w:r>
        <w:rPr>
          <w:sz w:val="22"/>
        </w:rPr>
        <w:tab/>
      </w:r>
      <w:r>
        <w:rPr>
          <w:sz w:val="22"/>
        </w:rPr>
        <w:tab/>
        <w:t>101</w:t>
      </w:r>
    </w:p>
    <w:p w:rsidR="00000000" w:rsidRDefault="00000000">
      <w:pPr>
        <w:tabs>
          <w:tab w:val="left" w:pos="680"/>
          <w:tab w:val="left" w:leader="dot" w:pos="8222"/>
          <w:tab w:val="right" w:pos="8789"/>
        </w:tabs>
        <w:spacing w:line="260" w:lineRule="exact"/>
        <w:jc w:val="both"/>
        <w:rPr>
          <w:sz w:val="22"/>
        </w:rPr>
      </w:pPr>
      <w:r>
        <w:rPr>
          <w:sz w:val="22"/>
        </w:rPr>
        <w:tab/>
        <w:t>Сокращение различий в заработной плате мужчин и женщин</w:t>
      </w:r>
      <w:r>
        <w:rPr>
          <w:sz w:val="22"/>
        </w:rPr>
        <w:tab/>
      </w:r>
      <w:r>
        <w:rPr>
          <w:sz w:val="22"/>
        </w:rPr>
        <w:tab/>
        <w:t>102</w:t>
      </w:r>
    </w:p>
    <w:p w:rsidR="00000000" w:rsidRDefault="00000000">
      <w:pPr>
        <w:tabs>
          <w:tab w:val="left" w:pos="680"/>
          <w:tab w:val="left" w:leader="dot" w:pos="8222"/>
          <w:tab w:val="right" w:pos="8789"/>
        </w:tabs>
        <w:spacing w:line="260" w:lineRule="exact"/>
        <w:jc w:val="both"/>
        <w:rPr>
          <w:sz w:val="22"/>
        </w:rPr>
      </w:pPr>
      <w:r>
        <w:rPr>
          <w:sz w:val="22"/>
        </w:rPr>
        <w:tab/>
        <w:t>Гендерная сегрегация с разбивкой по профессиям</w:t>
      </w:r>
      <w:r>
        <w:rPr>
          <w:sz w:val="22"/>
        </w:rPr>
        <w:tab/>
      </w:r>
      <w:r>
        <w:rPr>
          <w:sz w:val="22"/>
        </w:rPr>
        <w:tab/>
        <w:t>104</w:t>
      </w:r>
    </w:p>
    <w:p w:rsidR="00000000" w:rsidRDefault="00000000">
      <w:pPr>
        <w:tabs>
          <w:tab w:val="left" w:pos="680"/>
          <w:tab w:val="left" w:leader="dot" w:pos="8222"/>
          <w:tab w:val="right" w:pos="8789"/>
        </w:tabs>
        <w:spacing w:line="260" w:lineRule="exact"/>
        <w:ind w:left="680" w:hanging="680"/>
        <w:rPr>
          <w:sz w:val="22"/>
        </w:rPr>
      </w:pPr>
      <w:r>
        <w:rPr>
          <w:sz w:val="22"/>
        </w:rPr>
        <w:tab/>
        <w:t xml:space="preserve">Женщины занимают значительное количество должностей, требующих </w:t>
      </w:r>
      <w:r>
        <w:rPr>
          <w:sz w:val="22"/>
        </w:rPr>
        <w:br/>
        <w:t>специальной подготовки</w:t>
      </w:r>
      <w:r>
        <w:rPr>
          <w:sz w:val="22"/>
        </w:rPr>
        <w:tab/>
      </w:r>
      <w:r>
        <w:rPr>
          <w:sz w:val="22"/>
        </w:rPr>
        <w:tab/>
        <w:t>104</w:t>
      </w:r>
    </w:p>
    <w:p w:rsidR="00000000" w:rsidRDefault="00000000">
      <w:pPr>
        <w:tabs>
          <w:tab w:val="left" w:pos="680"/>
          <w:tab w:val="left" w:leader="dot" w:pos="8222"/>
          <w:tab w:val="right" w:pos="8789"/>
        </w:tabs>
        <w:spacing w:after="120" w:line="260" w:lineRule="exact"/>
        <w:jc w:val="right"/>
        <w:rPr>
          <w:i/>
          <w:caps/>
          <w:sz w:val="18"/>
        </w:rPr>
      </w:pPr>
      <w:r>
        <w:rPr>
          <w:i/>
          <w:sz w:val="18"/>
        </w:rPr>
        <w:t>Стр.</w:t>
      </w:r>
    </w:p>
    <w:p w:rsidR="00000000" w:rsidRDefault="00000000">
      <w:pPr>
        <w:tabs>
          <w:tab w:val="left" w:pos="680"/>
          <w:tab w:val="left" w:leader="dot" w:pos="8222"/>
          <w:tab w:val="right" w:pos="8789"/>
        </w:tabs>
        <w:spacing w:line="260" w:lineRule="exact"/>
        <w:jc w:val="both"/>
        <w:rPr>
          <w:sz w:val="22"/>
        </w:rPr>
      </w:pPr>
      <w:r>
        <w:rPr>
          <w:sz w:val="22"/>
        </w:rPr>
        <w:tab/>
        <w:t>Женщины – владельцы предприятий.</w:t>
      </w:r>
      <w:r>
        <w:rPr>
          <w:sz w:val="22"/>
        </w:rPr>
        <w:tab/>
      </w:r>
      <w:r>
        <w:rPr>
          <w:sz w:val="22"/>
        </w:rPr>
        <w:tab/>
        <w:t>105</w:t>
      </w:r>
    </w:p>
    <w:p w:rsidR="00000000" w:rsidRDefault="00000000">
      <w:pPr>
        <w:tabs>
          <w:tab w:val="left" w:pos="680"/>
          <w:tab w:val="left" w:leader="dot" w:pos="8222"/>
          <w:tab w:val="right" w:pos="8789"/>
        </w:tabs>
        <w:spacing w:line="260" w:lineRule="exact"/>
        <w:jc w:val="both"/>
        <w:rPr>
          <w:sz w:val="22"/>
        </w:rPr>
      </w:pPr>
      <w:r>
        <w:rPr>
          <w:sz w:val="22"/>
        </w:rPr>
        <w:tab/>
        <w:t>Женщины, работающие в неформальном секторе</w:t>
      </w:r>
      <w:r>
        <w:rPr>
          <w:sz w:val="22"/>
        </w:rPr>
        <w:tab/>
      </w:r>
      <w:r>
        <w:rPr>
          <w:sz w:val="22"/>
        </w:rPr>
        <w:tab/>
        <w:t>107</w:t>
      </w:r>
    </w:p>
    <w:p w:rsidR="00000000" w:rsidRDefault="00000000">
      <w:pPr>
        <w:tabs>
          <w:tab w:val="left" w:pos="680"/>
          <w:tab w:val="left" w:leader="dot" w:pos="8222"/>
          <w:tab w:val="right" w:pos="8789"/>
        </w:tabs>
        <w:spacing w:line="260" w:lineRule="exact"/>
        <w:jc w:val="both"/>
        <w:rPr>
          <w:sz w:val="22"/>
        </w:rPr>
      </w:pPr>
      <w:r>
        <w:rPr>
          <w:sz w:val="22"/>
        </w:rPr>
        <w:tab/>
        <w:t>Неоплачиваемый домашний труд.</w:t>
      </w:r>
      <w:r>
        <w:rPr>
          <w:sz w:val="22"/>
        </w:rPr>
        <w:tab/>
      </w:r>
      <w:r>
        <w:rPr>
          <w:sz w:val="22"/>
        </w:rPr>
        <w:tab/>
        <w:t>107</w:t>
      </w:r>
    </w:p>
    <w:p w:rsidR="00000000" w:rsidRDefault="00000000">
      <w:pPr>
        <w:tabs>
          <w:tab w:val="left" w:pos="680"/>
          <w:tab w:val="left" w:leader="dot" w:pos="8222"/>
          <w:tab w:val="right" w:pos="8789"/>
        </w:tabs>
        <w:spacing w:line="260" w:lineRule="exact"/>
        <w:jc w:val="both"/>
        <w:rPr>
          <w:sz w:val="22"/>
        </w:rPr>
      </w:pPr>
      <w:r>
        <w:rPr>
          <w:sz w:val="22"/>
        </w:rPr>
        <w:tab/>
        <w:t>Оплачиваемый домашний труд: диапазон домашних обязанностей женщин</w:t>
      </w:r>
      <w:r>
        <w:rPr>
          <w:sz w:val="22"/>
        </w:rPr>
        <w:tab/>
      </w:r>
      <w:r>
        <w:rPr>
          <w:sz w:val="22"/>
        </w:rPr>
        <w:tab/>
        <w:t>108</w:t>
      </w:r>
    </w:p>
    <w:p w:rsidR="00000000" w:rsidRDefault="00000000">
      <w:pPr>
        <w:tabs>
          <w:tab w:val="left" w:pos="680"/>
          <w:tab w:val="left" w:leader="dot" w:pos="8222"/>
          <w:tab w:val="right" w:pos="8789"/>
        </w:tabs>
        <w:spacing w:line="260" w:lineRule="exact"/>
        <w:jc w:val="both"/>
        <w:rPr>
          <w:sz w:val="22"/>
        </w:rPr>
      </w:pPr>
      <w:r>
        <w:rPr>
          <w:sz w:val="22"/>
        </w:rPr>
        <w:tab/>
        <w:t>Права в сфере трудовой деятельности</w:t>
      </w:r>
      <w:r>
        <w:rPr>
          <w:sz w:val="22"/>
        </w:rPr>
        <w:tab/>
      </w:r>
      <w:r>
        <w:rPr>
          <w:sz w:val="22"/>
        </w:rPr>
        <w:tab/>
        <w:t>109</w:t>
      </w:r>
    </w:p>
    <w:p w:rsidR="00000000" w:rsidRDefault="00000000">
      <w:pPr>
        <w:tabs>
          <w:tab w:val="left" w:pos="680"/>
          <w:tab w:val="left" w:leader="dot" w:pos="8222"/>
          <w:tab w:val="right" w:pos="8789"/>
        </w:tabs>
        <w:spacing w:line="260" w:lineRule="exact"/>
        <w:rPr>
          <w:sz w:val="22"/>
        </w:rPr>
      </w:pPr>
      <w:r>
        <w:rPr>
          <w:sz w:val="22"/>
        </w:rPr>
        <w:tab/>
        <w:t>Межведомственная комиссия по соблюдению трудовых прав женщин</w:t>
      </w:r>
      <w:r>
        <w:rPr>
          <w:sz w:val="22"/>
        </w:rPr>
        <w:tab/>
      </w:r>
      <w:r>
        <w:rPr>
          <w:sz w:val="22"/>
        </w:rPr>
        <w:tab/>
        <w:t>112</w:t>
      </w:r>
    </w:p>
    <w:p w:rsidR="00000000" w:rsidRDefault="00000000">
      <w:pPr>
        <w:tabs>
          <w:tab w:val="left" w:pos="680"/>
          <w:tab w:val="left" w:leader="dot" w:pos="8222"/>
          <w:tab w:val="right" w:pos="8789"/>
        </w:tabs>
        <w:spacing w:line="260" w:lineRule="exact"/>
        <w:jc w:val="both"/>
        <w:rPr>
          <w:sz w:val="22"/>
        </w:rPr>
      </w:pPr>
      <w:r>
        <w:rPr>
          <w:sz w:val="22"/>
        </w:rPr>
        <w:tab/>
        <w:t>Женщины, живущие в бедности.</w:t>
      </w:r>
      <w:r>
        <w:rPr>
          <w:sz w:val="22"/>
        </w:rPr>
        <w:tab/>
      </w:r>
      <w:r>
        <w:rPr>
          <w:sz w:val="22"/>
        </w:rPr>
        <w:tab/>
        <w:t>113</w:t>
      </w:r>
    </w:p>
    <w:p w:rsidR="00000000" w:rsidRDefault="00000000">
      <w:pPr>
        <w:tabs>
          <w:tab w:val="left" w:pos="680"/>
          <w:tab w:val="left" w:leader="dot" w:pos="8222"/>
          <w:tab w:val="right" w:pos="8789"/>
        </w:tabs>
        <w:spacing w:line="260" w:lineRule="exact"/>
        <w:jc w:val="both"/>
        <w:rPr>
          <w:sz w:val="22"/>
        </w:rPr>
      </w:pPr>
      <w:r>
        <w:rPr>
          <w:sz w:val="22"/>
        </w:rPr>
        <w:tab/>
        <w:t>Помощь, предоставляемая живущим в бедности женщинам</w:t>
      </w:r>
      <w:r>
        <w:rPr>
          <w:sz w:val="22"/>
        </w:rPr>
        <w:tab/>
      </w:r>
      <w:r>
        <w:rPr>
          <w:sz w:val="22"/>
        </w:rPr>
        <w:tab/>
        <w:t>116</w:t>
      </w:r>
    </w:p>
    <w:p w:rsidR="00000000" w:rsidRDefault="00000000">
      <w:pPr>
        <w:tabs>
          <w:tab w:val="left" w:pos="680"/>
          <w:tab w:val="left" w:leader="dot" w:pos="8222"/>
          <w:tab w:val="right" w:pos="8789"/>
        </w:tabs>
        <w:spacing w:line="260" w:lineRule="exact"/>
        <w:jc w:val="both"/>
        <w:rPr>
          <w:sz w:val="22"/>
        </w:rPr>
      </w:pPr>
      <w:r>
        <w:rPr>
          <w:sz w:val="22"/>
        </w:rPr>
        <w:tab/>
        <w:t>Национальная политика в отношении женщин в области труда и занятости.</w:t>
      </w:r>
      <w:r>
        <w:rPr>
          <w:sz w:val="22"/>
        </w:rPr>
        <w:tab/>
      </w:r>
      <w:r>
        <w:rPr>
          <w:sz w:val="22"/>
        </w:rPr>
        <w:tab/>
        <w:t>117</w:t>
      </w:r>
    </w:p>
    <w:p w:rsidR="00000000" w:rsidRDefault="00000000">
      <w:pPr>
        <w:tabs>
          <w:tab w:val="left" w:pos="680"/>
          <w:tab w:val="left" w:leader="dot" w:pos="8222"/>
          <w:tab w:val="right" w:pos="8789"/>
        </w:tabs>
        <w:spacing w:before="120" w:line="260" w:lineRule="exact"/>
        <w:jc w:val="both"/>
        <w:rPr>
          <w:sz w:val="22"/>
        </w:rPr>
      </w:pPr>
    </w:p>
    <w:p w:rsidR="00000000" w:rsidRDefault="00000000">
      <w:pPr>
        <w:tabs>
          <w:tab w:val="left" w:pos="680"/>
          <w:tab w:val="left" w:leader="dot" w:pos="8222"/>
          <w:tab w:val="right" w:pos="8789"/>
        </w:tabs>
        <w:spacing w:before="120" w:line="260" w:lineRule="exact"/>
        <w:jc w:val="both"/>
        <w:rPr>
          <w:sz w:val="22"/>
        </w:rPr>
      </w:pPr>
      <w:r>
        <w:rPr>
          <w:b/>
          <w:sz w:val="22"/>
        </w:rPr>
        <w:t>Статья 12. Равный доступ к медицинскому обслуживанию</w:t>
      </w:r>
      <w:r>
        <w:rPr>
          <w:sz w:val="22"/>
        </w:rPr>
        <w:tab/>
      </w:r>
      <w:r>
        <w:rPr>
          <w:sz w:val="22"/>
        </w:rPr>
        <w:tab/>
      </w:r>
      <w:r>
        <w:rPr>
          <w:b/>
          <w:sz w:val="22"/>
        </w:rPr>
        <w:t>121</w:t>
      </w:r>
    </w:p>
    <w:p w:rsidR="00000000" w:rsidRDefault="00000000">
      <w:pPr>
        <w:tabs>
          <w:tab w:val="left" w:pos="680"/>
          <w:tab w:val="left" w:leader="dot" w:pos="8222"/>
          <w:tab w:val="right" w:pos="8789"/>
        </w:tabs>
        <w:spacing w:line="260" w:lineRule="exact"/>
        <w:jc w:val="both"/>
        <w:rPr>
          <w:sz w:val="22"/>
        </w:rPr>
      </w:pPr>
      <w:r>
        <w:rPr>
          <w:sz w:val="22"/>
        </w:rPr>
        <w:tab/>
        <w:t>Равный доступ к медицинскому обслуживанию</w:t>
      </w:r>
      <w:r>
        <w:rPr>
          <w:sz w:val="22"/>
        </w:rPr>
        <w:tab/>
      </w:r>
      <w:r>
        <w:rPr>
          <w:sz w:val="22"/>
        </w:rPr>
        <w:tab/>
        <w:t>122</w:t>
      </w:r>
    </w:p>
    <w:p w:rsidR="00000000" w:rsidRDefault="00000000">
      <w:pPr>
        <w:tabs>
          <w:tab w:val="left" w:pos="680"/>
          <w:tab w:val="left" w:leader="dot" w:pos="8222"/>
          <w:tab w:val="right" w:pos="8789"/>
        </w:tabs>
        <w:spacing w:line="260" w:lineRule="exact"/>
        <w:jc w:val="both"/>
        <w:rPr>
          <w:sz w:val="22"/>
        </w:rPr>
      </w:pPr>
      <w:r>
        <w:rPr>
          <w:sz w:val="22"/>
        </w:rPr>
        <w:tab/>
        <w:t xml:space="preserve">Нормы и стандарты в сфере сексуального и репродуктивного здоровья женщин </w:t>
      </w:r>
      <w:r>
        <w:rPr>
          <w:sz w:val="22"/>
        </w:rPr>
        <w:tab/>
        <w:t>123</w:t>
      </w:r>
    </w:p>
    <w:p w:rsidR="00000000" w:rsidRDefault="00000000">
      <w:pPr>
        <w:tabs>
          <w:tab w:val="left" w:pos="680"/>
          <w:tab w:val="left" w:leader="dot" w:pos="8222"/>
          <w:tab w:val="right" w:pos="8789"/>
        </w:tabs>
        <w:spacing w:line="260" w:lineRule="exact"/>
        <w:ind w:left="680" w:hanging="680"/>
        <w:rPr>
          <w:sz w:val="22"/>
        </w:rPr>
      </w:pPr>
      <w:r>
        <w:rPr>
          <w:sz w:val="22"/>
        </w:rPr>
        <w:tab/>
        <w:t xml:space="preserve">Значение консультационной деятельности в сфере сексуального и </w:t>
      </w:r>
      <w:r>
        <w:rPr>
          <w:sz w:val="22"/>
        </w:rPr>
        <w:br/>
        <w:t>репродуктивного здоровья и прав женщин.</w:t>
      </w:r>
      <w:r>
        <w:rPr>
          <w:sz w:val="22"/>
        </w:rPr>
        <w:tab/>
      </w:r>
      <w:r>
        <w:rPr>
          <w:sz w:val="22"/>
        </w:rPr>
        <w:tab/>
        <w:t>125</w:t>
      </w:r>
    </w:p>
    <w:p w:rsidR="00000000" w:rsidRDefault="00000000">
      <w:pPr>
        <w:tabs>
          <w:tab w:val="left" w:pos="680"/>
          <w:tab w:val="left" w:leader="dot" w:pos="8222"/>
          <w:tab w:val="right" w:pos="8789"/>
        </w:tabs>
        <w:spacing w:line="260" w:lineRule="exact"/>
        <w:ind w:left="680" w:hanging="680"/>
        <w:rPr>
          <w:sz w:val="22"/>
        </w:rPr>
      </w:pPr>
      <w:r>
        <w:rPr>
          <w:sz w:val="22"/>
        </w:rPr>
        <w:tab/>
        <w:t xml:space="preserve">Приведение норм и стандартов в сфере сексуального и репродуктивного </w:t>
      </w:r>
      <w:r>
        <w:rPr>
          <w:sz w:val="22"/>
        </w:rPr>
        <w:br/>
        <w:t>здоровья в соответствие с требованиями сегодняшнего дня.</w:t>
      </w:r>
      <w:r>
        <w:rPr>
          <w:sz w:val="22"/>
        </w:rPr>
        <w:tab/>
      </w:r>
      <w:r>
        <w:rPr>
          <w:sz w:val="22"/>
        </w:rPr>
        <w:tab/>
        <w:t>127</w:t>
      </w:r>
    </w:p>
    <w:p w:rsidR="00000000" w:rsidRDefault="00000000">
      <w:pPr>
        <w:tabs>
          <w:tab w:val="left" w:pos="680"/>
          <w:tab w:val="left" w:leader="dot" w:pos="8222"/>
          <w:tab w:val="right" w:pos="8789"/>
        </w:tabs>
        <w:spacing w:line="260" w:lineRule="exact"/>
        <w:jc w:val="both"/>
        <w:rPr>
          <w:sz w:val="22"/>
        </w:rPr>
      </w:pPr>
      <w:r>
        <w:rPr>
          <w:sz w:val="22"/>
        </w:rPr>
        <w:tab/>
        <w:t>Онкологические заболевания у женщин.</w:t>
      </w:r>
      <w:r>
        <w:rPr>
          <w:sz w:val="22"/>
        </w:rPr>
        <w:tab/>
      </w:r>
      <w:r>
        <w:rPr>
          <w:sz w:val="22"/>
        </w:rPr>
        <w:tab/>
        <w:t>128</w:t>
      </w:r>
    </w:p>
    <w:p w:rsidR="00000000" w:rsidRDefault="00000000">
      <w:pPr>
        <w:tabs>
          <w:tab w:val="left" w:pos="680"/>
          <w:tab w:val="left" w:leader="dot" w:pos="8222"/>
          <w:tab w:val="right" w:pos="8789"/>
        </w:tabs>
        <w:spacing w:line="260" w:lineRule="exact"/>
        <w:jc w:val="both"/>
        <w:rPr>
          <w:sz w:val="22"/>
        </w:rPr>
      </w:pPr>
      <w:r>
        <w:rPr>
          <w:sz w:val="22"/>
        </w:rPr>
        <w:tab/>
        <w:t>Заболевания ВИЧ/СПИДом среди женщин</w:t>
      </w:r>
      <w:r>
        <w:rPr>
          <w:sz w:val="22"/>
        </w:rPr>
        <w:tab/>
      </w:r>
      <w:r>
        <w:rPr>
          <w:sz w:val="22"/>
        </w:rPr>
        <w:tab/>
        <w:t>130</w:t>
      </w:r>
    </w:p>
    <w:p w:rsidR="00000000" w:rsidRDefault="00000000">
      <w:pPr>
        <w:tabs>
          <w:tab w:val="left" w:pos="680"/>
          <w:tab w:val="left" w:leader="dot" w:pos="8222"/>
          <w:tab w:val="right" w:pos="8789"/>
        </w:tabs>
        <w:spacing w:line="260" w:lineRule="exact"/>
        <w:jc w:val="both"/>
        <w:rPr>
          <w:sz w:val="22"/>
        </w:rPr>
      </w:pPr>
      <w:r>
        <w:rPr>
          <w:sz w:val="22"/>
        </w:rPr>
        <w:tab/>
        <w:t>Психическое здоровье женщин</w:t>
      </w:r>
      <w:r>
        <w:rPr>
          <w:sz w:val="22"/>
        </w:rPr>
        <w:tab/>
      </w:r>
      <w:r>
        <w:rPr>
          <w:sz w:val="22"/>
        </w:rPr>
        <w:tab/>
        <w:t>132</w:t>
      </w:r>
    </w:p>
    <w:p w:rsidR="00000000" w:rsidRDefault="00000000">
      <w:pPr>
        <w:tabs>
          <w:tab w:val="left" w:pos="680"/>
          <w:tab w:val="left" w:leader="dot" w:pos="8222"/>
          <w:tab w:val="right" w:pos="8789"/>
        </w:tabs>
        <w:spacing w:line="260" w:lineRule="exact"/>
        <w:ind w:left="680" w:hanging="680"/>
        <w:rPr>
          <w:sz w:val="22"/>
        </w:rPr>
      </w:pPr>
      <w:r>
        <w:rPr>
          <w:sz w:val="22"/>
        </w:rPr>
        <w:tab/>
        <w:t>Отсутствие специализированных программ по оказанию медицинских услуг женщинам преклонного возраста</w:t>
      </w:r>
      <w:r>
        <w:rPr>
          <w:sz w:val="22"/>
        </w:rPr>
        <w:tab/>
      </w:r>
      <w:r>
        <w:rPr>
          <w:sz w:val="22"/>
        </w:rPr>
        <w:tab/>
        <w:t>133</w:t>
      </w:r>
    </w:p>
    <w:p w:rsidR="00000000" w:rsidRDefault="00000000">
      <w:pPr>
        <w:tabs>
          <w:tab w:val="left" w:pos="680"/>
          <w:tab w:val="left" w:leader="dot" w:pos="8222"/>
          <w:tab w:val="right" w:pos="8789"/>
        </w:tabs>
        <w:spacing w:line="260" w:lineRule="exact"/>
        <w:jc w:val="both"/>
        <w:rPr>
          <w:sz w:val="22"/>
        </w:rPr>
      </w:pPr>
      <w:r>
        <w:rPr>
          <w:sz w:val="22"/>
        </w:rPr>
        <w:tab/>
        <w:t>Доступ к системе социального обеспечения в Коста-Рике</w:t>
      </w:r>
      <w:r>
        <w:rPr>
          <w:sz w:val="22"/>
        </w:rPr>
        <w:tab/>
      </w:r>
      <w:r>
        <w:rPr>
          <w:sz w:val="22"/>
        </w:rPr>
        <w:tab/>
        <w:t>135</w:t>
      </w:r>
    </w:p>
    <w:p w:rsidR="00000000" w:rsidRDefault="00000000">
      <w:pPr>
        <w:tabs>
          <w:tab w:val="left" w:pos="680"/>
          <w:tab w:val="left" w:leader="dot" w:pos="8222"/>
          <w:tab w:val="right" w:pos="8789"/>
        </w:tabs>
        <w:spacing w:line="260" w:lineRule="exact"/>
        <w:jc w:val="both"/>
        <w:rPr>
          <w:sz w:val="22"/>
        </w:rPr>
      </w:pPr>
      <w:r>
        <w:rPr>
          <w:sz w:val="22"/>
        </w:rPr>
        <w:tab/>
        <w:t>Женская больница имени доктора Адольфо Карита "Ева"</w:t>
      </w:r>
      <w:r>
        <w:rPr>
          <w:sz w:val="22"/>
        </w:rPr>
        <w:tab/>
      </w:r>
      <w:r>
        <w:rPr>
          <w:sz w:val="22"/>
        </w:rPr>
        <w:tab/>
        <w:t>139</w:t>
      </w:r>
    </w:p>
    <w:p w:rsidR="00000000" w:rsidRDefault="00000000">
      <w:pPr>
        <w:tabs>
          <w:tab w:val="left" w:pos="680"/>
          <w:tab w:val="left" w:leader="dot" w:pos="8222"/>
          <w:tab w:val="right" w:pos="8789"/>
        </w:tabs>
        <w:spacing w:line="260" w:lineRule="exact"/>
        <w:jc w:val="both"/>
        <w:rPr>
          <w:sz w:val="22"/>
        </w:rPr>
      </w:pPr>
      <w:r>
        <w:rPr>
          <w:sz w:val="22"/>
        </w:rPr>
        <w:tab/>
        <w:t>Деятельность неправительственных организаций (НПО)</w:t>
      </w:r>
      <w:r>
        <w:rPr>
          <w:sz w:val="22"/>
        </w:rPr>
        <w:tab/>
      </w:r>
      <w:r>
        <w:rPr>
          <w:sz w:val="22"/>
        </w:rPr>
        <w:tab/>
        <w:t>143</w:t>
      </w:r>
    </w:p>
    <w:p w:rsidR="00000000" w:rsidRDefault="00000000">
      <w:pPr>
        <w:tabs>
          <w:tab w:val="left" w:pos="680"/>
          <w:tab w:val="left" w:leader="dot" w:pos="8222"/>
          <w:tab w:val="right" w:pos="8789"/>
        </w:tabs>
        <w:spacing w:line="260" w:lineRule="exact"/>
        <w:jc w:val="both"/>
        <w:rPr>
          <w:sz w:val="22"/>
        </w:rPr>
      </w:pPr>
      <w:r>
        <w:rPr>
          <w:sz w:val="22"/>
        </w:rPr>
        <w:tab/>
        <w:t>Насилие в отношении женщин</w:t>
      </w:r>
      <w:r>
        <w:rPr>
          <w:sz w:val="22"/>
        </w:rPr>
        <w:tab/>
      </w:r>
      <w:r>
        <w:rPr>
          <w:sz w:val="22"/>
        </w:rPr>
        <w:tab/>
        <w:t>143</w:t>
      </w:r>
    </w:p>
    <w:p w:rsidR="00000000" w:rsidRDefault="00000000">
      <w:pPr>
        <w:tabs>
          <w:tab w:val="left" w:pos="680"/>
          <w:tab w:val="left" w:leader="dot" w:pos="8222"/>
          <w:tab w:val="right" w:pos="8789"/>
        </w:tabs>
        <w:spacing w:line="260" w:lineRule="exact"/>
        <w:jc w:val="both"/>
        <w:rPr>
          <w:sz w:val="22"/>
        </w:rPr>
      </w:pPr>
      <w:r>
        <w:rPr>
          <w:sz w:val="22"/>
        </w:rPr>
        <w:tab/>
        <w:t>Женоубийства</w:t>
      </w:r>
      <w:r>
        <w:rPr>
          <w:sz w:val="22"/>
        </w:rPr>
        <w:tab/>
      </w:r>
      <w:r>
        <w:rPr>
          <w:sz w:val="22"/>
        </w:rPr>
        <w:tab/>
        <w:t>145</w:t>
      </w:r>
    </w:p>
    <w:p w:rsidR="00000000" w:rsidRDefault="00000000">
      <w:pPr>
        <w:tabs>
          <w:tab w:val="left" w:pos="680"/>
          <w:tab w:val="left" w:leader="dot" w:pos="8222"/>
          <w:tab w:val="right" w:pos="8789"/>
        </w:tabs>
        <w:spacing w:line="260" w:lineRule="exact"/>
        <w:jc w:val="both"/>
        <w:rPr>
          <w:sz w:val="22"/>
        </w:rPr>
      </w:pPr>
      <w:r>
        <w:rPr>
          <w:sz w:val="22"/>
        </w:rPr>
        <w:tab/>
        <w:t>Приюты для женщин: альтернативная помощь жертвам насилия</w:t>
      </w:r>
      <w:r>
        <w:rPr>
          <w:sz w:val="22"/>
        </w:rPr>
        <w:tab/>
      </w:r>
      <w:r>
        <w:rPr>
          <w:sz w:val="22"/>
        </w:rPr>
        <w:tab/>
        <w:t>146</w:t>
      </w:r>
    </w:p>
    <w:p w:rsidR="00000000" w:rsidRDefault="00000000">
      <w:pPr>
        <w:tabs>
          <w:tab w:val="left" w:pos="680"/>
          <w:tab w:val="left" w:leader="dot" w:pos="8222"/>
          <w:tab w:val="right" w:pos="8789"/>
        </w:tabs>
        <w:spacing w:line="260" w:lineRule="exact"/>
        <w:ind w:left="680" w:hanging="680"/>
        <w:rPr>
          <w:sz w:val="22"/>
        </w:rPr>
      </w:pPr>
      <w:r>
        <w:rPr>
          <w:sz w:val="22"/>
        </w:rPr>
        <w:tab/>
        <w:t xml:space="preserve">Закон о борьбе с бытовым насилием: механизм защиты от жестокого </w:t>
      </w:r>
      <w:r>
        <w:rPr>
          <w:sz w:val="22"/>
        </w:rPr>
        <w:br/>
        <w:t>обращения в семье и в отношениях партнеров</w:t>
      </w:r>
      <w:r>
        <w:rPr>
          <w:sz w:val="22"/>
        </w:rPr>
        <w:tab/>
      </w:r>
      <w:r>
        <w:rPr>
          <w:sz w:val="22"/>
        </w:rPr>
        <w:tab/>
        <w:t>147</w:t>
      </w:r>
    </w:p>
    <w:p w:rsidR="00000000" w:rsidRDefault="00000000">
      <w:pPr>
        <w:tabs>
          <w:tab w:val="left" w:pos="680"/>
          <w:tab w:val="left" w:leader="dot" w:pos="8222"/>
          <w:tab w:val="right" w:pos="8789"/>
        </w:tabs>
        <w:spacing w:line="260" w:lineRule="exact"/>
        <w:jc w:val="both"/>
        <w:rPr>
          <w:sz w:val="22"/>
        </w:rPr>
      </w:pPr>
      <w:r>
        <w:rPr>
          <w:sz w:val="22"/>
        </w:rPr>
        <w:tab/>
        <w:t>Мы нарушили молчание</w:t>
      </w:r>
      <w:r>
        <w:rPr>
          <w:sz w:val="22"/>
        </w:rPr>
        <w:tab/>
      </w:r>
      <w:r>
        <w:rPr>
          <w:sz w:val="22"/>
        </w:rPr>
        <w:tab/>
        <w:t>149</w:t>
      </w:r>
    </w:p>
    <w:p w:rsidR="00000000" w:rsidRDefault="00000000">
      <w:pPr>
        <w:tabs>
          <w:tab w:val="left" w:pos="680"/>
          <w:tab w:val="left" w:leader="dot" w:pos="8222"/>
          <w:tab w:val="right" w:pos="8789"/>
        </w:tabs>
        <w:spacing w:line="260" w:lineRule="exact"/>
        <w:ind w:left="680" w:hanging="680"/>
        <w:rPr>
          <w:sz w:val="22"/>
        </w:rPr>
      </w:pPr>
      <w:r>
        <w:rPr>
          <w:sz w:val="22"/>
        </w:rPr>
        <w:tab/>
        <w:t xml:space="preserve">Национальная система оказания помощи в случае внутрисемейного насилия и </w:t>
      </w:r>
      <w:r>
        <w:rPr>
          <w:sz w:val="22"/>
        </w:rPr>
        <w:br/>
        <w:t>его предупреждения</w:t>
      </w:r>
      <w:r>
        <w:rPr>
          <w:sz w:val="22"/>
        </w:rPr>
        <w:tab/>
      </w:r>
      <w:r>
        <w:rPr>
          <w:sz w:val="22"/>
        </w:rPr>
        <w:tab/>
        <w:t>155</w:t>
      </w:r>
    </w:p>
    <w:p w:rsidR="00000000" w:rsidRDefault="00000000">
      <w:pPr>
        <w:tabs>
          <w:tab w:val="left" w:pos="680"/>
          <w:tab w:val="left" w:leader="dot" w:pos="8222"/>
          <w:tab w:val="right" w:pos="8789"/>
        </w:tabs>
        <w:spacing w:line="260" w:lineRule="exact"/>
        <w:ind w:left="680" w:hanging="680"/>
        <w:rPr>
          <w:sz w:val="22"/>
        </w:rPr>
      </w:pPr>
      <w:r>
        <w:rPr>
          <w:sz w:val="22"/>
        </w:rPr>
        <w:tab/>
        <w:t>Сексуальное насилие, нежелательная беременность вследствие изнасилования, опасные аборты</w:t>
      </w:r>
      <w:r>
        <w:rPr>
          <w:sz w:val="22"/>
        </w:rPr>
        <w:tab/>
      </w:r>
      <w:r>
        <w:rPr>
          <w:sz w:val="22"/>
        </w:rPr>
        <w:tab/>
        <w:t>159</w:t>
      </w:r>
    </w:p>
    <w:p w:rsidR="00000000" w:rsidRDefault="00000000">
      <w:pPr>
        <w:tabs>
          <w:tab w:val="left" w:pos="680"/>
          <w:tab w:val="left" w:leader="dot" w:pos="8222"/>
          <w:tab w:val="right" w:pos="8789"/>
        </w:tabs>
        <w:spacing w:line="260" w:lineRule="exact"/>
        <w:jc w:val="both"/>
        <w:rPr>
          <w:sz w:val="22"/>
        </w:rPr>
      </w:pPr>
      <w:r>
        <w:rPr>
          <w:sz w:val="22"/>
        </w:rPr>
        <w:tab/>
        <w:t>Сексуальные домогательства по месту работы и учебы</w:t>
      </w:r>
      <w:r>
        <w:rPr>
          <w:sz w:val="22"/>
        </w:rPr>
        <w:tab/>
      </w:r>
      <w:r>
        <w:rPr>
          <w:sz w:val="22"/>
        </w:rPr>
        <w:tab/>
        <w:t>161</w:t>
      </w:r>
    </w:p>
    <w:p w:rsidR="00000000" w:rsidRDefault="00000000">
      <w:pPr>
        <w:tabs>
          <w:tab w:val="left" w:pos="680"/>
          <w:tab w:val="left" w:leader="dot" w:pos="8222"/>
          <w:tab w:val="right" w:pos="8789"/>
        </w:tabs>
        <w:spacing w:line="260" w:lineRule="exact"/>
        <w:jc w:val="both"/>
        <w:rPr>
          <w:sz w:val="22"/>
        </w:rPr>
      </w:pPr>
      <w:r>
        <w:rPr>
          <w:sz w:val="22"/>
        </w:rPr>
        <w:tab/>
        <w:t>Насилие в отношении женщин, подвергающихся наибольшей дискриминации</w:t>
      </w:r>
      <w:r>
        <w:rPr>
          <w:sz w:val="22"/>
        </w:rPr>
        <w:tab/>
      </w:r>
      <w:r>
        <w:rPr>
          <w:sz w:val="22"/>
        </w:rPr>
        <w:tab/>
        <w:t>163</w:t>
      </w:r>
    </w:p>
    <w:p w:rsidR="00000000" w:rsidRDefault="00000000">
      <w:pPr>
        <w:tabs>
          <w:tab w:val="left" w:pos="680"/>
          <w:tab w:val="left" w:leader="dot" w:pos="8222"/>
          <w:tab w:val="right" w:pos="8789"/>
        </w:tabs>
        <w:spacing w:line="260" w:lineRule="exact"/>
        <w:jc w:val="both"/>
        <w:rPr>
          <w:sz w:val="22"/>
        </w:rPr>
      </w:pPr>
      <w:r>
        <w:rPr>
          <w:sz w:val="22"/>
        </w:rPr>
        <w:tab/>
        <w:t>Институциональное насилие</w:t>
      </w:r>
      <w:r>
        <w:rPr>
          <w:sz w:val="22"/>
        </w:rPr>
        <w:tab/>
      </w:r>
      <w:r>
        <w:rPr>
          <w:sz w:val="22"/>
        </w:rPr>
        <w:tab/>
        <w:t>163</w:t>
      </w:r>
    </w:p>
    <w:p w:rsidR="00000000" w:rsidRDefault="00000000">
      <w:pPr>
        <w:tabs>
          <w:tab w:val="left" w:pos="680"/>
          <w:tab w:val="left" w:leader="dot" w:pos="8222"/>
          <w:tab w:val="right" w:pos="8789"/>
        </w:tabs>
        <w:spacing w:before="120" w:line="260" w:lineRule="exact"/>
        <w:jc w:val="both"/>
        <w:rPr>
          <w:sz w:val="22"/>
        </w:rPr>
      </w:pPr>
    </w:p>
    <w:p w:rsidR="00000000" w:rsidRDefault="00000000">
      <w:pPr>
        <w:tabs>
          <w:tab w:val="left" w:pos="680"/>
          <w:tab w:val="left" w:leader="dot" w:pos="8222"/>
          <w:tab w:val="right" w:pos="8789"/>
        </w:tabs>
        <w:spacing w:before="120" w:line="260" w:lineRule="exact"/>
        <w:jc w:val="both"/>
        <w:rPr>
          <w:sz w:val="22"/>
        </w:rPr>
      </w:pPr>
      <w:r>
        <w:rPr>
          <w:b/>
          <w:sz w:val="22"/>
        </w:rPr>
        <w:t>Статья 13. Социальные и материальные пособия</w:t>
      </w:r>
      <w:r>
        <w:rPr>
          <w:sz w:val="22"/>
        </w:rPr>
        <w:tab/>
      </w:r>
      <w:r>
        <w:rPr>
          <w:sz w:val="22"/>
        </w:rPr>
        <w:tab/>
      </w:r>
      <w:r>
        <w:rPr>
          <w:b/>
          <w:sz w:val="22"/>
        </w:rPr>
        <w:t>164</w:t>
      </w:r>
    </w:p>
    <w:p w:rsidR="00000000" w:rsidRDefault="00000000">
      <w:pPr>
        <w:tabs>
          <w:tab w:val="left" w:pos="680"/>
          <w:tab w:val="left" w:leader="dot" w:pos="8222"/>
          <w:tab w:val="right" w:pos="8789"/>
        </w:tabs>
        <w:spacing w:line="260" w:lineRule="exact"/>
        <w:ind w:left="680" w:hanging="680"/>
        <w:rPr>
          <w:sz w:val="22"/>
        </w:rPr>
      </w:pPr>
      <w:r>
        <w:rPr>
          <w:sz w:val="22"/>
        </w:rPr>
        <w:tab/>
        <w:t>Право на получение займов, ссуд под залог недвижимости и других форм финансового кредита</w:t>
      </w:r>
      <w:r>
        <w:rPr>
          <w:sz w:val="22"/>
        </w:rPr>
        <w:tab/>
      </w:r>
      <w:r>
        <w:rPr>
          <w:sz w:val="22"/>
        </w:rPr>
        <w:tab/>
        <w:t>164</w:t>
      </w:r>
    </w:p>
    <w:p w:rsidR="00000000" w:rsidRDefault="00000000">
      <w:pPr>
        <w:tabs>
          <w:tab w:val="left" w:pos="680"/>
          <w:tab w:val="left" w:leader="dot" w:pos="8222"/>
          <w:tab w:val="right" w:pos="8789"/>
        </w:tabs>
        <w:spacing w:before="120" w:line="260" w:lineRule="exact"/>
        <w:jc w:val="both"/>
        <w:rPr>
          <w:sz w:val="22"/>
        </w:rPr>
      </w:pPr>
    </w:p>
    <w:p w:rsidR="00000000" w:rsidRDefault="00000000">
      <w:pPr>
        <w:tabs>
          <w:tab w:val="left" w:pos="680"/>
          <w:tab w:val="left" w:leader="dot" w:pos="8222"/>
          <w:tab w:val="right" w:pos="8789"/>
        </w:tabs>
        <w:spacing w:after="120" w:line="260" w:lineRule="exact"/>
        <w:jc w:val="right"/>
        <w:rPr>
          <w:i/>
          <w:caps/>
          <w:sz w:val="18"/>
        </w:rPr>
      </w:pPr>
      <w:r>
        <w:rPr>
          <w:sz w:val="22"/>
        </w:rPr>
        <w:br w:type="page"/>
      </w:r>
      <w:r>
        <w:rPr>
          <w:i/>
          <w:sz w:val="18"/>
        </w:rPr>
        <w:t>Стр.</w:t>
      </w:r>
    </w:p>
    <w:p w:rsidR="00000000" w:rsidRDefault="00000000">
      <w:pPr>
        <w:tabs>
          <w:tab w:val="left" w:pos="680"/>
          <w:tab w:val="left" w:leader="dot" w:pos="8222"/>
          <w:tab w:val="right" w:pos="8789"/>
        </w:tabs>
        <w:spacing w:before="120" w:line="260" w:lineRule="exact"/>
        <w:jc w:val="both"/>
        <w:rPr>
          <w:sz w:val="22"/>
        </w:rPr>
      </w:pPr>
      <w:r>
        <w:rPr>
          <w:b/>
          <w:sz w:val="22"/>
        </w:rPr>
        <w:t>Статья 14. Женщины, проживающие в сельской местности</w:t>
      </w:r>
      <w:r>
        <w:rPr>
          <w:sz w:val="22"/>
        </w:rPr>
        <w:tab/>
      </w:r>
      <w:r>
        <w:rPr>
          <w:sz w:val="22"/>
        </w:rPr>
        <w:tab/>
      </w:r>
      <w:r>
        <w:rPr>
          <w:b/>
          <w:sz w:val="22"/>
        </w:rPr>
        <w:t>167</w:t>
      </w:r>
    </w:p>
    <w:p w:rsidR="00000000" w:rsidRDefault="00000000">
      <w:pPr>
        <w:tabs>
          <w:tab w:val="left" w:pos="680"/>
          <w:tab w:val="left" w:leader="dot" w:pos="8222"/>
          <w:tab w:val="right" w:pos="8789"/>
        </w:tabs>
        <w:spacing w:line="260" w:lineRule="exact"/>
        <w:ind w:left="680" w:hanging="680"/>
        <w:rPr>
          <w:sz w:val="22"/>
        </w:rPr>
      </w:pPr>
      <w:r>
        <w:rPr>
          <w:sz w:val="22"/>
        </w:rPr>
        <w:tab/>
        <w:t>Сельские женщины в наибольшей степени страдают от бедности</w:t>
      </w:r>
      <w:r>
        <w:rPr>
          <w:sz w:val="22"/>
        </w:rPr>
        <w:tab/>
      </w:r>
      <w:r>
        <w:rPr>
          <w:sz w:val="22"/>
        </w:rPr>
        <w:tab/>
        <w:t>168</w:t>
      </w:r>
    </w:p>
    <w:p w:rsidR="00000000" w:rsidRDefault="00000000">
      <w:pPr>
        <w:tabs>
          <w:tab w:val="left" w:pos="680"/>
          <w:tab w:val="left" w:leader="dot" w:pos="8222"/>
          <w:tab w:val="right" w:pos="8789"/>
        </w:tabs>
        <w:spacing w:line="260" w:lineRule="exact"/>
        <w:jc w:val="both"/>
        <w:rPr>
          <w:sz w:val="22"/>
        </w:rPr>
      </w:pPr>
      <w:r>
        <w:rPr>
          <w:sz w:val="22"/>
        </w:rPr>
        <w:tab/>
        <w:t>Опыт Министерства энергетики и охраны окружающей среды (МИНАЭ)</w:t>
      </w:r>
      <w:r>
        <w:rPr>
          <w:sz w:val="22"/>
        </w:rPr>
        <w:tab/>
      </w:r>
      <w:r>
        <w:rPr>
          <w:sz w:val="22"/>
        </w:rPr>
        <w:tab/>
        <w:t>175</w:t>
      </w:r>
    </w:p>
    <w:p w:rsidR="00000000" w:rsidRDefault="00000000">
      <w:pPr>
        <w:tabs>
          <w:tab w:val="left" w:pos="680"/>
          <w:tab w:val="left" w:leader="dot" w:pos="8222"/>
          <w:tab w:val="right" w:pos="8789"/>
        </w:tabs>
        <w:spacing w:before="120" w:line="260" w:lineRule="exact"/>
        <w:jc w:val="both"/>
        <w:rPr>
          <w:sz w:val="22"/>
        </w:rPr>
      </w:pPr>
    </w:p>
    <w:p w:rsidR="00000000" w:rsidRDefault="00000000">
      <w:pPr>
        <w:tabs>
          <w:tab w:val="left" w:pos="680"/>
          <w:tab w:val="left" w:leader="dot" w:pos="8222"/>
          <w:tab w:val="right" w:pos="8789"/>
        </w:tabs>
        <w:spacing w:before="120" w:line="260" w:lineRule="exact"/>
        <w:jc w:val="both"/>
        <w:rPr>
          <w:sz w:val="22"/>
        </w:rPr>
      </w:pPr>
      <w:r>
        <w:rPr>
          <w:b/>
          <w:sz w:val="22"/>
        </w:rPr>
        <w:t>Статья 15: Равенство перед законом</w:t>
      </w:r>
      <w:r>
        <w:rPr>
          <w:sz w:val="22"/>
        </w:rPr>
        <w:t xml:space="preserve"> </w:t>
      </w:r>
      <w:r>
        <w:rPr>
          <w:sz w:val="22"/>
        </w:rPr>
        <w:tab/>
      </w:r>
      <w:r>
        <w:rPr>
          <w:sz w:val="22"/>
        </w:rPr>
        <w:tab/>
      </w:r>
      <w:r>
        <w:rPr>
          <w:b/>
          <w:sz w:val="22"/>
        </w:rPr>
        <w:t>179</w:t>
      </w:r>
    </w:p>
    <w:p w:rsidR="00000000" w:rsidRDefault="00000000">
      <w:pPr>
        <w:tabs>
          <w:tab w:val="left" w:pos="680"/>
          <w:tab w:val="left" w:leader="dot" w:pos="8222"/>
          <w:tab w:val="right" w:pos="8789"/>
        </w:tabs>
        <w:spacing w:line="260" w:lineRule="exact"/>
        <w:ind w:left="680" w:hanging="680"/>
        <w:rPr>
          <w:sz w:val="22"/>
        </w:rPr>
      </w:pPr>
      <w:r>
        <w:rPr>
          <w:sz w:val="22"/>
        </w:rPr>
        <w:tab/>
        <w:t xml:space="preserve">Принятые за последние десять лет правовые документы, которые можно </w:t>
      </w:r>
      <w:r>
        <w:rPr>
          <w:sz w:val="22"/>
        </w:rPr>
        <w:br/>
        <w:t>считать достижением в области укрепления прав женщин в Коста-Рике.</w:t>
      </w:r>
      <w:r>
        <w:rPr>
          <w:sz w:val="22"/>
        </w:rPr>
        <w:tab/>
      </w:r>
      <w:r>
        <w:rPr>
          <w:sz w:val="22"/>
        </w:rPr>
        <w:tab/>
        <w:t>179</w:t>
      </w:r>
    </w:p>
    <w:p w:rsidR="00000000" w:rsidRDefault="00000000">
      <w:pPr>
        <w:tabs>
          <w:tab w:val="left" w:pos="680"/>
          <w:tab w:val="left" w:leader="dot" w:pos="8222"/>
          <w:tab w:val="right" w:pos="8789"/>
        </w:tabs>
        <w:spacing w:line="260" w:lineRule="exact"/>
        <w:jc w:val="both"/>
        <w:rPr>
          <w:sz w:val="22"/>
        </w:rPr>
      </w:pPr>
      <w:r>
        <w:rPr>
          <w:sz w:val="22"/>
        </w:rPr>
        <w:tab/>
        <w:t xml:space="preserve">Стратегия конкретизации прав женщин: специальные органы </w:t>
      </w:r>
      <w:r>
        <w:rPr>
          <w:sz w:val="22"/>
        </w:rPr>
        <w:tab/>
      </w:r>
      <w:r>
        <w:rPr>
          <w:sz w:val="22"/>
        </w:rPr>
        <w:tab/>
        <w:t>181</w:t>
      </w:r>
    </w:p>
    <w:p w:rsidR="00000000" w:rsidRDefault="00000000">
      <w:pPr>
        <w:tabs>
          <w:tab w:val="left" w:pos="680"/>
          <w:tab w:val="left" w:leader="dot" w:pos="8222"/>
          <w:tab w:val="right" w:pos="8789"/>
        </w:tabs>
        <w:spacing w:line="260" w:lineRule="exact"/>
        <w:ind w:left="680" w:hanging="680"/>
        <w:rPr>
          <w:sz w:val="22"/>
        </w:rPr>
      </w:pPr>
      <w:r>
        <w:rPr>
          <w:color w:val="000000"/>
          <w:sz w:val="22"/>
        </w:rPr>
        <w:tab/>
        <w:t xml:space="preserve">Программа в интересах женщин в области правосудия и гендерного равенства Латиноамериканского института Организации Объединенных Наций по </w:t>
      </w:r>
      <w:r>
        <w:rPr>
          <w:color w:val="000000"/>
          <w:sz w:val="22"/>
        </w:rPr>
        <w:br/>
        <w:t xml:space="preserve">вопросам предотвращения преступности и обращения с правонарушителями (ИЛАНУД) </w:t>
      </w:r>
      <w:r>
        <w:rPr>
          <w:sz w:val="22"/>
        </w:rPr>
        <w:tab/>
      </w:r>
      <w:r>
        <w:rPr>
          <w:sz w:val="22"/>
        </w:rPr>
        <w:tab/>
        <w:t>182</w:t>
      </w:r>
    </w:p>
    <w:p w:rsidR="00000000" w:rsidRDefault="00000000">
      <w:pPr>
        <w:tabs>
          <w:tab w:val="left" w:pos="680"/>
          <w:tab w:val="left" w:leader="dot" w:pos="8222"/>
          <w:tab w:val="right" w:pos="8789"/>
        </w:tabs>
        <w:spacing w:line="260" w:lineRule="exact"/>
        <w:ind w:left="680" w:hanging="680"/>
      </w:pPr>
      <w:r>
        <w:rPr>
          <w:sz w:val="22"/>
        </w:rPr>
        <w:tab/>
        <w:t xml:space="preserve">Школы и учебные центры профессиональной юридической подготовки </w:t>
      </w:r>
      <w:r>
        <w:rPr>
          <w:sz w:val="22"/>
        </w:rPr>
        <w:br/>
        <w:t>для сотрудников правоохранительных органов</w:t>
      </w:r>
      <w:r>
        <w:tab/>
      </w:r>
      <w:r>
        <w:tab/>
        <w:t>183</w:t>
      </w:r>
    </w:p>
    <w:p w:rsidR="00000000" w:rsidRDefault="00000000">
      <w:pPr>
        <w:tabs>
          <w:tab w:val="left" w:pos="680"/>
          <w:tab w:val="left" w:leader="dot" w:pos="8222"/>
          <w:tab w:val="right" w:pos="8789"/>
        </w:tabs>
        <w:spacing w:line="260" w:lineRule="exact"/>
        <w:ind w:left="680" w:hanging="680"/>
        <w:rPr>
          <w:sz w:val="22"/>
        </w:rPr>
      </w:pPr>
      <w:r>
        <w:rPr>
          <w:sz w:val="22"/>
        </w:rPr>
        <w:tab/>
        <w:t xml:space="preserve">Изучение и оценка положения в отношении дискриминации по признаку пола </w:t>
      </w:r>
      <w:r>
        <w:rPr>
          <w:sz w:val="22"/>
        </w:rPr>
        <w:br/>
        <w:t>в сфере судебной власти</w:t>
      </w:r>
      <w:r>
        <w:tab/>
      </w:r>
      <w:r>
        <w:tab/>
        <w:t>184</w:t>
      </w:r>
    </w:p>
    <w:p w:rsidR="00000000" w:rsidRDefault="00000000">
      <w:pPr>
        <w:pStyle w:val="BodyText"/>
        <w:tabs>
          <w:tab w:val="left" w:pos="680"/>
          <w:tab w:val="left" w:leader="dot" w:pos="8222"/>
          <w:tab w:val="right" w:pos="8789"/>
        </w:tabs>
        <w:spacing w:line="260" w:lineRule="exact"/>
        <w:ind w:left="680" w:hanging="680"/>
        <w:jc w:val="left"/>
        <w:rPr>
          <w:sz w:val="22"/>
        </w:rPr>
      </w:pPr>
      <w:r>
        <w:rPr>
          <w:sz w:val="22"/>
        </w:rPr>
        <w:tab/>
        <w:t>Пропагандирование курса на включение гендерной проблематики в программы профессиональной юридической подготовки</w:t>
      </w:r>
      <w:r>
        <w:rPr>
          <w:sz w:val="22"/>
        </w:rPr>
        <w:tab/>
      </w:r>
      <w:r>
        <w:rPr>
          <w:sz w:val="22"/>
        </w:rPr>
        <w:tab/>
        <w:t>184</w:t>
      </w:r>
    </w:p>
    <w:p w:rsidR="00000000" w:rsidRDefault="00000000">
      <w:pPr>
        <w:tabs>
          <w:tab w:val="left" w:pos="680"/>
          <w:tab w:val="left" w:leader="dot" w:pos="8222"/>
          <w:tab w:val="right" w:pos="8789"/>
        </w:tabs>
        <w:spacing w:line="260" w:lineRule="exact"/>
        <w:ind w:left="680" w:hanging="680"/>
      </w:pPr>
      <w:r>
        <w:rPr>
          <w:sz w:val="22"/>
        </w:rPr>
        <w:tab/>
        <w:t xml:space="preserve">Обогащение программ профессиональной юридической подготовки путем </w:t>
      </w:r>
      <w:r>
        <w:rPr>
          <w:sz w:val="22"/>
        </w:rPr>
        <w:br/>
        <w:t>включения гендерной проблематики в предмет юриспруденции</w:t>
      </w:r>
      <w:r>
        <w:tab/>
      </w:r>
      <w:r>
        <w:tab/>
        <w:t>184</w:t>
      </w:r>
    </w:p>
    <w:p w:rsidR="00000000" w:rsidRDefault="00000000">
      <w:pPr>
        <w:tabs>
          <w:tab w:val="left" w:pos="680"/>
          <w:tab w:val="left" w:leader="dot" w:pos="8222"/>
          <w:tab w:val="right" w:pos="8789"/>
        </w:tabs>
        <w:spacing w:line="260" w:lineRule="exact"/>
        <w:ind w:left="680" w:hanging="680"/>
        <w:rPr>
          <w:sz w:val="22"/>
        </w:rPr>
      </w:pPr>
      <w:r>
        <w:rPr>
          <w:sz w:val="22"/>
        </w:rPr>
        <w:tab/>
        <w:t xml:space="preserve">Совершенствование правовой базы, основывающейся на теории правоведения </w:t>
      </w:r>
      <w:r>
        <w:rPr>
          <w:sz w:val="22"/>
        </w:rPr>
        <w:br/>
        <w:t xml:space="preserve">и законодательстве, путем включения гендерного аспекта в целях обеспечения </w:t>
      </w:r>
      <w:r>
        <w:rPr>
          <w:sz w:val="22"/>
        </w:rPr>
        <w:br/>
        <w:t>веской аргументации при вынесении судебных решений</w:t>
      </w:r>
      <w:r>
        <w:tab/>
      </w:r>
      <w:r>
        <w:tab/>
        <w:t>184</w:t>
      </w:r>
    </w:p>
    <w:p w:rsidR="00000000" w:rsidRDefault="00000000">
      <w:pPr>
        <w:tabs>
          <w:tab w:val="left" w:pos="680"/>
          <w:tab w:val="left" w:leader="dot" w:pos="8222"/>
          <w:tab w:val="right" w:pos="8789"/>
        </w:tabs>
        <w:spacing w:line="260" w:lineRule="exact"/>
        <w:ind w:left="680" w:hanging="680"/>
        <w:rPr>
          <w:sz w:val="22"/>
        </w:rPr>
      </w:pPr>
      <w:r>
        <w:rPr>
          <w:sz w:val="22"/>
        </w:rPr>
        <w:tab/>
        <w:t xml:space="preserve">Подготовка, переработка или упразднение законов с целью учета гендерных </w:t>
      </w:r>
      <w:r>
        <w:rPr>
          <w:sz w:val="22"/>
        </w:rPr>
        <w:br/>
        <w:t xml:space="preserve">аспектов, упрощения судебных процедур и обеспечения на основе </w:t>
      </w:r>
      <w:r>
        <w:rPr>
          <w:sz w:val="22"/>
        </w:rPr>
        <w:br/>
        <w:t>практического опыта судебных органов выполнения международно-правовых документов по правам женщин</w:t>
      </w:r>
      <w:r>
        <w:tab/>
      </w:r>
      <w:r>
        <w:tab/>
        <w:t>185</w:t>
      </w:r>
    </w:p>
    <w:p w:rsidR="00000000" w:rsidRDefault="00000000">
      <w:pPr>
        <w:tabs>
          <w:tab w:val="left" w:pos="680"/>
          <w:tab w:val="left" w:leader="dot" w:pos="8222"/>
          <w:tab w:val="right" w:pos="8789"/>
        </w:tabs>
        <w:spacing w:line="260" w:lineRule="exact"/>
      </w:pPr>
      <w:r>
        <w:rPr>
          <w:sz w:val="22"/>
        </w:rPr>
        <w:tab/>
        <w:t>Расширение прав жертв насилия на судебных процессах</w:t>
      </w:r>
      <w:r>
        <w:tab/>
      </w:r>
      <w:r>
        <w:tab/>
        <w:t>185</w:t>
      </w:r>
    </w:p>
    <w:p w:rsidR="00000000" w:rsidRDefault="00000000">
      <w:pPr>
        <w:tabs>
          <w:tab w:val="left" w:pos="680"/>
          <w:tab w:val="left" w:leader="dot" w:pos="8222"/>
          <w:tab w:val="right" w:pos="8789"/>
        </w:tabs>
        <w:spacing w:line="260" w:lineRule="exact"/>
        <w:ind w:left="680" w:hanging="680"/>
        <w:rPr>
          <w:sz w:val="22"/>
        </w:rPr>
      </w:pPr>
      <w:r>
        <w:rPr>
          <w:sz w:val="22"/>
        </w:rPr>
        <w:tab/>
        <w:t xml:space="preserve">Включение гендерных аспектов в работу правительственных, </w:t>
      </w:r>
      <w:r>
        <w:rPr>
          <w:sz w:val="22"/>
        </w:rPr>
        <w:br/>
        <w:t>межправительственных и неправительственных организаций</w:t>
      </w:r>
      <w:r>
        <w:tab/>
      </w:r>
      <w:r>
        <w:tab/>
        <w:t>185</w:t>
      </w:r>
    </w:p>
    <w:p w:rsidR="00000000" w:rsidRDefault="00000000">
      <w:pPr>
        <w:tabs>
          <w:tab w:val="left" w:pos="680"/>
          <w:tab w:val="left" w:leader="dot" w:pos="8222"/>
          <w:tab w:val="right" w:pos="8789"/>
        </w:tabs>
        <w:spacing w:before="120" w:line="260" w:lineRule="exact"/>
        <w:jc w:val="both"/>
        <w:rPr>
          <w:sz w:val="22"/>
        </w:rPr>
      </w:pPr>
    </w:p>
    <w:p w:rsidR="00000000" w:rsidRDefault="00000000">
      <w:pPr>
        <w:tabs>
          <w:tab w:val="left" w:pos="680"/>
          <w:tab w:val="left" w:leader="dot" w:pos="8222"/>
          <w:tab w:val="right" w:pos="8789"/>
        </w:tabs>
        <w:spacing w:before="120" w:line="260" w:lineRule="exact"/>
        <w:jc w:val="both"/>
        <w:rPr>
          <w:sz w:val="22"/>
        </w:rPr>
      </w:pPr>
      <w:r>
        <w:rPr>
          <w:b/>
          <w:sz w:val="22"/>
        </w:rPr>
        <w:t>Статья 16. Права женщин в вопросах брака и семьи</w:t>
      </w:r>
      <w:r>
        <w:rPr>
          <w:sz w:val="22"/>
        </w:rPr>
        <w:tab/>
      </w:r>
      <w:r>
        <w:rPr>
          <w:sz w:val="22"/>
        </w:rPr>
        <w:tab/>
      </w:r>
      <w:r>
        <w:rPr>
          <w:b/>
          <w:sz w:val="22"/>
        </w:rPr>
        <w:t>186</w:t>
      </w:r>
    </w:p>
    <w:p w:rsidR="00000000" w:rsidRDefault="00000000">
      <w:pPr>
        <w:tabs>
          <w:tab w:val="left" w:pos="680"/>
          <w:tab w:val="left" w:leader="dot" w:pos="8222"/>
          <w:tab w:val="right" w:pos="8789"/>
        </w:tabs>
        <w:spacing w:line="260" w:lineRule="exact"/>
        <w:jc w:val="both"/>
        <w:rPr>
          <w:sz w:val="22"/>
        </w:rPr>
      </w:pPr>
      <w:r>
        <w:rPr>
          <w:sz w:val="22"/>
        </w:rPr>
        <w:tab/>
        <w:t>Закон об ответственном отцовстве</w:t>
      </w:r>
      <w:r>
        <w:rPr>
          <w:sz w:val="22"/>
        </w:rPr>
        <w:tab/>
      </w:r>
      <w:r>
        <w:rPr>
          <w:sz w:val="22"/>
        </w:rPr>
        <w:tab/>
        <w:t>187</w:t>
      </w:r>
    </w:p>
    <w:p w:rsidR="00000000" w:rsidRDefault="00000000">
      <w:pPr>
        <w:tabs>
          <w:tab w:val="left" w:pos="680"/>
          <w:tab w:val="left" w:leader="dot" w:pos="8222"/>
          <w:tab w:val="right" w:pos="8789"/>
        </w:tabs>
        <w:spacing w:before="120" w:line="260" w:lineRule="exact"/>
        <w:rPr>
          <w:caps/>
          <w:sz w:val="22"/>
        </w:rPr>
      </w:pPr>
    </w:p>
    <w:p w:rsidR="00000000" w:rsidRDefault="00000000">
      <w:pPr>
        <w:tabs>
          <w:tab w:val="left" w:pos="680"/>
          <w:tab w:val="left" w:leader="dot" w:pos="8222"/>
          <w:tab w:val="right" w:pos="8789"/>
        </w:tabs>
        <w:spacing w:before="120" w:line="260" w:lineRule="exact"/>
        <w:rPr>
          <w:caps/>
          <w:sz w:val="22"/>
        </w:rPr>
      </w:pPr>
      <w:r>
        <w:rPr>
          <w:b/>
          <w:caps/>
          <w:sz w:val="22"/>
        </w:rPr>
        <w:t xml:space="preserve">Часть </w:t>
      </w:r>
      <w:r>
        <w:rPr>
          <w:b/>
          <w:caps/>
          <w:sz w:val="22"/>
          <w:lang w:val="es-ES"/>
        </w:rPr>
        <w:t>III</w:t>
      </w:r>
      <w:r>
        <w:rPr>
          <w:b/>
          <w:caps/>
          <w:sz w:val="22"/>
        </w:rPr>
        <w:t xml:space="preserve">. Успехи, трудности и задачи в процессе выполнения положений Конвенции о ликвидации всех форм </w:t>
      </w:r>
      <w:r>
        <w:rPr>
          <w:b/>
          <w:caps/>
          <w:sz w:val="22"/>
        </w:rPr>
        <w:br/>
        <w:t>дискриминации в отношении женщин</w:t>
      </w:r>
      <w:r>
        <w:rPr>
          <w:caps/>
          <w:sz w:val="22"/>
        </w:rPr>
        <w:tab/>
      </w:r>
      <w:r>
        <w:rPr>
          <w:caps/>
          <w:sz w:val="22"/>
        </w:rPr>
        <w:tab/>
      </w:r>
      <w:r>
        <w:rPr>
          <w:b/>
          <w:caps/>
          <w:sz w:val="22"/>
        </w:rPr>
        <w:t>189</w:t>
      </w:r>
    </w:p>
    <w:p w:rsidR="00000000" w:rsidRDefault="00000000">
      <w:pPr>
        <w:tabs>
          <w:tab w:val="left" w:pos="680"/>
          <w:tab w:val="left" w:leader="dot" w:pos="8222"/>
          <w:tab w:val="right" w:pos="8789"/>
        </w:tabs>
        <w:spacing w:before="120" w:line="260" w:lineRule="exact"/>
        <w:rPr>
          <w:caps/>
          <w:sz w:val="22"/>
        </w:rPr>
      </w:pPr>
    </w:p>
    <w:p w:rsidR="00000000" w:rsidRDefault="00000000">
      <w:pPr>
        <w:tabs>
          <w:tab w:val="left" w:pos="680"/>
          <w:tab w:val="left" w:leader="dot" w:pos="8222"/>
          <w:tab w:val="right" w:pos="8789"/>
        </w:tabs>
        <w:spacing w:line="260" w:lineRule="exact"/>
        <w:jc w:val="both"/>
        <w:rPr>
          <w:sz w:val="22"/>
        </w:rPr>
      </w:pPr>
      <w:r>
        <w:rPr>
          <w:sz w:val="22"/>
        </w:rPr>
        <w:tab/>
      </w:r>
      <w:r>
        <w:rPr>
          <w:b/>
          <w:sz w:val="22"/>
        </w:rPr>
        <w:t>Библиография</w:t>
      </w:r>
      <w:r>
        <w:rPr>
          <w:sz w:val="22"/>
        </w:rPr>
        <w:tab/>
      </w:r>
      <w:r>
        <w:rPr>
          <w:sz w:val="22"/>
        </w:rPr>
        <w:tab/>
      </w:r>
      <w:r>
        <w:rPr>
          <w:b/>
          <w:sz w:val="22"/>
        </w:rPr>
        <w:t>211</w:t>
      </w:r>
    </w:p>
    <w:p w:rsidR="00000000" w:rsidRDefault="00000000">
      <w:pPr>
        <w:tabs>
          <w:tab w:val="left" w:pos="680"/>
          <w:tab w:val="left" w:leader="dot" w:pos="8222"/>
          <w:tab w:val="right" w:pos="8789"/>
        </w:tabs>
        <w:spacing w:line="260" w:lineRule="exact"/>
        <w:jc w:val="both"/>
        <w:rPr>
          <w:sz w:val="22"/>
        </w:rPr>
      </w:pPr>
    </w:p>
    <w:p w:rsidR="00000000" w:rsidRDefault="00000000">
      <w:pPr>
        <w:tabs>
          <w:tab w:val="left" w:pos="680"/>
          <w:tab w:val="left" w:leader="dot" w:pos="8222"/>
          <w:tab w:val="right" w:pos="8789"/>
        </w:tabs>
        <w:spacing w:line="260" w:lineRule="exact"/>
        <w:jc w:val="both"/>
        <w:rPr>
          <w:sz w:val="22"/>
        </w:rPr>
      </w:pPr>
      <w:r>
        <w:rPr>
          <w:sz w:val="22"/>
        </w:rPr>
        <w:tab/>
      </w:r>
      <w:r>
        <w:rPr>
          <w:b/>
          <w:sz w:val="22"/>
        </w:rPr>
        <w:t>Приложения</w:t>
      </w:r>
      <w:r>
        <w:rPr>
          <w:sz w:val="22"/>
        </w:rPr>
        <w:tab/>
      </w:r>
      <w:r>
        <w:rPr>
          <w:sz w:val="22"/>
        </w:rPr>
        <w:tab/>
      </w:r>
      <w:r>
        <w:rPr>
          <w:b/>
          <w:sz w:val="22"/>
        </w:rPr>
        <w:t>224</w:t>
      </w:r>
    </w:p>
    <w:p w:rsidR="00000000" w:rsidRDefault="00000000">
      <w:pPr>
        <w:tabs>
          <w:tab w:val="left" w:pos="680"/>
          <w:tab w:val="left" w:leader="dot" w:pos="8222"/>
          <w:tab w:val="right" w:pos="8789"/>
        </w:tabs>
        <w:spacing w:before="120" w:line="260" w:lineRule="exact"/>
        <w:jc w:val="both"/>
        <w:rPr>
          <w:sz w:val="22"/>
        </w:rPr>
      </w:pPr>
    </w:p>
    <w:p w:rsidR="00000000" w:rsidRDefault="00000000">
      <w:pPr>
        <w:tabs>
          <w:tab w:val="left" w:pos="680"/>
          <w:tab w:val="left" w:leader="dot" w:pos="8222"/>
          <w:tab w:val="right" w:pos="8789"/>
        </w:tabs>
        <w:spacing w:before="120" w:line="260" w:lineRule="exact"/>
        <w:jc w:val="both"/>
        <w:rPr>
          <w:sz w:val="22"/>
        </w:rPr>
      </w:pPr>
    </w:p>
    <w:p w:rsidR="00000000" w:rsidRDefault="00000000">
      <w:pPr>
        <w:pStyle w:val="Heading3"/>
        <w:tabs>
          <w:tab w:val="left" w:leader="dot" w:pos="8222"/>
          <w:tab w:val="right" w:pos="8789"/>
        </w:tabs>
        <w:spacing w:before="120"/>
        <w:jc w:val="center"/>
        <w:rPr>
          <w:caps/>
          <w:sz w:val="24"/>
        </w:rPr>
      </w:pPr>
      <w:r>
        <w:rPr>
          <w:caps/>
          <w:sz w:val="24"/>
        </w:rPr>
        <w:t>ПЕРЕЧЕНь диаграмм</w:t>
      </w:r>
    </w:p>
    <w:p w:rsidR="00000000" w:rsidRDefault="00000000">
      <w:pPr>
        <w:tabs>
          <w:tab w:val="left" w:pos="680"/>
          <w:tab w:val="left" w:leader="dot" w:pos="8222"/>
          <w:tab w:val="right" w:pos="8789"/>
        </w:tabs>
        <w:spacing w:before="120" w:line="260" w:lineRule="exact"/>
        <w:jc w:val="right"/>
        <w:rPr>
          <w:i/>
          <w:sz w:val="18"/>
        </w:rPr>
      </w:pPr>
      <w:r>
        <w:rPr>
          <w:sz w:val="22"/>
        </w:rPr>
        <w:tab/>
      </w:r>
      <w:r>
        <w:rPr>
          <w:i/>
          <w:sz w:val="18"/>
        </w:rPr>
        <w:t>Стр.</w:t>
      </w:r>
    </w:p>
    <w:p w:rsidR="00000000" w:rsidRDefault="00000000">
      <w:pPr>
        <w:tabs>
          <w:tab w:val="left" w:pos="680"/>
          <w:tab w:val="left" w:leader="dot" w:pos="8222"/>
          <w:tab w:val="right" w:pos="8789"/>
        </w:tabs>
        <w:spacing w:before="120" w:line="260" w:lineRule="exact"/>
        <w:rPr>
          <w:sz w:val="22"/>
        </w:rPr>
      </w:pPr>
      <w:r>
        <w:rPr>
          <w:sz w:val="22"/>
        </w:rPr>
        <w:t xml:space="preserve">Диаграмма 1. Продолжительность предстоящей жизни при рождении, в разбивке </w:t>
      </w:r>
      <w:r>
        <w:rPr>
          <w:sz w:val="22"/>
        </w:rPr>
        <w:br/>
        <w:t>по полу. Коста-Рика, 1990–2000 годы</w:t>
      </w:r>
      <w:r>
        <w:rPr>
          <w:sz w:val="22"/>
        </w:rPr>
        <w:tab/>
      </w:r>
      <w:r>
        <w:rPr>
          <w:sz w:val="22"/>
        </w:rPr>
        <w:tab/>
        <w:t>11</w:t>
      </w:r>
    </w:p>
    <w:p w:rsidR="00000000" w:rsidRDefault="00000000">
      <w:pPr>
        <w:tabs>
          <w:tab w:val="left" w:pos="680"/>
          <w:tab w:val="left" w:leader="dot" w:pos="8222"/>
          <w:tab w:val="right" w:pos="8789"/>
        </w:tabs>
        <w:spacing w:before="120" w:line="260" w:lineRule="exact"/>
        <w:rPr>
          <w:sz w:val="22"/>
        </w:rPr>
      </w:pPr>
      <w:r>
        <w:rPr>
          <w:sz w:val="22"/>
        </w:rPr>
        <w:t xml:space="preserve">Диаграмма  2. Число женщин на должностях, требующих специальной подготовки, </w:t>
      </w:r>
      <w:r>
        <w:rPr>
          <w:sz w:val="22"/>
        </w:rPr>
        <w:br/>
        <w:t>по институциональным секторам, 1999 год</w:t>
      </w:r>
      <w:r>
        <w:rPr>
          <w:sz w:val="22"/>
        </w:rPr>
        <w:tab/>
      </w:r>
      <w:r>
        <w:rPr>
          <w:sz w:val="22"/>
        </w:rPr>
        <w:tab/>
        <w:t>105</w:t>
      </w:r>
    </w:p>
    <w:p w:rsidR="00000000" w:rsidRDefault="00000000">
      <w:pPr>
        <w:tabs>
          <w:tab w:val="left" w:pos="680"/>
          <w:tab w:val="left" w:leader="dot" w:pos="8222"/>
          <w:tab w:val="right" w:pos="8789"/>
        </w:tabs>
        <w:spacing w:before="120" w:line="260" w:lineRule="exact"/>
        <w:rPr>
          <w:sz w:val="22"/>
        </w:rPr>
      </w:pPr>
      <w:r>
        <w:rPr>
          <w:sz w:val="22"/>
        </w:rPr>
        <w:t xml:space="preserve">Диаграмма  3. Изменение числа женщин – владельцев предприятий по секторам </w:t>
      </w:r>
      <w:r>
        <w:rPr>
          <w:sz w:val="22"/>
        </w:rPr>
        <w:br/>
        <w:t>экономической деятельности, 1990–1999 годы</w:t>
      </w:r>
      <w:r>
        <w:rPr>
          <w:sz w:val="22"/>
        </w:rPr>
        <w:tab/>
      </w:r>
      <w:r>
        <w:rPr>
          <w:sz w:val="22"/>
        </w:rPr>
        <w:tab/>
        <w:t>106</w:t>
      </w:r>
    </w:p>
    <w:p w:rsidR="00000000" w:rsidRDefault="00000000">
      <w:pPr>
        <w:tabs>
          <w:tab w:val="left" w:pos="680"/>
          <w:tab w:val="left" w:leader="dot" w:pos="8222"/>
          <w:tab w:val="right" w:pos="8789"/>
        </w:tabs>
        <w:spacing w:before="120" w:line="260" w:lineRule="exact"/>
        <w:rPr>
          <w:sz w:val="22"/>
        </w:rPr>
      </w:pPr>
      <w:r>
        <w:rPr>
          <w:sz w:val="22"/>
        </w:rPr>
        <w:t xml:space="preserve">Диаграмма 4.  Процент бедных семей с разбивкой по полу главы семьи, 1990–1999 годы </w:t>
      </w:r>
      <w:r>
        <w:rPr>
          <w:sz w:val="22"/>
        </w:rPr>
        <w:tab/>
        <w:t>114</w:t>
      </w:r>
    </w:p>
    <w:p w:rsidR="00000000" w:rsidRDefault="00000000">
      <w:pPr>
        <w:tabs>
          <w:tab w:val="left" w:pos="680"/>
          <w:tab w:val="left" w:leader="dot" w:pos="8222"/>
          <w:tab w:val="right" w:pos="8789"/>
        </w:tabs>
        <w:spacing w:before="120" w:line="260" w:lineRule="exact"/>
        <w:jc w:val="both"/>
        <w:rPr>
          <w:sz w:val="22"/>
        </w:rPr>
      </w:pPr>
    </w:p>
    <w:p w:rsidR="00000000" w:rsidRDefault="00000000">
      <w:pPr>
        <w:tabs>
          <w:tab w:val="left" w:pos="680"/>
          <w:tab w:val="left" w:leader="dot" w:pos="8222"/>
          <w:tab w:val="right" w:pos="8789"/>
        </w:tabs>
        <w:spacing w:before="120" w:line="260" w:lineRule="exact"/>
        <w:jc w:val="both"/>
        <w:rPr>
          <w:sz w:val="22"/>
        </w:rPr>
      </w:pPr>
    </w:p>
    <w:p w:rsidR="00000000" w:rsidRDefault="00000000">
      <w:pPr>
        <w:pStyle w:val="Heading3"/>
        <w:tabs>
          <w:tab w:val="left" w:leader="dot" w:pos="8222"/>
          <w:tab w:val="right" w:pos="8789"/>
        </w:tabs>
        <w:spacing w:before="0"/>
        <w:jc w:val="center"/>
        <w:rPr>
          <w:caps/>
          <w:sz w:val="24"/>
        </w:rPr>
      </w:pPr>
      <w:r>
        <w:rPr>
          <w:caps/>
          <w:sz w:val="24"/>
        </w:rPr>
        <w:t>ПЕРЕЧЕНь таблиц</w:t>
      </w:r>
    </w:p>
    <w:p w:rsidR="00000000" w:rsidRDefault="00000000">
      <w:pPr>
        <w:pStyle w:val="TOC1"/>
      </w:pPr>
      <w:r>
        <w:tab/>
        <w:t>Стр.</w:t>
      </w:r>
    </w:p>
    <w:p w:rsidR="00000000" w:rsidRDefault="00000000">
      <w:pPr>
        <w:tabs>
          <w:tab w:val="left" w:leader="dot" w:pos="8222"/>
          <w:tab w:val="right" w:pos="8789"/>
        </w:tabs>
        <w:rPr>
          <w:sz w:val="22"/>
        </w:rPr>
      </w:pPr>
      <w:r>
        <w:rPr>
          <w:sz w:val="22"/>
        </w:rPr>
        <w:t xml:space="preserve">Таблица 1. Изменения, внесенные в основные и специальные законы </w:t>
      </w:r>
      <w:r>
        <w:rPr>
          <w:sz w:val="22"/>
        </w:rPr>
        <w:br/>
        <w:t xml:space="preserve">и утвержденные Законодательным собранием Коста-Рики с 1 марта 1998 года по </w:t>
      </w:r>
      <w:r>
        <w:rPr>
          <w:sz w:val="22"/>
        </w:rPr>
        <w:br/>
        <w:t>28 февраля 2002 года</w:t>
      </w:r>
      <w:r>
        <w:rPr>
          <w:sz w:val="22"/>
        </w:rPr>
        <w:tab/>
      </w:r>
      <w:r>
        <w:rPr>
          <w:sz w:val="22"/>
        </w:rPr>
        <w:tab/>
        <w:t>30</w:t>
      </w:r>
    </w:p>
    <w:p w:rsidR="00000000" w:rsidRDefault="00000000">
      <w:pPr>
        <w:tabs>
          <w:tab w:val="left" w:pos="680"/>
          <w:tab w:val="left" w:leader="dot" w:pos="8222"/>
          <w:tab w:val="right" w:pos="8789"/>
        </w:tabs>
        <w:spacing w:before="120" w:line="260" w:lineRule="exact"/>
        <w:jc w:val="both"/>
        <w:rPr>
          <w:sz w:val="22"/>
        </w:rPr>
      </w:pPr>
      <w:r>
        <w:rPr>
          <w:sz w:val="22"/>
        </w:rPr>
        <w:t>Таблица 2. Назначение женщин на государственные должности, 2002–2006 годы</w:t>
      </w:r>
      <w:r>
        <w:rPr>
          <w:sz w:val="22"/>
        </w:rPr>
        <w:tab/>
      </w:r>
      <w:r>
        <w:rPr>
          <w:sz w:val="22"/>
        </w:rPr>
        <w:tab/>
        <w:t>73</w:t>
      </w:r>
    </w:p>
    <w:p w:rsidR="00000000" w:rsidRDefault="00000000">
      <w:pPr>
        <w:tabs>
          <w:tab w:val="left" w:pos="680"/>
          <w:tab w:val="left" w:leader="dot" w:pos="8222"/>
          <w:tab w:val="right" w:pos="8789"/>
        </w:tabs>
        <w:spacing w:before="120" w:line="260" w:lineRule="exact"/>
        <w:jc w:val="both"/>
        <w:rPr>
          <w:sz w:val="22"/>
        </w:rPr>
      </w:pPr>
      <w:r>
        <w:rPr>
          <w:sz w:val="22"/>
        </w:rPr>
        <w:t>Таблица 3. Женщины в Законодательном собрании, 1958–2006 годы</w:t>
      </w:r>
      <w:r>
        <w:rPr>
          <w:sz w:val="22"/>
        </w:rPr>
        <w:tab/>
      </w:r>
      <w:r>
        <w:rPr>
          <w:sz w:val="22"/>
        </w:rPr>
        <w:tab/>
        <w:t>73</w:t>
      </w:r>
    </w:p>
    <w:p w:rsidR="00000000" w:rsidRDefault="00000000">
      <w:pPr>
        <w:tabs>
          <w:tab w:val="left" w:pos="680"/>
          <w:tab w:val="left" w:leader="dot" w:pos="8222"/>
          <w:tab w:val="right" w:pos="8789"/>
        </w:tabs>
        <w:spacing w:before="120" w:line="260" w:lineRule="exact"/>
        <w:rPr>
          <w:sz w:val="22"/>
        </w:rPr>
      </w:pPr>
      <w:r>
        <w:rPr>
          <w:sz w:val="22"/>
        </w:rPr>
        <w:t>Таблица 4. Участие в выборах кандидатов мужчин и женщин (по месту в избирательных бюллетенях во время предвыборных кампаний 2002–2006 годов)</w:t>
      </w:r>
      <w:r>
        <w:rPr>
          <w:sz w:val="22"/>
        </w:rPr>
        <w:tab/>
      </w:r>
      <w:r>
        <w:rPr>
          <w:sz w:val="22"/>
        </w:rPr>
        <w:tab/>
        <w:t>75</w:t>
      </w:r>
    </w:p>
    <w:p w:rsidR="00000000" w:rsidRDefault="00000000">
      <w:pPr>
        <w:tabs>
          <w:tab w:val="left" w:pos="680"/>
          <w:tab w:val="left" w:leader="dot" w:pos="8222"/>
          <w:tab w:val="right" w:pos="8789"/>
        </w:tabs>
        <w:spacing w:before="120" w:line="260" w:lineRule="exact"/>
        <w:rPr>
          <w:sz w:val="22"/>
        </w:rPr>
      </w:pPr>
      <w:r>
        <w:rPr>
          <w:sz w:val="22"/>
        </w:rPr>
        <w:t xml:space="preserve">Таблица 5. Количество избирательных списков, в отношении которых вынесено предупреждение о невыполнении решения о 40-процентной минимальной квоте </w:t>
      </w:r>
      <w:r>
        <w:rPr>
          <w:sz w:val="22"/>
        </w:rPr>
        <w:br/>
        <w:t>для женщин, в избирательных кампаниях 2002–2006 годов</w:t>
      </w:r>
      <w:r>
        <w:rPr>
          <w:sz w:val="22"/>
        </w:rPr>
        <w:tab/>
      </w:r>
      <w:r>
        <w:rPr>
          <w:sz w:val="22"/>
        </w:rPr>
        <w:tab/>
        <w:t>76</w:t>
      </w:r>
    </w:p>
    <w:p w:rsidR="00000000" w:rsidRDefault="00000000">
      <w:pPr>
        <w:tabs>
          <w:tab w:val="left" w:pos="680"/>
          <w:tab w:val="left" w:leader="dot" w:pos="8222"/>
          <w:tab w:val="right" w:pos="8789"/>
        </w:tabs>
        <w:spacing w:before="120" w:line="260" w:lineRule="exact"/>
        <w:rPr>
          <w:sz w:val="22"/>
        </w:rPr>
      </w:pPr>
      <w:r>
        <w:rPr>
          <w:sz w:val="22"/>
        </w:rPr>
        <w:t xml:space="preserve">Таблица 6. Участие мужчин и женщин в руководящих советах некоторых </w:t>
      </w:r>
      <w:r>
        <w:rPr>
          <w:sz w:val="22"/>
        </w:rPr>
        <w:br/>
        <w:t>государственных, полугосударственных и децентрализованных учреждениях и в администрации президента Республики</w:t>
      </w:r>
      <w:r>
        <w:rPr>
          <w:sz w:val="22"/>
        </w:rPr>
        <w:tab/>
      </w:r>
      <w:r>
        <w:rPr>
          <w:sz w:val="22"/>
        </w:rPr>
        <w:tab/>
        <w:t>78</w:t>
      </w:r>
    </w:p>
    <w:p w:rsidR="00000000" w:rsidRDefault="00000000">
      <w:pPr>
        <w:tabs>
          <w:tab w:val="left" w:pos="680"/>
          <w:tab w:val="left" w:leader="dot" w:pos="8222"/>
          <w:tab w:val="right" w:pos="8789"/>
        </w:tabs>
        <w:spacing w:before="120" w:line="260" w:lineRule="exact"/>
        <w:rPr>
          <w:sz w:val="22"/>
        </w:rPr>
      </w:pPr>
      <w:r>
        <w:rPr>
          <w:sz w:val="22"/>
        </w:rPr>
        <w:t xml:space="preserve">Таблица 7. Распределение мужчин и женщин по постам в представительствах </w:t>
      </w:r>
      <w:r>
        <w:rPr>
          <w:sz w:val="22"/>
        </w:rPr>
        <w:br/>
        <w:t>Министерства иностранных дел и религии за рубежом в 1998–2002 годах</w:t>
      </w:r>
      <w:r>
        <w:rPr>
          <w:sz w:val="22"/>
        </w:rPr>
        <w:tab/>
      </w:r>
      <w:r>
        <w:rPr>
          <w:sz w:val="22"/>
        </w:rPr>
        <w:tab/>
        <w:t>87</w:t>
      </w:r>
    </w:p>
    <w:p w:rsidR="00000000" w:rsidRDefault="00000000">
      <w:pPr>
        <w:tabs>
          <w:tab w:val="left" w:pos="680"/>
          <w:tab w:val="left" w:leader="dot" w:pos="8222"/>
          <w:tab w:val="right" w:pos="8789"/>
        </w:tabs>
        <w:spacing w:before="120" w:line="260" w:lineRule="exact"/>
        <w:rPr>
          <w:sz w:val="22"/>
        </w:rPr>
      </w:pPr>
      <w:r>
        <w:rPr>
          <w:sz w:val="22"/>
        </w:rPr>
        <w:t>Таблица 8. Соотношение числа женщин и мужчин, закончивших государственные университеты, в разбивке по специальностям, 1990, 1995, 1996–1999 годы.</w:t>
      </w:r>
      <w:r>
        <w:rPr>
          <w:sz w:val="22"/>
        </w:rPr>
        <w:tab/>
      </w:r>
      <w:r>
        <w:rPr>
          <w:sz w:val="22"/>
        </w:rPr>
        <w:tab/>
        <w:t>96</w:t>
      </w:r>
    </w:p>
    <w:p w:rsidR="00000000" w:rsidRDefault="00000000">
      <w:pPr>
        <w:tabs>
          <w:tab w:val="left" w:pos="680"/>
          <w:tab w:val="left" w:leader="dot" w:pos="8222"/>
          <w:tab w:val="right" w:pos="8789"/>
        </w:tabs>
        <w:spacing w:before="120" w:line="260" w:lineRule="exact"/>
        <w:rPr>
          <w:sz w:val="22"/>
        </w:rPr>
      </w:pPr>
      <w:r>
        <w:rPr>
          <w:sz w:val="22"/>
        </w:rPr>
        <w:t xml:space="preserve">Таблица 9. Относительное распределение рабочей силы с разбивкой по полу и </w:t>
      </w:r>
      <w:r>
        <w:rPr>
          <w:sz w:val="22"/>
        </w:rPr>
        <w:br/>
        <w:t>по отраслям экономики, 1999 год.</w:t>
      </w:r>
      <w:r>
        <w:rPr>
          <w:sz w:val="22"/>
        </w:rPr>
        <w:tab/>
      </w:r>
      <w:r>
        <w:rPr>
          <w:sz w:val="22"/>
        </w:rPr>
        <w:tab/>
        <w:t>102</w:t>
      </w:r>
    </w:p>
    <w:p w:rsidR="00000000" w:rsidRDefault="00000000">
      <w:pPr>
        <w:tabs>
          <w:tab w:val="left" w:pos="680"/>
          <w:tab w:val="left" w:leader="dot" w:pos="8222"/>
          <w:tab w:val="right" w:pos="8789"/>
        </w:tabs>
        <w:spacing w:before="120" w:line="260" w:lineRule="exact"/>
        <w:rPr>
          <w:sz w:val="22"/>
        </w:rPr>
      </w:pPr>
      <w:r>
        <w:rPr>
          <w:sz w:val="22"/>
        </w:rPr>
        <w:t xml:space="preserve">Таблица 10. Соотношение средней почасовой заработной платы женщин и мужчин </w:t>
      </w:r>
      <w:r>
        <w:rPr>
          <w:sz w:val="22"/>
        </w:rPr>
        <w:br/>
        <w:t>с разбивкой по уровню образования, 1990, 1995, 1996–1999 годы.</w:t>
      </w:r>
      <w:r>
        <w:rPr>
          <w:sz w:val="22"/>
        </w:rPr>
        <w:tab/>
      </w:r>
      <w:r>
        <w:rPr>
          <w:sz w:val="22"/>
        </w:rPr>
        <w:tab/>
        <w:t>103</w:t>
      </w:r>
    </w:p>
    <w:p w:rsidR="00000000" w:rsidRDefault="00000000">
      <w:pPr>
        <w:tabs>
          <w:tab w:val="left" w:pos="680"/>
          <w:tab w:val="left" w:leader="dot" w:pos="8222"/>
          <w:tab w:val="right" w:pos="8789"/>
        </w:tabs>
        <w:spacing w:before="120" w:line="260" w:lineRule="exact"/>
        <w:rPr>
          <w:sz w:val="22"/>
        </w:rPr>
      </w:pPr>
      <w:r>
        <w:rPr>
          <w:sz w:val="22"/>
        </w:rPr>
        <w:t xml:space="preserve">Таблица 11. Процент населения, занятого в малопродуктивных секторах экономики, </w:t>
      </w:r>
      <w:r>
        <w:rPr>
          <w:sz w:val="22"/>
        </w:rPr>
        <w:br/>
        <w:t>с разбивкой по уровню сектора и по полу, Коста-Рика, 2000 год.</w:t>
      </w:r>
      <w:r>
        <w:rPr>
          <w:sz w:val="22"/>
        </w:rPr>
        <w:tab/>
      </w:r>
      <w:r>
        <w:rPr>
          <w:sz w:val="22"/>
        </w:rPr>
        <w:tab/>
        <w:t>107</w:t>
      </w:r>
    </w:p>
    <w:p w:rsidR="00000000" w:rsidRDefault="00000000">
      <w:pPr>
        <w:tabs>
          <w:tab w:val="left" w:pos="680"/>
          <w:tab w:val="left" w:leader="dot" w:pos="8222"/>
          <w:tab w:val="right" w:pos="8789"/>
        </w:tabs>
        <w:spacing w:before="120" w:line="260" w:lineRule="exact"/>
        <w:rPr>
          <w:sz w:val="22"/>
        </w:rPr>
      </w:pPr>
      <w:r>
        <w:rPr>
          <w:sz w:val="22"/>
        </w:rPr>
        <w:t xml:space="preserve">Таблица 12. Стоимость неоплачиваемого домашнего труда в процентах от </w:t>
      </w:r>
      <w:r>
        <w:rPr>
          <w:sz w:val="22"/>
        </w:rPr>
        <w:br/>
        <w:t>валового внутреннего продукта  на душу населения, 1995–1997 годы.</w:t>
      </w:r>
      <w:r>
        <w:rPr>
          <w:sz w:val="22"/>
        </w:rPr>
        <w:tab/>
      </w:r>
      <w:r>
        <w:rPr>
          <w:sz w:val="22"/>
        </w:rPr>
        <w:tab/>
        <w:t>108</w:t>
      </w:r>
    </w:p>
    <w:p w:rsidR="00000000" w:rsidRDefault="00000000">
      <w:pPr>
        <w:tabs>
          <w:tab w:val="left" w:pos="680"/>
          <w:tab w:val="left" w:leader="dot" w:pos="8222"/>
          <w:tab w:val="right" w:pos="8789"/>
        </w:tabs>
        <w:spacing w:before="120" w:line="260" w:lineRule="exact"/>
        <w:rPr>
          <w:sz w:val="22"/>
        </w:rPr>
      </w:pPr>
    </w:p>
    <w:p w:rsidR="00000000" w:rsidRDefault="00000000">
      <w:pPr>
        <w:tabs>
          <w:tab w:val="left" w:pos="680"/>
          <w:tab w:val="left" w:leader="dot" w:pos="8222"/>
          <w:tab w:val="right" w:pos="8789"/>
        </w:tabs>
        <w:spacing w:before="120" w:line="260" w:lineRule="exact"/>
        <w:jc w:val="right"/>
        <w:rPr>
          <w:i/>
          <w:sz w:val="18"/>
        </w:rPr>
      </w:pPr>
      <w:r>
        <w:rPr>
          <w:sz w:val="22"/>
        </w:rPr>
        <w:tab/>
      </w:r>
      <w:r>
        <w:rPr>
          <w:i/>
          <w:sz w:val="18"/>
        </w:rPr>
        <w:t>Стр.</w:t>
      </w:r>
    </w:p>
    <w:p w:rsidR="00000000" w:rsidRDefault="00000000">
      <w:pPr>
        <w:tabs>
          <w:tab w:val="left" w:pos="680"/>
          <w:tab w:val="left" w:leader="dot" w:pos="8222"/>
          <w:tab w:val="right" w:pos="8789"/>
        </w:tabs>
        <w:spacing w:before="120" w:line="260" w:lineRule="exact"/>
        <w:rPr>
          <w:sz w:val="22"/>
        </w:rPr>
      </w:pPr>
      <w:r>
        <w:rPr>
          <w:sz w:val="22"/>
        </w:rPr>
        <w:t xml:space="preserve">Таблица 13. Изменение количества семей, живущих в бедности, с разбивкой по полу </w:t>
      </w:r>
      <w:r>
        <w:rPr>
          <w:sz w:val="22"/>
        </w:rPr>
        <w:br/>
        <w:t>главы семьи и месту проживания, 1989–1997 годы</w:t>
      </w:r>
      <w:r>
        <w:rPr>
          <w:sz w:val="22"/>
        </w:rPr>
        <w:tab/>
      </w:r>
      <w:r>
        <w:rPr>
          <w:sz w:val="22"/>
        </w:rPr>
        <w:tab/>
        <w:t>115</w:t>
      </w:r>
    </w:p>
    <w:p w:rsidR="00000000" w:rsidRDefault="00000000">
      <w:pPr>
        <w:tabs>
          <w:tab w:val="left" w:pos="680"/>
          <w:tab w:val="left" w:leader="dot" w:pos="8222"/>
          <w:tab w:val="right" w:pos="8789"/>
        </w:tabs>
        <w:spacing w:before="120" w:line="260" w:lineRule="exact"/>
        <w:rPr>
          <w:sz w:val="22"/>
        </w:rPr>
      </w:pPr>
      <w:r>
        <w:rPr>
          <w:sz w:val="22"/>
        </w:rPr>
        <w:t>Таблица 14. Женская смертность в результате убийств, женоубийств, от СПИДа, материнская смертность в Коста-Рике, 1990–1999 годы</w:t>
      </w:r>
      <w:r>
        <w:rPr>
          <w:sz w:val="22"/>
        </w:rPr>
        <w:tab/>
      </w:r>
      <w:r>
        <w:rPr>
          <w:sz w:val="22"/>
        </w:rPr>
        <w:tab/>
        <w:t>145</w:t>
      </w:r>
    </w:p>
    <w:p w:rsidR="00000000" w:rsidRDefault="00000000">
      <w:pPr>
        <w:tabs>
          <w:tab w:val="left" w:pos="680"/>
          <w:tab w:val="left" w:leader="dot" w:pos="8222"/>
          <w:tab w:val="right" w:pos="8789"/>
        </w:tabs>
        <w:spacing w:before="120" w:line="260" w:lineRule="exact"/>
        <w:rPr>
          <w:sz w:val="22"/>
        </w:rPr>
      </w:pPr>
      <w:r>
        <w:rPr>
          <w:sz w:val="22"/>
        </w:rPr>
        <w:t>Таблица 15. Обращения с просьбой о защите, поданные в суды Коста-Рики</w:t>
      </w:r>
      <w:r>
        <w:rPr>
          <w:sz w:val="22"/>
        </w:rPr>
        <w:br/>
        <w:t>в 1996–2000 годах, с разбивкой по провинциям</w:t>
      </w:r>
      <w:r>
        <w:rPr>
          <w:sz w:val="22"/>
        </w:rPr>
        <w:tab/>
      </w:r>
      <w:r>
        <w:rPr>
          <w:sz w:val="22"/>
        </w:rPr>
        <w:tab/>
        <w:t>147</w:t>
      </w:r>
    </w:p>
    <w:p w:rsidR="00000000" w:rsidRDefault="00000000">
      <w:pPr>
        <w:tabs>
          <w:tab w:val="left" w:pos="680"/>
          <w:tab w:val="left" w:leader="dot" w:pos="8222"/>
          <w:tab w:val="right" w:pos="8789"/>
        </w:tabs>
        <w:spacing w:before="120" w:line="260" w:lineRule="exact"/>
      </w:pPr>
    </w:p>
    <w:p w:rsidR="00000000" w:rsidRDefault="00000000">
      <w:pPr>
        <w:jc w:val="center"/>
        <w:rPr>
          <w:b/>
          <w:sz w:val="22"/>
        </w:rPr>
        <w:sectPr w:rsidR="00000000">
          <w:footerReference w:type="even" r:id="rId16"/>
          <w:footerReference w:type="default" r:id="rId17"/>
          <w:pgSz w:w="12242" w:h="15842" w:code="1"/>
          <w:pgMar w:top="1304" w:right="1701" w:bottom="1701" w:left="1701" w:header="567" w:footer="851" w:gutter="0"/>
          <w:pgNumType w:fmt="lowerRoman" w:start="2"/>
          <w:cols w:space="708"/>
          <w:docGrid w:linePitch="360"/>
        </w:sectPr>
      </w:pPr>
    </w:p>
    <w:p w:rsidR="00000000" w:rsidRDefault="00000000">
      <w:pPr>
        <w:jc w:val="center"/>
        <w:rPr>
          <w:b/>
          <w:sz w:val="22"/>
        </w:rPr>
      </w:pPr>
      <w:r>
        <w:rPr>
          <w:b/>
          <w:sz w:val="22"/>
        </w:rPr>
        <w:t>ВВЕДЕНИЕ</w:t>
      </w:r>
    </w:p>
    <w:p w:rsidR="00000000" w:rsidRDefault="00000000">
      <w:pPr>
        <w:pStyle w:val="BodyText"/>
        <w:tabs>
          <w:tab w:val="left" w:pos="680"/>
        </w:tabs>
        <w:spacing w:before="240" w:line="260" w:lineRule="exact"/>
        <w:rPr>
          <w:sz w:val="22"/>
        </w:rPr>
      </w:pPr>
      <w:r>
        <w:rPr>
          <w:sz w:val="22"/>
        </w:rPr>
        <w:t>1.</w:t>
      </w:r>
      <w:r>
        <w:rPr>
          <w:sz w:val="22"/>
        </w:rPr>
        <w:tab/>
        <w:t>Настоящий доклад посвящен выполнению обязательств, взятых на себя Республикой Коста-Рикой в связи с подписанием и безоговорочной ратификацией Конвенции о ликвидации всех форм дискриминации в отношении женщин. Он представляет собой актуализацию первоначального доклада, который был представлен, в соответствии со статьей 18 Конвенции, за период с 1 апреля 1998 года по 31 марта 2002 года. Доклад был подготовлен Национальным институтом по делам женщин (ИНАМУ), являющимся национальным инструментом достижения гендерного равенства, во исполнение его определенной в законодательстве миссии – осуществлять мониторинг государственной политики по улучшению положения женщин и по достижению равенства прав и возможностей женщин и мужчин.</w:t>
      </w:r>
    </w:p>
    <w:p w:rsidR="00000000" w:rsidRDefault="00000000">
      <w:pPr>
        <w:tabs>
          <w:tab w:val="left" w:pos="680"/>
        </w:tabs>
        <w:spacing w:before="240" w:line="260" w:lineRule="exact"/>
        <w:jc w:val="both"/>
        <w:rPr>
          <w:sz w:val="22"/>
        </w:rPr>
      </w:pPr>
      <w:r>
        <w:rPr>
          <w:sz w:val="22"/>
        </w:rPr>
        <w:t>2.</w:t>
      </w:r>
      <w:r>
        <w:rPr>
          <w:sz w:val="22"/>
        </w:rPr>
        <w:tab/>
        <w:t>Процесс подготовки настоящего доклада начался 15 февраля 2002 года и завершился 30 сентября того же года. Совместно с Техническим управлением ИНАМУ два консультанта подготовили первый вариант, в котором была систематизирована основная информация о документах и статистических данных, касающихся деятельности различных государственных органов и неправительственных организаций, государственных университетов и специалистов страны. Эта информация была дополнена данными, полученными в результате собеседований с главными специалистами по данной проблеме и респондентами. Результаты проделанной работы обсуждались в технических отделах ИНАМУ, которые предоставили дополнительные сведения и сформулировали рекомендации. Второй документ был вновь подвергнут оценке отделами ИНАМУ, а также были проведены консультации с 14 представителями организаций гражданского общества, участвовавших в Консультативном форуме, который был проведен ИНАМУ 27 сентября 2002 года</w:t>
      </w:r>
      <w:r>
        <w:rPr>
          <w:rStyle w:val="FootnoteReference"/>
          <w:sz w:val="22"/>
        </w:rPr>
        <w:footnoteReference w:id="2"/>
      </w:r>
      <w:r>
        <w:rPr>
          <w:sz w:val="22"/>
        </w:rPr>
        <w:t>. На нем присутствовали также министр по делам женщин инж. Эсмеральда Бриттон и технический директор Института. В результате критического обмена мнениями и дискуссии по докладу была запрошена дополнительная информация; одновременно было проведено углубленное обсуждение вопросов, приоритетных для женского движения и для определения роли ИНАМУ в качестве национального инструмента. Представленный Комитету доклад об осуществлении Конвенции о ликвидации всех форм дискриминации в отношении женщин (КЛДОЖ) содержит выводы указанного Консультативного форума.</w:t>
      </w:r>
    </w:p>
    <w:p w:rsidR="00000000" w:rsidRDefault="00000000">
      <w:pPr>
        <w:tabs>
          <w:tab w:val="left" w:pos="680"/>
        </w:tabs>
        <w:spacing w:before="240" w:line="260" w:lineRule="exact"/>
        <w:jc w:val="both"/>
        <w:rPr>
          <w:sz w:val="22"/>
        </w:rPr>
      </w:pPr>
      <w:r>
        <w:rPr>
          <w:sz w:val="22"/>
        </w:rPr>
        <w:t>3.</w:t>
      </w:r>
      <w:r>
        <w:rPr>
          <w:sz w:val="22"/>
        </w:rPr>
        <w:tab/>
        <w:t>Первоначальный доклад имел более описательный характер, так как в нем систематизированы основные успехи в вопросах гендерного равенства, достигнутые страной за период со 2 октября 1984 года по 31 марта 1998 года, а также указаны препятствия, все еще мешающие эффективному выполнению положений КЛДОЖ. Необходимость создания базового профиля, являющегося исходной точкой для последующих оценок, потребовала более детального подхода. Значительная часть настоящего доклада была включена в государственный отчет Республики Коста-Рики о выполнении Пекинской платформы действий. Отчет, озаглавленный "Достижения и проблемы", был подготовлен ИНАМУ (2000 год). Данный государственный отчет стал итогом переговоров между ИНАМУ и женскими организациями гражданского общества, явившихся составной частью проводимой на национальном уровне подготовки к Пекинской конференции + 5, проведенной под эгидой Организации Объединенных Наций.</w:t>
      </w:r>
    </w:p>
    <w:p w:rsidR="00000000" w:rsidRDefault="00000000">
      <w:pPr>
        <w:tabs>
          <w:tab w:val="left" w:pos="680"/>
        </w:tabs>
        <w:spacing w:before="240" w:line="260" w:lineRule="exact"/>
        <w:jc w:val="both"/>
        <w:rPr>
          <w:sz w:val="22"/>
        </w:rPr>
      </w:pPr>
      <w:r>
        <w:rPr>
          <w:sz w:val="22"/>
        </w:rPr>
        <w:t>4.</w:t>
      </w:r>
      <w:r>
        <w:rPr>
          <w:sz w:val="22"/>
        </w:rPr>
        <w:tab/>
        <w:t>В настоящем докладе, объединяющем второй и третий доклады, особое внимание уделяется изменениям, происшедшим за рассматриваемый период; вопросам законодательства и другим мерам по выполнению положений Конвенции, которые были приняты после предыдущего доклада; успехам, достигнутым страной в деле ликвидации дискриминации в отношении женщин; наиболее значимым изменениям в положении женщин. В то же время в докладе более глубоко проанализированы сохраняющиеся структурные проблемы и недостатки в сфере гендерного равенства, которые представляют собой серьезное препятствие на пути достижения подлинного равенства женщин и мужчин. Кроме того, в доклад включено обсуждение мер, принимаемых Коста-Рикой в целях выполнения обязательств, которые страна взяла на себя в рамках Пекинской декларации и Платформы действий.</w:t>
      </w:r>
    </w:p>
    <w:p w:rsidR="00000000" w:rsidRDefault="00000000">
      <w:pPr>
        <w:tabs>
          <w:tab w:val="left" w:pos="680"/>
        </w:tabs>
        <w:spacing w:before="240" w:line="260" w:lineRule="exact"/>
        <w:jc w:val="both"/>
        <w:rPr>
          <w:sz w:val="22"/>
        </w:rPr>
      </w:pPr>
      <w:r>
        <w:rPr>
          <w:sz w:val="22"/>
        </w:rPr>
        <w:t>5.</w:t>
      </w:r>
      <w:r>
        <w:rPr>
          <w:sz w:val="22"/>
        </w:rPr>
        <w:tab/>
        <w:t>В первоначальном докладе был сделан вывод, подтвержденный в настоящем докладе, о том, что Коста-Рика добилась значительных успехов в развитии законодательства и инструментов в целях улучшения положения женщин, а также в сферах образования, занятости и здравоохранения, в развитии институциональных и законодательных механизмов по предотвращению насилия в отношении женщин и оказанию помощи жертвам насилия, в расширении участия женщин в жизни общества. Данные изменения расширяют рамки возможностей для женщин всех возрастов. Особенно наглядно эти изменения проявились в сферах образования, труда и разработки нормативных актов.</w:t>
      </w:r>
    </w:p>
    <w:p w:rsidR="00000000" w:rsidRDefault="00000000">
      <w:pPr>
        <w:tabs>
          <w:tab w:val="left" w:pos="680"/>
        </w:tabs>
        <w:spacing w:before="240" w:line="260" w:lineRule="exact"/>
        <w:jc w:val="both"/>
        <w:rPr>
          <w:sz w:val="22"/>
        </w:rPr>
      </w:pPr>
      <w:r>
        <w:rPr>
          <w:sz w:val="22"/>
        </w:rPr>
        <w:t>6.</w:t>
      </w:r>
      <w:r>
        <w:rPr>
          <w:sz w:val="22"/>
        </w:rPr>
        <w:tab/>
        <w:t>Вместе с тем существуют серьезные структурные проблемы, сохраняющие и усугубляющие гендерные различия в некоторых областях, из-за чего женщины продолжают оставаться в неблагоприятном положении. Для расширения и упрочения достигнутого прогресса в стране должны быть осуществлены глубокие преобразования в социальной, экономической, политической и культурной сферах.</w:t>
      </w:r>
    </w:p>
    <w:p w:rsidR="00000000" w:rsidRDefault="00000000">
      <w:pPr>
        <w:tabs>
          <w:tab w:val="left" w:pos="680"/>
        </w:tabs>
        <w:spacing w:before="240" w:line="260" w:lineRule="exact"/>
        <w:jc w:val="both"/>
        <w:rPr>
          <w:sz w:val="22"/>
        </w:rPr>
      </w:pPr>
      <w:r>
        <w:rPr>
          <w:sz w:val="22"/>
        </w:rPr>
        <w:t>7.</w:t>
      </w:r>
      <w:r>
        <w:rPr>
          <w:sz w:val="22"/>
        </w:rPr>
        <w:tab/>
        <w:t>Как отмечалось в специальном разделе "Задачи по достижению гендерного равенства" седьмого отчета "Состояние нации в области устойчивого развития людских ресурсов за 2000 год" (2001 год), государство должно уделять первоочередное внимание борьбе с бедностью среди женщин; признанию существования неоплачиваемого домашнего труда; вовлечению женщин в трудовую деятельность. Кроме того, необходимо решать проблемы гендерной дифференциации и сегрегации в рамках системы образования, оказывать комплексную помощь в случаях гендерного насилия в отношении женщин, разрешать проблемы, связанные с отставанием в институциональной сфере и с нехваткой ресурсов, выделяемых на осуществление специальных государственных стратегий и на развитие национальных инструментов достижения гендерного равенства; стремиться к достижению полноправного участия женщин в политической жизни страны.</w:t>
      </w:r>
    </w:p>
    <w:p w:rsidR="00000000" w:rsidRDefault="00000000">
      <w:pPr>
        <w:tabs>
          <w:tab w:val="left" w:pos="680"/>
        </w:tabs>
        <w:spacing w:before="240" w:line="260" w:lineRule="exact"/>
        <w:jc w:val="both"/>
        <w:rPr>
          <w:sz w:val="22"/>
        </w:rPr>
      </w:pPr>
      <w:r>
        <w:rPr>
          <w:sz w:val="22"/>
        </w:rPr>
        <w:t>8.</w:t>
      </w:r>
      <w:r>
        <w:rPr>
          <w:sz w:val="22"/>
        </w:rPr>
        <w:tab/>
        <w:t>Также следует активизировать усилия по сокращению существующего разрыва между городскими и сельскими районами. Предыдущий опыт свидетельствует, что для содействия сокращению различий в положении женщин по различным критериям, включая географические, необходимо осуществлять целенаправленные стратегии и подходы, дифференцированные по зонам или регионам.</w:t>
      </w:r>
    </w:p>
    <w:p w:rsidR="00000000" w:rsidRDefault="00000000">
      <w:pPr>
        <w:tabs>
          <w:tab w:val="left" w:pos="680"/>
        </w:tabs>
        <w:spacing w:before="240" w:line="260" w:lineRule="exact"/>
        <w:jc w:val="both"/>
        <w:rPr>
          <w:sz w:val="22"/>
        </w:rPr>
      </w:pPr>
      <w:r>
        <w:rPr>
          <w:sz w:val="22"/>
        </w:rPr>
        <w:t>9.</w:t>
      </w:r>
      <w:r>
        <w:rPr>
          <w:sz w:val="22"/>
        </w:rPr>
        <w:tab/>
        <w:t>Необходимо отметить, что в официальной информации далеко не полностью освещаются успехи, достигнутые в улучшении статуса и положения женщин.</w:t>
      </w:r>
    </w:p>
    <w:p w:rsidR="00000000" w:rsidRDefault="00000000">
      <w:pPr>
        <w:tabs>
          <w:tab w:val="left" w:pos="680"/>
        </w:tabs>
        <w:spacing w:before="240" w:line="260" w:lineRule="exact"/>
        <w:jc w:val="both"/>
        <w:rPr>
          <w:sz w:val="22"/>
        </w:rPr>
      </w:pPr>
      <w:r>
        <w:rPr>
          <w:sz w:val="22"/>
        </w:rPr>
        <w:t>10.</w:t>
      </w:r>
      <w:r>
        <w:rPr>
          <w:sz w:val="22"/>
        </w:rPr>
        <w:tab/>
        <w:t>В целях осуществления Пекинской платформы действий, в частности контроля за положением и статусом женщин, ИНАМУ совместно с проектом "Состояние нации" и Программой развития Организации Объединенных Наций было изучено предложение ЭКЛА о внедрении разработанных ею показателей на базе двух тематических осей (</w:t>
      </w:r>
      <w:r>
        <w:rPr>
          <w:sz w:val="22"/>
          <w:lang w:val="en-US"/>
        </w:rPr>
        <w:t>Ramos</w:t>
      </w:r>
      <w:r>
        <w:rPr>
          <w:sz w:val="22"/>
        </w:rPr>
        <w:t xml:space="preserve">, </w:t>
      </w:r>
      <w:r>
        <w:rPr>
          <w:sz w:val="22"/>
          <w:lang w:val="en-US"/>
        </w:rPr>
        <w:t>Pilar</w:t>
      </w:r>
      <w:r>
        <w:rPr>
          <w:sz w:val="22"/>
        </w:rPr>
        <w:t>, 2001). При проведении исследования применялись два основных вида источников: выборочный опрос, главным образом многоцелевой опрос домашних хозяйств, и положения ряда инструкций. Данные, полученные из указанных источников, показали, что в нашем распоряжении имеется только 50 процентов показателей, предложенных ЭКЛА, а почти четверть из них недоступны и не имеют альтернативы. Кроме того, среди имеющихся в нашем распоряжении показателей половина требуют повторной обработки исходной информации, что затруднило подсчеты.</w:t>
      </w:r>
    </w:p>
    <w:p w:rsidR="00000000" w:rsidRDefault="00000000">
      <w:pPr>
        <w:tabs>
          <w:tab w:val="left" w:pos="680"/>
        </w:tabs>
        <w:spacing w:before="240" w:line="260" w:lineRule="exact"/>
        <w:jc w:val="both"/>
        <w:rPr>
          <w:sz w:val="22"/>
        </w:rPr>
      </w:pPr>
      <w:r>
        <w:rPr>
          <w:sz w:val="22"/>
        </w:rPr>
        <w:t>11.</w:t>
      </w:r>
      <w:r>
        <w:rPr>
          <w:sz w:val="22"/>
        </w:rPr>
        <w:tab/>
        <w:t>В том случае, если данные были получены из источников второго типа, обнаруживались значительные пробелы в информации. Это негативно сказалось на рассмотрении таких тем и подтем, как доступ к ресурсам (недвижимость, кредиты, профессиональная подготовка, стипендии); институциональные механизмы по улучшению положения женщин; права человека женщин; женщины и средства массовой информации; женщины и окружающая среда; насилие в отношении женщин.</w:t>
      </w:r>
    </w:p>
    <w:p w:rsidR="00000000" w:rsidRDefault="00000000">
      <w:pPr>
        <w:tabs>
          <w:tab w:val="left" w:pos="680"/>
        </w:tabs>
        <w:spacing w:before="240" w:line="260" w:lineRule="exact"/>
        <w:jc w:val="both"/>
        <w:rPr>
          <w:sz w:val="22"/>
        </w:rPr>
      </w:pPr>
      <w:r>
        <w:rPr>
          <w:sz w:val="22"/>
        </w:rPr>
        <w:t>12.</w:t>
      </w:r>
      <w:r>
        <w:rPr>
          <w:sz w:val="22"/>
        </w:rPr>
        <w:tab/>
        <w:t>Последний вопрос заслуживает особого внимания, так как предложенные показатели, равно так и дополнительные, лишь весьма приблизительно отражают общие проявления насилия, оставляя за рамками размах и серьезность различных форм насилия в отношении женщин. Другой пробел в информации обнаруживается в подтеме об использовании времени, что ограничивает применение разбивки по гендерному признаку при изучении общей рабочей нагрузки и других связанных с этой проблемой вопросов. Для укрепления позиций в этой области необходимо проведение выборочных опросов.</w:t>
      </w:r>
    </w:p>
    <w:p w:rsidR="00000000" w:rsidRDefault="00000000">
      <w:pPr>
        <w:tabs>
          <w:tab w:val="left" w:pos="680"/>
        </w:tabs>
        <w:spacing w:before="240" w:line="260" w:lineRule="exact"/>
        <w:jc w:val="both"/>
        <w:rPr>
          <w:sz w:val="22"/>
        </w:rPr>
      </w:pPr>
      <w:r>
        <w:rPr>
          <w:sz w:val="22"/>
        </w:rPr>
        <w:t>13.</w:t>
      </w:r>
      <w:r>
        <w:rPr>
          <w:sz w:val="22"/>
        </w:rPr>
        <w:tab/>
        <w:t>При составлении доклада об изменениях в положении и статусе женщин возникает дополнительная проблема, касающаяся периодичности информации. Даже при наличии данных за разные периоды времени возникают трудности, связанные с охватом, изменениями в методологии и даже достоверностью самой информации. Все указанные ограничения или некоторые из них встречаются при рассмотрении следующих вопросов:</w:t>
      </w:r>
    </w:p>
    <w:p w:rsidR="00000000" w:rsidRDefault="00000000">
      <w:pPr>
        <w:numPr>
          <w:ilvl w:val="0"/>
          <w:numId w:val="1"/>
        </w:numPr>
        <w:tabs>
          <w:tab w:val="clear" w:pos="720"/>
          <w:tab w:val="left" w:pos="340"/>
          <w:tab w:val="left" w:pos="680"/>
        </w:tabs>
        <w:spacing w:before="240" w:line="260" w:lineRule="exact"/>
        <w:ind w:left="340" w:hanging="340"/>
        <w:jc w:val="both"/>
        <w:rPr>
          <w:sz w:val="22"/>
        </w:rPr>
      </w:pPr>
      <w:r>
        <w:rPr>
          <w:b/>
          <w:sz w:val="22"/>
        </w:rPr>
        <w:t>Здоровье женщин</w:t>
      </w:r>
      <w:r>
        <w:rPr>
          <w:sz w:val="22"/>
        </w:rPr>
        <w:t>. Несмотря на то что по этому вопросу существует наибольшее количество показателей, имеются проблемы, связанные с охватом всего интересующего населения. Это относится, например, к показателям проведения профилактических осмотров с целью выявления рака шейки матки, статистике заболеваемости раком (молочной железы и шейки матки) и ВИЧ, а также показателям в отношении грудного вскармливания. На качестве последних негативно сказались и такие обстоятельства, как отсутствие регулярности в сборе сведений и применение различных методологий. Вызывает сомнения качество данных, касающихся статистики производственного травматизма и профессиональной заболеваемости среди женщин, так как в этом случае возможны меньший охват женщин медицинским страхованием и, как следствие, снижение численности населения, страдающего от профессиональных заболеваний и производственных травм.</w:t>
      </w:r>
    </w:p>
    <w:p w:rsidR="00000000" w:rsidRDefault="00000000">
      <w:pPr>
        <w:numPr>
          <w:ilvl w:val="0"/>
          <w:numId w:val="1"/>
        </w:numPr>
        <w:tabs>
          <w:tab w:val="clear" w:pos="720"/>
          <w:tab w:val="left" w:pos="340"/>
          <w:tab w:val="left" w:pos="680"/>
        </w:tabs>
        <w:spacing w:before="240" w:line="260" w:lineRule="exact"/>
        <w:ind w:left="340" w:hanging="340"/>
        <w:jc w:val="both"/>
        <w:rPr>
          <w:sz w:val="22"/>
        </w:rPr>
      </w:pPr>
      <w:r>
        <w:rPr>
          <w:b/>
          <w:sz w:val="22"/>
        </w:rPr>
        <w:t>Насилие в отношении женщин</w:t>
      </w:r>
      <w:r>
        <w:rPr>
          <w:sz w:val="22"/>
        </w:rPr>
        <w:t>. По этому вопросу имеются трудности, так как значительная часть соответствующих показателей относится к одногодичному периоду. Так как эти показатели в большой степени зависят от поданных жалоб, имеются проблемы, связанные с охватом и качеством; прежде всего это касается сведений, которые могут различаться в зависимости от инстанции, куда было подано заявление, в связи с чем возможно занижение числа жалоб. В то же время в случае некоторых форм насилия в отношении женщин, таких как насилие на сексуальной почве, имеющиеся жалобы не сопровождаются разбивкой по гендерному признаку и информацией о предполагаемом виновнике (если он известен), ввиду чего невозможно определить характеристики жертв насилия.</w:t>
      </w:r>
    </w:p>
    <w:p w:rsidR="00000000" w:rsidRDefault="00000000">
      <w:pPr>
        <w:numPr>
          <w:ilvl w:val="0"/>
          <w:numId w:val="1"/>
        </w:numPr>
        <w:tabs>
          <w:tab w:val="clear" w:pos="720"/>
          <w:tab w:val="left" w:pos="340"/>
          <w:tab w:val="left" w:pos="680"/>
        </w:tabs>
        <w:spacing w:before="240" w:line="260" w:lineRule="exact"/>
        <w:ind w:left="340" w:hanging="340"/>
        <w:jc w:val="both"/>
        <w:rPr>
          <w:sz w:val="22"/>
        </w:rPr>
      </w:pPr>
      <w:r>
        <w:rPr>
          <w:b/>
          <w:sz w:val="22"/>
        </w:rPr>
        <w:t>Образование и профессиональная подготовка женщин</w:t>
      </w:r>
      <w:r>
        <w:rPr>
          <w:sz w:val="22"/>
        </w:rPr>
        <w:t xml:space="preserve">. Существующие проблемы касаются главным образом статистических данных о высшем образовании, в рамках которого не представилось возможным собрать информацию о частных университетах и парауниверситетах. </w:t>
      </w:r>
    </w:p>
    <w:p w:rsidR="00000000" w:rsidRDefault="00000000">
      <w:pPr>
        <w:numPr>
          <w:ilvl w:val="0"/>
          <w:numId w:val="1"/>
        </w:numPr>
        <w:tabs>
          <w:tab w:val="clear" w:pos="720"/>
          <w:tab w:val="left" w:pos="340"/>
          <w:tab w:val="left" w:pos="680"/>
        </w:tabs>
        <w:spacing w:before="240" w:line="260" w:lineRule="exact"/>
        <w:ind w:left="340" w:hanging="340"/>
        <w:jc w:val="both"/>
        <w:rPr>
          <w:sz w:val="22"/>
        </w:rPr>
      </w:pPr>
      <w:r>
        <w:rPr>
          <w:b/>
          <w:sz w:val="22"/>
        </w:rPr>
        <w:t>Экономика и женщины</w:t>
      </w:r>
      <w:r>
        <w:rPr>
          <w:sz w:val="22"/>
        </w:rPr>
        <w:t>. Данная информация полностью охватывает период с 1990 по 1999 год. Несмотря на то что имеются данные опросов, которые были проведены до 1990 и даже до 1986 года и представляют интерес в рамках данной темы, существуют ограничения, связанные с методикой проведения опросов. В связи с этим следует учитывать не только изменения в методике проведения опросов, но и необходимость специальной обработки данных в целях получения агрегированных показателей.</w:t>
      </w:r>
    </w:p>
    <w:p w:rsidR="00000000" w:rsidRDefault="00000000">
      <w:pPr>
        <w:pStyle w:val="BodyTextIndent3"/>
        <w:tabs>
          <w:tab w:val="left" w:pos="680"/>
        </w:tabs>
        <w:spacing w:line="260" w:lineRule="exact"/>
        <w:ind w:left="0" w:firstLine="0"/>
      </w:pPr>
      <w:r>
        <w:t>14.</w:t>
      </w:r>
      <w:r>
        <w:tab/>
        <w:t xml:space="preserve">В официальной статистике не применяются ни гендерный подход, ни оценка гендерных различий, несмотря на то что в последнее время наблюдается стремление выявлять различия в положении мужчин и женщин. Интерес к этому вопросу позволяет применять разбивку по гендерному признаку к большей части информации, а также пересмотреть концепции и методы оценки. Учитывая, что методология пока не претерпела существенных изменений, при оценке гендерного равенства следует учитывать ограниченный характер основополагающих показателей. </w:t>
      </w:r>
    </w:p>
    <w:p w:rsidR="00000000" w:rsidRDefault="00000000">
      <w:pPr>
        <w:tabs>
          <w:tab w:val="left" w:pos="680"/>
        </w:tabs>
        <w:spacing w:before="240" w:line="260" w:lineRule="exact"/>
        <w:jc w:val="both"/>
        <w:rPr>
          <w:spacing w:val="-2"/>
          <w:sz w:val="22"/>
        </w:rPr>
      </w:pPr>
      <w:r>
        <w:rPr>
          <w:sz w:val="22"/>
        </w:rPr>
        <w:t>15.</w:t>
      </w:r>
      <w:r>
        <w:rPr>
          <w:sz w:val="22"/>
        </w:rPr>
        <w:tab/>
      </w:r>
      <w:r>
        <w:rPr>
          <w:spacing w:val="-2"/>
          <w:sz w:val="22"/>
        </w:rPr>
        <w:t xml:space="preserve">Одним из таких показателей является </w:t>
      </w:r>
      <w:r>
        <w:rPr>
          <w:b/>
          <w:spacing w:val="-2"/>
          <w:sz w:val="22"/>
        </w:rPr>
        <w:t>рабочая сила</w:t>
      </w:r>
      <w:r>
        <w:rPr>
          <w:spacing w:val="-2"/>
          <w:sz w:val="22"/>
        </w:rPr>
        <w:t>. Оценка этого показателя сопряжена с трудностями, связанными с установленным референтным периодом времени, а также с определением компонентов этого показателя, то есть с определением занятого и незанятого населения. Понятие "рабочая сила" равнозначно понятию "экономически активное население в данный период времени". Это означает, что при использовании краткосрочного референтного периода (одна неделя) возможно собрать сведения только о "текущем", но не "обычном" положении, как обстояло бы дело при использовании долгосрочного периода (один год), когда можно было бы говорить об экономически активном населении или обычно активном населении. Это обстоятельство приобретает решающее значение применительно к женщинам и молодежи, так как для них характерна длительная сезонная занятость на рынке труда; например, в торговле их участие в рынке труда составляет до шести месяцев (хотя и с перерывами). В других сферах деятельности, например сбор урожая кофе, вовлеченность в трудовую деятельность может достигать трех месяцев. В обоих случаях занятость вышеуказанных категорий, а следовательно, их вклад в доход семьи могут остаться неучтенными, если время их работы не совпадет с референтным периодом.</w:t>
      </w:r>
    </w:p>
    <w:p w:rsidR="00000000" w:rsidRDefault="00000000">
      <w:pPr>
        <w:tabs>
          <w:tab w:val="left" w:pos="680"/>
        </w:tabs>
        <w:spacing w:before="240" w:line="260" w:lineRule="exact"/>
        <w:jc w:val="both"/>
        <w:rPr>
          <w:sz w:val="22"/>
        </w:rPr>
      </w:pPr>
      <w:r>
        <w:rPr>
          <w:sz w:val="22"/>
        </w:rPr>
        <w:t>16.</w:t>
      </w:r>
      <w:r>
        <w:rPr>
          <w:sz w:val="22"/>
        </w:rPr>
        <w:tab/>
        <w:t>Для того чтобы отнести женщину к категории занятых, установлен произвольный предел, равный примерно одному часу в референтную неделю. Это может свести к минимуму проблемы открытой безработицы, так как если считать работающим человека, имеющего столь слабые связи с рынком труда, нет оснований характеризовать его как безработного. Неполный рабочий день (во всех видах занятости), не являющийся результатом добровольного выбора, не считается неполной занятостью, а, напротив, признается полной занятостью, даже при наличии серьезных препятствий для удовлетворительного участия в трудовой деятельности, как, например, отсутствие должных механизмов помощи в уходе за ребенком, загруженность иными семейными обязанностями и даже недостаточность доходов и их несоответствие отработанной части рабочего дня.</w:t>
      </w:r>
    </w:p>
    <w:p w:rsidR="00000000" w:rsidRDefault="00000000">
      <w:pPr>
        <w:tabs>
          <w:tab w:val="left" w:pos="680"/>
        </w:tabs>
        <w:spacing w:before="240" w:line="260" w:lineRule="exact"/>
        <w:jc w:val="both"/>
        <w:rPr>
          <w:sz w:val="22"/>
        </w:rPr>
      </w:pPr>
      <w:r>
        <w:rPr>
          <w:sz w:val="22"/>
        </w:rPr>
        <w:t>17.</w:t>
      </w:r>
      <w:r>
        <w:rPr>
          <w:sz w:val="22"/>
        </w:rPr>
        <w:tab/>
      </w:r>
      <w:r>
        <w:rPr>
          <w:caps/>
          <w:sz w:val="22"/>
        </w:rPr>
        <w:t>п</w:t>
      </w:r>
      <w:r>
        <w:rPr>
          <w:sz w:val="22"/>
        </w:rPr>
        <w:t>редпринимается попытка соотнести проблемы, связанные с недостаточным вознаграждением за труд, со скрытой неполной занятостью. Такой метод измерения также не дает полной картины, поскольку с его помощью учитывается только население, работающее 47 и более часов в неделю, а основные ежемесячные доходы сравниваются с минимальной заработной платой. Это обстоятельство вызывает следующие трудности:</w:t>
      </w:r>
    </w:p>
    <w:p w:rsidR="00000000" w:rsidRDefault="00000000">
      <w:pPr>
        <w:numPr>
          <w:ilvl w:val="0"/>
          <w:numId w:val="2"/>
        </w:numPr>
        <w:tabs>
          <w:tab w:val="clear" w:pos="720"/>
          <w:tab w:val="left" w:pos="340"/>
          <w:tab w:val="left" w:pos="680"/>
        </w:tabs>
        <w:spacing w:before="240" w:line="260" w:lineRule="exact"/>
        <w:ind w:left="340" w:hanging="340"/>
        <w:jc w:val="both"/>
        <w:rPr>
          <w:sz w:val="22"/>
        </w:rPr>
      </w:pPr>
      <w:r>
        <w:rPr>
          <w:sz w:val="22"/>
        </w:rPr>
        <w:t>Сравнение с общей минимальной зарплатой не отражает недостаточность вознаграждения за произведенный труд, в связи с чем представляется уместным проводить сравнение с минимальной заработной платой, установленной для каждой группы работников.</w:t>
      </w:r>
    </w:p>
    <w:p w:rsidR="00000000" w:rsidRDefault="00000000">
      <w:pPr>
        <w:numPr>
          <w:ilvl w:val="0"/>
          <w:numId w:val="2"/>
        </w:numPr>
        <w:tabs>
          <w:tab w:val="clear" w:pos="720"/>
          <w:tab w:val="left" w:pos="340"/>
          <w:tab w:val="left" w:pos="680"/>
        </w:tabs>
        <w:spacing w:before="240" w:line="260" w:lineRule="exact"/>
        <w:ind w:left="340" w:hanging="340"/>
        <w:jc w:val="both"/>
        <w:rPr>
          <w:sz w:val="22"/>
        </w:rPr>
      </w:pPr>
      <w:r>
        <w:rPr>
          <w:sz w:val="22"/>
        </w:rPr>
        <w:t>Как было отмечено выше, не выявляется скрытая неполная занятость лиц, чей рабочий день составляет менее 47 часов в неделю. Поэтому необходим подсчет почасовых доходов.</w:t>
      </w:r>
    </w:p>
    <w:p w:rsidR="00000000" w:rsidRDefault="00000000">
      <w:pPr>
        <w:numPr>
          <w:ilvl w:val="0"/>
          <w:numId w:val="2"/>
        </w:numPr>
        <w:tabs>
          <w:tab w:val="clear" w:pos="720"/>
          <w:tab w:val="left" w:pos="340"/>
          <w:tab w:val="left" w:pos="680"/>
        </w:tabs>
        <w:spacing w:before="240" w:line="260" w:lineRule="exact"/>
        <w:ind w:left="340" w:hanging="340"/>
        <w:jc w:val="both"/>
        <w:rPr>
          <w:spacing w:val="-4"/>
          <w:sz w:val="22"/>
        </w:rPr>
      </w:pPr>
      <w:r>
        <w:rPr>
          <w:spacing w:val="-4"/>
          <w:sz w:val="22"/>
        </w:rPr>
        <w:t>В отношении явной и скрытой неполной занятости учитываются общее количество рабочих часов и основной доход, что приводит к занижению количества рабочих мест с неполной занятостью. Наличие одного или более дополнительных заработков может компенсировать неполный рабочий день или недостаточное вознаграждение за труд по основному месту работы. Чем больше случаев совместительства, тем большей может быть недооценка неполной занятости при используемой в настоящее время методике измерения.</w:t>
      </w:r>
    </w:p>
    <w:p w:rsidR="00000000" w:rsidRDefault="00000000">
      <w:pPr>
        <w:tabs>
          <w:tab w:val="left" w:pos="680"/>
        </w:tabs>
        <w:spacing w:before="240" w:line="260" w:lineRule="exact"/>
        <w:jc w:val="both"/>
        <w:rPr>
          <w:sz w:val="22"/>
        </w:rPr>
      </w:pPr>
      <w:r>
        <w:rPr>
          <w:sz w:val="22"/>
        </w:rPr>
        <w:t>18.</w:t>
      </w:r>
      <w:r>
        <w:rPr>
          <w:sz w:val="22"/>
        </w:rPr>
        <w:tab/>
        <w:t>Кроме того, в Коста-Рике занижается общая занятость, так как не учитываются лица, работающие в сфере производства основных продуктов, предназначенных для личного потребления. В результате не учитывается экономический вклад женщин в сельскохозяйственное производство. Также не учитывается участие в деятельности, ориентированной на рынок, которая в силу культурных особенностей не признается хозяйственной деятельностью либо считается слишком незначительной, чтобы упоминать о ней при ответе на традиционные вопросы (маргинальная деятельность). Этим видом скрытой занятости охвачены главным образом женщины.</w:t>
      </w:r>
    </w:p>
    <w:p w:rsidR="00000000" w:rsidRDefault="00000000">
      <w:pPr>
        <w:tabs>
          <w:tab w:val="left" w:pos="680"/>
        </w:tabs>
        <w:spacing w:before="240" w:line="260" w:lineRule="exact"/>
        <w:jc w:val="both"/>
        <w:rPr>
          <w:sz w:val="22"/>
        </w:rPr>
      </w:pPr>
      <w:r>
        <w:rPr>
          <w:sz w:val="22"/>
        </w:rPr>
        <w:t>19.</w:t>
      </w:r>
      <w:r>
        <w:rPr>
          <w:sz w:val="22"/>
        </w:rPr>
        <w:tab/>
        <w:t>В основе определения безработицы лежат такие признаки, как отсутствие места работы, готовность немедленно приступить к работе и предпринимать конкретные действия по ее поиску. В Коста-Рике лица, желающие и готовые немедленно приступить к работе, но не ищущие работу в силу усталости и уверенности в том, что уже не смогут ее найти, не считаются безработными. Подобные случаи называются безработицей вследствие разочарования или скрытой безработицей.</w:t>
      </w:r>
    </w:p>
    <w:p w:rsidR="00000000" w:rsidRDefault="00000000">
      <w:pPr>
        <w:tabs>
          <w:tab w:val="left" w:pos="680"/>
        </w:tabs>
        <w:spacing w:before="240" w:line="260" w:lineRule="exact"/>
        <w:jc w:val="both"/>
        <w:rPr>
          <w:sz w:val="22"/>
        </w:rPr>
      </w:pPr>
      <w:r>
        <w:rPr>
          <w:sz w:val="22"/>
        </w:rPr>
        <w:t>20.</w:t>
      </w:r>
      <w:r>
        <w:rPr>
          <w:sz w:val="22"/>
        </w:rPr>
        <w:tab/>
        <w:t xml:space="preserve">В этом смысле рассмотрение реальных проблем занятости не может ограничиваться анализом явной безработицы; также необходимо учитывать общую неполную занятость, скрытую безработицу, скрытую частичную занятость при неполном рабочем дне, ограничения на увеличение рабочего дня по "нерыночным" причинам и нерегулярную занятость. Все это может искажать картину явной безработицы, так как человек может соглашаться на не устраивающую его работу лишь до тех пор, пока не найдет "работу по душе". </w:t>
      </w:r>
    </w:p>
    <w:p w:rsidR="00000000" w:rsidRDefault="00000000">
      <w:pPr>
        <w:tabs>
          <w:tab w:val="left" w:pos="680"/>
        </w:tabs>
        <w:spacing w:before="240" w:line="260" w:lineRule="exact"/>
        <w:jc w:val="both"/>
        <w:rPr>
          <w:sz w:val="22"/>
        </w:rPr>
      </w:pPr>
      <w:r>
        <w:rPr>
          <w:sz w:val="22"/>
        </w:rPr>
        <w:t>21.</w:t>
      </w:r>
      <w:r>
        <w:rPr>
          <w:sz w:val="22"/>
        </w:rPr>
        <w:tab/>
        <w:t>Кроме того, наряду с внедрением этих показателей представляется необходимым повысить качество измерения временной занятости, добавив оценку доступа к социальному страхованию, страхованию рабочих рисков и неполного использования полученной квалификации, к стабильным контрактам, к выполнению трудового законодательства и осуществлению соответствующих прав, а также другие аспекты, которые будут сочтены важными.</w:t>
      </w:r>
    </w:p>
    <w:p w:rsidR="00000000" w:rsidRDefault="00000000">
      <w:pPr>
        <w:tabs>
          <w:tab w:val="left" w:pos="680"/>
        </w:tabs>
        <w:spacing w:before="240" w:line="260" w:lineRule="exact"/>
        <w:jc w:val="both"/>
        <w:rPr>
          <w:sz w:val="22"/>
        </w:rPr>
      </w:pPr>
      <w:r>
        <w:rPr>
          <w:sz w:val="22"/>
        </w:rPr>
        <w:t>22.</w:t>
      </w:r>
      <w:r>
        <w:rPr>
          <w:sz w:val="22"/>
        </w:rPr>
        <w:tab/>
        <w:t xml:space="preserve">Другой основополагающий показатель – </w:t>
      </w:r>
      <w:r>
        <w:rPr>
          <w:b/>
          <w:sz w:val="22"/>
        </w:rPr>
        <w:t>статус главы семьи</w:t>
      </w:r>
      <w:r>
        <w:rPr>
          <w:sz w:val="22"/>
        </w:rPr>
        <w:t>. В определении, которое используется в переписях населения и социологических опросах среди домохозяйств, отмечается:</w:t>
      </w:r>
    </w:p>
    <w:p w:rsidR="00000000" w:rsidRDefault="00000000">
      <w:pPr>
        <w:numPr>
          <w:ilvl w:val="0"/>
          <w:numId w:val="3"/>
        </w:numPr>
        <w:tabs>
          <w:tab w:val="clear" w:pos="720"/>
          <w:tab w:val="left" w:pos="340"/>
          <w:tab w:val="left" w:pos="680"/>
        </w:tabs>
        <w:spacing w:before="240" w:line="260" w:lineRule="exact"/>
        <w:ind w:left="340" w:hanging="340"/>
        <w:jc w:val="both"/>
        <w:rPr>
          <w:sz w:val="22"/>
        </w:rPr>
      </w:pPr>
      <w:r>
        <w:rPr>
          <w:sz w:val="22"/>
        </w:rPr>
        <w:t>прежде всего признание в качестве главы семьи со стороны всех остальных ее членов, что на практике выражается в заявлении опрашиваемого лица;</w:t>
      </w:r>
    </w:p>
    <w:p w:rsidR="00000000" w:rsidRDefault="00000000">
      <w:pPr>
        <w:numPr>
          <w:ilvl w:val="0"/>
          <w:numId w:val="3"/>
        </w:numPr>
        <w:tabs>
          <w:tab w:val="clear" w:pos="720"/>
          <w:tab w:val="left" w:pos="340"/>
          <w:tab w:val="left" w:pos="680"/>
        </w:tabs>
        <w:spacing w:before="240" w:line="260" w:lineRule="exact"/>
        <w:ind w:left="0" w:firstLine="0"/>
        <w:jc w:val="both"/>
        <w:rPr>
          <w:sz w:val="22"/>
        </w:rPr>
      </w:pPr>
      <w:r>
        <w:rPr>
          <w:sz w:val="22"/>
        </w:rPr>
        <w:t>максимальный вклад данного лица в совокупный доход;</w:t>
      </w:r>
    </w:p>
    <w:p w:rsidR="00000000" w:rsidRDefault="00000000">
      <w:pPr>
        <w:numPr>
          <w:ilvl w:val="0"/>
          <w:numId w:val="3"/>
        </w:numPr>
        <w:tabs>
          <w:tab w:val="clear" w:pos="720"/>
          <w:tab w:val="left" w:pos="340"/>
          <w:tab w:val="left" w:pos="680"/>
        </w:tabs>
        <w:spacing w:before="240" w:line="260" w:lineRule="exact"/>
        <w:ind w:left="0" w:firstLine="0"/>
        <w:jc w:val="both"/>
        <w:rPr>
          <w:sz w:val="22"/>
        </w:rPr>
      </w:pPr>
      <w:r>
        <w:rPr>
          <w:sz w:val="22"/>
        </w:rPr>
        <w:t>и, наконец, старшинство.</w:t>
      </w:r>
    </w:p>
    <w:p w:rsidR="00000000" w:rsidRDefault="00000000">
      <w:pPr>
        <w:pStyle w:val="BodyTextIndent3"/>
        <w:tabs>
          <w:tab w:val="left" w:pos="680"/>
        </w:tabs>
        <w:spacing w:line="260" w:lineRule="exact"/>
        <w:ind w:left="0" w:firstLine="0"/>
      </w:pPr>
      <w:r>
        <w:t>23.</w:t>
      </w:r>
      <w:r>
        <w:tab/>
        <w:t>Поскольку этот показатель имеет большое значение для анализа признания соответствующих полномочий при принятии решений в частной сфере, приведенное выше определение благоприятно для мужчин в силу как культурных факторов и их экономических возможностей (оплата труда мужчин выше, чем у женщин, и имеет денежное выражение), так и культурно-демографической составляющей образования супружеских пар.</w:t>
      </w:r>
    </w:p>
    <w:p w:rsidR="00000000" w:rsidRDefault="00000000">
      <w:pPr>
        <w:tabs>
          <w:tab w:val="left" w:pos="680"/>
        </w:tabs>
        <w:spacing w:before="240" w:line="260" w:lineRule="exact"/>
        <w:jc w:val="both"/>
        <w:rPr>
          <w:sz w:val="22"/>
        </w:rPr>
      </w:pPr>
      <w:r>
        <w:rPr>
          <w:sz w:val="22"/>
        </w:rPr>
        <w:t>24.</w:t>
      </w:r>
      <w:r>
        <w:rPr>
          <w:sz w:val="22"/>
        </w:rPr>
        <w:tab/>
        <w:t>Признание женщины главой семьи имеет место только при отсутствии супруга. В силу этого остается в тени огромная ответственность женщин за распределение задач и обязанностей членов семьи, за управление семейным бюджетом, контроль за поведением детей и несовершеннолетних, принятие решений в отношении предметов как длительного, так и недлительного пользования, в том числе продуктов питания, за принятие решений о распределении внутреннего пространства жилища и его оформлении, а также за многие другие вопросы, которые можно обобщенно назвать грузом ответственности при принятии решений в областях, касающихся совместного проживания и воспроизводства членов семьи.</w:t>
      </w:r>
    </w:p>
    <w:p w:rsidR="00000000" w:rsidRDefault="00000000">
      <w:pPr>
        <w:tabs>
          <w:tab w:val="left" w:pos="680"/>
        </w:tabs>
        <w:spacing w:before="240" w:line="260" w:lineRule="exact"/>
        <w:jc w:val="both"/>
        <w:rPr>
          <w:sz w:val="22"/>
        </w:rPr>
      </w:pPr>
      <w:r>
        <w:rPr>
          <w:sz w:val="22"/>
        </w:rPr>
        <w:t>25.</w:t>
      </w:r>
      <w:r>
        <w:rPr>
          <w:sz w:val="22"/>
        </w:rPr>
        <w:tab/>
        <w:t>В этом плане определение, принятое в переписях и социологических опросах, не подходит для изучения проблем гендерного равенства; их единственной целью является идентификация того или иного лица для облегчения сбора данных, что, в свою очередь, способствует последующей типологической классификации домохозяйства, требуемой для социально-экономического анализа. Следовательно, совершенно необходимо, чтобы специалисты в области гендерных исследований определили в концептуальном и оперативном планах, кого именно следует определять как "главу семьи", с тем чтобы данное определение использовалось в переписях и социологических опросах.</w:t>
      </w:r>
    </w:p>
    <w:p w:rsidR="00000000" w:rsidRDefault="00000000">
      <w:pPr>
        <w:tabs>
          <w:tab w:val="left" w:pos="680"/>
        </w:tabs>
        <w:spacing w:before="240" w:line="260" w:lineRule="exact"/>
        <w:jc w:val="both"/>
        <w:rPr>
          <w:sz w:val="22"/>
        </w:rPr>
      </w:pPr>
      <w:r>
        <w:rPr>
          <w:sz w:val="22"/>
        </w:rPr>
        <w:t>26.</w:t>
      </w:r>
      <w:r>
        <w:rPr>
          <w:sz w:val="22"/>
        </w:rPr>
        <w:tab/>
        <w:t xml:space="preserve">В отношении доступа к ресурсам выше отмечалась недостаточность информации по таким вопросам, как производственные и кредитные ресурсы, ресурсы профессионального обучения и др., а также отсутствие разбивки информации по гендерному признаку. Вместе с тем одного только наличия информации недостаточно для анализа положения в отношении гендерного равенства. Кроме того, такой подход пригоден для формулирования стратегий и разработки действий, ориентированных исключительно на женщин. Иными словами, этот подход, "объектом которого является только женщина, видит в ней как причину проблемы, так и единственный путь для ее решения"; если женщины являются объектом помощи, одновременно улучшается ее неблагоприятное положение, "порождаемое и объяснимое, по крайней мере частично, ее традиционными ролями или тройным рабочим днем" (УНА/Институт по изучению положения женщин, 1993, цит. по </w:t>
      </w:r>
      <w:r>
        <w:rPr>
          <w:sz w:val="22"/>
          <w:lang w:val="en-US"/>
        </w:rPr>
        <w:t>Ramos</w:t>
      </w:r>
      <w:r>
        <w:rPr>
          <w:sz w:val="22"/>
        </w:rPr>
        <w:t>, 2001). При более целостном подходе, когда ставится задача содействовать изменению женских и мужских ролей для устранения неравенства в отношении как мужчин, так и женщин, необходимо разработать показатели, отражающие не только положение женщин, но и "специфические механизмы воспроизводства неравенства" (там же). В связи с этим требуют уточнения следующие показатели: доступ к ресурсам и контроль за ними, формы сочетания различных компонентов неравенства, перераспределение ресурсов на разных уровнях. Отсюда следует, что в показателях, отражающих специфические контексты проявления неравенства, необходимо делать упор на разбивку по гендерному признаку.</w:t>
      </w:r>
    </w:p>
    <w:p w:rsidR="00000000" w:rsidRDefault="00000000">
      <w:pPr>
        <w:tabs>
          <w:tab w:val="left" w:pos="680"/>
        </w:tabs>
        <w:spacing w:before="240" w:line="260" w:lineRule="exact"/>
        <w:jc w:val="both"/>
        <w:rPr>
          <w:sz w:val="22"/>
        </w:rPr>
      </w:pPr>
      <w:r>
        <w:rPr>
          <w:sz w:val="22"/>
        </w:rPr>
        <w:t>27.</w:t>
      </w:r>
      <w:r>
        <w:rPr>
          <w:sz w:val="22"/>
        </w:rPr>
        <w:tab/>
        <w:t>Например, недостаточно лишь указать процент женщин, владеющих средствами производства (например, землей), и процент документов на право собственности, выданных женщинам. Необходимо также ввести дополнительные специфические характеристики: семейное положение, географическое местоположение, форма использования производственного ресурса, идентификация эксплуатирующего данный производственный ресурс лица, наличие у данного лица полномочий для принятия решений, подчиненное положение женщины, несмотря на статус владельца, а также другие недоступные в настоящее время показатели, внедрение которых позволит использовать их в специальных исследованиях (например, при проведении переписей в сельскохозяйственном секторе) и в последующем анализе с применением гендерного подхода.</w:t>
      </w:r>
    </w:p>
    <w:p w:rsidR="00000000" w:rsidRDefault="00000000">
      <w:pPr>
        <w:tabs>
          <w:tab w:val="left" w:pos="680"/>
        </w:tabs>
        <w:spacing w:before="240" w:line="260" w:lineRule="exact"/>
        <w:jc w:val="both"/>
        <w:rPr>
          <w:sz w:val="22"/>
        </w:rPr>
      </w:pPr>
      <w:r>
        <w:rPr>
          <w:sz w:val="22"/>
        </w:rPr>
        <w:t>28.</w:t>
      </w:r>
      <w:r>
        <w:rPr>
          <w:sz w:val="22"/>
        </w:rPr>
        <w:tab/>
        <w:t>Технический персонал, поставляющий исходные материалы для разработки стратегий, должен стремиться выявлять механизмы неравенства в материальных условиях существования, собирать информацию, необходимую для выявления и искоренения этих механизмов, а также уточнять показатели и источники информации, даже если они недоступны.</w:t>
      </w:r>
    </w:p>
    <w:p w:rsidR="00000000" w:rsidRDefault="00000000">
      <w:pPr>
        <w:tabs>
          <w:tab w:val="left" w:pos="680"/>
        </w:tabs>
        <w:spacing w:before="240" w:line="260" w:lineRule="exact"/>
        <w:jc w:val="both"/>
        <w:rPr>
          <w:sz w:val="22"/>
        </w:rPr>
      </w:pPr>
      <w:r>
        <w:rPr>
          <w:sz w:val="22"/>
        </w:rPr>
        <w:t>29.</w:t>
      </w:r>
      <w:r>
        <w:rPr>
          <w:sz w:val="22"/>
        </w:rPr>
        <w:tab/>
        <w:t xml:space="preserve">По вопросу </w:t>
      </w:r>
      <w:r>
        <w:rPr>
          <w:b/>
          <w:sz w:val="22"/>
        </w:rPr>
        <w:t>специфических групп</w:t>
      </w:r>
      <w:r>
        <w:rPr>
          <w:sz w:val="22"/>
        </w:rPr>
        <w:t xml:space="preserve"> имеются лишь немногочисленные материалы и исследования, в которых положение женщин, главным образом особое положение женщин из числа коренного населения, рассматривается с этнокультурных позиций. Однако до настоящего времени на национальном уровне не имеется исследований, которые могли бы служить отправной точкой при анализе положения афрокостариканских женщин. Это является отражением исторически сложившегося вследствие расизма отсутствия внимания к афрокостариканской общине. Положение женщин усугубляется и обостряется по гендерным причинам. Добавим к сказанному выше, что до 2000 года по этому вопросу отсутствовала какая-либо официальная информация как в переписях, так и в социологических опросах семей. Если судить по официальным статистическим данным и исследованиям положения и статуса женщин в стране, афрокостариканских женщин просто не существует. В последнюю перепись 2000 года был добавлен вопрос для идентификации этнической принадлежности коста-риканских мужчин и женщин, но в силу недостаточно четкой его формулировки подавляющая часть населения на него не ответила.</w:t>
      </w:r>
    </w:p>
    <w:p w:rsidR="00000000" w:rsidRDefault="00000000">
      <w:pPr>
        <w:tabs>
          <w:tab w:val="left" w:pos="680"/>
        </w:tabs>
        <w:spacing w:before="240" w:line="260" w:lineRule="exact"/>
        <w:jc w:val="both"/>
        <w:rPr>
          <w:sz w:val="22"/>
        </w:rPr>
      </w:pPr>
      <w:r>
        <w:rPr>
          <w:sz w:val="22"/>
        </w:rPr>
        <w:t>30.</w:t>
      </w:r>
      <w:r>
        <w:rPr>
          <w:sz w:val="22"/>
        </w:rPr>
        <w:tab/>
        <w:t>Настоящий доклад включает четыре части. В первой части актуализируется контекст, в котором страна осуществляет деятельность по ликвидации гендерного неравенства и ущемления прав женщин, а также сформулированы основные задачи, которые стоят перед государством и обществом Коста-Рики. При таком подходе вместо несистематизированного и фрагментарного описания становится возможным провести более четкий, последовательный и детальный анализ.</w:t>
      </w:r>
    </w:p>
    <w:p w:rsidR="00000000" w:rsidRDefault="00000000">
      <w:pPr>
        <w:tabs>
          <w:tab w:val="left" w:pos="680"/>
        </w:tabs>
        <w:spacing w:before="240" w:line="260" w:lineRule="exact"/>
        <w:jc w:val="both"/>
        <w:rPr>
          <w:sz w:val="22"/>
        </w:rPr>
      </w:pPr>
      <w:r>
        <w:rPr>
          <w:sz w:val="22"/>
        </w:rPr>
        <w:t>31.</w:t>
      </w:r>
      <w:r>
        <w:rPr>
          <w:sz w:val="22"/>
        </w:rPr>
        <w:tab/>
        <w:t>Во второй части речь идет о выполнении Коста-Рикой положений Конвенции в отчетном периоде. Проанализированы наиболее значимые достижения и тенденции по каждой статье Конвенции и с учетом рекомендаций Комитета по ликвидации дискриминации в отношении женщин. Для удобства изложения было решено не включать специальный раздел, посвященный мерам, которые были приняты Коста-Рикой в целях выполнения обязательств в соответствии с Пекинской декларацией и Платформой действий. Несмотря на то что некоторые проблемные вопросы, вызывающие обеспокоенность, в явном виде не сформулированы в данном правовом инструменте, мы полагали, что данные обязательства должны быть рассмотрены в контексте конкретных статей Конвенции, так как в рекомендациях Комитета содержатся указания на то, в какие разделы их следует включать. Благодаря этому нам удалось избежать излишних повторов.</w:t>
      </w:r>
    </w:p>
    <w:p w:rsidR="00000000" w:rsidRDefault="00000000">
      <w:pPr>
        <w:tabs>
          <w:tab w:val="left" w:pos="680"/>
        </w:tabs>
        <w:spacing w:before="240" w:line="260" w:lineRule="exact"/>
        <w:jc w:val="both"/>
        <w:rPr>
          <w:sz w:val="22"/>
        </w:rPr>
      </w:pPr>
      <w:r>
        <w:rPr>
          <w:sz w:val="22"/>
        </w:rPr>
        <w:t>32.</w:t>
      </w:r>
      <w:r>
        <w:rPr>
          <w:sz w:val="22"/>
        </w:rPr>
        <w:tab/>
        <w:t>В третьей части суммируются основные достижения за отчетный период, а также указываются цели и задачи, требующие внимания государства в краткосрочной и среднесрочной перспективах. В задачи этой заключительной части входит предоставление Комитету материалов для вынесения им рекомендаций Коста-Рике, стремящейся к продвижению по пути ликвидации различных форм дискриминации в отношении женщин, что является необходимым условием построения общества, в котором гендерные отношения строятся главным образом на основе демократии, справедливости и социального равенства всех граждан.</w:t>
      </w:r>
    </w:p>
    <w:p w:rsidR="00000000" w:rsidRDefault="00000000">
      <w:pPr>
        <w:tabs>
          <w:tab w:val="left" w:pos="680"/>
        </w:tabs>
        <w:spacing w:before="240" w:line="260" w:lineRule="exact"/>
        <w:jc w:val="both"/>
        <w:rPr>
          <w:sz w:val="22"/>
        </w:rPr>
      </w:pPr>
      <w:r>
        <w:rPr>
          <w:sz w:val="22"/>
        </w:rPr>
        <w:t>33.</w:t>
      </w:r>
      <w:r>
        <w:rPr>
          <w:sz w:val="22"/>
        </w:rPr>
        <w:tab/>
        <w:t>Коста-Рика выражает поддержку Конвенции и подтверждает свое обязательство и впредь содействовать созданию условий, необходимых для обеспечения равенства возможностей, гендерного равенства и активного осуществления женщинами Коста-Рики своих гражданских прав.</w:t>
      </w:r>
    </w:p>
    <w:p w:rsidR="00000000" w:rsidRDefault="00000000">
      <w:pPr>
        <w:tabs>
          <w:tab w:val="left" w:pos="680"/>
        </w:tabs>
        <w:spacing w:before="240" w:line="260" w:lineRule="exact"/>
        <w:jc w:val="both"/>
        <w:rPr>
          <w:sz w:val="22"/>
        </w:rPr>
      </w:pPr>
      <w:r>
        <w:rPr>
          <w:sz w:val="22"/>
        </w:rPr>
        <w:t>34.</w:t>
      </w:r>
      <w:r>
        <w:rPr>
          <w:sz w:val="22"/>
        </w:rPr>
        <w:tab/>
        <w:t>Правительство Коста-Рики с удовлетворением представляет на рассмотрение Комитета настоящий второй и третий доклады во исполнение обязательства, принятого страной при подписании Конвенции. В данном докладом правительство подтверждает свое твердое намерение прилагать усилия по выполнению обязательств, взятых им при ратификации Конвенции.</w:t>
      </w:r>
    </w:p>
    <w:p w:rsidR="00000000" w:rsidRDefault="00000000">
      <w:pPr>
        <w:jc w:val="center"/>
        <w:rPr>
          <w:b/>
          <w:caps/>
        </w:rPr>
      </w:pPr>
      <w:r>
        <w:br w:type="page"/>
      </w:r>
      <w:r>
        <w:rPr>
          <w:b/>
          <w:caps/>
        </w:rPr>
        <w:t>часть I</w:t>
      </w:r>
    </w:p>
    <w:p w:rsidR="00000000" w:rsidRDefault="00000000">
      <w:pPr>
        <w:spacing w:before="120"/>
        <w:jc w:val="center"/>
        <w:rPr>
          <w:b/>
          <w:caps/>
        </w:rPr>
      </w:pPr>
      <w:r>
        <w:rPr>
          <w:b/>
          <w:caps/>
        </w:rPr>
        <w:t xml:space="preserve">успехи, достигнутые в улучшении </w:t>
      </w:r>
      <w:r>
        <w:rPr>
          <w:b/>
          <w:caps/>
        </w:rPr>
        <w:br/>
        <w:t>положения женщин Коста-рикИ:</w:t>
      </w:r>
      <w:r>
        <w:rPr>
          <w:b/>
          <w:caps/>
        </w:rPr>
        <w:br/>
        <w:t>общиЕ итогИ</w:t>
      </w:r>
    </w:p>
    <w:p w:rsidR="00000000" w:rsidRDefault="00000000">
      <w:pPr>
        <w:tabs>
          <w:tab w:val="left" w:pos="680"/>
        </w:tabs>
        <w:spacing w:before="360" w:line="260" w:lineRule="exact"/>
        <w:jc w:val="both"/>
        <w:rPr>
          <w:sz w:val="22"/>
        </w:rPr>
      </w:pPr>
      <w:r>
        <w:rPr>
          <w:sz w:val="22"/>
        </w:rPr>
        <w:t>35.</w:t>
      </w:r>
      <w:r>
        <w:rPr>
          <w:sz w:val="22"/>
        </w:rPr>
        <w:tab/>
        <w:t>За прошедшее десятилетие положение женщин Коста-Рики претерпело значительные изменения благодаря нескольким факторам. С одной стороны, принятие 8 марта 1990 года Закона о социальном равенстве женщин явилось важной вехой в борьбе женского движения и государственных учреждений за создание условий, способствующих обеспечению подлинного равенства женщин. С другой стороны, модель экономического развития, в основе которой лежит интернационализация экономики, ставит новые проблемы и задачи в области социального положения женщин и их возможностей пользоваться выгодами развития наравне с мужчинами. Наконец, осуществление комплекса стратегий, направленных на достижение гендерного равенства, и создание государственных учреждений, ответственных за осуществление этих стратегий и гарантирующих их претворение в жизнь, открывает новые перспективы, ставит новые проблемы и задачи. Кроме того, были сформулированы общие задачи в таких областях, как облегчение доступа к образованию и занятости, сексуальное насилие, насилие в семье и участие в политической жизни</w:t>
      </w:r>
      <w:r>
        <w:rPr>
          <w:rStyle w:val="FootnoteReference"/>
          <w:sz w:val="22"/>
        </w:rPr>
        <w:footnoteReference w:id="3"/>
      </w:r>
      <w:r>
        <w:rPr>
          <w:sz w:val="22"/>
        </w:rPr>
        <w:t>.</w:t>
      </w:r>
    </w:p>
    <w:p w:rsidR="00000000" w:rsidRDefault="00000000">
      <w:pPr>
        <w:tabs>
          <w:tab w:val="left" w:pos="680"/>
        </w:tabs>
        <w:spacing w:before="240" w:line="260" w:lineRule="exact"/>
        <w:jc w:val="both"/>
        <w:rPr>
          <w:sz w:val="22"/>
        </w:rPr>
      </w:pPr>
      <w:r>
        <w:rPr>
          <w:sz w:val="22"/>
        </w:rPr>
        <w:t>36.</w:t>
      </w:r>
      <w:r>
        <w:rPr>
          <w:sz w:val="22"/>
        </w:rPr>
        <w:tab/>
        <w:t xml:space="preserve">В соответствии с </w:t>
      </w:r>
      <w:r>
        <w:rPr>
          <w:sz w:val="22"/>
          <w:lang w:val="en-US"/>
        </w:rPr>
        <w:t>IX</w:t>
      </w:r>
      <w:r>
        <w:rPr>
          <w:sz w:val="22"/>
        </w:rPr>
        <w:t xml:space="preserve"> Национальной переписью населения, которая была проведена в июне 2000 года, на этот момент в Коста-Рике насчитывалось 3 810 179 жителей, из них 1 902 614 мужчин и 1 907 565 женщин. В период 1950–1963 годов был зарегистрирован самый высокий рост численности населения за всю историю страны – 3,9 процента. Впоследствии, в 1973–1984 годах, этот показатель снизился до 2,3 процента и вновь поднялся до 2,8 процента в 1984–2000 годах. Повышение этого показателя объясняется притоком иммигрантов, так как именно в этот период отмечалось снижение рождаемости, а уровень смертности был низким и стабильным (Национальный институт статистики и переписей, 2001 год).</w:t>
      </w:r>
    </w:p>
    <w:p w:rsidR="00000000" w:rsidRDefault="00000000">
      <w:pPr>
        <w:tabs>
          <w:tab w:val="left" w:pos="680"/>
        </w:tabs>
        <w:spacing w:before="240" w:line="260" w:lineRule="exact"/>
        <w:jc w:val="both"/>
        <w:rPr>
          <w:sz w:val="22"/>
        </w:rPr>
      </w:pPr>
      <w:r>
        <w:rPr>
          <w:sz w:val="22"/>
        </w:rPr>
        <w:t>37.</w:t>
      </w:r>
      <w:r>
        <w:rPr>
          <w:sz w:val="22"/>
        </w:rPr>
        <w:tab/>
        <w:t>Иммигранты обоего пола составили 7,8 процента общей численности населения страны. Это самый высокий показатель за последние пятьдесят лет. Три четверти данной категории населения составляли выходцы из Никарагуа. В настоящее время наметилась тенденция к росту численности выходцев из Колумбии (Национальный институт статистики и переписей, 2001 год).</w:t>
      </w:r>
    </w:p>
    <w:p w:rsidR="00000000" w:rsidRDefault="00000000">
      <w:pPr>
        <w:tabs>
          <w:tab w:val="left" w:pos="680"/>
        </w:tabs>
        <w:spacing w:before="240" w:line="260" w:lineRule="exact"/>
        <w:jc w:val="both"/>
        <w:rPr>
          <w:sz w:val="22"/>
        </w:rPr>
      </w:pPr>
      <w:r>
        <w:rPr>
          <w:sz w:val="22"/>
        </w:rPr>
        <w:t xml:space="preserve">38. </w:t>
      </w:r>
      <w:r>
        <w:rPr>
          <w:sz w:val="22"/>
        </w:rPr>
        <w:tab/>
        <w:t xml:space="preserve">Коста-Рика представляет собой полиэтническое и поликультурное общество, при этом значительную часть населения составляют метисы и лица европейского происхождения. Следующие три крупнейшие этнические группы – индейцы, выходцы из Африки и Китая. Согласно переписи 2000 года, коренное население возросло до 63 876 человек (1,7 процента), из них 32 880 мужчин и 30 996 женщин. Большинство коренного населения проживает в сельских районах (50 493 человека), в то время как только 13 383 человека живут в городах (Национальный институт статистики и переписей, 2001 год). Афрокостариканское, или негритянское, население, согласно переписи, составляло 72 784 человека (1,9 процента), из них 36 478 мужчин и 36 306 женщин. В отличие от коренного населения, негритянское население проживает главным образом в городах </w:t>
      </w:r>
      <w:r>
        <w:rPr>
          <w:sz w:val="22"/>
        </w:rPr>
        <w:br/>
        <w:t>(46 903 человека) (Национальный институт статистики и переписей, 2001 год). Другое этническое меньшинство в Коста-Рике – китайцы, составляющие 7873 человека (0,2 процента), из них 4089 мужчин и 3784 женщины. Большинство китайского населения (88 процентов) проживает в городах (Национальный институт статистики и переписей, 2001 год)</w:t>
      </w:r>
      <w:r>
        <w:rPr>
          <w:rStyle w:val="FootnoteReference"/>
          <w:sz w:val="22"/>
        </w:rPr>
        <w:footnoteReference w:id="4"/>
      </w:r>
      <w:r>
        <w:rPr>
          <w:sz w:val="22"/>
        </w:rPr>
        <w:t>.</w:t>
      </w:r>
    </w:p>
    <w:p w:rsidR="00000000" w:rsidRDefault="00000000">
      <w:pPr>
        <w:tabs>
          <w:tab w:val="left" w:pos="680"/>
        </w:tabs>
        <w:spacing w:before="240" w:line="260" w:lineRule="exact"/>
        <w:jc w:val="both"/>
        <w:rPr>
          <w:sz w:val="22"/>
        </w:rPr>
      </w:pPr>
      <w:r>
        <w:rPr>
          <w:sz w:val="22"/>
        </w:rPr>
        <w:t>39.</w:t>
      </w:r>
      <w:r>
        <w:rPr>
          <w:sz w:val="22"/>
        </w:rPr>
        <w:tab/>
        <w:t>В настоящее время плотность населения в Коста-Рике составляет 75 человек на 1 кв. км по сравнению с 47 в 1984 году, то есть увеличилась на 60 процентов. Вместе с тем в разных регионах плотность населения различна: в Центральной долине есть кантоны, где плотность населения превышает 100 человек на 1 кв. км, в то время как в других кантонах она едва достигает 10 человек (Национальный институт статистики и переписей, 2001 год). Этот фактор определяет, в частности, спрос на услуги и их качество.</w:t>
      </w:r>
    </w:p>
    <w:p w:rsidR="00000000" w:rsidRDefault="00000000">
      <w:pPr>
        <w:tabs>
          <w:tab w:val="left" w:pos="680"/>
        </w:tabs>
        <w:spacing w:before="240" w:line="260" w:lineRule="exact"/>
        <w:jc w:val="both"/>
        <w:rPr>
          <w:sz w:val="22"/>
        </w:rPr>
      </w:pPr>
      <w:r>
        <w:rPr>
          <w:sz w:val="22"/>
        </w:rPr>
        <w:t>40.</w:t>
      </w:r>
      <w:r>
        <w:rPr>
          <w:sz w:val="22"/>
        </w:rPr>
        <w:tab/>
        <w:t>В результате урбанизации центрального региона страны в 2000 году 75 процентов населения Коста-Рики проживало в Большом столичном округе. Центральный регион включает провинцию Сан-Хосе и столицы провинций Картаго, Эредия и Алахуэла. За последнее десятилетие в стране доля городского населения увеличилась до 59,0 процента как мужчин, так и женщин (Национальный институт статистики и переписей, 2001 год). Приток населения в города определяется неодинаковыми возможностями в сфере занятости и в том, что касается доступа к социальным и образовательным услугам (проект "Состояние нации",</w:t>
      </w:r>
      <w:r>
        <w:rPr>
          <w:color w:val="FF0000"/>
          <w:sz w:val="22"/>
        </w:rPr>
        <w:t xml:space="preserve"> </w:t>
      </w:r>
      <w:r>
        <w:rPr>
          <w:sz w:val="22"/>
        </w:rPr>
        <w:t>2001 год).</w:t>
      </w:r>
    </w:p>
    <w:p w:rsidR="00000000" w:rsidRDefault="00000000">
      <w:pPr>
        <w:tabs>
          <w:tab w:val="left" w:pos="680"/>
        </w:tabs>
        <w:spacing w:before="240" w:line="260" w:lineRule="exact"/>
        <w:jc w:val="both"/>
        <w:rPr>
          <w:sz w:val="22"/>
        </w:rPr>
      </w:pPr>
      <w:r>
        <w:rPr>
          <w:sz w:val="22"/>
        </w:rPr>
        <w:t>41.</w:t>
      </w:r>
      <w:r>
        <w:rPr>
          <w:sz w:val="22"/>
        </w:rPr>
        <w:tab/>
        <w:t>Как было отмечено выше, перепись 2000 года</w:t>
      </w:r>
      <w:r>
        <w:rPr>
          <w:rStyle w:val="FootnoteReference"/>
          <w:sz w:val="22"/>
        </w:rPr>
        <w:footnoteReference w:id="5"/>
      </w:r>
      <w:r>
        <w:rPr>
          <w:sz w:val="22"/>
        </w:rPr>
        <w:t xml:space="preserve"> показала, что соотношение мужчин и женщин примерно составляет 100:100. Однако данное соотношение неодинаково в разных возрастных группах. Так, в основных возрастных группах отмечается соотношение 104 мужчин на 100 женщин, а в группе старше 75 лет оно снижается до 84 на 100, что объясняется большей продолжительностью жизни женщин по сравнению с мужчинами (Национальный институт статистики и переписей, 2001 год).</w:t>
      </w:r>
    </w:p>
    <w:p w:rsidR="00000000" w:rsidRDefault="00000000">
      <w:pPr>
        <w:tabs>
          <w:tab w:val="left" w:pos="680"/>
        </w:tabs>
        <w:spacing w:before="240" w:line="260" w:lineRule="exact"/>
        <w:jc w:val="both"/>
        <w:rPr>
          <w:spacing w:val="-4"/>
          <w:sz w:val="22"/>
        </w:rPr>
      </w:pPr>
      <w:r>
        <w:rPr>
          <w:sz w:val="22"/>
        </w:rPr>
        <w:t>42.</w:t>
      </w:r>
      <w:r>
        <w:rPr>
          <w:sz w:val="22"/>
        </w:rPr>
        <w:tab/>
      </w:r>
      <w:r>
        <w:rPr>
          <w:spacing w:val="-4"/>
          <w:sz w:val="22"/>
        </w:rPr>
        <w:t>В 2000 году в возрастной структуре населения обозначилась тенденция к старению: несовершеннолетние составляют 31,9 процента населения, в то время как на долю лиц 65 лет и старше приходится 5,6 процента</w:t>
      </w:r>
      <w:r>
        <w:rPr>
          <w:rStyle w:val="FootnoteReference"/>
          <w:spacing w:val="-4"/>
          <w:sz w:val="22"/>
        </w:rPr>
        <w:footnoteReference w:id="6"/>
      </w:r>
      <w:r>
        <w:rPr>
          <w:spacing w:val="-4"/>
          <w:sz w:val="22"/>
        </w:rPr>
        <w:t>. Это обстоятельство, как указывалось выше, связано со стабильным и низким уровнем смертности, уменьшением рождаемости и ростом иммиграции (Национальный институт статистики и переписей, 2001 год). Приблизительный уровень рождаемости в 2000 году составил 21,4 на 1000 жителей (проект "Состояние нации",</w:t>
      </w:r>
      <w:r>
        <w:rPr>
          <w:color w:val="FF0000"/>
          <w:spacing w:val="-4"/>
          <w:sz w:val="22"/>
        </w:rPr>
        <w:t xml:space="preserve"> </w:t>
      </w:r>
      <w:r>
        <w:rPr>
          <w:spacing w:val="-4"/>
          <w:sz w:val="22"/>
        </w:rPr>
        <w:t>2001 год).</w:t>
      </w:r>
    </w:p>
    <w:p w:rsidR="00000000" w:rsidRDefault="00000000">
      <w:pPr>
        <w:tabs>
          <w:tab w:val="left" w:pos="680"/>
        </w:tabs>
        <w:spacing w:before="240" w:line="260" w:lineRule="exact"/>
        <w:jc w:val="both"/>
        <w:rPr>
          <w:sz w:val="22"/>
        </w:rPr>
      </w:pPr>
      <w:r>
        <w:rPr>
          <w:sz w:val="22"/>
        </w:rPr>
        <w:t>43.</w:t>
      </w:r>
      <w:r>
        <w:rPr>
          <w:sz w:val="22"/>
        </w:rPr>
        <w:tab/>
        <w:t>В седьмом отчете о положении в стране (проект "Состояние нации",</w:t>
      </w:r>
      <w:r>
        <w:rPr>
          <w:color w:val="FF0000"/>
          <w:sz w:val="22"/>
        </w:rPr>
        <w:t xml:space="preserve"> </w:t>
      </w:r>
      <w:r>
        <w:rPr>
          <w:sz w:val="22"/>
        </w:rPr>
        <w:t>2001 год) изменения в возрастной структуре населения были расценены как благоприятный для страны фактор. Действительно, было отмечено изменение в доле иждивенцев – уменьшилось число материально зависимых от групп продуктивного возраста. В ближайшие годы ожидается дальнейшее сокращение доли иждивенцев в связи с вовлечением их в трудовую деятельность. Несмотря на то что эта тенденция предоставляет Коста-Рике благоприятные возможности, их использование будет зависеть от состояния здоровья и образовательного уровня населения, а также от конъюнктуры на рынке и труда.</w:t>
      </w:r>
    </w:p>
    <w:p w:rsidR="00000000" w:rsidRDefault="00000000">
      <w:pPr>
        <w:tabs>
          <w:tab w:val="left" w:pos="680"/>
        </w:tabs>
        <w:spacing w:before="240" w:line="260" w:lineRule="exact"/>
        <w:jc w:val="both"/>
        <w:rPr>
          <w:sz w:val="22"/>
        </w:rPr>
      </w:pPr>
      <w:r>
        <w:rPr>
          <w:sz w:val="22"/>
        </w:rPr>
        <w:t>44.</w:t>
      </w:r>
      <w:r>
        <w:rPr>
          <w:sz w:val="22"/>
        </w:rPr>
        <w:tab/>
        <w:t>Коста-Рике удалось добиться значительных успехов в области здравоохранения, что положительно сказалось на общих условиях жизни женщин. Следует отметить, однако, что существуют явные различия в зависимости от места проживания и образовательного уровня женщин; наиболее высокие показатели отмечены у женщин, имеющих более высокий уровень образования и живущих в городах.</w:t>
      </w:r>
    </w:p>
    <w:p w:rsidR="00000000" w:rsidRDefault="00000000">
      <w:pPr>
        <w:tabs>
          <w:tab w:val="left" w:pos="680"/>
        </w:tabs>
        <w:spacing w:before="240" w:line="260" w:lineRule="exact"/>
        <w:jc w:val="both"/>
        <w:rPr>
          <w:sz w:val="22"/>
        </w:rPr>
      </w:pPr>
      <w:r>
        <w:rPr>
          <w:sz w:val="22"/>
        </w:rPr>
        <w:t>45.</w:t>
      </w:r>
      <w:r>
        <w:rPr>
          <w:sz w:val="22"/>
        </w:rPr>
        <w:tab/>
        <w:t>В 2000 году продолжительность предстоящей жизни при рождении составила 77,9 лет, превысив прогнозируемое на 1995– 2000 годы значение в 75,6 лет. Как показано на диаграмме 1, продолжительность жизни у женщин выше, чем у мужчин, и на 2,81 года превышает среднюю величину, отмеченную в стране.</w:t>
      </w:r>
    </w:p>
    <w:p w:rsidR="00000000" w:rsidRDefault="00000000">
      <w:pPr>
        <w:pStyle w:val="BodyText2"/>
        <w:tabs>
          <w:tab w:val="left" w:pos="680"/>
        </w:tabs>
        <w:spacing w:before="360" w:line="260" w:lineRule="exact"/>
        <w:rPr>
          <w:b/>
          <w:sz w:val="22"/>
        </w:rPr>
      </w:pPr>
      <w:r>
        <w:rPr>
          <w:b/>
          <w:sz w:val="22"/>
        </w:rPr>
        <w:t>Диаграмма 1</w:t>
      </w:r>
      <w:r>
        <w:rPr>
          <w:b/>
          <w:sz w:val="22"/>
        </w:rPr>
        <w:br/>
        <w:t xml:space="preserve">Продолжительность предстоящей жизни при рождении, </w:t>
      </w:r>
      <w:r>
        <w:rPr>
          <w:b/>
          <w:sz w:val="22"/>
        </w:rPr>
        <w:br/>
        <w:t>в разбивке по полу. Коста-Рика, 1990–2000 годы</w:t>
      </w:r>
    </w:p>
    <w:p w:rsidR="00000000" w:rsidRDefault="00000000">
      <w:pPr>
        <w:tabs>
          <w:tab w:val="left" w:pos="680"/>
        </w:tabs>
        <w:spacing w:before="120"/>
        <w:jc w:val="center"/>
        <w:rPr>
          <w:i/>
          <w:sz w:val="22"/>
        </w:rPr>
      </w:pPr>
      <w:r>
        <w:rPr>
          <w:i/>
          <w:sz w:val="22"/>
        </w:rPr>
        <w:object w:dxaOrig="4320" w:dyaOrig="28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2in" o:ole="">
            <v:imagedata r:id="rId18" o:title=""/>
          </v:shape>
          <o:OLEObject Type="Embed" ProgID="MSGraph.Chart.8" ShapeID="_x0000_i1025" DrawAspect="Content" ObjectID="_1394547691" r:id="rId19">
            <o:FieldCodes>\s</o:FieldCodes>
          </o:OLEObject>
        </w:object>
      </w:r>
    </w:p>
    <w:p w:rsidR="00000000" w:rsidRDefault="00000000">
      <w:pPr>
        <w:tabs>
          <w:tab w:val="left" w:pos="680"/>
        </w:tabs>
        <w:spacing w:before="240" w:line="260" w:lineRule="exact"/>
        <w:jc w:val="both"/>
        <w:rPr>
          <w:sz w:val="20"/>
        </w:rPr>
      </w:pPr>
      <w:r>
        <w:rPr>
          <w:b/>
          <w:sz w:val="20"/>
        </w:rPr>
        <w:t>Источники:</w:t>
      </w:r>
      <w:r>
        <w:rPr>
          <w:sz w:val="20"/>
        </w:rPr>
        <w:t xml:space="preserve"> Министерство планирования и экономической политики, 1995 год; </w:t>
      </w:r>
      <w:r>
        <w:rPr>
          <w:sz w:val="20"/>
          <w:lang w:val="en-US"/>
        </w:rPr>
        <w:t>INEC</w:t>
      </w:r>
      <w:r>
        <w:rPr>
          <w:sz w:val="20"/>
        </w:rPr>
        <w:t>, 2001.</w:t>
      </w:r>
    </w:p>
    <w:p w:rsidR="00000000" w:rsidRDefault="00000000">
      <w:pPr>
        <w:tabs>
          <w:tab w:val="left" w:pos="680"/>
        </w:tabs>
        <w:spacing w:before="360" w:line="260" w:lineRule="exact"/>
        <w:jc w:val="both"/>
        <w:rPr>
          <w:sz w:val="22"/>
        </w:rPr>
      </w:pPr>
      <w:r>
        <w:rPr>
          <w:sz w:val="22"/>
        </w:rPr>
        <w:t>46.</w:t>
      </w:r>
      <w:r>
        <w:rPr>
          <w:sz w:val="22"/>
        </w:rPr>
        <w:tab/>
        <w:t>В связи с указанной тенденцией к увеличению продолжительности жизни женщин системы здравоохранения и социального обеспечения должны разработать соответствующие прогнозы для гарантированного учета их специфических гендерных потребностей, выходящих за рамки репродуктивной функции.</w:t>
      </w:r>
    </w:p>
    <w:p w:rsidR="00000000" w:rsidRDefault="00000000">
      <w:pPr>
        <w:tabs>
          <w:tab w:val="left" w:pos="680"/>
        </w:tabs>
        <w:spacing w:before="240" w:line="260" w:lineRule="exact"/>
        <w:jc w:val="both"/>
        <w:rPr>
          <w:sz w:val="22"/>
        </w:rPr>
      </w:pPr>
      <w:r>
        <w:rPr>
          <w:sz w:val="22"/>
        </w:rPr>
        <w:t>47.</w:t>
      </w:r>
      <w:r>
        <w:rPr>
          <w:sz w:val="22"/>
        </w:rPr>
        <w:tab/>
        <w:t>Увеличение предстоящей продолжительности жизни при рождении связано со значительным снижением младенческой смертности. В конце 2001 года она составляла 10,2 на 1000 живорождений. Это самый высокий показатель за последнее десятилетие, который, по мнению Министерства здравоохранения, был достигнут благодаря снижению смертности от острых инфекционных заболеваний, особенно желудочно-кишечных и респираторных. Наибольшее снижение отмечено в группе ранней младенческой смертности, то есть в течение семи дней после рождения. Вместе с тем уровень младенческой смертности различается по регионам и социально-экономическим слоям общества; так, в некоторых кантонах детская смертность превышает уровень 1995 года (13,2 на 1000) (проект "Состояние нации", 2001 год).</w:t>
      </w:r>
    </w:p>
    <w:p w:rsidR="00000000" w:rsidRDefault="00000000">
      <w:pPr>
        <w:tabs>
          <w:tab w:val="left" w:pos="680"/>
        </w:tabs>
        <w:spacing w:before="240" w:line="260" w:lineRule="exact"/>
        <w:jc w:val="both"/>
        <w:rPr>
          <w:sz w:val="22"/>
        </w:rPr>
      </w:pPr>
      <w:r>
        <w:rPr>
          <w:sz w:val="22"/>
        </w:rPr>
        <w:t>48.</w:t>
      </w:r>
      <w:r>
        <w:rPr>
          <w:sz w:val="22"/>
        </w:rPr>
        <w:tab/>
        <w:t>В Коста-Рике сохраняется довольно низкий общий уровень смертности по сравнению с другими странами региона: 4,1 на 1000 жителей. При этом большинство случаев смерти приходится на группы преклонного возраста. Рассмотрение основных причин смерти в разбивке по полу показывает их более высокую частотность среди мужчин. Основная причина смерти среди мужчин – рак желудка (17,9 случаев смерти на 100 000 мужчин в 1999 году). В то же время в этом же году уровень смертности от рака шейки матки – основной причины смерти у женщин – составлял 9,3 на 100 000 женщин (проект "Состояние нации",</w:t>
      </w:r>
      <w:r>
        <w:rPr>
          <w:color w:val="FF0000"/>
          <w:sz w:val="22"/>
        </w:rPr>
        <w:t xml:space="preserve"> </w:t>
      </w:r>
      <w:r>
        <w:rPr>
          <w:sz w:val="22"/>
        </w:rPr>
        <w:t>2001 год).</w:t>
      </w:r>
    </w:p>
    <w:p w:rsidR="00000000" w:rsidRDefault="00000000">
      <w:pPr>
        <w:tabs>
          <w:tab w:val="left" w:pos="680"/>
        </w:tabs>
        <w:spacing w:before="240" w:line="260" w:lineRule="exact"/>
        <w:jc w:val="both"/>
        <w:rPr>
          <w:sz w:val="22"/>
        </w:rPr>
      </w:pPr>
      <w:r>
        <w:rPr>
          <w:sz w:val="22"/>
        </w:rPr>
        <w:t>49.</w:t>
      </w:r>
      <w:r>
        <w:rPr>
          <w:sz w:val="22"/>
        </w:rPr>
        <w:tab/>
        <w:t>С 1998 года в рамках решения этой проблемы и в свете комплексной охраны здоровья женщин сектором здравоохранения было начато осуществление мероприятий в этой области при поддержке Канцелярии первой дамы и Национального института по делам женщин (ИНАМУ). Программа профилактики и раннего выявления рака шейки матки и молочной железы способствовала увеличению охвата цитологическими анализами вагины и раннему выявлению рака шейки матки. В результате количество цитологических анализов увеличилось примерно на 200 процентов, а смертность сократилась с 9,2 на 100 000 женщин в 1994 году до 6,2 на 100 000 в 2000 году. Что касается раннего выявления рака молочной железы, то в этом же году на каждые два случая уже имеющегося заболевания раком был выявлен один случай начала болезни. В начале десятилетия соотношение было обратным (Канцелярия первой дамы, 2002 год).</w:t>
      </w:r>
    </w:p>
    <w:p w:rsidR="00000000" w:rsidRDefault="00000000">
      <w:pPr>
        <w:tabs>
          <w:tab w:val="left" w:pos="680"/>
        </w:tabs>
        <w:spacing w:before="240" w:line="260" w:lineRule="exact"/>
        <w:jc w:val="both"/>
        <w:rPr>
          <w:sz w:val="22"/>
        </w:rPr>
      </w:pPr>
      <w:r>
        <w:rPr>
          <w:sz w:val="22"/>
        </w:rPr>
        <w:t xml:space="preserve">50. </w:t>
      </w:r>
      <w:r>
        <w:rPr>
          <w:sz w:val="22"/>
        </w:rPr>
        <w:tab/>
        <w:t>В области образования женщин отмечалась положительная динамика по сравнению с прежней ситуацией и с положением дел среди мужчин. На всех уровнях образования женщин больше, чем мужчин, а средний срок их обучения выше. Кроме того, в стране удалось снизить общий уровень неграмотности – с 6,9 процента в 1984 году до 4,8 процента в 2000 году (Национальный институт статистики и переписей, 2001 год), причем этот показатель почти одинаков для мужчин и женщин. Несмотря на то что снижение неграмотности отмечается во всех провинциях, между последними сохраняются различия. Так, уровень неграмотности был ниже в провинциях, расположенных в Большом столичном округе (провинции Сан-Хосе, Картаго, Алахуэла и Эредия), в то время как в отдаленных провинциях (Лимон, Пунтаренас и Гуанакасте) он был выше. В последних отмечен наивысший уровень бедности.</w:t>
      </w:r>
    </w:p>
    <w:p w:rsidR="00000000" w:rsidRDefault="00000000">
      <w:pPr>
        <w:tabs>
          <w:tab w:val="left" w:pos="680"/>
        </w:tabs>
        <w:spacing w:before="240" w:line="260" w:lineRule="exact"/>
        <w:jc w:val="both"/>
        <w:rPr>
          <w:sz w:val="22"/>
        </w:rPr>
      </w:pPr>
      <w:r>
        <w:rPr>
          <w:sz w:val="22"/>
        </w:rPr>
        <w:t xml:space="preserve">51. </w:t>
      </w:r>
      <w:r>
        <w:rPr>
          <w:sz w:val="22"/>
        </w:rPr>
        <w:tab/>
        <w:t>Охват образовательными учреждениями как в целом, так и в разных возрастных группах и в отношении обоих полов повысился с 28,3 процента в 1984 году до 33,6 процента в 2000 году. Вместе с тем отмечаются значительные различия по регионам: в городах учебные заведения посещали 62,6 процента населения в возрасте от 5 до 29 лет, в то время как в сельских районах – 51,2 процента. Различия касаются также и уровня образования, причем больше всего возрос охват дошкольными учреждениями (с 38,0 процента в 1984 году до 64,6 процента в 2000 году). Незначительно повысился охват начальной школой – с 91,4 до 95,7 процента. В то же время для средней школы показатель возрос с 41,2 до 61,3 процента. Это свидетельствует о том, что в стране существует серьезная проблема, связанная с поступлением молодых людей в среднюю школу и посещаемостью (Национальный институт статистики и переписей, 2001 год).</w:t>
      </w:r>
    </w:p>
    <w:p w:rsidR="00000000" w:rsidRDefault="00000000">
      <w:pPr>
        <w:tabs>
          <w:tab w:val="left" w:pos="680"/>
        </w:tabs>
        <w:spacing w:before="240" w:line="260" w:lineRule="exact"/>
        <w:jc w:val="both"/>
        <w:rPr>
          <w:sz w:val="22"/>
        </w:rPr>
      </w:pPr>
      <w:r>
        <w:rPr>
          <w:sz w:val="22"/>
        </w:rPr>
        <w:t xml:space="preserve">52. </w:t>
      </w:r>
      <w:r>
        <w:rPr>
          <w:sz w:val="22"/>
        </w:rPr>
        <w:tab/>
        <w:t>Аналогичная тенденция отмечается и в том, что касается уровня образования. 89,6 процента населения старше 5 лет получили образование не ниже начального, в то время как около 10,2 процента имели высшее образование. Вместе с тем имеется значительный разрыв между сельскими районами и городами, который проявляется главным образом в том, что среди сельского населения процент лиц, имеющих или получающих среднее образование, ниже (Национальный институт статистики и переписей, 2001 год).</w:t>
      </w:r>
    </w:p>
    <w:p w:rsidR="00000000" w:rsidRDefault="00000000">
      <w:pPr>
        <w:tabs>
          <w:tab w:val="left" w:pos="680"/>
        </w:tabs>
        <w:spacing w:before="240" w:line="260" w:lineRule="exact"/>
        <w:jc w:val="both"/>
        <w:rPr>
          <w:sz w:val="22"/>
        </w:rPr>
      </w:pPr>
      <w:r>
        <w:rPr>
          <w:sz w:val="22"/>
        </w:rPr>
        <w:t>53.</w:t>
      </w:r>
      <w:r>
        <w:rPr>
          <w:sz w:val="22"/>
        </w:rPr>
        <w:tab/>
        <w:t>Несмотря на достигнутый за последние годы рост учащихся в средних школах, все еще сохраняются недостатки, связанные с охватом и качеством обучения. Имеют место исключение из школы и отсев учащихся, особенно в возрасте 15 лет и старше. Таким образом, уровень охвата школьным обучением по возрастным группам снижается с 88,0 процента для лиц в возрасте 12 лет до 33,3 процента для лиц в возрасте 17 лет, причем этот показатель тем ниже, чем старше возрастная группа. Вместе с тем данный показатель, равно как и показатели неаттестованности, второгодничества, успеваемости и отсева в средней школе, зависит от принадлежности образовательных учреждений к частному или государственному сектору, при этом наиболее тяжелое положение отмечается в государственных школах. Это положение свидетельствует об отсутствии равенства между частным и государственным секторами и о разном качестве обучения (проект "Состояние нации", 2001 год).</w:t>
      </w:r>
    </w:p>
    <w:p w:rsidR="00000000" w:rsidRDefault="00000000">
      <w:pPr>
        <w:tabs>
          <w:tab w:val="left" w:pos="680"/>
        </w:tabs>
        <w:spacing w:before="240" w:line="260" w:lineRule="exact"/>
        <w:jc w:val="both"/>
        <w:rPr>
          <w:sz w:val="22"/>
        </w:rPr>
      </w:pPr>
      <w:r>
        <w:rPr>
          <w:sz w:val="22"/>
        </w:rPr>
        <w:t xml:space="preserve">54. </w:t>
      </w:r>
      <w:r>
        <w:rPr>
          <w:sz w:val="22"/>
        </w:rPr>
        <w:tab/>
        <w:t>За прошедшие двадцать лет был выдвинут ряд инициатив, направленных на изменение социокультурных представлений, которые содействуют сохранению подчиненного положения женщин и их дискриминации, а также практики, усугубляющей гендерное неравенство. Можно отметить успехи в использовании несексистского подхода в текстах и рисунках учебников начальной школы, в законодательстве по проблемам образования, а также в учете гендерной проблематики в педагогической и административной практике. Наряду с указанными достижениями сохраняются методы обучения, которые способствуют воспроизводству системы, обеспечивающей доминирование одного пола. Подобные методы усиливают сегрегацию в выборе специальности, профессии или рода занятия, в том числе в государственных и частных университетах. В университетах сегрегация проявляется в умеренной степени, однако во время внеаудиторной технической специализации, проводимой, например, Национальным институтом профессионально-технического обучения (ИНА), сегрегация становится более выраженной.</w:t>
      </w:r>
    </w:p>
    <w:p w:rsidR="00000000" w:rsidRDefault="00000000">
      <w:pPr>
        <w:tabs>
          <w:tab w:val="left" w:pos="680"/>
        </w:tabs>
        <w:spacing w:before="240" w:line="260" w:lineRule="exact"/>
        <w:jc w:val="both"/>
        <w:rPr>
          <w:sz w:val="22"/>
        </w:rPr>
      </w:pPr>
      <w:r>
        <w:rPr>
          <w:sz w:val="22"/>
        </w:rPr>
        <w:t xml:space="preserve">55. </w:t>
      </w:r>
      <w:r>
        <w:rPr>
          <w:sz w:val="22"/>
        </w:rPr>
        <w:tab/>
        <w:t>Женщины достигли более высокого уровня образования, чем мужчины, что проявляется как в средней продолжительности обучения, так и в численности поступающих в университеты. Охват девочек официальной системой образования в среднем такой же, как и мальчиков. Однако применительно к средней школе показатели охвата обучением, продолжительности и успеваемости у девушек выше, чем у юношей (проект "Состояние нации", 2001 год).</w:t>
      </w:r>
    </w:p>
    <w:p w:rsidR="00000000" w:rsidRDefault="00000000">
      <w:pPr>
        <w:tabs>
          <w:tab w:val="left" w:pos="680"/>
        </w:tabs>
        <w:spacing w:before="240" w:line="260" w:lineRule="exact"/>
        <w:jc w:val="both"/>
        <w:rPr>
          <w:sz w:val="22"/>
        </w:rPr>
      </w:pPr>
      <w:r>
        <w:rPr>
          <w:sz w:val="22"/>
        </w:rPr>
        <w:t xml:space="preserve">56. </w:t>
      </w:r>
      <w:r>
        <w:rPr>
          <w:sz w:val="22"/>
        </w:rPr>
        <w:tab/>
        <w:t>Прогресс в сфере образования оказал значительное влияние на структуру женской занятости. Среди специалистов с высшим образованием доля женщин незначительно повысилась по сравнению с мужчинами, а в группе руководящих работников она возросла с 23,3 процента в 1990 году до 29,9 процента в 2000 году. Наибольший процент женской рабочей силы приходится на сектор социальных, коммунальных и индивидуальных услуг (44,5 процента). Кроме того, в результате развития туристического сектора увеличилось число женщин, занятых в торговой деятельности, в ресторанах и отелях (проект "Состояние нации", 2001 год).</w:t>
      </w:r>
    </w:p>
    <w:p w:rsidR="00000000" w:rsidRDefault="00000000">
      <w:pPr>
        <w:tabs>
          <w:tab w:val="left" w:pos="680"/>
        </w:tabs>
        <w:spacing w:before="240" w:line="260" w:lineRule="exact"/>
        <w:jc w:val="both"/>
        <w:rPr>
          <w:sz w:val="22"/>
        </w:rPr>
      </w:pPr>
      <w:r>
        <w:rPr>
          <w:sz w:val="22"/>
        </w:rPr>
        <w:t xml:space="preserve">57. </w:t>
      </w:r>
      <w:r>
        <w:rPr>
          <w:sz w:val="22"/>
        </w:rPr>
        <w:tab/>
        <w:t>Как явствует из Национального опроса домохозяйств (Национальный институт статистики и переписей, 2001 год), женщины все чаще становятся предпринимателями, но в условиях отсутствия равенства. Это делает их весьма уязвимыми, при том что большинство из них владеют мелкими и малыми предприятиями. Доля женщин – владельцев предприятий, имеющих наемных работников, возросла с 1,8 процента в начале десятилетия до 4,3 процента в 1999 году. Самый значительный рост был отмечен в сельских районах, в промышленности и в торговле, что связано с развитием малого и среднего бизнеса. Этот сектор все еще сталкивается с серьезными препятствиями в том, что касается получения доступа к таким производственным ресурсам, как кредиты, технологии и профессионально-техническая подготовка.</w:t>
      </w:r>
    </w:p>
    <w:p w:rsidR="00000000" w:rsidRDefault="00000000">
      <w:pPr>
        <w:tabs>
          <w:tab w:val="left" w:pos="680"/>
        </w:tabs>
        <w:spacing w:before="240" w:line="260" w:lineRule="exact"/>
        <w:jc w:val="both"/>
        <w:rPr>
          <w:sz w:val="22"/>
        </w:rPr>
      </w:pPr>
      <w:r>
        <w:rPr>
          <w:sz w:val="22"/>
        </w:rPr>
        <w:t xml:space="preserve">58. </w:t>
      </w:r>
      <w:r>
        <w:rPr>
          <w:sz w:val="22"/>
        </w:rPr>
        <w:tab/>
        <w:t>Наряду с отмеченными достижениями в трудовой сфере сохраняются структурные препятствия, что требует немедленного вмешательства со стороны государства. Последнее должно осуществить активные стратегии, направленные на устранение препятствий структурного порядка, мешающих участию женщин в национальном производстве и их вовлечению в рынок труда на условиях равенства.</w:t>
      </w:r>
    </w:p>
    <w:p w:rsidR="00000000" w:rsidRDefault="00000000">
      <w:pPr>
        <w:tabs>
          <w:tab w:val="left" w:pos="680"/>
        </w:tabs>
        <w:spacing w:before="240" w:line="260" w:lineRule="exact"/>
        <w:jc w:val="both"/>
        <w:rPr>
          <w:sz w:val="22"/>
        </w:rPr>
      </w:pPr>
      <w:r>
        <w:rPr>
          <w:sz w:val="22"/>
        </w:rPr>
        <w:t xml:space="preserve">59. </w:t>
      </w:r>
      <w:r>
        <w:rPr>
          <w:sz w:val="22"/>
        </w:rPr>
        <w:tab/>
        <w:t>Рынок труда Коста-Рики остается сегментированным в гендерном отношении. По данным проекта "Состояние нации" за</w:t>
      </w:r>
      <w:r>
        <w:rPr>
          <w:color w:val="FF0000"/>
          <w:sz w:val="22"/>
        </w:rPr>
        <w:t xml:space="preserve"> </w:t>
      </w:r>
      <w:r>
        <w:rPr>
          <w:sz w:val="22"/>
        </w:rPr>
        <w:t>2001 год, в 1990-е годы сегментация по группам занятости составляла 25 процентов. Этот показатель считается высоким, если принять во внимание тот факт, что с 1988 года на долю женщин приходилось 32 процента всех занятых в производстве. При наличии структуры, построенной на паритетных началах, большинство женщин, возможно, сменили бы род занятости.</w:t>
      </w:r>
    </w:p>
    <w:p w:rsidR="00000000" w:rsidRDefault="00000000">
      <w:pPr>
        <w:tabs>
          <w:tab w:val="left" w:pos="680"/>
        </w:tabs>
        <w:spacing w:before="240" w:line="260" w:lineRule="exact"/>
        <w:jc w:val="both"/>
        <w:rPr>
          <w:sz w:val="22"/>
        </w:rPr>
      </w:pPr>
      <w:r>
        <w:rPr>
          <w:sz w:val="22"/>
        </w:rPr>
        <w:t xml:space="preserve">60. </w:t>
      </w:r>
      <w:r>
        <w:rPr>
          <w:sz w:val="22"/>
        </w:rPr>
        <w:tab/>
        <w:t>Кроме того, значительная часть экономического вклада женщин в национальное производство остается скрытой, что в большой степени ограничивает их доступ к производственным ресурсам, социальному страхованию, образованию и службам помощи работающим женщинам. С одной стороны, домашний труд в семьях до сих пор еще не оценен ни в денежном выражении, ни в культурном плане. С другой стороны, у женщин из сельских районов и маргинальных городских районов домашний труд сочетается с множеством видов деятельности, приносящей доход для домашних хозяйств. Эти виды деятельности не заявляются и не учитываются в качестве работы. Так, например, с учетом скрытой женской занятости в основных и маргинальных видах деятельности по самообеспечению уровень занятости в 1990 году повышается с 30,3 до 41,1 процента, а в 2000 году – с 33,8 до 40,8 процента. В течение десятилетия уровень женской занятости занижался на 7–10 процентов. Если бы домашний труд учитывался в статистике занятости, в 2000 году он составил бы 9,8 процента ВВП, что в реальном денежном выражении (в колонах) сопоставимо с удельным весом сектора коммунальных, социальных и индивидуальных услуг (10,3 процента в этом же году) (проект "Состояние нации", 2001 год).</w:t>
      </w:r>
    </w:p>
    <w:p w:rsidR="00000000" w:rsidRDefault="00000000">
      <w:pPr>
        <w:tabs>
          <w:tab w:val="left" w:pos="680"/>
        </w:tabs>
        <w:spacing w:before="240" w:line="260" w:lineRule="exact"/>
        <w:jc w:val="both"/>
        <w:rPr>
          <w:sz w:val="22"/>
        </w:rPr>
      </w:pPr>
      <w:r>
        <w:rPr>
          <w:sz w:val="22"/>
        </w:rPr>
        <w:t xml:space="preserve">61. </w:t>
      </w:r>
      <w:r>
        <w:rPr>
          <w:sz w:val="22"/>
        </w:rPr>
        <w:tab/>
        <w:t>В 2000 году были зарегистрированы снижение национального дохода на душу населения и связанное с ним сокращение на 0,7 процента средних семейных доходов, отмеченное в опросе домохозяйств (2000 год). Средняя минимальная заработная плата также снизилась, что повлияло на семейные доходы, и прежде всего на доходы самых бедных семей (проект "Состояние нации", 2001 год).</w:t>
      </w:r>
    </w:p>
    <w:p w:rsidR="00000000" w:rsidRDefault="00000000">
      <w:pPr>
        <w:tabs>
          <w:tab w:val="left" w:pos="680"/>
        </w:tabs>
        <w:spacing w:before="240" w:line="260" w:lineRule="exact"/>
        <w:jc w:val="both"/>
        <w:rPr>
          <w:sz w:val="22"/>
        </w:rPr>
      </w:pPr>
      <w:r>
        <w:rPr>
          <w:sz w:val="22"/>
        </w:rPr>
        <w:t xml:space="preserve">62. </w:t>
      </w:r>
      <w:r>
        <w:rPr>
          <w:sz w:val="22"/>
        </w:rPr>
        <w:tab/>
        <w:t>Экономика Коста-Рики подверглась ударам извне, но смогла устоять и не пострадала от дестабилизации. Это объясняется рядом факторов: проведением разумной валютной политики, получением дополнительных государственных доходов вследствие повышения цен на углеводородное топливо, но главным образом благодаря проведенной в последние десятилетия значительной диверсификации производственной базы страны, в основном производств, ориентированных на экспорт. Однако существуют серьезные сомнения относительно способности данной экономической модели заложить основы для будущего устойчивого развития, которое позволит значительно сократить масштабы бедности и преодолеть сохраняющееся социальное и гендерное неравенство (проект "Состояние нации", 2001 год).</w:t>
      </w:r>
    </w:p>
    <w:p w:rsidR="00000000" w:rsidRDefault="00000000">
      <w:pPr>
        <w:tabs>
          <w:tab w:val="left" w:pos="680"/>
        </w:tabs>
        <w:spacing w:before="240" w:line="260" w:lineRule="exact"/>
        <w:jc w:val="both"/>
        <w:rPr>
          <w:sz w:val="22"/>
        </w:rPr>
      </w:pPr>
      <w:r>
        <w:rPr>
          <w:sz w:val="22"/>
        </w:rPr>
        <w:t xml:space="preserve">63. </w:t>
      </w:r>
      <w:r>
        <w:rPr>
          <w:sz w:val="22"/>
        </w:rPr>
        <w:tab/>
        <w:t>В последние годы решения в области экономической политики были направлены на укрепление процесса интернационализации экономики и проведение необходимой для этой цели государственной реформы. В задачи социальной политики входило сокращение бедности, от которой страдает пятая часть населения Коста-Рики. Действительно, ряд правительственных ведомств выступили инициаторами создания и осуществления программ борьбы с бедностью. Однако эти программы имели существенные недостатки, так как вследствие точечного характера предусмотренных в них действий не затрагивались структурные причины бедности, а наиболее бедные слои населения оказались в еще более уязвимом положении. Другим недостатком программ явилось то, что они не были интегрированы в национальную политику в области занятости, направленную на решение структурных проблем, которые связаны со сферой производства, формами использования рабочей силы, а также охватом несовершеннолетних образованием или профессионально-технической подготовкой.</w:t>
      </w:r>
    </w:p>
    <w:p w:rsidR="00000000" w:rsidRDefault="00000000">
      <w:pPr>
        <w:tabs>
          <w:tab w:val="left" w:pos="680"/>
        </w:tabs>
        <w:spacing w:before="240" w:line="260" w:lineRule="exact"/>
        <w:jc w:val="both"/>
        <w:rPr>
          <w:sz w:val="22"/>
        </w:rPr>
      </w:pPr>
      <w:r>
        <w:rPr>
          <w:sz w:val="22"/>
        </w:rPr>
        <w:t xml:space="preserve">64. </w:t>
      </w:r>
      <w:r>
        <w:rPr>
          <w:sz w:val="22"/>
        </w:rPr>
        <w:tab/>
        <w:t>Согласно седьмому отчету по проекту "Состояние нации",</w:t>
      </w:r>
      <w:r>
        <w:rPr>
          <w:color w:val="FF0000"/>
          <w:sz w:val="22"/>
        </w:rPr>
        <w:t xml:space="preserve"> </w:t>
      </w:r>
      <w:r>
        <w:rPr>
          <w:sz w:val="22"/>
        </w:rPr>
        <w:t>в 2000 году, как и в 1999-м, число людей, живущих в бедности, увеличилось на 0,5 процента, составив 21,1 процента. В 1994 году бедные составляли 20,0 процента от общей численности населения, что свидетельствует о тенденции к росту бедности. Уровень нищеты, напротив, немного снизился по сравнению с предыдущим годом с – 6,7 до 6,4 процента. Рост уровня бедности и сокращение уровня нищеты были характерны как для городов, так и для сельских районов, но в наибольшей степени для последних. В 2000 году на каждое бедное домохозяйство в городах приходилось 1,6 бедных домохозяйств и 2,3 пребывающих в нищете домохозяйств в сельских районах (проект "Состояние нации", 2001 год).</w:t>
      </w:r>
    </w:p>
    <w:p w:rsidR="00000000" w:rsidRDefault="00000000">
      <w:pPr>
        <w:tabs>
          <w:tab w:val="left" w:pos="680"/>
        </w:tabs>
        <w:spacing w:before="240" w:line="260" w:lineRule="exact"/>
        <w:jc w:val="both"/>
        <w:rPr>
          <w:sz w:val="22"/>
        </w:rPr>
      </w:pPr>
      <w:r>
        <w:rPr>
          <w:sz w:val="22"/>
        </w:rPr>
        <w:t xml:space="preserve">65. </w:t>
      </w:r>
      <w:r>
        <w:rPr>
          <w:sz w:val="22"/>
        </w:rPr>
        <w:tab/>
        <w:t>Изучение женской бедности затрудняется вследствие применения различных методов измерения и использования разных источников информации. Кроме того, во многих из этих источников женская бедность вообще не упоминается. Так, например, мы не располагает официальными данными о гендерных различиях в том, что касается доходов на душу населения (ИНАМУ, 2000 год). Как было отмечено во введении настоящего доклада, наличие разбивки по полу в статистических данных – это скорее исключение, чем правило. Согласно имеющимся данным (с небольшими отличиями, связанными с разными методами измерения и разной степенью точности подсчета бедного населения в разбивке по полу), в 1990 году женщины, живущие в бедности, составляли 17,4 процента всего женского населения. В 1999 году этот показатель вырос примерно до 21 процента. В эти же годы на долю мужчин, живущих в бедности, приходилось 16,9 и 20,3 процента всего мужского населения, соответственно (МИДЕПЛАН, 1999 год).</w:t>
      </w:r>
    </w:p>
    <w:p w:rsidR="00000000" w:rsidRDefault="00000000">
      <w:pPr>
        <w:tabs>
          <w:tab w:val="left" w:pos="680"/>
        </w:tabs>
        <w:spacing w:before="240" w:line="260" w:lineRule="exact"/>
        <w:jc w:val="both"/>
        <w:rPr>
          <w:sz w:val="22"/>
        </w:rPr>
      </w:pPr>
      <w:r>
        <w:rPr>
          <w:sz w:val="22"/>
        </w:rPr>
        <w:t xml:space="preserve">66. </w:t>
      </w:r>
      <w:r>
        <w:rPr>
          <w:sz w:val="22"/>
        </w:rPr>
        <w:tab/>
        <w:t>Несмотря на то главенство женщин в домохозяйстве напрямую не связано с женской бедностью, она усугубляет экономическую уязвимость этой части населения. Согласно данным переписи 2000 года и опросов домохозяйств, растет число бедных домохозяйств, главами которых являются женщины. В начале десятилетия женщин – глав домохозяйств было на 3,2 процента больше, чем мужчин. В 1998 году этот показатель составил уже 5,7 процента. Относительно бóльшая бедность отмечается среди женщин – глав домохозяйств из сельских районов и моложе 35 лет, которые, возможно, имеют детей-иждивенцев и вынуждены жить в условиях нищеты (Национальный институт статистики и переписей, 1999 год).</w:t>
      </w:r>
    </w:p>
    <w:p w:rsidR="00000000" w:rsidRDefault="00000000">
      <w:pPr>
        <w:tabs>
          <w:tab w:val="left" w:pos="680"/>
        </w:tabs>
        <w:spacing w:before="240" w:line="260" w:lineRule="exact"/>
        <w:jc w:val="both"/>
        <w:rPr>
          <w:sz w:val="22"/>
        </w:rPr>
      </w:pPr>
      <w:r>
        <w:rPr>
          <w:sz w:val="22"/>
        </w:rPr>
        <w:t xml:space="preserve">67. </w:t>
      </w:r>
      <w:r>
        <w:rPr>
          <w:sz w:val="22"/>
        </w:rPr>
        <w:tab/>
        <w:t>В целях осуществления государственной политики помощи женщинам в апреле 1998 года был принят Закон № 7769 об оказании помощи женщинам, живущим в бедности. В статье 2 этого закона утверждается, что помощь женщинам, живущим в бедности, должна представлять собой "комплексный процесс, включающий, по крайне мере, следующие компоненты: всемерное расширение возможностей для женщин, профессионально-техническая подготовка, вовлечение в трудовую и производственную деятельность, обеспечение доступа к достойному жилью и создание экономических стимулов для получения образования". Благодаря усилиям ведомств, которые ответственны за проведение предусмотренных законом и направленных на повышение качества жизни мероприятий, были заложены правовые основы программы "Растем вместе" и дальнейшей помощи женщинам, живущим в бедности.</w:t>
      </w:r>
    </w:p>
    <w:p w:rsidR="00000000" w:rsidRDefault="00000000">
      <w:pPr>
        <w:tabs>
          <w:tab w:val="left" w:pos="680"/>
        </w:tabs>
        <w:spacing w:before="240" w:line="260" w:lineRule="exact"/>
        <w:jc w:val="both"/>
        <w:rPr>
          <w:sz w:val="22"/>
        </w:rPr>
      </w:pPr>
      <w:r>
        <w:rPr>
          <w:sz w:val="22"/>
        </w:rPr>
        <w:t xml:space="preserve">68. </w:t>
      </w:r>
      <w:r>
        <w:rPr>
          <w:sz w:val="22"/>
        </w:rPr>
        <w:tab/>
        <w:t>Главной целью данной программы является оказание комплексной межведомственной помощи на основе гендерного подхода, ориентированного на женщин, которые живут в бедности. В задачи программы входят укрепление их индивидуального и коллективного потенциала, а также профессионально-техническая подготовка, способствующая их вовлечению в трудовую или производственную деятельность на условиях равенства и равноправия.</w:t>
      </w:r>
    </w:p>
    <w:p w:rsidR="00000000" w:rsidRDefault="00000000">
      <w:pPr>
        <w:tabs>
          <w:tab w:val="left" w:pos="680"/>
        </w:tabs>
        <w:spacing w:before="240" w:line="260" w:lineRule="exact"/>
        <w:jc w:val="both"/>
        <w:rPr>
          <w:sz w:val="22"/>
        </w:rPr>
      </w:pPr>
      <w:r>
        <w:rPr>
          <w:sz w:val="22"/>
        </w:rPr>
        <w:t xml:space="preserve">69. </w:t>
      </w:r>
      <w:r>
        <w:rPr>
          <w:sz w:val="22"/>
        </w:rPr>
        <w:tab/>
        <w:t>По данным Пьедра (</w:t>
      </w:r>
      <w:r>
        <w:rPr>
          <w:sz w:val="22"/>
          <w:lang w:val="en-US"/>
        </w:rPr>
        <w:t>Piedra</w:t>
      </w:r>
      <w:r>
        <w:rPr>
          <w:sz w:val="22"/>
        </w:rPr>
        <w:t xml:space="preserve">, 2001), одним из главных достижений программы за этот период стало придание законодательного статуса мероприятиям, проводимым в рамках государственной политики в отношении к женщин и с учетом их особенностей. Так, в повестке дня политической жизни Коста-Рики была дискуссия о важности проведения государственной политики, направленной на достижение гендерного равенства и равноправия женщин. С другой стороны, были выявлены случаи проявления неравенства материального и культурного характера среди крупных слоев населения, и прежде всего женщин и детей, а также лиц пожилого возраста. Другим достижением стала широкомасштабная правовая поддержка дальнейшего осуществления программы в качестве инструмента, претворяющего в жизнь Закон о помощи женщинам, живущим в бедности. Также становятся очевидными успехи, достигнутые в процессе осуществления различных компонентов этой программы: по всей стране 14 532 женщины прошли профессиональную подготовку, были проинформированы о своих гражданских правах и укрепили свой индивидуальный и коллективный потенциал. В рамках осуществления проекта в отношении приносящей доход деятельности было создано не менее 144 женских групп; многие женщины получили доступ к разного рода профессионально-технической подготовке, к образованию и т. п. </w:t>
      </w:r>
    </w:p>
    <w:p w:rsidR="00000000" w:rsidRDefault="00000000">
      <w:pPr>
        <w:tabs>
          <w:tab w:val="left" w:pos="680"/>
        </w:tabs>
        <w:spacing w:before="240" w:line="260" w:lineRule="exact"/>
        <w:jc w:val="both"/>
        <w:rPr>
          <w:sz w:val="22"/>
        </w:rPr>
      </w:pPr>
      <w:r>
        <w:rPr>
          <w:sz w:val="22"/>
        </w:rPr>
        <w:t xml:space="preserve">70. </w:t>
      </w:r>
      <w:r>
        <w:rPr>
          <w:sz w:val="22"/>
        </w:rPr>
        <w:tab/>
        <w:t>Вместе с тем Пьедра отмечает также важные задачи, связанные с дальнейшей деятельностью в рамках Программы. К ним относятся инвестиции в развитие новых институциональных потенциалов, позволяющих преодолеть имеющиеся ограничения как на идеологическом уровне, так и в сфере материальных и людских ресурсов. Кроме того, для реализации положения о необходимости оказания комплексной помощи в том виде, как оно сформулировано, требуются значительная децентрализация ресурсов и разграничение сфер деятельности учреждений, участвующих в этом процессе, а также необходимо дать определение регионализации, о которой говорится в программе, создать механизмы оценки и контроля со стороны населения, получающего помощь в ее рамках, и всего гражданского общества в целом.</w:t>
      </w:r>
    </w:p>
    <w:p w:rsidR="00000000" w:rsidRDefault="00000000">
      <w:pPr>
        <w:tabs>
          <w:tab w:val="left" w:pos="680"/>
        </w:tabs>
        <w:spacing w:before="240" w:line="260" w:lineRule="exact"/>
        <w:jc w:val="both"/>
        <w:rPr>
          <w:sz w:val="22"/>
        </w:rPr>
      </w:pPr>
      <w:r>
        <w:rPr>
          <w:sz w:val="22"/>
        </w:rPr>
        <w:t xml:space="preserve">71. </w:t>
      </w:r>
      <w:r>
        <w:rPr>
          <w:sz w:val="22"/>
        </w:rPr>
        <w:tab/>
        <w:t>За прошедшее десятилетие возросло участие женщин в рынке труда. Вместе с тем этот процесс протекал в неблагоприятных условиях, так как женщины столкнулись с усилившейся дискриминацией и ухудшением условий труда. В течение десяти лет уровень неполной занятости был выше среди женщин, чем среди мужчин, что объясняется характерными для них более высокими уровнями официально зарегистрированной безработицы и неполной занятости. В 1999 году разница в показателях для женщин и мужчин составляла 4,5 процента, в то время как в 1990 году она едва достигала 2,5 процента (проект "Состояние нации", 2000 год). С другой стороны, женщины больше представлены в категории лиц, работающих не по найму (самозанятых). Данная категория является крайне уязвимой, так как большинство женщин работают в малопроизводительных отраслях, преимущественно в сельском хозяйстве. Условия труда в этом секторе весьма тяжелые, рабочий день не нормирован, оплата труда чрезвычайно низкая и охват социальным обеспечением совершенно не достаточен.</w:t>
      </w:r>
    </w:p>
    <w:p w:rsidR="00000000" w:rsidRDefault="00000000">
      <w:pPr>
        <w:tabs>
          <w:tab w:val="left" w:pos="680"/>
        </w:tabs>
        <w:spacing w:before="240" w:line="260" w:lineRule="exact"/>
        <w:jc w:val="both"/>
        <w:rPr>
          <w:sz w:val="22"/>
        </w:rPr>
      </w:pPr>
      <w:r>
        <w:rPr>
          <w:sz w:val="22"/>
        </w:rPr>
        <w:t xml:space="preserve">72. </w:t>
      </w:r>
      <w:r>
        <w:rPr>
          <w:sz w:val="22"/>
        </w:rPr>
        <w:tab/>
        <w:t>Отмеченное неравенство проявилось также в увеличении разрыва между заработной платой и доходами у мужчин и у женщин. Несмотря на то что за десятилетие отмечалось небольшое сокращение разрыва между заработной платой мужчин и женщин, особенно женщин с высоким уровнем образования, гендерное неравенство в этой области сохранялось для всех категорий работающих с любым уровнем образования. Разрыв увеличился в тех областях, в которых отмечается самая высокая концентрация женского труда (оказание индивидуальных услуг, коммерческая деятельность, продавцы) и достиг 70 процентов (Национальный институт статистики и переписей, 1999 год).</w:t>
      </w:r>
    </w:p>
    <w:p w:rsidR="00000000" w:rsidRDefault="00000000">
      <w:pPr>
        <w:tabs>
          <w:tab w:val="left" w:pos="680"/>
        </w:tabs>
        <w:spacing w:before="240" w:line="260" w:lineRule="exact"/>
        <w:jc w:val="both"/>
        <w:rPr>
          <w:sz w:val="22"/>
        </w:rPr>
      </w:pPr>
      <w:r>
        <w:rPr>
          <w:sz w:val="22"/>
        </w:rPr>
        <w:t xml:space="preserve">73. </w:t>
      </w:r>
      <w:r>
        <w:rPr>
          <w:sz w:val="22"/>
        </w:rPr>
        <w:tab/>
        <w:t>Эта проблема отражает сохранившиеся представления, согласно которым удел женщин – это сфера частной семейной жизни, уход за детьми и забота о мужчинах, которые являются кормильцами и в качестве главы семьи несут ответственность за принятие решений в общественной и частной сферах жизни. Такие представления препятствуют полноправному участию женщин в рынке труда, порождают гендерную сегрегацию в области занятости, сохраняют имеющиеся гендерные различия в уровне заработной платы и скрывают экономический вклад женщин в национальное производство. Более 50 процентов женщин, работающих по найму, не могут трудиться полный рабочий день в силу необходимости выполнять семейные обязанности, в то время как мужчины в аналогичном положении составляют меньшинство (Национальный институт статистики и переписей, 2001 год). Структура занятости далека от паритетной, так как женщины по-прежнему трудятся в сферах, которые ассоциируются с традиционно женскими ролями, и обычно получают за свой труд более низкую заработную плату.</w:t>
      </w:r>
    </w:p>
    <w:p w:rsidR="00000000" w:rsidRDefault="00000000">
      <w:pPr>
        <w:tabs>
          <w:tab w:val="left" w:pos="680"/>
        </w:tabs>
        <w:spacing w:before="240" w:line="260" w:lineRule="exact"/>
        <w:jc w:val="both"/>
        <w:rPr>
          <w:sz w:val="22"/>
        </w:rPr>
      </w:pPr>
      <w:r>
        <w:rPr>
          <w:sz w:val="22"/>
        </w:rPr>
        <w:t xml:space="preserve">74. </w:t>
      </w:r>
      <w:r>
        <w:rPr>
          <w:sz w:val="22"/>
        </w:rPr>
        <w:tab/>
        <w:t xml:space="preserve">В системе образования, несмотря на усилия, предпринимаемые в течение этого десятилетия различными ведомствами и направленные на ликвидацию сексизма в данной области, учебный процесс в образовательных учреждениях продолжает способствовать воспроизведению гендерного превосходства. Подобная практика приводит к последующей сегрегации, например, при выборе специальности в университетах и профессионально-технических учебных заведениях. В государственных университетах учится больше женщин, чем мужчин, однако по ряду специальностей определенная сегрегация сохраняется (Университет Коста-Рики, 2001 год). Несмотря на умеренный характер сегрегации (16,5 процента за десятилетие), ее наличие свидетельствует о существовании скрытых гендерных различий. В среднетехнических учебных заведениях и в Национальном институте профессионально-технического обучения сегрегация проявляется в большей мере – около 21 процента, при том что учащиеся женского пола составляют 45 процентов от общей численности учащихся (проект "Состояние нации", 2001 год). </w:t>
      </w:r>
    </w:p>
    <w:p w:rsidR="00000000" w:rsidRDefault="00000000">
      <w:pPr>
        <w:tabs>
          <w:tab w:val="left" w:pos="680"/>
        </w:tabs>
        <w:spacing w:before="240" w:line="260" w:lineRule="exact"/>
        <w:jc w:val="both"/>
        <w:rPr>
          <w:sz w:val="22"/>
        </w:rPr>
      </w:pPr>
      <w:r>
        <w:rPr>
          <w:sz w:val="22"/>
        </w:rPr>
        <w:t xml:space="preserve">75. </w:t>
      </w:r>
      <w:r>
        <w:rPr>
          <w:sz w:val="22"/>
        </w:rPr>
        <w:tab/>
        <w:t>Общепризнаны успехи, достигнутые в области охраны женского здоровья, главным образом сексуального и репродуктивного. Вместе с тем в первоначальном докладе, представленном Комитету КЛДОЖ, признавалось, что охрана здоровья женщин носила ограниченный характер и сводилась главным образом к медикаментозному лечению. Последствия такого подхода определили основные причины женской заболеваемости и смертности. В 1998 году было начато проведение мероприятий, направленных на комплексную охрану здоровья женщин, и стала внедряться модель здравоохранения, учитывающая весь комплекс потребностей и интересов женщин на протяжении всей жизни. Результатом данных инициатив стали упомянутая выше Программа профилактики и выявления рака шейки матки и молочной железы, создание в соответствии с данной альтернативной моделью Национальной женской больницы, признание посредством правительственного декрета права женщин на пользование услугами профессиональных консультаций и свободное принятие решения относительно хирургической стерилизации, а также, в целях развития указанной модели, расширение научных исследований и профессиональной подготовки персонала учреждений здравоохранения по стратегическим областям охраны здоровья женщин.</w:t>
      </w:r>
    </w:p>
    <w:p w:rsidR="00000000" w:rsidRDefault="00000000">
      <w:pPr>
        <w:tabs>
          <w:tab w:val="left" w:pos="680"/>
        </w:tabs>
        <w:spacing w:before="240" w:line="260" w:lineRule="exact"/>
        <w:jc w:val="both"/>
        <w:rPr>
          <w:sz w:val="22"/>
        </w:rPr>
      </w:pPr>
      <w:r>
        <w:rPr>
          <w:sz w:val="22"/>
        </w:rPr>
        <w:t xml:space="preserve">76. </w:t>
      </w:r>
      <w:r>
        <w:rPr>
          <w:sz w:val="22"/>
        </w:rPr>
        <w:tab/>
        <w:t>В модели комплексной охраны здоровья женщин здравоохранение рассматривается как сфера, имеющая общественную значимость, что предполагает учет социального контекста и факторов, влияющих на жизнь каждого человека. Она была задумана как составная часть реформирования системы здравоохранения и модернизации государства. Модель предполагает создание условий, обеспечивающих женщинам всестороннюю и качественную медицинскую помощь, учет гендерных аспектов и участие общества в ее реализации, ставит целью осуществление профессиональной подготовки женщин, укрепление их роли в жизни страны, облегчение доступа к принятию решений и воздействие на другие процессы, способствующие охране здоровья. В связи с этим Национальной женской больницей было разработано девять приоритетных программ, касающихся сексуального и репродуктивного здоровья; психического здоровья; сексуального насилия; наркомании, табакокурения и алкоголизма; подростковой беременности; болезней, передаваемых половым путем, и ВИЧ/СПИДа; климактерического периода, менопаузы и периода после менопаузы; рака шейки матки и молочной железы; а также здоровья, общин и окружающей среды.</w:t>
      </w:r>
    </w:p>
    <w:p w:rsidR="00000000" w:rsidRDefault="00000000">
      <w:pPr>
        <w:tabs>
          <w:tab w:val="left" w:pos="680"/>
        </w:tabs>
        <w:spacing w:before="240" w:line="260" w:lineRule="exact"/>
        <w:jc w:val="both"/>
        <w:rPr>
          <w:sz w:val="22"/>
        </w:rPr>
      </w:pPr>
      <w:r>
        <w:rPr>
          <w:sz w:val="22"/>
        </w:rPr>
        <w:t xml:space="preserve">77. </w:t>
      </w:r>
      <w:r>
        <w:rPr>
          <w:sz w:val="22"/>
        </w:rPr>
        <w:tab/>
        <w:t>Предстоит еще немало сделать, так как, несмотря на эти инициативы, потребности женщин в области здравоохранения по-прежнему трактуются как заболевания, а естественные процессы жизненного цикла женщины охватываются лишь медикаментозным лечением. Эффективное применение данного подхода поможет решить следующие серьезные проблемы женского здоровья, которые до сих пор не получали комплексного и надлежащего рассмотрения:</w:t>
      </w:r>
    </w:p>
    <w:p w:rsidR="00000000" w:rsidRDefault="00000000">
      <w:pPr>
        <w:numPr>
          <w:ilvl w:val="0"/>
          <w:numId w:val="4"/>
        </w:numPr>
        <w:tabs>
          <w:tab w:val="clear" w:pos="720"/>
          <w:tab w:val="left" w:pos="340"/>
          <w:tab w:val="left" w:pos="680"/>
        </w:tabs>
        <w:spacing w:before="240" w:line="260" w:lineRule="exact"/>
        <w:ind w:left="340" w:hanging="340"/>
        <w:jc w:val="both"/>
        <w:rPr>
          <w:sz w:val="22"/>
        </w:rPr>
      </w:pPr>
      <w:r>
        <w:rPr>
          <w:sz w:val="22"/>
        </w:rPr>
        <w:t>Дети и подростки женского пола меньше страдают от недостаточного питания, чем лица мужского пола, но у них чаще отмечаются излишний вес и ожирение. Среди возможных причин этого – традиции в области питания и меньшая физическая активность.</w:t>
      </w:r>
    </w:p>
    <w:p w:rsidR="00000000" w:rsidRDefault="00000000">
      <w:pPr>
        <w:numPr>
          <w:ilvl w:val="0"/>
          <w:numId w:val="4"/>
        </w:numPr>
        <w:tabs>
          <w:tab w:val="clear" w:pos="720"/>
          <w:tab w:val="left" w:pos="340"/>
          <w:tab w:val="left" w:pos="680"/>
        </w:tabs>
        <w:spacing w:before="240" w:line="260" w:lineRule="exact"/>
        <w:ind w:left="340" w:hanging="340"/>
        <w:jc w:val="both"/>
        <w:rPr>
          <w:sz w:val="22"/>
        </w:rPr>
      </w:pPr>
      <w:r>
        <w:rPr>
          <w:sz w:val="22"/>
        </w:rPr>
        <w:t>Правительственным декретом № 27913-</w:t>
      </w:r>
      <w:r>
        <w:rPr>
          <w:sz w:val="22"/>
          <w:lang w:val="es-ES"/>
        </w:rPr>
        <w:t>S</w:t>
      </w:r>
      <w:r>
        <w:rPr>
          <w:sz w:val="22"/>
        </w:rPr>
        <w:t xml:space="preserve"> был создан важный прецедент: признано право женщин на принятие свободного, ответственного, обдуманного и ненасильственного решения о стерилизации. Вместе с тем в этой сфере остаются нерешенными ряд вопросов. Один из них заключается в том, что Коста-Риканский фонд социального обеспечения (ККСС) противится тому, чтобы мужчины, в соответствии с декретом, прибегали к вазектомии, из-за чего ответственность за контроль над рождаемостью по-прежнему лежит на женщинах. Согласно данным ККСС, в 2000 году было проведено 15 178 операций по стерилизации женщин и всего 105 вазектомий, что подтверждает отмеченную практику и свидетельствует о недостаточной работе консультативных служб для женщин, решившихся на стерилизацию.</w:t>
      </w:r>
    </w:p>
    <w:p w:rsidR="00000000" w:rsidRDefault="00000000">
      <w:pPr>
        <w:numPr>
          <w:ilvl w:val="0"/>
          <w:numId w:val="4"/>
        </w:numPr>
        <w:tabs>
          <w:tab w:val="clear" w:pos="720"/>
          <w:tab w:val="left" w:pos="340"/>
          <w:tab w:val="left" w:pos="680"/>
        </w:tabs>
        <w:spacing w:before="240" w:line="260" w:lineRule="exact"/>
        <w:ind w:left="340" w:hanging="340"/>
        <w:jc w:val="both"/>
        <w:rPr>
          <w:sz w:val="22"/>
        </w:rPr>
      </w:pPr>
      <w:r>
        <w:rPr>
          <w:sz w:val="22"/>
        </w:rPr>
        <w:t>В течение десятилетия было отмечено увеличение числа родов у женщин моложе 20 лет (с 15,8 до 20,4 процента), а также увеличение процента женщин от общего числа случаев заболеваний, передаваемых половым путем. Эти изменения могут быть связаны с практикой применения противозачаточных средств. Национальный опрос по вопросам репродуктивного здоровья, проведенный в 1999 году</w:t>
      </w:r>
      <w:r>
        <w:rPr>
          <w:rStyle w:val="FootnoteReference"/>
          <w:sz w:val="22"/>
        </w:rPr>
        <w:footnoteReference w:id="7"/>
      </w:r>
      <w:r>
        <w:rPr>
          <w:sz w:val="22"/>
        </w:rPr>
        <w:t xml:space="preserve">, выявил тенденцию к снижению использования презервативов и к росту использования молодыми женщинами иных противозачаточных средств, главным образом гормональных. </w:t>
      </w:r>
    </w:p>
    <w:p w:rsidR="00000000" w:rsidRDefault="00000000">
      <w:pPr>
        <w:numPr>
          <w:ilvl w:val="0"/>
          <w:numId w:val="4"/>
        </w:numPr>
        <w:tabs>
          <w:tab w:val="clear" w:pos="720"/>
          <w:tab w:val="left" w:pos="340"/>
          <w:tab w:val="left" w:pos="680"/>
        </w:tabs>
        <w:spacing w:before="240" w:line="260" w:lineRule="exact"/>
        <w:ind w:left="340" w:hanging="340"/>
        <w:jc w:val="both"/>
        <w:rPr>
          <w:sz w:val="22"/>
        </w:rPr>
      </w:pPr>
      <w:r>
        <w:rPr>
          <w:sz w:val="22"/>
        </w:rPr>
        <w:t>Сохраняются препятствия в том, что касается доступа к информации и методам планирования размера семьи для несовершеннолетних обоего пола и беременных с целью получения помощи при обращении в учреждения здравоохранения.</w:t>
      </w:r>
    </w:p>
    <w:p w:rsidR="00000000" w:rsidRDefault="00000000">
      <w:pPr>
        <w:numPr>
          <w:ilvl w:val="0"/>
          <w:numId w:val="4"/>
        </w:numPr>
        <w:tabs>
          <w:tab w:val="clear" w:pos="720"/>
          <w:tab w:val="left" w:pos="340"/>
          <w:tab w:val="left" w:pos="680"/>
        </w:tabs>
        <w:spacing w:before="240" w:line="260" w:lineRule="exact"/>
        <w:ind w:left="340" w:hanging="340"/>
        <w:jc w:val="both"/>
        <w:rPr>
          <w:sz w:val="22"/>
        </w:rPr>
      </w:pPr>
      <w:r>
        <w:rPr>
          <w:sz w:val="22"/>
        </w:rPr>
        <w:t>Существуют проблемы при оказании медицинской помощи женщинам во время родов. В Коста-Рике отмечен высокий процент кесаревых сечений, несмотря на сокращение рождаемости.</w:t>
      </w:r>
    </w:p>
    <w:p w:rsidR="00000000" w:rsidRDefault="00000000">
      <w:pPr>
        <w:numPr>
          <w:ilvl w:val="0"/>
          <w:numId w:val="4"/>
        </w:numPr>
        <w:tabs>
          <w:tab w:val="clear" w:pos="720"/>
          <w:tab w:val="left" w:pos="340"/>
          <w:tab w:val="left" w:pos="680"/>
        </w:tabs>
        <w:spacing w:before="240" w:line="260" w:lineRule="exact"/>
        <w:ind w:left="340" w:hanging="340"/>
        <w:jc w:val="both"/>
        <w:rPr>
          <w:sz w:val="22"/>
        </w:rPr>
      </w:pPr>
      <w:r>
        <w:rPr>
          <w:sz w:val="22"/>
        </w:rPr>
        <w:t>Ограниченный характер помощи и форм лечения при депрессивных расстройствах.</w:t>
      </w:r>
    </w:p>
    <w:p w:rsidR="00000000" w:rsidRDefault="00000000">
      <w:pPr>
        <w:numPr>
          <w:ilvl w:val="0"/>
          <w:numId w:val="4"/>
        </w:numPr>
        <w:tabs>
          <w:tab w:val="clear" w:pos="720"/>
          <w:tab w:val="left" w:pos="340"/>
          <w:tab w:val="left" w:pos="680"/>
        </w:tabs>
        <w:spacing w:before="240" w:line="260" w:lineRule="exact"/>
        <w:ind w:left="340" w:hanging="340"/>
        <w:jc w:val="both"/>
        <w:rPr>
          <w:sz w:val="22"/>
        </w:rPr>
      </w:pPr>
      <w:r>
        <w:rPr>
          <w:sz w:val="22"/>
        </w:rPr>
        <w:t xml:space="preserve">Хотя реформирование здравоохранения привело к активизации участия гражданского общества в процессе принятия решений, женщины не стали существенным элементом этих механизмов. Кроме того, несмотря на наличие модели комплексной охраны здоровья женщин, значительная часть потребностей женщин в области здоровья практически осталась за рамками государственных стратегий и институциональных приоритетов. </w:t>
      </w:r>
    </w:p>
    <w:p w:rsidR="00000000" w:rsidRDefault="00000000">
      <w:pPr>
        <w:numPr>
          <w:ilvl w:val="0"/>
          <w:numId w:val="4"/>
        </w:numPr>
        <w:tabs>
          <w:tab w:val="clear" w:pos="720"/>
          <w:tab w:val="left" w:pos="340"/>
          <w:tab w:val="left" w:pos="680"/>
        </w:tabs>
        <w:spacing w:before="240" w:line="260" w:lineRule="exact"/>
        <w:ind w:left="340" w:hanging="340"/>
        <w:jc w:val="both"/>
        <w:rPr>
          <w:sz w:val="22"/>
        </w:rPr>
      </w:pPr>
      <w:r>
        <w:rPr>
          <w:sz w:val="22"/>
        </w:rPr>
        <w:t>Охрана здоровья женщин-инвалидов остается маргинальной проблемой, несмотря на то что в 2000 году был принят Закон о равенстве возможностей для нетрудоспособных. По данным переписи населения 2000 года, каждый двадцатый человек страдает от какого-либо вида инвалидности. Число инвалидов увеличивается с возрастом, причем процент</w:t>
      </w:r>
      <w:r>
        <w:rPr>
          <w:rStyle w:val="FootnoteReference"/>
          <w:sz w:val="22"/>
        </w:rPr>
        <w:footnoteReference w:id="8"/>
      </w:r>
      <w:r>
        <w:rPr>
          <w:sz w:val="22"/>
        </w:rPr>
        <w:t xml:space="preserve"> инвалидов-мужчин выше, чем инвалидов-женщин (55,3 и 51,6 процента, соответственно). Среди мужчин самый распространенный вид инвалидности – слепота, в то время как среди женщин наблюдаются различные виды инвалидности (Национальный институт статистики и переписей, 2001 год).</w:t>
      </w:r>
    </w:p>
    <w:p w:rsidR="00000000" w:rsidRDefault="00000000">
      <w:pPr>
        <w:tabs>
          <w:tab w:val="left" w:pos="680"/>
        </w:tabs>
        <w:spacing w:before="240" w:line="260" w:lineRule="exact"/>
        <w:jc w:val="both"/>
        <w:rPr>
          <w:sz w:val="22"/>
        </w:rPr>
      </w:pPr>
      <w:r>
        <w:rPr>
          <w:sz w:val="22"/>
        </w:rPr>
        <w:t xml:space="preserve">78. </w:t>
      </w:r>
      <w:r>
        <w:rPr>
          <w:sz w:val="22"/>
        </w:rPr>
        <w:tab/>
        <w:t>Несмотря на выдвинутые инициативы и предпринятые усилия, осуществление преобразований столкнулось с противодействием, которое выразилось в недостаточном понимании специфики охраны здоровья женщин и ущемлении их прав человека со стороны руководства и персонала учреждений здравоохранения. Особое внимание было уделено областям, связанным с репродуктивным здоровьем женщин, в отношении которого была использована расширенная трактовка.</w:t>
      </w:r>
    </w:p>
    <w:p w:rsidR="00000000" w:rsidRDefault="00000000">
      <w:pPr>
        <w:tabs>
          <w:tab w:val="left" w:pos="680"/>
        </w:tabs>
        <w:spacing w:before="240" w:line="260" w:lineRule="exact"/>
        <w:jc w:val="both"/>
        <w:rPr>
          <w:sz w:val="22"/>
        </w:rPr>
      </w:pPr>
      <w:r>
        <w:rPr>
          <w:sz w:val="22"/>
        </w:rPr>
        <w:t xml:space="preserve">79. </w:t>
      </w:r>
      <w:r>
        <w:rPr>
          <w:sz w:val="22"/>
        </w:rPr>
        <w:tab/>
        <w:t>Серьезной проблемой в области репродуктивного здоровья является рост рождаемости у девочек-подростков; ее процент повысился относительно общего числа рождений и на фоне снижения рождаемости в других возрастных группах. Материнство несовершеннолетних чревато серьезными последствиями для всестороннего развития этой возрастной группы, так как ранняя беременность препятствует реализации множества возможностей и подвергает эту группу населения опасности обнищания. Для решения данной проблемы необходимо изучить эффективность законодательства в области здравоохранения, сексуальных и репродуктивных прав, рассмотреть гендерные аспекты применительно к отношениям в семье и к сфере образования, действенность стратегий в сфере здравоохранения и изменения в сексуальном поведении этой возрастной группы. В ходе исследования положения несовершеннолетних матерей, участвующих в программе "Создаем возможности", которое было осуществлено Научным центром изучения положения женщин Университета Коста-Рики (2002 год), была обнаружена взаимосвязь между ранней беременностью и местом материнства в жизненных планах этих девушек.</w:t>
      </w:r>
    </w:p>
    <w:p w:rsidR="00000000" w:rsidRDefault="00000000">
      <w:pPr>
        <w:tabs>
          <w:tab w:val="left" w:pos="680"/>
        </w:tabs>
        <w:spacing w:before="240" w:line="260" w:lineRule="exact"/>
        <w:jc w:val="both"/>
        <w:rPr>
          <w:spacing w:val="-4"/>
          <w:sz w:val="22"/>
        </w:rPr>
      </w:pPr>
      <w:r>
        <w:rPr>
          <w:sz w:val="22"/>
        </w:rPr>
        <w:t xml:space="preserve">80. </w:t>
      </w:r>
      <w:r>
        <w:rPr>
          <w:sz w:val="22"/>
        </w:rPr>
        <w:tab/>
      </w:r>
      <w:r>
        <w:rPr>
          <w:spacing w:val="-4"/>
          <w:sz w:val="22"/>
        </w:rPr>
        <w:t>Для решения этой проблемы с 1999 года Межведомственный совет помощи несовершеннолетним матерям,</w:t>
      </w:r>
      <w:r>
        <w:rPr>
          <w:color w:val="FF0000"/>
          <w:spacing w:val="-4"/>
          <w:sz w:val="22"/>
        </w:rPr>
        <w:t xml:space="preserve"> </w:t>
      </w:r>
      <w:r>
        <w:rPr>
          <w:spacing w:val="-4"/>
          <w:sz w:val="22"/>
        </w:rPr>
        <w:t xml:space="preserve">Канцелярия первой дамы и Национальный институт по делам женщин осуществляют программу "Создаем возможности". Это – межведомственная и межотраслевая программа, в задачи которой входит индивидуальное и социальное развитие несовершеннолетних беременных и матерей. Программа предназначена для всех несовершеннолетних беременных и матерей, живущих в бедности. Начиная с 2002 года в программу было включено обучение девочек и подростков женского пола из группы социального риска. Помимо образовательного компонента получил развитие компонент "Предложение комплексных услуг", в задачи которого входят оказание качественной помощи в области здравоохранения, образования, профессионально-технической подготовки и ухода за детьми, а также создание новых альтернативных направлений в обучении нетрадиционным специальностям, являющимися конкурентоспособными на рынке труда. </w:t>
      </w:r>
    </w:p>
    <w:p w:rsidR="00000000" w:rsidRDefault="00000000">
      <w:pPr>
        <w:tabs>
          <w:tab w:val="left" w:pos="680"/>
        </w:tabs>
        <w:spacing w:before="240" w:line="260" w:lineRule="exact"/>
        <w:jc w:val="both"/>
        <w:rPr>
          <w:sz w:val="22"/>
        </w:rPr>
      </w:pPr>
      <w:r>
        <w:rPr>
          <w:sz w:val="22"/>
        </w:rPr>
        <w:t xml:space="preserve">81. </w:t>
      </w:r>
      <w:r>
        <w:rPr>
          <w:sz w:val="22"/>
        </w:rPr>
        <w:tab/>
        <w:t>Ряд исследований, проведенных недавно в Коста-Рике (</w:t>
      </w:r>
      <w:r>
        <w:rPr>
          <w:sz w:val="22"/>
          <w:lang w:val="en-US"/>
        </w:rPr>
        <w:t>Faerr</w:t>
      </w:r>
      <w:r>
        <w:rPr>
          <w:sz w:val="22"/>
        </w:rPr>
        <w:t>ó</w:t>
      </w:r>
      <w:r>
        <w:rPr>
          <w:sz w:val="22"/>
          <w:lang w:val="en-US"/>
        </w:rPr>
        <w:t>n</w:t>
      </w:r>
      <w:r>
        <w:rPr>
          <w:sz w:val="22"/>
        </w:rPr>
        <w:t xml:space="preserve">, 2002; </w:t>
      </w:r>
      <w:r>
        <w:rPr>
          <w:sz w:val="22"/>
          <w:lang w:val="en-US"/>
        </w:rPr>
        <w:t>Preinfalk</w:t>
      </w:r>
      <w:r>
        <w:rPr>
          <w:sz w:val="22"/>
        </w:rPr>
        <w:t xml:space="preserve">, 1998; </w:t>
      </w:r>
      <w:r>
        <w:rPr>
          <w:sz w:val="22"/>
          <w:lang w:val="en-US"/>
        </w:rPr>
        <w:t>Rosero</w:t>
      </w:r>
      <w:r>
        <w:rPr>
          <w:sz w:val="22"/>
        </w:rPr>
        <w:t>, 2001), свидетельствуют о необходимости создания программ просвещения по вопросам секса, призванных заменить репродуктивный подход другими подходами, нацеленными на воспитание чувств, развитие личности и формирование уважения к личности и обществу. В соответствии с проектом ИНАМУ "Формирование личности и жизненных установок" в 1990 году в стране было зарегистрировано 360 родов у женщин моложе 15 лет, а в 1999 году – 597. Схожая тенденция отмечается для возрастной группы 15–19 лет: в 1990 году было 12 578 родов, а в 1999-м – 15 444.</w:t>
      </w:r>
    </w:p>
    <w:p w:rsidR="00000000" w:rsidRDefault="00000000">
      <w:pPr>
        <w:tabs>
          <w:tab w:val="left" w:pos="680"/>
        </w:tabs>
        <w:spacing w:before="240" w:line="260" w:lineRule="exact"/>
        <w:jc w:val="both"/>
        <w:rPr>
          <w:sz w:val="22"/>
        </w:rPr>
      </w:pPr>
      <w:r>
        <w:rPr>
          <w:sz w:val="22"/>
        </w:rPr>
        <w:t xml:space="preserve">82. </w:t>
      </w:r>
      <w:r>
        <w:rPr>
          <w:sz w:val="22"/>
        </w:rPr>
        <w:tab/>
        <w:t>В 1999 году Управление Родригеса Эчеверрия приступило к осуществлению программы "Молодая любовь", в которой было провозглашено право детей и подростков на просвещение по вопросам секса. Таким образом было признано, что дети и несовершеннолетние имеют те же основные права, что и другие возрастные группы, но для удовлетворения их специфических потребностей необходимы специальные социальные стратегии и программы.</w:t>
      </w:r>
    </w:p>
    <w:p w:rsidR="00000000" w:rsidRDefault="00000000">
      <w:pPr>
        <w:tabs>
          <w:tab w:val="left" w:pos="680"/>
        </w:tabs>
        <w:spacing w:before="240" w:line="260" w:lineRule="exact"/>
        <w:jc w:val="both"/>
        <w:rPr>
          <w:sz w:val="22"/>
        </w:rPr>
      </w:pPr>
      <w:r>
        <w:rPr>
          <w:sz w:val="22"/>
        </w:rPr>
        <w:t xml:space="preserve">83. </w:t>
      </w:r>
      <w:r>
        <w:rPr>
          <w:sz w:val="22"/>
        </w:rPr>
        <w:tab/>
        <w:t>В течение двух лет осуществления школьной программы просвещения по вопросам секса, проводимой под эгидой Министерства народного просвещения при поддержке других государственных учреждений, таких так Коста-</w:t>
      </w:r>
      <w:r>
        <w:rPr>
          <w:caps/>
          <w:sz w:val="22"/>
        </w:rPr>
        <w:t>р</w:t>
      </w:r>
      <w:r>
        <w:rPr>
          <w:sz w:val="22"/>
        </w:rPr>
        <w:t>иканский фонд социального обеспечения (ККСС), Министерство здравоохранения, бывшее Национальное молодежное движение (ныне Национальный совет по государственной политике в отношении молодежи), Министерство юстиции и помилований, Государственный детский благотворительный фонд и ИНАМУ, а также при участии неправительственных организаций удалось расширить понимание этой проблемы и провести ряд пропагандистских кампаний.</w:t>
      </w:r>
    </w:p>
    <w:p w:rsidR="00000000" w:rsidRDefault="00000000">
      <w:pPr>
        <w:tabs>
          <w:tab w:val="left" w:pos="680"/>
        </w:tabs>
        <w:spacing w:before="240" w:line="260" w:lineRule="exact"/>
        <w:jc w:val="both"/>
        <w:rPr>
          <w:sz w:val="22"/>
        </w:rPr>
      </w:pPr>
      <w:r>
        <w:rPr>
          <w:sz w:val="22"/>
        </w:rPr>
        <w:t xml:space="preserve">84. </w:t>
      </w:r>
      <w:r>
        <w:rPr>
          <w:sz w:val="22"/>
        </w:rPr>
        <w:tab/>
        <w:t>Вместе с тем в ходе осуществления программы была высказана резкая критика со стороны некоторых слоев общества, и прежде всего Католической церкви. Церковь через религиозные ассоциации и другие объединения использовала все свое влияние, для того чтобы затормозить разработку стратегий сексуального воспитания. С их стороны были проявлены откровенное неприятие контрацептивов и использования презервативов для предупреждения заражения ВИЧ/СПИДом, а также вмешательство в разработку содержания и методов просвещения по вопросам секса, которое осуществляется в государственных школах и колледжах, поскольку такое просвещение рассматривалось ими как посягательство на христианскую мораль.</w:t>
      </w:r>
    </w:p>
    <w:p w:rsidR="00000000" w:rsidRDefault="00000000">
      <w:pPr>
        <w:tabs>
          <w:tab w:val="left" w:pos="680"/>
        </w:tabs>
        <w:spacing w:before="240" w:line="260" w:lineRule="exact"/>
        <w:jc w:val="both"/>
        <w:rPr>
          <w:sz w:val="22"/>
        </w:rPr>
      </w:pPr>
      <w:r>
        <w:rPr>
          <w:sz w:val="22"/>
        </w:rPr>
        <w:t xml:space="preserve">85. </w:t>
      </w:r>
      <w:r>
        <w:rPr>
          <w:sz w:val="22"/>
        </w:rPr>
        <w:tab/>
        <w:t>В результате этих действий, а также из-за сопротивления некоторых органов власти и отдельных работников Министерства народного просвещения данная программа претерпела глубокие изменения и превратилась в простую программу сексуального воспитания.</w:t>
      </w:r>
    </w:p>
    <w:p w:rsidR="00000000" w:rsidRDefault="00000000">
      <w:pPr>
        <w:tabs>
          <w:tab w:val="left" w:pos="680"/>
        </w:tabs>
        <w:spacing w:before="240" w:line="260" w:lineRule="exact"/>
        <w:jc w:val="both"/>
        <w:rPr>
          <w:sz w:val="22"/>
        </w:rPr>
      </w:pPr>
      <w:r>
        <w:rPr>
          <w:sz w:val="22"/>
        </w:rPr>
        <w:t xml:space="preserve">86. </w:t>
      </w:r>
      <w:r>
        <w:rPr>
          <w:sz w:val="22"/>
        </w:rPr>
        <w:tab/>
        <w:t>Насилие в отношении женщин в настоящее время рассматривается в качестве проблемы, относящейся к здравоохранению. Она признана обществом, фигурирует в программах всех политических партий и находится в повестке дня правительства. Постоянные усилия множества общественных организаций, и прежде всего женских, по привлечению внимания государства к данной проблеме привели к созданию в 1996 году Национального плана оказания помощи в случае насилия в семье и его предупреждения (ПЛАНОВИ), работа которого координируется Национальным институтом по делам женщин. Главной целью данного плана являются создание и функционирование межведомственной и общинной системы, координирующей действия государства и гражданского общества, направленные на оказание помощи в случаях бытового насилия в отношении женщин и их детей.</w:t>
      </w:r>
    </w:p>
    <w:p w:rsidR="00000000" w:rsidRDefault="00000000">
      <w:pPr>
        <w:tabs>
          <w:tab w:val="left" w:pos="680"/>
        </w:tabs>
        <w:spacing w:before="240" w:line="260" w:lineRule="exact"/>
        <w:jc w:val="both"/>
        <w:rPr>
          <w:sz w:val="22"/>
        </w:rPr>
      </w:pPr>
      <w:r>
        <w:rPr>
          <w:sz w:val="22"/>
        </w:rPr>
        <w:t xml:space="preserve">87. </w:t>
      </w:r>
      <w:r>
        <w:rPr>
          <w:sz w:val="22"/>
        </w:rPr>
        <w:tab/>
        <w:t>Результатом всех этих усилий стало принятие Закона № 7586 о борьбе с насилием в семье, благодаря которому женщины могут требовать применения мер защиты для себя и своих детей. Таким образом, проблема получила общественное признание, что положило конец заговору молчания вокруг этой темы и облегчило женщинам подачу жалоб. В период с 1996 года, когда этот закон вступил в силу, по 2000 год число случаев принятия мер защиты женщин возросло в шесть раз. Вместе с тем результативность закона оказалась ограниченной в силу того, что во многих случаях судьи отменяли временные меры. В 2000 году такие отмены составили 70 процентов (проект "Состояние нации", 2001 год). Кроме того, вызывает беспокойство устойчивый уровень "женоубийств", что, несомненно, свидетельствует о наличии прочных социальных коней у насилия в отношении женщин. По данным Отдела по делам женщин, именно женщины чаще всего являются жертвами насилия в семье. Только в 1999 году из общего числа бытовых убийств процент убитых женщин был в 5,5 раза больше, чем соответствующий показатель в отношении мужчин (</w:t>
      </w:r>
      <w:r>
        <w:rPr>
          <w:sz w:val="22"/>
          <w:lang w:val="en-US"/>
        </w:rPr>
        <w:t>Carcedo</w:t>
      </w:r>
      <w:r>
        <w:rPr>
          <w:sz w:val="22"/>
        </w:rPr>
        <w:t xml:space="preserve">, </w:t>
      </w:r>
      <w:r>
        <w:rPr>
          <w:sz w:val="22"/>
          <w:lang w:val="en-US"/>
        </w:rPr>
        <w:t>Sagot</w:t>
      </w:r>
      <w:r>
        <w:rPr>
          <w:sz w:val="22"/>
        </w:rPr>
        <w:t>, 2001).</w:t>
      </w:r>
    </w:p>
    <w:p w:rsidR="00000000" w:rsidRDefault="00000000">
      <w:pPr>
        <w:tabs>
          <w:tab w:val="left" w:pos="680"/>
        </w:tabs>
        <w:spacing w:before="240" w:line="260" w:lineRule="exact"/>
        <w:jc w:val="both"/>
        <w:rPr>
          <w:spacing w:val="-2"/>
          <w:sz w:val="22"/>
        </w:rPr>
      </w:pPr>
      <w:r>
        <w:rPr>
          <w:sz w:val="22"/>
        </w:rPr>
        <w:t xml:space="preserve">88. </w:t>
      </w:r>
      <w:r>
        <w:rPr>
          <w:sz w:val="22"/>
        </w:rPr>
        <w:tab/>
      </w:r>
      <w:r>
        <w:rPr>
          <w:spacing w:val="-2"/>
          <w:sz w:val="22"/>
        </w:rPr>
        <w:t>Осуществление Закона № 7586 о борьбе с насилием в семье столкнулось с сопротивлением и трудностями и выявило его недостаточность для судебного разбирательства случаев насилия в отношении взрослых женщин. Поэтому в 1999 году на рассмотрение Законодательного собрания был вынесен проект закона об уголовном наказании насилия в отношении совершеннолетних женщин. В нем предлагается предусмотреть уголовное наказание за насилие, совершенное в отношении совершеннолетних женщин близкими ей лицами (с которыми существуют доверительные отношения). Это стало бы серьезным фактором защиты женщин от бытового насилия, а виновный не оставался бы безнаказанным. Данный законопроект до сих пор не принят, несмотря на то что в августе 2000 года он получил единодушное одобрение Специальной комиссии по делам женщин при Законодательном собрании. Это обстоятельство подтверждает наличие упорного сопротивления со стороны влиятельных кругов общества Коста-Рики, которые отказываются признать основные права женщин, и в том числе право на жизнь, свободную от насилия и подчинения.</w:t>
      </w:r>
    </w:p>
    <w:p w:rsidR="00000000" w:rsidRDefault="00000000">
      <w:pPr>
        <w:tabs>
          <w:tab w:val="left" w:pos="680"/>
        </w:tabs>
        <w:spacing w:before="240" w:line="260" w:lineRule="exact"/>
        <w:jc w:val="both"/>
        <w:rPr>
          <w:sz w:val="22"/>
        </w:rPr>
      </w:pPr>
      <w:r>
        <w:rPr>
          <w:sz w:val="22"/>
        </w:rPr>
        <w:t xml:space="preserve">89. </w:t>
      </w:r>
      <w:r>
        <w:rPr>
          <w:sz w:val="22"/>
        </w:rPr>
        <w:tab/>
        <w:t>Другим достижением стал рост числа поданных жалоб в связи с преступлениями на сексуальной почве. Поскольку сексуальное насилие считается проблемой, относящейся к ведению здравоохранения, это свидетельствует о ее осознании гражданским обществом. Самое распространенное преступление – злоупотребление доверием, чаще всего совершаемое в отношении несовершеннолетних. Все большее внимание привлекает коммерческая эксплуатация детей и несовершеннолетних, частично из-за того, что возросло число жалоб после принятия в 1999 году закона № 7899 о борьбе с сексуальной эксплуатацией несовершеннолетних (проект "Состояние нации", 2001 год).</w:t>
      </w:r>
    </w:p>
    <w:p w:rsidR="00000000" w:rsidRDefault="00000000">
      <w:pPr>
        <w:tabs>
          <w:tab w:val="left" w:pos="680"/>
        </w:tabs>
        <w:spacing w:before="240" w:line="260" w:lineRule="exact"/>
        <w:jc w:val="both"/>
        <w:rPr>
          <w:sz w:val="22"/>
        </w:rPr>
      </w:pPr>
      <w:r>
        <w:rPr>
          <w:sz w:val="22"/>
        </w:rPr>
        <w:t xml:space="preserve">90. </w:t>
      </w:r>
      <w:r>
        <w:rPr>
          <w:sz w:val="22"/>
        </w:rPr>
        <w:tab/>
        <w:t>В рамках данного закона эта проблема рассматривается как насилие и сексуальная эксплуатация, а не как сексуальное извращение, совершенное в отношении жертв этой формы насилия. Особое внимание уделяется уголовному наказанию ответственных за преступление лиц и трактовке самого деяния как преступления, а также защите несовершеннолетних.</w:t>
      </w:r>
    </w:p>
    <w:p w:rsidR="00000000" w:rsidRDefault="00000000">
      <w:pPr>
        <w:tabs>
          <w:tab w:val="left" w:pos="680"/>
        </w:tabs>
        <w:spacing w:before="240" w:line="260" w:lineRule="exact"/>
        <w:jc w:val="both"/>
        <w:rPr>
          <w:spacing w:val="-4"/>
          <w:sz w:val="22"/>
        </w:rPr>
      </w:pPr>
      <w:r>
        <w:rPr>
          <w:sz w:val="22"/>
        </w:rPr>
        <w:t>91.</w:t>
      </w:r>
      <w:r>
        <w:rPr>
          <w:sz w:val="22"/>
        </w:rPr>
        <w:tab/>
      </w:r>
      <w:r>
        <w:rPr>
          <w:spacing w:val="-4"/>
          <w:sz w:val="22"/>
        </w:rPr>
        <w:t>Несмотря на то что страна располагает службами и программами на национальном и местном уровнях, а координация деятельности ответственных учреждений улучшается, все еще сохраняются пробелы и недостатки, которые следует ликвидировать в ближайшем будущем. Продолжался процесс институционального признания жертвами женщин, подвергшихся различным формам насилия. Кроме того, внимание к проблемам насилия в семье отодвинуло на второй план другие формы насилия, как, например, сексуальное насилие в отношении женщин-инвалидов и пожилых женщин. Государство и органы юстиции не гарантируют доступ к правосудию и должную защиту женщинам, пережившим насилие. Установленные правовые механизмы оказались неспособными содействовать изоляции виновных или действенному контролю за ними, предупреждать сексуальные домогательства по месту работы и учебы и наказывать за них, а также предупреждать и устанавливать наказание за коммерческую сексуальную эксплуатацию девочек и несовершеннолетних девушек.</w:t>
      </w:r>
    </w:p>
    <w:p w:rsidR="00000000" w:rsidRDefault="00000000">
      <w:pPr>
        <w:tabs>
          <w:tab w:val="left" w:pos="680"/>
        </w:tabs>
        <w:spacing w:before="240" w:line="260" w:lineRule="exact"/>
        <w:jc w:val="both"/>
        <w:rPr>
          <w:spacing w:val="-2"/>
          <w:sz w:val="22"/>
        </w:rPr>
      </w:pPr>
      <w:r>
        <w:rPr>
          <w:sz w:val="22"/>
        </w:rPr>
        <w:t xml:space="preserve">92. </w:t>
      </w:r>
      <w:r>
        <w:rPr>
          <w:sz w:val="22"/>
        </w:rPr>
        <w:tab/>
      </w:r>
      <w:r>
        <w:rPr>
          <w:spacing w:val="-2"/>
          <w:sz w:val="22"/>
        </w:rPr>
        <w:t>В области нормативных актов Коста-Рика добилась значительных достижений за отчетный период, причем не столько по количеству ратифицированных международных инструментов и принятых законов, сколько по значимости принятых документов. В конце 2000 года во втором судебном округе Сан-Хосе в качестве эксперимента начал работу первый специальный суд по насилию в семье и сексуальному насилию. Если этот опыт окажется удачным, он может быть распространен на другие регионы страны. В марте 2001 года Законодательное собрание ратифицировало Факультативный протокол к Конвенции о ликвидации всех форм дискриминации в отношении женщин (КЛДОЖ), что открывает возможность подавать жалобы на международном уровне. 16 апреля 2001 года был принят Закон № 8101, называемый Законом об ответственном отцовстве. Это – революционный для Латинской Америки инструмент, облегчающий процесс признания отцовства и позволяющий женщинам, особенно родившим детей вне брака, получить защиту от одной из самых нетерпимых и распространенных форм материального ущемления – отказа отцов нести материальную ответственность за детей, не признанных ими на законных основаниях. Такой отказ влечет за собой дополнительную нагрузку на женщин, которым приходится в одиночку брать на себя все расходы, связанные с беременностью и уходом за ребенком.</w:t>
      </w:r>
    </w:p>
    <w:p w:rsidR="00000000" w:rsidRDefault="00000000">
      <w:pPr>
        <w:pStyle w:val="BodyText"/>
        <w:tabs>
          <w:tab w:val="left" w:pos="680"/>
        </w:tabs>
        <w:spacing w:before="240" w:line="260" w:lineRule="exact"/>
        <w:rPr>
          <w:sz w:val="22"/>
        </w:rPr>
      </w:pPr>
      <w:r>
        <w:rPr>
          <w:sz w:val="22"/>
        </w:rPr>
        <w:t xml:space="preserve">93. </w:t>
      </w:r>
      <w:r>
        <w:rPr>
          <w:sz w:val="22"/>
        </w:rPr>
        <w:tab/>
        <w:t>Наряду с указанными достижениями проведение реформ в других областях столкнулось с сопротивлением, как в случае проекта закона об уголовном наказании за насилие в отношении пожилых женщин. Этот законопроект, получивший положительное и единодушное заключение Специальной постоянной комиссии по делам женщин при Законодательном собрании в августе 2000 года, в процессе принятия столкнулся с многочисленными препятствиями, в том числе с обжалованием его конституционности и умышленным затягиванием рассмотрения. Данный закон предусматривает уголовное наказание за насилие, совершенное в отношении женщин близкими ей лицами, с которыми у нее существуют доверительные отношения. Он представляет собой средство отправления правосудия и устранения безнаказанности для правонарушителей. До настоящего времени данный законопроект еще не одобрен Конгрессом.</w:t>
      </w:r>
    </w:p>
    <w:p w:rsidR="00000000" w:rsidRDefault="00000000">
      <w:pPr>
        <w:tabs>
          <w:tab w:val="left" w:pos="680"/>
        </w:tabs>
        <w:spacing w:before="240" w:line="260" w:lineRule="exact"/>
        <w:jc w:val="both"/>
        <w:rPr>
          <w:sz w:val="22"/>
        </w:rPr>
      </w:pPr>
      <w:r>
        <w:rPr>
          <w:sz w:val="22"/>
        </w:rPr>
        <w:t xml:space="preserve">94. </w:t>
      </w:r>
      <w:r>
        <w:rPr>
          <w:sz w:val="22"/>
        </w:rPr>
        <w:tab/>
        <w:t>Коста-Рика располагает обширным сводом нормативных актов, направленных на защиту прав человека женщин, но в то же время необходимо укреплять механизмы их применения, знакомить с ними и учить пользоваться ими работников правосудия, а также население в целом. Например, законодательство Коста-Рики не предусматривает специфических преступлений, связанных с дискриминацией, несмотря на то что были приняты законы, которые устанавливают соответствующие уголовные наказания. На практике многие их фактов дискриминации не наказываются, а их жертвы не требуют возмещения ущерба.</w:t>
      </w:r>
    </w:p>
    <w:p w:rsidR="00000000" w:rsidRDefault="00000000">
      <w:pPr>
        <w:tabs>
          <w:tab w:val="left" w:pos="680"/>
        </w:tabs>
        <w:spacing w:before="240" w:line="260" w:lineRule="exact"/>
        <w:jc w:val="both"/>
        <w:rPr>
          <w:spacing w:val="-2"/>
          <w:sz w:val="22"/>
        </w:rPr>
      </w:pPr>
      <w:r>
        <w:rPr>
          <w:sz w:val="22"/>
        </w:rPr>
        <w:t xml:space="preserve">95. </w:t>
      </w:r>
      <w:r>
        <w:rPr>
          <w:sz w:val="22"/>
        </w:rPr>
        <w:tab/>
      </w:r>
      <w:r>
        <w:rPr>
          <w:spacing w:val="-2"/>
          <w:sz w:val="22"/>
        </w:rPr>
        <w:t>В 1990-е годы было учреждено множество инстанций, ответственных за разработку и осуществление государственных стратегий по достижению гендерного равенства, а также были назначены ответственные за защиту прав женщин. Помимо создания Отделения по делам женщин при Коллегии адвокатов по защите прав граждан и отраслевых и министерских подразделений по вопросам гендерного равенства были открыты муниципальные комиссии и бюро по делам женщин при местных правительствах, созданы Специальная постоянная комиссия по делам женщин при Законодательном собрании и специализированные учреждения в рамках органов судебной власти и государственных университетов.</w:t>
      </w:r>
    </w:p>
    <w:p w:rsidR="00000000" w:rsidRDefault="00000000">
      <w:pPr>
        <w:tabs>
          <w:tab w:val="left" w:pos="680"/>
        </w:tabs>
        <w:spacing w:before="240" w:line="260" w:lineRule="exact"/>
        <w:jc w:val="both"/>
        <w:rPr>
          <w:sz w:val="22"/>
        </w:rPr>
      </w:pPr>
      <w:r>
        <w:rPr>
          <w:sz w:val="22"/>
        </w:rPr>
        <w:t xml:space="preserve">96. </w:t>
      </w:r>
      <w:r>
        <w:rPr>
          <w:sz w:val="22"/>
        </w:rPr>
        <w:tab/>
        <w:t xml:space="preserve">В конце десятилетия, в 1998 году, был принят закон о создании Национального института по делам женщин (ИНАМУ), являющегося национальным механизмом улучшения положения женщин и заменившего Национальный центр развития женщин и семьи. Деятельность этого учреждения активизировалась благодаря учреждению должности министра по делам женщин, что обеспечило прямой доступ в </w:t>
      </w:r>
      <w:r>
        <w:rPr>
          <w:caps/>
          <w:sz w:val="22"/>
        </w:rPr>
        <w:t>к</w:t>
      </w:r>
      <w:r>
        <w:rPr>
          <w:sz w:val="22"/>
        </w:rPr>
        <w:t>абинет министров и содействовало тому, что в области гендерного равенства ИНАМУ стал выполнять руководящую функцию в государственной администрации. Составной частью этого процесса стала разработка Национальной политики достижения гендерного равенства и равноправия, целью которой стали учет гендерных аспектов во всех основных направлениях государственной политики и содействие укреплению роли женщин в жизни страны. Другими важными достижениями в этой области было подписание правительственного декрета № 28484 от 2 марта 2000 года, в соответствии с которым в семи государственных учреждениях были созданы политико-технические комиссии высокого уровня, а также разработаны и начали действовать институциональные ресурсы Планов действий по достижению равенства и равноправия мужчин и женщин.</w:t>
      </w:r>
    </w:p>
    <w:p w:rsidR="00000000" w:rsidRDefault="00000000">
      <w:pPr>
        <w:tabs>
          <w:tab w:val="left" w:pos="680"/>
        </w:tabs>
        <w:spacing w:before="240" w:line="260" w:lineRule="exact"/>
        <w:jc w:val="both"/>
        <w:rPr>
          <w:sz w:val="22"/>
        </w:rPr>
      </w:pPr>
      <w:r>
        <w:rPr>
          <w:sz w:val="22"/>
        </w:rPr>
        <w:t xml:space="preserve">97. </w:t>
      </w:r>
      <w:r>
        <w:rPr>
          <w:sz w:val="22"/>
        </w:rPr>
        <w:tab/>
        <w:t>Деятельность этих учреждений, однако, была ограниченной в силу того, что на их работу было выделено недостаточно государственных средств. ИНАМУ также столкнулся с серьезными проблемами при получении предусмотренных законом ресурсов, что ограничило его деятельность и реальные возможности выполнять свою руководящую функцию. К этому следует добавить тот факт, что при распределении государственных расходов не были приняты во внимание гендерные аспекты и не была сопоставлена значимость этих расходов для мужчин и женщин. Все еще преобладает институциональная культура, в приоритеты которой входят программы, ориентированные на все население, в то время как специфические потребности, интересы и запросы женщин остаются в тени. К этой проблеме следует добавить и другие, такие как политически мотивированное назначение сотрудников в некоторых муниципальных бюро по делам женщин, в результате чего данные местные органы власти не уделяют внимания запросам женщин и их праву на получение качественных услуг.</w:t>
      </w:r>
    </w:p>
    <w:p w:rsidR="00000000" w:rsidRDefault="00000000">
      <w:pPr>
        <w:tabs>
          <w:tab w:val="left" w:pos="680"/>
        </w:tabs>
        <w:spacing w:before="240" w:line="260" w:lineRule="exact"/>
        <w:jc w:val="both"/>
        <w:rPr>
          <w:spacing w:val="-2"/>
          <w:sz w:val="22"/>
        </w:rPr>
      </w:pPr>
      <w:r>
        <w:rPr>
          <w:sz w:val="22"/>
        </w:rPr>
        <w:t xml:space="preserve">98. </w:t>
      </w:r>
      <w:r>
        <w:rPr>
          <w:sz w:val="22"/>
        </w:rPr>
        <w:tab/>
      </w:r>
      <w:r>
        <w:rPr>
          <w:spacing w:val="-2"/>
          <w:sz w:val="22"/>
        </w:rPr>
        <w:t>В течение десятилетия женщины стали активнее участвовать в работе политических партий и в избирательном процессе, а также в обсуждении вопросов, связанных с созданием благоприятных условий для их участия в жизни общества и выполнения своего гражданского долга. Несмотря на то что участие в представительных органах власти пока не строится на паритетных началах, в этой области были достигнуты значительные успехи благодаря изменениям, которые были внесены в Избирательный кодекс и согласно которым устанавливается 40-процентная квота. В 2000 году был сделан важный шаг в направлении реализации этого принципа, после того как Верховный избирательный трибунал принял резолюцию (дело № 14.582), согласно которой была установлена минимальная 40-процентная квота участия женщин в Законодательном собрании, на постах советников, представителей различных объединений и их заместителей. Указанный нормативный акт имел важные последствия, так как доля женщин среди кандидатов в представительные органы возросла с 17,8 процента в 1990 году до 47,2 процента в результате выборов 1998 года. На выборах 2002 года участие женщин составило 35,1 процента. Наиболее значительный успех был достигнут на выборах советников, где участие женщин увеличилось с 12,4 процента в 1990 году до 45,8 процента в 2002 году (проект "Состояние нации", 2002 год).</w:t>
      </w:r>
    </w:p>
    <w:p w:rsidR="00000000" w:rsidRDefault="00000000">
      <w:pPr>
        <w:tabs>
          <w:tab w:val="left" w:pos="680"/>
        </w:tabs>
        <w:spacing w:before="240" w:line="260" w:lineRule="exact"/>
        <w:jc w:val="both"/>
        <w:rPr>
          <w:sz w:val="22"/>
        </w:rPr>
      </w:pPr>
      <w:r>
        <w:rPr>
          <w:sz w:val="22"/>
        </w:rPr>
        <w:t xml:space="preserve">99. </w:t>
      </w:r>
      <w:r>
        <w:rPr>
          <w:sz w:val="22"/>
        </w:rPr>
        <w:tab/>
        <w:t>Итоги последних выборов заставили извлечь важные уроки. Политические партии разработали различные процедуры и механизмы для обеспечения 40-процентной квоты для женщин. За исключением партии Гражданское действие, механизмы которой обеспечили паритет, остальные партии выдвинули дополнительные условия, затруднившие выдвижение женщин. Неожиданные итоги выборов в местные представительные органы и правительства привели к тому, что многие женщины, чьи кандидатуры были помещены на традиционно проходные места в избирательных списках, не были избраны. В результате женщины получили 35,1 процента мест в органах представительной власти и 46,7 процента мест советников. Теперь следует решить вопрос о соблюдении квоты в централизованных и децентрализованных государственных органах.</w:t>
      </w:r>
    </w:p>
    <w:p w:rsidR="00000000" w:rsidRDefault="00000000">
      <w:pPr>
        <w:tabs>
          <w:tab w:val="left" w:pos="680"/>
        </w:tabs>
        <w:spacing w:before="240" w:line="260" w:lineRule="exact"/>
        <w:jc w:val="both"/>
        <w:rPr>
          <w:sz w:val="22"/>
        </w:rPr>
      </w:pPr>
      <w:r>
        <w:rPr>
          <w:sz w:val="22"/>
        </w:rPr>
        <w:t xml:space="preserve">100. </w:t>
      </w:r>
      <w:r>
        <w:rPr>
          <w:sz w:val="22"/>
        </w:rPr>
        <w:tab/>
        <w:t>Политическая система Коста-Рики представляет собой демократию, которая отвечает таким основным требованиям, как наличие избирательной политической системы, гарантирующей проведение честных, свободных и альтернативных выборов; удовлетворительно развитой системы территориально-административного деления и системы контроля за ее деятельностью; контролирующих механизмов и учреждений; свободного и независимого общественного мнения и эффективных механизмов защиты политических и гражданских свобод и прав человека (проект "Состояние нации", 2001 год).</w:t>
      </w:r>
    </w:p>
    <w:p w:rsidR="00000000" w:rsidRDefault="00000000">
      <w:pPr>
        <w:tabs>
          <w:tab w:val="left" w:pos="680"/>
        </w:tabs>
        <w:spacing w:before="240" w:line="260" w:lineRule="exact"/>
        <w:jc w:val="both"/>
        <w:rPr>
          <w:sz w:val="22"/>
        </w:rPr>
      </w:pPr>
      <w:r>
        <w:rPr>
          <w:sz w:val="22"/>
        </w:rPr>
        <w:t xml:space="preserve">101. </w:t>
      </w:r>
      <w:r>
        <w:rPr>
          <w:sz w:val="22"/>
        </w:rPr>
        <w:tab/>
        <w:t>Сохраняются определенная политическая стабильность, в основе которой лежит традиционный дух гражданственности, и доверие граждан к учреждениям, имеющим надпартийный характер. Вместе с тем в последние годы эта стабильность несколько ослабла вследствие взаимного недоверия между руководителями и остальным населением из-за недостатков в политических механизмах представительной системы – как законодательных, так и партийных, а также из-за отсутствия должных механизмов разрешения конфликтов и слабости процессов координации действий, параллельных официальной политической системе. До настоящего времени не просматриваются возможности появления альтернативных форм участия населения в жизни страны и не наблюдается улучшений в использовании уже существующих форм (проект "Состояние нации", 2001 год).</w:t>
      </w:r>
    </w:p>
    <w:p w:rsidR="00000000" w:rsidRDefault="00000000">
      <w:pPr>
        <w:tabs>
          <w:tab w:val="left" w:pos="680"/>
        </w:tabs>
        <w:spacing w:before="240" w:line="260" w:lineRule="exact"/>
        <w:jc w:val="both"/>
        <w:rPr>
          <w:sz w:val="22"/>
        </w:rPr>
      </w:pPr>
      <w:r>
        <w:rPr>
          <w:sz w:val="22"/>
        </w:rPr>
        <w:t xml:space="preserve">102. </w:t>
      </w:r>
      <w:r>
        <w:rPr>
          <w:sz w:val="22"/>
        </w:rPr>
        <w:tab/>
        <w:t>Женские организации и группы, объединения и ассоциации, специальные программы государственных университетов и неправительственные организации образовали широкий фронт, сыгравший важную роль в осуществлении преобразований в стране в результате совершенствования законодательства, принятия государственных стратегий и других мер. Многие законы были приняты в этот период благодаря согласованным действиям между отдельными направлениями женского движения, ИНАМУ и другими государственными учреждениями. В применении законов и контроле за их применением эти организации сыграли выдающуюся роль благодаря информационным кампаниям, консультационной деятельности и прямым обращениям, направленным на обеспечение должного выполнения законов.</w:t>
      </w:r>
    </w:p>
    <w:p w:rsidR="00000000" w:rsidRDefault="00000000">
      <w:pPr>
        <w:tabs>
          <w:tab w:val="left" w:pos="680"/>
        </w:tabs>
        <w:spacing w:before="240" w:line="260" w:lineRule="exact"/>
        <w:jc w:val="both"/>
        <w:rPr>
          <w:spacing w:val="-2"/>
          <w:sz w:val="22"/>
        </w:rPr>
      </w:pPr>
      <w:r>
        <w:rPr>
          <w:sz w:val="22"/>
        </w:rPr>
        <w:t xml:space="preserve">103. </w:t>
      </w:r>
      <w:r>
        <w:rPr>
          <w:sz w:val="22"/>
        </w:rPr>
        <w:tab/>
      </w:r>
      <w:r>
        <w:rPr>
          <w:spacing w:val="-2"/>
          <w:sz w:val="22"/>
        </w:rPr>
        <w:t>Женский форум ИНАМУ был учрежден в соответствии приказом № 7801 Национального института по делам женщин в целях содействия вовлечению граждан в жизни общества. В состав Форума, имеющего консультативный характер, входят женские общественные организации и организации, выступающие за достижение гендерного равенства. Эта организация, несмотря на ее консультативный характер, стала важной опорой ИНАМУ в борьбе за обеспечение финансирования этого национального инструмента, в мониторинге и разработке предложений по внесению изменений в законопроекты, содействующих гендерному равенству, в обеспечении контроля со стороны организованного гражданского общества и внесении предложений по совершенствованию Закона об учреждении ИНАМУ в целях демократизации структур, ответственных за принятие решений.</w:t>
      </w:r>
    </w:p>
    <w:p w:rsidR="00000000" w:rsidRDefault="00000000">
      <w:pPr>
        <w:tabs>
          <w:tab w:val="left" w:pos="680"/>
        </w:tabs>
        <w:spacing w:before="240" w:line="260" w:lineRule="exact"/>
        <w:jc w:val="both"/>
        <w:rPr>
          <w:sz w:val="22"/>
        </w:rPr>
      </w:pPr>
      <w:r>
        <w:rPr>
          <w:sz w:val="22"/>
        </w:rPr>
        <w:t xml:space="preserve">104. </w:t>
      </w:r>
      <w:r>
        <w:rPr>
          <w:sz w:val="22"/>
        </w:rPr>
        <w:tab/>
        <w:t>Во время прошедшей избирательной кампании ряд организаций и сетей смогли скоординировать свои инициативы по проведению национальной дискуссии о положении женщин и согласовали программу-минимум, включающую приоритетные для улучшения положения женщин вопросы. Первый опыт разработки такой программы накануне выборов относится к 1998 году, когда была обнародована Политическая повестка дня для женщин. Впоследствии была создана одноименная организация. Данный документ вызвал оживленные дискуссии внутри движения. Накануне выборов в феврале 2002 года программа была модернизирована при участии других организаций и групп, что положило начало процессу переговоров с кандидатами в президенты от 13 зарегистрированных политических партий и отчетности. В программу были включены другие инициативы, выдвинутые различными группами женского населения и направленные на разработку конкретных программ или платформ.</w:t>
      </w:r>
    </w:p>
    <w:p w:rsidR="00000000" w:rsidRDefault="00000000">
      <w:pPr>
        <w:tabs>
          <w:tab w:val="left" w:pos="680"/>
        </w:tabs>
        <w:jc w:val="center"/>
        <w:rPr>
          <w:b/>
        </w:rPr>
      </w:pPr>
      <w:r>
        <w:rPr>
          <w:sz w:val="22"/>
        </w:rPr>
        <w:br w:type="page"/>
      </w:r>
      <w:r>
        <w:rPr>
          <w:b/>
        </w:rPr>
        <w:t xml:space="preserve">ЧАСТЬ </w:t>
      </w:r>
      <w:r>
        <w:rPr>
          <w:b/>
          <w:lang w:val="en-US"/>
        </w:rPr>
        <w:t>II</w:t>
      </w:r>
    </w:p>
    <w:p w:rsidR="00000000" w:rsidRDefault="00000000">
      <w:pPr>
        <w:tabs>
          <w:tab w:val="left" w:pos="680"/>
        </w:tabs>
        <w:spacing w:before="120"/>
        <w:jc w:val="center"/>
        <w:rPr>
          <w:b/>
        </w:rPr>
      </w:pPr>
      <w:r>
        <w:rPr>
          <w:b/>
        </w:rPr>
        <w:t>АНАЛИЗ СТАТЕЙ КОНВЕНЦИИ</w:t>
      </w:r>
    </w:p>
    <w:p w:rsidR="00000000" w:rsidRDefault="00000000">
      <w:pPr>
        <w:pStyle w:val="BodyText3"/>
        <w:tabs>
          <w:tab w:val="left" w:pos="680"/>
        </w:tabs>
        <w:spacing w:before="240" w:line="260" w:lineRule="exact"/>
        <w:jc w:val="center"/>
        <w:rPr>
          <w:sz w:val="22"/>
        </w:rPr>
      </w:pPr>
      <w:r>
        <w:rPr>
          <w:sz w:val="22"/>
        </w:rPr>
        <w:t xml:space="preserve">Статьи 1 и 2. Политика и средства, направленные на ликвидацию </w:t>
      </w:r>
      <w:r>
        <w:rPr>
          <w:sz w:val="22"/>
        </w:rPr>
        <w:br/>
        <w:t>дискриминации в отношении женщин</w:t>
      </w:r>
    </w:p>
    <w:p w:rsidR="00000000" w:rsidRDefault="00000000">
      <w:pPr>
        <w:pStyle w:val="BodyTextIndent2"/>
        <w:tabs>
          <w:tab w:val="left" w:pos="680"/>
          <w:tab w:val="left" w:pos="1247"/>
        </w:tabs>
        <w:spacing w:before="240" w:line="260" w:lineRule="exact"/>
        <w:ind w:left="1247" w:hanging="1247"/>
        <w:jc w:val="both"/>
        <w:rPr>
          <w:i/>
          <w:sz w:val="22"/>
        </w:rPr>
      </w:pPr>
      <w:r>
        <w:rPr>
          <w:i/>
          <w:sz w:val="22"/>
        </w:rPr>
        <w:t>Статья</w:t>
      </w:r>
      <w:r>
        <w:rPr>
          <w:i/>
          <w:smallCaps/>
          <w:sz w:val="22"/>
        </w:rPr>
        <w:t xml:space="preserve"> 1.</w:t>
      </w:r>
      <w:r>
        <w:rPr>
          <w:sz w:val="22"/>
        </w:rPr>
        <w:tab/>
      </w:r>
      <w:r>
        <w:rPr>
          <w:i/>
          <w:sz w:val="22"/>
        </w:rPr>
        <w:t>Для целей настоящей Конвенции понятие "дискриминация в отношении женщин" означает любое различие, исключение или ограничение по признаку пола, которое направлено на ослабление или сводит на нет признание, пользование или осуществление женщинами, независимо от их семейного положения, на основе равноправия мужчин и женщин, прав человека и основных свобод в политической, экономической, социальной, культурной, гражданской или любой другой области.</w:t>
      </w:r>
    </w:p>
    <w:p w:rsidR="00000000" w:rsidRDefault="00000000">
      <w:pPr>
        <w:pStyle w:val="Heading2"/>
        <w:tabs>
          <w:tab w:val="left" w:pos="680"/>
          <w:tab w:val="left" w:pos="1247"/>
        </w:tabs>
        <w:spacing w:before="240" w:line="260" w:lineRule="exact"/>
        <w:ind w:left="1247" w:hanging="1247"/>
        <w:jc w:val="both"/>
        <w:rPr>
          <w:b w:val="0"/>
          <w:i/>
          <w:smallCaps w:val="0"/>
          <w:sz w:val="22"/>
        </w:rPr>
      </w:pPr>
      <w:r>
        <w:rPr>
          <w:b w:val="0"/>
          <w:i/>
          <w:smallCaps w:val="0"/>
          <w:sz w:val="22"/>
        </w:rPr>
        <w:t>Статья 2.</w:t>
      </w:r>
      <w:r>
        <w:rPr>
          <w:b w:val="0"/>
          <w:i/>
          <w:smallCaps w:val="0"/>
          <w:sz w:val="22"/>
        </w:rPr>
        <w:tab/>
        <w:t>Государства-участники осуждают дискриминацию в отношении женщин во всех ее формах, соглашаются безотлагательно всеми соответствующими способами проводить политику ликвидации дискриминации в отношении женщин и с этой целью обязуются:</w:t>
      </w:r>
    </w:p>
    <w:p w:rsidR="00000000" w:rsidRDefault="00000000">
      <w:pPr>
        <w:tabs>
          <w:tab w:val="left" w:pos="1247"/>
          <w:tab w:val="left" w:pos="1588"/>
        </w:tabs>
        <w:autoSpaceDE w:val="0"/>
        <w:autoSpaceDN w:val="0"/>
        <w:adjustRightInd w:val="0"/>
        <w:spacing w:before="240" w:line="260" w:lineRule="exact"/>
        <w:ind w:left="1588" w:hanging="1588"/>
        <w:jc w:val="both"/>
        <w:rPr>
          <w:i/>
          <w:sz w:val="22"/>
        </w:rPr>
      </w:pPr>
      <w:r>
        <w:rPr>
          <w:i/>
          <w:color w:val="000000"/>
          <w:sz w:val="22"/>
        </w:rPr>
        <w:tab/>
        <w:t>а)</w:t>
      </w:r>
      <w:r>
        <w:rPr>
          <w:i/>
          <w:color w:val="000000"/>
          <w:sz w:val="22"/>
        </w:rPr>
        <w:tab/>
        <w:t>включить принцип равноправия мужчин и женщин в свои национальные конституции или другое соответствующее законодательство, если это еще не было сделано, и обеспечить с помощью закона и других соответствующих средств практическое осуществление этого принципа;</w:t>
      </w:r>
    </w:p>
    <w:p w:rsidR="00000000" w:rsidRDefault="00000000">
      <w:pPr>
        <w:tabs>
          <w:tab w:val="left" w:pos="1247"/>
          <w:tab w:val="left" w:pos="1588"/>
        </w:tabs>
        <w:autoSpaceDE w:val="0"/>
        <w:autoSpaceDN w:val="0"/>
        <w:adjustRightInd w:val="0"/>
        <w:spacing w:before="240" w:line="260" w:lineRule="exact"/>
        <w:ind w:left="1588" w:hanging="1588"/>
        <w:jc w:val="both"/>
        <w:rPr>
          <w:i/>
          <w:sz w:val="22"/>
        </w:rPr>
      </w:pPr>
      <w:r>
        <w:rPr>
          <w:i/>
          <w:color w:val="000000"/>
          <w:sz w:val="22"/>
        </w:rPr>
        <w:tab/>
        <w:t>b)</w:t>
      </w:r>
      <w:r>
        <w:rPr>
          <w:i/>
          <w:color w:val="000000"/>
          <w:sz w:val="22"/>
        </w:rPr>
        <w:tab/>
        <w:t>принимать соответствующие законодательные и другие меры, включая санкции, там где это необходимо, запрещающие всякую дискриминацию в отношении женщин;</w:t>
      </w:r>
    </w:p>
    <w:p w:rsidR="00000000" w:rsidRDefault="00000000">
      <w:pPr>
        <w:tabs>
          <w:tab w:val="left" w:pos="1247"/>
          <w:tab w:val="left" w:pos="1588"/>
        </w:tabs>
        <w:autoSpaceDE w:val="0"/>
        <w:autoSpaceDN w:val="0"/>
        <w:adjustRightInd w:val="0"/>
        <w:spacing w:before="240" w:line="260" w:lineRule="exact"/>
        <w:ind w:left="1588" w:hanging="1588"/>
        <w:jc w:val="both"/>
        <w:rPr>
          <w:i/>
          <w:sz w:val="22"/>
        </w:rPr>
      </w:pPr>
      <w:r>
        <w:rPr>
          <w:i/>
          <w:color w:val="000000"/>
          <w:sz w:val="22"/>
        </w:rPr>
        <w:tab/>
        <w:t>с)</w:t>
      </w:r>
      <w:r>
        <w:rPr>
          <w:i/>
          <w:color w:val="000000"/>
          <w:sz w:val="22"/>
        </w:rPr>
        <w:tab/>
        <w:t>установить юридическую защиту прав женщин на равной основе с мужчинами и обеспечить с помощью компетентных национальных судов и других государственных учреждений эффективную защиту женщин против любого акта дискриминации;</w:t>
      </w:r>
    </w:p>
    <w:p w:rsidR="00000000" w:rsidRDefault="00000000">
      <w:pPr>
        <w:tabs>
          <w:tab w:val="left" w:pos="1247"/>
          <w:tab w:val="left" w:pos="1588"/>
        </w:tabs>
        <w:autoSpaceDE w:val="0"/>
        <w:autoSpaceDN w:val="0"/>
        <w:adjustRightInd w:val="0"/>
        <w:spacing w:before="240" w:line="260" w:lineRule="exact"/>
        <w:ind w:left="1588" w:hanging="1588"/>
        <w:jc w:val="both"/>
        <w:rPr>
          <w:i/>
          <w:sz w:val="22"/>
        </w:rPr>
      </w:pPr>
      <w:r>
        <w:rPr>
          <w:i/>
          <w:color w:val="000000"/>
          <w:sz w:val="22"/>
        </w:rPr>
        <w:tab/>
        <w:t>d)</w:t>
      </w:r>
      <w:r>
        <w:rPr>
          <w:i/>
          <w:color w:val="000000"/>
          <w:sz w:val="22"/>
        </w:rPr>
        <w:tab/>
        <w:t>воздерживаться от совершения каких-либо дискриминационных актов или действий в отношении женщин и гарантировать, что государственные органы и учреждения будут действовать в соответствии с этим обязательством;</w:t>
      </w:r>
    </w:p>
    <w:p w:rsidR="00000000" w:rsidRDefault="00000000">
      <w:pPr>
        <w:tabs>
          <w:tab w:val="left" w:pos="1247"/>
          <w:tab w:val="left" w:pos="1588"/>
        </w:tabs>
        <w:autoSpaceDE w:val="0"/>
        <w:autoSpaceDN w:val="0"/>
        <w:adjustRightInd w:val="0"/>
        <w:spacing w:before="240" w:line="260" w:lineRule="exact"/>
        <w:ind w:left="1588" w:hanging="1588"/>
        <w:jc w:val="both"/>
        <w:rPr>
          <w:i/>
          <w:sz w:val="22"/>
        </w:rPr>
      </w:pPr>
      <w:r>
        <w:rPr>
          <w:i/>
          <w:color w:val="000000"/>
          <w:sz w:val="22"/>
        </w:rPr>
        <w:tab/>
        <w:t>е)</w:t>
      </w:r>
      <w:r>
        <w:rPr>
          <w:i/>
          <w:color w:val="000000"/>
          <w:sz w:val="22"/>
        </w:rPr>
        <w:tab/>
        <w:t>принимать все соответствующие меры для ликвидации дискриминации в отношении женщин со стороны какого-либо лица, организации или предприятия;</w:t>
      </w:r>
    </w:p>
    <w:p w:rsidR="00000000" w:rsidRDefault="00000000">
      <w:pPr>
        <w:tabs>
          <w:tab w:val="left" w:pos="1247"/>
          <w:tab w:val="left" w:pos="1588"/>
        </w:tabs>
        <w:autoSpaceDE w:val="0"/>
        <w:autoSpaceDN w:val="0"/>
        <w:adjustRightInd w:val="0"/>
        <w:spacing w:before="240" w:line="260" w:lineRule="exact"/>
        <w:ind w:left="1588" w:hanging="1588"/>
        <w:jc w:val="both"/>
        <w:rPr>
          <w:i/>
          <w:sz w:val="22"/>
        </w:rPr>
      </w:pPr>
      <w:r>
        <w:rPr>
          <w:i/>
          <w:color w:val="000000"/>
          <w:sz w:val="22"/>
        </w:rPr>
        <w:tab/>
        <w:t>f)</w:t>
      </w:r>
      <w:r>
        <w:rPr>
          <w:i/>
          <w:color w:val="000000"/>
          <w:sz w:val="22"/>
        </w:rPr>
        <w:tab/>
        <w:t>принимать все соответствующие меры, включая законодательные, для изменения или отмены действующих законов, постановлений, обычаев и практики, которые представляют собой дискриминацию в отношении женщин;</w:t>
      </w:r>
    </w:p>
    <w:p w:rsidR="00000000" w:rsidRDefault="00000000">
      <w:pPr>
        <w:tabs>
          <w:tab w:val="left" w:pos="1247"/>
          <w:tab w:val="left" w:pos="1588"/>
        </w:tabs>
        <w:autoSpaceDE w:val="0"/>
        <w:autoSpaceDN w:val="0"/>
        <w:adjustRightInd w:val="0"/>
        <w:spacing w:before="240" w:line="260" w:lineRule="exact"/>
        <w:ind w:left="1588" w:hanging="1588"/>
        <w:jc w:val="both"/>
        <w:rPr>
          <w:i/>
          <w:sz w:val="22"/>
        </w:rPr>
      </w:pPr>
      <w:r>
        <w:rPr>
          <w:i/>
          <w:sz w:val="22"/>
        </w:rPr>
        <w:tab/>
        <w:t>g)</w:t>
      </w:r>
      <w:r>
        <w:rPr>
          <w:i/>
          <w:sz w:val="22"/>
        </w:rPr>
        <w:tab/>
        <w:t>отменить все положения своего уголовного законодательства, которые представляют собой дискриминацию в отношении женщин.</w:t>
      </w:r>
    </w:p>
    <w:p w:rsidR="00000000" w:rsidRDefault="00000000">
      <w:pPr>
        <w:pStyle w:val="Heading3"/>
      </w:pPr>
      <w:r>
        <w:rPr>
          <w:caps/>
        </w:rPr>
        <w:t>к</w:t>
      </w:r>
      <w:r>
        <w:t>онституционные нормы и международные договоры</w:t>
      </w:r>
    </w:p>
    <w:p w:rsidR="00000000" w:rsidRDefault="00000000">
      <w:pPr>
        <w:pStyle w:val="BodyText3"/>
        <w:tabs>
          <w:tab w:val="left" w:pos="680"/>
        </w:tabs>
        <w:spacing w:before="240" w:line="260" w:lineRule="exact"/>
        <w:jc w:val="both"/>
        <w:rPr>
          <w:b w:val="0"/>
          <w:color w:val="000000"/>
          <w:sz w:val="22"/>
        </w:rPr>
      </w:pPr>
      <w:r>
        <w:rPr>
          <w:b w:val="0"/>
          <w:color w:val="000000"/>
          <w:sz w:val="22"/>
        </w:rPr>
        <w:t>105.</w:t>
      </w:r>
      <w:r>
        <w:rPr>
          <w:b w:val="0"/>
          <w:color w:val="000000"/>
          <w:sz w:val="22"/>
        </w:rPr>
        <w:tab/>
        <w:t xml:space="preserve">С 27 мая 1999 года, после того как в результате принятия Закона № 7880 были внесены изменения в статью 33 Основного закона, в действующей Политической конституции Республики Коста-Рики 1949 года слово </w:t>
      </w:r>
      <w:r>
        <w:rPr>
          <w:b w:val="0"/>
          <w:color w:val="000000"/>
          <w:sz w:val="22"/>
          <w:lang w:val="es-ES"/>
        </w:rPr>
        <w:t>hombre</w:t>
      </w:r>
      <w:r>
        <w:rPr>
          <w:b w:val="0"/>
          <w:color w:val="000000"/>
          <w:sz w:val="22"/>
        </w:rPr>
        <w:t xml:space="preserve"> ("человек", "мужчина") перестало употребляться как родовое, обозначающее также женщин. В результате конституционной реформы слово </w:t>
      </w:r>
      <w:r>
        <w:rPr>
          <w:b w:val="0"/>
          <w:color w:val="000000"/>
          <w:sz w:val="22"/>
          <w:lang w:val="es-ES"/>
        </w:rPr>
        <w:t>hombre</w:t>
      </w:r>
      <w:r>
        <w:rPr>
          <w:b w:val="0"/>
          <w:color w:val="000000"/>
          <w:sz w:val="22"/>
        </w:rPr>
        <w:t xml:space="preserve"> было заменено словом </w:t>
      </w:r>
      <w:r>
        <w:rPr>
          <w:b w:val="0"/>
          <w:color w:val="000000"/>
          <w:sz w:val="22"/>
          <w:lang w:val="es-ES"/>
        </w:rPr>
        <w:t>persona</w:t>
      </w:r>
      <w:r>
        <w:rPr>
          <w:b w:val="0"/>
          <w:color w:val="000000"/>
          <w:sz w:val="22"/>
        </w:rPr>
        <w:t xml:space="preserve"> ("человек", "лицо"), что следует из текста: </w:t>
      </w:r>
      <w:r>
        <w:rPr>
          <w:b w:val="0"/>
          <w:i/>
          <w:color w:val="000000"/>
          <w:sz w:val="22"/>
        </w:rPr>
        <w:t>"Статья 33. Все люди равны перед законом, не допускается никакая дискриминация в отношении человеческого достоинства".</w:t>
      </w:r>
      <w:r>
        <w:rPr>
          <w:b w:val="0"/>
          <w:color w:val="000000"/>
          <w:sz w:val="22"/>
        </w:rPr>
        <w:t xml:space="preserve"> Хотя в результате данной реформы в явной, позитивной и недвусмысленной форме не устанавливается, что "лицо" относится к мужчинам и женщинам, как того требует соответствующая рекомендация Комитета КЛДОЖ, это было важнейшим шагом в борьбе за преодоление андроцентризма в юридических текстах, а принцип равенства мужчин и женщин получил закрепление в Политической конституции. Посредством этого же закона и в соответствии со статьей 2 Конвенции были внесены изменения в статью 20 Конституции, в результате чего слово "раб" было заменено на "ни раб, ни рабыня" в целях устранения трактовок, которые могут повлечь легальную дискриминацию по гендерному признаку</w:t>
      </w:r>
      <w:r>
        <w:rPr>
          <w:rStyle w:val="FootnoteReference"/>
          <w:b w:val="0"/>
          <w:color w:val="000000"/>
          <w:sz w:val="22"/>
        </w:rPr>
        <w:footnoteReference w:id="9"/>
      </w:r>
      <w:r>
        <w:rPr>
          <w:b w:val="0"/>
          <w:color w:val="000000"/>
          <w:sz w:val="22"/>
        </w:rPr>
        <w:t>.</w:t>
      </w:r>
    </w:p>
    <w:p w:rsidR="00000000" w:rsidRDefault="00000000">
      <w:pPr>
        <w:pStyle w:val="BodyText3"/>
        <w:tabs>
          <w:tab w:val="left" w:pos="680"/>
        </w:tabs>
        <w:spacing w:before="240" w:line="260" w:lineRule="exact"/>
        <w:jc w:val="both"/>
        <w:rPr>
          <w:b w:val="0"/>
          <w:color w:val="000000"/>
          <w:sz w:val="22"/>
        </w:rPr>
      </w:pPr>
      <w:r>
        <w:rPr>
          <w:b w:val="0"/>
          <w:color w:val="000000"/>
          <w:sz w:val="22"/>
        </w:rPr>
        <w:t xml:space="preserve">106. </w:t>
      </w:r>
      <w:r>
        <w:rPr>
          <w:b w:val="0"/>
          <w:color w:val="000000"/>
          <w:sz w:val="22"/>
        </w:rPr>
        <w:tab/>
        <w:t>Следует отметить, что принятие в 1990 году Закона № 7142 о содействии социальному равенству женщин представляет собой прогрессивное развитие законодательства страны, так как в нем, во исполнение соответствующей рекомендации КЛДОЖ, недвусмысленно закрепляются равенство мужчин и женщин и запрещение дискриминации в отношении женщин.</w:t>
      </w:r>
    </w:p>
    <w:p w:rsidR="00000000" w:rsidRDefault="00000000">
      <w:pPr>
        <w:pStyle w:val="BodyText3"/>
        <w:tabs>
          <w:tab w:val="left" w:pos="680"/>
        </w:tabs>
        <w:spacing w:before="240" w:line="260" w:lineRule="exact"/>
        <w:jc w:val="both"/>
        <w:rPr>
          <w:b w:val="0"/>
          <w:color w:val="000000"/>
          <w:sz w:val="22"/>
        </w:rPr>
      </w:pPr>
      <w:r>
        <w:rPr>
          <w:b w:val="0"/>
          <w:color w:val="000000"/>
          <w:sz w:val="22"/>
        </w:rPr>
        <w:t xml:space="preserve">107. </w:t>
      </w:r>
      <w:r>
        <w:rPr>
          <w:b w:val="0"/>
          <w:color w:val="000000"/>
          <w:sz w:val="22"/>
        </w:rPr>
        <w:tab/>
        <w:t>Преодоление андроцентрических перекосов в национальном законодательстве, и прежде всего в Политической конституции, было медленным и трудным, так как правовые документы отражают развитие общества, в котором потребности и интересы женщин по-прежнему остаются в тени. Ратификация Коста-Рикой Конвенции в 1984 году положила начало переосмыслению принципа формального равенства людей и утверждению принципа равенства с учетом различий. Так, слово "дискриминация", понимаемое прежде как неодинаковое отношение, получило новое содержание и стало определяться исходя из прав женщин. Дискриминация проявляется как в духе, так и в самой букве нормативного акта в случае ограничения или отмены права, закрепленного за женщиной, а также в результате соответствующей трактовки закона лицами, отправляющими правосудие. Преодоление андроцентризма в правовых документах является важным этапом, но должно сопровождаться активной и систематической работой по ликвидации своего рода "неграмотности", которой нередко отличаются работники правосудия, в области принципов, лежащих в основе международных нормативных актов и специальных соглашений в области прав человека женщин.</w:t>
      </w:r>
    </w:p>
    <w:p w:rsidR="00000000" w:rsidRDefault="00000000">
      <w:pPr>
        <w:pStyle w:val="BodyText3"/>
        <w:tabs>
          <w:tab w:val="left" w:pos="680"/>
        </w:tabs>
        <w:spacing w:before="240" w:line="260" w:lineRule="exact"/>
        <w:jc w:val="both"/>
        <w:rPr>
          <w:b w:val="0"/>
          <w:color w:val="000000"/>
          <w:sz w:val="22"/>
        </w:rPr>
      </w:pPr>
      <w:r>
        <w:rPr>
          <w:b w:val="0"/>
          <w:color w:val="000000"/>
          <w:sz w:val="22"/>
        </w:rPr>
        <w:t xml:space="preserve">108. </w:t>
      </w:r>
      <w:r>
        <w:rPr>
          <w:b w:val="0"/>
          <w:color w:val="000000"/>
          <w:sz w:val="22"/>
        </w:rPr>
        <w:tab/>
        <w:t>С 1951 года Коста-Рикой было ратифицировано более двадцати международных договоров о защите прав человека женщин в различных областях</w:t>
      </w:r>
      <w:r>
        <w:rPr>
          <w:rStyle w:val="FootnoteReference"/>
          <w:b w:val="0"/>
          <w:color w:val="000000"/>
          <w:sz w:val="22"/>
        </w:rPr>
        <w:footnoteReference w:id="10"/>
      </w:r>
      <w:r>
        <w:rPr>
          <w:b w:val="0"/>
          <w:color w:val="000000"/>
          <w:sz w:val="22"/>
        </w:rPr>
        <w:t>. Ратификация этих договоров позволила принять специальные законы и пересмотреть дискриминационные нормативные акты, которые имелись в национальном законодательстве. Вместе с тем некоторые специалисты в области права до сих пор не знают о существовании специальных документов по правам человека женщин. Это приводит к ограниченному использованию данных правовых инструментов в стране, несмотря на предусмотренную в них возможность прямого применения без принятия дополнительных нормативных актов. Лишь Конституционный суд часто использует их в рамках своей юрисдикции.</w:t>
      </w:r>
    </w:p>
    <w:p w:rsidR="00000000" w:rsidRDefault="00000000">
      <w:pPr>
        <w:pStyle w:val="BodyText3"/>
        <w:tabs>
          <w:tab w:val="left" w:pos="680"/>
        </w:tabs>
        <w:spacing w:before="240" w:line="260" w:lineRule="exact"/>
        <w:jc w:val="both"/>
        <w:rPr>
          <w:b w:val="0"/>
          <w:sz w:val="22"/>
        </w:rPr>
      </w:pPr>
      <w:r>
        <w:rPr>
          <w:b w:val="0"/>
          <w:color w:val="000000"/>
          <w:sz w:val="22"/>
        </w:rPr>
        <w:t xml:space="preserve">109. </w:t>
      </w:r>
      <w:r>
        <w:rPr>
          <w:b w:val="0"/>
          <w:color w:val="000000"/>
          <w:sz w:val="22"/>
        </w:rPr>
        <w:tab/>
        <w:t xml:space="preserve">Другой важной вехой в деле обеспечения эффективного применения принципа равенства и действенной защиты прав человека женщин стало принятие Законодательным собранием Закона № 8089 от 12 февраля 2001 года "Об утверждении </w:t>
      </w:r>
      <w:r>
        <w:rPr>
          <w:b w:val="0"/>
          <w:sz w:val="22"/>
        </w:rPr>
        <w:t>Факультативного протокола к Конвенции о ликвидации всех форм дискриминации в отношении женщин". Благодаря этому женщины Коста-Рики получили возможность подавать жалобы на действия государства, противоречащие Конвенции. С другой стороны, вышеуказанный Протокол предоставляет возможность специализированному учреждению Организации Объединенных Наций расследовать любые случаи серьезного или систематического нарушения прав человека женщин, предусмотренных в Конвенции.</w:t>
      </w:r>
    </w:p>
    <w:p w:rsidR="00000000" w:rsidRDefault="00000000">
      <w:pPr>
        <w:pStyle w:val="BodyText3"/>
        <w:tabs>
          <w:tab w:val="left" w:pos="680"/>
        </w:tabs>
        <w:spacing w:before="240" w:line="260" w:lineRule="exact"/>
        <w:jc w:val="both"/>
        <w:rPr>
          <w:b w:val="0"/>
          <w:sz w:val="22"/>
        </w:rPr>
      </w:pPr>
      <w:r>
        <w:rPr>
          <w:b w:val="0"/>
          <w:sz w:val="22"/>
        </w:rPr>
        <w:t xml:space="preserve">110. </w:t>
      </w:r>
      <w:r>
        <w:rPr>
          <w:b w:val="0"/>
          <w:sz w:val="22"/>
        </w:rPr>
        <w:tab/>
        <w:t>28 ноября 2000 года принятием Закона № 8053 была ратифицирована Межамериканская конвенция об обязательствах в области выплаты алиментов. Согласно данной конвенции обеспечивается защита бывших супругов, несовершеннолетних детей, престарелых отцов и матерей и других прямых родственников, иждивенцев или инвалидов, если лицо, имеющее задолженность по алиментам, проживает либо владеет имуществом или доходами в ином государстве-члене, нежели получатель алиментов. С подписанием этой конвенции становится возможным формальное решение проблем, с которыми сталкиваются многочисленные семьи в Коста-Рике, причем главами многих из них являются женщины, не имевшие возможность потребовать через суд выполнения этого обязательства, так как должник или его имущество находились в другой стране.</w:t>
      </w:r>
    </w:p>
    <w:p w:rsidR="00000000" w:rsidRDefault="00000000">
      <w:pPr>
        <w:pStyle w:val="BodyText3"/>
        <w:tabs>
          <w:tab w:val="left" w:pos="680"/>
        </w:tabs>
        <w:spacing w:line="260" w:lineRule="exact"/>
        <w:jc w:val="both"/>
        <w:rPr>
          <w:b w:val="0"/>
          <w:sz w:val="22"/>
        </w:rPr>
      </w:pPr>
    </w:p>
    <w:p w:rsidR="00000000" w:rsidRDefault="00000000">
      <w:pPr>
        <w:pStyle w:val="Heading3"/>
      </w:pPr>
      <w:r>
        <w:rPr>
          <w:caps/>
        </w:rPr>
        <w:t>о</w:t>
      </w:r>
      <w:r>
        <w:t>бщие и специальные законы</w:t>
      </w:r>
    </w:p>
    <w:p w:rsidR="00000000" w:rsidRDefault="00000000">
      <w:pPr>
        <w:pStyle w:val="BodyText3"/>
        <w:tabs>
          <w:tab w:val="left" w:pos="680"/>
        </w:tabs>
        <w:spacing w:before="240" w:line="260" w:lineRule="exact"/>
        <w:jc w:val="both"/>
        <w:rPr>
          <w:b w:val="0"/>
          <w:sz w:val="22"/>
        </w:rPr>
      </w:pPr>
      <w:r>
        <w:rPr>
          <w:b w:val="0"/>
          <w:sz w:val="22"/>
        </w:rPr>
        <w:t>111.</w:t>
      </w:r>
      <w:r>
        <w:rPr>
          <w:b w:val="0"/>
          <w:sz w:val="22"/>
        </w:rPr>
        <w:tab/>
        <w:t>На момент завершения работы над первоначальным докладом на рассмотрении законодательной власти находился ряд законопроектов, большинство из которых были представлены ИНАМУ, в целях преодоления дискриминации, присутствующей в общих законах, например в Семейном и Трудовом кодексах. Изучение внесенных законопроектов, рассмотрение которых было прервано в связи окончанием легислатуры, показало, что у некоторых из них имелись недостатки, которые были преодолены или минимизированы благодаря другим законопроектам, ставшим законами (например, Закон об ответственном отцовстве). В других случаях в представленные позднее законопроекты были включены отдельные положения законопроектов, отправленных в архив. Некоторые законопроекты не были рассмотрены ИНАМУ, так как считалось, что их значимость ограниченна или что они не содействуют разрешению существующих проблем дискриминации в отношении женщин.</w:t>
      </w:r>
    </w:p>
    <w:p w:rsidR="00000000" w:rsidRDefault="00000000">
      <w:pPr>
        <w:pStyle w:val="BodyText3"/>
        <w:tabs>
          <w:tab w:val="left" w:pos="680"/>
        </w:tabs>
        <w:spacing w:before="240" w:line="260" w:lineRule="exact"/>
        <w:jc w:val="both"/>
        <w:rPr>
          <w:b w:val="0"/>
          <w:sz w:val="22"/>
        </w:rPr>
      </w:pPr>
      <w:r>
        <w:rPr>
          <w:b w:val="0"/>
          <w:sz w:val="22"/>
        </w:rPr>
        <w:t xml:space="preserve">112. </w:t>
      </w:r>
      <w:r>
        <w:rPr>
          <w:b w:val="0"/>
          <w:sz w:val="22"/>
        </w:rPr>
        <w:tab/>
        <w:t>В течение отчетного периода был принят ряд специальных законов и были внесены изменения в существующие законы, перечисленные в таблице 1. Уже рассмотрены или ждут рассмотрения на сессии Законодательного собрания ряд законопроектов, касающихся внесения изменений в общие и специальные законы, а также предложения о новых законопроектах, направленных на разрешение таких серьезных проблем, как безнаказанность за совершенное в отношении женщины насилие. В Приложении № 2 представлен перечень этих законопроектов, а также указано состояние законопроектов, которые упоминались в первоначальном докладе, но на тот момент не были утверждены или находились в процессе рассмотрения.</w:t>
      </w:r>
    </w:p>
    <w:p w:rsidR="00000000" w:rsidRDefault="00000000">
      <w:pPr>
        <w:pStyle w:val="BodyText3"/>
        <w:tabs>
          <w:tab w:val="left" w:pos="680"/>
        </w:tabs>
        <w:spacing w:before="240" w:line="260" w:lineRule="exact"/>
        <w:jc w:val="center"/>
        <w:rPr>
          <w:sz w:val="22"/>
        </w:rPr>
      </w:pPr>
      <w:r>
        <w:rPr>
          <w:sz w:val="22"/>
        </w:rPr>
        <w:t>Таблица 1</w:t>
      </w:r>
    </w:p>
    <w:p w:rsidR="00000000" w:rsidRDefault="00000000">
      <w:pPr>
        <w:pStyle w:val="BodyText3"/>
        <w:tabs>
          <w:tab w:val="left" w:pos="680"/>
        </w:tabs>
        <w:spacing w:before="120" w:after="120" w:line="260" w:lineRule="exact"/>
        <w:jc w:val="center"/>
        <w:rPr>
          <w:sz w:val="22"/>
        </w:rPr>
      </w:pPr>
      <w:r>
        <w:rPr>
          <w:sz w:val="22"/>
        </w:rPr>
        <w:t>Изменения, внесенные в основные и специальные законы и утвержденные Законодательным собранием Коста-Рики с 1 марта 1998 года по 28 февраля 2002 года</w:t>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1418"/>
        <w:gridCol w:w="5103"/>
        <w:gridCol w:w="2268"/>
      </w:tblGrid>
      <w:tr w:rsidR="00000000">
        <w:tblPrEx>
          <w:tblCellMar>
            <w:top w:w="0" w:type="dxa"/>
            <w:bottom w:w="0" w:type="dxa"/>
          </w:tblCellMar>
        </w:tblPrEx>
        <w:trPr>
          <w:jc w:val="center"/>
        </w:trPr>
        <w:tc>
          <w:tcPr>
            <w:tcW w:w="1418" w:type="dxa"/>
            <w:tcBorders>
              <w:top w:val="single" w:sz="4" w:space="0" w:color="auto"/>
              <w:bottom w:val="single" w:sz="4" w:space="0" w:color="auto"/>
            </w:tcBorders>
          </w:tcPr>
          <w:p w:rsidR="00000000" w:rsidRDefault="00000000">
            <w:pPr>
              <w:pStyle w:val="BodyText3"/>
              <w:tabs>
                <w:tab w:val="left" w:pos="680"/>
              </w:tabs>
              <w:spacing w:before="80" w:after="80"/>
              <w:jc w:val="center"/>
              <w:rPr>
                <w:sz w:val="20"/>
              </w:rPr>
            </w:pPr>
            <w:r>
              <w:rPr>
                <w:sz w:val="20"/>
              </w:rPr>
              <w:t>№ закона</w:t>
            </w:r>
          </w:p>
        </w:tc>
        <w:tc>
          <w:tcPr>
            <w:tcW w:w="5103" w:type="dxa"/>
            <w:tcBorders>
              <w:top w:val="single" w:sz="4" w:space="0" w:color="auto"/>
              <w:bottom w:val="single" w:sz="4" w:space="0" w:color="auto"/>
            </w:tcBorders>
          </w:tcPr>
          <w:p w:rsidR="00000000" w:rsidRDefault="00000000">
            <w:pPr>
              <w:pStyle w:val="BodyText3"/>
              <w:tabs>
                <w:tab w:val="left" w:pos="680"/>
              </w:tabs>
              <w:spacing w:before="80" w:after="80"/>
              <w:jc w:val="center"/>
              <w:rPr>
                <w:sz w:val="20"/>
              </w:rPr>
            </w:pPr>
            <w:r>
              <w:rPr>
                <w:sz w:val="20"/>
              </w:rPr>
              <w:t>Название принятого закона</w:t>
            </w:r>
          </w:p>
        </w:tc>
        <w:tc>
          <w:tcPr>
            <w:tcW w:w="2268" w:type="dxa"/>
            <w:tcBorders>
              <w:top w:val="single" w:sz="4" w:space="0" w:color="auto"/>
              <w:bottom w:val="single" w:sz="4" w:space="0" w:color="auto"/>
            </w:tcBorders>
          </w:tcPr>
          <w:p w:rsidR="00000000" w:rsidRDefault="00000000">
            <w:pPr>
              <w:pStyle w:val="BodyText3"/>
              <w:tabs>
                <w:tab w:val="left" w:pos="680"/>
              </w:tabs>
              <w:spacing w:before="80" w:after="80"/>
              <w:jc w:val="center"/>
              <w:rPr>
                <w:sz w:val="20"/>
              </w:rPr>
            </w:pPr>
            <w:r>
              <w:rPr>
                <w:sz w:val="20"/>
              </w:rPr>
              <w:t>Дата принятия</w:t>
            </w:r>
          </w:p>
        </w:tc>
      </w:tr>
      <w:tr w:rsidR="00000000">
        <w:tblPrEx>
          <w:tblCellMar>
            <w:top w:w="0" w:type="dxa"/>
            <w:bottom w:w="0" w:type="dxa"/>
          </w:tblCellMar>
        </w:tblPrEx>
        <w:trPr>
          <w:jc w:val="center"/>
        </w:trPr>
        <w:tc>
          <w:tcPr>
            <w:tcW w:w="1418" w:type="dxa"/>
            <w:tcBorders>
              <w:top w:val="single" w:sz="4" w:space="0" w:color="auto"/>
            </w:tcBorders>
          </w:tcPr>
          <w:p w:rsidR="00000000" w:rsidRDefault="00000000">
            <w:pPr>
              <w:pStyle w:val="BodyText3"/>
              <w:tabs>
                <w:tab w:val="left" w:pos="680"/>
              </w:tabs>
              <w:spacing w:before="80" w:after="80"/>
              <w:jc w:val="center"/>
              <w:rPr>
                <w:b w:val="0"/>
                <w:sz w:val="20"/>
              </w:rPr>
            </w:pPr>
            <w:r>
              <w:rPr>
                <w:b w:val="0"/>
                <w:sz w:val="20"/>
              </w:rPr>
              <w:t>7769</w:t>
            </w:r>
          </w:p>
        </w:tc>
        <w:tc>
          <w:tcPr>
            <w:tcW w:w="5103" w:type="dxa"/>
            <w:tcBorders>
              <w:top w:val="single" w:sz="4" w:space="0" w:color="auto"/>
            </w:tcBorders>
          </w:tcPr>
          <w:p w:rsidR="00000000" w:rsidRDefault="00000000">
            <w:pPr>
              <w:pStyle w:val="BodyText3"/>
              <w:tabs>
                <w:tab w:val="left" w:pos="680"/>
              </w:tabs>
              <w:spacing w:before="80" w:after="80"/>
              <w:rPr>
                <w:b w:val="0"/>
                <w:sz w:val="20"/>
              </w:rPr>
            </w:pPr>
            <w:r>
              <w:rPr>
                <w:b w:val="0"/>
                <w:sz w:val="20"/>
              </w:rPr>
              <w:t>О помощи женщинам, живущим в условиях бедности</w:t>
            </w:r>
          </w:p>
        </w:tc>
        <w:tc>
          <w:tcPr>
            <w:tcW w:w="2268" w:type="dxa"/>
            <w:tcBorders>
              <w:top w:val="single" w:sz="4" w:space="0" w:color="auto"/>
            </w:tcBorders>
          </w:tcPr>
          <w:p w:rsidR="00000000" w:rsidRDefault="00000000">
            <w:pPr>
              <w:pStyle w:val="BodyText3"/>
              <w:tabs>
                <w:tab w:val="left" w:pos="680"/>
              </w:tabs>
              <w:spacing w:before="80" w:after="80"/>
              <w:jc w:val="center"/>
              <w:rPr>
                <w:b w:val="0"/>
                <w:sz w:val="20"/>
              </w:rPr>
            </w:pPr>
            <w:r>
              <w:rPr>
                <w:b w:val="0"/>
                <w:sz w:val="20"/>
              </w:rPr>
              <w:t>24 апреля 1998 года</w:t>
            </w:r>
          </w:p>
        </w:tc>
      </w:tr>
      <w:tr w:rsidR="00000000">
        <w:tblPrEx>
          <w:tblCellMar>
            <w:top w:w="0" w:type="dxa"/>
            <w:bottom w:w="0" w:type="dxa"/>
          </w:tblCellMar>
        </w:tblPrEx>
        <w:trPr>
          <w:jc w:val="center"/>
        </w:trPr>
        <w:tc>
          <w:tcPr>
            <w:tcW w:w="1418" w:type="dxa"/>
          </w:tcPr>
          <w:p w:rsidR="00000000" w:rsidRDefault="00000000">
            <w:pPr>
              <w:pStyle w:val="BodyText3"/>
              <w:tabs>
                <w:tab w:val="left" w:pos="680"/>
              </w:tabs>
              <w:spacing w:before="80" w:after="80"/>
              <w:jc w:val="center"/>
              <w:rPr>
                <w:b w:val="0"/>
                <w:sz w:val="20"/>
              </w:rPr>
            </w:pPr>
            <w:r>
              <w:rPr>
                <w:b w:val="0"/>
                <w:sz w:val="20"/>
              </w:rPr>
              <w:t>7801</w:t>
            </w:r>
          </w:p>
        </w:tc>
        <w:tc>
          <w:tcPr>
            <w:tcW w:w="5103" w:type="dxa"/>
          </w:tcPr>
          <w:p w:rsidR="00000000" w:rsidRDefault="00000000">
            <w:pPr>
              <w:pStyle w:val="BodyText3"/>
              <w:tabs>
                <w:tab w:val="left" w:pos="680"/>
              </w:tabs>
              <w:spacing w:before="80" w:after="80"/>
              <w:rPr>
                <w:b w:val="0"/>
                <w:sz w:val="20"/>
              </w:rPr>
            </w:pPr>
            <w:r>
              <w:rPr>
                <w:b w:val="0"/>
                <w:sz w:val="20"/>
              </w:rPr>
              <w:t>О создании Национального института по делам женщин</w:t>
            </w:r>
          </w:p>
        </w:tc>
        <w:tc>
          <w:tcPr>
            <w:tcW w:w="2268" w:type="dxa"/>
          </w:tcPr>
          <w:p w:rsidR="00000000" w:rsidRDefault="00000000">
            <w:pPr>
              <w:pStyle w:val="BodyText3"/>
              <w:tabs>
                <w:tab w:val="left" w:pos="680"/>
              </w:tabs>
              <w:spacing w:before="80" w:after="80"/>
              <w:jc w:val="center"/>
              <w:rPr>
                <w:b w:val="0"/>
                <w:sz w:val="20"/>
              </w:rPr>
            </w:pPr>
            <w:r>
              <w:rPr>
                <w:b w:val="0"/>
                <w:sz w:val="20"/>
              </w:rPr>
              <w:t>30 апреля 1998 года</w:t>
            </w:r>
          </w:p>
        </w:tc>
      </w:tr>
      <w:tr w:rsidR="00000000">
        <w:tblPrEx>
          <w:tblCellMar>
            <w:top w:w="0" w:type="dxa"/>
            <w:bottom w:w="0" w:type="dxa"/>
          </w:tblCellMar>
        </w:tblPrEx>
        <w:trPr>
          <w:jc w:val="center"/>
        </w:trPr>
        <w:tc>
          <w:tcPr>
            <w:tcW w:w="1418" w:type="dxa"/>
          </w:tcPr>
          <w:p w:rsidR="00000000" w:rsidRDefault="00000000">
            <w:pPr>
              <w:pStyle w:val="BodyText3"/>
              <w:tabs>
                <w:tab w:val="left" w:pos="680"/>
              </w:tabs>
              <w:spacing w:before="80" w:after="80"/>
              <w:jc w:val="center"/>
              <w:rPr>
                <w:b w:val="0"/>
                <w:sz w:val="20"/>
              </w:rPr>
            </w:pPr>
            <w:r>
              <w:rPr>
                <w:b w:val="0"/>
                <w:sz w:val="20"/>
              </w:rPr>
              <w:t>7817</w:t>
            </w:r>
          </w:p>
        </w:tc>
        <w:tc>
          <w:tcPr>
            <w:tcW w:w="5103" w:type="dxa"/>
          </w:tcPr>
          <w:p w:rsidR="00000000" w:rsidRDefault="00000000">
            <w:pPr>
              <w:pStyle w:val="BodyText3"/>
              <w:tabs>
                <w:tab w:val="left" w:pos="680"/>
              </w:tabs>
              <w:spacing w:before="80" w:after="80"/>
              <w:rPr>
                <w:b w:val="0"/>
                <w:sz w:val="20"/>
              </w:rPr>
            </w:pPr>
            <w:r>
              <w:rPr>
                <w:b w:val="0"/>
                <w:sz w:val="20"/>
              </w:rPr>
              <w:t>О разработке программ "Молодая любовь" и "Создаем возможности"</w:t>
            </w:r>
          </w:p>
        </w:tc>
        <w:tc>
          <w:tcPr>
            <w:tcW w:w="2268" w:type="dxa"/>
          </w:tcPr>
          <w:p w:rsidR="00000000" w:rsidRDefault="00000000">
            <w:pPr>
              <w:pStyle w:val="BodyText3"/>
              <w:tabs>
                <w:tab w:val="left" w:pos="680"/>
              </w:tabs>
              <w:spacing w:before="80" w:after="80"/>
              <w:jc w:val="center"/>
              <w:rPr>
                <w:b w:val="0"/>
                <w:sz w:val="20"/>
              </w:rPr>
            </w:pPr>
            <w:r>
              <w:rPr>
                <w:b w:val="0"/>
                <w:sz w:val="20"/>
              </w:rPr>
              <w:t>5 сентября 1998 года</w:t>
            </w:r>
          </w:p>
        </w:tc>
      </w:tr>
      <w:tr w:rsidR="00000000">
        <w:tblPrEx>
          <w:tblCellMar>
            <w:top w:w="0" w:type="dxa"/>
            <w:bottom w:w="0" w:type="dxa"/>
          </w:tblCellMar>
        </w:tblPrEx>
        <w:trPr>
          <w:jc w:val="center"/>
        </w:trPr>
        <w:tc>
          <w:tcPr>
            <w:tcW w:w="1418" w:type="dxa"/>
          </w:tcPr>
          <w:p w:rsidR="00000000" w:rsidRDefault="00000000">
            <w:pPr>
              <w:pStyle w:val="BodyText3"/>
              <w:tabs>
                <w:tab w:val="left" w:pos="680"/>
              </w:tabs>
              <w:spacing w:before="80" w:after="80"/>
              <w:jc w:val="center"/>
              <w:rPr>
                <w:b w:val="0"/>
                <w:sz w:val="20"/>
              </w:rPr>
            </w:pPr>
            <w:r>
              <w:rPr>
                <w:b w:val="0"/>
                <w:sz w:val="20"/>
              </w:rPr>
              <w:t>7899</w:t>
            </w:r>
          </w:p>
        </w:tc>
        <w:tc>
          <w:tcPr>
            <w:tcW w:w="5103" w:type="dxa"/>
          </w:tcPr>
          <w:p w:rsidR="00000000" w:rsidRDefault="00000000">
            <w:pPr>
              <w:pStyle w:val="BodyText3"/>
              <w:tabs>
                <w:tab w:val="left" w:pos="680"/>
              </w:tabs>
              <w:spacing w:before="80" w:after="80"/>
              <w:rPr>
                <w:b w:val="0"/>
                <w:sz w:val="20"/>
              </w:rPr>
            </w:pPr>
            <w:r>
              <w:rPr>
                <w:b w:val="0"/>
                <w:sz w:val="20"/>
              </w:rPr>
              <w:t>О борьбе с сексуальной эксплуатацией несовершеннолетних</w:t>
            </w:r>
          </w:p>
        </w:tc>
        <w:tc>
          <w:tcPr>
            <w:tcW w:w="2268" w:type="dxa"/>
          </w:tcPr>
          <w:p w:rsidR="00000000" w:rsidRDefault="00000000">
            <w:pPr>
              <w:pStyle w:val="BodyText3"/>
              <w:tabs>
                <w:tab w:val="left" w:pos="680"/>
              </w:tabs>
              <w:spacing w:before="80" w:after="80"/>
              <w:jc w:val="center"/>
              <w:rPr>
                <w:b w:val="0"/>
                <w:sz w:val="20"/>
              </w:rPr>
            </w:pPr>
            <w:r>
              <w:rPr>
                <w:b w:val="0"/>
                <w:sz w:val="20"/>
              </w:rPr>
              <w:t>3 августа 1999 года</w:t>
            </w:r>
          </w:p>
        </w:tc>
      </w:tr>
      <w:tr w:rsidR="00000000">
        <w:tblPrEx>
          <w:tblCellMar>
            <w:top w:w="0" w:type="dxa"/>
            <w:bottom w:w="0" w:type="dxa"/>
          </w:tblCellMar>
        </w:tblPrEx>
        <w:trPr>
          <w:jc w:val="center"/>
        </w:trPr>
        <w:tc>
          <w:tcPr>
            <w:tcW w:w="1418" w:type="dxa"/>
          </w:tcPr>
          <w:p w:rsidR="00000000" w:rsidRDefault="00000000">
            <w:pPr>
              <w:pStyle w:val="BodyText3"/>
              <w:tabs>
                <w:tab w:val="left" w:pos="680"/>
              </w:tabs>
              <w:spacing w:before="80" w:after="80"/>
              <w:jc w:val="center"/>
              <w:rPr>
                <w:b w:val="0"/>
                <w:sz w:val="20"/>
              </w:rPr>
            </w:pPr>
            <w:r>
              <w:rPr>
                <w:b w:val="0"/>
                <w:sz w:val="20"/>
              </w:rPr>
              <w:t>7935</w:t>
            </w:r>
          </w:p>
        </w:tc>
        <w:tc>
          <w:tcPr>
            <w:tcW w:w="5103" w:type="dxa"/>
          </w:tcPr>
          <w:p w:rsidR="00000000" w:rsidRDefault="00000000">
            <w:pPr>
              <w:pStyle w:val="BodyText3"/>
              <w:tabs>
                <w:tab w:val="left" w:pos="680"/>
              </w:tabs>
              <w:spacing w:before="80" w:after="80"/>
              <w:rPr>
                <w:b w:val="0"/>
                <w:sz w:val="20"/>
              </w:rPr>
            </w:pPr>
            <w:r>
              <w:rPr>
                <w:b w:val="0"/>
                <w:sz w:val="20"/>
              </w:rPr>
              <w:t>О комплексной защите пожилых людей</w:t>
            </w:r>
          </w:p>
        </w:tc>
        <w:tc>
          <w:tcPr>
            <w:tcW w:w="2268" w:type="dxa"/>
          </w:tcPr>
          <w:p w:rsidR="00000000" w:rsidRDefault="00000000">
            <w:pPr>
              <w:pStyle w:val="BodyText3"/>
              <w:tabs>
                <w:tab w:val="left" w:pos="680"/>
              </w:tabs>
              <w:spacing w:before="80" w:after="80"/>
              <w:jc w:val="center"/>
              <w:rPr>
                <w:b w:val="0"/>
                <w:sz w:val="20"/>
              </w:rPr>
            </w:pPr>
            <w:r>
              <w:rPr>
                <w:b w:val="0"/>
                <w:sz w:val="20"/>
              </w:rPr>
              <w:t>25 октября 1999 года</w:t>
            </w:r>
          </w:p>
        </w:tc>
      </w:tr>
      <w:tr w:rsidR="00000000">
        <w:tblPrEx>
          <w:tblCellMar>
            <w:top w:w="0" w:type="dxa"/>
            <w:bottom w:w="0" w:type="dxa"/>
          </w:tblCellMar>
        </w:tblPrEx>
        <w:trPr>
          <w:jc w:val="center"/>
        </w:trPr>
        <w:tc>
          <w:tcPr>
            <w:tcW w:w="1418" w:type="dxa"/>
          </w:tcPr>
          <w:p w:rsidR="00000000" w:rsidRDefault="00000000">
            <w:pPr>
              <w:pStyle w:val="BodyText3"/>
              <w:tabs>
                <w:tab w:val="left" w:pos="680"/>
              </w:tabs>
              <w:spacing w:before="80" w:after="80"/>
              <w:jc w:val="center"/>
              <w:rPr>
                <w:b w:val="0"/>
                <w:sz w:val="20"/>
              </w:rPr>
            </w:pPr>
            <w:r>
              <w:rPr>
                <w:b w:val="0"/>
                <w:sz w:val="20"/>
              </w:rPr>
              <w:t>7940</w:t>
            </w:r>
          </w:p>
        </w:tc>
        <w:tc>
          <w:tcPr>
            <w:tcW w:w="5103" w:type="dxa"/>
          </w:tcPr>
          <w:p w:rsidR="00000000" w:rsidRDefault="00000000">
            <w:pPr>
              <w:pStyle w:val="BodyText3"/>
              <w:tabs>
                <w:tab w:val="left" w:pos="680"/>
              </w:tabs>
              <w:spacing w:before="80" w:after="80"/>
              <w:rPr>
                <w:b w:val="0"/>
                <w:sz w:val="20"/>
              </w:rPr>
            </w:pPr>
            <w:r>
              <w:rPr>
                <w:b w:val="0"/>
                <w:sz w:val="20"/>
              </w:rPr>
              <w:t>О предоставлении ИМАС права на полное или частичное погашение ипотечных кредитов на жилье, объявленное социально значимым</w:t>
            </w:r>
          </w:p>
        </w:tc>
        <w:tc>
          <w:tcPr>
            <w:tcW w:w="2268" w:type="dxa"/>
          </w:tcPr>
          <w:p w:rsidR="00000000" w:rsidRDefault="00000000">
            <w:pPr>
              <w:pStyle w:val="BodyText3"/>
              <w:tabs>
                <w:tab w:val="left" w:pos="680"/>
              </w:tabs>
              <w:spacing w:before="80" w:after="80"/>
              <w:jc w:val="center"/>
              <w:rPr>
                <w:b w:val="0"/>
                <w:sz w:val="20"/>
              </w:rPr>
            </w:pPr>
            <w:r>
              <w:rPr>
                <w:b w:val="0"/>
                <w:sz w:val="20"/>
              </w:rPr>
              <w:t>9 ноября 1999 года</w:t>
            </w:r>
          </w:p>
        </w:tc>
      </w:tr>
      <w:tr w:rsidR="00000000">
        <w:tblPrEx>
          <w:tblCellMar>
            <w:top w:w="0" w:type="dxa"/>
            <w:bottom w:w="0" w:type="dxa"/>
          </w:tblCellMar>
        </w:tblPrEx>
        <w:trPr>
          <w:jc w:val="center"/>
        </w:trPr>
        <w:tc>
          <w:tcPr>
            <w:tcW w:w="1418" w:type="dxa"/>
          </w:tcPr>
          <w:p w:rsidR="00000000" w:rsidRDefault="00000000">
            <w:pPr>
              <w:pStyle w:val="BodyText3"/>
              <w:tabs>
                <w:tab w:val="left" w:pos="680"/>
              </w:tabs>
              <w:spacing w:before="80" w:after="80"/>
              <w:jc w:val="center"/>
              <w:rPr>
                <w:b w:val="0"/>
                <w:sz w:val="20"/>
              </w:rPr>
            </w:pPr>
            <w:r>
              <w:rPr>
                <w:b w:val="0"/>
                <w:sz w:val="20"/>
              </w:rPr>
              <w:t>7954</w:t>
            </w:r>
          </w:p>
        </w:tc>
        <w:tc>
          <w:tcPr>
            <w:tcW w:w="5103" w:type="dxa"/>
          </w:tcPr>
          <w:p w:rsidR="00000000" w:rsidRDefault="00000000">
            <w:pPr>
              <w:pStyle w:val="BodyText3"/>
              <w:tabs>
                <w:tab w:val="left" w:pos="680"/>
              </w:tabs>
              <w:spacing w:before="80" w:after="80"/>
              <w:rPr>
                <w:b w:val="0"/>
                <w:sz w:val="20"/>
              </w:rPr>
            </w:pPr>
            <w:r>
              <w:rPr>
                <w:b w:val="0"/>
                <w:sz w:val="20"/>
              </w:rPr>
              <w:t>О создании Галереи женщин</w:t>
            </w:r>
          </w:p>
        </w:tc>
        <w:tc>
          <w:tcPr>
            <w:tcW w:w="2268" w:type="dxa"/>
          </w:tcPr>
          <w:p w:rsidR="00000000" w:rsidRDefault="00000000">
            <w:pPr>
              <w:pStyle w:val="BodyText3"/>
              <w:tabs>
                <w:tab w:val="left" w:pos="680"/>
              </w:tabs>
              <w:spacing w:before="80" w:after="80"/>
              <w:jc w:val="center"/>
              <w:rPr>
                <w:b w:val="0"/>
                <w:sz w:val="20"/>
              </w:rPr>
            </w:pPr>
            <w:r>
              <w:rPr>
                <w:b w:val="0"/>
                <w:sz w:val="20"/>
              </w:rPr>
              <w:t>21 декабря 1999 года</w:t>
            </w:r>
          </w:p>
        </w:tc>
      </w:tr>
      <w:tr w:rsidR="00000000">
        <w:tblPrEx>
          <w:tblCellMar>
            <w:top w:w="0" w:type="dxa"/>
            <w:bottom w:w="0" w:type="dxa"/>
          </w:tblCellMar>
        </w:tblPrEx>
        <w:trPr>
          <w:jc w:val="center"/>
        </w:trPr>
        <w:tc>
          <w:tcPr>
            <w:tcW w:w="1418" w:type="dxa"/>
          </w:tcPr>
          <w:p w:rsidR="00000000" w:rsidRDefault="00000000">
            <w:pPr>
              <w:pStyle w:val="BodyText3"/>
              <w:tabs>
                <w:tab w:val="left" w:pos="680"/>
              </w:tabs>
              <w:spacing w:before="80" w:after="80"/>
              <w:jc w:val="center"/>
              <w:rPr>
                <w:b w:val="0"/>
                <w:sz w:val="20"/>
              </w:rPr>
            </w:pPr>
            <w:r>
              <w:rPr>
                <w:b w:val="0"/>
                <w:sz w:val="20"/>
              </w:rPr>
              <w:t>7950</w:t>
            </w:r>
          </w:p>
        </w:tc>
        <w:tc>
          <w:tcPr>
            <w:tcW w:w="5103" w:type="dxa"/>
          </w:tcPr>
          <w:p w:rsidR="00000000" w:rsidRDefault="00000000">
            <w:pPr>
              <w:pStyle w:val="BodyText3"/>
              <w:tabs>
                <w:tab w:val="left" w:pos="680"/>
              </w:tabs>
              <w:spacing w:before="80" w:after="80"/>
              <w:rPr>
                <w:b w:val="0"/>
                <w:sz w:val="20"/>
              </w:rPr>
            </w:pPr>
            <w:r>
              <w:rPr>
                <w:b w:val="0"/>
                <w:sz w:val="20"/>
              </w:rPr>
              <w:t>О внесении изменений в Закон о национальной системе развития жилья</w:t>
            </w:r>
          </w:p>
        </w:tc>
        <w:tc>
          <w:tcPr>
            <w:tcW w:w="2268" w:type="dxa"/>
          </w:tcPr>
          <w:p w:rsidR="00000000" w:rsidRDefault="00000000">
            <w:pPr>
              <w:pStyle w:val="BodyText3"/>
              <w:tabs>
                <w:tab w:val="left" w:pos="680"/>
              </w:tabs>
              <w:spacing w:before="80" w:after="80"/>
              <w:jc w:val="center"/>
              <w:rPr>
                <w:b w:val="0"/>
                <w:sz w:val="20"/>
              </w:rPr>
            </w:pPr>
            <w:r>
              <w:rPr>
                <w:b w:val="0"/>
                <w:sz w:val="20"/>
              </w:rPr>
              <w:t>12 января 2000 года</w:t>
            </w:r>
          </w:p>
        </w:tc>
      </w:tr>
      <w:tr w:rsidR="00000000">
        <w:tblPrEx>
          <w:tblCellMar>
            <w:top w:w="0" w:type="dxa"/>
            <w:bottom w:w="0" w:type="dxa"/>
          </w:tblCellMar>
        </w:tblPrEx>
        <w:trPr>
          <w:jc w:val="center"/>
        </w:trPr>
        <w:tc>
          <w:tcPr>
            <w:tcW w:w="1418" w:type="dxa"/>
          </w:tcPr>
          <w:p w:rsidR="00000000" w:rsidRDefault="00000000">
            <w:pPr>
              <w:pStyle w:val="BodyText3"/>
              <w:tabs>
                <w:tab w:val="left" w:pos="680"/>
              </w:tabs>
              <w:spacing w:before="80" w:after="80"/>
              <w:jc w:val="center"/>
              <w:rPr>
                <w:b w:val="0"/>
                <w:sz w:val="20"/>
              </w:rPr>
            </w:pPr>
            <w:r>
              <w:rPr>
                <w:b w:val="0"/>
                <w:sz w:val="20"/>
              </w:rPr>
              <w:t>8101</w:t>
            </w:r>
          </w:p>
        </w:tc>
        <w:tc>
          <w:tcPr>
            <w:tcW w:w="5103" w:type="dxa"/>
          </w:tcPr>
          <w:p w:rsidR="00000000" w:rsidRDefault="00000000">
            <w:pPr>
              <w:pStyle w:val="BodyText3"/>
              <w:tabs>
                <w:tab w:val="left" w:pos="680"/>
              </w:tabs>
              <w:spacing w:before="80" w:after="80"/>
              <w:rPr>
                <w:b w:val="0"/>
                <w:sz w:val="20"/>
              </w:rPr>
            </w:pPr>
            <w:r>
              <w:rPr>
                <w:b w:val="0"/>
                <w:sz w:val="20"/>
              </w:rPr>
              <w:t>Об ответственном отцовстве</w:t>
            </w:r>
          </w:p>
        </w:tc>
        <w:tc>
          <w:tcPr>
            <w:tcW w:w="2268" w:type="dxa"/>
          </w:tcPr>
          <w:p w:rsidR="00000000" w:rsidRDefault="00000000">
            <w:pPr>
              <w:pStyle w:val="BodyText3"/>
              <w:tabs>
                <w:tab w:val="left" w:pos="680"/>
              </w:tabs>
              <w:spacing w:before="80" w:after="80"/>
              <w:jc w:val="center"/>
              <w:rPr>
                <w:b w:val="0"/>
                <w:sz w:val="20"/>
              </w:rPr>
            </w:pPr>
            <w:r>
              <w:rPr>
                <w:b w:val="0"/>
                <w:sz w:val="20"/>
              </w:rPr>
              <w:t>27 марта 2001 года</w:t>
            </w:r>
          </w:p>
        </w:tc>
      </w:tr>
      <w:tr w:rsidR="00000000">
        <w:tblPrEx>
          <w:tblCellMar>
            <w:top w:w="0" w:type="dxa"/>
            <w:bottom w:w="0" w:type="dxa"/>
          </w:tblCellMar>
        </w:tblPrEx>
        <w:trPr>
          <w:jc w:val="center"/>
        </w:trPr>
        <w:tc>
          <w:tcPr>
            <w:tcW w:w="1418" w:type="dxa"/>
          </w:tcPr>
          <w:p w:rsidR="00000000" w:rsidRDefault="00000000">
            <w:pPr>
              <w:pStyle w:val="BodyText3"/>
              <w:tabs>
                <w:tab w:val="left" w:pos="680"/>
              </w:tabs>
              <w:spacing w:before="80" w:after="80"/>
              <w:jc w:val="center"/>
              <w:rPr>
                <w:b w:val="0"/>
                <w:sz w:val="20"/>
              </w:rPr>
            </w:pPr>
            <w:r>
              <w:rPr>
                <w:b w:val="0"/>
                <w:sz w:val="20"/>
              </w:rPr>
              <w:t>8128</w:t>
            </w:r>
          </w:p>
        </w:tc>
        <w:tc>
          <w:tcPr>
            <w:tcW w:w="5103" w:type="dxa"/>
          </w:tcPr>
          <w:p w:rsidR="00000000" w:rsidRDefault="00000000">
            <w:pPr>
              <w:pStyle w:val="BodyText3"/>
              <w:tabs>
                <w:tab w:val="left" w:pos="680"/>
              </w:tabs>
              <w:spacing w:before="80" w:after="80"/>
              <w:rPr>
                <w:b w:val="0"/>
                <w:sz w:val="20"/>
              </w:rPr>
            </w:pPr>
            <w:r>
              <w:rPr>
                <w:b w:val="0"/>
                <w:sz w:val="20"/>
              </w:rPr>
              <w:t>Об учреждении суда по насилию в семье во втором судебном округе Сан-Хосе</w:t>
            </w:r>
          </w:p>
        </w:tc>
        <w:tc>
          <w:tcPr>
            <w:tcW w:w="2268" w:type="dxa"/>
          </w:tcPr>
          <w:p w:rsidR="00000000" w:rsidRDefault="00000000">
            <w:pPr>
              <w:pStyle w:val="BodyText3"/>
              <w:tabs>
                <w:tab w:val="left" w:pos="680"/>
              </w:tabs>
              <w:spacing w:before="80" w:after="80"/>
              <w:jc w:val="center"/>
              <w:rPr>
                <w:b w:val="0"/>
                <w:sz w:val="20"/>
              </w:rPr>
            </w:pPr>
            <w:r>
              <w:rPr>
                <w:b w:val="0"/>
                <w:sz w:val="20"/>
              </w:rPr>
              <w:t>20 августа 2001 года</w:t>
            </w:r>
          </w:p>
        </w:tc>
      </w:tr>
      <w:tr w:rsidR="00000000">
        <w:tblPrEx>
          <w:tblCellMar>
            <w:top w:w="0" w:type="dxa"/>
            <w:bottom w:w="0" w:type="dxa"/>
          </w:tblCellMar>
        </w:tblPrEx>
        <w:trPr>
          <w:jc w:val="center"/>
        </w:trPr>
        <w:tc>
          <w:tcPr>
            <w:tcW w:w="1418" w:type="dxa"/>
          </w:tcPr>
          <w:p w:rsidR="00000000" w:rsidRDefault="00000000">
            <w:pPr>
              <w:pStyle w:val="BodyText3"/>
              <w:tabs>
                <w:tab w:val="left" w:pos="680"/>
              </w:tabs>
              <w:spacing w:before="80" w:after="80"/>
              <w:jc w:val="center"/>
              <w:rPr>
                <w:b w:val="0"/>
                <w:sz w:val="20"/>
              </w:rPr>
            </w:pPr>
            <w:r>
              <w:rPr>
                <w:b w:val="0"/>
                <w:sz w:val="20"/>
              </w:rPr>
              <w:t>8129</w:t>
            </w:r>
          </w:p>
        </w:tc>
        <w:tc>
          <w:tcPr>
            <w:tcW w:w="5103" w:type="dxa"/>
          </w:tcPr>
          <w:p w:rsidR="00000000" w:rsidRDefault="00000000">
            <w:pPr>
              <w:pStyle w:val="BodyText3"/>
              <w:tabs>
                <w:tab w:val="left" w:pos="680"/>
              </w:tabs>
              <w:spacing w:before="80" w:after="80"/>
              <w:rPr>
                <w:b w:val="0"/>
                <w:sz w:val="20"/>
              </w:rPr>
            </w:pPr>
            <w:r>
              <w:rPr>
                <w:b w:val="0"/>
                <w:sz w:val="20"/>
              </w:rPr>
              <w:t>Об учреждении судов по насилию в семье в судебном округе Эредия, в первом судебном округе Алахуэлы, в судебном округе Картаго и в уголовном суде кантона Уньон, провинция Картаго</w:t>
            </w:r>
          </w:p>
        </w:tc>
        <w:tc>
          <w:tcPr>
            <w:tcW w:w="2268" w:type="dxa"/>
          </w:tcPr>
          <w:p w:rsidR="00000000" w:rsidRDefault="00000000">
            <w:pPr>
              <w:pStyle w:val="BodyText3"/>
              <w:tabs>
                <w:tab w:val="left" w:pos="680"/>
              </w:tabs>
              <w:spacing w:before="80" w:after="80"/>
              <w:jc w:val="center"/>
              <w:rPr>
                <w:b w:val="0"/>
                <w:sz w:val="20"/>
              </w:rPr>
            </w:pPr>
            <w:r>
              <w:rPr>
                <w:b w:val="0"/>
                <w:sz w:val="20"/>
              </w:rPr>
              <w:t>23 августа 2001 года</w:t>
            </w:r>
          </w:p>
        </w:tc>
      </w:tr>
    </w:tbl>
    <w:p w:rsidR="00000000" w:rsidRDefault="00000000">
      <w:pPr>
        <w:pStyle w:val="BodyText3"/>
        <w:tabs>
          <w:tab w:val="left" w:pos="680"/>
        </w:tabs>
        <w:spacing w:before="240" w:line="260" w:lineRule="exact"/>
        <w:jc w:val="both"/>
        <w:rPr>
          <w:b w:val="0"/>
          <w:sz w:val="20"/>
        </w:rPr>
      </w:pPr>
      <w:r>
        <w:rPr>
          <w:sz w:val="20"/>
        </w:rPr>
        <w:t>Источник:</w:t>
      </w:r>
      <w:r>
        <w:rPr>
          <w:b w:val="0"/>
          <w:sz w:val="20"/>
        </w:rPr>
        <w:t xml:space="preserve"> Законодательное собрание Республики Коста-Рики, 2002 год.</w:t>
      </w:r>
    </w:p>
    <w:p w:rsidR="00000000" w:rsidRDefault="00000000">
      <w:pPr>
        <w:pStyle w:val="BodyText3"/>
        <w:tabs>
          <w:tab w:val="left" w:pos="680"/>
        </w:tabs>
        <w:spacing w:before="240" w:line="260" w:lineRule="exact"/>
        <w:jc w:val="both"/>
        <w:rPr>
          <w:b w:val="0"/>
          <w:sz w:val="22"/>
        </w:rPr>
      </w:pPr>
      <w:r>
        <w:rPr>
          <w:b w:val="0"/>
          <w:sz w:val="22"/>
        </w:rPr>
        <w:t>113.</w:t>
      </w:r>
      <w:r>
        <w:rPr>
          <w:b w:val="0"/>
          <w:sz w:val="22"/>
        </w:rPr>
        <w:tab/>
        <w:t>Как видно из таблицы 1, принятые законы носят весьма разнообразный характер. Одни направлены на институциональное укрепление деятельности по достижению гендерного равенства и разработку государственных стратегий по защите прав конкретных групп женщин (например, пожилых женщин, живущих в бедности, несовершеннолетних беременных и матерей, пожилых женщин), другие преследуют цель отразить вклад женщин Коста-Рики в экономическое, социальное, политическое и культурное развитие страны и облегчить им доступ к ресурсам и услугам, необходимым для повышения качества их жизни.</w:t>
      </w:r>
    </w:p>
    <w:p w:rsidR="00000000" w:rsidRDefault="00000000">
      <w:pPr>
        <w:pStyle w:val="BodyText3"/>
        <w:tabs>
          <w:tab w:val="left" w:pos="680"/>
        </w:tabs>
        <w:spacing w:before="240" w:line="260" w:lineRule="exact"/>
        <w:jc w:val="both"/>
        <w:rPr>
          <w:b w:val="0"/>
          <w:sz w:val="22"/>
        </w:rPr>
      </w:pPr>
      <w:r>
        <w:rPr>
          <w:b w:val="0"/>
          <w:sz w:val="22"/>
        </w:rPr>
        <w:t xml:space="preserve">114. </w:t>
      </w:r>
      <w:r>
        <w:rPr>
          <w:b w:val="0"/>
          <w:sz w:val="22"/>
        </w:rPr>
        <w:tab/>
        <w:t>Среди принятых в течение отчетного периода нормативных актов наибольшее политическое и общественное значение имеют два закона: о создании Национального института по делам женщин и об ответственном отцовстве. Принятие первого из этих законов позволило придать данному Институту более высокий политический статус и административную самостоятельность. Законом об ответственном отцовстве утверждался новый подход к признанию отцовства внебрачных детей. Благодаря этому революционному инструменту ускоряется процесс признания отцовства и одновременно предоставляется защита женщинам от наиболее нетерпимых и распространенных форм материального ущемления – нежелания отцов нести материальную ответственность за детей, отказываясь от признания своего отцовства.</w:t>
      </w:r>
    </w:p>
    <w:p w:rsidR="00000000" w:rsidRDefault="00000000">
      <w:pPr>
        <w:pStyle w:val="BodyText3"/>
        <w:tabs>
          <w:tab w:val="left" w:pos="680"/>
        </w:tabs>
        <w:spacing w:before="240" w:line="260" w:lineRule="exact"/>
        <w:jc w:val="both"/>
        <w:rPr>
          <w:b w:val="0"/>
          <w:sz w:val="22"/>
          <w:lang w:val="es-ES"/>
        </w:rPr>
      </w:pPr>
      <w:r>
        <w:rPr>
          <w:b w:val="0"/>
          <w:sz w:val="22"/>
        </w:rPr>
        <w:t xml:space="preserve">115. </w:t>
      </w:r>
      <w:r>
        <w:rPr>
          <w:b w:val="0"/>
          <w:sz w:val="22"/>
        </w:rPr>
        <w:tab/>
        <w:t xml:space="preserve">В целях борьбы с организованной торговлей женщинами, детьми и подростками обоего пола, включая сексуальную эксплуатацию, проституцию и сексуальный туризм, и для искоренения этих явлений в 1999 году был принят Закон № 7899 о борьбе с сексуальной эксплуатацией несовершеннолетних. Кроме того, были созданы Прокуратура по преступлениям на сексуальной почве и Группа по борьбе с сексуальной эксплуатацией при Министерстве общественной безопасности. </w:t>
      </w:r>
    </w:p>
    <w:p w:rsidR="00000000" w:rsidRDefault="00000000">
      <w:pPr>
        <w:tabs>
          <w:tab w:val="left" w:pos="680"/>
        </w:tabs>
        <w:spacing w:before="240" w:line="260" w:lineRule="exact"/>
        <w:jc w:val="both"/>
        <w:rPr>
          <w:sz w:val="22"/>
        </w:rPr>
      </w:pPr>
      <w:r>
        <w:rPr>
          <w:sz w:val="22"/>
        </w:rPr>
        <w:t xml:space="preserve">116. </w:t>
      </w:r>
      <w:r>
        <w:rPr>
          <w:sz w:val="22"/>
        </w:rPr>
        <w:tab/>
        <w:t>Наряду с отмеченными выше достижениями проведение реформ в других областях столкнулось с сопротивлением, как в случае проекта закона об уголовном наказании за насилие в отношении женщин. При рассмотрении данного законопроекта, получившего единодушное положительное заключение Специальной постоянной комиссии по делам женщин при Законодательном собрании в августе 2000 года, возникли многочисленные препятствия, в том числе объявление его неконституционным и умышленное затягивание его рассмотрения со стороны некоторых законодателей. В законе предусматривается уголовное наказание за насилие в отношении женщин, совершенное близкими ей лицами, с которыми у нее существуют доверительные отношения. Благодаря принятию этого закона стало бы возможным осуществление уголовного преследования виновных, с тем чтобы они не оставались безнаказанными. До настоящего времени данный законопроект еще не одобрен Конгрессом, несмотря на единодушное положительное заключение Комиссии.</w:t>
      </w:r>
    </w:p>
    <w:p w:rsidR="00000000" w:rsidRDefault="00000000">
      <w:pPr>
        <w:pStyle w:val="BodyText3"/>
        <w:tabs>
          <w:tab w:val="left" w:pos="680"/>
        </w:tabs>
        <w:spacing w:before="240" w:line="260" w:lineRule="exact"/>
        <w:jc w:val="both"/>
        <w:rPr>
          <w:b w:val="0"/>
          <w:sz w:val="22"/>
        </w:rPr>
      </w:pPr>
      <w:r>
        <w:rPr>
          <w:b w:val="0"/>
          <w:sz w:val="22"/>
        </w:rPr>
        <w:t xml:space="preserve">117. </w:t>
      </w:r>
      <w:r>
        <w:rPr>
          <w:b w:val="0"/>
          <w:sz w:val="22"/>
        </w:rPr>
        <w:tab/>
        <w:t xml:space="preserve">В последние два года в стране стали появляться группы неоконсерваторов (например, сторонников свободной жизни, живущих отдельно отцов и т. д.), протестующих против законодательства и стратегий, направленных на достижение гендерного равенства, аргументируя это тем, что они ущемляют права мужчин и предоставляют привилегии женщинам. Кроме того, в обществе сохраняются андроцентрические представления, порождающие упорное сопротивление со стороны некоторых законодателей, судей и верховных судей принятию законопроектов и других мер. Такие законопроекты, как об ответственном отцовстве и об уголовном наказании за насилие в отношении женщин, вызвали жаркие дискуссии, в ходе которых и выявились указанные представления и сопротивление. Первый законопроект вызвал споры относительно установления отцовства, которые стихли после того, как предпочтение было отдано правам детей. В отношении закона об уголовном наказании за насилие не удалось добиться аналогичной перемены настроений, главным образом потому, что в его задачи входит защита прав женщин, что ставит под сомнение саму основу гендерных отношений. Этим объясняется также сопротивление тем изменениям, которые предложено внести в Закон о борьбе с сексуальными домогательствами по месту работы и учебы и которые находятся на рассмотрении законодательного органа. Предложенные изменения, в частности, предусматривают ликвидацию особых привилегий для членов руководящих советов профсоюзов, для президента и вице-президента Республики, министров, законодателей, членов Верховного суда и т. п. </w:t>
      </w:r>
    </w:p>
    <w:p w:rsidR="00000000" w:rsidRDefault="00000000">
      <w:pPr>
        <w:pStyle w:val="BodyText3"/>
        <w:tabs>
          <w:tab w:val="left" w:pos="680"/>
        </w:tabs>
        <w:spacing w:before="240" w:line="260" w:lineRule="exact"/>
        <w:jc w:val="both"/>
        <w:rPr>
          <w:b w:val="0"/>
          <w:sz w:val="22"/>
        </w:rPr>
      </w:pPr>
      <w:r>
        <w:rPr>
          <w:b w:val="0"/>
          <w:sz w:val="22"/>
        </w:rPr>
        <w:t xml:space="preserve">118. </w:t>
      </w:r>
      <w:r>
        <w:rPr>
          <w:b w:val="0"/>
          <w:sz w:val="22"/>
        </w:rPr>
        <w:tab/>
        <w:t>До сих пор имеют место случаи серьезной дискриминации вследствие различной трактовки законов в разных инстанциях, в том числе в Конституционном суде. Например, в 2000 году в отношении права на участие в политической жизни страны, установленного в статьях 4 и 5 Закона о содействии социальному равенству женщин и в Конвенции о процентном соотношении женщин и мужчин на государственных должностях, Конституционный суд постановил, что с правовой точки зрения это право налагает на органы государственной власти и политические партии определенные обязательства, но не является основным правом, непосредственно гарантируемым Конституцией. Это решение явилось шагом назад по сравнению с другим решением, которое было принято в 1998 году тем же Конституционным судом и свидетельствующим о дискриминационном характере этого учреждения: "…Действительно, женщины не участвуют в работе этого коллегиального органа, как того требуют Положение о Конституционном суде и даже закон; тем самым нарушаются принципы равенства и запрещения всех форм дискриминации в отношении женщин, рассматриваемых в гендерном плане как группа, а не как отдельные субъекты". Подобная участь постигла и трактовку статьи 7 Закона о содействии социальному равенству женщин. Эта статья была объявлена неконституционной в той ее части, где говорится о регистрации общей недвижимости на имя женщины, если речь идет о фактическом браке.</w:t>
      </w:r>
    </w:p>
    <w:p w:rsidR="00000000" w:rsidRDefault="00000000">
      <w:pPr>
        <w:pStyle w:val="BodyText3"/>
        <w:tabs>
          <w:tab w:val="left" w:pos="680"/>
        </w:tabs>
        <w:spacing w:before="240" w:line="260" w:lineRule="exact"/>
        <w:jc w:val="both"/>
        <w:rPr>
          <w:b w:val="0"/>
          <w:sz w:val="22"/>
        </w:rPr>
      </w:pPr>
      <w:r>
        <w:rPr>
          <w:b w:val="0"/>
          <w:sz w:val="22"/>
        </w:rPr>
        <w:t xml:space="preserve">119. </w:t>
      </w:r>
      <w:r>
        <w:rPr>
          <w:b w:val="0"/>
          <w:sz w:val="22"/>
        </w:rPr>
        <w:tab/>
        <w:t xml:space="preserve">Еще одним шагом назад стало решение Конституционного суда (дело № 00-009388-0007-СО) в отношении Народного банка коммунального развития, в котором возникла правовая и социальная необходимость увеличить представленность женщин в этом государственном учреждении. Однако, ссылаясь на тот факт, что "проведение конференций работников регулируется статьями 14 и 14 </w:t>
      </w:r>
      <w:r>
        <w:rPr>
          <w:b w:val="0"/>
          <w:sz w:val="22"/>
          <w:lang w:val="es-ES"/>
        </w:rPr>
        <w:t>bis</w:t>
      </w:r>
      <w:r>
        <w:rPr>
          <w:b w:val="0"/>
          <w:sz w:val="22"/>
        </w:rPr>
        <w:t xml:space="preserve"> Органического закона о Народном банке коммунального развития, а также изменениями, внесенными по этому вопросу согласно решению 1267-96 Конституционного суда, было заявлено, что существовавшая до настоящего времени одиозная практика формирования по квотам, выделяемым каждому сектору, заменяется формированием с учетом принципов пропорциональности и разумности; иными словами, в дальнейшем число делегатов конференции от каждого сектора будет распределяться не по фиксированным квотам, а в строгой зависимости от числа обязательных членов-вкладчиков".</w:t>
      </w:r>
    </w:p>
    <w:p w:rsidR="00000000" w:rsidRDefault="00000000">
      <w:pPr>
        <w:pStyle w:val="BodyText3"/>
        <w:tabs>
          <w:tab w:val="left" w:pos="680"/>
        </w:tabs>
        <w:spacing w:before="240" w:line="260" w:lineRule="exact"/>
        <w:jc w:val="both"/>
        <w:rPr>
          <w:b w:val="0"/>
          <w:sz w:val="22"/>
        </w:rPr>
      </w:pPr>
      <w:r>
        <w:rPr>
          <w:b w:val="0"/>
          <w:sz w:val="22"/>
        </w:rPr>
        <w:t xml:space="preserve">120. </w:t>
      </w:r>
      <w:r>
        <w:rPr>
          <w:b w:val="0"/>
          <w:sz w:val="22"/>
        </w:rPr>
        <w:tab/>
        <w:t>Аналогичным образом, отмечается дискриминация в тех случаях, когда в ситуациях, предусмотренных нормативным актом, последний игнорируется. Статьей 30 Закона о содействии социальному равенству женщин было внесено изменение в статью 153 Уголовно-процессуального кодекса. В данном законе устанавливаются меры по защите женщин, вынужденных, спасаясь от агрессивного поведения мужа, уйти из дома, и предусматривается выплата алиментов в случае подачи жалобы в связи с преступлением на сексуальной почве или причинением увечья. Отделение по делам женщин при Коллегии адвокатов по защите прав граждан опротестовало в Верховном суде неприменение этих положений. Специальная комиссия, в состав которой вошли представители Верховного суда и Отделения по делам женщин, разработала регламентацию этого нормативного акта, которая была одобрена и обнародована 1 декабря 1994 года в "Судебном бюллетене". Несмотря на это, применение этих положений все еще носит ограниченный характер.</w:t>
      </w:r>
    </w:p>
    <w:p w:rsidR="00000000" w:rsidRDefault="00000000">
      <w:pPr>
        <w:pStyle w:val="BodyText3"/>
        <w:tabs>
          <w:tab w:val="left" w:pos="680"/>
        </w:tabs>
        <w:spacing w:before="240" w:line="260" w:lineRule="exact"/>
        <w:jc w:val="both"/>
        <w:rPr>
          <w:b w:val="0"/>
          <w:sz w:val="22"/>
        </w:rPr>
      </w:pPr>
      <w:r>
        <w:rPr>
          <w:b w:val="0"/>
          <w:sz w:val="22"/>
        </w:rPr>
        <w:t xml:space="preserve">121. </w:t>
      </w:r>
      <w:r>
        <w:rPr>
          <w:b w:val="0"/>
          <w:sz w:val="22"/>
        </w:rPr>
        <w:tab/>
        <w:t>Другая важная и нерешенная проблема, которая представляет собой серьезный вызов государству, заключается в выполнении им обязательства, которое касается принятия мер, направленных на запрещение всех форм дискриминации в отношении женщин и на установление соответствующих видов уголовного наказания. В большей части действующего законодательства не предусмотрено санкций за невыполнение установленных в нем мер. Тем самым нарушается сама Конвенция и поощряется безнаказанность. Для обеспечения действенной защиты прав человека женщин со стороны государства необходимо создать условия, при которых подобные деяния станут подсудными, то есть появится возможность применения уголовного наказания за нарушение законодательства и даже возмещения ущерба. В противном случае права, закрепленные в международном и национальном законодательстве, становятся пустым звуком и поощряется безнаказанность.</w:t>
      </w:r>
    </w:p>
    <w:p w:rsidR="00000000" w:rsidRDefault="00000000">
      <w:pPr>
        <w:pStyle w:val="BodyText3"/>
        <w:tabs>
          <w:tab w:val="left" w:pos="680"/>
        </w:tabs>
        <w:spacing w:line="260" w:lineRule="exact"/>
        <w:jc w:val="both"/>
        <w:rPr>
          <w:b w:val="0"/>
          <w:sz w:val="22"/>
        </w:rPr>
      </w:pPr>
    </w:p>
    <w:p w:rsidR="00000000" w:rsidRDefault="00000000">
      <w:pPr>
        <w:pStyle w:val="Heading3"/>
      </w:pPr>
      <w:r>
        <w:rPr>
          <w:caps/>
        </w:rPr>
        <w:t>п</w:t>
      </w:r>
      <w:r>
        <w:t>равительственные декреты</w:t>
      </w:r>
    </w:p>
    <w:p w:rsidR="00000000" w:rsidRDefault="00000000">
      <w:pPr>
        <w:pStyle w:val="BodyText3"/>
        <w:tabs>
          <w:tab w:val="left" w:pos="680"/>
        </w:tabs>
        <w:spacing w:before="240" w:line="260" w:lineRule="exact"/>
        <w:jc w:val="both"/>
        <w:rPr>
          <w:b w:val="0"/>
          <w:sz w:val="22"/>
        </w:rPr>
      </w:pPr>
      <w:r>
        <w:rPr>
          <w:b w:val="0"/>
          <w:sz w:val="22"/>
        </w:rPr>
        <w:t>122.</w:t>
      </w:r>
      <w:r>
        <w:rPr>
          <w:b w:val="0"/>
          <w:sz w:val="22"/>
        </w:rPr>
        <w:tab/>
        <w:t>За отчетный период был принят ряд правительственный декретов, представляющих собой важнейший шаг вперед на пути укрепления институциональности и признания прав человека женщин:</w:t>
      </w:r>
    </w:p>
    <w:p w:rsidR="00000000" w:rsidRDefault="00000000">
      <w:pPr>
        <w:pStyle w:val="BodyText3"/>
        <w:numPr>
          <w:ilvl w:val="0"/>
          <w:numId w:val="5"/>
        </w:numPr>
        <w:tabs>
          <w:tab w:val="clear" w:pos="720"/>
          <w:tab w:val="left" w:pos="340"/>
          <w:tab w:val="left" w:pos="680"/>
        </w:tabs>
        <w:spacing w:before="240" w:line="260" w:lineRule="exact"/>
        <w:ind w:left="340" w:hanging="340"/>
        <w:jc w:val="both"/>
        <w:rPr>
          <w:b w:val="0"/>
          <w:sz w:val="22"/>
        </w:rPr>
      </w:pPr>
      <w:r>
        <w:rPr>
          <w:b w:val="0"/>
          <w:sz w:val="22"/>
        </w:rPr>
        <w:t xml:space="preserve">30 марта 1998 года был принят правительственный декрет № 26989- </w:t>
      </w:r>
      <w:r>
        <w:rPr>
          <w:b w:val="0"/>
          <w:sz w:val="22"/>
          <w:lang w:val="en-US"/>
        </w:rPr>
        <w:t>MTSS</w:t>
      </w:r>
      <w:r>
        <w:rPr>
          <w:b w:val="0"/>
          <w:sz w:val="22"/>
        </w:rPr>
        <w:t>, согласно которому в промышленном производстве женщинам разрешается работать в ночную смену, так как существовавшие ограничения означали дискриминацию по гендерному признаку.</w:t>
      </w:r>
    </w:p>
    <w:p w:rsidR="00000000" w:rsidRDefault="00000000">
      <w:pPr>
        <w:pStyle w:val="BodyText3"/>
        <w:numPr>
          <w:ilvl w:val="0"/>
          <w:numId w:val="5"/>
        </w:numPr>
        <w:tabs>
          <w:tab w:val="clear" w:pos="720"/>
          <w:tab w:val="left" w:pos="340"/>
          <w:tab w:val="left" w:pos="680"/>
        </w:tabs>
        <w:spacing w:before="240" w:line="260" w:lineRule="exact"/>
        <w:ind w:left="340" w:hanging="340"/>
        <w:jc w:val="both"/>
        <w:rPr>
          <w:b w:val="0"/>
          <w:sz w:val="22"/>
        </w:rPr>
      </w:pPr>
      <w:r>
        <w:rPr>
          <w:b w:val="0"/>
          <w:sz w:val="22"/>
        </w:rPr>
        <w:t>Посредством правительственного декрета № 27217-</w:t>
      </w:r>
      <w:r>
        <w:rPr>
          <w:b w:val="0"/>
          <w:sz w:val="22"/>
          <w:lang w:val="es-ES"/>
        </w:rPr>
        <w:t>S</w:t>
      </w:r>
      <w:r>
        <w:rPr>
          <w:b w:val="0"/>
          <w:sz w:val="22"/>
        </w:rPr>
        <w:t>-</w:t>
      </w:r>
      <w:r>
        <w:rPr>
          <w:b w:val="0"/>
          <w:sz w:val="22"/>
          <w:lang w:val="es-ES"/>
        </w:rPr>
        <w:t>MP</w:t>
      </w:r>
      <w:r>
        <w:rPr>
          <w:b w:val="0"/>
          <w:sz w:val="22"/>
        </w:rPr>
        <w:t xml:space="preserve"> от 4 августа 1998 года был создан Национальный совет по борьбе с заболеваниями раком шейки матки и молочной железы. Этот орган призван содействовать в разработке политики и стратегий, направленных на профилактику, выявление и лечение этих видов рака, поражающих женщин.</w:t>
      </w:r>
    </w:p>
    <w:p w:rsidR="00000000" w:rsidRDefault="00000000">
      <w:pPr>
        <w:pStyle w:val="BodyText3"/>
        <w:numPr>
          <w:ilvl w:val="0"/>
          <w:numId w:val="5"/>
        </w:numPr>
        <w:tabs>
          <w:tab w:val="clear" w:pos="720"/>
          <w:tab w:val="left" w:pos="340"/>
          <w:tab w:val="left" w:pos="680"/>
        </w:tabs>
        <w:spacing w:before="240" w:line="260" w:lineRule="exact"/>
        <w:ind w:left="340" w:hanging="340"/>
        <w:jc w:val="both"/>
        <w:rPr>
          <w:b w:val="0"/>
          <w:sz w:val="22"/>
        </w:rPr>
      </w:pPr>
      <w:r>
        <w:rPr>
          <w:b w:val="0"/>
          <w:sz w:val="22"/>
        </w:rPr>
        <w:t>Согласно правительственному декрету № 27227-</w:t>
      </w:r>
      <w:r>
        <w:rPr>
          <w:b w:val="0"/>
          <w:sz w:val="22"/>
          <w:lang w:val="es-ES"/>
        </w:rPr>
        <w:t>J</w:t>
      </w:r>
      <w:r>
        <w:rPr>
          <w:b w:val="0"/>
          <w:sz w:val="22"/>
        </w:rPr>
        <w:t xml:space="preserve"> от 13 августа 1998 года был создан Национальный институт предупреждения насилия и преступности, который стал межведомственным органом, координирующим принятие мер по предупреждению насилия и преступности.</w:t>
      </w:r>
    </w:p>
    <w:p w:rsidR="00000000" w:rsidRDefault="00000000">
      <w:pPr>
        <w:pStyle w:val="BodyText3"/>
        <w:numPr>
          <w:ilvl w:val="0"/>
          <w:numId w:val="5"/>
        </w:numPr>
        <w:tabs>
          <w:tab w:val="clear" w:pos="720"/>
          <w:tab w:val="left" w:pos="340"/>
          <w:tab w:val="left" w:pos="680"/>
        </w:tabs>
        <w:spacing w:before="240" w:line="260" w:lineRule="exact"/>
        <w:ind w:left="340" w:hanging="340"/>
        <w:jc w:val="both"/>
        <w:rPr>
          <w:b w:val="0"/>
          <w:caps/>
          <w:sz w:val="22"/>
        </w:rPr>
      </w:pPr>
      <w:r>
        <w:rPr>
          <w:b w:val="0"/>
          <w:sz w:val="22"/>
        </w:rPr>
        <w:t>28 августа 1998 года правительственным декретом № 27346-</w:t>
      </w:r>
      <w:r>
        <w:rPr>
          <w:b w:val="0"/>
          <w:caps/>
          <w:sz w:val="22"/>
          <w:lang w:val="en-US"/>
        </w:rPr>
        <w:t>minaE</w:t>
      </w:r>
      <w:r>
        <w:rPr>
          <w:b w:val="0"/>
          <w:caps/>
          <w:sz w:val="22"/>
        </w:rPr>
        <w:t xml:space="preserve"> </w:t>
      </w:r>
      <w:r>
        <w:rPr>
          <w:b w:val="0"/>
          <w:sz w:val="22"/>
        </w:rPr>
        <w:t>было организационно закреплено включение гендерных аспектов во все стратегии, программы, проекты и планы действий подразделений Министерства энергетики  и окружающей среды и был одобрен текст Политической декларации по гендерным вопросам этого министерства.</w:t>
      </w:r>
    </w:p>
    <w:p w:rsidR="00000000" w:rsidRDefault="00000000">
      <w:pPr>
        <w:pStyle w:val="BodyText3"/>
        <w:numPr>
          <w:ilvl w:val="0"/>
          <w:numId w:val="5"/>
        </w:numPr>
        <w:tabs>
          <w:tab w:val="clear" w:pos="720"/>
          <w:tab w:val="left" w:pos="340"/>
          <w:tab w:val="left" w:pos="680"/>
        </w:tabs>
        <w:spacing w:before="240" w:line="260" w:lineRule="exact"/>
        <w:ind w:left="340" w:hanging="340"/>
        <w:jc w:val="both"/>
        <w:rPr>
          <w:b w:val="0"/>
          <w:caps/>
          <w:sz w:val="22"/>
        </w:rPr>
      </w:pPr>
      <w:r>
        <w:rPr>
          <w:b w:val="0"/>
          <w:sz w:val="22"/>
        </w:rPr>
        <w:t>В соответствии с правительственным декретом №  27250-</w:t>
      </w:r>
      <w:r>
        <w:rPr>
          <w:b w:val="0"/>
          <w:sz w:val="22"/>
          <w:lang w:val="en-US"/>
        </w:rPr>
        <w:t>RE</w:t>
      </w:r>
      <w:r>
        <w:rPr>
          <w:b w:val="0"/>
          <w:sz w:val="22"/>
        </w:rPr>
        <w:t>-</w:t>
      </w:r>
      <w:r>
        <w:rPr>
          <w:b w:val="0"/>
          <w:sz w:val="22"/>
          <w:lang w:val="en-US"/>
        </w:rPr>
        <w:t>J</w:t>
      </w:r>
      <w:r>
        <w:rPr>
          <w:b w:val="0"/>
          <w:sz w:val="22"/>
        </w:rPr>
        <w:t xml:space="preserve"> от 3 декабря 1998 года было принято постановление о ежегодном проведении начиная с 10 декабря Национальной недели прав человека, для того чтобы содействовать распространению, развитию и эффективному применению документов по правам человека и тем самым создавать основу для установления культуры мира, справедливости и свободы.</w:t>
      </w:r>
    </w:p>
    <w:p w:rsidR="00000000" w:rsidRDefault="00000000">
      <w:pPr>
        <w:pStyle w:val="BodyText3"/>
        <w:numPr>
          <w:ilvl w:val="0"/>
          <w:numId w:val="5"/>
        </w:numPr>
        <w:tabs>
          <w:tab w:val="clear" w:pos="720"/>
          <w:tab w:val="left" w:pos="340"/>
          <w:tab w:val="left" w:pos="680"/>
        </w:tabs>
        <w:spacing w:before="240" w:line="260" w:lineRule="exact"/>
        <w:ind w:left="340" w:hanging="340"/>
        <w:jc w:val="both"/>
        <w:rPr>
          <w:b w:val="0"/>
          <w:caps/>
          <w:sz w:val="22"/>
          <w:lang w:val="es-ES"/>
        </w:rPr>
      </w:pPr>
      <w:r>
        <w:rPr>
          <w:b w:val="0"/>
          <w:sz w:val="22"/>
        </w:rPr>
        <w:t>В соответствии с правительственным декретом № 27516-</w:t>
      </w:r>
      <w:r>
        <w:rPr>
          <w:b w:val="0"/>
          <w:sz w:val="22"/>
          <w:lang w:val="es-ES"/>
        </w:rPr>
        <w:t>MTSS</w:t>
      </w:r>
      <w:r>
        <w:rPr>
          <w:b w:val="0"/>
          <w:sz w:val="22"/>
        </w:rPr>
        <w:t xml:space="preserve"> от 9 декабря 1998 года при Министерстве труда и социального обеспечения было образовано Бюро по оказанию помощи работающим детям, искоренению детского труда и регламентированию труда подростков</w:t>
      </w:r>
      <w:r>
        <w:rPr>
          <w:b w:val="0"/>
          <w:sz w:val="22"/>
          <w:lang w:val="es-ES"/>
        </w:rPr>
        <w:t>.</w:t>
      </w:r>
    </w:p>
    <w:p w:rsidR="00000000" w:rsidRDefault="00000000">
      <w:pPr>
        <w:pStyle w:val="BodyText3"/>
        <w:numPr>
          <w:ilvl w:val="0"/>
          <w:numId w:val="36"/>
        </w:numPr>
        <w:tabs>
          <w:tab w:val="clear" w:pos="720"/>
          <w:tab w:val="left" w:pos="340"/>
          <w:tab w:val="left" w:pos="680"/>
        </w:tabs>
        <w:spacing w:before="240" w:line="260" w:lineRule="exact"/>
        <w:ind w:left="340" w:hanging="340"/>
        <w:jc w:val="both"/>
        <w:rPr>
          <w:b w:val="0"/>
          <w:caps/>
          <w:sz w:val="22"/>
        </w:rPr>
      </w:pPr>
      <w:r>
        <w:rPr>
          <w:b w:val="0"/>
          <w:sz w:val="22"/>
        </w:rPr>
        <w:t>Путем принятия правительственного декрета № 27623-</w:t>
      </w:r>
      <w:r>
        <w:rPr>
          <w:b w:val="0"/>
          <w:sz w:val="22"/>
          <w:lang w:val="en-US"/>
        </w:rPr>
        <w:t>Plan</w:t>
      </w:r>
      <w:r>
        <w:rPr>
          <w:b w:val="0"/>
          <w:sz w:val="22"/>
        </w:rPr>
        <w:t>-</w:t>
      </w:r>
      <w:r>
        <w:rPr>
          <w:b w:val="0"/>
          <w:sz w:val="22"/>
          <w:lang w:val="en-US"/>
        </w:rPr>
        <w:t>MCM</w:t>
      </w:r>
      <w:r>
        <w:rPr>
          <w:b w:val="0"/>
          <w:sz w:val="22"/>
        </w:rPr>
        <w:t>-</w:t>
      </w:r>
      <w:r>
        <w:rPr>
          <w:b w:val="0"/>
          <w:sz w:val="22"/>
          <w:lang w:val="en-US"/>
        </w:rPr>
        <w:t>MTSS</w:t>
      </w:r>
      <w:r>
        <w:rPr>
          <w:b w:val="0"/>
          <w:sz w:val="22"/>
        </w:rPr>
        <w:t>-</w:t>
      </w:r>
      <w:r>
        <w:rPr>
          <w:b w:val="0"/>
          <w:sz w:val="22"/>
          <w:lang w:val="en-US"/>
        </w:rPr>
        <w:t>MIVAH</w:t>
      </w:r>
      <w:r>
        <w:rPr>
          <w:b w:val="0"/>
          <w:sz w:val="22"/>
        </w:rPr>
        <w:t xml:space="preserve"> от 21 января 1999 года было регламентировано применение Закона № 7769 об оказании помощи женщинам, живущим в бедности.</w:t>
      </w:r>
    </w:p>
    <w:p w:rsidR="00000000" w:rsidRDefault="00000000">
      <w:pPr>
        <w:pStyle w:val="BodyText3"/>
        <w:numPr>
          <w:ilvl w:val="0"/>
          <w:numId w:val="5"/>
        </w:numPr>
        <w:tabs>
          <w:tab w:val="clear" w:pos="720"/>
          <w:tab w:val="left" w:pos="340"/>
          <w:tab w:val="left" w:pos="680"/>
        </w:tabs>
        <w:spacing w:before="240" w:line="260" w:lineRule="exact"/>
        <w:ind w:left="340" w:hanging="340"/>
        <w:jc w:val="both"/>
        <w:rPr>
          <w:b w:val="0"/>
          <w:caps/>
          <w:sz w:val="22"/>
        </w:rPr>
      </w:pPr>
      <w:r>
        <w:rPr>
          <w:b w:val="0"/>
          <w:sz w:val="22"/>
        </w:rPr>
        <w:t>В результате принятия правительственного декрета № 27913 относительно стерилизации от 14 мая 1999 года была создана Межведомственная комиссия по репродуктивным и сексуальным правам в целях выполнения государственной задачи по обеспечению каждому человеку права иметь возможность осуществлять всесторонний контроль за своим здоровьем, и в частности за репродуктивными здоровьем. Декрет обязывает все государственные и частные учреждения, оказывающие медицинские услуги в области сексуального и репродуктивного здоровья, учредить консультации по вопросам репродуктивного и сексуального здоровья и соответствующих прав с привлечением различных специалистов, имеющих опыт и подготовку в данной области.</w:t>
      </w:r>
    </w:p>
    <w:p w:rsidR="00000000" w:rsidRDefault="00000000">
      <w:pPr>
        <w:pStyle w:val="BodyText3"/>
        <w:numPr>
          <w:ilvl w:val="0"/>
          <w:numId w:val="5"/>
        </w:numPr>
        <w:tabs>
          <w:tab w:val="clear" w:pos="720"/>
          <w:tab w:val="left" w:pos="340"/>
          <w:tab w:val="left" w:pos="680"/>
        </w:tabs>
        <w:spacing w:before="240" w:line="260" w:lineRule="exact"/>
        <w:ind w:left="340" w:hanging="340"/>
        <w:jc w:val="both"/>
        <w:rPr>
          <w:b w:val="0"/>
          <w:caps/>
          <w:sz w:val="22"/>
        </w:rPr>
      </w:pPr>
      <w:r>
        <w:rPr>
          <w:b w:val="0"/>
          <w:sz w:val="22"/>
        </w:rPr>
        <w:t>Правительственным декретом № 26664 от 19 декабря 1997 года было принято решение об учреждении Национальной системы помощи в случаях насилия в семье, которое было одобрено администрацией Родригеса в Декрете № 27706 от 9 августа 1999 года.</w:t>
      </w:r>
    </w:p>
    <w:p w:rsidR="00000000" w:rsidRDefault="00000000">
      <w:pPr>
        <w:pStyle w:val="BodyText3"/>
        <w:numPr>
          <w:ilvl w:val="0"/>
          <w:numId w:val="5"/>
        </w:numPr>
        <w:tabs>
          <w:tab w:val="clear" w:pos="720"/>
          <w:tab w:val="left" w:pos="340"/>
          <w:tab w:val="left" w:pos="680"/>
        </w:tabs>
        <w:spacing w:before="240" w:line="260" w:lineRule="exact"/>
        <w:ind w:left="340" w:hanging="340"/>
        <w:jc w:val="both"/>
        <w:rPr>
          <w:b w:val="0"/>
          <w:caps/>
          <w:sz w:val="22"/>
        </w:rPr>
      </w:pPr>
      <w:r>
        <w:rPr>
          <w:b w:val="0"/>
          <w:sz w:val="22"/>
        </w:rPr>
        <w:t xml:space="preserve">В феврале 2000 года был принят правительственный декрет № 28484 </w:t>
      </w:r>
      <w:r>
        <w:rPr>
          <w:b w:val="0"/>
          <w:sz w:val="22"/>
          <w:lang w:val="en-US"/>
        </w:rPr>
        <w:t>MAG</w:t>
      </w:r>
      <w:r>
        <w:rPr>
          <w:b w:val="0"/>
          <w:sz w:val="22"/>
        </w:rPr>
        <w:t>-</w:t>
      </w:r>
      <w:r>
        <w:rPr>
          <w:b w:val="0"/>
          <w:sz w:val="22"/>
          <w:lang w:val="en-US"/>
        </w:rPr>
        <w:t>MEP</w:t>
      </w:r>
      <w:r>
        <w:rPr>
          <w:b w:val="0"/>
          <w:sz w:val="22"/>
        </w:rPr>
        <w:t>-</w:t>
      </w:r>
      <w:r>
        <w:rPr>
          <w:b w:val="0"/>
          <w:sz w:val="22"/>
          <w:lang w:val="en-US"/>
        </w:rPr>
        <w:t>MTSS</w:t>
      </w:r>
      <w:r>
        <w:rPr>
          <w:b w:val="0"/>
          <w:sz w:val="22"/>
        </w:rPr>
        <w:t>-</w:t>
      </w:r>
      <w:r>
        <w:rPr>
          <w:b w:val="0"/>
          <w:sz w:val="22"/>
          <w:lang w:val="en-US"/>
        </w:rPr>
        <w:t>MS</w:t>
      </w:r>
      <w:r>
        <w:rPr>
          <w:b w:val="0"/>
          <w:sz w:val="22"/>
        </w:rPr>
        <w:t xml:space="preserve"> об учреждении должности министра по делам женщин и о разработке планов действий в целях достижения гендерного равенства и равноправия между мужчинами и женщинами. Таким образом, политическая роль министра и Министерства по делам женщин была укреплена в политическом отношении, а на государственные учреждения была возложена ответственность за разработку и осуществление государственной политики в интересах гендерного равенства.</w:t>
      </w:r>
    </w:p>
    <w:p w:rsidR="00000000" w:rsidRDefault="00000000">
      <w:pPr>
        <w:pStyle w:val="BodyText3"/>
        <w:tabs>
          <w:tab w:val="left" w:pos="680"/>
        </w:tabs>
        <w:spacing w:line="260" w:lineRule="exact"/>
        <w:jc w:val="both"/>
        <w:rPr>
          <w:b w:val="0"/>
          <w:sz w:val="22"/>
        </w:rPr>
      </w:pPr>
    </w:p>
    <w:p w:rsidR="00000000" w:rsidRDefault="00000000">
      <w:pPr>
        <w:pStyle w:val="Heading3"/>
      </w:pPr>
      <w:r>
        <w:rPr>
          <w:caps/>
        </w:rPr>
        <w:t>р</w:t>
      </w:r>
      <w:r>
        <w:t xml:space="preserve">ешения и директивы правительства </w:t>
      </w:r>
      <w:r>
        <w:rPr>
          <w:caps/>
        </w:rPr>
        <w:t>к</w:t>
      </w:r>
      <w:r>
        <w:t>оста-</w:t>
      </w:r>
      <w:r>
        <w:rPr>
          <w:caps/>
        </w:rPr>
        <w:t>р</w:t>
      </w:r>
      <w:r>
        <w:t xml:space="preserve">ики и </w:t>
      </w:r>
      <w:r>
        <w:rPr>
          <w:caps/>
        </w:rPr>
        <w:t>в</w:t>
      </w:r>
      <w:r>
        <w:t xml:space="preserve">ерховного суда </w:t>
      </w:r>
      <w:r>
        <w:br/>
        <w:t>в интересах гендерного равенства</w:t>
      </w:r>
    </w:p>
    <w:p w:rsidR="00000000" w:rsidRDefault="00000000">
      <w:pPr>
        <w:pStyle w:val="BodyText3"/>
        <w:tabs>
          <w:tab w:val="left" w:pos="680"/>
        </w:tabs>
        <w:spacing w:before="240" w:line="260" w:lineRule="exact"/>
        <w:jc w:val="both"/>
        <w:rPr>
          <w:b w:val="0"/>
          <w:sz w:val="22"/>
        </w:rPr>
      </w:pPr>
      <w:r>
        <w:rPr>
          <w:b w:val="0"/>
          <w:sz w:val="22"/>
        </w:rPr>
        <w:t>123.</w:t>
      </w:r>
      <w:r>
        <w:rPr>
          <w:b w:val="0"/>
          <w:sz w:val="22"/>
        </w:rPr>
        <w:tab/>
        <w:t>За отчетный период как исполнительная, так и судебная власть обнародовала ряд решений и директив, направленных на содействие в проведении ряда мероприятий по внедрению принципа гендерного равенства в работу государственной администрации. Данные мероприятия охватывают разные сферы, от создания министерских и отраслевых подразделений по делам женщин до применения механизмов и процедур в целях обеспечения равенства возможностей для женщин в отношении доступа к услугам, ресурсам и защите в том случае, если ее личной неприкосновенности угрожает опасность, например насилие со стороны одного из членов семьи. Этот механизм может использоваться органами как исполнительной, так и судебной власти для восполнения пробелов в законодательстве и государственной политике.</w:t>
      </w:r>
    </w:p>
    <w:p w:rsidR="00000000" w:rsidRDefault="00000000">
      <w:pPr>
        <w:pStyle w:val="BodyText3"/>
        <w:numPr>
          <w:ilvl w:val="0"/>
          <w:numId w:val="6"/>
        </w:numPr>
        <w:tabs>
          <w:tab w:val="clear" w:pos="720"/>
          <w:tab w:val="left" w:pos="340"/>
          <w:tab w:val="left" w:pos="680"/>
        </w:tabs>
        <w:spacing w:before="240" w:line="260" w:lineRule="exact"/>
        <w:ind w:left="340" w:hanging="340"/>
        <w:jc w:val="both"/>
        <w:rPr>
          <w:b w:val="0"/>
          <w:sz w:val="22"/>
        </w:rPr>
      </w:pPr>
      <w:r>
        <w:rPr>
          <w:b w:val="0"/>
          <w:sz w:val="22"/>
        </w:rPr>
        <w:t>Решение правительственного Социального совета от 17 мая 1994 года о создании министерских и отраслевых бюро по делам женщин в целях обеспечения выполнения правительственной политики, направленной на развитие равноправия и равенства возможностей мужчин и женщин в государственных органах.</w:t>
      </w:r>
    </w:p>
    <w:p w:rsidR="00000000" w:rsidRDefault="00000000">
      <w:pPr>
        <w:pStyle w:val="BodyText3"/>
        <w:numPr>
          <w:ilvl w:val="0"/>
          <w:numId w:val="6"/>
        </w:numPr>
        <w:tabs>
          <w:tab w:val="clear" w:pos="720"/>
          <w:tab w:val="left" w:pos="340"/>
          <w:tab w:val="left" w:pos="680"/>
        </w:tabs>
        <w:spacing w:before="240" w:line="260" w:lineRule="exact"/>
        <w:ind w:left="340" w:hanging="340"/>
        <w:jc w:val="both"/>
        <w:rPr>
          <w:b w:val="0"/>
          <w:sz w:val="22"/>
        </w:rPr>
      </w:pPr>
      <w:r>
        <w:rPr>
          <w:b w:val="0"/>
          <w:sz w:val="22"/>
        </w:rPr>
        <w:t>23 декабря 1998 года Совет правительства на период рождественских праздников обязал государственные учреждения, государственных служащих и полицию обеспечить оказание помощи и специальной защиты лицам, пострадавшим от насилия в семье.</w:t>
      </w:r>
    </w:p>
    <w:p w:rsidR="00000000" w:rsidRDefault="00000000">
      <w:pPr>
        <w:pStyle w:val="BodyText3"/>
        <w:numPr>
          <w:ilvl w:val="0"/>
          <w:numId w:val="6"/>
        </w:numPr>
        <w:tabs>
          <w:tab w:val="clear" w:pos="720"/>
          <w:tab w:val="left" w:pos="340"/>
          <w:tab w:val="left" w:pos="680"/>
        </w:tabs>
        <w:spacing w:before="240" w:line="260" w:lineRule="exact"/>
        <w:ind w:left="340" w:hanging="340"/>
        <w:jc w:val="both"/>
        <w:rPr>
          <w:b w:val="0"/>
          <w:sz w:val="22"/>
        </w:rPr>
      </w:pPr>
      <w:r>
        <w:rPr>
          <w:b w:val="0"/>
          <w:sz w:val="22"/>
        </w:rPr>
        <w:t xml:space="preserve">В директиве № 17 президента Республики от 3 марта 1999 года предусматривается обеспечение женщинам как гражданам страны и во исполнение их неотъемлемого конституционного права достойного доступа к услугам государственного банка на равноправных условиях. </w:t>
      </w:r>
    </w:p>
    <w:p w:rsidR="00000000" w:rsidRDefault="00000000">
      <w:pPr>
        <w:pStyle w:val="BodyText3"/>
        <w:numPr>
          <w:ilvl w:val="0"/>
          <w:numId w:val="6"/>
        </w:numPr>
        <w:tabs>
          <w:tab w:val="clear" w:pos="720"/>
          <w:tab w:val="left" w:pos="340"/>
          <w:tab w:val="left" w:pos="680"/>
        </w:tabs>
        <w:spacing w:before="240" w:line="260" w:lineRule="exact"/>
        <w:ind w:left="340" w:hanging="340"/>
        <w:jc w:val="both"/>
        <w:rPr>
          <w:b w:val="0"/>
          <w:sz w:val="22"/>
        </w:rPr>
      </w:pPr>
      <w:r>
        <w:rPr>
          <w:b w:val="0"/>
          <w:sz w:val="22"/>
        </w:rPr>
        <w:t>Директива № 3 от 20 июля 1998 года Министерства труда и социального обеспечения, в которой указывается, что согласие на увольнение беременных женщин, работающих в качестве прислуги, должно оформляться особым образом, что будет оговорено в дальнейшем, а женщинам предоставляется право на защиту, установленное Конституцией.</w:t>
      </w:r>
    </w:p>
    <w:p w:rsidR="00000000" w:rsidRDefault="00000000">
      <w:pPr>
        <w:pStyle w:val="BodyText3"/>
        <w:numPr>
          <w:ilvl w:val="0"/>
          <w:numId w:val="6"/>
        </w:numPr>
        <w:tabs>
          <w:tab w:val="clear" w:pos="720"/>
          <w:tab w:val="left" w:pos="340"/>
          <w:tab w:val="left" w:pos="680"/>
        </w:tabs>
        <w:spacing w:before="240" w:line="260" w:lineRule="exact"/>
        <w:ind w:left="340" w:hanging="340"/>
        <w:jc w:val="both"/>
        <w:rPr>
          <w:b w:val="0"/>
          <w:sz w:val="22"/>
        </w:rPr>
      </w:pPr>
      <w:r>
        <w:rPr>
          <w:b w:val="0"/>
          <w:sz w:val="22"/>
        </w:rPr>
        <w:t>В 1999 году Советом правительства было принято постановление об основных направлениях разработки планов действий в целях достижения равенства и равноправия женщин и мужчин в министерствах и негосударственных учреждениях. Задачами данных планов являются планирование мероприятий, определение сроков и основных направлений стратегий, предусмотренных в подписанных Коста-Рикой международных соглашениях, в том числе в Пекинской платформе действий.</w:t>
      </w:r>
    </w:p>
    <w:p w:rsidR="00000000" w:rsidRDefault="00000000">
      <w:pPr>
        <w:pStyle w:val="BodyText3"/>
        <w:numPr>
          <w:ilvl w:val="0"/>
          <w:numId w:val="6"/>
        </w:numPr>
        <w:tabs>
          <w:tab w:val="clear" w:pos="720"/>
          <w:tab w:val="left" w:pos="340"/>
          <w:tab w:val="left" w:pos="680"/>
        </w:tabs>
        <w:spacing w:before="240" w:line="260" w:lineRule="exact"/>
        <w:ind w:left="340" w:hanging="340"/>
        <w:jc w:val="both"/>
        <w:rPr>
          <w:b w:val="0"/>
          <w:sz w:val="22"/>
        </w:rPr>
      </w:pPr>
      <w:r>
        <w:rPr>
          <w:b w:val="0"/>
          <w:sz w:val="22"/>
        </w:rPr>
        <w:t>Директива № 13-98 пленума Верховного суда устанавливает правила формирования и работы междисциплинарных групп, предусмотренных Уголовно-процессуальным кодексом и Кодексом о защите детей и подростков в целях отправления правосудия, в том числе и по вопросам насилия в семье.</w:t>
      </w:r>
    </w:p>
    <w:p w:rsidR="00000000" w:rsidRDefault="00000000">
      <w:pPr>
        <w:pStyle w:val="BodyText3"/>
        <w:tabs>
          <w:tab w:val="left" w:pos="680"/>
        </w:tabs>
        <w:spacing w:line="260" w:lineRule="exact"/>
        <w:jc w:val="both"/>
        <w:rPr>
          <w:b w:val="0"/>
          <w:sz w:val="22"/>
        </w:rPr>
      </w:pPr>
    </w:p>
    <w:p w:rsidR="00000000" w:rsidRDefault="00000000">
      <w:pPr>
        <w:pStyle w:val="Heading3"/>
      </w:pPr>
      <w:r>
        <w:rPr>
          <w:caps/>
        </w:rPr>
        <w:t>и</w:t>
      </w:r>
      <w:r>
        <w:t>зменения, внесенные в законодательные регламенты</w:t>
      </w:r>
    </w:p>
    <w:p w:rsidR="00000000" w:rsidRDefault="00000000">
      <w:pPr>
        <w:pStyle w:val="BodyText3"/>
        <w:tabs>
          <w:tab w:val="left" w:pos="680"/>
        </w:tabs>
        <w:spacing w:before="240" w:line="260" w:lineRule="exact"/>
        <w:jc w:val="both"/>
        <w:rPr>
          <w:b w:val="0"/>
          <w:sz w:val="22"/>
        </w:rPr>
      </w:pPr>
      <w:r>
        <w:rPr>
          <w:b w:val="0"/>
          <w:sz w:val="22"/>
        </w:rPr>
        <w:t>124.</w:t>
      </w:r>
      <w:r>
        <w:rPr>
          <w:b w:val="0"/>
          <w:sz w:val="22"/>
        </w:rPr>
        <w:tab/>
        <w:t>11 ноября 1999 года в официальном органе "Гасета" (№ 219) были обнародованы внесенные в статью 84 регламента Законодательного собрания изменения, касающиеся специальных постоянных комиссий и создания Специальной постоянной комиссии по делам женщин. В ведении этой комиссии – рассмотрение законопроектов в отношении положения женщин и вынесение соответствующих заключений. Комиссия уполномочена выступать с предложениями о внесении изменений в законодательство и осуществлять общественный контроль за деятельностью государственной администрации.</w:t>
      </w:r>
    </w:p>
    <w:p w:rsidR="00000000" w:rsidRDefault="00000000">
      <w:pPr>
        <w:pStyle w:val="BodyText3"/>
        <w:tabs>
          <w:tab w:val="left" w:pos="680"/>
        </w:tabs>
        <w:spacing w:before="240" w:line="260" w:lineRule="exact"/>
        <w:jc w:val="both"/>
        <w:rPr>
          <w:b w:val="0"/>
          <w:sz w:val="22"/>
        </w:rPr>
      </w:pPr>
      <w:r>
        <w:rPr>
          <w:b w:val="0"/>
          <w:sz w:val="22"/>
        </w:rPr>
        <w:t xml:space="preserve">125. </w:t>
      </w:r>
      <w:r>
        <w:rPr>
          <w:b w:val="0"/>
          <w:sz w:val="22"/>
        </w:rPr>
        <w:tab/>
        <w:t>Наличие специальной комиссии позволяет совершенствовать процесс принятия законопроектов, направленных на ликвидацию дискриминации в отношении женщин, и создавать условия, благоприятствующие равенству возможностей женщин и мужчин в различных сферах. Она обеспечивает своевременное и детальное рассмотрение предлагаемых изменений как общих, так и специальных законов, прежде чем они будут переданы на рассмотрение Законодательного собрания.</w:t>
      </w:r>
    </w:p>
    <w:p w:rsidR="00000000" w:rsidRDefault="00000000">
      <w:pPr>
        <w:pStyle w:val="BodyText3"/>
        <w:tabs>
          <w:tab w:val="left" w:pos="680"/>
        </w:tabs>
        <w:spacing w:line="260" w:lineRule="exact"/>
        <w:jc w:val="both"/>
        <w:rPr>
          <w:b w:val="0"/>
          <w:sz w:val="22"/>
        </w:rPr>
      </w:pPr>
    </w:p>
    <w:p w:rsidR="00000000" w:rsidRDefault="00000000">
      <w:pPr>
        <w:pStyle w:val="Heading2"/>
        <w:tabs>
          <w:tab w:val="left" w:pos="680"/>
        </w:tabs>
        <w:spacing w:before="240" w:line="260" w:lineRule="exact"/>
        <w:jc w:val="left"/>
        <w:rPr>
          <w:smallCaps w:val="0"/>
          <w:sz w:val="22"/>
        </w:rPr>
      </w:pPr>
      <w:r>
        <w:rPr>
          <w:caps/>
          <w:smallCaps w:val="0"/>
          <w:sz w:val="22"/>
        </w:rPr>
        <w:t>у</w:t>
      </w:r>
      <w:r>
        <w:rPr>
          <w:smallCaps w:val="0"/>
          <w:sz w:val="22"/>
        </w:rPr>
        <w:t>слуги по оказанию правовой помощи</w:t>
      </w:r>
    </w:p>
    <w:p w:rsidR="00000000" w:rsidRDefault="00000000">
      <w:pPr>
        <w:pStyle w:val="BodyText3"/>
        <w:tabs>
          <w:tab w:val="left" w:pos="680"/>
        </w:tabs>
        <w:spacing w:before="240" w:line="260" w:lineRule="exact"/>
        <w:jc w:val="both"/>
        <w:rPr>
          <w:b w:val="0"/>
          <w:sz w:val="22"/>
        </w:rPr>
      </w:pPr>
      <w:r>
        <w:rPr>
          <w:b w:val="0"/>
          <w:sz w:val="22"/>
        </w:rPr>
        <w:t>126.</w:t>
      </w:r>
      <w:r>
        <w:rPr>
          <w:b w:val="0"/>
          <w:sz w:val="22"/>
        </w:rPr>
        <w:tab/>
        <w:t>При оказании правовой помощи женщинам, права которых были нарушены или которые подвергаются каким бы то ни было формам дискриминации, первоочередное внимание уделяется распространению правовой информации и оказанию правового содействия, поскольку большинство государственных и частных служб не располагают ресурсами для систематической и постоянной правовой помощи женщинам. Подобная ситуация препятствует доступу к правосудию, главным образом для женщин, чье социально-экономическое положение не позволяет им оплачивать специализированные услуги.</w:t>
      </w:r>
    </w:p>
    <w:p w:rsidR="00000000" w:rsidRDefault="00000000">
      <w:pPr>
        <w:pStyle w:val="BodyText3"/>
        <w:tabs>
          <w:tab w:val="left" w:pos="680"/>
        </w:tabs>
        <w:spacing w:before="240" w:line="260" w:lineRule="exact"/>
        <w:jc w:val="both"/>
        <w:rPr>
          <w:b w:val="0"/>
          <w:sz w:val="22"/>
        </w:rPr>
      </w:pPr>
      <w:r>
        <w:rPr>
          <w:b w:val="0"/>
          <w:sz w:val="22"/>
        </w:rPr>
        <w:t xml:space="preserve">127. </w:t>
      </w:r>
      <w:r>
        <w:rPr>
          <w:b w:val="0"/>
          <w:sz w:val="22"/>
        </w:rPr>
        <w:tab/>
        <w:t>Положение усугубляется, когда речь идет о женщинах из этнических групп: как правило, им чужда логика, лежащая в основе системы отправления правосудия, не приспособленной для удовлетворения их потребностей. Работники системы правосудия нередко не учитывают предрассудки, которые все еще сохраняются среди женщин африканского происхождения и представительниц коренного населения.</w:t>
      </w:r>
    </w:p>
    <w:p w:rsidR="00000000" w:rsidRDefault="00000000">
      <w:pPr>
        <w:pStyle w:val="Heading3"/>
      </w:pPr>
      <w:r>
        <w:t>Еще не принятые законопроекты и необходимые реформы</w:t>
      </w:r>
    </w:p>
    <w:p w:rsidR="00000000" w:rsidRDefault="00000000">
      <w:pPr>
        <w:pStyle w:val="BodyText3"/>
        <w:tabs>
          <w:tab w:val="left" w:pos="680"/>
        </w:tabs>
        <w:spacing w:before="240" w:line="260" w:lineRule="exact"/>
        <w:jc w:val="both"/>
        <w:rPr>
          <w:b w:val="0"/>
          <w:sz w:val="22"/>
        </w:rPr>
      </w:pPr>
      <w:r>
        <w:rPr>
          <w:b w:val="0"/>
          <w:sz w:val="22"/>
        </w:rPr>
        <w:t>128.</w:t>
      </w:r>
      <w:r>
        <w:rPr>
          <w:b w:val="0"/>
          <w:sz w:val="22"/>
        </w:rPr>
        <w:tab/>
        <w:t>В некоторых областях необходимо проведение реформ, причем некоторые из таких реформ предусмотрены в законопроектах, представленных на рассмотрение Законодательного собрания:</w:t>
      </w:r>
    </w:p>
    <w:p w:rsidR="00000000" w:rsidRDefault="00000000">
      <w:pPr>
        <w:pStyle w:val="BodyText3"/>
        <w:numPr>
          <w:ilvl w:val="0"/>
          <w:numId w:val="7"/>
        </w:numPr>
        <w:tabs>
          <w:tab w:val="clear" w:pos="720"/>
          <w:tab w:val="left" w:pos="340"/>
          <w:tab w:val="left" w:pos="680"/>
        </w:tabs>
        <w:spacing w:before="240" w:line="260" w:lineRule="exact"/>
        <w:ind w:left="340" w:hanging="340"/>
        <w:jc w:val="both"/>
        <w:rPr>
          <w:b w:val="0"/>
          <w:sz w:val="22"/>
        </w:rPr>
      </w:pPr>
      <w:r>
        <w:rPr>
          <w:b w:val="0"/>
          <w:sz w:val="22"/>
        </w:rPr>
        <w:t>Установление уголовного наказания за насилие, совершенное в отношении женщин, с тем чтобы покончить с безнаказанностью виновных в такого рода деяниях. Для этого необходимо квалифицировать насилие в семье как уголовное преступление и назначать соответствующие виды наказания. В сроки, не охваченные настоящим докладом, на рассмотрении Конгресса находились два законопроекта:</w:t>
      </w:r>
    </w:p>
    <w:p w:rsidR="00000000" w:rsidRDefault="00000000">
      <w:pPr>
        <w:pStyle w:val="BodyText3"/>
        <w:numPr>
          <w:ilvl w:val="1"/>
          <w:numId w:val="37"/>
        </w:numPr>
        <w:tabs>
          <w:tab w:val="clear" w:pos="1040"/>
          <w:tab w:val="left" w:pos="680"/>
        </w:tabs>
        <w:spacing w:before="240" w:line="260" w:lineRule="exact"/>
        <w:ind w:left="680" w:hanging="340"/>
        <w:jc w:val="both"/>
        <w:rPr>
          <w:b w:val="0"/>
          <w:sz w:val="22"/>
        </w:rPr>
      </w:pPr>
      <w:r>
        <w:rPr>
          <w:b w:val="0"/>
          <w:sz w:val="22"/>
        </w:rPr>
        <w:t xml:space="preserve">законопроект "О внесении изменений в статьи 124 </w:t>
      </w:r>
      <w:r>
        <w:rPr>
          <w:b w:val="0"/>
          <w:sz w:val="22"/>
          <w:lang w:val="es-ES"/>
        </w:rPr>
        <w:t>bis</w:t>
      </w:r>
      <w:r>
        <w:rPr>
          <w:b w:val="0"/>
          <w:sz w:val="22"/>
        </w:rPr>
        <w:t xml:space="preserve"> и 195 Уголовного кодекса относительно квалификации бытового насилия", хранящийся в деле № 13081. Законопроект получил единодушное одобрение изучившей его Комиссии, но его рассмотрение было отложено в связи с истечением срока согласно Регламенту;</w:t>
      </w:r>
    </w:p>
    <w:p w:rsidR="00000000" w:rsidRDefault="00000000">
      <w:pPr>
        <w:pStyle w:val="BodyText3"/>
        <w:numPr>
          <w:ilvl w:val="1"/>
          <w:numId w:val="37"/>
        </w:numPr>
        <w:tabs>
          <w:tab w:val="clear" w:pos="1040"/>
          <w:tab w:val="left" w:pos="680"/>
        </w:tabs>
        <w:spacing w:before="240" w:line="260" w:lineRule="exact"/>
        <w:ind w:left="680" w:hanging="340"/>
        <w:jc w:val="both"/>
        <w:rPr>
          <w:b w:val="0"/>
          <w:sz w:val="22"/>
          <w:lang w:val="es-ES"/>
        </w:rPr>
      </w:pPr>
      <w:r>
        <w:rPr>
          <w:b w:val="0"/>
          <w:sz w:val="22"/>
        </w:rPr>
        <w:t>законопроект № 13874 "Об уголовном наказании за насилие в отношении совершеннолетних женщин" получил единодушное положительное заключение Специальной постоянной комиссии по делам женщин и в настоящее время находится в Консультационной комиссии</w:t>
      </w:r>
      <w:r>
        <w:rPr>
          <w:b w:val="0"/>
          <w:sz w:val="22"/>
          <w:lang w:val="es-ES"/>
        </w:rPr>
        <w:t>.</w:t>
      </w:r>
    </w:p>
    <w:p w:rsidR="00000000" w:rsidRDefault="00000000">
      <w:pPr>
        <w:pStyle w:val="BodyText3"/>
        <w:numPr>
          <w:ilvl w:val="2"/>
          <w:numId w:val="7"/>
        </w:numPr>
        <w:tabs>
          <w:tab w:val="clear" w:pos="2160"/>
          <w:tab w:val="left" w:pos="340"/>
          <w:tab w:val="left" w:pos="680"/>
        </w:tabs>
        <w:spacing w:before="240" w:line="260" w:lineRule="exact"/>
        <w:ind w:left="340" w:hanging="340"/>
        <w:jc w:val="both"/>
        <w:rPr>
          <w:b w:val="0"/>
          <w:sz w:val="22"/>
        </w:rPr>
      </w:pPr>
      <w:r>
        <w:rPr>
          <w:b w:val="0"/>
          <w:sz w:val="22"/>
        </w:rPr>
        <w:t xml:space="preserve">О внесении изменений в статьи 2, 7, 9, 12, 13, 24, 31 и добавлении статьи 31 </w:t>
      </w:r>
      <w:r>
        <w:rPr>
          <w:b w:val="0"/>
          <w:sz w:val="22"/>
          <w:lang w:val="es-ES"/>
        </w:rPr>
        <w:t>bis</w:t>
      </w:r>
      <w:r>
        <w:rPr>
          <w:b w:val="0"/>
          <w:sz w:val="22"/>
        </w:rPr>
        <w:t xml:space="preserve"> в Закон № 7476 о борьбе с сексуальными домогательствами по месту работы и учебы (дело № 13094). Данный законопроект получил единодушное положительное заключение Комиссии. Процесс его рассмотрения замедлился из-за того, что не были проведены консультации с профсоюзами. Некоторые предложения были внесены и одобрены, однако ряд не рассмотренных предложений находится в Третьей законодательной комиссии. Принятие данных изменений позволит лишить иммунитета лиц, имеющих особые привилегии (например, члены Верховного суда, депутаты, профсоюзные руководители), в том числе в случае жалоб на сексуальные домогательства.</w:t>
      </w:r>
    </w:p>
    <w:p w:rsidR="00000000" w:rsidRDefault="00000000">
      <w:pPr>
        <w:pStyle w:val="BodyText3"/>
        <w:numPr>
          <w:ilvl w:val="2"/>
          <w:numId w:val="7"/>
        </w:numPr>
        <w:tabs>
          <w:tab w:val="clear" w:pos="2160"/>
          <w:tab w:val="left" w:pos="340"/>
          <w:tab w:val="left" w:pos="680"/>
        </w:tabs>
        <w:spacing w:before="240" w:line="260" w:lineRule="exact"/>
        <w:ind w:left="340" w:hanging="340"/>
        <w:jc w:val="both"/>
        <w:rPr>
          <w:b w:val="0"/>
          <w:sz w:val="22"/>
        </w:rPr>
      </w:pPr>
      <w:r>
        <w:rPr>
          <w:b w:val="0"/>
          <w:sz w:val="22"/>
        </w:rPr>
        <w:t>Что касается реформирования законодательства о выборах с целью обеспечения соблюдения квот на участие во всех сферах политической жизни и облегчения женщинам доступа к принятию решений, то на рассмотрении находятся три законопроекта:</w:t>
      </w:r>
    </w:p>
    <w:p w:rsidR="00000000" w:rsidRDefault="00000000">
      <w:pPr>
        <w:pStyle w:val="BodyText3"/>
        <w:numPr>
          <w:ilvl w:val="1"/>
          <w:numId w:val="38"/>
        </w:numPr>
        <w:tabs>
          <w:tab w:val="clear" w:pos="1040"/>
          <w:tab w:val="left" w:pos="680"/>
        </w:tabs>
        <w:spacing w:before="240" w:line="260" w:lineRule="exact"/>
        <w:ind w:left="680" w:hanging="340"/>
        <w:jc w:val="both"/>
        <w:rPr>
          <w:b w:val="0"/>
          <w:sz w:val="22"/>
        </w:rPr>
      </w:pPr>
      <w:r>
        <w:rPr>
          <w:b w:val="0"/>
          <w:sz w:val="22"/>
        </w:rPr>
        <w:t>проект закона о политических партиях, находящийся в Специальной смешанной комиссии (дело № 14268) и получивший положительное заключение. Его рассмотрение не было включено в повестку дня пленума Законодательного собрания;</w:t>
      </w:r>
    </w:p>
    <w:p w:rsidR="00000000" w:rsidRDefault="00000000">
      <w:pPr>
        <w:pStyle w:val="BodyText3"/>
        <w:numPr>
          <w:ilvl w:val="1"/>
          <w:numId w:val="38"/>
        </w:numPr>
        <w:tabs>
          <w:tab w:val="clear" w:pos="1040"/>
          <w:tab w:val="left" w:pos="680"/>
        </w:tabs>
        <w:spacing w:before="240" w:line="260" w:lineRule="exact"/>
        <w:ind w:left="680" w:hanging="340"/>
        <w:jc w:val="both"/>
        <w:rPr>
          <w:b w:val="0"/>
          <w:sz w:val="22"/>
        </w:rPr>
      </w:pPr>
      <w:r>
        <w:rPr>
          <w:b w:val="0"/>
          <w:sz w:val="22"/>
        </w:rPr>
        <w:t>законопроект "О внесении изменений в Избирательный кодекс в целях обеспечения соблюдения минимальных квот на политическое участие женщин" (дело № 14592)" находится на рассмотрении Комиссии по избирательной реформе;</w:t>
      </w:r>
    </w:p>
    <w:p w:rsidR="00000000" w:rsidRDefault="00000000">
      <w:pPr>
        <w:pStyle w:val="BodyText3"/>
        <w:numPr>
          <w:ilvl w:val="1"/>
          <w:numId w:val="38"/>
        </w:numPr>
        <w:tabs>
          <w:tab w:val="clear" w:pos="1040"/>
          <w:tab w:val="left" w:pos="680"/>
        </w:tabs>
        <w:spacing w:before="240" w:line="260" w:lineRule="exact"/>
        <w:ind w:left="680" w:hanging="340"/>
        <w:jc w:val="both"/>
        <w:rPr>
          <w:b w:val="0"/>
          <w:sz w:val="22"/>
        </w:rPr>
      </w:pPr>
      <w:r>
        <w:rPr>
          <w:b w:val="0"/>
          <w:sz w:val="22"/>
        </w:rPr>
        <w:t>законопроект "О внесении изменений в Избирательный кодекс" (дело № 14268), направленный на комплексное реформирование Избирательного кодекса.</w:t>
      </w:r>
    </w:p>
    <w:p w:rsidR="00000000" w:rsidRDefault="00000000">
      <w:pPr>
        <w:pStyle w:val="BodyText3"/>
        <w:numPr>
          <w:ilvl w:val="4"/>
          <w:numId w:val="7"/>
        </w:numPr>
        <w:tabs>
          <w:tab w:val="clear" w:pos="3600"/>
          <w:tab w:val="left" w:pos="340"/>
          <w:tab w:val="left" w:pos="680"/>
        </w:tabs>
        <w:spacing w:before="240" w:line="260" w:lineRule="exact"/>
        <w:ind w:left="340" w:hanging="340"/>
        <w:jc w:val="both"/>
        <w:rPr>
          <w:b w:val="0"/>
          <w:sz w:val="22"/>
        </w:rPr>
      </w:pPr>
      <w:r>
        <w:rPr>
          <w:b w:val="0"/>
          <w:sz w:val="22"/>
        </w:rPr>
        <w:t>Законопроект "О внесении изменений в закон № 7801 о Национальном институте по делам женщин" (дело № 14591) был представлен Женским форумом ИНАМУ. Целью законопроекта была демократизация принятия решений благодаря расширению представительства организаций гражданского общества и государственных университетов в Руководящем совете. Кроме того, предлагаемые изменения призваны обеспечить реальную автономию Женского форума как консультативной организации гражданского общества. Этот законопроект находится на рассмотрении Специальной постоянной комиссии по делам женщин.</w:t>
      </w:r>
    </w:p>
    <w:p w:rsidR="00000000" w:rsidRDefault="00000000">
      <w:pPr>
        <w:pStyle w:val="BodyText3"/>
        <w:tabs>
          <w:tab w:val="left" w:pos="680"/>
        </w:tabs>
        <w:spacing w:before="240" w:line="260" w:lineRule="exact"/>
        <w:jc w:val="both"/>
        <w:rPr>
          <w:b w:val="0"/>
          <w:sz w:val="22"/>
        </w:rPr>
      </w:pPr>
      <w:r>
        <w:rPr>
          <w:b w:val="0"/>
          <w:sz w:val="22"/>
        </w:rPr>
        <w:t>129.</w:t>
      </w:r>
      <w:r>
        <w:rPr>
          <w:b w:val="0"/>
          <w:sz w:val="22"/>
        </w:rPr>
        <w:tab/>
        <w:t>Кроме того, были выявлены другие критические области, в которых необходимы изменения:</w:t>
      </w:r>
    </w:p>
    <w:p w:rsidR="00000000" w:rsidRDefault="00000000">
      <w:pPr>
        <w:pStyle w:val="BodyText3"/>
        <w:numPr>
          <w:ilvl w:val="0"/>
          <w:numId w:val="8"/>
        </w:numPr>
        <w:tabs>
          <w:tab w:val="clear" w:pos="720"/>
          <w:tab w:val="left" w:pos="340"/>
          <w:tab w:val="left" w:pos="680"/>
        </w:tabs>
        <w:spacing w:before="240" w:line="260" w:lineRule="exact"/>
        <w:ind w:left="340" w:hanging="340"/>
        <w:jc w:val="both"/>
        <w:rPr>
          <w:b w:val="0"/>
          <w:sz w:val="22"/>
        </w:rPr>
      </w:pPr>
      <w:r>
        <w:rPr>
          <w:b w:val="0"/>
          <w:sz w:val="22"/>
        </w:rPr>
        <w:t>Обеспечение защиты от сексуальных домогательств на частных предприятиях и в других сферах жизни помимо места работы. Имеется законопроект, представленный и одобренный Специальной постоянной комиссией по делам женщин, с которым пленум Законодательного собрания еще не ознакомился.</w:t>
      </w:r>
    </w:p>
    <w:p w:rsidR="00000000" w:rsidRDefault="00000000">
      <w:pPr>
        <w:pStyle w:val="BodyText3"/>
        <w:numPr>
          <w:ilvl w:val="0"/>
          <w:numId w:val="8"/>
        </w:numPr>
        <w:tabs>
          <w:tab w:val="clear" w:pos="720"/>
          <w:tab w:val="left" w:pos="340"/>
          <w:tab w:val="left" w:pos="680"/>
        </w:tabs>
        <w:spacing w:before="240" w:line="260" w:lineRule="exact"/>
        <w:ind w:left="340" w:hanging="340"/>
        <w:jc w:val="both"/>
        <w:rPr>
          <w:b w:val="0"/>
          <w:sz w:val="22"/>
        </w:rPr>
      </w:pPr>
      <w:r>
        <w:rPr>
          <w:b w:val="0"/>
          <w:sz w:val="22"/>
        </w:rPr>
        <w:t>Обеспечение специальной защиты от актов насилия в отношении лиц, имеющих особое социальное положение ввиду их расовой или этнической принадлежности, в отношении беженцев или вынужденных мигрантов и женщин-заключенных.</w:t>
      </w:r>
    </w:p>
    <w:p w:rsidR="00000000" w:rsidRDefault="00000000">
      <w:pPr>
        <w:pStyle w:val="BodyText3"/>
        <w:numPr>
          <w:ilvl w:val="0"/>
          <w:numId w:val="8"/>
        </w:numPr>
        <w:tabs>
          <w:tab w:val="clear" w:pos="720"/>
          <w:tab w:val="left" w:pos="340"/>
          <w:tab w:val="left" w:pos="680"/>
        </w:tabs>
        <w:spacing w:before="240" w:line="260" w:lineRule="exact"/>
        <w:ind w:left="340" w:hanging="340"/>
        <w:jc w:val="both"/>
        <w:rPr>
          <w:b w:val="0"/>
          <w:sz w:val="22"/>
        </w:rPr>
      </w:pPr>
      <w:r>
        <w:rPr>
          <w:b w:val="0"/>
          <w:sz w:val="22"/>
        </w:rPr>
        <w:t>Пересмотр закона о защите лиц пожилого возраста.</w:t>
      </w:r>
    </w:p>
    <w:p w:rsidR="00000000" w:rsidRDefault="00000000">
      <w:pPr>
        <w:pStyle w:val="BodyText3"/>
        <w:numPr>
          <w:ilvl w:val="0"/>
          <w:numId w:val="8"/>
        </w:numPr>
        <w:tabs>
          <w:tab w:val="clear" w:pos="720"/>
          <w:tab w:val="left" w:pos="340"/>
          <w:tab w:val="left" w:pos="680"/>
        </w:tabs>
        <w:spacing w:before="240" w:line="260" w:lineRule="exact"/>
        <w:ind w:left="340" w:hanging="340"/>
        <w:jc w:val="both"/>
        <w:rPr>
          <w:b w:val="0"/>
          <w:sz w:val="22"/>
        </w:rPr>
      </w:pPr>
      <w:r>
        <w:rPr>
          <w:b w:val="0"/>
          <w:sz w:val="22"/>
        </w:rPr>
        <w:t>Пересмотр Закона о контроле за пропагандой (№ 5811) в части, касающейся его компетенции, а также принятие регламентарных положений о применении Закона № 7440 о публичных представлениях.</w:t>
      </w:r>
    </w:p>
    <w:p w:rsidR="00000000" w:rsidRDefault="00000000">
      <w:pPr>
        <w:pStyle w:val="BodyText3"/>
        <w:tabs>
          <w:tab w:val="left" w:pos="680"/>
        </w:tabs>
        <w:spacing w:line="260" w:lineRule="exact"/>
        <w:jc w:val="both"/>
        <w:rPr>
          <w:b w:val="0"/>
          <w:sz w:val="22"/>
        </w:rPr>
      </w:pPr>
    </w:p>
    <w:p w:rsidR="00000000" w:rsidRDefault="00000000">
      <w:pPr>
        <w:pStyle w:val="Heading3"/>
      </w:pPr>
      <w:r>
        <w:rPr>
          <w:caps/>
        </w:rPr>
        <w:t>л</w:t>
      </w:r>
      <w:r>
        <w:t>иквидация правовой неграмотности</w:t>
      </w:r>
    </w:p>
    <w:p w:rsidR="00000000" w:rsidRDefault="00000000">
      <w:pPr>
        <w:pStyle w:val="BodyText3"/>
        <w:tabs>
          <w:tab w:val="left" w:pos="680"/>
        </w:tabs>
        <w:spacing w:before="240" w:line="260" w:lineRule="exact"/>
        <w:jc w:val="both"/>
        <w:rPr>
          <w:b w:val="0"/>
          <w:sz w:val="22"/>
        </w:rPr>
      </w:pPr>
      <w:r>
        <w:rPr>
          <w:b w:val="0"/>
          <w:sz w:val="22"/>
        </w:rPr>
        <w:t>130.</w:t>
      </w:r>
      <w:r>
        <w:rPr>
          <w:b w:val="0"/>
          <w:sz w:val="22"/>
        </w:rPr>
        <w:tab/>
        <w:t>По завершении рассматриваемого периода опыт Коста-Рики обогатился целым рядом уроков. Первый урок заключается в том, что, хотя законодательство по вопросам защиты женщин от гендерной дискриминации и содействия равенству возможностей представляет собой важное средство достижения указанной цели, оно является недостаточным. Ликвидация правовой неграмотности среди женщин – важный шаг на пути уяснения и действенного использования женщинами законов в своих интересах. Большинство служб, ответственных за просвещение населения в правовой области, делают упор на распространении информации. В условиях гендерной дискриминации и насилия женщины в целом обычно не знают, как использовать тот или иной закон, потому что часто не знакомы с существующими механизмами и с тем, как получить к ним доступ. Они вынуждены иметь дело с системой исключения, в которой работники правосудия не уделяют должного внимания гендерным различиям. Во многих случаях женщины не знают своих прав, которые к тому же систематически нарушаются.</w:t>
      </w:r>
    </w:p>
    <w:p w:rsidR="00000000" w:rsidRDefault="00000000">
      <w:pPr>
        <w:pStyle w:val="BodyText3"/>
        <w:tabs>
          <w:tab w:val="left" w:pos="680"/>
        </w:tabs>
        <w:spacing w:before="240" w:line="260" w:lineRule="exact"/>
        <w:jc w:val="both"/>
        <w:rPr>
          <w:b w:val="0"/>
          <w:sz w:val="22"/>
        </w:rPr>
      </w:pPr>
      <w:r>
        <w:rPr>
          <w:b w:val="0"/>
          <w:sz w:val="22"/>
        </w:rPr>
        <w:t xml:space="preserve">131. </w:t>
      </w:r>
      <w:r>
        <w:rPr>
          <w:b w:val="0"/>
          <w:sz w:val="22"/>
        </w:rPr>
        <w:tab/>
        <w:t>Ликвидация правовой неграмотности среди женщин, равно как и среди работников правосудия, персонала государственных учреждений и неправительственных организаций, женских организаций и гражданского общества в целом, должна стать составной частью систематического и постоянного процесса информирования и просвещения населения. Недостаточно одних бесед и редких семинаров. Следует разработать модели привлечения тех слоев населения, на которые нацелены просветительская работа, информационные и просветительские кампании, а затем приступить к оценке воздействия этих мероприятий и процессов.</w:t>
      </w:r>
    </w:p>
    <w:p w:rsidR="00000000" w:rsidRDefault="00000000">
      <w:pPr>
        <w:pStyle w:val="Heading3"/>
      </w:pPr>
    </w:p>
    <w:p w:rsidR="00000000" w:rsidRDefault="00000000">
      <w:pPr>
        <w:spacing w:before="240" w:line="240" w:lineRule="exact"/>
        <w:jc w:val="center"/>
        <w:rPr>
          <w:b/>
          <w:sz w:val="22"/>
        </w:rPr>
      </w:pPr>
      <w:r>
        <w:rPr>
          <w:b/>
          <w:caps/>
          <w:sz w:val="22"/>
        </w:rPr>
        <w:t>с</w:t>
      </w:r>
      <w:r>
        <w:rPr>
          <w:b/>
          <w:sz w:val="22"/>
        </w:rPr>
        <w:t xml:space="preserve">татья 3. </w:t>
      </w:r>
      <w:r>
        <w:rPr>
          <w:b/>
          <w:caps/>
          <w:sz w:val="22"/>
        </w:rPr>
        <w:t>н</w:t>
      </w:r>
      <w:r>
        <w:rPr>
          <w:b/>
          <w:sz w:val="22"/>
        </w:rPr>
        <w:t xml:space="preserve">ациональные, отраслевые и институциональные стратегии </w:t>
      </w:r>
      <w:r>
        <w:rPr>
          <w:b/>
          <w:sz w:val="22"/>
        </w:rPr>
        <w:br/>
        <w:t>содействия равенству возможностей</w:t>
      </w:r>
    </w:p>
    <w:p w:rsidR="00000000" w:rsidRDefault="00000000">
      <w:pPr>
        <w:pStyle w:val="BodyTextIndent2"/>
        <w:tabs>
          <w:tab w:val="left" w:pos="680"/>
          <w:tab w:val="left" w:pos="1247"/>
        </w:tabs>
        <w:spacing w:before="240" w:line="260" w:lineRule="exact"/>
        <w:ind w:left="1247" w:hanging="1247"/>
        <w:jc w:val="both"/>
        <w:rPr>
          <w:i/>
          <w:color w:val="000000"/>
          <w:sz w:val="22"/>
        </w:rPr>
      </w:pPr>
      <w:r>
        <w:rPr>
          <w:i/>
          <w:sz w:val="22"/>
        </w:rPr>
        <w:t>Статья 3.</w:t>
      </w:r>
      <w:r>
        <w:rPr>
          <w:i/>
          <w:sz w:val="22"/>
        </w:rPr>
        <w:tab/>
      </w:r>
      <w:r>
        <w:rPr>
          <w:i/>
          <w:color w:val="000000"/>
          <w:sz w:val="22"/>
        </w:rPr>
        <w:t>Государства-участники принимают во всех областях, и в частности в политической, социальной, экономической и культурной областях, все соответствующие меры, включая законодательные, для обеспечения всестороннего развития и прогресса женщин, с тем чтобы гарантировать им осуществление и пользование правами человека и основными свободами на основе равенства с мужчинами.</w:t>
      </w:r>
    </w:p>
    <w:p w:rsidR="00000000" w:rsidRDefault="00000000">
      <w:pPr>
        <w:pStyle w:val="BodyTextIndent2"/>
        <w:tabs>
          <w:tab w:val="left" w:pos="680"/>
        </w:tabs>
        <w:spacing w:line="260" w:lineRule="exact"/>
        <w:ind w:firstLine="0"/>
        <w:jc w:val="both"/>
        <w:rPr>
          <w:color w:val="000000"/>
          <w:sz w:val="22"/>
        </w:rPr>
      </w:pPr>
    </w:p>
    <w:p w:rsidR="00000000" w:rsidRDefault="00000000">
      <w:pPr>
        <w:pStyle w:val="Heading3"/>
        <w:jc w:val="center"/>
      </w:pPr>
      <w:r>
        <w:rPr>
          <w:caps/>
        </w:rPr>
        <w:t>и</w:t>
      </w:r>
      <w:r>
        <w:t>нституциональные механизмы улучшения положения женщин</w:t>
      </w:r>
    </w:p>
    <w:p w:rsidR="00000000" w:rsidRDefault="00000000">
      <w:pPr>
        <w:pStyle w:val="Heading3"/>
      </w:pPr>
      <w:r>
        <w:rPr>
          <w:caps/>
        </w:rPr>
        <w:t>н</w:t>
      </w:r>
      <w:r>
        <w:t xml:space="preserve">ациональный правительственный механизм: </w:t>
      </w:r>
      <w:r>
        <w:rPr>
          <w:caps/>
        </w:rPr>
        <w:t>н</w:t>
      </w:r>
      <w:r>
        <w:t xml:space="preserve">ациональный институт </w:t>
      </w:r>
      <w:r>
        <w:br/>
        <w:t>по делам женщин</w:t>
      </w:r>
    </w:p>
    <w:p w:rsidR="00000000" w:rsidRDefault="00000000">
      <w:pPr>
        <w:tabs>
          <w:tab w:val="left" w:pos="680"/>
        </w:tabs>
        <w:spacing w:before="240" w:line="260" w:lineRule="exact"/>
        <w:jc w:val="both"/>
        <w:rPr>
          <w:i/>
          <w:sz w:val="22"/>
        </w:rPr>
      </w:pPr>
      <w:r>
        <w:rPr>
          <w:i/>
          <w:sz w:val="22"/>
        </w:rPr>
        <w:t>Предыстория, цели и стратегии</w:t>
      </w:r>
    </w:p>
    <w:p w:rsidR="00000000" w:rsidRDefault="00000000">
      <w:pPr>
        <w:tabs>
          <w:tab w:val="left" w:pos="680"/>
        </w:tabs>
        <w:spacing w:before="240" w:line="260" w:lineRule="exact"/>
        <w:jc w:val="both"/>
        <w:rPr>
          <w:sz w:val="22"/>
        </w:rPr>
      </w:pPr>
      <w:r>
        <w:rPr>
          <w:sz w:val="22"/>
        </w:rPr>
        <w:t>132.</w:t>
      </w:r>
      <w:r>
        <w:rPr>
          <w:sz w:val="22"/>
        </w:rPr>
        <w:tab/>
        <w:t>С момента своего создания в 1986 году Национальный центр по улучшению положения женщин и семьи (СМФ) был ведущей организацией по разработке национальных стратегий, касающихся улучшения положения женщин. Он имел собственный штат юристов и имущество, но существовал при Министерстве культуры, молодежи и спорта. Подобный правовой статус не позволял ему функционировать надлежащим образом. Из опыта, накопленного СМФ, можно сделать следующие выводы:</w:t>
      </w:r>
    </w:p>
    <w:p w:rsidR="00000000" w:rsidRDefault="00000000">
      <w:pPr>
        <w:numPr>
          <w:ilvl w:val="0"/>
          <w:numId w:val="9"/>
        </w:numPr>
        <w:tabs>
          <w:tab w:val="clear" w:pos="720"/>
          <w:tab w:val="left" w:pos="340"/>
          <w:tab w:val="left" w:pos="680"/>
        </w:tabs>
        <w:spacing w:before="240" w:line="260" w:lineRule="exact"/>
        <w:ind w:left="340" w:hanging="340"/>
        <w:jc w:val="both"/>
        <w:rPr>
          <w:sz w:val="22"/>
        </w:rPr>
      </w:pPr>
      <w:r>
        <w:rPr>
          <w:sz w:val="22"/>
        </w:rPr>
        <w:t>Для проведения государственной политики в интересах гендерного равенства и равноправия необходимо, чтобы соответствующие обязательства были приняты на высшем государственном уровне, а также на отраслевом уровне государственных предприятий и организаций, ответственных за осуществление этой политики;</w:t>
      </w:r>
    </w:p>
    <w:p w:rsidR="00000000" w:rsidRDefault="00000000">
      <w:pPr>
        <w:numPr>
          <w:ilvl w:val="0"/>
          <w:numId w:val="9"/>
        </w:numPr>
        <w:tabs>
          <w:tab w:val="clear" w:pos="720"/>
          <w:tab w:val="left" w:pos="340"/>
          <w:tab w:val="left" w:pos="680"/>
        </w:tabs>
        <w:spacing w:before="240" w:line="260" w:lineRule="exact"/>
        <w:ind w:left="340" w:hanging="340"/>
        <w:jc w:val="both"/>
        <w:rPr>
          <w:sz w:val="22"/>
        </w:rPr>
      </w:pPr>
      <w:r>
        <w:rPr>
          <w:sz w:val="22"/>
        </w:rPr>
        <w:t>Выполнение руководящих функций в данной области столкнулось с ограничениями из-за противоречия между объемом полномочий и подчиненностью органу государственного аппарата, каковым является любое министерство.</w:t>
      </w:r>
    </w:p>
    <w:p w:rsidR="00000000" w:rsidRDefault="00000000">
      <w:pPr>
        <w:pStyle w:val="BodyTextIndent3"/>
        <w:tabs>
          <w:tab w:val="left" w:pos="680"/>
        </w:tabs>
        <w:spacing w:line="260" w:lineRule="exact"/>
        <w:ind w:left="0" w:firstLine="0"/>
      </w:pPr>
      <w:r>
        <w:t xml:space="preserve">133. </w:t>
      </w:r>
      <w:r>
        <w:tab/>
        <w:t>Пекинская платформа действий рекомендует следующие условия для эффективного функционирования институциональных механизмов улучшения положения женщин:</w:t>
      </w:r>
    </w:p>
    <w:p w:rsidR="00000000" w:rsidRDefault="00000000">
      <w:pPr>
        <w:numPr>
          <w:ilvl w:val="0"/>
          <w:numId w:val="10"/>
        </w:numPr>
        <w:tabs>
          <w:tab w:val="clear" w:pos="720"/>
          <w:tab w:val="left" w:pos="340"/>
          <w:tab w:val="left" w:pos="680"/>
        </w:tabs>
        <w:spacing w:before="240" w:line="260" w:lineRule="exact"/>
        <w:ind w:left="340" w:hanging="340"/>
        <w:jc w:val="both"/>
        <w:rPr>
          <w:sz w:val="22"/>
        </w:rPr>
      </w:pPr>
      <w:r>
        <w:rPr>
          <w:sz w:val="22"/>
        </w:rPr>
        <w:t>подчиненность такого механизма должностному лицу максимально высокого уровня в правительстве – министру;</w:t>
      </w:r>
    </w:p>
    <w:p w:rsidR="00000000" w:rsidRDefault="00000000">
      <w:pPr>
        <w:numPr>
          <w:ilvl w:val="0"/>
          <w:numId w:val="10"/>
        </w:numPr>
        <w:tabs>
          <w:tab w:val="clear" w:pos="720"/>
          <w:tab w:val="left" w:pos="340"/>
          <w:tab w:val="left" w:pos="680"/>
        </w:tabs>
        <w:spacing w:before="240" w:line="260" w:lineRule="exact"/>
        <w:ind w:left="340" w:hanging="340"/>
        <w:jc w:val="both"/>
        <w:rPr>
          <w:sz w:val="22"/>
        </w:rPr>
      </w:pPr>
      <w:r>
        <w:rPr>
          <w:sz w:val="22"/>
        </w:rPr>
        <w:t>наличие достаточного объема ресурсов с точки зрения бюджетных средств и обеспечения кадрами;</w:t>
      </w:r>
    </w:p>
    <w:p w:rsidR="00000000" w:rsidRDefault="00000000">
      <w:pPr>
        <w:numPr>
          <w:ilvl w:val="0"/>
          <w:numId w:val="10"/>
        </w:numPr>
        <w:tabs>
          <w:tab w:val="clear" w:pos="720"/>
          <w:tab w:val="left" w:pos="340"/>
          <w:tab w:val="left" w:pos="680"/>
        </w:tabs>
        <w:spacing w:before="240" w:line="260" w:lineRule="exact"/>
        <w:ind w:left="340" w:hanging="340"/>
        <w:jc w:val="both"/>
        <w:rPr>
          <w:sz w:val="22"/>
        </w:rPr>
      </w:pPr>
      <w:r>
        <w:rPr>
          <w:sz w:val="22"/>
        </w:rPr>
        <w:t>возможность оказания воздействия на разработку правительством политики во всех областях с учетом гендерной проблематики.</w:t>
      </w:r>
    </w:p>
    <w:p w:rsidR="00000000" w:rsidRDefault="00000000">
      <w:pPr>
        <w:tabs>
          <w:tab w:val="left" w:pos="680"/>
        </w:tabs>
        <w:spacing w:before="240" w:line="260" w:lineRule="exact"/>
        <w:jc w:val="both"/>
        <w:rPr>
          <w:sz w:val="22"/>
        </w:rPr>
      </w:pPr>
      <w:r>
        <w:rPr>
          <w:sz w:val="22"/>
        </w:rPr>
        <w:t xml:space="preserve">134. </w:t>
      </w:r>
      <w:r>
        <w:rPr>
          <w:sz w:val="22"/>
        </w:rPr>
        <w:tab/>
        <w:t xml:space="preserve">Учитывая данные рекомендации и обязательства, государство совместно с женскими организациями, представляющими гражданское общество, приняло решение об укреплении существующего национального механизма. В целях создания государственного органа достаточно высокого политико-административного уровня и с соответствующим правовым статусом для осуществления государственной гендерной политики и руководства ею 30 марта 1998 года Центр по улучшению положения женщин и семьи был преобразован в </w:t>
      </w:r>
      <w:r>
        <w:rPr>
          <w:i/>
          <w:sz w:val="22"/>
        </w:rPr>
        <w:t>Национальный институт по делам женщин</w:t>
      </w:r>
      <w:r>
        <w:rPr>
          <w:sz w:val="22"/>
        </w:rPr>
        <w:t>. Он учреждался на основании Закона № 7801 и располагал персоналом юристов и собственным бюджетом.</w:t>
      </w:r>
    </w:p>
    <w:p w:rsidR="00000000" w:rsidRDefault="00000000">
      <w:pPr>
        <w:tabs>
          <w:tab w:val="left" w:pos="680"/>
        </w:tabs>
        <w:spacing w:before="240" w:line="260" w:lineRule="exact"/>
        <w:jc w:val="both"/>
        <w:rPr>
          <w:sz w:val="22"/>
        </w:rPr>
      </w:pPr>
      <w:r>
        <w:rPr>
          <w:sz w:val="22"/>
        </w:rPr>
        <w:t xml:space="preserve">135. </w:t>
      </w:r>
      <w:r>
        <w:rPr>
          <w:sz w:val="22"/>
        </w:rPr>
        <w:tab/>
        <w:t>В задачи нового учреждения входило содействие участию женщин в политической, социальной, экономической и культурной жизни общества, осуществлению ими своих прав человека на условиях равенства и равноправия с мужчинами. Перед Институтом были поставлены самые широкие цели, которые кратко можно обозначить следующим образом: разработка и проведение национальной политики в целях достижения гендерного равенства и равноправия; защита прав женщин; содействие гендерному равенству; координация деятельности государственных учреждений, осуществляющих национальную политику по достижению гендерного равенства и равноправия, и контроль за этой деятельностью; содействие полноправному участию женщин в политической, социальной, экономической и культурной жизни общества</w:t>
      </w:r>
      <w:r>
        <w:rPr>
          <w:rStyle w:val="FootnoteReference"/>
          <w:sz w:val="22"/>
        </w:rPr>
        <w:footnoteReference w:id="11"/>
      </w:r>
      <w:r>
        <w:rPr>
          <w:sz w:val="22"/>
        </w:rPr>
        <w:t xml:space="preserve"> (ИНАМУ, 2002 год).</w:t>
      </w:r>
    </w:p>
    <w:p w:rsidR="00000000" w:rsidRDefault="00000000">
      <w:pPr>
        <w:tabs>
          <w:tab w:val="left" w:pos="680"/>
        </w:tabs>
        <w:spacing w:before="240" w:line="260" w:lineRule="exact"/>
        <w:jc w:val="both"/>
        <w:rPr>
          <w:sz w:val="22"/>
        </w:rPr>
      </w:pPr>
      <w:r>
        <w:rPr>
          <w:sz w:val="22"/>
        </w:rPr>
        <w:t xml:space="preserve">136. </w:t>
      </w:r>
      <w:r>
        <w:rPr>
          <w:sz w:val="22"/>
        </w:rPr>
        <w:tab/>
        <w:t>Став самостоятельным децентрализованным учреждением, ИНАМУ повысил свой статус и расширил свои функции и полномочия. В то же время посредством правительственного декрета была назначена министр по делам женщин, которая возглавила Институт. Министр входит в состав Совета правительства. Будучи самостоятельной единицей, ИНАМУ имеет доступ к процессу принятия решений на уровне правительства, что, в свою очередь, укрепляет его административные функции и способствует увеличению выделяемых государственных средств. С другой стороны, назначение министра по делам женщин способствует тому, что механизмы внесения предложений в Совет правительства стали обязательными для государственного сектора, содействуя тем самым учету гендерных аспектов в национальной политике.</w:t>
      </w:r>
    </w:p>
    <w:p w:rsidR="00000000" w:rsidRDefault="00000000">
      <w:pPr>
        <w:tabs>
          <w:tab w:val="left" w:pos="680"/>
        </w:tabs>
        <w:spacing w:before="240" w:line="260" w:lineRule="exact"/>
        <w:jc w:val="both"/>
        <w:rPr>
          <w:sz w:val="22"/>
        </w:rPr>
      </w:pPr>
      <w:r>
        <w:rPr>
          <w:sz w:val="22"/>
        </w:rPr>
        <w:t xml:space="preserve">137. </w:t>
      </w:r>
      <w:r>
        <w:rPr>
          <w:sz w:val="22"/>
        </w:rPr>
        <w:tab/>
        <w:t>Необходимость учета гендерных аспектов в государственной политике и содействие укреплению роли женщин представляют собой два основных направления деятельности ИНАМУ. Каждое из них включает свои компоненты, из которых вырастают соответствующие направления институциональной политики и стратегические цели:</w:t>
      </w:r>
    </w:p>
    <w:p w:rsidR="00000000" w:rsidRDefault="00000000">
      <w:pPr>
        <w:numPr>
          <w:ilvl w:val="0"/>
          <w:numId w:val="11"/>
        </w:numPr>
        <w:tabs>
          <w:tab w:val="clear" w:pos="720"/>
          <w:tab w:val="left" w:pos="340"/>
          <w:tab w:val="left" w:pos="680"/>
        </w:tabs>
        <w:spacing w:before="240" w:line="260" w:lineRule="exact"/>
        <w:ind w:left="340" w:hanging="340"/>
        <w:jc w:val="both"/>
        <w:rPr>
          <w:sz w:val="22"/>
        </w:rPr>
      </w:pPr>
      <w:r>
        <w:rPr>
          <w:b/>
          <w:sz w:val="22"/>
        </w:rPr>
        <w:t>Включение гендерных аспектов в основные направления проводимой политики</w:t>
      </w:r>
      <w:r>
        <w:rPr>
          <w:sz w:val="22"/>
        </w:rPr>
        <w:t>. Это означает осуществление действий, направленных на анализ дифференцированного воздействия осуществляемых стратегий и принимаемых законов с учетом гендерных аспектов, в том числе на выделение средств, планирование, оценку и отчетность. Кроме того, предполагается соответствующее развитие институционального потенциала в отношении использования гендерного анализа применительно к этим областям.</w:t>
      </w:r>
    </w:p>
    <w:p w:rsidR="00000000" w:rsidRDefault="00000000">
      <w:pPr>
        <w:numPr>
          <w:ilvl w:val="0"/>
          <w:numId w:val="11"/>
        </w:numPr>
        <w:tabs>
          <w:tab w:val="clear" w:pos="720"/>
          <w:tab w:val="left" w:pos="340"/>
          <w:tab w:val="left" w:pos="680"/>
        </w:tabs>
        <w:spacing w:before="240" w:line="260" w:lineRule="exact"/>
        <w:ind w:left="340" w:hanging="340"/>
        <w:jc w:val="both"/>
        <w:rPr>
          <w:sz w:val="22"/>
        </w:rPr>
      </w:pPr>
      <w:r>
        <w:rPr>
          <w:b/>
          <w:sz w:val="22"/>
        </w:rPr>
        <w:t>Укрепление роли женщин</w:t>
      </w:r>
      <w:r>
        <w:rPr>
          <w:sz w:val="22"/>
        </w:rPr>
        <w:t xml:space="preserve"> с целью их становления как активных субъектов развития, осуществления реформ и упрочения их лидирующей роли и влияния на общественную и политическую жизнь страны. Меры, осуществляемые в рамках этого направления, призваны содействовать развитию гражданского потенциала женщин, необходимого им для борьбы за свои права.</w:t>
      </w:r>
    </w:p>
    <w:p w:rsidR="00000000" w:rsidRDefault="00000000">
      <w:pPr>
        <w:tabs>
          <w:tab w:val="left" w:pos="680"/>
        </w:tabs>
        <w:spacing w:before="240" w:line="260" w:lineRule="exact"/>
        <w:jc w:val="both"/>
        <w:rPr>
          <w:sz w:val="22"/>
        </w:rPr>
      </w:pPr>
      <w:r>
        <w:rPr>
          <w:sz w:val="22"/>
        </w:rPr>
        <w:t xml:space="preserve">138. </w:t>
      </w:r>
      <w:r>
        <w:rPr>
          <w:sz w:val="22"/>
        </w:rPr>
        <w:tab/>
        <w:t>Можно обозначить шесть стратегических сфер деятельности ИНАМУ:</w:t>
      </w:r>
    </w:p>
    <w:p w:rsidR="00000000" w:rsidRDefault="00000000">
      <w:pPr>
        <w:numPr>
          <w:ilvl w:val="0"/>
          <w:numId w:val="12"/>
        </w:numPr>
        <w:tabs>
          <w:tab w:val="clear" w:pos="780"/>
          <w:tab w:val="left" w:pos="340"/>
          <w:tab w:val="left" w:pos="680"/>
        </w:tabs>
        <w:spacing w:before="200" w:line="260" w:lineRule="exact"/>
        <w:ind w:left="340" w:hanging="340"/>
        <w:jc w:val="both"/>
        <w:rPr>
          <w:sz w:val="22"/>
        </w:rPr>
      </w:pPr>
      <w:r>
        <w:rPr>
          <w:b/>
          <w:sz w:val="22"/>
        </w:rPr>
        <w:t>Проведение государственной политики, способствующей достижению равенства</w:t>
      </w:r>
      <w:r>
        <w:rPr>
          <w:sz w:val="22"/>
        </w:rPr>
        <w:t>: в рамках этой сферы координируются программы внедрения гендерного равенства на всех уровнях государственного управления.</w:t>
      </w:r>
    </w:p>
    <w:p w:rsidR="00000000" w:rsidRDefault="00000000">
      <w:pPr>
        <w:numPr>
          <w:ilvl w:val="0"/>
          <w:numId w:val="12"/>
        </w:numPr>
        <w:tabs>
          <w:tab w:val="clear" w:pos="780"/>
          <w:tab w:val="left" w:pos="340"/>
          <w:tab w:val="left" w:pos="680"/>
        </w:tabs>
        <w:spacing w:before="200" w:line="260" w:lineRule="exact"/>
        <w:ind w:left="340" w:hanging="340"/>
        <w:jc w:val="both"/>
        <w:rPr>
          <w:sz w:val="22"/>
        </w:rPr>
      </w:pPr>
      <w:r>
        <w:rPr>
          <w:b/>
          <w:sz w:val="22"/>
        </w:rPr>
        <w:t>Активное участие в жизни общества, лидерство и местное управление</w:t>
      </w:r>
      <w:r>
        <w:rPr>
          <w:sz w:val="22"/>
        </w:rPr>
        <w:t>: дальнейшее укрепление индивидуального и коллективного потенциала женщин, с тем чтобы в процессе осуществления своих гражданских прав женщины получили доступ к экономическим, социальным, культурным и политическим ресурсам на национальном, региональном и местном (муниципальном) уровнях на условиях равенства и равноправия с мужчинами, а также могли распоряжаться ими и контролировать их использование. В рамках этой сферы разрабатываются и осуществляются стратегии по укреплению лидерства и активного участия женщин в жизни общества, а также оказывается содействие развитию на местном уровне на условиях гендерного равенства и равноправия.</w:t>
      </w:r>
    </w:p>
    <w:p w:rsidR="00000000" w:rsidRDefault="00000000">
      <w:pPr>
        <w:numPr>
          <w:ilvl w:val="0"/>
          <w:numId w:val="12"/>
        </w:numPr>
        <w:tabs>
          <w:tab w:val="clear" w:pos="780"/>
          <w:tab w:val="left" w:pos="340"/>
          <w:tab w:val="left" w:pos="680"/>
        </w:tabs>
        <w:spacing w:before="200" w:line="260" w:lineRule="exact"/>
        <w:ind w:left="340" w:hanging="340"/>
        <w:jc w:val="both"/>
        <w:rPr>
          <w:sz w:val="22"/>
        </w:rPr>
      </w:pPr>
      <w:r>
        <w:rPr>
          <w:b/>
          <w:sz w:val="22"/>
        </w:rPr>
        <w:t>Правовое положение женщин и защита их прав</w:t>
      </w:r>
      <w:r>
        <w:rPr>
          <w:sz w:val="22"/>
        </w:rPr>
        <w:t>: выполняются функции информирования, контроля, содействия, оказания помощи, руководства и защиты по вопросам законодательства в отношении женщин.</w:t>
      </w:r>
    </w:p>
    <w:p w:rsidR="00000000" w:rsidRDefault="00000000">
      <w:pPr>
        <w:numPr>
          <w:ilvl w:val="0"/>
          <w:numId w:val="12"/>
        </w:numPr>
        <w:tabs>
          <w:tab w:val="clear" w:pos="780"/>
          <w:tab w:val="left" w:pos="340"/>
          <w:tab w:val="left" w:pos="680"/>
        </w:tabs>
        <w:spacing w:before="200" w:line="260" w:lineRule="exact"/>
        <w:ind w:left="340" w:hanging="340"/>
        <w:jc w:val="both"/>
        <w:rPr>
          <w:sz w:val="22"/>
        </w:rPr>
      </w:pPr>
      <w:r>
        <w:rPr>
          <w:b/>
          <w:sz w:val="22"/>
        </w:rPr>
        <w:t>Формирование личности и жизненных планов</w:t>
      </w:r>
      <w:r>
        <w:rPr>
          <w:sz w:val="22"/>
        </w:rPr>
        <w:t>: воздействие на процессы социализации, формирования личности и жизненных планов у детей и подростков в целях создания условий равноправия и равенства возможностей для детей и подростков женского пола. Осуществление этой задачи возложено на Секретариат Межведомственного совета помощи несовершеннолетним матерям и на разрабатываемые им программы</w:t>
      </w:r>
      <w:r>
        <w:rPr>
          <w:rStyle w:val="FootnoteReference"/>
          <w:sz w:val="22"/>
        </w:rPr>
        <w:footnoteReference w:id="12"/>
      </w:r>
      <w:r>
        <w:rPr>
          <w:sz w:val="22"/>
        </w:rPr>
        <w:t>, а также на технический секретариат программы "Создаем возможности", ИМАС и технический секретариат межведомственной Комиссии по ответственному отцовству.</w:t>
      </w:r>
    </w:p>
    <w:p w:rsidR="00000000" w:rsidRDefault="00000000">
      <w:pPr>
        <w:numPr>
          <w:ilvl w:val="0"/>
          <w:numId w:val="12"/>
        </w:numPr>
        <w:tabs>
          <w:tab w:val="clear" w:pos="780"/>
          <w:tab w:val="left" w:pos="340"/>
          <w:tab w:val="left" w:pos="680"/>
        </w:tabs>
        <w:spacing w:before="200" w:line="260" w:lineRule="exact"/>
        <w:ind w:left="340" w:hanging="340"/>
        <w:jc w:val="both"/>
        <w:rPr>
          <w:sz w:val="22"/>
        </w:rPr>
      </w:pPr>
      <w:r>
        <w:rPr>
          <w:b/>
          <w:sz w:val="22"/>
        </w:rPr>
        <w:t>Гендерное насилие</w:t>
      </w:r>
      <w:r>
        <w:rPr>
          <w:sz w:val="22"/>
        </w:rPr>
        <w:t>: преследуется цель дать импульс и оказать содействие развитию государственной политики, направленной на предупреждение и искоренение гендерного насилия посредством координации межведомственной и межотраслевой деятельности. Деятельность осуществляется по четырем направлениям: насилие в семье, сексуальное домогательство, сексуальная эксплуатация и принуждение к проституции, а также насилие вне семьи. Координация этой работы возложена на Национальную систему оказания помощи и предупреждения насилия в семье.</w:t>
      </w:r>
    </w:p>
    <w:p w:rsidR="00000000" w:rsidRDefault="00000000">
      <w:pPr>
        <w:numPr>
          <w:ilvl w:val="0"/>
          <w:numId w:val="12"/>
        </w:numPr>
        <w:tabs>
          <w:tab w:val="clear" w:pos="780"/>
          <w:tab w:val="left" w:pos="340"/>
          <w:tab w:val="left" w:pos="680"/>
        </w:tabs>
        <w:spacing w:before="200" w:line="260" w:lineRule="exact"/>
        <w:ind w:left="340" w:hanging="340"/>
        <w:jc w:val="both"/>
        <w:rPr>
          <w:sz w:val="22"/>
        </w:rPr>
      </w:pPr>
      <w:r>
        <w:rPr>
          <w:b/>
          <w:sz w:val="22"/>
        </w:rPr>
        <w:t>Специальная служба информации</w:t>
      </w:r>
      <w:r>
        <w:rPr>
          <w:sz w:val="22"/>
        </w:rPr>
        <w:t>: в ее состав входят бюро информации, документации, исследований и информатики.</w:t>
      </w:r>
    </w:p>
    <w:p w:rsidR="00000000" w:rsidRDefault="00000000">
      <w:pPr>
        <w:pStyle w:val="BodyTextIndent3"/>
        <w:tabs>
          <w:tab w:val="left" w:pos="680"/>
        </w:tabs>
        <w:spacing w:line="260" w:lineRule="exact"/>
        <w:ind w:left="0" w:firstLine="0"/>
      </w:pPr>
      <w:r>
        <w:t>139.</w:t>
      </w:r>
      <w:r>
        <w:tab/>
        <w:t>Организация важнейших мероприятий ИНАМУ по указанным стратегическим и сферам и направлениям позволяет этому ведомству выполнять стоящую перед ним в соответствии с законом задачу по разработке и проведению национальной политики в интересах гендерного равенства и равноправия. Данная политика разрабатывается и проводится различными государственными ведомствами при техническом содействии и сотрудничестве Института. Основное внимание в рамках данной стратегии было сосредоточено на установлении сотрудничества на всех уровнях организационной вертикали. Это предполагает создание новых и более эффективных структур и организационных объединений.</w:t>
      </w:r>
    </w:p>
    <w:p w:rsidR="00000000" w:rsidRDefault="00000000">
      <w:pPr>
        <w:tabs>
          <w:tab w:val="left" w:pos="680"/>
        </w:tabs>
        <w:spacing w:before="280" w:line="260" w:lineRule="exact"/>
        <w:jc w:val="both"/>
        <w:rPr>
          <w:sz w:val="22"/>
        </w:rPr>
      </w:pPr>
      <w:r>
        <w:rPr>
          <w:sz w:val="22"/>
        </w:rPr>
        <w:t>140.</w:t>
      </w:r>
      <w:r>
        <w:rPr>
          <w:sz w:val="22"/>
        </w:rPr>
        <w:tab/>
        <w:t>В своей деятельности за отчетный период ИНАМУ руководствовался пятью стратегиями (ИНАМУ, 2002 год), учитывающими обязательства, принятые Коста-Рикой в соответствии с Пекинской декларацией и Платформой действий четвертой Всемирной конференции по положению женщин:</w:t>
      </w:r>
    </w:p>
    <w:p w:rsidR="00000000" w:rsidRDefault="00000000">
      <w:pPr>
        <w:numPr>
          <w:ilvl w:val="0"/>
          <w:numId w:val="13"/>
        </w:numPr>
        <w:tabs>
          <w:tab w:val="clear" w:pos="720"/>
          <w:tab w:val="left" w:pos="340"/>
          <w:tab w:val="left" w:pos="680"/>
        </w:tabs>
        <w:spacing w:before="280" w:line="260" w:lineRule="exact"/>
        <w:ind w:left="340" w:hanging="340"/>
        <w:jc w:val="both"/>
        <w:rPr>
          <w:sz w:val="22"/>
        </w:rPr>
      </w:pPr>
      <w:r>
        <w:rPr>
          <w:b/>
          <w:sz w:val="22"/>
        </w:rPr>
        <w:t>Стратегия 1</w:t>
      </w:r>
      <w:r>
        <w:rPr>
          <w:sz w:val="22"/>
        </w:rPr>
        <w:t>. Поощрять разработку и применение национальной, отраслевой, ведомственной, региональной и местной (муниципальной) политики, направленной на достижение гендерного равенства и равноправия, а также механизмов, обеспечивающих их применение и участие женщин в принятии решений. В этих целях было предложено осуществление государством конкретных мер, направленных на обеспечение гендерного равенства и его применения, а также на повышение уровня участия женщин в жизни общества.</w:t>
      </w:r>
    </w:p>
    <w:p w:rsidR="00000000" w:rsidRDefault="00000000">
      <w:pPr>
        <w:numPr>
          <w:ilvl w:val="0"/>
          <w:numId w:val="13"/>
        </w:numPr>
        <w:tabs>
          <w:tab w:val="clear" w:pos="720"/>
          <w:tab w:val="left" w:pos="340"/>
          <w:tab w:val="left" w:pos="680"/>
        </w:tabs>
        <w:spacing w:before="280" w:line="260" w:lineRule="exact"/>
        <w:ind w:left="340" w:hanging="340"/>
        <w:jc w:val="both"/>
        <w:rPr>
          <w:sz w:val="22"/>
        </w:rPr>
      </w:pPr>
      <w:r>
        <w:rPr>
          <w:b/>
          <w:sz w:val="22"/>
        </w:rPr>
        <w:t>Стратегия 2</w:t>
      </w:r>
      <w:r>
        <w:rPr>
          <w:sz w:val="22"/>
        </w:rPr>
        <w:t>. Способствовать укреплению индивидуального и коллективного потенциала женщин в целях осуществления ими своих гражданских прав, получения доступа к экономическим, социальным, культурным и политическим ресурсам на национальном, региональном и местном (муниципальном) уровнях и на условиях равенства и равноправия с мужчинами, а также возможности распоряжаться этими ресурсами и контролировать их использование. В этом случае действия направлены на осуществление конкретных мер во всех областях с целью содействия развитию личности, формированию навыков лидерства и активному участию в жизни общества.</w:t>
      </w:r>
    </w:p>
    <w:p w:rsidR="00000000" w:rsidRDefault="00000000">
      <w:pPr>
        <w:numPr>
          <w:ilvl w:val="0"/>
          <w:numId w:val="13"/>
        </w:numPr>
        <w:tabs>
          <w:tab w:val="clear" w:pos="720"/>
          <w:tab w:val="left" w:pos="340"/>
          <w:tab w:val="left" w:pos="680"/>
        </w:tabs>
        <w:spacing w:before="280" w:line="260" w:lineRule="exact"/>
        <w:ind w:left="340" w:hanging="340"/>
        <w:jc w:val="both"/>
        <w:rPr>
          <w:sz w:val="22"/>
        </w:rPr>
      </w:pPr>
      <w:r>
        <w:rPr>
          <w:b/>
          <w:sz w:val="22"/>
        </w:rPr>
        <w:t>Стратегия 3</w:t>
      </w:r>
      <w:r>
        <w:rPr>
          <w:sz w:val="22"/>
        </w:rPr>
        <w:t>. Развивать, защищать и контролировать осуществление прав человека женщин. Посредством реализации конкретных мер эта политика нацелена на всемерное содействие женщинам в осуществлении ими своих прав человека в полном объеме.</w:t>
      </w:r>
    </w:p>
    <w:p w:rsidR="00000000" w:rsidRDefault="00000000">
      <w:pPr>
        <w:numPr>
          <w:ilvl w:val="0"/>
          <w:numId w:val="13"/>
        </w:numPr>
        <w:tabs>
          <w:tab w:val="clear" w:pos="720"/>
          <w:tab w:val="left" w:pos="340"/>
          <w:tab w:val="left" w:pos="680"/>
        </w:tabs>
        <w:spacing w:before="280" w:line="260" w:lineRule="exact"/>
        <w:ind w:left="340" w:hanging="340"/>
        <w:jc w:val="both"/>
        <w:rPr>
          <w:sz w:val="22"/>
        </w:rPr>
      </w:pPr>
      <w:r>
        <w:rPr>
          <w:b/>
          <w:sz w:val="22"/>
        </w:rPr>
        <w:t>Стратегия 4</w:t>
      </w:r>
      <w:r>
        <w:rPr>
          <w:sz w:val="22"/>
        </w:rPr>
        <w:t xml:space="preserve">. Развивать и распространять знания по гендерной проблематике, способствующие проведению необходимых реформ в учреждениях и обществе для достижения равенства и равноправия между женщинами и мужчинами. Осуществлению этой стратегии должна способствовать более активная работа по распространению информации. </w:t>
      </w:r>
    </w:p>
    <w:p w:rsidR="00000000" w:rsidRDefault="00000000">
      <w:pPr>
        <w:numPr>
          <w:ilvl w:val="0"/>
          <w:numId w:val="13"/>
        </w:numPr>
        <w:tabs>
          <w:tab w:val="clear" w:pos="720"/>
          <w:tab w:val="left" w:pos="340"/>
          <w:tab w:val="left" w:pos="680"/>
        </w:tabs>
        <w:spacing w:before="280" w:line="260" w:lineRule="exact"/>
        <w:ind w:left="340" w:hanging="340"/>
        <w:jc w:val="both"/>
        <w:rPr>
          <w:sz w:val="22"/>
        </w:rPr>
      </w:pPr>
      <w:r>
        <w:rPr>
          <w:b/>
          <w:sz w:val="22"/>
        </w:rPr>
        <w:t>Стратегия 5</w:t>
      </w:r>
      <w:r>
        <w:rPr>
          <w:sz w:val="22"/>
        </w:rPr>
        <w:t>. Развитие и укрепление ИНАМУ, что позволит Институту более эффективно использовать и укреплять свои людские, финансовые и материальные ресурсы для надлежащего и действенного выполнения своих планов и задач по достижению гендерного равенства и равноправия. Обеспечение ИНАМУ ресурсами и инфраструктурой позволит повысить эффективность его деятельности по достижению целей, направленных на преобразование институциональной культуры, что будет  способствовать упрочению демократии в стране.</w:t>
      </w:r>
    </w:p>
    <w:p w:rsidR="00000000" w:rsidRDefault="00000000">
      <w:pPr>
        <w:tabs>
          <w:tab w:val="left" w:pos="680"/>
        </w:tabs>
        <w:spacing w:before="240" w:line="260" w:lineRule="exact"/>
        <w:jc w:val="both"/>
        <w:rPr>
          <w:sz w:val="22"/>
        </w:rPr>
      </w:pPr>
      <w:r>
        <w:rPr>
          <w:sz w:val="22"/>
        </w:rPr>
        <w:t xml:space="preserve">141. </w:t>
      </w:r>
      <w:r>
        <w:rPr>
          <w:sz w:val="22"/>
        </w:rPr>
        <w:tab/>
        <w:t>Задача достижения гендерного равенства и равноправия требует участия всего общества, в том числе государственной администрации. В числе функций этого национального механизма – руководство государственными учреждениями, содействие их деятельности и консультирование в ходе выполнения ими своих задач. Координация, осуществляемая ИНАМУ на протяжении четырех лет, была направлена на развитие и претворение в жизнь комплексных и стратегических государственных задач в целях устранения несогласованности в предпринимаемых государством действиях. В этом плане усилия были сосредоточены на следующем::</w:t>
      </w:r>
    </w:p>
    <w:p w:rsidR="00000000" w:rsidRDefault="00000000">
      <w:pPr>
        <w:numPr>
          <w:ilvl w:val="0"/>
          <w:numId w:val="14"/>
        </w:numPr>
        <w:tabs>
          <w:tab w:val="clear" w:pos="720"/>
          <w:tab w:val="left" w:pos="340"/>
          <w:tab w:val="left" w:pos="680"/>
        </w:tabs>
        <w:spacing w:before="240" w:line="260" w:lineRule="exact"/>
        <w:ind w:left="340" w:hanging="340"/>
        <w:jc w:val="both"/>
        <w:rPr>
          <w:sz w:val="22"/>
        </w:rPr>
      </w:pPr>
      <w:r>
        <w:rPr>
          <w:sz w:val="22"/>
        </w:rPr>
        <w:t>определение национальной политики государства;</w:t>
      </w:r>
    </w:p>
    <w:p w:rsidR="00000000" w:rsidRDefault="00000000">
      <w:pPr>
        <w:numPr>
          <w:ilvl w:val="0"/>
          <w:numId w:val="14"/>
        </w:numPr>
        <w:tabs>
          <w:tab w:val="clear" w:pos="720"/>
          <w:tab w:val="left" w:pos="340"/>
          <w:tab w:val="left" w:pos="680"/>
        </w:tabs>
        <w:spacing w:before="240" w:line="260" w:lineRule="exact"/>
        <w:ind w:left="340" w:hanging="340"/>
        <w:jc w:val="both"/>
        <w:rPr>
          <w:sz w:val="22"/>
        </w:rPr>
      </w:pPr>
      <w:r>
        <w:rPr>
          <w:sz w:val="22"/>
        </w:rPr>
        <w:t>выработка государственной политики, направленной на изменение гендерных отношений;</w:t>
      </w:r>
    </w:p>
    <w:p w:rsidR="00000000" w:rsidRDefault="00000000">
      <w:pPr>
        <w:numPr>
          <w:ilvl w:val="0"/>
          <w:numId w:val="14"/>
        </w:numPr>
        <w:tabs>
          <w:tab w:val="clear" w:pos="720"/>
          <w:tab w:val="left" w:pos="340"/>
          <w:tab w:val="left" w:pos="680"/>
        </w:tabs>
        <w:spacing w:before="240" w:line="260" w:lineRule="exact"/>
        <w:ind w:left="340" w:hanging="340"/>
        <w:jc w:val="both"/>
        <w:rPr>
          <w:sz w:val="22"/>
        </w:rPr>
      </w:pPr>
      <w:r>
        <w:rPr>
          <w:sz w:val="22"/>
        </w:rPr>
        <w:t>определение мер, которые необходимо принять на национальном уровне в целях удовлетворения разноплановых потребностей и интересов женщин;</w:t>
      </w:r>
    </w:p>
    <w:p w:rsidR="00000000" w:rsidRDefault="00000000">
      <w:pPr>
        <w:numPr>
          <w:ilvl w:val="0"/>
          <w:numId w:val="14"/>
        </w:numPr>
        <w:tabs>
          <w:tab w:val="clear" w:pos="720"/>
          <w:tab w:val="left" w:pos="340"/>
          <w:tab w:val="left" w:pos="680"/>
        </w:tabs>
        <w:spacing w:before="240" w:line="260" w:lineRule="exact"/>
        <w:ind w:left="340" w:hanging="340"/>
        <w:jc w:val="both"/>
        <w:rPr>
          <w:sz w:val="22"/>
        </w:rPr>
      </w:pPr>
      <w:r>
        <w:rPr>
          <w:sz w:val="22"/>
        </w:rPr>
        <w:t>выработка стратегий, содействующих объединению усилий различных политических сил, организаций гражданского общества, женского движения и правительственных учреждений.</w:t>
      </w:r>
    </w:p>
    <w:p w:rsidR="00000000" w:rsidRDefault="00000000">
      <w:pPr>
        <w:tabs>
          <w:tab w:val="left" w:pos="340"/>
          <w:tab w:val="left" w:pos="680"/>
        </w:tabs>
        <w:spacing w:line="260" w:lineRule="exact"/>
        <w:jc w:val="both"/>
        <w:rPr>
          <w:sz w:val="22"/>
        </w:rPr>
      </w:pPr>
    </w:p>
    <w:p w:rsidR="00000000" w:rsidRDefault="00000000">
      <w:pPr>
        <w:pStyle w:val="Heading2"/>
        <w:tabs>
          <w:tab w:val="left" w:pos="680"/>
        </w:tabs>
        <w:spacing w:before="240" w:line="260" w:lineRule="exact"/>
        <w:jc w:val="left"/>
        <w:rPr>
          <w:smallCaps w:val="0"/>
          <w:sz w:val="22"/>
        </w:rPr>
      </w:pPr>
      <w:r>
        <w:rPr>
          <w:smallCaps w:val="0"/>
          <w:sz w:val="22"/>
        </w:rPr>
        <w:t>Стратегии, осуществляемые на национальном уровне</w:t>
      </w:r>
    </w:p>
    <w:p w:rsidR="00000000" w:rsidRDefault="00000000">
      <w:pPr>
        <w:pStyle w:val="BodyTextIndent3"/>
        <w:tabs>
          <w:tab w:val="left" w:pos="680"/>
        </w:tabs>
        <w:spacing w:line="260" w:lineRule="exact"/>
        <w:ind w:left="0" w:firstLine="0"/>
      </w:pPr>
      <w:r>
        <w:t>142.</w:t>
      </w:r>
      <w:r>
        <w:tab/>
        <w:t>В Пекинской платформе действий говорится, что вызывает озабоченность отсутствие надлежащих механизмов на всех уровнях для улучшения положения женщин. Коста-Рика за отчетный период приняла определенные меры для реализации трех рекомендаций. Эти рекомендации касаются необходимости укрепления национального механизма улучшения положения женщин, проведения государственной политики в интересах гендерного равенства и создания институциональных механизмов, содействующих учету гендерных аспектов на всех институциональных и отраслевых уровнях.</w:t>
      </w:r>
    </w:p>
    <w:p w:rsidR="00000000" w:rsidRDefault="00000000">
      <w:pPr>
        <w:tabs>
          <w:tab w:val="left" w:pos="680"/>
        </w:tabs>
        <w:spacing w:before="240" w:line="260" w:lineRule="exact"/>
        <w:jc w:val="both"/>
        <w:rPr>
          <w:sz w:val="22"/>
        </w:rPr>
      </w:pPr>
      <w:r>
        <w:rPr>
          <w:sz w:val="22"/>
        </w:rPr>
        <w:t xml:space="preserve">143. </w:t>
      </w:r>
      <w:r>
        <w:rPr>
          <w:sz w:val="22"/>
        </w:rPr>
        <w:tab/>
        <w:t>Во исполнение одной из целей ИНАМУ совместно с государственными учреждениями и общественными организациями в отчетном периоде был сделан шаг вперед по пути разработки национальной политики в интересах гендерного равенства и равноправия. В феврале 2000 года был подписан правительственный декрет № 28284 о разработке отраслевых планов действий в интересах гендерного равенства и равноправия, которые призваны содействовать учету гендерных аспектов во всей деятельности государственных учреждений. Эта действенная стратегия должна осуществляться по двум направлениям:</w:t>
      </w:r>
    </w:p>
    <w:p w:rsidR="00000000" w:rsidRDefault="00000000">
      <w:pPr>
        <w:numPr>
          <w:ilvl w:val="0"/>
          <w:numId w:val="15"/>
        </w:numPr>
        <w:tabs>
          <w:tab w:val="clear" w:pos="720"/>
          <w:tab w:val="left" w:pos="340"/>
          <w:tab w:val="left" w:pos="680"/>
        </w:tabs>
        <w:spacing w:before="240" w:line="260" w:lineRule="exact"/>
        <w:ind w:left="340" w:hanging="340"/>
        <w:jc w:val="both"/>
        <w:rPr>
          <w:sz w:val="22"/>
        </w:rPr>
      </w:pPr>
      <w:r>
        <w:rPr>
          <w:sz w:val="22"/>
        </w:rPr>
        <w:t>поощрение действий как на национальном, так и на региональном и местном уровнях в целях обеспечения децентрализации;</w:t>
      </w:r>
    </w:p>
    <w:p w:rsidR="00000000" w:rsidRDefault="00000000">
      <w:pPr>
        <w:numPr>
          <w:ilvl w:val="0"/>
          <w:numId w:val="15"/>
        </w:numPr>
        <w:tabs>
          <w:tab w:val="clear" w:pos="720"/>
          <w:tab w:val="left" w:pos="340"/>
          <w:tab w:val="left" w:pos="680"/>
        </w:tabs>
        <w:spacing w:before="240" w:line="260" w:lineRule="exact"/>
        <w:ind w:left="340" w:hanging="340"/>
        <w:jc w:val="both"/>
        <w:rPr>
          <w:sz w:val="22"/>
        </w:rPr>
      </w:pPr>
      <w:r>
        <w:rPr>
          <w:sz w:val="22"/>
        </w:rPr>
        <w:t>работа с учреждениями по внедрению гендерных аспектов в их деятельность и институциональную культуру; одновременно поставлена задача добиться того, чтобы женщины активно участвовали в проведения государственной политики в интересах гендерного равенства и равноправия как составной части осуществления их гражданских прав.</w:t>
      </w:r>
    </w:p>
    <w:p w:rsidR="00000000" w:rsidRDefault="00000000">
      <w:pPr>
        <w:tabs>
          <w:tab w:val="left" w:pos="680"/>
        </w:tabs>
        <w:spacing w:before="240" w:line="260" w:lineRule="exact"/>
        <w:jc w:val="both"/>
        <w:rPr>
          <w:sz w:val="22"/>
        </w:rPr>
      </w:pPr>
      <w:r>
        <w:rPr>
          <w:sz w:val="22"/>
        </w:rPr>
        <w:t xml:space="preserve">144. </w:t>
      </w:r>
      <w:r>
        <w:rPr>
          <w:sz w:val="22"/>
        </w:rPr>
        <w:tab/>
        <w:t>Составной частью усилий по выполнению стратегий на национальном уровне стало подписание ИНАМУ соглашений о сотрудничестве с министерствами и негосударственными учреждениями, участвующими в осуществлении проводимых администрацией Родригеса реформ. В некоторых случаях такие соглашения носят отраслевой характер, поскольку заключаются с ведущим ведомством и группой учреждений, которые работают в соответствии с разработанной ведущим ведомством политикой. К такого рода договоренностям относятся соглашения, подписанные с Министерством сельского хозяйства и животноводства, Министерством культуры, молодежи и спорта и с Министерством здравоохранения. Институциональный характер имеют соглашения, подписанные с Министерством народного образования, Министерством труда и социального обеспечения, Национальным банком Коста-Рики и Фондом социального обеспечения Коста-Рики, Институтом муниципального развития и консультирования и с Национальным производственным советом.</w:t>
      </w:r>
    </w:p>
    <w:p w:rsidR="00000000" w:rsidRDefault="00000000">
      <w:pPr>
        <w:tabs>
          <w:tab w:val="left" w:pos="680"/>
        </w:tabs>
        <w:spacing w:before="240" w:line="260" w:lineRule="exact"/>
        <w:jc w:val="both"/>
        <w:rPr>
          <w:sz w:val="22"/>
        </w:rPr>
      </w:pPr>
      <w:r>
        <w:rPr>
          <w:sz w:val="22"/>
        </w:rPr>
        <w:t xml:space="preserve">145. </w:t>
      </w:r>
      <w:r>
        <w:rPr>
          <w:sz w:val="22"/>
        </w:rPr>
        <w:tab/>
        <w:t>Учет гендерных аспектов в деятельности различных учреждений осуществляется с помощью следующих четырех механизмов:</w:t>
      </w:r>
    </w:p>
    <w:p w:rsidR="00000000" w:rsidRDefault="00000000">
      <w:pPr>
        <w:numPr>
          <w:ilvl w:val="0"/>
          <w:numId w:val="16"/>
        </w:numPr>
        <w:tabs>
          <w:tab w:val="clear" w:pos="720"/>
          <w:tab w:val="left" w:pos="340"/>
          <w:tab w:val="left" w:pos="680"/>
        </w:tabs>
        <w:spacing w:before="200" w:line="260" w:lineRule="exact"/>
        <w:ind w:left="340" w:hanging="340"/>
        <w:jc w:val="both"/>
        <w:rPr>
          <w:sz w:val="22"/>
        </w:rPr>
      </w:pPr>
      <w:r>
        <w:rPr>
          <w:sz w:val="22"/>
        </w:rPr>
        <w:t>создание комиссий высокого уровня для развития институциональных реформ;</w:t>
      </w:r>
    </w:p>
    <w:p w:rsidR="00000000" w:rsidRDefault="00000000">
      <w:pPr>
        <w:numPr>
          <w:ilvl w:val="0"/>
          <w:numId w:val="16"/>
        </w:numPr>
        <w:tabs>
          <w:tab w:val="clear" w:pos="720"/>
          <w:tab w:val="left" w:pos="340"/>
          <w:tab w:val="left" w:pos="680"/>
        </w:tabs>
        <w:spacing w:before="200" w:line="260" w:lineRule="exact"/>
        <w:ind w:left="340" w:hanging="340"/>
        <w:jc w:val="both"/>
        <w:rPr>
          <w:sz w:val="22"/>
        </w:rPr>
      </w:pPr>
      <w:r>
        <w:rPr>
          <w:sz w:val="22"/>
        </w:rPr>
        <w:t>разработка и осуществление планов действий в интересах гендерного равенства;</w:t>
      </w:r>
    </w:p>
    <w:p w:rsidR="00000000" w:rsidRDefault="00000000">
      <w:pPr>
        <w:numPr>
          <w:ilvl w:val="0"/>
          <w:numId w:val="16"/>
        </w:numPr>
        <w:tabs>
          <w:tab w:val="clear" w:pos="720"/>
          <w:tab w:val="left" w:pos="340"/>
          <w:tab w:val="left" w:pos="680"/>
        </w:tabs>
        <w:spacing w:before="200" w:line="260" w:lineRule="exact"/>
        <w:ind w:left="340" w:hanging="340"/>
        <w:jc w:val="both"/>
        <w:rPr>
          <w:sz w:val="22"/>
        </w:rPr>
      </w:pPr>
      <w:r>
        <w:rPr>
          <w:sz w:val="22"/>
        </w:rPr>
        <w:t>создание бюро или подразделений по достижению гендерного равенства в качестве инстанций, содействующих институциональным реформам; и</w:t>
      </w:r>
    </w:p>
    <w:p w:rsidR="00000000" w:rsidRDefault="00000000">
      <w:pPr>
        <w:numPr>
          <w:ilvl w:val="0"/>
          <w:numId w:val="16"/>
        </w:numPr>
        <w:tabs>
          <w:tab w:val="clear" w:pos="720"/>
          <w:tab w:val="left" w:pos="340"/>
          <w:tab w:val="left" w:pos="680"/>
        </w:tabs>
        <w:spacing w:before="200" w:line="260" w:lineRule="exact"/>
        <w:ind w:left="340" w:hanging="340"/>
        <w:jc w:val="both"/>
        <w:rPr>
          <w:sz w:val="22"/>
        </w:rPr>
      </w:pPr>
      <w:r>
        <w:rPr>
          <w:sz w:val="22"/>
        </w:rPr>
        <w:t>включение мероприятий, предусмотренных планами действий данных подразделений, в ежегодные оперативные планы каждого учреждения и в их бюджеты.</w:t>
      </w:r>
    </w:p>
    <w:p w:rsidR="00000000" w:rsidRDefault="00000000">
      <w:pPr>
        <w:tabs>
          <w:tab w:val="left" w:pos="680"/>
        </w:tabs>
        <w:spacing w:before="240" w:line="260" w:lineRule="exact"/>
        <w:jc w:val="both"/>
        <w:rPr>
          <w:sz w:val="22"/>
        </w:rPr>
      </w:pPr>
      <w:r>
        <w:rPr>
          <w:sz w:val="22"/>
        </w:rPr>
        <w:t>146.</w:t>
      </w:r>
      <w:r>
        <w:rPr>
          <w:sz w:val="22"/>
        </w:rPr>
        <w:tab/>
        <w:t xml:space="preserve">В </w:t>
      </w:r>
      <w:r>
        <w:rPr>
          <w:b/>
          <w:sz w:val="22"/>
        </w:rPr>
        <w:t>секторе образования</w:t>
      </w:r>
      <w:r>
        <w:rPr>
          <w:sz w:val="22"/>
        </w:rPr>
        <w:t xml:space="preserve"> был разработан План действий, который включает 21 стратегическое мероприятие, направленные на повышение качества услуг и улучшение внутренних трудовых отношений. Эти мероприятия были включены в программную и бюджетную части каждого подразделения, ответственного за их выполнение. Были достигнуты следующие результаты:</w:t>
      </w:r>
    </w:p>
    <w:p w:rsidR="00000000" w:rsidRDefault="00000000">
      <w:pPr>
        <w:numPr>
          <w:ilvl w:val="0"/>
          <w:numId w:val="17"/>
        </w:numPr>
        <w:tabs>
          <w:tab w:val="clear" w:pos="720"/>
          <w:tab w:val="left" w:pos="340"/>
          <w:tab w:val="left" w:pos="680"/>
        </w:tabs>
        <w:spacing w:before="200" w:line="260" w:lineRule="exact"/>
        <w:ind w:left="340" w:hanging="340"/>
        <w:jc w:val="both"/>
        <w:rPr>
          <w:sz w:val="22"/>
        </w:rPr>
      </w:pPr>
      <w:r>
        <w:rPr>
          <w:sz w:val="22"/>
        </w:rPr>
        <w:t>разработка 50 программ, учитывающих гендерные аспекты, по основным предметам, которым обучают в начальной и средней школе;</w:t>
      </w:r>
    </w:p>
    <w:p w:rsidR="00000000" w:rsidRDefault="00000000">
      <w:pPr>
        <w:numPr>
          <w:ilvl w:val="0"/>
          <w:numId w:val="17"/>
        </w:numPr>
        <w:tabs>
          <w:tab w:val="clear" w:pos="720"/>
          <w:tab w:val="left" w:pos="340"/>
          <w:tab w:val="left" w:pos="680"/>
        </w:tabs>
        <w:spacing w:before="200" w:line="260" w:lineRule="exact"/>
        <w:ind w:left="340" w:hanging="340"/>
        <w:jc w:val="both"/>
        <w:rPr>
          <w:sz w:val="22"/>
        </w:rPr>
      </w:pPr>
      <w:r>
        <w:rPr>
          <w:sz w:val="22"/>
        </w:rPr>
        <w:t>применение показателей гендерного равенства, предложенных ЭКЛА для измерения и оценки качества образования;</w:t>
      </w:r>
    </w:p>
    <w:p w:rsidR="00000000" w:rsidRDefault="00000000">
      <w:pPr>
        <w:numPr>
          <w:ilvl w:val="0"/>
          <w:numId w:val="17"/>
        </w:numPr>
        <w:tabs>
          <w:tab w:val="clear" w:pos="720"/>
          <w:tab w:val="left" w:pos="340"/>
          <w:tab w:val="left" w:pos="680"/>
        </w:tabs>
        <w:spacing w:before="200" w:line="260" w:lineRule="exact"/>
        <w:ind w:left="340" w:hanging="340"/>
        <w:jc w:val="both"/>
        <w:rPr>
          <w:sz w:val="22"/>
        </w:rPr>
      </w:pPr>
      <w:r>
        <w:rPr>
          <w:sz w:val="22"/>
        </w:rPr>
        <w:t>содействие вовлечению живущих в бедности женщин и несовершеннолетних матерей в систему формального образования с помощью освобождения их от платы за обучение и от представления академической справки;</w:t>
      </w:r>
    </w:p>
    <w:p w:rsidR="00000000" w:rsidRDefault="00000000">
      <w:pPr>
        <w:numPr>
          <w:ilvl w:val="0"/>
          <w:numId w:val="17"/>
        </w:numPr>
        <w:tabs>
          <w:tab w:val="clear" w:pos="720"/>
          <w:tab w:val="left" w:pos="340"/>
          <w:tab w:val="left" w:pos="680"/>
        </w:tabs>
        <w:spacing w:before="200" w:line="260" w:lineRule="exact"/>
        <w:ind w:left="340" w:hanging="340"/>
        <w:jc w:val="both"/>
        <w:rPr>
          <w:sz w:val="22"/>
        </w:rPr>
      </w:pPr>
      <w:r>
        <w:rPr>
          <w:sz w:val="22"/>
        </w:rPr>
        <w:t>проведение информационных кампаний и профессиональной подготовки для преподавателей в целях эффективного применения Закона о борьбе с сексуальным домогательством, предупреждения насилия в семье и активного привлечения женщин к обучению по конкурентоспособным техническим специальностям;</w:t>
      </w:r>
    </w:p>
    <w:p w:rsidR="00000000" w:rsidRDefault="00000000">
      <w:pPr>
        <w:numPr>
          <w:ilvl w:val="0"/>
          <w:numId w:val="17"/>
        </w:numPr>
        <w:tabs>
          <w:tab w:val="clear" w:pos="720"/>
          <w:tab w:val="left" w:pos="340"/>
          <w:tab w:val="left" w:pos="680"/>
        </w:tabs>
        <w:spacing w:before="200" w:line="260" w:lineRule="exact"/>
        <w:ind w:left="340" w:hanging="340"/>
        <w:jc w:val="both"/>
        <w:rPr>
          <w:sz w:val="22"/>
        </w:rPr>
      </w:pPr>
      <w:r>
        <w:rPr>
          <w:sz w:val="22"/>
        </w:rPr>
        <w:t>разработка с привлечением представителей различных социальных групп, таких как преподаватели, учащиеся и родители, модели предупреждения насилия в учебных заведениях в провинциях Лимон, Сан-Рамон, Картаго и Сан-Хосе;</w:t>
      </w:r>
    </w:p>
    <w:p w:rsidR="00000000" w:rsidRDefault="00000000">
      <w:pPr>
        <w:numPr>
          <w:ilvl w:val="0"/>
          <w:numId w:val="17"/>
        </w:numPr>
        <w:tabs>
          <w:tab w:val="clear" w:pos="720"/>
          <w:tab w:val="left" w:pos="340"/>
          <w:tab w:val="left" w:pos="680"/>
        </w:tabs>
        <w:spacing w:before="240" w:line="260" w:lineRule="exact"/>
        <w:ind w:left="340" w:hanging="340"/>
        <w:jc w:val="both"/>
        <w:rPr>
          <w:sz w:val="22"/>
        </w:rPr>
      </w:pPr>
      <w:r>
        <w:rPr>
          <w:sz w:val="22"/>
        </w:rPr>
        <w:t>разработка национальной политики сексуального воспитания и предложения по изменению учебных планов в рамках всей системы образования.</w:t>
      </w:r>
    </w:p>
    <w:p w:rsidR="00000000" w:rsidRDefault="00000000">
      <w:pPr>
        <w:tabs>
          <w:tab w:val="left" w:pos="680"/>
        </w:tabs>
        <w:spacing w:before="240" w:line="260" w:lineRule="exact"/>
        <w:jc w:val="both"/>
        <w:rPr>
          <w:sz w:val="22"/>
        </w:rPr>
      </w:pPr>
      <w:r>
        <w:rPr>
          <w:sz w:val="22"/>
        </w:rPr>
        <w:t>147.</w:t>
      </w:r>
      <w:r>
        <w:rPr>
          <w:sz w:val="22"/>
        </w:rPr>
        <w:tab/>
        <w:t xml:space="preserve">В </w:t>
      </w:r>
      <w:r>
        <w:rPr>
          <w:b/>
          <w:sz w:val="22"/>
        </w:rPr>
        <w:t>секторе труда и социального обеспечения</w:t>
      </w:r>
      <w:r>
        <w:rPr>
          <w:sz w:val="22"/>
        </w:rPr>
        <w:t xml:space="preserve"> в декабре 2000 года был одобрен План действий и посредством правительственного декрета в Министерстве было создано подразделение гендерной политики. Были достигнуты значительные успехи в следующих четырех областях:</w:t>
      </w:r>
    </w:p>
    <w:p w:rsidR="00000000" w:rsidRDefault="00000000">
      <w:pPr>
        <w:numPr>
          <w:ilvl w:val="0"/>
          <w:numId w:val="18"/>
        </w:numPr>
        <w:tabs>
          <w:tab w:val="clear" w:pos="720"/>
          <w:tab w:val="left" w:pos="340"/>
          <w:tab w:val="left" w:pos="680"/>
        </w:tabs>
        <w:spacing w:before="240" w:line="260" w:lineRule="exact"/>
        <w:ind w:left="340" w:hanging="340"/>
        <w:jc w:val="both"/>
        <w:rPr>
          <w:sz w:val="22"/>
        </w:rPr>
      </w:pPr>
      <w:r>
        <w:rPr>
          <w:sz w:val="22"/>
        </w:rPr>
        <w:t>При поддержке ИНАМУ и Международной организации труда, а также при финансовой помощи Департамента труда Соединенных Штатов 84 женщины – лидеры женского движения прошли профессиональную подготовку по важнейшим вопросам, касающимся прав женщин в сфере труда.</w:t>
      </w:r>
    </w:p>
    <w:p w:rsidR="00000000" w:rsidRDefault="00000000">
      <w:pPr>
        <w:numPr>
          <w:ilvl w:val="0"/>
          <w:numId w:val="18"/>
        </w:numPr>
        <w:tabs>
          <w:tab w:val="clear" w:pos="720"/>
          <w:tab w:val="left" w:pos="340"/>
          <w:tab w:val="left" w:pos="680"/>
        </w:tabs>
        <w:spacing w:before="240" w:line="260" w:lineRule="exact"/>
        <w:ind w:left="340" w:hanging="340"/>
        <w:jc w:val="both"/>
        <w:rPr>
          <w:sz w:val="22"/>
        </w:rPr>
      </w:pPr>
      <w:r>
        <w:rPr>
          <w:sz w:val="22"/>
        </w:rPr>
        <w:t>Кроме того, в средствах массовой информации проводилась кампания в защиту прав трудящихся-женщин, а также была открыта телефонная "горячая линия" "800 – Министерство труда", по которой женщины могли сообщать о нарушении своих прав или получить консультацию в Министерстве труда.</w:t>
      </w:r>
    </w:p>
    <w:p w:rsidR="00000000" w:rsidRDefault="00000000">
      <w:pPr>
        <w:numPr>
          <w:ilvl w:val="0"/>
          <w:numId w:val="18"/>
        </w:numPr>
        <w:tabs>
          <w:tab w:val="clear" w:pos="720"/>
          <w:tab w:val="left" w:pos="340"/>
          <w:tab w:val="left" w:pos="680"/>
        </w:tabs>
        <w:spacing w:before="240" w:line="260" w:lineRule="exact"/>
        <w:ind w:left="340" w:hanging="340"/>
        <w:jc w:val="both"/>
        <w:rPr>
          <w:sz w:val="22"/>
        </w:rPr>
      </w:pPr>
      <w:r>
        <w:rPr>
          <w:sz w:val="22"/>
        </w:rPr>
        <w:t>Проведенное Министерством труда исследование позволило оценить работу женщин по дому. Оказалось, что ее стоимость составляет 17 процентов ВВП, в то время как домашний труд мужчин едва достигает 1,2 процента. Опираясь на данное исследование, ИНАМУ создал межведомственную комиссию по содействию проведению опроса, касающегося распределения времени и разработки вспомогательных показателей для учета вклада женщин в развитие страны.</w:t>
      </w:r>
    </w:p>
    <w:p w:rsidR="00000000" w:rsidRDefault="00000000">
      <w:pPr>
        <w:numPr>
          <w:ilvl w:val="0"/>
          <w:numId w:val="18"/>
        </w:numPr>
        <w:tabs>
          <w:tab w:val="clear" w:pos="720"/>
          <w:tab w:val="left" w:pos="340"/>
          <w:tab w:val="left" w:pos="680"/>
        </w:tabs>
        <w:spacing w:before="240" w:line="260" w:lineRule="exact"/>
        <w:ind w:left="340" w:hanging="340"/>
        <w:jc w:val="both"/>
        <w:rPr>
          <w:spacing w:val="-4"/>
          <w:sz w:val="22"/>
        </w:rPr>
      </w:pPr>
      <w:r>
        <w:rPr>
          <w:spacing w:val="-4"/>
          <w:sz w:val="22"/>
        </w:rPr>
        <w:t>Были определены направления государственной политики в области труда и занятости с учетом гендерных аспектов путем консультаций по указанным вопросам, которые были проведены Министерством труда и социального обеспечения и ИНАМУ в 1999–2000 годах.</w:t>
      </w:r>
    </w:p>
    <w:p w:rsidR="00000000" w:rsidRDefault="00000000">
      <w:pPr>
        <w:numPr>
          <w:ilvl w:val="0"/>
          <w:numId w:val="18"/>
        </w:numPr>
        <w:tabs>
          <w:tab w:val="clear" w:pos="720"/>
          <w:tab w:val="left" w:pos="340"/>
          <w:tab w:val="left" w:pos="680"/>
        </w:tabs>
        <w:spacing w:before="240" w:line="260" w:lineRule="exact"/>
        <w:ind w:left="0" w:firstLine="0"/>
        <w:jc w:val="both"/>
        <w:rPr>
          <w:sz w:val="22"/>
        </w:rPr>
      </w:pPr>
      <w:r>
        <w:rPr>
          <w:sz w:val="22"/>
        </w:rPr>
        <w:t>Было проверено 399 производственных женских групп, ныне работающих в стране.</w:t>
      </w:r>
    </w:p>
    <w:p w:rsidR="00000000" w:rsidRDefault="00000000">
      <w:pPr>
        <w:tabs>
          <w:tab w:val="left" w:pos="680"/>
        </w:tabs>
        <w:spacing w:before="240" w:line="260" w:lineRule="exact"/>
        <w:jc w:val="both"/>
        <w:rPr>
          <w:sz w:val="22"/>
        </w:rPr>
      </w:pPr>
      <w:r>
        <w:rPr>
          <w:sz w:val="22"/>
        </w:rPr>
        <w:t>148.</w:t>
      </w:r>
      <w:r>
        <w:rPr>
          <w:sz w:val="22"/>
        </w:rPr>
        <w:tab/>
        <w:t xml:space="preserve">В </w:t>
      </w:r>
      <w:r>
        <w:rPr>
          <w:b/>
          <w:sz w:val="22"/>
        </w:rPr>
        <w:t>секторе здравоохранения</w:t>
      </w:r>
      <w:r>
        <w:rPr>
          <w:sz w:val="22"/>
        </w:rPr>
        <w:t xml:space="preserve"> была проделана наиболее сложная работа, так как действия были направлены на преобразование модели оказания медицинской помощи в Женской больнице. В новой модели, учитывающей различия между мужчинами и женщинами, одновременно предусматривается развитие сети услуг и содействие активному участию женщин в этом процессе. Эта деятельность получила поддержку Министерства здравоохранения Канады, которое оказало техническое содействие, и Панамериканской организации здравоохранения (ПАОЗ), которая обеспечила его финансирование. Одновременно и в качестве составной части осуществления политики гендерного равенства во все звенья системы Фонд социального обеспечения Коста-Рики разработал Программу комплексной помощи в случаях насилия в семье, ответственность за выполнение которой возложена на Департамент профилактической медицины в составе Медицинского управления услуг здравоохранения. В результате проведенных мероприятий защита от насилия в семье была включена в постоянную программу оказания медицинской помощи и предоставления базовых медицинских услуг. Благодаря этому на все учреждения системы здравоохранения была возложена обязанность осуществлять подготовку специалистов для оказания помощи в случаях насилия в семье.</w:t>
      </w:r>
    </w:p>
    <w:p w:rsidR="00000000" w:rsidRDefault="00000000">
      <w:pPr>
        <w:tabs>
          <w:tab w:val="left" w:pos="680"/>
        </w:tabs>
        <w:spacing w:before="240" w:line="260" w:lineRule="exact"/>
        <w:jc w:val="both"/>
        <w:rPr>
          <w:sz w:val="22"/>
        </w:rPr>
      </w:pPr>
      <w:r>
        <w:rPr>
          <w:sz w:val="22"/>
        </w:rPr>
        <w:t>149.</w:t>
      </w:r>
      <w:r>
        <w:rPr>
          <w:sz w:val="22"/>
        </w:rPr>
        <w:tab/>
      </w:r>
      <w:r>
        <w:rPr>
          <w:b/>
          <w:sz w:val="22"/>
        </w:rPr>
        <w:t>Сельскохозяйственный</w:t>
      </w:r>
      <w:r>
        <w:rPr>
          <w:sz w:val="22"/>
        </w:rPr>
        <w:t xml:space="preserve"> сектор приступил к осуществлению Плана действий в интересах гендерного равенства при поддержке и содействии отделов по гендерным вопросам при учреждениях данной отрасли. Следует отметить, что были подписаны соглашения с 60 женскими группами, работающими в различных регионах страны.</w:t>
      </w:r>
    </w:p>
    <w:p w:rsidR="00000000" w:rsidRDefault="00000000">
      <w:pPr>
        <w:tabs>
          <w:tab w:val="left" w:pos="680"/>
        </w:tabs>
        <w:spacing w:before="240" w:line="260" w:lineRule="exact"/>
        <w:jc w:val="both"/>
        <w:rPr>
          <w:sz w:val="22"/>
        </w:rPr>
      </w:pPr>
      <w:r>
        <w:rPr>
          <w:sz w:val="22"/>
        </w:rPr>
        <w:t>150.</w:t>
      </w:r>
      <w:r>
        <w:rPr>
          <w:sz w:val="22"/>
        </w:rPr>
        <w:tab/>
      </w:r>
      <w:r>
        <w:rPr>
          <w:b/>
          <w:sz w:val="22"/>
        </w:rPr>
        <w:t>Женский форум</w:t>
      </w:r>
      <w:r>
        <w:rPr>
          <w:sz w:val="22"/>
        </w:rPr>
        <w:t>, созданный в соответствии с Законом № 7801, представляет собой консультативный орган, в состав которого входят общественные организации, работающие в интересах достижения гендерного равенства и равноправия. В задачи Форума входит представление в Совет правительства списка из трех кандидатур для избрания представительницы гражданского общества в Руководящий совет ИНАМУ. С самого начала своей работы Форум стал местом проведения дискуссий, мониторинга и выдвижения законопроектов в интересах женщин и по укреплению ИНАМУ. Кроме того, он стал местом проведения финансовой ревизии, так как именно на Форуме министр по делам женщин и исполнительный председатель ИНАМУ представляют свои ежегодные отчеты.</w:t>
      </w:r>
    </w:p>
    <w:p w:rsidR="00000000" w:rsidRDefault="00000000">
      <w:pPr>
        <w:tabs>
          <w:tab w:val="left" w:pos="680"/>
        </w:tabs>
        <w:spacing w:before="240" w:line="260" w:lineRule="exact"/>
        <w:jc w:val="both"/>
        <w:rPr>
          <w:sz w:val="22"/>
        </w:rPr>
      </w:pPr>
      <w:r>
        <w:rPr>
          <w:sz w:val="22"/>
        </w:rPr>
        <w:t xml:space="preserve">151. </w:t>
      </w:r>
      <w:r>
        <w:rPr>
          <w:sz w:val="22"/>
        </w:rPr>
        <w:tab/>
      </w:r>
      <w:r>
        <w:rPr>
          <w:b/>
          <w:sz w:val="22"/>
        </w:rPr>
        <w:t xml:space="preserve">Галерея женщин </w:t>
      </w:r>
      <w:r>
        <w:rPr>
          <w:sz w:val="22"/>
        </w:rPr>
        <w:t>была образована 21 декабря 1999 года в соответствии с Законом № 7954 с целью содействия развитию новых форм участия женщин в национальном развитии и признания их вклада в различных сферах человеческой деятельности. В марте 2002 года были назначены первые восемь женщин, вошедшие в Галерею.</w:t>
      </w:r>
    </w:p>
    <w:p w:rsidR="00000000" w:rsidRDefault="00000000">
      <w:pPr>
        <w:tabs>
          <w:tab w:val="left" w:pos="680"/>
        </w:tabs>
        <w:spacing w:line="260" w:lineRule="exact"/>
        <w:jc w:val="both"/>
        <w:rPr>
          <w:sz w:val="22"/>
        </w:rPr>
      </w:pPr>
    </w:p>
    <w:p w:rsidR="00000000" w:rsidRDefault="00000000">
      <w:pPr>
        <w:pStyle w:val="Heading2"/>
        <w:tabs>
          <w:tab w:val="left" w:pos="680"/>
        </w:tabs>
        <w:spacing w:before="240" w:line="260" w:lineRule="exact"/>
        <w:jc w:val="left"/>
        <w:rPr>
          <w:smallCaps w:val="0"/>
          <w:sz w:val="22"/>
        </w:rPr>
      </w:pPr>
      <w:r>
        <w:rPr>
          <w:smallCaps w:val="0"/>
          <w:sz w:val="22"/>
        </w:rPr>
        <w:t>Стратегии, осуществляемые на региональном и местном уровнях</w:t>
      </w:r>
    </w:p>
    <w:p w:rsidR="00000000" w:rsidRDefault="00000000">
      <w:pPr>
        <w:pStyle w:val="BodyTextIndent3"/>
        <w:tabs>
          <w:tab w:val="left" w:pos="680"/>
        </w:tabs>
        <w:spacing w:line="260" w:lineRule="exact"/>
        <w:ind w:left="0" w:firstLine="0"/>
      </w:pPr>
      <w:r>
        <w:t>152.</w:t>
      </w:r>
      <w:r>
        <w:tab/>
        <w:t>Работа на указанных уровнях была приоритетной для ИНАМУ; именно здесь претворялись в жизнь государственные стратегии по жизненно важным для женщин вопросам. За отчетный период были осуществлены следующие мероприятия:</w:t>
      </w:r>
    </w:p>
    <w:p w:rsidR="00000000" w:rsidRDefault="00000000">
      <w:pPr>
        <w:numPr>
          <w:ilvl w:val="0"/>
          <w:numId w:val="19"/>
        </w:numPr>
        <w:tabs>
          <w:tab w:val="clear" w:pos="720"/>
          <w:tab w:val="left" w:pos="340"/>
          <w:tab w:val="left" w:pos="680"/>
        </w:tabs>
        <w:spacing w:before="240" w:line="260" w:lineRule="exact"/>
        <w:ind w:left="340" w:hanging="340"/>
        <w:jc w:val="both"/>
        <w:rPr>
          <w:sz w:val="22"/>
        </w:rPr>
      </w:pPr>
      <w:r>
        <w:rPr>
          <w:sz w:val="22"/>
        </w:rPr>
        <w:t>Согласование действий с Институтом муниципального развития и консультирования (ИФАМ) в целях заключения соглашения о сотрудничестве по содействию выполнению Плана действий в интересах гендерного равенства и равноправия. Даже если эта стратегия осуществляется не на региональном или местном уровне, она направлена на создание институциональных условий для содействия местному развитию с учетом гендерных аспектов. Данная стратегия нацелена на изменение количества и качества услуг, оказываемых ИФАМ, которое должно привносить в деятельность муниципалитетов и местных органов власти всестороннее понимание положения женщин.</w:t>
      </w:r>
    </w:p>
    <w:p w:rsidR="00000000" w:rsidRDefault="00000000">
      <w:pPr>
        <w:numPr>
          <w:ilvl w:val="0"/>
          <w:numId w:val="19"/>
        </w:numPr>
        <w:tabs>
          <w:tab w:val="clear" w:pos="720"/>
          <w:tab w:val="left" w:pos="340"/>
          <w:tab w:val="left" w:pos="680"/>
        </w:tabs>
        <w:spacing w:before="240" w:line="260" w:lineRule="exact"/>
        <w:ind w:left="340" w:hanging="340"/>
        <w:jc w:val="both"/>
        <w:rPr>
          <w:sz w:val="22"/>
        </w:rPr>
      </w:pPr>
      <w:r>
        <w:rPr>
          <w:sz w:val="22"/>
        </w:rPr>
        <w:t>Муниципальные бюро по делам женщин (ОФИМ): существует 45 бюро, 41 из которых получили институциональный статус и представляют 50,6 процента от общего числа муниципалитетов в стране (81). ИНАМУ осуществлял техническое консультирование всех бюро для укрепления их потенциала, а также Национальной сети ОФИМ и межведомственных сетей в целях предупреждения насилия в отношении женщин. ОФИМ являются специализированными учреждениями и входят в состав муниципальных структур.</w:t>
      </w:r>
    </w:p>
    <w:p w:rsidR="00000000" w:rsidRDefault="00000000">
      <w:pPr>
        <w:numPr>
          <w:ilvl w:val="0"/>
          <w:numId w:val="19"/>
        </w:numPr>
        <w:tabs>
          <w:tab w:val="clear" w:pos="720"/>
          <w:tab w:val="left" w:pos="340"/>
          <w:tab w:val="left" w:pos="680"/>
        </w:tabs>
        <w:spacing w:before="240" w:line="260" w:lineRule="exact"/>
        <w:ind w:left="340" w:hanging="340"/>
        <w:jc w:val="both"/>
        <w:rPr>
          <w:sz w:val="22"/>
        </w:rPr>
      </w:pPr>
      <w:r>
        <w:rPr>
          <w:sz w:val="22"/>
        </w:rPr>
        <w:t>В качестве составной части своей стратегии на региональном и местном уровнях ИНАМУ осуществил планы по достижению гендерного равенства и равноправия в двух кантонах в целях закрепления опыта и его дальнейшего распространения в других кантонах страны. Эти процессы были направлены на разработку местных программ улучшения положения женщин при участии лидеров женского движения. Внедрение данной программы проводилось совместно с представителями местных, муниципальных и региональных государственных учреждений при участии Стола переговоров между представительницами групп Политической программы женского движения и на межотраслевых встречах по подписанию соглашений и договоренностей в целях выполнения местных планов действий по достижению гендерного равенства и равноправия. В обоих мероприятиях приняли участие 120 человек, 90 из которых – женщины, а остальные – служащие и государственные служащие.</w:t>
      </w:r>
    </w:p>
    <w:p w:rsidR="00000000" w:rsidRDefault="00000000">
      <w:pPr>
        <w:numPr>
          <w:ilvl w:val="0"/>
          <w:numId w:val="19"/>
        </w:numPr>
        <w:tabs>
          <w:tab w:val="clear" w:pos="720"/>
          <w:tab w:val="left" w:pos="340"/>
          <w:tab w:val="left" w:pos="680"/>
        </w:tabs>
        <w:spacing w:before="240" w:line="260" w:lineRule="exact"/>
        <w:ind w:left="340" w:hanging="340"/>
        <w:jc w:val="both"/>
        <w:rPr>
          <w:sz w:val="22"/>
        </w:rPr>
      </w:pPr>
      <w:r>
        <w:rPr>
          <w:sz w:val="22"/>
        </w:rPr>
        <w:t>В дополнение к работе на местах в различных регионах провинции Гуанакасте были проведены региональные Столы социального диалога и переговоров в интересах гендерного равенства.</w:t>
      </w:r>
    </w:p>
    <w:p w:rsidR="00000000" w:rsidRDefault="00000000">
      <w:pPr>
        <w:tabs>
          <w:tab w:val="left" w:pos="680"/>
        </w:tabs>
        <w:spacing w:line="260" w:lineRule="exact"/>
        <w:jc w:val="both"/>
        <w:rPr>
          <w:sz w:val="22"/>
        </w:rPr>
      </w:pPr>
    </w:p>
    <w:p w:rsidR="00000000" w:rsidRDefault="00000000">
      <w:pPr>
        <w:pStyle w:val="Heading2"/>
        <w:tabs>
          <w:tab w:val="left" w:pos="680"/>
        </w:tabs>
        <w:spacing w:before="240" w:line="260" w:lineRule="exact"/>
        <w:jc w:val="left"/>
        <w:rPr>
          <w:smallCaps w:val="0"/>
          <w:sz w:val="22"/>
        </w:rPr>
      </w:pPr>
      <w:r>
        <w:rPr>
          <w:smallCaps w:val="0"/>
          <w:sz w:val="22"/>
        </w:rPr>
        <w:t>Укрепление роли женщин</w:t>
      </w:r>
    </w:p>
    <w:p w:rsidR="00000000" w:rsidRDefault="00000000">
      <w:pPr>
        <w:pStyle w:val="BodyTextIndent3"/>
        <w:tabs>
          <w:tab w:val="left" w:pos="680"/>
        </w:tabs>
        <w:spacing w:line="260" w:lineRule="exact"/>
        <w:ind w:left="0" w:firstLine="0"/>
      </w:pPr>
      <w:r>
        <w:t>153.</w:t>
      </w:r>
      <w:r>
        <w:tab/>
        <w:t xml:space="preserve">ИНАМУ осуществлял различные мероприятия, а также постоянную координацию и мониторинг информационной деятельности и разработки законодательных предложений, направленных на расширение участия женщин в политической жизни страны и на обеспечение им доступа к принятию решений. Среди этих мероприятий: </w:t>
      </w:r>
    </w:p>
    <w:p w:rsidR="00000000" w:rsidRDefault="00000000">
      <w:pPr>
        <w:numPr>
          <w:ilvl w:val="0"/>
          <w:numId w:val="20"/>
        </w:numPr>
        <w:tabs>
          <w:tab w:val="clear" w:pos="720"/>
          <w:tab w:val="left" w:pos="340"/>
          <w:tab w:val="left" w:pos="680"/>
        </w:tabs>
        <w:spacing w:before="240" w:line="260" w:lineRule="exact"/>
        <w:ind w:left="340" w:hanging="340"/>
        <w:jc w:val="both"/>
        <w:rPr>
          <w:sz w:val="22"/>
        </w:rPr>
      </w:pPr>
      <w:r>
        <w:rPr>
          <w:sz w:val="22"/>
        </w:rPr>
        <w:t>законопроект о политических партиях и о внесении изменений в Органический закон о Народном банке, предусматривающий выделение квот для участия женщин в органах управления и в принятии решений;</w:t>
      </w:r>
    </w:p>
    <w:p w:rsidR="00000000" w:rsidRDefault="00000000">
      <w:pPr>
        <w:numPr>
          <w:ilvl w:val="0"/>
          <w:numId w:val="20"/>
        </w:numPr>
        <w:tabs>
          <w:tab w:val="clear" w:pos="720"/>
          <w:tab w:val="left" w:pos="340"/>
          <w:tab w:val="left" w:pos="680"/>
        </w:tabs>
        <w:spacing w:before="240" w:line="260" w:lineRule="exact"/>
        <w:ind w:left="340" w:hanging="340"/>
        <w:jc w:val="both"/>
        <w:rPr>
          <w:sz w:val="22"/>
        </w:rPr>
      </w:pPr>
      <w:r>
        <w:rPr>
          <w:sz w:val="22"/>
        </w:rPr>
        <w:t>личное участие министра по делам женщин в различных мероприятиях протеста против несоблюдения 40-процентной квоты участия женщин на ответственных должностях, что противоречит Конституции;</w:t>
      </w:r>
    </w:p>
    <w:p w:rsidR="00000000" w:rsidRDefault="00000000">
      <w:pPr>
        <w:numPr>
          <w:ilvl w:val="0"/>
          <w:numId w:val="20"/>
        </w:numPr>
        <w:tabs>
          <w:tab w:val="clear" w:pos="720"/>
          <w:tab w:val="left" w:pos="340"/>
          <w:tab w:val="left" w:pos="680"/>
        </w:tabs>
        <w:spacing w:before="240" w:line="260" w:lineRule="exact"/>
        <w:ind w:left="340" w:hanging="340"/>
        <w:jc w:val="both"/>
        <w:rPr>
          <w:sz w:val="22"/>
        </w:rPr>
      </w:pPr>
      <w:r>
        <w:rPr>
          <w:sz w:val="22"/>
        </w:rPr>
        <w:t>мониторинг со стороны ИНАМУ проекта реформы Избирательного кодекса и предложений о ее проведении, представленных в одну из комиссий Законодательного собрания, а также вынесение заключения во время консультаций;</w:t>
      </w:r>
    </w:p>
    <w:p w:rsidR="00000000" w:rsidRDefault="00000000">
      <w:pPr>
        <w:numPr>
          <w:ilvl w:val="0"/>
          <w:numId w:val="20"/>
        </w:numPr>
        <w:tabs>
          <w:tab w:val="clear" w:pos="720"/>
          <w:tab w:val="left" w:pos="340"/>
          <w:tab w:val="left" w:pos="680"/>
        </w:tabs>
        <w:spacing w:before="240" w:line="260" w:lineRule="exact"/>
        <w:ind w:left="340" w:hanging="340"/>
        <w:jc w:val="both"/>
        <w:rPr>
          <w:sz w:val="22"/>
        </w:rPr>
      </w:pPr>
      <w:r>
        <w:rPr>
          <w:sz w:val="22"/>
        </w:rPr>
        <w:t>многочисленные мероприятия по профессиональной подготовке и обучению лидеров женского движения.</w:t>
      </w:r>
    </w:p>
    <w:p w:rsidR="00000000" w:rsidRDefault="00000000">
      <w:pPr>
        <w:pStyle w:val="BodyTextIndent3"/>
        <w:tabs>
          <w:tab w:val="left" w:pos="680"/>
        </w:tabs>
        <w:spacing w:line="260" w:lineRule="exact"/>
        <w:ind w:left="0" w:firstLine="0"/>
      </w:pPr>
      <w:r>
        <w:t xml:space="preserve">154. </w:t>
      </w:r>
      <w:r>
        <w:tab/>
        <w:t xml:space="preserve">Основные мероприятия ИНАМУ в рамках Национальной системы оказания помощи в случаях насилия в семье и его предупреждения (ПЛАНОВИ) были направлены на укрепление данной системы, которая является одним из главных компонентов Национальной политики в интересах гендерного равенства и равноправия. Особое внимание было уделено: </w:t>
      </w:r>
    </w:p>
    <w:p w:rsidR="00000000" w:rsidRDefault="00000000">
      <w:pPr>
        <w:numPr>
          <w:ilvl w:val="0"/>
          <w:numId w:val="21"/>
        </w:numPr>
        <w:tabs>
          <w:tab w:val="clear" w:pos="780"/>
          <w:tab w:val="left" w:pos="340"/>
          <w:tab w:val="left" w:pos="680"/>
        </w:tabs>
        <w:spacing w:before="240" w:line="260" w:lineRule="exact"/>
        <w:ind w:left="340" w:hanging="340"/>
        <w:jc w:val="both"/>
        <w:rPr>
          <w:sz w:val="22"/>
        </w:rPr>
      </w:pPr>
      <w:r>
        <w:rPr>
          <w:sz w:val="22"/>
        </w:rPr>
        <w:t>"горячей линии" 911 как специализированной телефонной услуги по оказанию помощи в случаях насилия в семье;</w:t>
      </w:r>
    </w:p>
    <w:p w:rsidR="00000000" w:rsidRDefault="00000000">
      <w:pPr>
        <w:numPr>
          <w:ilvl w:val="0"/>
          <w:numId w:val="21"/>
        </w:numPr>
        <w:tabs>
          <w:tab w:val="clear" w:pos="780"/>
          <w:tab w:val="left" w:pos="340"/>
          <w:tab w:val="left" w:pos="680"/>
        </w:tabs>
        <w:spacing w:before="240" w:line="260" w:lineRule="exact"/>
        <w:ind w:left="340" w:hanging="340"/>
        <w:jc w:val="both"/>
        <w:rPr>
          <w:sz w:val="22"/>
        </w:rPr>
      </w:pPr>
      <w:r>
        <w:rPr>
          <w:sz w:val="22"/>
        </w:rPr>
        <w:t>правовой, психологической и социальной помощи жертвам в отделах по делам женщин;</w:t>
      </w:r>
    </w:p>
    <w:p w:rsidR="00000000" w:rsidRDefault="00000000">
      <w:pPr>
        <w:numPr>
          <w:ilvl w:val="0"/>
          <w:numId w:val="21"/>
        </w:numPr>
        <w:tabs>
          <w:tab w:val="clear" w:pos="780"/>
          <w:tab w:val="left" w:pos="340"/>
          <w:tab w:val="left" w:pos="680"/>
        </w:tabs>
        <w:spacing w:before="240" w:line="260" w:lineRule="exact"/>
        <w:ind w:left="340" w:hanging="340"/>
        <w:jc w:val="both"/>
        <w:rPr>
          <w:sz w:val="22"/>
        </w:rPr>
      </w:pPr>
      <w:r>
        <w:rPr>
          <w:sz w:val="22"/>
        </w:rPr>
        <w:t>оказанию помощи женщинам – жертвам насилия и их детям в трех приютах в провинциях Картаго, Лимон и Пунтаренас;</w:t>
      </w:r>
    </w:p>
    <w:p w:rsidR="00000000" w:rsidRDefault="00000000">
      <w:pPr>
        <w:numPr>
          <w:ilvl w:val="0"/>
          <w:numId w:val="21"/>
        </w:numPr>
        <w:tabs>
          <w:tab w:val="clear" w:pos="780"/>
          <w:tab w:val="left" w:pos="340"/>
          <w:tab w:val="left" w:pos="680"/>
        </w:tabs>
        <w:spacing w:before="240" w:line="260" w:lineRule="exact"/>
        <w:ind w:left="340" w:hanging="340"/>
        <w:jc w:val="both"/>
        <w:rPr>
          <w:sz w:val="22"/>
        </w:rPr>
      </w:pPr>
      <w:r>
        <w:rPr>
          <w:sz w:val="22"/>
        </w:rPr>
        <w:t>профессиональной подготовке в региональных сетях организаций по борьбе с насилием в семье и служащих государственных учреждений;</w:t>
      </w:r>
    </w:p>
    <w:p w:rsidR="00000000" w:rsidRDefault="00000000">
      <w:pPr>
        <w:numPr>
          <w:ilvl w:val="0"/>
          <w:numId w:val="21"/>
        </w:numPr>
        <w:tabs>
          <w:tab w:val="clear" w:pos="780"/>
          <w:tab w:val="left" w:pos="340"/>
          <w:tab w:val="left" w:pos="680"/>
        </w:tabs>
        <w:spacing w:before="240" w:line="260" w:lineRule="exact"/>
        <w:ind w:left="340" w:hanging="340"/>
        <w:jc w:val="both"/>
        <w:rPr>
          <w:sz w:val="22"/>
        </w:rPr>
      </w:pPr>
      <w:r>
        <w:rPr>
          <w:sz w:val="22"/>
        </w:rPr>
        <w:t>координации работы с Комиссией по борьбе с бытовым насилием при органах судебной власти в целях учреждения специализированных судов в Сан-Хосе, Эредии, Алахуэле и Картаго;</w:t>
      </w:r>
    </w:p>
    <w:p w:rsidR="00000000" w:rsidRDefault="00000000">
      <w:pPr>
        <w:numPr>
          <w:ilvl w:val="0"/>
          <w:numId w:val="21"/>
        </w:numPr>
        <w:tabs>
          <w:tab w:val="clear" w:pos="780"/>
          <w:tab w:val="left" w:pos="340"/>
          <w:tab w:val="left" w:pos="680"/>
        </w:tabs>
        <w:spacing w:before="240" w:line="260" w:lineRule="exact"/>
        <w:ind w:left="340" w:hanging="340"/>
        <w:jc w:val="both"/>
        <w:rPr>
          <w:sz w:val="22"/>
        </w:rPr>
      </w:pPr>
      <w:r>
        <w:rPr>
          <w:sz w:val="22"/>
        </w:rPr>
        <w:t>приданию в ноябре 2000 года официального статуса нормам помощи, действующим во всех больницах и клиниках Фонда социального обеспечения Коста-Рики.</w:t>
      </w:r>
    </w:p>
    <w:p w:rsidR="00000000" w:rsidRDefault="00000000">
      <w:pPr>
        <w:pStyle w:val="BodyTextIndent3"/>
        <w:tabs>
          <w:tab w:val="left" w:pos="680"/>
        </w:tabs>
        <w:spacing w:line="260" w:lineRule="exact"/>
        <w:ind w:left="0" w:firstLine="0"/>
      </w:pPr>
      <w:r>
        <w:t>155.</w:t>
      </w:r>
      <w:r>
        <w:tab/>
        <w:t>В области сексуального насилия ИНАМУ осуществлял действия по четырем направлениям: насилие и другие преступления на сексуальной почве, сексуальные домогательства, сексуальная эксплуатация и принуждение к проституции, а также освещение насилия в средствах массовой информации.</w:t>
      </w:r>
    </w:p>
    <w:p w:rsidR="00000000" w:rsidRDefault="00000000">
      <w:pPr>
        <w:tabs>
          <w:tab w:val="left" w:pos="680"/>
        </w:tabs>
        <w:spacing w:before="240" w:line="260" w:lineRule="exact"/>
        <w:jc w:val="both"/>
        <w:rPr>
          <w:sz w:val="22"/>
        </w:rPr>
      </w:pPr>
      <w:r>
        <w:rPr>
          <w:sz w:val="22"/>
        </w:rPr>
        <w:t>156.</w:t>
      </w:r>
      <w:r>
        <w:rPr>
          <w:sz w:val="22"/>
        </w:rPr>
        <w:tab/>
        <w:t>Кроме того, Институтом были реализованы три специальные программы: "Молодая любовь" – для учащихся и учителей начальных и средних школ; "Создаем возможности" – для несовершеннолетних беременных и матерей; "Растем вместе" – для женщин, живущих в бедности.</w:t>
      </w:r>
    </w:p>
    <w:p w:rsidR="00000000" w:rsidRDefault="00000000">
      <w:pPr>
        <w:tabs>
          <w:tab w:val="left" w:pos="680"/>
        </w:tabs>
        <w:spacing w:line="260" w:lineRule="exact"/>
        <w:jc w:val="both"/>
        <w:rPr>
          <w:sz w:val="22"/>
        </w:rPr>
      </w:pPr>
    </w:p>
    <w:p w:rsidR="00000000" w:rsidRDefault="00000000">
      <w:pPr>
        <w:pStyle w:val="Heading2"/>
        <w:tabs>
          <w:tab w:val="left" w:pos="680"/>
        </w:tabs>
        <w:spacing w:before="240" w:line="260" w:lineRule="exact"/>
        <w:jc w:val="left"/>
        <w:rPr>
          <w:smallCaps w:val="0"/>
          <w:sz w:val="22"/>
        </w:rPr>
      </w:pPr>
      <w:r>
        <w:rPr>
          <w:smallCaps w:val="0"/>
          <w:sz w:val="22"/>
        </w:rPr>
        <w:t>Финансирование национального механизма</w:t>
      </w:r>
    </w:p>
    <w:p w:rsidR="00000000" w:rsidRDefault="00000000">
      <w:pPr>
        <w:tabs>
          <w:tab w:val="left" w:pos="680"/>
        </w:tabs>
        <w:spacing w:before="240" w:line="260" w:lineRule="exact"/>
        <w:jc w:val="both"/>
        <w:rPr>
          <w:spacing w:val="-4"/>
          <w:sz w:val="22"/>
        </w:rPr>
      </w:pPr>
      <w:r>
        <w:rPr>
          <w:sz w:val="22"/>
        </w:rPr>
        <w:t>157.</w:t>
      </w:r>
      <w:r>
        <w:rPr>
          <w:sz w:val="22"/>
        </w:rPr>
        <w:tab/>
      </w:r>
      <w:r>
        <w:rPr>
          <w:spacing w:val="-4"/>
          <w:sz w:val="22"/>
        </w:rPr>
        <w:t>Закон № 7801 обеспечил ИНАМУ надежным финансированием в размере 2 процентов Фонда семейных отчислений и социального развития.</w:t>
      </w:r>
      <w:r>
        <w:rPr>
          <w:color w:val="FF0000"/>
          <w:spacing w:val="-4"/>
          <w:sz w:val="22"/>
        </w:rPr>
        <w:t xml:space="preserve"> </w:t>
      </w:r>
      <w:r>
        <w:rPr>
          <w:spacing w:val="-4"/>
          <w:sz w:val="22"/>
        </w:rPr>
        <w:t xml:space="preserve">Согласно этому закону, в 2001 году Институт должен был получить сумму, эквивалентную 777 897 011 колонам (2 130 480,40 долл. США), а в 2002 году – 804 400 000 колонов (2 214 452,80 долл. США). Однако из-за политики исполнительной власти, направленной на урезание расходов, ИНАМУ получил примерно </w:t>
      </w:r>
      <w:r>
        <w:rPr>
          <w:spacing w:val="-4"/>
          <w:sz w:val="22"/>
        </w:rPr>
        <w:br/>
        <w:t>50 процентов положенных ему средств. Это привело к ограничению его деятельности и лишило его возможностей выполнять свою функцию руководства политикой в интересах гендерного равенства.</w:t>
      </w:r>
    </w:p>
    <w:p w:rsidR="00000000" w:rsidRDefault="00000000">
      <w:pPr>
        <w:tabs>
          <w:tab w:val="left" w:pos="680"/>
        </w:tabs>
        <w:spacing w:before="240" w:line="260" w:lineRule="exact"/>
        <w:jc w:val="both"/>
        <w:rPr>
          <w:sz w:val="22"/>
        </w:rPr>
      </w:pPr>
      <w:r>
        <w:rPr>
          <w:sz w:val="22"/>
        </w:rPr>
        <w:t>158.</w:t>
      </w:r>
      <w:r>
        <w:rPr>
          <w:sz w:val="22"/>
        </w:rPr>
        <w:tab/>
        <w:t>С 1998 года ИНАМУ проводит активную кампанию по сбору пожертвований среди организаций в области международного сотрудничества в качестве одной из форм финансового укрепления своей деятельности, и прежде всего для учета гендерных аспектов и выполнения некоторых специальных программ (например, программ борьбы с гендерным насилием). В результате в 1998–2001 годах удалось собрать 2 509 096,791 колон (6 907 355,00 долл. США). Несмотря на это, финансирование остается недостаточным.</w:t>
      </w:r>
    </w:p>
    <w:p w:rsidR="00000000" w:rsidRDefault="00000000">
      <w:pPr>
        <w:tabs>
          <w:tab w:val="left" w:pos="680"/>
        </w:tabs>
        <w:spacing w:before="240" w:line="260" w:lineRule="exact"/>
        <w:jc w:val="both"/>
        <w:rPr>
          <w:sz w:val="22"/>
        </w:rPr>
      </w:pPr>
      <w:r>
        <w:rPr>
          <w:sz w:val="22"/>
        </w:rPr>
        <w:t>159.</w:t>
      </w:r>
      <w:r>
        <w:rPr>
          <w:sz w:val="22"/>
        </w:rPr>
        <w:tab/>
        <w:t>Недополучение установленных законом средств представляет собой препятствие для достижения равенства с другими государственными учреждениями, также выполняющими руководящие функции. При рассмотрении этой проблемы и учитывая, что недофинсирование само по себе является нарушением правового порядка, Женский форум ИНАМУ обратился в Конституционный суд с жалобой и просьбой дать заключение по этому вопросу. В настоящее время жалоба находится на рассмотрении Конституционного суда.</w:t>
      </w:r>
    </w:p>
    <w:p w:rsidR="00000000" w:rsidRDefault="00000000">
      <w:pPr>
        <w:tabs>
          <w:tab w:val="left" w:pos="680"/>
        </w:tabs>
        <w:spacing w:before="240" w:line="260" w:lineRule="exact"/>
        <w:jc w:val="both"/>
        <w:rPr>
          <w:sz w:val="22"/>
        </w:rPr>
      </w:pPr>
      <w:r>
        <w:rPr>
          <w:sz w:val="22"/>
        </w:rPr>
        <w:t>160.</w:t>
      </w:r>
      <w:r>
        <w:rPr>
          <w:sz w:val="22"/>
        </w:rPr>
        <w:tab/>
        <w:t>Сложившееся положение свидетельствует о том, что в государственной администрации преобладают андроцентрические представления, а гендерное равенство не стало реальным приоритетом. Факты неравенства – скрытого за внешне равным отношением ко всем руководящим государственным учреждениям – и ограниченные инвестиции в процессы учета гендерных аспектов в работе всех государственных учреждений не позволяют ИНАМУ эффективно выполнять свою руководящую функцию. Например, необходимо осуществлять массовую и постоянную профессиональную подготовку сотрудников. Однако бюджет национального механизма и ассигнования из других учреждений в рамках Ежегодных оперативных планов (ПАО) позволяют осуществлять только точечные и краткосрочные программы профессиональной подготовки.</w:t>
      </w:r>
    </w:p>
    <w:p w:rsidR="00000000" w:rsidRDefault="00000000">
      <w:pPr>
        <w:tabs>
          <w:tab w:val="left" w:pos="680"/>
        </w:tabs>
        <w:spacing w:line="260" w:lineRule="exact"/>
        <w:jc w:val="both"/>
        <w:rPr>
          <w:sz w:val="22"/>
        </w:rPr>
      </w:pPr>
    </w:p>
    <w:p w:rsidR="00000000" w:rsidRDefault="00000000">
      <w:pPr>
        <w:pStyle w:val="Heading2"/>
        <w:tabs>
          <w:tab w:val="left" w:pos="680"/>
        </w:tabs>
        <w:spacing w:before="240" w:line="260" w:lineRule="exact"/>
        <w:jc w:val="left"/>
        <w:rPr>
          <w:smallCaps w:val="0"/>
          <w:sz w:val="22"/>
        </w:rPr>
      </w:pPr>
      <w:r>
        <w:rPr>
          <w:smallCaps w:val="0"/>
          <w:sz w:val="22"/>
        </w:rPr>
        <w:t xml:space="preserve">Децентрализованные министерские и отраслевые механизмы: </w:t>
      </w:r>
      <w:r>
        <w:rPr>
          <w:smallCaps w:val="0"/>
          <w:sz w:val="22"/>
        </w:rPr>
        <w:br/>
        <w:t>бюро и группы в интересах гендерного равенства</w:t>
      </w:r>
    </w:p>
    <w:p w:rsidR="00000000" w:rsidRDefault="00000000">
      <w:pPr>
        <w:tabs>
          <w:tab w:val="left" w:pos="680"/>
        </w:tabs>
        <w:spacing w:before="240" w:line="260" w:lineRule="exact"/>
        <w:jc w:val="both"/>
        <w:rPr>
          <w:sz w:val="22"/>
        </w:rPr>
      </w:pPr>
      <w:r>
        <w:rPr>
          <w:sz w:val="22"/>
        </w:rPr>
        <w:t>161.</w:t>
      </w:r>
      <w:r>
        <w:rPr>
          <w:sz w:val="22"/>
        </w:rPr>
        <w:tab/>
        <w:t>В 1994 году, с согласия Социального совета правительства, были созданы министерские и отраслевые бюро по делам женщин. В компетенцию этих органов входит осуществление контроля за проведением правительственной политики в интересах гендерного равенства на уровне государственных учреждений. До принятия Закона № 7801 органом, координирующим соответствующую работу государственных учреждений, был Национальный центр улучшения положения женщин и семьи (СМФ), который являлся национальным механизмом в интересах гендерного равенства. После преобразования СМФ в ИНАМУ на последний была возложена обязанность разрабатывать, совместно с государственными учреждениями и организациями гражданского общества, национальную политику в интересах гендерного равенства и равноправия, а также способствовать ее осуществлению. Кроме того, была поставлена задача содействовать созданию министерских, отраслевых и муниципальных бюро по делам женщин, а также координировать и контролировать их работу.</w:t>
      </w:r>
    </w:p>
    <w:p w:rsidR="00000000" w:rsidRDefault="00000000">
      <w:pPr>
        <w:tabs>
          <w:tab w:val="left" w:pos="680"/>
        </w:tabs>
        <w:spacing w:before="240" w:line="260" w:lineRule="exact"/>
        <w:jc w:val="both"/>
        <w:rPr>
          <w:sz w:val="22"/>
        </w:rPr>
      </w:pPr>
      <w:r>
        <w:rPr>
          <w:sz w:val="22"/>
        </w:rPr>
        <w:t>162.</w:t>
      </w:r>
      <w:r>
        <w:rPr>
          <w:sz w:val="22"/>
        </w:rPr>
        <w:tab/>
        <w:t>Так, в рамках ИНАМУ был создан Отдел государственной политики в интересах гендерного равенства, на который была возложена ответственность за содействие в разработке, осуществлении, мониторинге и оценке государственной политики в этой области, проводимой правительственными учреждениями и государственной администрацией, а также консультирование по соответствующим вопросам.</w:t>
      </w:r>
    </w:p>
    <w:p w:rsidR="00000000" w:rsidRDefault="00000000">
      <w:pPr>
        <w:tabs>
          <w:tab w:val="left" w:pos="680"/>
        </w:tabs>
        <w:spacing w:before="240" w:line="260" w:lineRule="exact"/>
        <w:jc w:val="both"/>
        <w:rPr>
          <w:sz w:val="22"/>
        </w:rPr>
      </w:pPr>
      <w:r>
        <w:rPr>
          <w:sz w:val="22"/>
        </w:rPr>
        <w:t xml:space="preserve">163. </w:t>
      </w:r>
      <w:r>
        <w:rPr>
          <w:sz w:val="22"/>
        </w:rPr>
        <w:tab/>
        <w:t>Опыт работы ИНАМУ с указанными учреждениями, накопленный в период 1996–2000 годов, а также задачи, поставленные перед ним законодательной властью, свидетельствуют о необходимости переориентировать стратегию по внедрению гендерного подхода в институциональную культуру, политику и программы. Особое внимание стало уделяться институционализации отделов по делам женщин или гендерным вопросам в качестве меры, необходимой для придания легитимного характера процессам осуществления этой политики и их укреплению, а также в целях достижения признания их роли в качестве инициатора действий, направленных на достижение гендерного равенства. Благодаря этому ИНАМУ удалось расширить сферу своей деятельности и увеличить ассигнования, необходимые для выполнения Рабочего плана.</w:t>
      </w:r>
    </w:p>
    <w:p w:rsidR="00000000" w:rsidRDefault="00000000">
      <w:pPr>
        <w:tabs>
          <w:tab w:val="left" w:pos="680"/>
        </w:tabs>
        <w:spacing w:before="240" w:line="260" w:lineRule="exact"/>
        <w:jc w:val="both"/>
        <w:rPr>
          <w:sz w:val="22"/>
        </w:rPr>
      </w:pPr>
      <w:r>
        <w:rPr>
          <w:sz w:val="22"/>
        </w:rPr>
        <w:t>164. К настоящему времени отделы по делам женщин или гендерным вопросам имеются в следующих учреждениях страны:</w:t>
      </w:r>
    </w:p>
    <w:p w:rsidR="00000000" w:rsidRDefault="00000000">
      <w:pPr>
        <w:tabs>
          <w:tab w:val="left" w:pos="680"/>
        </w:tabs>
        <w:spacing w:before="240" w:line="260" w:lineRule="exact"/>
        <w:jc w:val="both"/>
        <w:rPr>
          <w:sz w:val="22"/>
        </w:rPr>
      </w:pPr>
      <w:r>
        <w:rPr>
          <w:sz w:val="22"/>
        </w:rPr>
        <w:t xml:space="preserve">165. </w:t>
      </w:r>
      <w:r>
        <w:rPr>
          <w:sz w:val="22"/>
        </w:rPr>
        <w:tab/>
        <w:t xml:space="preserve">В </w:t>
      </w:r>
      <w:r>
        <w:rPr>
          <w:b/>
          <w:sz w:val="22"/>
        </w:rPr>
        <w:t>сельскохозяйственном секторе</w:t>
      </w:r>
      <w:r>
        <w:rPr>
          <w:sz w:val="22"/>
        </w:rPr>
        <w:t>:</w:t>
      </w:r>
    </w:p>
    <w:p w:rsidR="00000000" w:rsidRDefault="00000000">
      <w:pPr>
        <w:numPr>
          <w:ilvl w:val="0"/>
          <w:numId w:val="22"/>
        </w:numPr>
        <w:tabs>
          <w:tab w:val="clear" w:pos="720"/>
          <w:tab w:val="left" w:pos="340"/>
          <w:tab w:val="left" w:pos="680"/>
        </w:tabs>
        <w:spacing w:before="240" w:line="260" w:lineRule="exact"/>
        <w:ind w:left="0" w:firstLine="0"/>
        <w:jc w:val="both"/>
        <w:rPr>
          <w:sz w:val="22"/>
        </w:rPr>
      </w:pPr>
      <w:r>
        <w:rPr>
          <w:sz w:val="22"/>
        </w:rPr>
        <w:t>Министерство сельского хозяйства и животноводства</w:t>
      </w:r>
    </w:p>
    <w:p w:rsidR="00000000" w:rsidRDefault="00000000">
      <w:pPr>
        <w:numPr>
          <w:ilvl w:val="0"/>
          <w:numId w:val="23"/>
        </w:numPr>
        <w:tabs>
          <w:tab w:val="clear" w:pos="720"/>
          <w:tab w:val="left" w:pos="340"/>
          <w:tab w:val="left" w:pos="680"/>
        </w:tabs>
        <w:spacing w:before="240" w:line="260" w:lineRule="exact"/>
        <w:ind w:left="0" w:firstLine="0"/>
        <w:jc w:val="both"/>
        <w:rPr>
          <w:sz w:val="22"/>
          <w:lang w:val="es-ES"/>
        </w:rPr>
      </w:pPr>
      <w:r>
        <w:rPr>
          <w:sz w:val="22"/>
        </w:rPr>
        <w:t xml:space="preserve">Национальный производственный совет </w:t>
      </w:r>
    </w:p>
    <w:p w:rsidR="00000000" w:rsidRDefault="00000000">
      <w:pPr>
        <w:numPr>
          <w:ilvl w:val="0"/>
          <w:numId w:val="22"/>
        </w:numPr>
        <w:tabs>
          <w:tab w:val="clear" w:pos="720"/>
          <w:tab w:val="left" w:pos="340"/>
          <w:tab w:val="left" w:pos="680"/>
        </w:tabs>
        <w:spacing w:before="240" w:line="260" w:lineRule="exact"/>
        <w:ind w:left="0" w:firstLine="0"/>
        <w:jc w:val="both"/>
        <w:rPr>
          <w:sz w:val="22"/>
        </w:rPr>
      </w:pPr>
      <w:r>
        <w:rPr>
          <w:sz w:val="22"/>
        </w:rPr>
        <w:t xml:space="preserve">Институт сельскохозяйственного развития </w:t>
      </w:r>
    </w:p>
    <w:p w:rsidR="00000000" w:rsidRDefault="00000000">
      <w:pPr>
        <w:numPr>
          <w:ilvl w:val="0"/>
          <w:numId w:val="22"/>
        </w:numPr>
        <w:tabs>
          <w:tab w:val="clear" w:pos="720"/>
          <w:tab w:val="left" w:pos="340"/>
          <w:tab w:val="left" w:pos="680"/>
        </w:tabs>
        <w:spacing w:before="240" w:line="260" w:lineRule="exact"/>
        <w:ind w:left="0" w:firstLine="0"/>
        <w:jc w:val="both"/>
        <w:rPr>
          <w:sz w:val="22"/>
        </w:rPr>
      </w:pPr>
      <w:r>
        <w:rPr>
          <w:sz w:val="22"/>
        </w:rPr>
        <w:t>Институт рыболовства</w:t>
      </w:r>
    </w:p>
    <w:p w:rsidR="00000000" w:rsidRDefault="00000000">
      <w:pPr>
        <w:numPr>
          <w:ilvl w:val="0"/>
          <w:numId w:val="22"/>
        </w:numPr>
        <w:tabs>
          <w:tab w:val="clear" w:pos="720"/>
          <w:tab w:val="left" w:pos="340"/>
          <w:tab w:val="left" w:pos="680"/>
        </w:tabs>
        <w:spacing w:before="240" w:line="260" w:lineRule="exact"/>
        <w:ind w:left="0" w:firstLine="0"/>
        <w:jc w:val="both"/>
        <w:rPr>
          <w:sz w:val="22"/>
        </w:rPr>
      </w:pPr>
      <w:r>
        <w:rPr>
          <w:sz w:val="22"/>
        </w:rPr>
        <w:t>Национальная служба ирригации и мелиорации</w:t>
      </w:r>
    </w:p>
    <w:p w:rsidR="00000000" w:rsidRDefault="00000000">
      <w:pPr>
        <w:numPr>
          <w:ilvl w:val="0"/>
          <w:numId w:val="22"/>
        </w:numPr>
        <w:tabs>
          <w:tab w:val="clear" w:pos="720"/>
          <w:tab w:val="left" w:pos="340"/>
          <w:tab w:val="left" w:pos="680"/>
        </w:tabs>
        <w:spacing w:before="240" w:line="260" w:lineRule="exact"/>
        <w:ind w:left="0" w:firstLine="0"/>
        <w:jc w:val="both"/>
        <w:rPr>
          <w:sz w:val="22"/>
        </w:rPr>
      </w:pPr>
      <w:r>
        <w:rPr>
          <w:sz w:val="22"/>
        </w:rPr>
        <w:t>Программа сельскохозяйственного развития</w:t>
      </w:r>
    </w:p>
    <w:p w:rsidR="00000000" w:rsidRDefault="00000000">
      <w:pPr>
        <w:numPr>
          <w:ilvl w:val="0"/>
          <w:numId w:val="22"/>
        </w:numPr>
        <w:tabs>
          <w:tab w:val="clear" w:pos="720"/>
          <w:tab w:val="left" w:pos="340"/>
          <w:tab w:val="left" w:pos="680"/>
        </w:tabs>
        <w:spacing w:before="240" w:line="260" w:lineRule="exact"/>
        <w:ind w:left="0" w:firstLine="0"/>
        <w:jc w:val="both"/>
        <w:rPr>
          <w:sz w:val="22"/>
        </w:rPr>
      </w:pPr>
      <w:r>
        <w:rPr>
          <w:sz w:val="22"/>
        </w:rPr>
        <w:t>Министерство охраны окружающей среды и природных ресурсов</w:t>
      </w:r>
    </w:p>
    <w:p w:rsidR="00000000" w:rsidRDefault="00000000">
      <w:pPr>
        <w:numPr>
          <w:ilvl w:val="0"/>
          <w:numId w:val="22"/>
        </w:numPr>
        <w:tabs>
          <w:tab w:val="clear" w:pos="720"/>
          <w:tab w:val="left" w:pos="340"/>
          <w:tab w:val="left" w:pos="680"/>
        </w:tabs>
        <w:spacing w:before="240" w:line="260" w:lineRule="exact"/>
        <w:ind w:left="0" w:firstLine="0"/>
        <w:jc w:val="both"/>
        <w:rPr>
          <w:sz w:val="22"/>
        </w:rPr>
      </w:pPr>
      <w:r>
        <w:rPr>
          <w:sz w:val="22"/>
        </w:rPr>
        <w:t xml:space="preserve">В </w:t>
      </w:r>
      <w:r>
        <w:rPr>
          <w:b/>
          <w:sz w:val="22"/>
        </w:rPr>
        <w:t>секторе кредитования и малых предприятий</w:t>
      </w:r>
      <w:r>
        <w:rPr>
          <w:sz w:val="22"/>
        </w:rPr>
        <w:t>:</w:t>
      </w:r>
    </w:p>
    <w:p w:rsidR="00000000" w:rsidRDefault="00000000">
      <w:pPr>
        <w:numPr>
          <w:ilvl w:val="0"/>
          <w:numId w:val="22"/>
        </w:numPr>
        <w:tabs>
          <w:tab w:val="clear" w:pos="720"/>
          <w:tab w:val="left" w:pos="340"/>
          <w:tab w:val="left" w:pos="680"/>
        </w:tabs>
        <w:spacing w:before="240" w:line="260" w:lineRule="exact"/>
        <w:ind w:left="0" w:firstLine="0"/>
        <w:jc w:val="both"/>
        <w:rPr>
          <w:sz w:val="22"/>
        </w:rPr>
      </w:pPr>
      <w:r>
        <w:rPr>
          <w:sz w:val="22"/>
        </w:rPr>
        <w:t>Институт кооперативного развития</w:t>
      </w:r>
    </w:p>
    <w:p w:rsidR="00000000" w:rsidRDefault="00000000">
      <w:pPr>
        <w:numPr>
          <w:ilvl w:val="0"/>
          <w:numId w:val="22"/>
        </w:numPr>
        <w:tabs>
          <w:tab w:val="clear" w:pos="720"/>
          <w:tab w:val="left" w:pos="340"/>
          <w:tab w:val="left" w:pos="680"/>
        </w:tabs>
        <w:spacing w:before="240" w:line="260" w:lineRule="exact"/>
        <w:ind w:left="0" w:firstLine="0"/>
        <w:jc w:val="both"/>
        <w:rPr>
          <w:sz w:val="22"/>
        </w:rPr>
      </w:pPr>
      <w:r>
        <w:rPr>
          <w:sz w:val="22"/>
        </w:rPr>
        <w:t>Национальный банк Коста-Рики</w:t>
      </w:r>
    </w:p>
    <w:p w:rsidR="00000000" w:rsidRDefault="00000000">
      <w:pPr>
        <w:tabs>
          <w:tab w:val="left" w:pos="680"/>
        </w:tabs>
        <w:spacing w:before="240" w:line="260" w:lineRule="exact"/>
        <w:jc w:val="both"/>
        <w:rPr>
          <w:sz w:val="22"/>
        </w:rPr>
      </w:pPr>
      <w:r>
        <w:rPr>
          <w:sz w:val="22"/>
        </w:rPr>
        <w:t xml:space="preserve">166. </w:t>
      </w:r>
      <w:r>
        <w:rPr>
          <w:sz w:val="22"/>
        </w:rPr>
        <w:tab/>
        <w:t>В</w:t>
      </w:r>
      <w:r>
        <w:rPr>
          <w:b/>
          <w:sz w:val="22"/>
        </w:rPr>
        <w:t xml:space="preserve"> секторе культуры</w:t>
      </w:r>
      <w:r>
        <w:rPr>
          <w:sz w:val="22"/>
        </w:rPr>
        <w:t>:</w:t>
      </w:r>
    </w:p>
    <w:p w:rsidR="00000000" w:rsidRDefault="00000000">
      <w:pPr>
        <w:numPr>
          <w:ilvl w:val="0"/>
          <w:numId w:val="25"/>
        </w:numPr>
        <w:tabs>
          <w:tab w:val="clear" w:pos="720"/>
          <w:tab w:val="left" w:pos="340"/>
          <w:tab w:val="left" w:pos="680"/>
        </w:tabs>
        <w:spacing w:before="240" w:line="260" w:lineRule="exact"/>
        <w:ind w:left="0" w:firstLine="0"/>
        <w:jc w:val="both"/>
        <w:rPr>
          <w:sz w:val="22"/>
        </w:rPr>
      </w:pPr>
      <w:r>
        <w:rPr>
          <w:sz w:val="22"/>
        </w:rPr>
        <w:t>Министерство культуры, молодежи и спорта</w:t>
      </w:r>
    </w:p>
    <w:p w:rsidR="00000000" w:rsidRDefault="00000000">
      <w:pPr>
        <w:tabs>
          <w:tab w:val="left" w:pos="680"/>
        </w:tabs>
        <w:spacing w:before="240" w:line="260" w:lineRule="exact"/>
        <w:jc w:val="both"/>
        <w:rPr>
          <w:sz w:val="22"/>
        </w:rPr>
      </w:pPr>
      <w:r>
        <w:rPr>
          <w:sz w:val="22"/>
        </w:rPr>
        <w:t xml:space="preserve">167. </w:t>
      </w:r>
      <w:r>
        <w:rPr>
          <w:sz w:val="22"/>
        </w:rPr>
        <w:tab/>
        <w:t xml:space="preserve">В </w:t>
      </w:r>
      <w:r>
        <w:rPr>
          <w:b/>
          <w:sz w:val="22"/>
        </w:rPr>
        <w:t>секторе образования</w:t>
      </w:r>
      <w:r>
        <w:rPr>
          <w:sz w:val="22"/>
        </w:rPr>
        <w:t>:</w:t>
      </w:r>
    </w:p>
    <w:p w:rsidR="00000000" w:rsidRDefault="00000000">
      <w:pPr>
        <w:numPr>
          <w:ilvl w:val="0"/>
          <w:numId w:val="25"/>
        </w:numPr>
        <w:tabs>
          <w:tab w:val="clear" w:pos="720"/>
          <w:tab w:val="left" w:pos="340"/>
          <w:tab w:val="left" w:pos="680"/>
        </w:tabs>
        <w:spacing w:before="240" w:line="260" w:lineRule="exact"/>
        <w:ind w:left="0" w:firstLine="0"/>
        <w:jc w:val="both"/>
        <w:rPr>
          <w:sz w:val="22"/>
        </w:rPr>
      </w:pPr>
      <w:r>
        <w:rPr>
          <w:sz w:val="22"/>
        </w:rPr>
        <w:t>Министерство народного образования</w:t>
      </w:r>
    </w:p>
    <w:p w:rsidR="00000000" w:rsidRDefault="00000000">
      <w:pPr>
        <w:tabs>
          <w:tab w:val="left" w:pos="680"/>
        </w:tabs>
        <w:spacing w:before="240" w:line="260" w:lineRule="exact"/>
        <w:jc w:val="both"/>
        <w:rPr>
          <w:sz w:val="22"/>
        </w:rPr>
      </w:pPr>
      <w:r>
        <w:rPr>
          <w:sz w:val="22"/>
        </w:rPr>
        <w:t xml:space="preserve">168. </w:t>
      </w:r>
      <w:r>
        <w:rPr>
          <w:sz w:val="22"/>
        </w:rPr>
        <w:tab/>
        <w:t xml:space="preserve">В </w:t>
      </w:r>
      <w:r>
        <w:rPr>
          <w:b/>
          <w:sz w:val="22"/>
        </w:rPr>
        <w:t>секторе электроэнергетики</w:t>
      </w:r>
      <w:r>
        <w:rPr>
          <w:sz w:val="22"/>
        </w:rPr>
        <w:t>:</w:t>
      </w:r>
    </w:p>
    <w:p w:rsidR="00000000" w:rsidRDefault="00000000">
      <w:pPr>
        <w:numPr>
          <w:ilvl w:val="0"/>
          <w:numId w:val="25"/>
        </w:numPr>
        <w:tabs>
          <w:tab w:val="clear" w:pos="720"/>
          <w:tab w:val="left" w:pos="340"/>
          <w:tab w:val="left" w:pos="680"/>
        </w:tabs>
        <w:spacing w:before="240" w:line="260" w:lineRule="exact"/>
        <w:ind w:left="0" w:firstLine="0"/>
        <w:jc w:val="both"/>
        <w:rPr>
          <w:sz w:val="22"/>
        </w:rPr>
      </w:pPr>
      <w:r>
        <w:rPr>
          <w:sz w:val="22"/>
        </w:rPr>
        <w:t>Коста-Риканский институт электроэнергетики</w:t>
      </w:r>
    </w:p>
    <w:p w:rsidR="00000000" w:rsidRDefault="00000000">
      <w:pPr>
        <w:tabs>
          <w:tab w:val="left" w:pos="680"/>
        </w:tabs>
        <w:spacing w:before="240" w:line="260" w:lineRule="exact"/>
        <w:jc w:val="both"/>
        <w:rPr>
          <w:sz w:val="22"/>
        </w:rPr>
      </w:pPr>
      <w:r>
        <w:rPr>
          <w:sz w:val="22"/>
        </w:rPr>
        <w:t xml:space="preserve">169. </w:t>
      </w:r>
      <w:r>
        <w:rPr>
          <w:sz w:val="22"/>
        </w:rPr>
        <w:tab/>
        <w:t xml:space="preserve">В </w:t>
      </w:r>
      <w:r>
        <w:rPr>
          <w:b/>
          <w:sz w:val="22"/>
        </w:rPr>
        <w:t>секторе здравоохранения</w:t>
      </w:r>
      <w:r>
        <w:rPr>
          <w:sz w:val="22"/>
        </w:rPr>
        <w:t>:</w:t>
      </w:r>
    </w:p>
    <w:p w:rsidR="00000000" w:rsidRDefault="00000000">
      <w:pPr>
        <w:numPr>
          <w:ilvl w:val="0"/>
          <w:numId w:val="25"/>
        </w:numPr>
        <w:tabs>
          <w:tab w:val="clear" w:pos="720"/>
          <w:tab w:val="left" w:pos="340"/>
          <w:tab w:val="left" w:pos="680"/>
        </w:tabs>
        <w:spacing w:before="240" w:line="260" w:lineRule="exact"/>
        <w:ind w:left="0" w:firstLine="0"/>
        <w:jc w:val="both"/>
        <w:rPr>
          <w:sz w:val="22"/>
        </w:rPr>
      </w:pPr>
      <w:r>
        <w:rPr>
          <w:sz w:val="22"/>
        </w:rPr>
        <w:t>Министерство здравоохранения</w:t>
      </w:r>
    </w:p>
    <w:p w:rsidR="00000000" w:rsidRDefault="00000000">
      <w:pPr>
        <w:numPr>
          <w:ilvl w:val="0"/>
          <w:numId w:val="25"/>
        </w:numPr>
        <w:tabs>
          <w:tab w:val="clear" w:pos="720"/>
          <w:tab w:val="left" w:pos="340"/>
          <w:tab w:val="left" w:pos="680"/>
        </w:tabs>
        <w:spacing w:before="240" w:line="260" w:lineRule="exact"/>
        <w:ind w:left="0" w:firstLine="0"/>
        <w:jc w:val="both"/>
        <w:rPr>
          <w:sz w:val="22"/>
        </w:rPr>
      </w:pPr>
      <w:r>
        <w:rPr>
          <w:sz w:val="22"/>
        </w:rPr>
        <w:t>Фонд социального обеспечения Коста-Рики</w:t>
      </w:r>
    </w:p>
    <w:p w:rsidR="00000000" w:rsidRDefault="00000000">
      <w:pPr>
        <w:numPr>
          <w:ilvl w:val="0"/>
          <w:numId w:val="25"/>
        </w:numPr>
        <w:tabs>
          <w:tab w:val="clear" w:pos="720"/>
          <w:tab w:val="left" w:pos="340"/>
          <w:tab w:val="left" w:pos="680"/>
        </w:tabs>
        <w:spacing w:before="240" w:line="260" w:lineRule="exact"/>
        <w:ind w:left="0" w:firstLine="0"/>
        <w:jc w:val="both"/>
        <w:rPr>
          <w:sz w:val="22"/>
        </w:rPr>
      </w:pPr>
      <w:r>
        <w:rPr>
          <w:sz w:val="22"/>
        </w:rPr>
        <w:t>Национальный институт водопровода и канализации</w:t>
      </w:r>
    </w:p>
    <w:p w:rsidR="00000000" w:rsidRDefault="00000000">
      <w:pPr>
        <w:tabs>
          <w:tab w:val="left" w:pos="680"/>
        </w:tabs>
        <w:spacing w:before="240" w:line="260" w:lineRule="exact"/>
        <w:jc w:val="both"/>
        <w:rPr>
          <w:sz w:val="22"/>
        </w:rPr>
      </w:pPr>
      <w:r>
        <w:rPr>
          <w:sz w:val="22"/>
        </w:rPr>
        <w:t>170.</w:t>
      </w:r>
      <w:r>
        <w:rPr>
          <w:sz w:val="22"/>
        </w:rPr>
        <w:tab/>
        <w:t xml:space="preserve">В </w:t>
      </w:r>
      <w:r>
        <w:rPr>
          <w:b/>
          <w:sz w:val="22"/>
        </w:rPr>
        <w:t>секторе труда</w:t>
      </w:r>
      <w:r>
        <w:rPr>
          <w:sz w:val="22"/>
        </w:rPr>
        <w:t>:</w:t>
      </w:r>
    </w:p>
    <w:p w:rsidR="00000000" w:rsidRDefault="00000000">
      <w:pPr>
        <w:numPr>
          <w:ilvl w:val="0"/>
          <w:numId w:val="26"/>
        </w:numPr>
        <w:tabs>
          <w:tab w:val="clear" w:pos="720"/>
          <w:tab w:val="left" w:pos="340"/>
          <w:tab w:val="left" w:pos="680"/>
        </w:tabs>
        <w:spacing w:before="240" w:line="260" w:lineRule="exact"/>
        <w:ind w:left="0" w:firstLine="0"/>
        <w:jc w:val="both"/>
        <w:rPr>
          <w:sz w:val="22"/>
        </w:rPr>
      </w:pPr>
      <w:r>
        <w:rPr>
          <w:sz w:val="22"/>
        </w:rPr>
        <w:t>Министерство труда и социального обеспечения</w:t>
      </w:r>
    </w:p>
    <w:p w:rsidR="00000000" w:rsidRDefault="00000000">
      <w:pPr>
        <w:numPr>
          <w:ilvl w:val="0"/>
          <w:numId w:val="26"/>
        </w:numPr>
        <w:tabs>
          <w:tab w:val="clear" w:pos="720"/>
          <w:tab w:val="left" w:pos="340"/>
          <w:tab w:val="left" w:pos="680"/>
        </w:tabs>
        <w:spacing w:before="240" w:line="260" w:lineRule="exact"/>
        <w:ind w:left="0" w:firstLine="0"/>
        <w:jc w:val="both"/>
        <w:rPr>
          <w:sz w:val="22"/>
        </w:rPr>
      </w:pPr>
      <w:r>
        <w:rPr>
          <w:sz w:val="22"/>
        </w:rPr>
        <w:t>Национальный институт профессионально-технического обучения</w:t>
      </w:r>
    </w:p>
    <w:p w:rsidR="00000000" w:rsidRDefault="00000000">
      <w:pPr>
        <w:tabs>
          <w:tab w:val="left" w:pos="680"/>
        </w:tabs>
        <w:spacing w:before="240" w:line="260" w:lineRule="exact"/>
        <w:jc w:val="both"/>
        <w:rPr>
          <w:sz w:val="22"/>
        </w:rPr>
      </w:pPr>
      <w:r>
        <w:rPr>
          <w:sz w:val="22"/>
        </w:rPr>
        <w:t xml:space="preserve">171. </w:t>
      </w:r>
      <w:r>
        <w:rPr>
          <w:sz w:val="22"/>
        </w:rPr>
        <w:tab/>
        <w:t xml:space="preserve">В </w:t>
      </w:r>
      <w:r>
        <w:rPr>
          <w:b/>
          <w:sz w:val="22"/>
        </w:rPr>
        <w:t>секторе транспорта</w:t>
      </w:r>
      <w:r>
        <w:rPr>
          <w:sz w:val="22"/>
        </w:rPr>
        <w:t>:</w:t>
      </w:r>
    </w:p>
    <w:p w:rsidR="00000000" w:rsidRDefault="00000000">
      <w:pPr>
        <w:numPr>
          <w:ilvl w:val="0"/>
          <w:numId w:val="27"/>
        </w:numPr>
        <w:tabs>
          <w:tab w:val="clear" w:pos="720"/>
          <w:tab w:val="left" w:pos="340"/>
          <w:tab w:val="left" w:pos="680"/>
        </w:tabs>
        <w:spacing w:before="240" w:line="260" w:lineRule="exact"/>
        <w:ind w:left="0" w:firstLine="0"/>
        <w:jc w:val="both"/>
        <w:rPr>
          <w:sz w:val="22"/>
        </w:rPr>
      </w:pPr>
      <w:r>
        <w:rPr>
          <w:sz w:val="22"/>
        </w:rPr>
        <w:t xml:space="preserve">Министерство общественных работ и транспорта </w:t>
      </w:r>
    </w:p>
    <w:p w:rsidR="00000000" w:rsidRDefault="00000000">
      <w:pPr>
        <w:tabs>
          <w:tab w:val="left" w:pos="680"/>
        </w:tabs>
        <w:spacing w:before="240" w:line="260" w:lineRule="exact"/>
        <w:jc w:val="both"/>
        <w:rPr>
          <w:sz w:val="22"/>
        </w:rPr>
      </w:pPr>
      <w:r>
        <w:rPr>
          <w:sz w:val="22"/>
        </w:rPr>
        <w:t xml:space="preserve">172. </w:t>
      </w:r>
      <w:r>
        <w:rPr>
          <w:sz w:val="22"/>
        </w:rPr>
        <w:tab/>
        <w:t xml:space="preserve">В </w:t>
      </w:r>
      <w:r>
        <w:rPr>
          <w:b/>
          <w:sz w:val="22"/>
        </w:rPr>
        <w:t>секторе жилищного хозяйства</w:t>
      </w:r>
      <w:r>
        <w:rPr>
          <w:sz w:val="22"/>
        </w:rPr>
        <w:t>:</w:t>
      </w:r>
    </w:p>
    <w:p w:rsidR="00000000" w:rsidRDefault="00000000">
      <w:pPr>
        <w:numPr>
          <w:ilvl w:val="0"/>
          <w:numId w:val="27"/>
        </w:numPr>
        <w:tabs>
          <w:tab w:val="clear" w:pos="720"/>
          <w:tab w:val="left" w:pos="340"/>
          <w:tab w:val="left" w:pos="680"/>
        </w:tabs>
        <w:spacing w:before="240" w:line="260" w:lineRule="exact"/>
        <w:ind w:left="340" w:hanging="340"/>
        <w:jc w:val="both"/>
        <w:rPr>
          <w:sz w:val="22"/>
          <w:lang w:val="es-ES"/>
        </w:rPr>
      </w:pPr>
      <w:r>
        <w:rPr>
          <w:sz w:val="22"/>
        </w:rPr>
        <w:t>Министерство</w:t>
      </w:r>
      <w:r>
        <w:rPr>
          <w:sz w:val="22"/>
          <w:lang w:val="es-ES"/>
        </w:rPr>
        <w:t xml:space="preserve"> </w:t>
      </w:r>
      <w:r>
        <w:rPr>
          <w:sz w:val="22"/>
        </w:rPr>
        <w:t>жилищного</w:t>
      </w:r>
      <w:r>
        <w:rPr>
          <w:sz w:val="22"/>
          <w:lang w:val="es-ES"/>
        </w:rPr>
        <w:t xml:space="preserve"> </w:t>
      </w:r>
      <w:r>
        <w:rPr>
          <w:sz w:val="22"/>
        </w:rPr>
        <w:t>хозяйства</w:t>
      </w:r>
      <w:r>
        <w:rPr>
          <w:sz w:val="22"/>
          <w:lang w:val="es-ES"/>
        </w:rPr>
        <w:t xml:space="preserve"> </w:t>
      </w:r>
      <w:r>
        <w:rPr>
          <w:sz w:val="22"/>
        </w:rPr>
        <w:t>и</w:t>
      </w:r>
      <w:r>
        <w:rPr>
          <w:sz w:val="22"/>
          <w:lang w:val="es-ES"/>
        </w:rPr>
        <w:t xml:space="preserve"> </w:t>
      </w:r>
      <w:r>
        <w:rPr>
          <w:sz w:val="22"/>
        </w:rPr>
        <w:t>поселений</w:t>
      </w:r>
      <w:r>
        <w:rPr>
          <w:sz w:val="22"/>
          <w:lang w:val="es-ES"/>
        </w:rPr>
        <w:t xml:space="preserve"> </w:t>
      </w:r>
    </w:p>
    <w:p w:rsidR="00000000" w:rsidRDefault="00000000">
      <w:pPr>
        <w:tabs>
          <w:tab w:val="left" w:pos="680"/>
        </w:tabs>
        <w:spacing w:before="240" w:line="260" w:lineRule="exact"/>
        <w:jc w:val="both"/>
        <w:rPr>
          <w:sz w:val="22"/>
        </w:rPr>
      </w:pPr>
      <w:r>
        <w:rPr>
          <w:sz w:val="22"/>
        </w:rPr>
        <w:t xml:space="preserve">173. </w:t>
      </w:r>
      <w:r>
        <w:rPr>
          <w:sz w:val="22"/>
        </w:rPr>
        <w:tab/>
        <w:t xml:space="preserve">В </w:t>
      </w:r>
      <w:r>
        <w:rPr>
          <w:b/>
          <w:sz w:val="22"/>
        </w:rPr>
        <w:t>секторе органов местной власти</w:t>
      </w:r>
      <w:r>
        <w:rPr>
          <w:sz w:val="22"/>
        </w:rPr>
        <w:t>:</w:t>
      </w:r>
    </w:p>
    <w:p w:rsidR="00000000" w:rsidRDefault="00000000">
      <w:pPr>
        <w:numPr>
          <w:ilvl w:val="0"/>
          <w:numId w:val="27"/>
        </w:numPr>
        <w:tabs>
          <w:tab w:val="clear" w:pos="720"/>
          <w:tab w:val="left" w:pos="340"/>
          <w:tab w:val="left" w:pos="680"/>
        </w:tabs>
        <w:spacing w:before="240" w:line="260" w:lineRule="exact"/>
        <w:ind w:left="0" w:firstLine="0"/>
        <w:jc w:val="both"/>
        <w:rPr>
          <w:sz w:val="22"/>
        </w:rPr>
      </w:pPr>
      <w:r>
        <w:rPr>
          <w:sz w:val="22"/>
        </w:rPr>
        <w:t>Институт муниципального развития и консультирования.</w:t>
      </w:r>
    </w:p>
    <w:p w:rsidR="00000000" w:rsidRDefault="00000000">
      <w:pPr>
        <w:tabs>
          <w:tab w:val="left" w:pos="680"/>
        </w:tabs>
        <w:spacing w:before="240" w:line="260" w:lineRule="exact"/>
        <w:jc w:val="both"/>
        <w:rPr>
          <w:sz w:val="22"/>
        </w:rPr>
      </w:pPr>
      <w:r>
        <w:rPr>
          <w:sz w:val="22"/>
        </w:rPr>
        <w:t xml:space="preserve">174. </w:t>
      </w:r>
      <w:r>
        <w:rPr>
          <w:sz w:val="22"/>
        </w:rPr>
        <w:tab/>
        <w:t>ИНАМУ был разработан пакет документов в целях институционализации отделов по делам женщин или гендерного равенства и учета гендерной проблематики в деятельности учреждений. К этим документам относятся:</w:t>
      </w:r>
    </w:p>
    <w:p w:rsidR="00000000" w:rsidRDefault="00000000">
      <w:pPr>
        <w:numPr>
          <w:ilvl w:val="0"/>
          <w:numId w:val="27"/>
        </w:numPr>
        <w:tabs>
          <w:tab w:val="clear" w:pos="720"/>
          <w:tab w:val="left" w:pos="340"/>
          <w:tab w:val="left" w:pos="680"/>
        </w:tabs>
        <w:spacing w:before="240" w:line="260" w:lineRule="exact"/>
        <w:ind w:left="340" w:hanging="340"/>
        <w:jc w:val="both"/>
        <w:rPr>
          <w:sz w:val="22"/>
        </w:rPr>
      </w:pPr>
      <w:r>
        <w:rPr>
          <w:sz w:val="22"/>
        </w:rPr>
        <w:t>Основные направления организации и работы отделов по делам женщин или гендерного равенства.</w:t>
      </w:r>
    </w:p>
    <w:p w:rsidR="00000000" w:rsidRDefault="00000000">
      <w:pPr>
        <w:numPr>
          <w:ilvl w:val="0"/>
          <w:numId w:val="27"/>
        </w:numPr>
        <w:tabs>
          <w:tab w:val="clear" w:pos="720"/>
          <w:tab w:val="left" w:pos="340"/>
          <w:tab w:val="left" w:pos="680"/>
        </w:tabs>
        <w:spacing w:before="240" w:line="260" w:lineRule="exact"/>
        <w:ind w:left="340" w:hanging="340"/>
        <w:jc w:val="both"/>
        <w:rPr>
          <w:sz w:val="22"/>
        </w:rPr>
      </w:pPr>
      <w:r>
        <w:rPr>
          <w:sz w:val="22"/>
        </w:rPr>
        <w:t>Критерии оценки деятельности по учету гендерных аспектов</w:t>
      </w:r>
      <w:r>
        <w:rPr>
          <w:rStyle w:val="FootnoteReference"/>
          <w:sz w:val="22"/>
        </w:rPr>
        <w:footnoteReference w:id="13"/>
      </w:r>
      <w:r>
        <w:rPr>
          <w:sz w:val="22"/>
        </w:rPr>
        <w:t>:</w:t>
      </w:r>
    </w:p>
    <w:p w:rsidR="00000000" w:rsidRDefault="00000000">
      <w:pPr>
        <w:numPr>
          <w:ilvl w:val="0"/>
          <w:numId w:val="39"/>
        </w:numPr>
        <w:spacing w:before="240" w:line="260" w:lineRule="exact"/>
        <w:jc w:val="both"/>
        <w:rPr>
          <w:sz w:val="22"/>
        </w:rPr>
      </w:pPr>
      <w:r>
        <w:rPr>
          <w:sz w:val="22"/>
        </w:rPr>
        <w:t>показатели оценки выполнения целей;</w:t>
      </w:r>
    </w:p>
    <w:p w:rsidR="00000000" w:rsidRDefault="00000000">
      <w:pPr>
        <w:numPr>
          <w:ilvl w:val="0"/>
          <w:numId w:val="39"/>
        </w:numPr>
        <w:spacing w:before="240" w:line="260" w:lineRule="exact"/>
        <w:jc w:val="both"/>
        <w:rPr>
          <w:sz w:val="22"/>
        </w:rPr>
      </w:pPr>
      <w:r>
        <w:rPr>
          <w:sz w:val="22"/>
        </w:rPr>
        <w:t>критерии оценки учета гендерных аспектов.</w:t>
      </w:r>
    </w:p>
    <w:p w:rsidR="00000000" w:rsidRDefault="00000000">
      <w:pPr>
        <w:tabs>
          <w:tab w:val="left" w:pos="680"/>
        </w:tabs>
        <w:spacing w:line="260" w:lineRule="exact"/>
        <w:jc w:val="both"/>
        <w:rPr>
          <w:sz w:val="22"/>
        </w:rPr>
      </w:pPr>
    </w:p>
    <w:p w:rsidR="00000000" w:rsidRDefault="00000000">
      <w:pPr>
        <w:pStyle w:val="Heading2"/>
        <w:tabs>
          <w:tab w:val="left" w:pos="680"/>
        </w:tabs>
        <w:spacing w:before="240" w:line="260" w:lineRule="exact"/>
        <w:jc w:val="left"/>
        <w:rPr>
          <w:smallCaps w:val="0"/>
          <w:sz w:val="22"/>
        </w:rPr>
      </w:pPr>
      <w:r>
        <w:rPr>
          <w:smallCaps w:val="0"/>
          <w:sz w:val="22"/>
        </w:rPr>
        <w:t>Децентрализованные механизмы на местах: муниципальные бюро по делам женщин</w:t>
      </w:r>
    </w:p>
    <w:p w:rsidR="00000000" w:rsidRDefault="00000000">
      <w:pPr>
        <w:pStyle w:val="BodyText"/>
        <w:tabs>
          <w:tab w:val="left" w:pos="680"/>
        </w:tabs>
        <w:spacing w:before="240" w:line="260" w:lineRule="exact"/>
        <w:rPr>
          <w:sz w:val="22"/>
        </w:rPr>
      </w:pPr>
      <w:r>
        <w:rPr>
          <w:sz w:val="22"/>
        </w:rPr>
        <w:t>175.</w:t>
      </w:r>
      <w:r>
        <w:rPr>
          <w:sz w:val="22"/>
        </w:rPr>
        <w:tab/>
        <w:t>Муниципальные бюро по делам женщин (ОФИМ) представляют собой механизм достижения гендерного равенства. Они работают под эгидой ИНАМУ и являются его представителями на местном уровне. В соответствии с общей стратегией в их задачи входят предоставление информации, касающейся защиты прав человека женщин, а также осуществление контроля за применением государственной политики на местном уровне и координация инициатив между муниципалитетами и женскими организациями.</w:t>
      </w:r>
    </w:p>
    <w:p w:rsidR="00000000" w:rsidRDefault="00000000">
      <w:pPr>
        <w:tabs>
          <w:tab w:val="left" w:pos="680"/>
        </w:tabs>
        <w:spacing w:before="240" w:line="260" w:lineRule="exact"/>
        <w:jc w:val="both"/>
        <w:rPr>
          <w:sz w:val="22"/>
        </w:rPr>
      </w:pPr>
      <w:r>
        <w:rPr>
          <w:sz w:val="22"/>
        </w:rPr>
        <w:t xml:space="preserve">176. </w:t>
      </w:r>
      <w:r>
        <w:rPr>
          <w:sz w:val="22"/>
        </w:rPr>
        <w:tab/>
        <w:t>В пункте с) статьи 4 Закона № 7801 о создании ИНАМУ говорится, что одной из его задач являются "содействие созданию министерских, отраслевых и муниципальных бюро по делам женщин, а также обеспечение выполнения и координация их работы". В рамках выполнения этой задачи проект закона "О внесении изменений в статьи 1, 13, 17, 125, 126 и 142, дополнений в статьи 17 и 94, изменении порядка следования статей 182, 183 и 184 Муниципального кодекса и о создании муниципальных бюро по делам женщин" придает обязательный характер образованию ОФИМ во всех муниципалитетах и учету гендерных факторов. В статье 183 предлагается: "В рамках муниципальных структур должны быть созданы специализированные бюро по защите прав женщин и обеспечению их активного участия в жизни общества, так называемые муниципальные бюро по делам женщин (ОФИМ)". Кроме того, предусмотрено добавление пункта о) в статью 17, которая гласит: "Контролировать и обеспечивать выполнение муниципалитетами политики гендерного равенства и равноправия в соответствии с действующим в стране законодательством посредством стратегий, планов и действий в интересах гендерного равенства и равноправия".</w:t>
      </w:r>
    </w:p>
    <w:p w:rsidR="00000000" w:rsidRDefault="00000000">
      <w:pPr>
        <w:tabs>
          <w:tab w:val="left" w:pos="680"/>
        </w:tabs>
        <w:spacing w:before="240" w:line="260" w:lineRule="exact"/>
        <w:jc w:val="both"/>
        <w:rPr>
          <w:sz w:val="22"/>
        </w:rPr>
      </w:pPr>
      <w:r>
        <w:rPr>
          <w:sz w:val="22"/>
        </w:rPr>
        <w:t xml:space="preserve">177. </w:t>
      </w:r>
      <w:r>
        <w:rPr>
          <w:sz w:val="22"/>
        </w:rPr>
        <w:tab/>
        <w:t>Первые шесть ОФИМ были созданы в период с 1996 года по первое полугодие 1998 года. Процесс создания бюро ускорился в период с июня 1998 по март 1999 года, когда их общее число достигло 19. В этот период главной проблемой стало отсутствие минимальных условий для должной работы бюро в соответствии с поставленными перед ними задачами, в связи с чем их институционализация была затруднена. Начиная с апреля 1999 года стратегия ИНАМУ сконцентрировалась на переговорах с муниципальными властями по вопросам обеспечения людскими ресурсами, инфраструктурой и материалами для содействия технической, правовой и социальной устойчивости этих механизмов. Другим компонентом стратегии стало проведение мероприятий по профессиональной подготовке и техническому содействию, направленных на укрепление руководящего потенциала женщин, которые занимают посты советников, работают служащими или проживают в общине. К 2002 году в 26 ОФИМ работали профессионально подготовленные служащие, 5 бюро возглавляли секретари и в 4 работа велась на добровольных началах.</w:t>
      </w:r>
    </w:p>
    <w:p w:rsidR="00000000" w:rsidRDefault="00000000">
      <w:pPr>
        <w:tabs>
          <w:tab w:val="left" w:pos="680"/>
        </w:tabs>
        <w:spacing w:before="240" w:line="260" w:lineRule="exact"/>
        <w:jc w:val="both"/>
        <w:rPr>
          <w:spacing w:val="-4"/>
          <w:sz w:val="22"/>
        </w:rPr>
      </w:pPr>
      <w:r>
        <w:rPr>
          <w:sz w:val="22"/>
        </w:rPr>
        <w:t xml:space="preserve">178. </w:t>
      </w:r>
      <w:r>
        <w:rPr>
          <w:sz w:val="22"/>
        </w:rPr>
        <w:tab/>
      </w:r>
      <w:r>
        <w:rPr>
          <w:spacing w:val="-4"/>
          <w:sz w:val="22"/>
        </w:rPr>
        <w:t>В 1999 году при поддержке ИНАМУ была образована Национальная сеть ОФИМ в целях расширения их полномочий и содействия продвижению концепции гендерного равенства и равноправия на местах, а также обмену знаниями и опытом между различными бюро. Деятельность сети была направлена в первую очередь на профессиональную подготовку по вопросам трудового законодательства и в отношении Закона об ответственном отцовстве. С 2002 года совместно с Межамериканским институтом профессиональной подготовки в сельском хозяйстве был осуществлен пилотный проект обеспечения компьютерами восьми сельских бюро, которые смогли подключиться к интернету и к базе данных Инфоагро.</w:t>
      </w:r>
    </w:p>
    <w:p w:rsidR="00000000" w:rsidRDefault="00000000">
      <w:pPr>
        <w:tabs>
          <w:tab w:val="left" w:pos="680"/>
        </w:tabs>
        <w:spacing w:before="240" w:line="260" w:lineRule="exact"/>
        <w:jc w:val="both"/>
        <w:rPr>
          <w:spacing w:val="-2"/>
          <w:sz w:val="22"/>
        </w:rPr>
      </w:pPr>
      <w:r>
        <w:rPr>
          <w:sz w:val="22"/>
        </w:rPr>
        <w:t xml:space="preserve">179. </w:t>
      </w:r>
      <w:r>
        <w:rPr>
          <w:sz w:val="22"/>
        </w:rPr>
        <w:tab/>
      </w:r>
      <w:r>
        <w:rPr>
          <w:spacing w:val="-2"/>
          <w:sz w:val="22"/>
        </w:rPr>
        <w:t>В статье 49 Муниципального кодекса устанавливается правовой статус муниципальных комиссий по делам женщин. В частности, говорится, что в состав данных комиссий входят их руководители, советники и представители местных органов власти. Их цель заключается в содействии соблюдению прав женщин и обеспечению гендерного равенства и равноправия в рамках всех проектов, которые осуществляются муниципалитетами. Комиссии представляют собой важнейший ресурс ОФИМ в выполнении ими своих планов.</w:t>
      </w:r>
    </w:p>
    <w:p w:rsidR="00000000" w:rsidRDefault="00000000">
      <w:pPr>
        <w:tabs>
          <w:tab w:val="left" w:pos="680"/>
        </w:tabs>
        <w:spacing w:before="240" w:line="260" w:lineRule="exact"/>
        <w:jc w:val="both"/>
        <w:rPr>
          <w:sz w:val="22"/>
        </w:rPr>
      </w:pPr>
      <w:r>
        <w:rPr>
          <w:sz w:val="22"/>
        </w:rPr>
        <w:t xml:space="preserve">180. </w:t>
      </w:r>
      <w:r>
        <w:rPr>
          <w:sz w:val="22"/>
        </w:rPr>
        <w:tab/>
        <w:t>Как бюро, так и комиссии по делам женщин представляют собой важный шаг по пути демократизации муниципалитетов как органов местной власти, а также в создании условий для реального участия женщин в жизни общества. Вместе с тем сохраняются нерешенные проблемы и трудности, например недостаточное финансирование, политически мотивированное вмешательство в работу, нехватка персонала для выполнения множества разнообразных задач, слабые инфраструктура и технический потенциал некоторых ОФИМ. Для того чтобы преодолеть эти трудности, необходимо стимулировать активную деятельность женщин как информированных участников данного процесса, которые уважали бы различия и способствовали бы внедрению гендерных подходов в политику и деятельность муниципалитетов. Отдел по активной гражданственности, лидерству и местному управлению ИНАМУ с целью совершенствования деятельности децентрализованных механизмов на местном уровне развернул помощь комиссиям по делам женщин, прежде всего в том, что касается их роли в создании и развитии ОФИМ.</w:t>
      </w:r>
    </w:p>
    <w:p w:rsidR="00000000" w:rsidRDefault="00000000">
      <w:pPr>
        <w:tabs>
          <w:tab w:val="left" w:pos="680"/>
        </w:tabs>
        <w:spacing w:line="260" w:lineRule="exact"/>
        <w:jc w:val="both"/>
        <w:rPr>
          <w:sz w:val="22"/>
        </w:rPr>
      </w:pPr>
    </w:p>
    <w:p w:rsidR="00000000" w:rsidRDefault="00000000">
      <w:pPr>
        <w:pStyle w:val="Heading2"/>
        <w:tabs>
          <w:tab w:val="left" w:pos="680"/>
        </w:tabs>
        <w:spacing w:before="240" w:line="260" w:lineRule="exact"/>
        <w:jc w:val="left"/>
        <w:rPr>
          <w:smallCaps w:val="0"/>
          <w:sz w:val="22"/>
        </w:rPr>
      </w:pPr>
      <w:r>
        <w:rPr>
          <w:smallCaps w:val="0"/>
          <w:sz w:val="22"/>
        </w:rPr>
        <w:t>Специализированные учреждения</w:t>
      </w:r>
    </w:p>
    <w:p w:rsidR="00000000" w:rsidRDefault="00000000">
      <w:pPr>
        <w:tabs>
          <w:tab w:val="left" w:pos="680"/>
        </w:tabs>
        <w:spacing w:before="240" w:line="260" w:lineRule="exact"/>
        <w:jc w:val="both"/>
        <w:rPr>
          <w:sz w:val="22"/>
        </w:rPr>
      </w:pPr>
      <w:r>
        <w:rPr>
          <w:sz w:val="22"/>
        </w:rPr>
        <w:t xml:space="preserve">181. </w:t>
      </w:r>
      <w:r>
        <w:rPr>
          <w:sz w:val="22"/>
        </w:rPr>
        <w:tab/>
        <w:t>11 ноября 1999 года, посредством изменения статьи 84 регламента Законодательного собрания по вопросу о постоянных специальных комиссиях, законодательной властью была создана Специальная постоянная комиссия по делам женщин. В задачи комиссии входит ознакомление с законопроектами по вопросам, затрагивающим положение женщин или связанным с их социальным статусом, и вынесение своего заключения; она уполномочена вносить предложения об изменении законодательства и осуществлять политический контроль за деятельностью государственной администрации.</w:t>
      </w:r>
    </w:p>
    <w:p w:rsidR="00000000" w:rsidRDefault="00000000">
      <w:pPr>
        <w:tabs>
          <w:tab w:val="left" w:pos="680"/>
        </w:tabs>
        <w:spacing w:before="240" w:line="260" w:lineRule="exact"/>
        <w:jc w:val="both"/>
        <w:rPr>
          <w:sz w:val="22"/>
        </w:rPr>
      </w:pPr>
      <w:r>
        <w:rPr>
          <w:sz w:val="22"/>
        </w:rPr>
        <w:t xml:space="preserve">182. </w:t>
      </w:r>
      <w:r>
        <w:rPr>
          <w:sz w:val="22"/>
        </w:rPr>
        <w:tab/>
        <w:t>За отчетный период в рамках судебной власти было учрежден ряд специализированных инстанций, главным образом для рассмотрения дел, связанных с фактическим браком, выплатой алиментов, насилием в семье и на сексуальной почве. В Генеральной прокуратуре начала действовать специализированная группа по борьбе с бытовым насилием и правонарушениями в отношении сексуальной свободы. В целях институционализации данных инстанций и придания им законного статуса в Законодательное собрание было представлено несколько законопроектов, один из которых после рассмотрения был сдан в архив, а два других были утверждены. Не представилось возможным создать специальную прокуратуру по борьбе с бытовым насилием и правонарушениями в отношении сексуальной свободы, так как соответствующий законопроект был сдан в архив по истечении срока рассмотрения (дело № 13050). Однако были приняты два других законопроекта о создании суда по бытовому насилию во втором судебном округе Эредии, в первом судебном округе Алахуэлы и в судебном округе Картаго. Все указанные суды расположены в Большом столичном округе, что затрудняет доступ к ним для женщин, проживающих в сельских районах.</w:t>
      </w:r>
    </w:p>
    <w:p w:rsidR="00000000" w:rsidRDefault="00000000">
      <w:pPr>
        <w:tabs>
          <w:tab w:val="left" w:pos="680"/>
        </w:tabs>
        <w:spacing w:before="240" w:line="260" w:lineRule="exact"/>
        <w:jc w:val="both"/>
        <w:rPr>
          <w:sz w:val="22"/>
        </w:rPr>
      </w:pPr>
      <w:r>
        <w:rPr>
          <w:sz w:val="22"/>
        </w:rPr>
        <w:t xml:space="preserve">183. </w:t>
      </w:r>
      <w:r>
        <w:rPr>
          <w:sz w:val="22"/>
        </w:rPr>
        <w:tab/>
        <w:t>Отделение по делам женщин, будучи специализированным органом Коллегии адвокатов по защите прав граждан, за отчетный период рассмотрело большое количество жалоб, касающихся нарушения гражданских прав женщин государственными учреждениями. В ежегодных отчетах Защитника прав населения за 1998, 1999, 2000 и 2001 годы были выявлены следующие критические области:</w:t>
      </w:r>
    </w:p>
    <w:p w:rsidR="00000000" w:rsidRDefault="00000000">
      <w:pPr>
        <w:numPr>
          <w:ilvl w:val="0"/>
          <w:numId w:val="30"/>
        </w:numPr>
        <w:tabs>
          <w:tab w:val="clear" w:pos="720"/>
          <w:tab w:val="left" w:pos="340"/>
          <w:tab w:val="left" w:pos="680"/>
        </w:tabs>
        <w:spacing w:before="240" w:line="260" w:lineRule="exact"/>
        <w:ind w:left="340" w:hanging="340"/>
        <w:jc w:val="both"/>
        <w:rPr>
          <w:sz w:val="22"/>
        </w:rPr>
      </w:pPr>
      <w:r>
        <w:rPr>
          <w:sz w:val="22"/>
        </w:rPr>
        <w:t xml:space="preserve">В </w:t>
      </w:r>
      <w:r>
        <w:rPr>
          <w:b/>
          <w:sz w:val="22"/>
        </w:rPr>
        <w:t>области выплаты алиментов</w:t>
      </w:r>
      <w:r>
        <w:rPr>
          <w:sz w:val="22"/>
        </w:rPr>
        <w:t>: в силу длительности процедур, трудностей, связанных с уведомлением ответчика, отсутствия информации о состоянии дел, ограниченного количества судебных кабинетов, присоединившихся к соглашению с Банком Коста-Рики, несвоевременной эмиссии чеков и трудностей в согласовании с банком-эмитентом, отсутствия контроля за предоставлением сведений о заработной плате или об их достоверности со стороны частных компаний, бюрократизации процессов наложения ареста на имущество и удержания алиментов, отсутствия необходимых механизмов для установления суммы алиментов, а также из-за ограниченных и ненадлежащих ресурсов Министерства общественной безопасности, призванных способствовать выполнению им своих полномочий (например, осуществлению принудительной выплаты алиментов). Большинство жалоб по указанным вопросам было представлено на органы судебной власти и Министерство общественной безопасности.</w:t>
      </w:r>
    </w:p>
    <w:p w:rsidR="00000000" w:rsidRDefault="00000000">
      <w:pPr>
        <w:numPr>
          <w:ilvl w:val="0"/>
          <w:numId w:val="30"/>
        </w:numPr>
        <w:tabs>
          <w:tab w:val="clear" w:pos="720"/>
          <w:tab w:val="left" w:pos="340"/>
          <w:tab w:val="left" w:pos="680"/>
        </w:tabs>
        <w:spacing w:before="240" w:line="260" w:lineRule="exact"/>
        <w:ind w:left="340" w:hanging="340"/>
        <w:jc w:val="both"/>
        <w:rPr>
          <w:spacing w:val="-2"/>
          <w:sz w:val="22"/>
        </w:rPr>
      </w:pPr>
      <w:r>
        <w:rPr>
          <w:b/>
          <w:spacing w:val="-2"/>
          <w:sz w:val="22"/>
        </w:rPr>
        <w:t>Сексуальные домогательства</w:t>
      </w:r>
      <w:r>
        <w:rPr>
          <w:spacing w:val="-2"/>
          <w:sz w:val="22"/>
        </w:rPr>
        <w:t xml:space="preserve"> в отношении несовершеннолетних учащихся и женщин, работающих в полиции. Основным предметом жалоб было бездействие со стороны Министерства народного образования и Министерства общественной безопасности и, соответственно, невыполнение Закона № 7476 о борьбе с сексуальными домогательствами по месту работы или учебы.</w:t>
      </w:r>
    </w:p>
    <w:p w:rsidR="00000000" w:rsidRDefault="00000000">
      <w:pPr>
        <w:numPr>
          <w:ilvl w:val="0"/>
          <w:numId w:val="30"/>
        </w:numPr>
        <w:tabs>
          <w:tab w:val="clear" w:pos="720"/>
          <w:tab w:val="left" w:pos="340"/>
          <w:tab w:val="left" w:pos="680"/>
        </w:tabs>
        <w:spacing w:before="240" w:line="260" w:lineRule="exact"/>
        <w:ind w:left="340" w:hanging="340"/>
        <w:jc w:val="both"/>
        <w:rPr>
          <w:sz w:val="22"/>
        </w:rPr>
      </w:pPr>
      <w:r>
        <w:rPr>
          <w:sz w:val="22"/>
        </w:rPr>
        <w:t xml:space="preserve">В отношении </w:t>
      </w:r>
      <w:r>
        <w:rPr>
          <w:b/>
          <w:sz w:val="22"/>
        </w:rPr>
        <w:t xml:space="preserve">насилия в семье </w:t>
      </w:r>
      <w:r>
        <w:rPr>
          <w:sz w:val="22"/>
        </w:rPr>
        <w:t>поступали жалобы на действия или бездействие Министерства общественной безопасности и органов судебной власти.</w:t>
      </w:r>
    </w:p>
    <w:p w:rsidR="00000000" w:rsidRDefault="00000000">
      <w:pPr>
        <w:numPr>
          <w:ilvl w:val="0"/>
          <w:numId w:val="30"/>
        </w:numPr>
        <w:tabs>
          <w:tab w:val="clear" w:pos="720"/>
          <w:tab w:val="left" w:pos="340"/>
          <w:tab w:val="left" w:pos="680"/>
        </w:tabs>
        <w:spacing w:before="240" w:line="260" w:lineRule="exact"/>
        <w:ind w:left="340" w:hanging="340"/>
        <w:jc w:val="both"/>
        <w:rPr>
          <w:sz w:val="22"/>
        </w:rPr>
      </w:pPr>
      <w:r>
        <w:rPr>
          <w:sz w:val="22"/>
        </w:rPr>
        <w:t xml:space="preserve">Жалобы в области </w:t>
      </w:r>
      <w:r>
        <w:rPr>
          <w:b/>
          <w:sz w:val="22"/>
        </w:rPr>
        <w:t>нарушения трудовых прав</w:t>
      </w:r>
      <w:r>
        <w:rPr>
          <w:sz w:val="22"/>
        </w:rPr>
        <w:t xml:space="preserve"> были вызваны дискриминацией домашних работниц в связи навязываемым им двенадцатичасовым рабочим днем и несоблюдением общепринятых для всех работающих норм выходных и праздничных дней. Также были представлены жалобы на Министерство труда и социального обеспечения из-за невыполнения им своих функций в ситуациях нарушения специального щадящего режима для беременных женщин со стороны государственных компаний и учреждений. Другой группой населения, права которой были нарушены Министерством общественной безопасности как работодателем, были женщины-полицейские, которых по-прежнему назначают на должности, соответствующие их традиционным гендерным ролям, а условия работы не приводятся в соответствие с их спецификой.</w:t>
      </w:r>
    </w:p>
    <w:p w:rsidR="00000000" w:rsidRDefault="00000000">
      <w:pPr>
        <w:numPr>
          <w:ilvl w:val="0"/>
          <w:numId w:val="30"/>
        </w:numPr>
        <w:tabs>
          <w:tab w:val="clear" w:pos="720"/>
          <w:tab w:val="left" w:pos="340"/>
          <w:tab w:val="left" w:pos="680"/>
        </w:tabs>
        <w:spacing w:before="240" w:line="260" w:lineRule="exact"/>
        <w:ind w:left="340" w:hanging="340"/>
        <w:jc w:val="both"/>
        <w:rPr>
          <w:spacing w:val="-2"/>
          <w:sz w:val="22"/>
        </w:rPr>
      </w:pPr>
      <w:r>
        <w:rPr>
          <w:spacing w:val="-2"/>
          <w:sz w:val="22"/>
        </w:rPr>
        <w:t xml:space="preserve">В области </w:t>
      </w:r>
      <w:r>
        <w:rPr>
          <w:b/>
          <w:spacing w:val="-2"/>
          <w:sz w:val="22"/>
        </w:rPr>
        <w:t>здравоохранения</w:t>
      </w:r>
      <w:r>
        <w:rPr>
          <w:spacing w:val="-2"/>
          <w:sz w:val="22"/>
        </w:rPr>
        <w:t xml:space="preserve"> жалобы главным образом касаются ненадлежащей инфраструктуры родильных домов и низкого качества услуг гинекологов и акушеров (например, переполненность родильных домов, отсутствие белья, грубое физическое и словесное обращение), отсутствия оборудования для выявления гинекологических проблем, ограничений в осуществлении права на стерилизацию и других репродуктивных прав, а также несвоевременного выполнения цитологических анализов и постановки диагноза. Жалобы были поданы на Фонд социального обеспечения Коста-Рики.</w:t>
      </w:r>
    </w:p>
    <w:p w:rsidR="00000000" w:rsidRDefault="00000000">
      <w:pPr>
        <w:numPr>
          <w:ilvl w:val="0"/>
          <w:numId w:val="30"/>
        </w:numPr>
        <w:tabs>
          <w:tab w:val="clear" w:pos="720"/>
          <w:tab w:val="left" w:pos="340"/>
          <w:tab w:val="left" w:pos="680"/>
        </w:tabs>
        <w:spacing w:before="240" w:line="260" w:lineRule="exact"/>
        <w:ind w:left="340" w:hanging="340"/>
        <w:jc w:val="both"/>
        <w:rPr>
          <w:sz w:val="22"/>
        </w:rPr>
      </w:pPr>
      <w:r>
        <w:rPr>
          <w:b/>
          <w:sz w:val="22"/>
        </w:rPr>
        <w:t>Женщины, находящиеся в местах лишения свободы</w:t>
      </w:r>
      <w:r>
        <w:rPr>
          <w:sz w:val="22"/>
        </w:rPr>
        <w:t>, жаловались на использование запрещенных методов при обыске, отсутствие информации и помощи со стороны ПАНИ для улучшения положения несовершеннолетних заключенных, на наличие только одного исправительного учреждения для женщин, что препятствует контактам с семьей и ухудшает условия содержания, а также на препятствия, чинимые муниципалитетами, в отношении расширения и модернизации мест лишения свободы.</w:t>
      </w:r>
    </w:p>
    <w:p w:rsidR="00000000" w:rsidRDefault="00000000">
      <w:pPr>
        <w:pStyle w:val="BodyTextIndent3"/>
        <w:tabs>
          <w:tab w:val="left" w:pos="680"/>
        </w:tabs>
        <w:spacing w:line="260" w:lineRule="exact"/>
        <w:ind w:left="0" w:firstLine="0"/>
      </w:pPr>
      <w:r>
        <w:t xml:space="preserve">184. </w:t>
      </w:r>
      <w:r>
        <w:tab/>
        <w:t>Одна из самых серьезных трудностей, с которой столкнулся Отдел защитника прав женщин при рассмотрении указанных жалоб, заключается в характере этой государственной инстанции, ответственной за соблюдению и защиту прав человека женщин в ситуациях нарушения этих прав со стороны государственных учреждений, для которых решения Отдела не являются обязательными. В целях укрепления своих полномочий данное учреждение уделило большое внимание пропаганде и распространению информации и правах человека женщин, а также проведению соответствующей профессиональной подготовки, координации работы с другими государственными учреждениями в целях разработки законодательства, участию в межведомственных комиссиях и контролю за выполнением законов, защищающих права женщин.</w:t>
      </w:r>
    </w:p>
    <w:p w:rsidR="00000000" w:rsidRDefault="00000000">
      <w:pPr>
        <w:tabs>
          <w:tab w:val="left" w:pos="680"/>
        </w:tabs>
        <w:spacing w:before="240" w:line="260" w:lineRule="exact"/>
        <w:jc w:val="both"/>
        <w:rPr>
          <w:sz w:val="22"/>
        </w:rPr>
      </w:pPr>
      <w:r>
        <w:rPr>
          <w:sz w:val="22"/>
        </w:rPr>
        <w:t xml:space="preserve">185. </w:t>
      </w:r>
      <w:r>
        <w:rPr>
          <w:sz w:val="22"/>
        </w:rPr>
        <w:tab/>
        <w:t>В отчетном периоде были достигнуты большие успехи в укреплении специализированных групп по изучению положения женщин и соблюдению принципа гендерного равенства во всех четырех государственных университетах страны. С 1998 по 2001 год подготовка отчета о положении дел в области прав человека девочек и подростков и участие в подготовке отчета о положении дел в области прав человека детей и подростков входили в задачи магистратуры по специальности "Изучение положения женщин" (МАЭМ) Университета Коста-Рики (УКР) и Национального автономного университета (УНА). В этот же период Технологический институт Коста-Рики (ИТКР) и Национальный автономный университет (УНА) взялись за разработку и реализацию, совместно с техническим секретариатом программы "Создаем возможности", программы технического обучения несовершеннолетних беременных и матерей по нетрадиционным конкурентоспособным специальностям. В 1999 году Университет Коста-Рики преобразовал Междисциплинарную программу гендерных исследований в Научный центр изучения положения женщин (СИЕМ-УКР), что позволило укрепить его кадры и увеличить масштаб целей и функций. В 2000 году Государственный университет дистанционного обучения образовал Институциональную комиссию в интересах гендерного равенства. Из четырех государственных университетов он был единственным университетом, который до этого не располагал специализированным механизмом. В 2001 году ИМАС поручил СИЕМ-УКР провести оценку эффективности мониторинга и систематизацию компонента "Укрепление в интересах жизни" программы "Создаем возможности".</w:t>
      </w:r>
    </w:p>
    <w:p w:rsidR="00000000" w:rsidRDefault="00000000">
      <w:pPr>
        <w:pStyle w:val="Heading2"/>
        <w:tabs>
          <w:tab w:val="left" w:pos="680"/>
        </w:tabs>
        <w:spacing w:line="260" w:lineRule="exact"/>
        <w:jc w:val="both"/>
        <w:rPr>
          <w:sz w:val="22"/>
        </w:rPr>
      </w:pPr>
    </w:p>
    <w:p w:rsidR="00000000" w:rsidRDefault="00000000">
      <w:pPr>
        <w:pStyle w:val="Heading2"/>
        <w:tabs>
          <w:tab w:val="left" w:pos="680"/>
        </w:tabs>
        <w:spacing w:before="240" w:line="260" w:lineRule="exact"/>
        <w:jc w:val="left"/>
        <w:rPr>
          <w:smallCaps w:val="0"/>
          <w:sz w:val="22"/>
        </w:rPr>
      </w:pPr>
      <w:r>
        <w:rPr>
          <w:smallCaps w:val="0"/>
          <w:sz w:val="22"/>
        </w:rPr>
        <w:t xml:space="preserve">Разработка и распространение сведений и информации, </w:t>
      </w:r>
      <w:r>
        <w:rPr>
          <w:smallCaps w:val="0"/>
          <w:sz w:val="22"/>
        </w:rPr>
        <w:br/>
        <w:t>касающихся планирования и оценки, в разбивке по полу</w:t>
      </w:r>
    </w:p>
    <w:p w:rsidR="00000000" w:rsidRDefault="00000000">
      <w:pPr>
        <w:tabs>
          <w:tab w:val="left" w:pos="680"/>
        </w:tabs>
        <w:spacing w:before="240" w:line="260" w:lineRule="exact"/>
        <w:jc w:val="both"/>
        <w:rPr>
          <w:sz w:val="22"/>
        </w:rPr>
      </w:pPr>
      <w:r>
        <w:rPr>
          <w:sz w:val="22"/>
        </w:rPr>
        <w:t xml:space="preserve">186. </w:t>
      </w:r>
      <w:r>
        <w:rPr>
          <w:sz w:val="22"/>
        </w:rPr>
        <w:tab/>
        <w:t>По инициативе Коллегии адвокатов по защите прав граждан и учитывая жалобы, поступающие от женщин в связи с применением категории "глава семьи" в опросных листах переписи населения 2000 года, была создана межведомственная комиссия, в состав которой вошли представители Отдела защитника прав женщин, ИНАМУ, Национального института статистики и переписи (ИНЕК), Национального университета (Института исследований населения ИДЕСПО) и Университета Коста-Рики (Научный центр изучения положения женщин). Комиссия занимается разработкой показателей, касающихся проявления гендерных различий, на основе сведений, полученных в ходе переписи населения 2000 года. Готовятся к публикации результаты этого исследования и предложения по восполнению пробелов в информации, отмеченных во введении настоящего доклада, по внедрению рабочих определений, учитывающих гендерные различия.</w:t>
      </w:r>
    </w:p>
    <w:p w:rsidR="00000000" w:rsidRDefault="00000000">
      <w:pPr>
        <w:tabs>
          <w:tab w:val="left" w:pos="680"/>
        </w:tabs>
        <w:spacing w:line="260" w:lineRule="exact"/>
        <w:jc w:val="both"/>
        <w:rPr>
          <w:sz w:val="22"/>
        </w:rPr>
      </w:pPr>
    </w:p>
    <w:p w:rsidR="00000000" w:rsidRDefault="00000000">
      <w:pPr>
        <w:spacing w:before="240" w:line="260" w:lineRule="exact"/>
        <w:jc w:val="center"/>
        <w:rPr>
          <w:b/>
          <w:sz w:val="22"/>
        </w:rPr>
      </w:pPr>
      <w:r>
        <w:rPr>
          <w:b/>
          <w:sz w:val="22"/>
        </w:rPr>
        <w:t xml:space="preserve">Статья 4. Временные специальные меры, направленные на ускорение </w:t>
      </w:r>
      <w:r>
        <w:rPr>
          <w:b/>
          <w:sz w:val="22"/>
        </w:rPr>
        <w:br/>
        <w:t>установления фактического равенства между мужчинами и женщинами</w:t>
      </w:r>
    </w:p>
    <w:p w:rsidR="00000000" w:rsidRDefault="00000000">
      <w:pPr>
        <w:tabs>
          <w:tab w:val="left" w:pos="680"/>
        </w:tabs>
        <w:spacing w:before="240" w:line="260" w:lineRule="exact"/>
        <w:jc w:val="both"/>
        <w:rPr>
          <w:i/>
          <w:sz w:val="22"/>
        </w:rPr>
      </w:pPr>
      <w:r>
        <w:rPr>
          <w:i/>
          <w:sz w:val="22"/>
        </w:rPr>
        <w:t xml:space="preserve">1. </w:t>
      </w:r>
      <w:r>
        <w:rPr>
          <w:i/>
          <w:sz w:val="22"/>
        </w:rPr>
        <w:tab/>
        <w:t>Принятие государствами-участниками временных специальных мер, направленных на ускорение установления фактического равенства между мужчинами и женщинами, не считается, как это определяется настоящей Конвенцией, дискриминационным, однако оно ни в коей мере не должно влечь за собой сохранение неравноправных или дифференцированных стандартов; эти меры должны быть отменены, когда будут достигнуты цели равенства возможностей и равноправного отношения.</w:t>
      </w:r>
    </w:p>
    <w:p w:rsidR="00000000" w:rsidRDefault="00000000">
      <w:pPr>
        <w:tabs>
          <w:tab w:val="left" w:pos="680"/>
        </w:tabs>
        <w:spacing w:before="240" w:line="260" w:lineRule="exact"/>
        <w:jc w:val="both"/>
        <w:rPr>
          <w:i/>
          <w:color w:val="000000"/>
          <w:sz w:val="22"/>
        </w:rPr>
      </w:pPr>
      <w:r>
        <w:rPr>
          <w:i/>
          <w:color w:val="000000"/>
          <w:sz w:val="22"/>
        </w:rPr>
        <w:t xml:space="preserve">2. </w:t>
      </w:r>
      <w:r>
        <w:rPr>
          <w:i/>
          <w:color w:val="000000"/>
          <w:sz w:val="22"/>
        </w:rPr>
        <w:tab/>
        <w:t>Принятие государствами-участниками специальных мер, направленных на охрану материнства, включая меры, содержащиеся в настоящей Конвенции, не считается дискриминационным.</w:t>
      </w:r>
    </w:p>
    <w:p w:rsidR="00000000" w:rsidRDefault="00000000">
      <w:pPr>
        <w:tabs>
          <w:tab w:val="left" w:pos="680"/>
        </w:tabs>
        <w:spacing w:before="240" w:line="260" w:lineRule="exact"/>
        <w:jc w:val="both"/>
        <w:rPr>
          <w:spacing w:val="-4"/>
          <w:sz w:val="22"/>
        </w:rPr>
      </w:pPr>
      <w:r>
        <w:rPr>
          <w:sz w:val="22"/>
        </w:rPr>
        <w:t xml:space="preserve">187. </w:t>
      </w:r>
      <w:r>
        <w:rPr>
          <w:sz w:val="22"/>
        </w:rPr>
        <w:tab/>
      </w:r>
      <w:r>
        <w:rPr>
          <w:spacing w:val="-4"/>
          <w:sz w:val="22"/>
        </w:rPr>
        <w:t>Как отмечалось в пункте 211 первоначального доклада, первые меры позитивного действия, принятые в Коста-Рике, содержатся в Законе № 7142 "О содействии социальному равенству женщин". В рамках данных мер указаны механизмы обеспечения участия женщин в политической жизни общества</w:t>
      </w:r>
      <w:r>
        <w:rPr>
          <w:rStyle w:val="FootnoteReference"/>
          <w:spacing w:val="-4"/>
          <w:sz w:val="22"/>
        </w:rPr>
        <w:footnoteReference w:id="14"/>
      </w:r>
      <w:r>
        <w:rPr>
          <w:spacing w:val="-4"/>
          <w:sz w:val="22"/>
        </w:rPr>
        <w:t xml:space="preserve"> и защиты прав женщин в фактических браках. С тех пор велась работа по выявлению областей, в которых многочисленные случаи проявления неравенства требовали осуществления мер по обеспечению равенства возможностей для женщин. В этих целях за отчетный период государством был осуществлен ряд стратегий и мероприятий, направленных на выполнение не только положений Конвенции, но и Пекинской платформы действий, а именно: принятие мер по обеспечению равноправного доступа женщин к властным структурам и полноправного участия в их работе, к принятию решений и участию в принятии решений, а также доступа к производственным ресурсам; претворение в жизнь политики и административной практики и предоставление соответствующих услуг в целях обеспечения равных прав и доступа для женщин, живущих в условиях бедности, к материальным ресурсам, образованию, здравоохранению и занятости; содействие применению специальных мер, нацеленных на охрану материнства несовершеннолетних и взрослых женщин.</w:t>
      </w:r>
    </w:p>
    <w:p w:rsidR="00000000" w:rsidRDefault="00000000">
      <w:pPr>
        <w:tabs>
          <w:tab w:val="left" w:pos="680"/>
        </w:tabs>
        <w:spacing w:line="260" w:lineRule="exact"/>
        <w:jc w:val="both"/>
        <w:rPr>
          <w:sz w:val="22"/>
        </w:rPr>
      </w:pPr>
    </w:p>
    <w:p w:rsidR="00000000" w:rsidRDefault="00000000">
      <w:pPr>
        <w:pStyle w:val="Heading3"/>
      </w:pPr>
      <w:r>
        <w:rPr>
          <w:caps/>
        </w:rPr>
        <w:t>м</w:t>
      </w:r>
      <w:r>
        <w:t xml:space="preserve">еры позитивного действия по ускорению установления равенства </w:t>
      </w:r>
      <w:r>
        <w:br/>
        <w:t>между мужчинами и женщинами в политических процессах</w:t>
      </w:r>
    </w:p>
    <w:p w:rsidR="00000000" w:rsidRDefault="00000000">
      <w:pPr>
        <w:pStyle w:val="BodyText"/>
        <w:tabs>
          <w:tab w:val="left" w:pos="680"/>
        </w:tabs>
        <w:spacing w:before="240" w:line="260" w:lineRule="exact"/>
        <w:rPr>
          <w:sz w:val="22"/>
        </w:rPr>
      </w:pPr>
      <w:r>
        <w:rPr>
          <w:sz w:val="22"/>
        </w:rPr>
        <w:t>188.</w:t>
      </w:r>
      <w:r>
        <w:rPr>
          <w:sz w:val="22"/>
        </w:rPr>
        <w:tab/>
        <w:t>Введение системы минимальных квот на участие женщин в политической жизни общества стало возможным только в 1996 году после реформы Избирательного кодекса, в результате которой были устранены неточные и расплывчатые формулировки соответствующих статей. Использование таких терминов, как "эффективные механизмы" и "значительный процент", затрудняли выполнение закона.</w:t>
      </w:r>
    </w:p>
    <w:p w:rsidR="00000000" w:rsidRDefault="00000000">
      <w:pPr>
        <w:tabs>
          <w:tab w:val="left" w:pos="680"/>
        </w:tabs>
        <w:spacing w:before="240" w:line="260" w:lineRule="exact"/>
        <w:jc w:val="both"/>
        <w:rPr>
          <w:sz w:val="22"/>
        </w:rPr>
      </w:pPr>
      <w:r>
        <w:rPr>
          <w:sz w:val="22"/>
        </w:rPr>
        <w:t xml:space="preserve">189. </w:t>
      </w:r>
      <w:r>
        <w:rPr>
          <w:sz w:val="22"/>
        </w:rPr>
        <w:tab/>
        <w:t>После реформирования Избирательного кодекса в соответствии с Законом № 7653 удалось разработать систему минимальных квот и обязать политические партии применять их. Данная реформа заложила основы для обеспечения более равноправного доступа женщин к участию в органах народного представительства и к принятию решений. Кроме того, эта реформа стала шагом вперед в правовой сфере и содействует равенству и равноправию между женщинами и мужчинами, а также дает импульс дискуссиям по этому вопросу.</w:t>
      </w:r>
    </w:p>
    <w:p w:rsidR="00000000" w:rsidRDefault="00000000">
      <w:pPr>
        <w:tabs>
          <w:tab w:val="left" w:pos="680"/>
        </w:tabs>
        <w:spacing w:before="240" w:line="260" w:lineRule="exact"/>
        <w:jc w:val="both"/>
        <w:rPr>
          <w:spacing w:val="-2"/>
          <w:sz w:val="22"/>
        </w:rPr>
      </w:pPr>
      <w:r>
        <w:rPr>
          <w:sz w:val="22"/>
        </w:rPr>
        <w:t xml:space="preserve">190. </w:t>
      </w:r>
      <w:r>
        <w:rPr>
          <w:sz w:val="22"/>
        </w:rPr>
        <w:tab/>
      </w:r>
      <w:r>
        <w:rPr>
          <w:spacing w:val="-2"/>
          <w:sz w:val="22"/>
        </w:rPr>
        <w:t xml:space="preserve">Однако реформированный Избирательный кодекс не лишен некоторых недостатков. </w:t>
      </w:r>
      <w:r>
        <w:rPr>
          <w:spacing w:val="-2"/>
          <w:sz w:val="22"/>
        </w:rPr>
        <w:br/>
        <w:t>С одной стороны, поскольку в нем в явной форме не указывается, что действие 40-процентной квоты распространяется на "обеспечивающие избрание (проходные) места" в партийных списках, появилась тенденция к ее применению в случаях, когда возможность избрания является минимальной или нулевой. С другой стороны, не указан точный процент денежных средств, предоставляемых политическим партиям, которые должны быть направлены на профессиональную политическую подготовку женщин, а также не предусмотрены санкции в отношении политических партий, не выполняющих положения Кодекса.</w:t>
      </w:r>
    </w:p>
    <w:p w:rsidR="00000000" w:rsidRDefault="00000000">
      <w:pPr>
        <w:tabs>
          <w:tab w:val="left" w:pos="680"/>
        </w:tabs>
        <w:spacing w:before="240" w:line="260" w:lineRule="exact"/>
        <w:jc w:val="both"/>
        <w:rPr>
          <w:sz w:val="22"/>
        </w:rPr>
      </w:pPr>
      <w:r>
        <w:rPr>
          <w:sz w:val="22"/>
        </w:rPr>
        <w:t xml:space="preserve">191. </w:t>
      </w:r>
      <w:r>
        <w:rPr>
          <w:sz w:val="22"/>
        </w:rPr>
        <w:tab/>
        <w:t xml:space="preserve">Указанные недостатки привели к тому, что на выборах 1998 года квоты, установленные Избирательным кодексом, не были применены к "обеспечивающим избрание местам" в избирательных партийных списках. Несмотря на возросшее, по сравнению с предыдущими выборами, число женщин, представленных в Законодательном собрании и муниципалитетах, минимальная квота не была выполнена. </w:t>
      </w:r>
    </w:p>
    <w:p w:rsidR="00000000" w:rsidRDefault="00000000">
      <w:pPr>
        <w:tabs>
          <w:tab w:val="left" w:pos="680"/>
        </w:tabs>
        <w:spacing w:before="240" w:line="260" w:lineRule="exact"/>
        <w:jc w:val="both"/>
        <w:rPr>
          <w:sz w:val="22"/>
        </w:rPr>
      </w:pPr>
      <w:r>
        <w:rPr>
          <w:sz w:val="22"/>
        </w:rPr>
        <w:t xml:space="preserve">192. </w:t>
      </w:r>
      <w:r>
        <w:rPr>
          <w:sz w:val="22"/>
        </w:rPr>
        <w:tab/>
        <w:t>За отчетный период ИНАМУ провел три консультации с Верховным избирательным трибуналом (ТСЕ) и предложил ему пересмотреть свои решения. Результатом явилось принятие следующих резолюций:</w:t>
      </w:r>
    </w:p>
    <w:p w:rsidR="00000000" w:rsidRDefault="00000000">
      <w:pPr>
        <w:numPr>
          <w:ilvl w:val="0"/>
          <w:numId w:val="31"/>
        </w:numPr>
        <w:tabs>
          <w:tab w:val="clear" w:pos="720"/>
          <w:tab w:val="left" w:pos="340"/>
          <w:tab w:val="left" w:pos="680"/>
        </w:tabs>
        <w:spacing w:before="240" w:line="260" w:lineRule="exact"/>
        <w:ind w:left="340" w:hanging="340"/>
        <w:jc w:val="both"/>
        <w:rPr>
          <w:sz w:val="22"/>
        </w:rPr>
      </w:pPr>
      <w:r>
        <w:rPr>
          <w:sz w:val="22"/>
        </w:rPr>
        <w:t>Резолюция № 1863 от 23 сентября 1999 года о применении квоты на участие женщин. ТСЕ единодушно высказался в том смысле, что квота должна применяться к "обеспечивающим избрание местам", а политические партии должны включить в свои уставы механизмы, обеспечивающие реальное по форме и процентной доле участие женщин в выборах. В дополнение к этому были предусмотрены санкции в отношении партий, не выполняющих данные положения.</w:t>
      </w:r>
    </w:p>
    <w:p w:rsidR="00000000" w:rsidRDefault="00000000">
      <w:pPr>
        <w:numPr>
          <w:ilvl w:val="0"/>
          <w:numId w:val="31"/>
        </w:numPr>
        <w:tabs>
          <w:tab w:val="clear" w:pos="720"/>
          <w:tab w:val="left" w:pos="340"/>
          <w:tab w:val="left" w:pos="680"/>
        </w:tabs>
        <w:spacing w:before="240" w:line="260" w:lineRule="exact"/>
        <w:ind w:left="340" w:hanging="340"/>
        <w:jc w:val="both"/>
        <w:rPr>
          <w:sz w:val="22"/>
        </w:rPr>
      </w:pPr>
      <w:r>
        <w:rPr>
          <w:sz w:val="22"/>
        </w:rPr>
        <w:t>Резолюция № 2837 от 12 декабря 1999 года об определении "проходных мест" (то есть мест в списках, дающих наиболее реальную возможность избрания), а также о методе подсчета "проходных мест". Верховный суд постановил, что они должны подсчитываться исходя из "средней традиционной величины", иными словами, "средняя величина результатов, полученных во время избирательных кампаний с участием политических групп, дает примерное число мест в списках с наиболее реальной возможностью избрания…".</w:t>
      </w:r>
    </w:p>
    <w:p w:rsidR="00000000" w:rsidRDefault="00000000">
      <w:pPr>
        <w:numPr>
          <w:ilvl w:val="0"/>
          <w:numId w:val="31"/>
        </w:numPr>
        <w:tabs>
          <w:tab w:val="clear" w:pos="720"/>
          <w:tab w:val="left" w:pos="340"/>
          <w:tab w:val="left" w:pos="680"/>
        </w:tabs>
        <w:spacing w:before="240" w:line="260" w:lineRule="exact"/>
        <w:ind w:left="340" w:hanging="340"/>
        <w:jc w:val="both"/>
        <w:rPr>
          <w:sz w:val="22"/>
        </w:rPr>
      </w:pPr>
      <w:r>
        <w:rPr>
          <w:sz w:val="22"/>
        </w:rPr>
        <w:t>Резолюция № 804-Е-2000 от 2 мая 2000 года, в которой разъясняются некоторые общие аспекты использования квоты применительно к постам советников и синдиков.</w:t>
      </w:r>
    </w:p>
    <w:p w:rsidR="00000000" w:rsidRDefault="00000000">
      <w:pPr>
        <w:pStyle w:val="BodyTextIndent3"/>
        <w:tabs>
          <w:tab w:val="left" w:pos="680"/>
        </w:tabs>
        <w:spacing w:line="260" w:lineRule="exact"/>
        <w:ind w:left="0" w:firstLine="0"/>
      </w:pPr>
      <w:r>
        <w:t xml:space="preserve">193. </w:t>
      </w:r>
      <w:r>
        <w:tab/>
        <w:t>После принятия указанных резолюций начался процесс переговоров и определения ряда процедур, касающихся применения квоты во внутрипартийной практике и соответствующих изменений в их уставах. В ходе этого процесса проявилось противодействие данному нормативному акту, что усложнило применение квоты и впоследствии затруднило реальный доступ женщин к проходным местам. Результаты выборов, состоявшихся в феврале 2002 года, показали, что традиционный подход не обеспечивает доступ женщин к проходным местам, потому что с его помощью нельзя учесть изменения в поведении избирателей, как это произошло во время данной кампании. Только партия Гражданское действие применила принцип чередования кандидатур женщин и мужчин в своих бюллетенях. Во всех остальных случаях большинство женщин оказались на "малопроходных местах" и поэтому не были избраны.</w:t>
      </w:r>
    </w:p>
    <w:p w:rsidR="00000000" w:rsidRDefault="00000000">
      <w:pPr>
        <w:tabs>
          <w:tab w:val="left" w:pos="680"/>
        </w:tabs>
        <w:spacing w:before="240" w:line="260" w:lineRule="exact"/>
        <w:jc w:val="both"/>
        <w:rPr>
          <w:sz w:val="22"/>
        </w:rPr>
      </w:pPr>
      <w:r>
        <w:rPr>
          <w:sz w:val="22"/>
        </w:rPr>
        <w:t xml:space="preserve">194. </w:t>
      </w:r>
      <w:r>
        <w:rPr>
          <w:sz w:val="22"/>
        </w:rPr>
        <w:tab/>
        <w:t>Анализ результатов прошедших выборов свидетельствует об увеличении представленности женщин в Законодательном собрании (35,08 процента) и муниципальных органах власти (около 46,7 процента советников и 53,3 процента заместителей советников), однако эти показатели не соответствуют проценту женщин, чьи кандидатуры находились на "обеспечивающих избрание местах" в избирательных бюллетенях. Что касается мест в Конгрессе, 40-процентная квота была едва выполнена. Несмотря на значительный прогресс, личные и коллективные усилия этих женщин и финансовые затраты не были пропорциональны полученным результатам.</w:t>
      </w:r>
    </w:p>
    <w:p w:rsidR="00000000" w:rsidRDefault="00000000">
      <w:pPr>
        <w:tabs>
          <w:tab w:val="left" w:pos="680"/>
        </w:tabs>
        <w:spacing w:before="240" w:line="260" w:lineRule="exact"/>
        <w:jc w:val="both"/>
        <w:rPr>
          <w:sz w:val="22"/>
        </w:rPr>
      </w:pPr>
      <w:r>
        <w:rPr>
          <w:sz w:val="22"/>
        </w:rPr>
        <w:t xml:space="preserve">195. </w:t>
      </w:r>
      <w:r>
        <w:rPr>
          <w:sz w:val="22"/>
        </w:rPr>
        <w:tab/>
        <w:t>Следует отметить усилия Верховного избирательного трибунала по контролю за выполнением и проверки минимальной квоты политического участия женщин в избирательной кампании 2002 года, и прежде всего в том, что касается соблюдения квоты на выборные должности.</w:t>
      </w:r>
    </w:p>
    <w:p w:rsidR="00000000" w:rsidRDefault="00000000">
      <w:pPr>
        <w:tabs>
          <w:tab w:val="left" w:pos="680"/>
        </w:tabs>
        <w:spacing w:before="240" w:line="260" w:lineRule="exact"/>
        <w:jc w:val="both"/>
        <w:rPr>
          <w:sz w:val="22"/>
        </w:rPr>
      </w:pPr>
      <w:r>
        <w:rPr>
          <w:sz w:val="22"/>
        </w:rPr>
        <w:t xml:space="preserve">196. </w:t>
      </w:r>
      <w:r>
        <w:rPr>
          <w:sz w:val="22"/>
        </w:rPr>
        <w:tab/>
        <w:t>Опыт двух избирательных компаний свидетельствует о необходимости продвижения правовых реформ, способствующих преодолению отмеченных препятствий. В настоящее время на рассмотрении Законодательного собрания находятся два важнейших законопроекта, призванных содействовать выполнению положений Конвенции по этому вопросу:</w:t>
      </w:r>
    </w:p>
    <w:p w:rsidR="00000000" w:rsidRDefault="00000000">
      <w:pPr>
        <w:numPr>
          <w:ilvl w:val="0"/>
          <w:numId w:val="32"/>
        </w:numPr>
        <w:tabs>
          <w:tab w:val="clear" w:pos="720"/>
          <w:tab w:val="left" w:pos="340"/>
          <w:tab w:val="left" w:pos="680"/>
        </w:tabs>
        <w:spacing w:before="240" w:line="260" w:lineRule="exact"/>
        <w:ind w:left="340" w:hanging="340"/>
        <w:jc w:val="both"/>
        <w:rPr>
          <w:sz w:val="22"/>
        </w:rPr>
      </w:pPr>
      <w:r>
        <w:rPr>
          <w:sz w:val="22"/>
        </w:rPr>
        <w:t>Проект закона о политических партиях (дело № 13862), с помощью которого предполагается исправить положение с применением минимальной 40-процентной квоты участия женщин в партийных структурах, во внутрипартийной практике и выдвижения женщин на выборные должности. Кроме того, в этом законопроекте подтверждается обязательность проведения политическими партиями обучения и профессиональной подготовки для женщин, являющихся членами этих организаций, и одновременно уточняются процедуры, предусмотренные изменениями, которые были внесены в Избирательный кодекс в 1996 году и которые сейчас допускают различные толкования.</w:t>
      </w:r>
    </w:p>
    <w:p w:rsidR="00000000" w:rsidRDefault="00000000">
      <w:pPr>
        <w:numPr>
          <w:ilvl w:val="0"/>
          <w:numId w:val="32"/>
        </w:numPr>
        <w:tabs>
          <w:tab w:val="clear" w:pos="720"/>
          <w:tab w:val="left" w:pos="340"/>
          <w:tab w:val="left" w:pos="680"/>
        </w:tabs>
        <w:spacing w:before="240" w:line="260" w:lineRule="exact"/>
        <w:ind w:left="340" w:hanging="340"/>
        <w:jc w:val="both"/>
        <w:rPr>
          <w:sz w:val="22"/>
        </w:rPr>
      </w:pPr>
      <w:r>
        <w:rPr>
          <w:sz w:val="22"/>
        </w:rPr>
        <w:t xml:space="preserve">Проект закона о внесении изменений в Избирательный кодекс, согласно которому устанавливается метод обеспечения 40-процентного участия женщин в партийных структурах, избирательных бюллетенях и списках, а также определяется требование </w:t>
      </w:r>
      <w:r>
        <w:rPr>
          <w:sz w:val="22"/>
        </w:rPr>
        <w:br/>
        <w:t>40-процентного назначения женщин на 8 категорий должностей: министров, заместителей министров, высших чиновников, начальников главных управлений, исполнительных председателей, членов руководящих советов, управляющих и их заместителей негосударственных учреждений.</w:t>
      </w:r>
    </w:p>
    <w:p w:rsidR="00000000" w:rsidRDefault="00000000">
      <w:pPr>
        <w:tabs>
          <w:tab w:val="left" w:pos="340"/>
          <w:tab w:val="left" w:pos="680"/>
        </w:tabs>
        <w:spacing w:line="260" w:lineRule="exact"/>
        <w:jc w:val="both"/>
        <w:rPr>
          <w:sz w:val="22"/>
        </w:rPr>
      </w:pPr>
    </w:p>
    <w:p w:rsidR="00000000" w:rsidRDefault="00000000">
      <w:pPr>
        <w:pStyle w:val="Heading3"/>
      </w:pPr>
      <w:bookmarkStart w:id="5" w:name="пятница"/>
      <w:bookmarkEnd w:id="5"/>
      <w:r>
        <w:rPr>
          <w:caps/>
        </w:rPr>
        <w:t>с</w:t>
      </w:r>
      <w:r>
        <w:t xml:space="preserve">пециальные меры по ускорению установления равенства </w:t>
      </w:r>
      <w:r>
        <w:br/>
        <w:t>между мужчинами и женщинами в других областях</w:t>
      </w:r>
    </w:p>
    <w:p w:rsidR="00000000" w:rsidRDefault="00000000">
      <w:pPr>
        <w:tabs>
          <w:tab w:val="left" w:pos="680"/>
        </w:tabs>
        <w:spacing w:before="240" w:line="260" w:lineRule="exact"/>
        <w:jc w:val="both"/>
        <w:rPr>
          <w:sz w:val="22"/>
        </w:rPr>
      </w:pPr>
      <w:r>
        <w:rPr>
          <w:sz w:val="22"/>
        </w:rPr>
        <w:t>197.</w:t>
      </w:r>
      <w:r>
        <w:rPr>
          <w:sz w:val="22"/>
        </w:rPr>
        <w:tab/>
        <w:t>В  Законе об улучшении социального положения женщин определены в рамках социальных программ специальные нормы защиты прав женщин в фактическом браке посредством регистрации на имя женщины любой недвижимости. Толкование статьи 7 этого закона было признано не вполне конституционным, поэтому в случаях фактического брака собственность должна регистрироваться на имя обоих супругов.</w:t>
      </w:r>
    </w:p>
    <w:p w:rsidR="00000000" w:rsidRDefault="00000000">
      <w:pPr>
        <w:tabs>
          <w:tab w:val="left" w:pos="680"/>
        </w:tabs>
        <w:spacing w:before="240" w:line="260" w:lineRule="exact"/>
        <w:jc w:val="both"/>
        <w:rPr>
          <w:sz w:val="22"/>
        </w:rPr>
      </w:pPr>
      <w:r>
        <w:rPr>
          <w:sz w:val="22"/>
        </w:rPr>
        <w:t xml:space="preserve">198. </w:t>
      </w:r>
      <w:r>
        <w:rPr>
          <w:sz w:val="22"/>
        </w:rPr>
        <w:tab/>
        <w:t xml:space="preserve">В 1996 году был принят Закон № 7600 о равенстве возможностей для нетрудоспособных. Несмотря на то что этот закон не предусматривает специальных мер в отношении женщин, в нем установлены правовые и материальные основы для принятия мер, необходимых для достижения равенства возможностей и недопущения дискриминации инвалидов, в том числе женщин. Условия жизни женщин-инвалидов таковы, что им необходим особый уход, а также требуются специальные оборудование и инфраструктура для обеспечения, например, доступа к своевременным и качественным медицинским услугам, в том числе в период беременности и родов; доступа к профессиональному обучению и достойной занятости; к спортивным и развлекательным программам; к формальному образованию; к услугам по оказанию помощи в случаях насилия в семье и насилия на сексуальной почве, а также по предотвращению такого рода насилия. </w:t>
      </w:r>
    </w:p>
    <w:p w:rsidR="00000000" w:rsidRDefault="00000000">
      <w:pPr>
        <w:tabs>
          <w:tab w:val="left" w:pos="680"/>
        </w:tabs>
        <w:spacing w:before="240" w:line="260" w:lineRule="exact"/>
        <w:jc w:val="both"/>
        <w:rPr>
          <w:spacing w:val="-2"/>
          <w:sz w:val="22"/>
        </w:rPr>
      </w:pPr>
      <w:r>
        <w:rPr>
          <w:sz w:val="22"/>
        </w:rPr>
        <w:t xml:space="preserve">199. </w:t>
      </w:r>
      <w:r>
        <w:rPr>
          <w:sz w:val="22"/>
        </w:rPr>
        <w:tab/>
      </w:r>
      <w:r>
        <w:rPr>
          <w:spacing w:val="-2"/>
          <w:sz w:val="22"/>
        </w:rPr>
        <w:t xml:space="preserve">24 апреля 1998 года был принят Закон № 7769 об оказании помощи женщинам, живущим в бедности, в котором был предусмотрен комплекс специальных мероприятий по обеспечению женщинам, живущим в бедности, доступа к программам профессионального обучения для осуществления ими своих прав человека, к профессионально-технической подготовке по линии Национального института профессионально-технического обучения и к другим услугам. Одним их таких мероприятий является программа "Растем вместе", предназначенная для женщин, которые живут в бедности. Объединенным институтом социальной помощи (ИМАС), который руководит осуществлением национальных стратегий по оказанию помощи лицам, живущим в бедности, и является ответственным за выполнение указанной программы, была сформирована группа по профессиональной подготовке, контролю и мониторингу. В соответствии с законом в ведении ИНАМУ находится осуществление, при помощи ресурсов ИМАС, компонента "Формирование человеческой личности" или "Укрепление индивидуального и коллективного потенциала женщин", как он называется в настоящее время. Но ввиду недостаточности ресурсов для претворения в жизнь этого компонента ИНАМУ отслеживал и обеспечивал качество его технической составляющей, которая обеспечивается на базе людских и финансовых ресурсов трех ведомств – ИМАС, ИНАМУ и ИНА. </w:t>
      </w:r>
    </w:p>
    <w:p w:rsidR="00000000" w:rsidRDefault="00000000">
      <w:pPr>
        <w:tabs>
          <w:tab w:val="left" w:pos="680"/>
        </w:tabs>
        <w:spacing w:before="240" w:line="260" w:lineRule="exact"/>
        <w:jc w:val="both"/>
        <w:rPr>
          <w:sz w:val="22"/>
        </w:rPr>
      </w:pPr>
      <w:r>
        <w:rPr>
          <w:sz w:val="22"/>
        </w:rPr>
        <w:t xml:space="preserve">200. </w:t>
      </w:r>
      <w:r>
        <w:rPr>
          <w:sz w:val="22"/>
        </w:rPr>
        <w:tab/>
        <w:t>Для выполнения данной цели ИНАМУ принимал и принимает активное участие в отдборе и формировании групп профессиональной подготовки, в осуществлении контроля и мониторинга, а также в техническом и методическом руководстве процессом профессиональной подготовки женщин через техническое и методическое руководство модулем "Поставим себе на службу наши знания и возможности". ИНАМУ также участвует в работе Технического секретариата Программы и Национальной межведомственной комиссии по выполнению Программы, содействуя учету интересов и потребностей женщин в принимаемых решениях.</w:t>
      </w:r>
    </w:p>
    <w:p w:rsidR="00000000" w:rsidRDefault="00000000">
      <w:pPr>
        <w:tabs>
          <w:tab w:val="left" w:pos="680"/>
        </w:tabs>
        <w:spacing w:before="240" w:line="260" w:lineRule="exact"/>
        <w:jc w:val="both"/>
        <w:rPr>
          <w:sz w:val="22"/>
        </w:rPr>
      </w:pPr>
      <w:r>
        <w:rPr>
          <w:sz w:val="22"/>
        </w:rPr>
        <w:t xml:space="preserve">201. </w:t>
      </w:r>
      <w:r>
        <w:rPr>
          <w:sz w:val="22"/>
        </w:rPr>
        <w:tab/>
        <w:t>В 1998 году были разработаны программы "Молодая любовь" и "Создаем возможности", правовой основой которых являются Кодекс о защите детей и подростков (Закон № 7739) и Общий закон о защите несовершеннолетних матерей (Закон № 7735). В рамках программы "Создаем возможности" был разработан комплекс специальных мер содействия равноправному доступу и использованию возможностей для несовершеннолетних беременных и матерей, и прежде всего тех из них, которые живут в бедности. Данная программа включает три основных компонента, направленных на возвращение этой категории населения в систему формального образования и недопущение отсева, на укрепление их индивидуального и коллективного потенциала с помощью информирования и соответствующей подготовки для осуществления своих прав человека и на проведение технического обучения по нетрадиционным конкурентоспособным специальностям.</w:t>
      </w:r>
    </w:p>
    <w:p w:rsidR="00000000" w:rsidRDefault="00000000">
      <w:pPr>
        <w:tabs>
          <w:tab w:val="left" w:pos="680"/>
        </w:tabs>
        <w:spacing w:before="240" w:line="260" w:lineRule="exact"/>
        <w:jc w:val="both"/>
        <w:rPr>
          <w:sz w:val="22"/>
        </w:rPr>
      </w:pPr>
      <w:r>
        <w:rPr>
          <w:sz w:val="22"/>
        </w:rPr>
        <w:t xml:space="preserve">202. </w:t>
      </w:r>
      <w:r>
        <w:rPr>
          <w:sz w:val="22"/>
        </w:rPr>
        <w:tab/>
        <w:t>В состав технического секретариата, ответственного за мониторинг и оценку Программы, входят представители ИМАС и ИНАМУ. Первый компонент осуществляется совместно с организациями гражданского общества, второй – совместно с Министерством народного образования и третий – с ИНА и государственными университетами. Были достигнуты следующие основные результаты:</w:t>
      </w:r>
    </w:p>
    <w:p w:rsidR="00000000" w:rsidRDefault="00000000">
      <w:pPr>
        <w:numPr>
          <w:ilvl w:val="0"/>
          <w:numId w:val="33"/>
        </w:numPr>
        <w:tabs>
          <w:tab w:val="clear" w:pos="720"/>
          <w:tab w:val="left" w:pos="340"/>
          <w:tab w:val="left" w:pos="680"/>
        </w:tabs>
        <w:spacing w:before="240" w:line="260" w:lineRule="exact"/>
        <w:ind w:left="340" w:hanging="340"/>
        <w:jc w:val="both"/>
        <w:rPr>
          <w:sz w:val="22"/>
        </w:rPr>
      </w:pPr>
      <w:r>
        <w:rPr>
          <w:sz w:val="22"/>
        </w:rPr>
        <w:t>Ежегодно в программе участвовало в среднем 4 тыс. несовершеннолетних беременных и матерей. Были организованы шестимесячные практические занятия по четыре часа в неделю для групп из 20 девушек. Помощь в проведении занятий была оказана общественными организациями. В течение всего периода обучения ИМАС предоставлял каждой девушке ежемесячную субсидию в размере 43,00 долл. США (15 тыс. колонов), а также другие виды материальной помощи (например, стипендии).</w:t>
      </w:r>
    </w:p>
    <w:p w:rsidR="00000000" w:rsidRDefault="00000000">
      <w:pPr>
        <w:numPr>
          <w:ilvl w:val="0"/>
          <w:numId w:val="33"/>
        </w:numPr>
        <w:tabs>
          <w:tab w:val="clear" w:pos="720"/>
          <w:tab w:val="left" w:pos="340"/>
          <w:tab w:val="left" w:pos="680"/>
        </w:tabs>
        <w:spacing w:before="240" w:line="260" w:lineRule="exact"/>
        <w:ind w:left="340" w:hanging="340"/>
        <w:jc w:val="both"/>
        <w:rPr>
          <w:sz w:val="22"/>
        </w:rPr>
      </w:pPr>
      <w:r>
        <w:rPr>
          <w:sz w:val="22"/>
        </w:rPr>
        <w:t>Оценка результатов и эффективности профессиональной подготовки, осуществляемой общественными организациями в рамках указанных практических занятий, показала, что, хотя процесс укрепления личностного потенциала только начался, участвовавшие девушки расширили свои познания о правах и их осуществлении; укрепилось их самосознание и самоуважение как личностей, заслуживающих уважения; они больше узнали о самих себе (о своих возможностях, способностях и слабостях); узнали о том, что доступ к ресурсам и услугам в рамках Программы является их правом, а не подачкой; оказались более подготовленными для противостояния предрассудкам и осуждению в связи с ранним материнством и бедностью. Кроме того, по окончании профессиональной подготовки, направленной на укрепление их потенциала, большинство девушек стало воспринимать группу как пространство для обмена мнениями, помощи, укрепления личного и коллективного потенциала. К началу курса более 80 процентов девушек никогда ранее не работали в группе, и их изоляция была весьма существенной. Примерно половина девушек возобновили учебу или стали получать профессионально-техническое образование; у них появилась цель повысить свой образовательный уровень, с тем чтобы занять свое место на рынке труда на достойных и конкурентоспособных условиях (Научный центр изучения положения женщин, 2002 год).</w:t>
      </w:r>
    </w:p>
    <w:p w:rsidR="00000000" w:rsidRDefault="00000000">
      <w:pPr>
        <w:numPr>
          <w:ilvl w:val="0"/>
          <w:numId w:val="33"/>
        </w:numPr>
        <w:tabs>
          <w:tab w:val="clear" w:pos="720"/>
          <w:tab w:val="left" w:pos="340"/>
          <w:tab w:val="left" w:pos="680"/>
        </w:tabs>
        <w:spacing w:before="180" w:line="260" w:lineRule="exact"/>
        <w:ind w:left="340" w:hanging="340"/>
        <w:jc w:val="both"/>
        <w:rPr>
          <w:sz w:val="22"/>
        </w:rPr>
      </w:pPr>
      <w:r>
        <w:rPr>
          <w:sz w:val="22"/>
        </w:rPr>
        <w:t>Программа выполнялась в координации с Программой комплексной помощи подросткам, осуществляемой ККСС, с деятельностью по распространению информации и медицинской помощи несовершеннолетним беременным и матерям, а также их детям в первые годы жизни. В этих целях была организована выдача полисов социального страхования несовершеннолетним матерям, участвовавшим в Программе, независимо от того, кто являлся непосредственным страхователем: они сами или их родственники.</w:t>
      </w:r>
    </w:p>
    <w:p w:rsidR="00000000" w:rsidRDefault="00000000">
      <w:pPr>
        <w:numPr>
          <w:ilvl w:val="0"/>
          <w:numId w:val="33"/>
        </w:numPr>
        <w:tabs>
          <w:tab w:val="clear" w:pos="720"/>
          <w:tab w:val="left" w:pos="340"/>
          <w:tab w:val="left" w:pos="680"/>
        </w:tabs>
        <w:spacing w:before="180" w:line="260" w:lineRule="exact"/>
        <w:ind w:left="340" w:hanging="340"/>
        <w:jc w:val="both"/>
        <w:rPr>
          <w:sz w:val="22"/>
        </w:rPr>
      </w:pPr>
      <w:r>
        <w:rPr>
          <w:sz w:val="22"/>
        </w:rPr>
        <w:t>Было оказано содействие тому, чтобы несовершеннолетние матери возобновили обучение в рамках формального образования и смогли закончить начальную или среднюю школу, главным образом используя возможности, предоставляемые системой образования. Данные мероприятия проводились совместно с Министерством народного образования. Для того чтобы эти девушки получили доступ к образованию с помощью менее формализованных, альтернативных форм обучения, предложениям в области образования была придана бóльшая гибкость.</w:t>
      </w:r>
    </w:p>
    <w:p w:rsidR="00000000" w:rsidRDefault="00000000">
      <w:pPr>
        <w:numPr>
          <w:ilvl w:val="0"/>
          <w:numId w:val="33"/>
        </w:numPr>
        <w:tabs>
          <w:tab w:val="clear" w:pos="720"/>
          <w:tab w:val="left" w:pos="340"/>
          <w:tab w:val="left" w:pos="680"/>
        </w:tabs>
        <w:spacing w:before="180" w:line="260" w:lineRule="exact"/>
        <w:ind w:left="340" w:hanging="340"/>
        <w:jc w:val="both"/>
        <w:rPr>
          <w:sz w:val="22"/>
        </w:rPr>
      </w:pPr>
      <w:r>
        <w:rPr>
          <w:sz w:val="22"/>
        </w:rPr>
        <w:t>Координация работы с Национальным стипендиальным фондом (ФОНАБЕ) в целях выдачи учебных стипендий.</w:t>
      </w:r>
    </w:p>
    <w:p w:rsidR="00000000" w:rsidRDefault="00000000">
      <w:pPr>
        <w:numPr>
          <w:ilvl w:val="0"/>
          <w:numId w:val="33"/>
        </w:numPr>
        <w:tabs>
          <w:tab w:val="clear" w:pos="720"/>
          <w:tab w:val="left" w:pos="340"/>
          <w:tab w:val="left" w:pos="680"/>
        </w:tabs>
        <w:spacing w:before="180" w:line="260" w:lineRule="exact"/>
        <w:ind w:left="340" w:hanging="340"/>
        <w:jc w:val="both"/>
        <w:rPr>
          <w:sz w:val="22"/>
        </w:rPr>
      </w:pPr>
      <w:r>
        <w:rPr>
          <w:sz w:val="22"/>
        </w:rPr>
        <w:t>Поощрение участия в программах профессионально-технической подготовки ИНА.</w:t>
      </w:r>
    </w:p>
    <w:p w:rsidR="00000000" w:rsidRDefault="00000000">
      <w:pPr>
        <w:numPr>
          <w:ilvl w:val="0"/>
          <w:numId w:val="33"/>
        </w:numPr>
        <w:tabs>
          <w:tab w:val="clear" w:pos="720"/>
          <w:tab w:val="left" w:pos="340"/>
          <w:tab w:val="left" w:pos="680"/>
        </w:tabs>
        <w:spacing w:before="180" w:line="260" w:lineRule="exact"/>
        <w:ind w:left="340" w:hanging="340"/>
        <w:jc w:val="both"/>
        <w:rPr>
          <w:sz w:val="22"/>
        </w:rPr>
      </w:pPr>
      <w:r>
        <w:rPr>
          <w:sz w:val="22"/>
        </w:rPr>
        <w:t>С помощью государственных университетов и общественных организаций начато создание новых альтернативных форм профессионально-технической подготовки для девушек и подростков. В 2002 году совместно с Технологическим институтом Коста-Рики (ИТКР) был осуществлен первый опыт такого обучения по специальностям вычислительная техника, английский язык, краснодеревщик, промышленная переработка продуктов питания.</w:t>
      </w:r>
    </w:p>
    <w:p w:rsidR="00000000" w:rsidRDefault="00000000">
      <w:pPr>
        <w:numPr>
          <w:ilvl w:val="0"/>
          <w:numId w:val="33"/>
        </w:numPr>
        <w:tabs>
          <w:tab w:val="clear" w:pos="720"/>
          <w:tab w:val="left" w:pos="340"/>
          <w:tab w:val="left" w:pos="680"/>
        </w:tabs>
        <w:spacing w:before="180" w:line="260" w:lineRule="exact"/>
        <w:ind w:left="340" w:hanging="340"/>
        <w:jc w:val="both"/>
        <w:rPr>
          <w:sz w:val="22"/>
        </w:rPr>
      </w:pPr>
      <w:r>
        <w:rPr>
          <w:sz w:val="22"/>
        </w:rPr>
        <w:t xml:space="preserve">Разработан План профессионально-технической подготовки по нетрадиционным и конкурентоспособным специальностям, который будет осуществляться совместно с ИТКР и Национальным университетом (УНА). В течение первого года будет предложено 23 варианта обучения в виде шестимесячных курсов, которыми будет охвачено 1500 девушек. Финансирование обеспечено за счет средств, поступающих в Фонд детства и юношества из налогов на сигареты и крепкие спиртные напитки (Закон № 7972). </w:t>
      </w:r>
    </w:p>
    <w:p w:rsidR="00000000" w:rsidRDefault="00000000">
      <w:pPr>
        <w:numPr>
          <w:ilvl w:val="0"/>
          <w:numId w:val="33"/>
        </w:numPr>
        <w:tabs>
          <w:tab w:val="clear" w:pos="720"/>
          <w:tab w:val="left" w:pos="340"/>
          <w:tab w:val="left" w:pos="680"/>
        </w:tabs>
        <w:spacing w:before="180" w:line="260" w:lineRule="exact"/>
        <w:ind w:left="340" w:hanging="340"/>
        <w:jc w:val="both"/>
        <w:rPr>
          <w:sz w:val="22"/>
        </w:rPr>
      </w:pPr>
      <w:r>
        <w:rPr>
          <w:sz w:val="22"/>
        </w:rPr>
        <w:t>Примерно треть девушек, участвовавших в компоненте профессиональной подготовки, завершила техническое обучение в рамках одной из предложенных программ с отличными результатами. Однако из-за того, что средний уровень образования населения, охваченного данным компонентом, составляет 5,6 класса, более половины девушек столкнулись с проблемами при попытке выйти на рынок труда по специальностям, соответствующим пройденному обучению. Для подавляющего большинства специальностей требуется как минимум закончить третий класс средней школы. Это обстоятельство представляет собой проблему, которую Программа пытается решить благодаря новаторским и гибким предложениям, которые позволят одновременно завершить формальное и профессионально-техническое образование. Одной из важнейших задач, которую необходимо решить в рамках Программы, – это преодоление таких структурных препятствий, как отсутствие помощи или альтернатив, бедность девушек и сохраняющиеся предрассудки. Выполнение этой задачи обязательно должно стать частью проводимой экономической и социальной политики.</w:t>
      </w:r>
    </w:p>
    <w:p w:rsidR="00000000" w:rsidRDefault="00000000">
      <w:pPr>
        <w:tabs>
          <w:tab w:val="left" w:pos="680"/>
        </w:tabs>
        <w:spacing w:before="240" w:line="260" w:lineRule="exact"/>
        <w:jc w:val="both"/>
        <w:rPr>
          <w:spacing w:val="-2"/>
          <w:sz w:val="22"/>
        </w:rPr>
      </w:pPr>
      <w:r>
        <w:rPr>
          <w:sz w:val="22"/>
        </w:rPr>
        <w:t xml:space="preserve">203. </w:t>
      </w:r>
      <w:r>
        <w:rPr>
          <w:sz w:val="22"/>
        </w:rPr>
        <w:tab/>
      </w:r>
      <w:r>
        <w:rPr>
          <w:spacing w:val="-2"/>
          <w:sz w:val="22"/>
        </w:rPr>
        <w:t>Модель, лежащая в основе программы "Создаем возможности", стала новаторским способом содействия равенству возможностей для тех групп населения Коста-Рики, которые подвергаются значительной дискриминации и осуждению в силу того, что они, будучи слишком молодыми и бедными, стали матерями. Патриархальное общество, ориентирующееся на взрослое население, резко порицает несовершеннолетних женщин, осмелившихся нарушить общественные заповеди, особенно те из них, которые связаны с сексом. В общественном сознании еще живучи представления, согласно которым возраст (подростковый) и социальное положение (бедность) вместе создают неблагоприятную ситуацию, когда таких лиц воспринимают не как равных, а как людей, к которым нужен иной подход. Если же к этому добавляется материнство, дискриминация и отторжение возрастают. Именно такое в</w:t>
      </w:r>
      <w:r>
        <w:rPr>
          <w:rFonts w:ascii="WP CyrillicA" w:hAnsi="WP CyrillicA"/>
          <w:sz w:val="22"/>
        </w:rPr>
        <w:t></w:t>
      </w:r>
      <w:r>
        <w:rPr>
          <w:spacing w:val="-2"/>
          <w:sz w:val="22"/>
        </w:rPr>
        <w:t>дение ситуации, которое представляет собой трудноискоренимую идеологию, повлияло на работу значительной части персонала учреждений, ответственных за предложение образовательных услуг, социального и технического обучения.</w:t>
      </w:r>
    </w:p>
    <w:p w:rsidR="00000000" w:rsidRDefault="00000000">
      <w:pPr>
        <w:tabs>
          <w:tab w:val="left" w:pos="680"/>
        </w:tabs>
        <w:spacing w:line="260" w:lineRule="exact"/>
        <w:jc w:val="both"/>
        <w:rPr>
          <w:sz w:val="22"/>
        </w:rPr>
      </w:pPr>
    </w:p>
    <w:p w:rsidR="00000000" w:rsidRDefault="00000000">
      <w:pPr>
        <w:pStyle w:val="Heading3"/>
        <w:spacing w:before="120"/>
      </w:pPr>
      <w:r>
        <w:rPr>
          <w:caps/>
        </w:rPr>
        <w:t>с</w:t>
      </w:r>
      <w:r>
        <w:t>пециальные меры, направленные на охрану материнства</w:t>
      </w:r>
    </w:p>
    <w:p w:rsidR="00000000" w:rsidRDefault="00000000">
      <w:pPr>
        <w:pStyle w:val="BodyText"/>
        <w:tabs>
          <w:tab w:val="left" w:pos="680"/>
        </w:tabs>
        <w:spacing w:before="240" w:line="260" w:lineRule="exact"/>
        <w:rPr>
          <w:sz w:val="22"/>
        </w:rPr>
      </w:pPr>
      <w:r>
        <w:rPr>
          <w:sz w:val="22"/>
        </w:rPr>
        <w:t xml:space="preserve">204. </w:t>
      </w:r>
      <w:r>
        <w:rPr>
          <w:sz w:val="22"/>
        </w:rPr>
        <w:tab/>
        <w:t>Законом о защите несовершеннолетних матерей был предусмотрен ряд мер по комплексной защите и поддержке материнства в целях обеспечения защиты прав человека этой категории населения, которая по своему гендерному статусу обычно бывает наиболее уязвимой в различных сферах жизни. После начала реализации программы "Создаем возможности" был осуществлен ряд мер по их защите и поддержке.</w:t>
      </w:r>
    </w:p>
    <w:p w:rsidR="00000000" w:rsidRDefault="00000000">
      <w:pPr>
        <w:tabs>
          <w:tab w:val="left" w:pos="680"/>
        </w:tabs>
        <w:spacing w:before="240" w:line="260" w:lineRule="exact"/>
        <w:jc w:val="both"/>
        <w:rPr>
          <w:spacing w:val="-4"/>
          <w:sz w:val="22"/>
        </w:rPr>
      </w:pPr>
      <w:r>
        <w:rPr>
          <w:sz w:val="22"/>
        </w:rPr>
        <w:t xml:space="preserve">205. </w:t>
      </w:r>
      <w:r>
        <w:rPr>
          <w:sz w:val="22"/>
        </w:rPr>
        <w:tab/>
      </w:r>
      <w:r>
        <w:rPr>
          <w:spacing w:val="-4"/>
          <w:sz w:val="22"/>
        </w:rPr>
        <w:t>Одной из специальных мер по обеспечению равноправного доступа несовершеннолетних матерей с детьми к медицинским услугам стала выдача удостоверений социального страхования. Несмотря на то что Национальный совет по защите несовершеннолетних матерей совместно с ККСС предпринял многочисленные информационные акции в целях реализации этого права, некоторые несовершеннолетние беременные и матери все еще не получили его. Исследование, проведенное Научным центром изучения положения женщин при Университете Коста-Рики (2002 год), выявило основные причины этого: отсутствие информации о наличии права на удостоверение и о способах его получения; затраты, связанные с выполнением всех формальностей и неизбежные для девушек, которые живут в отдаленных районах; усложненные формальные процедуры (например, заполнение большого количества бумаг, собеседования); неуважительное и предвзятое отношение со стороны административного персонала, предоставляющего информацию и выполняющего формальные процедуры.</w:t>
      </w:r>
    </w:p>
    <w:p w:rsidR="00000000" w:rsidRDefault="00000000">
      <w:pPr>
        <w:tabs>
          <w:tab w:val="left" w:pos="680"/>
        </w:tabs>
        <w:spacing w:before="240" w:line="260" w:lineRule="exact"/>
        <w:jc w:val="both"/>
        <w:rPr>
          <w:spacing w:val="-2"/>
          <w:sz w:val="22"/>
        </w:rPr>
      </w:pPr>
      <w:r>
        <w:rPr>
          <w:sz w:val="22"/>
        </w:rPr>
        <w:t>206.</w:t>
      </w:r>
      <w:r>
        <w:rPr>
          <w:sz w:val="22"/>
        </w:rPr>
        <w:tab/>
      </w:r>
      <w:r>
        <w:rPr>
          <w:spacing w:val="-2"/>
          <w:sz w:val="22"/>
        </w:rPr>
        <w:t>Правительственный декрет № 28118-</w:t>
      </w:r>
      <w:r>
        <w:rPr>
          <w:spacing w:val="-2"/>
          <w:sz w:val="22"/>
          <w:lang w:val="es-ES"/>
        </w:rPr>
        <w:t>S</w:t>
      </w:r>
      <w:r>
        <w:rPr>
          <w:spacing w:val="-2"/>
          <w:sz w:val="22"/>
        </w:rPr>
        <w:t xml:space="preserve"> обязал ККСС предоставлять медицинскую помощь любой беременной женщине и роженице, независимо от ее социально-экономического положения и миграционного статуса. Этот закон стал значительным шагом вперед на пути создания условий равноправного доступа к медицинским услугам для мужчин и женщин. Жизнь показывает, что большой процент женщин не имеют личной или семейной медицинской страховки на случай заболевания и материнства, так как не работают по найму, а их сожители не имеют полиса социального страхования либо материальных средств для личного страхования. Кроме того, в стране проживает большое число никарагуанских женщин, не имеющих официального миграционного статуса, которым требуется медицинская помощь до, во время и после родов; если они лишены такой помощи, их жизни и жизни их детей угрожает серьезная опасность. Несмотря на успехи, достигнутые в этой области, все еще сохраняются препятствия главным образом культурного порядка, которые должны быть искоренены, для того чтобы это право осуществлялось в полном объеме:</w:t>
      </w:r>
    </w:p>
    <w:p w:rsidR="00000000" w:rsidRDefault="00000000">
      <w:pPr>
        <w:numPr>
          <w:ilvl w:val="0"/>
          <w:numId w:val="34"/>
        </w:numPr>
        <w:tabs>
          <w:tab w:val="clear" w:pos="720"/>
          <w:tab w:val="left" w:pos="340"/>
          <w:tab w:val="left" w:pos="680"/>
        </w:tabs>
        <w:spacing w:before="180" w:line="260" w:lineRule="exact"/>
        <w:ind w:left="340" w:hanging="340"/>
        <w:jc w:val="both"/>
        <w:rPr>
          <w:sz w:val="22"/>
        </w:rPr>
      </w:pPr>
      <w:r>
        <w:rPr>
          <w:sz w:val="22"/>
        </w:rPr>
        <w:t>со стороны персонала органов здравоохранения к женщинам не всегда проявляется уважение как к личностям, обладающим всей полнотой прав;</w:t>
      </w:r>
    </w:p>
    <w:p w:rsidR="00000000" w:rsidRDefault="00000000">
      <w:pPr>
        <w:numPr>
          <w:ilvl w:val="0"/>
          <w:numId w:val="34"/>
        </w:numPr>
        <w:tabs>
          <w:tab w:val="clear" w:pos="720"/>
          <w:tab w:val="left" w:pos="340"/>
          <w:tab w:val="left" w:pos="680"/>
        </w:tabs>
        <w:spacing w:before="180" w:line="260" w:lineRule="exact"/>
        <w:ind w:left="340" w:hanging="340"/>
        <w:jc w:val="both"/>
        <w:rPr>
          <w:spacing w:val="-4"/>
          <w:sz w:val="22"/>
        </w:rPr>
      </w:pPr>
      <w:r>
        <w:rPr>
          <w:spacing w:val="-4"/>
          <w:sz w:val="22"/>
        </w:rPr>
        <w:t>сохраняется андроцентрический подход к оказанию медицинской помощи, в силу чего беременные воспринимаются как объекты, "производящие" детей. Для всех работников системы здравоохранения необходимо провести информационные и пропагандистские мероприятия с целью привить уважение к матерям как к личностям с собственными правами и достоинством, со своими чувствами, эмоциональными потребностями и запросами.</w:t>
      </w:r>
    </w:p>
    <w:p w:rsidR="00000000" w:rsidRDefault="00000000">
      <w:pPr>
        <w:tabs>
          <w:tab w:val="left" w:pos="680"/>
        </w:tabs>
        <w:spacing w:line="260" w:lineRule="exact"/>
        <w:jc w:val="both"/>
        <w:rPr>
          <w:sz w:val="22"/>
        </w:rPr>
      </w:pPr>
    </w:p>
    <w:p w:rsidR="00000000" w:rsidRDefault="00000000">
      <w:pPr>
        <w:spacing w:before="180"/>
        <w:jc w:val="center"/>
        <w:rPr>
          <w:b/>
          <w:sz w:val="22"/>
        </w:rPr>
      </w:pPr>
      <w:r>
        <w:rPr>
          <w:b/>
          <w:sz w:val="22"/>
        </w:rPr>
        <w:t xml:space="preserve">Статья 5. Меры по изменению ролей мужчин и женщин </w:t>
      </w:r>
      <w:r>
        <w:rPr>
          <w:b/>
          <w:sz w:val="22"/>
        </w:rPr>
        <w:br/>
        <w:t>и соответствующих стереотипов</w:t>
      </w:r>
    </w:p>
    <w:p w:rsidR="00000000" w:rsidRDefault="00000000">
      <w:pPr>
        <w:tabs>
          <w:tab w:val="left" w:pos="680"/>
        </w:tabs>
        <w:spacing w:before="240" w:line="260" w:lineRule="exact"/>
        <w:jc w:val="both"/>
        <w:rPr>
          <w:i/>
          <w:sz w:val="22"/>
        </w:rPr>
      </w:pPr>
      <w:r>
        <w:rPr>
          <w:i/>
          <w:sz w:val="22"/>
        </w:rPr>
        <w:t>Статья 5</w:t>
      </w:r>
    </w:p>
    <w:p w:rsidR="00000000" w:rsidRDefault="00000000">
      <w:pPr>
        <w:tabs>
          <w:tab w:val="left" w:pos="680"/>
        </w:tabs>
        <w:spacing w:before="180" w:line="260" w:lineRule="exact"/>
        <w:jc w:val="both"/>
        <w:rPr>
          <w:i/>
          <w:sz w:val="22"/>
        </w:rPr>
      </w:pPr>
      <w:r>
        <w:rPr>
          <w:i/>
          <w:sz w:val="22"/>
        </w:rPr>
        <w:t>Государства-участники принимают все соответствующие меры с целью:</w:t>
      </w:r>
    </w:p>
    <w:p w:rsidR="00000000" w:rsidRDefault="00000000">
      <w:pPr>
        <w:tabs>
          <w:tab w:val="left" w:pos="340"/>
          <w:tab w:val="left" w:pos="680"/>
        </w:tabs>
        <w:spacing w:before="180" w:line="260" w:lineRule="exact"/>
        <w:ind w:left="680" w:hanging="680"/>
        <w:jc w:val="both"/>
        <w:rPr>
          <w:i/>
          <w:sz w:val="22"/>
        </w:rPr>
      </w:pPr>
      <w:r>
        <w:rPr>
          <w:i/>
          <w:color w:val="000000"/>
          <w:sz w:val="22"/>
        </w:rPr>
        <w:tab/>
        <w:t>а)</w:t>
      </w:r>
      <w:r>
        <w:rPr>
          <w:i/>
          <w:color w:val="000000"/>
          <w:sz w:val="22"/>
        </w:rPr>
        <w:tab/>
        <w:t>изменить социальные и культурные модели поведения мужчин и женщин с целью достижения искоренения предрассудков и упразднения обычаев и всей прочей практики, которые основаны на идее неполноценности или превосходства одного из полов или стереотипности роли мужчин и женщин;</w:t>
      </w:r>
    </w:p>
    <w:p w:rsidR="00000000" w:rsidRDefault="00000000">
      <w:pPr>
        <w:tabs>
          <w:tab w:val="left" w:pos="340"/>
          <w:tab w:val="left" w:pos="680"/>
        </w:tabs>
        <w:spacing w:before="180" w:line="260" w:lineRule="exact"/>
        <w:ind w:left="680" w:hanging="680"/>
        <w:jc w:val="both"/>
        <w:rPr>
          <w:i/>
          <w:sz w:val="22"/>
        </w:rPr>
      </w:pPr>
      <w:r>
        <w:rPr>
          <w:i/>
          <w:color w:val="000000"/>
          <w:sz w:val="22"/>
        </w:rPr>
        <w:tab/>
      </w:r>
      <w:r>
        <w:rPr>
          <w:i/>
          <w:color w:val="000000"/>
          <w:sz w:val="22"/>
          <w:lang w:val="en-US"/>
        </w:rPr>
        <w:t>b</w:t>
      </w:r>
      <w:r>
        <w:rPr>
          <w:i/>
          <w:color w:val="000000"/>
          <w:sz w:val="22"/>
        </w:rPr>
        <w:t>)</w:t>
      </w:r>
      <w:r>
        <w:rPr>
          <w:i/>
          <w:color w:val="000000"/>
          <w:sz w:val="22"/>
        </w:rPr>
        <w:tab/>
        <w:t>обеспечить, чтобы семейное воспитание включало в себя правильное понимание материнства как социальной функции и признание общей ответственности мужчин и женщин за воспитание и развитие своих детей при условии, что во всех случаях интересы детей являются преобладающими.</w:t>
      </w:r>
      <w:r>
        <w:rPr>
          <w:i/>
          <w:sz w:val="22"/>
        </w:rPr>
        <w:t xml:space="preserve"> </w:t>
      </w:r>
    </w:p>
    <w:p w:rsidR="00000000" w:rsidRDefault="00000000">
      <w:pPr>
        <w:tabs>
          <w:tab w:val="left" w:pos="680"/>
        </w:tabs>
        <w:spacing w:line="260" w:lineRule="exact"/>
        <w:jc w:val="both"/>
        <w:rPr>
          <w:sz w:val="22"/>
        </w:rPr>
      </w:pPr>
    </w:p>
    <w:p w:rsidR="00000000" w:rsidRDefault="00000000">
      <w:pPr>
        <w:pStyle w:val="Heading3"/>
        <w:spacing w:before="0"/>
      </w:pPr>
      <w:r>
        <w:rPr>
          <w:caps/>
        </w:rPr>
        <w:t>г</w:t>
      </w:r>
      <w:r>
        <w:t>ендерные роли и стереотипы в образовании</w:t>
      </w:r>
    </w:p>
    <w:p w:rsidR="00000000" w:rsidRDefault="00000000">
      <w:pPr>
        <w:tabs>
          <w:tab w:val="left" w:pos="680"/>
        </w:tabs>
        <w:spacing w:before="240" w:line="260" w:lineRule="exact"/>
        <w:jc w:val="both"/>
        <w:rPr>
          <w:sz w:val="22"/>
        </w:rPr>
      </w:pPr>
      <w:r>
        <w:rPr>
          <w:sz w:val="22"/>
        </w:rPr>
        <w:t>207.</w:t>
      </w:r>
      <w:r>
        <w:rPr>
          <w:sz w:val="22"/>
        </w:rPr>
        <w:tab/>
        <w:t>В целях определения показателя участия мужчин и женщин в домашней работе были предприняты усилия по выявлению процента молодых женщин и мужчин, которые занимаются исключительно домашним хозяйством в своих семьях. Исследование Рамоса (</w:t>
      </w:r>
      <w:r>
        <w:rPr>
          <w:sz w:val="22"/>
          <w:lang w:val="en-US"/>
        </w:rPr>
        <w:t>Ramos</w:t>
      </w:r>
      <w:r>
        <w:rPr>
          <w:sz w:val="22"/>
        </w:rPr>
        <w:t>, 2001) выявило явную дифференциацию по признаку пола. Показатели для мужчин по каждому уровню доходов оказались незначительными за все годы, но, взятые в совокупности, они показывают, что примерно 1–2 процента молодых мужчин в возрасте от 12 до 17 лет выполняли исключительно домашнюю работу. Наибольший разрыв по гендерному признаку отмечается в семьях с наименьшими доходами. Исходя из максимального показателя, зарегистрированного для мужчин, можно утверждать, что если по первой группе доходов выполняют только домашнюю работу в своей семье 22 процента женщин, то соответствующий показатель для лиц мужского пола составляет 2 процента. В последней группе доходов различия не столь значительны, однако они свидетельствуют о том, что, независимо от социально-экономического уровня семьи, все бремя работы по дому возлагается на женщин, даже подростков.</w:t>
      </w:r>
    </w:p>
    <w:p w:rsidR="00000000" w:rsidRDefault="00000000">
      <w:pPr>
        <w:tabs>
          <w:tab w:val="left" w:pos="680"/>
        </w:tabs>
        <w:spacing w:before="240" w:line="260" w:lineRule="exact"/>
        <w:jc w:val="both"/>
        <w:rPr>
          <w:sz w:val="22"/>
        </w:rPr>
      </w:pPr>
      <w:r>
        <w:rPr>
          <w:sz w:val="22"/>
        </w:rPr>
        <w:t xml:space="preserve">208. </w:t>
      </w:r>
      <w:r>
        <w:rPr>
          <w:sz w:val="22"/>
        </w:rPr>
        <w:tab/>
        <w:t>Исключительное выполнение домашней работы может негативно сказаться на развитии личности девушек и формировании их представлений о себе не только потому, что они оказываются вне системы образования, но и в связи с тем, что выполняемая ими работа недооценивается обществом, и они ощущают свою "ничтожность" во всей совокупности социально-экономических отношений в стране. Вместе с тем эта работа может считаться видом деятельности, который позволяет экономить финансовые ресурсы семьи и облегчает трудовое участие остальных взрослых и несовершеннолетних ее членов.</w:t>
      </w:r>
    </w:p>
    <w:p w:rsidR="00000000" w:rsidRDefault="00000000">
      <w:pPr>
        <w:tabs>
          <w:tab w:val="left" w:pos="680"/>
        </w:tabs>
        <w:spacing w:before="200" w:line="260" w:lineRule="exact"/>
        <w:jc w:val="both"/>
        <w:rPr>
          <w:sz w:val="22"/>
        </w:rPr>
      </w:pPr>
      <w:r>
        <w:rPr>
          <w:sz w:val="22"/>
        </w:rPr>
        <w:t xml:space="preserve">209. </w:t>
      </w:r>
      <w:r>
        <w:rPr>
          <w:sz w:val="22"/>
        </w:rPr>
        <w:tab/>
        <w:t>Учитывая вышесказанное, подсчет случаев совмещения работы и учебы показал, что процент работающих девушек немного выше, чем соответствующий процент юношей. В группе с наименьшими доходами какой-либо вид работы выполняли 31 процент женщин и 28 процентов мужчин. В целом процент работающих молодых людей практический одинаков: 27 процентов женщин и 27,6 процента мужчин. По мере возрастания семейных доходов отмечается, что работающих женщин меньше, чем мужчин. Кроме того, чаще работают женщины с низкими материальными ресурсами, чем с более высокими. Следовательно, необходимо изменить культурное и экономическое представление о домашнем труде в семьях, что станет первым шагом на пути оценки вклада молодых женщин и мужчин, которые по разным причинам выполняют только такую работу.</w:t>
      </w:r>
    </w:p>
    <w:p w:rsidR="00000000" w:rsidRDefault="00000000">
      <w:pPr>
        <w:tabs>
          <w:tab w:val="left" w:pos="680"/>
        </w:tabs>
        <w:spacing w:before="200" w:line="260" w:lineRule="exact"/>
        <w:jc w:val="both"/>
        <w:rPr>
          <w:spacing w:val="-4"/>
          <w:sz w:val="22"/>
        </w:rPr>
      </w:pPr>
      <w:r>
        <w:rPr>
          <w:sz w:val="22"/>
        </w:rPr>
        <w:t xml:space="preserve">210. </w:t>
      </w:r>
      <w:r>
        <w:rPr>
          <w:sz w:val="22"/>
        </w:rPr>
        <w:tab/>
      </w:r>
      <w:r>
        <w:rPr>
          <w:spacing w:val="-4"/>
          <w:sz w:val="22"/>
        </w:rPr>
        <w:t xml:space="preserve">В социокультурных гендерных моделях воспроизводятся сексистские предрассудки и практика, наблюдающиеся как в аудиториях, так и за их пределами. Проявления гендерного неравенства не преодолеваются посредством обеспечения женщинам равноправного доступа к обучению. Также представляются недостаточными усилия по снижению уровней отсева и второгодничества. Ряд исследований свидетельствуют о том, что для женщин характерна более высокая успеваемость, несмотря на то что все еще существуют "скрытые учебные планы" и педагогика, способствующие поддержанию стереотипов ролей, а также социальных отношений мужчин и женщин, что свидетельствует о сохранении общественных установлений, ограничивающих развитие потенциала и способностей женщин и увековечивающих их подчиненное положение и дискриминацию (проект "Состояние наций", 2001 год). </w:t>
      </w:r>
    </w:p>
    <w:p w:rsidR="00000000" w:rsidRDefault="00000000">
      <w:pPr>
        <w:tabs>
          <w:tab w:val="left" w:pos="680"/>
        </w:tabs>
        <w:spacing w:before="200" w:line="260" w:lineRule="exact"/>
        <w:jc w:val="both"/>
        <w:rPr>
          <w:sz w:val="22"/>
        </w:rPr>
      </w:pPr>
      <w:r>
        <w:rPr>
          <w:sz w:val="22"/>
        </w:rPr>
        <w:t xml:space="preserve">211. </w:t>
      </w:r>
      <w:r>
        <w:rPr>
          <w:sz w:val="22"/>
        </w:rPr>
        <w:tab/>
        <w:t>ИНАМУ совместно с Министерством народного образования осуществил ряд инициатив, направленных на пересмотр учебных планов, создание дополнительных учебных материалов для преподавателей и учащихся, содействие созданию учебников с учетом гендерного подхода и подготовку свободных от сексизма педагогических методик. Вместе с тем учебные планы пока еще игнорируют специфические потребности и интересы женщин и мужчин в том, что касается физической инфраструктуры и учебных материалов. Эти скрытые гендерные различия присутствуют в аудиториях, в школах и колледжах, а также в семье, что укрепляет и оправдывает отношение к людям в зависимости от их пола. Подобная практика оказывает пагубное воздействие на развитие личности и одновременно нарушает конституционные нормы, соответствующие международному праву и провозглашающие равенство и равноправие мужчин и женщин в том, что касается доступа к образованию и использования связанных с этим выгод последнего.</w:t>
      </w:r>
    </w:p>
    <w:p w:rsidR="00000000" w:rsidRDefault="00000000">
      <w:pPr>
        <w:tabs>
          <w:tab w:val="left" w:pos="680"/>
        </w:tabs>
        <w:spacing w:before="200" w:line="260" w:lineRule="exact"/>
        <w:jc w:val="both"/>
        <w:rPr>
          <w:sz w:val="22"/>
        </w:rPr>
      </w:pPr>
      <w:r>
        <w:rPr>
          <w:sz w:val="22"/>
        </w:rPr>
        <w:t xml:space="preserve">212. </w:t>
      </w:r>
      <w:r>
        <w:rPr>
          <w:sz w:val="22"/>
        </w:rPr>
        <w:tab/>
        <w:t>Издание учебников из серии "Навстречу ХХ</w:t>
      </w:r>
      <w:r>
        <w:rPr>
          <w:sz w:val="22"/>
          <w:lang w:val="en-US"/>
        </w:rPr>
        <w:t>I</w:t>
      </w:r>
      <w:r>
        <w:rPr>
          <w:sz w:val="22"/>
        </w:rPr>
        <w:t xml:space="preserve"> веку" стало результатом усилий, которые Коста-Рика прилагала в течение десятилетий для обеспечения школы учебниками, язык и иллюстрации которых не закрепляют традиционные гендерные роли и стереотипы. Одним из препятствий, мешающих обеспечению всех государственных учебных заведений такими учебниками, стала резолюция Четвертой палаты Верховного суда в связи с иском, который был подан группой издательских компаний ввиду того, что признание данных учебников официальными якобы ущемляет их интересы и наносит ущерб свободной конкуренции. ИНАМУ развернул широкую пропагандистскую кампанию и провел консультации с этими издательствами, с тем чтобы они использовали в выпускаемых ими учебниках несексистский язык и искоренили из содержания гендерные стереотипы.</w:t>
      </w:r>
    </w:p>
    <w:p w:rsidR="00000000" w:rsidRDefault="00000000">
      <w:pPr>
        <w:tabs>
          <w:tab w:val="left" w:pos="680"/>
        </w:tabs>
        <w:spacing w:before="240" w:line="260" w:lineRule="exact"/>
        <w:jc w:val="both"/>
        <w:rPr>
          <w:sz w:val="22"/>
        </w:rPr>
      </w:pPr>
      <w:r>
        <w:rPr>
          <w:sz w:val="22"/>
        </w:rPr>
        <w:t xml:space="preserve">213. </w:t>
      </w:r>
      <w:r>
        <w:rPr>
          <w:sz w:val="22"/>
        </w:rPr>
        <w:tab/>
        <w:t>Одной из отмеченных проблем было то, что, несмотря на постоянные изменения и модернизацию учебных материалов, в большом количестве имеющихся учебников по-прежнему отмечаются целенаправленное принижение роли женщин и сексизм текстов и иллюстраций. Кроме того, в них преобладают родовые обозначения, множественное число образуется от существительных мужского рода, воспроизводятся стереотипы, которые отводят женщинам преимущественно домашнюю сферу, а мужчинам – публичную.</w:t>
      </w:r>
    </w:p>
    <w:p w:rsidR="00000000" w:rsidRDefault="00000000">
      <w:pPr>
        <w:tabs>
          <w:tab w:val="left" w:pos="680"/>
        </w:tabs>
        <w:spacing w:before="240" w:line="260" w:lineRule="exact"/>
        <w:jc w:val="both"/>
        <w:rPr>
          <w:sz w:val="22"/>
        </w:rPr>
      </w:pPr>
      <w:r>
        <w:rPr>
          <w:sz w:val="22"/>
        </w:rPr>
        <w:t xml:space="preserve">214. </w:t>
      </w:r>
      <w:r>
        <w:rPr>
          <w:sz w:val="22"/>
        </w:rPr>
        <w:tab/>
        <w:t>Начиная с 1994 года прилагаются усилия по включению гендерного подхода в учебные и управленческие процессы. Одним из наиболее успешных опытов стал проект "Построение культуры гендерного равенства в ведущих школах", который осуществлялся совместно с Канцелярией первой дамы в период с 1999 по 2002 год. Одним из центральных мероприятий в рамках этой инициативы стало создание инструмента для выявления и анализа сексистского подхода в учебном процессе. Данная инициатива получила положительную оценку, так как она способствовала изменениям в целях более равномерного распределения пространства в классах и местах отдыха, для идентификации девочек и мальчиков с помощью дифференцированных нестереотипных характеристик, для чередования рядов парт, занимаемых мальчиками и девочками, и образования учебных групп.</w:t>
      </w:r>
    </w:p>
    <w:p w:rsidR="00000000" w:rsidRDefault="00000000">
      <w:pPr>
        <w:tabs>
          <w:tab w:val="left" w:pos="680"/>
        </w:tabs>
        <w:spacing w:before="240" w:line="260" w:lineRule="exact"/>
        <w:jc w:val="both"/>
        <w:rPr>
          <w:sz w:val="22"/>
        </w:rPr>
      </w:pPr>
      <w:r>
        <w:rPr>
          <w:sz w:val="22"/>
        </w:rPr>
        <w:t xml:space="preserve">215. </w:t>
      </w:r>
      <w:r>
        <w:rPr>
          <w:sz w:val="22"/>
        </w:rPr>
        <w:tab/>
        <w:t>Другим достижением стали разработка Стратегического плана действий Министерства народного образования и включение 21 мероприятия в оперативные программы действий (ПАО) и бюджеты ведомств, ответственных за их выполнение. Однако изменение учебных планов и искоренение сексистских педагогических методов требует постоянной и систематической пропагандистской работы и подготовки преподавателей. ИНАМУ и отдел по гендерным вопросам МЕП отмечали, что одним из серьезных препятствий является ограниченность средств, выделяемых для оплаты командировочных сотрудникам, которые участвуют в мероприятиях, а также трудности, связанные с тем, что для получения отпуска с сохранением заработной платы необходимо выполнять учебную нагрузку в течение предшествующих 200 дней.</w:t>
      </w:r>
    </w:p>
    <w:p w:rsidR="00000000" w:rsidRDefault="00000000">
      <w:pPr>
        <w:pStyle w:val="BodyText"/>
        <w:tabs>
          <w:tab w:val="left" w:pos="680"/>
        </w:tabs>
        <w:spacing w:before="240" w:line="260" w:lineRule="exact"/>
        <w:rPr>
          <w:sz w:val="22"/>
        </w:rPr>
      </w:pPr>
      <w:r>
        <w:rPr>
          <w:sz w:val="22"/>
        </w:rPr>
        <w:t xml:space="preserve">216. </w:t>
      </w:r>
      <w:r>
        <w:rPr>
          <w:sz w:val="22"/>
        </w:rPr>
        <w:tab/>
        <w:t>Сохраняется значительная сегрегация в выборе специальности и области знания. Она проявляется в том, что женщины часто не допускаются к овладению естественнонаучными и техническими знаниями. Данная проблема проявилась при выборе специальности в технических колледжах, ИНА, в системе парауниверситетов и в университетах. Например, во внеаудиторной технической специализации (ИНА) сегрегация составила 21 процент, при том что относительная доля женщин составляет 45 процентов. В государственных университетах сегрегация была умеренной (16,5 процента) с учетом того, что женщины составляют чуть более половины всех студентов. Несмотря на то что в ряде исследований отмечаются положительные сдвиги в процессах сегрегации благодаря стремлению женщин к овладению многими специальностями, считавшимися "мужскими", в естественнонаучных и технических дисциплинах женщины пока еще представлены слабо (проект "Состояние нации", 2001 год).</w:t>
      </w:r>
    </w:p>
    <w:p w:rsidR="00000000" w:rsidRDefault="00000000">
      <w:pPr>
        <w:tabs>
          <w:tab w:val="left" w:pos="680"/>
        </w:tabs>
        <w:spacing w:before="240" w:line="260" w:lineRule="exact"/>
        <w:jc w:val="both"/>
        <w:rPr>
          <w:sz w:val="22"/>
        </w:rPr>
      </w:pPr>
      <w:r>
        <w:rPr>
          <w:sz w:val="22"/>
        </w:rPr>
        <w:t xml:space="preserve">217. </w:t>
      </w:r>
      <w:r>
        <w:rPr>
          <w:sz w:val="22"/>
        </w:rPr>
        <w:tab/>
        <w:t>На этих уровнях сегрегация проявлялась в том, что в группе специалистов по естественным и точным наукам, агрономов, инженеров и технологов женщины были представлены слабо. Национальный совет по науке и технике отметил небольшой рост числа женщин в так называемых естественнонаучных профессиях в 1998–1999 годах. Рост составил 2,2 процента, что признано неудовлетворительным с учетом того, что женщины составляют 47 процентов всех специалистов на рынке рабочей силы.</w:t>
      </w:r>
    </w:p>
    <w:p w:rsidR="00000000" w:rsidRDefault="00000000">
      <w:pPr>
        <w:tabs>
          <w:tab w:val="left" w:pos="680"/>
        </w:tabs>
        <w:spacing w:before="240" w:line="260" w:lineRule="exact"/>
        <w:jc w:val="both"/>
        <w:rPr>
          <w:sz w:val="22"/>
        </w:rPr>
      </w:pPr>
      <w:r>
        <w:rPr>
          <w:sz w:val="22"/>
        </w:rPr>
        <w:t xml:space="preserve">218. </w:t>
      </w:r>
      <w:r>
        <w:rPr>
          <w:sz w:val="22"/>
        </w:rPr>
        <w:tab/>
        <w:t>Необходимо также отметить большую роль семьи в образовательной и профессиональной ориентации, а также давление, обычно оказываемое в связи с выбором специальности или работы в соответствии с господствующими гендерными представлениями. Все это способствует укреплению и воспроизводству образовательных структур, дискриминационных по отношению к женщинам.</w:t>
      </w:r>
    </w:p>
    <w:p w:rsidR="00000000" w:rsidRDefault="00000000">
      <w:pPr>
        <w:tabs>
          <w:tab w:val="left" w:pos="680"/>
        </w:tabs>
        <w:spacing w:before="240" w:line="260" w:lineRule="exact"/>
        <w:jc w:val="both"/>
        <w:rPr>
          <w:sz w:val="22"/>
        </w:rPr>
      </w:pPr>
      <w:r>
        <w:rPr>
          <w:sz w:val="22"/>
        </w:rPr>
        <w:t xml:space="preserve">219. </w:t>
      </w:r>
      <w:r>
        <w:rPr>
          <w:sz w:val="22"/>
        </w:rPr>
        <w:tab/>
        <w:t>Этот факт показывает, что интеграция в традиционно сегрегированных специальностях, а также достижение равенства возможностей для женщин – особенно в области естественнонаучного и технического образования – по-прежнему являются самыми важными задачами в деле достижения равенства в этой области.</w:t>
      </w:r>
    </w:p>
    <w:p w:rsidR="00000000" w:rsidRDefault="00000000">
      <w:pPr>
        <w:tabs>
          <w:tab w:val="left" w:pos="680"/>
        </w:tabs>
        <w:spacing w:before="240" w:line="260" w:lineRule="exact"/>
        <w:jc w:val="both"/>
        <w:rPr>
          <w:sz w:val="22"/>
        </w:rPr>
      </w:pPr>
      <w:r>
        <w:rPr>
          <w:sz w:val="22"/>
        </w:rPr>
        <w:t xml:space="preserve">220. </w:t>
      </w:r>
      <w:r>
        <w:rPr>
          <w:sz w:val="22"/>
        </w:rPr>
        <w:tab/>
        <w:t>В результате значительных усилий в 1998 году была создана Национальная система технического образования (СИНЕТЕК), в рамках которой была образована Комиссия по делам женщин в техническом образовании, в состав которой входит ИНАМУ. Одной из целей СИНЕТЕК является создание базы для профессиональной подготовки, содействующей привлечению женщин к новым высокопроизводительным специальностям.</w:t>
      </w:r>
    </w:p>
    <w:p w:rsidR="00000000" w:rsidRDefault="00000000">
      <w:pPr>
        <w:tabs>
          <w:tab w:val="left" w:pos="680"/>
        </w:tabs>
        <w:spacing w:before="240" w:line="260" w:lineRule="exact"/>
        <w:jc w:val="both"/>
        <w:rPr>
          <w:sz w:val="22"/>
        </w:rPr>
      </w:pPr>
      <w:r>
        <w:rPr>
          <w:sz w:val="22"/>
        </w:rPr>
        <w:t xml:space="preserve">221. </w:t>
      </w:r>
      <w:r>
        <w:rPr>
          <w:sz w:val="22"/>
        </w:rPr>
        <w:tab/>
        <w:t>Специализированные отделы по изучению положения женщин и достижения гендерного равенства при государственных университетах выдвинули ряд инициатив по внесению изменений в университетские учебные планы. В 2001 году Университет Коста-Рики представил первый отчет о положении в области гендерного равенства и равноправия в Университете Коста-Рики. Это был первый опыт, когда ректор как верховный руководитель высшего учебного заведения представил свой отчет, послуживший основой для разработки политики содействия гендерному равенству во всех сферах жизни университета. Помимо выявления проблем в отчете был предложен комплекс показателей, необходимых для осуществления в будущем оценки, позволяющей определить наличие прогресса в выполнении соответствующих обязательств.</w:t>
      </w:r>
    </w:p>
    <w:p w:rsidR="00000000" w:rsidRDefault="00000000">
      <w:pPr>
        <w:tabs>
          <w:tab w:val="left" w:pos="680"/>
        </w:tabs>
        <w:spacing w:before="240" w:line="260" w:lineRule="exact"/>
        <w:jc w:val="both"/>
        <w:rPr>
          <w:spacing w:val="-2"/>
          <w:sz w:val="22"/>
        </w:rPr>
      </w:pPr>
      <w:r>
        <w:rPr>
          <w:sz w:val="22"/>
        </w:rPr>
        <w:t xml:space="preserve">222. </w:t>
      </w:r>
      <w:r>
        <w:rPr>
          <w:sz w:val="22"/>
        </w:rPr>
        <w:tab/>
      </w:r>
      <w:r>
        <w:rPr>
          <w:spacing w:val="-2"/>
          <w:sz w:val="22"/>
        </w:rPr>
        <w:t>Важным достижением страны, которое характеризует успехи в выполнении обязательств Пекинской платформы действий, стало включение в процесс обучения сексуального воспитания, которое не ограничивается лишь репродуктивными функциями. Эти изменения призваны были привести к отказу от традиционного подхода к этим проблемам, которые господствовали в обществе и в системе образования. Однако выполнение этой задачи сопровождалось противодействием, бурной полемикой, а иногда и сдачей позиций.</w:t>
      </w:r>
    </w:p>
    <w:p w:rsidR="00000000" w:rsidRDefault="00000000">
      <w:pPr>
        <w:tabs>
          <w:tab w:val="left" w:pos="680"/>
        </w:tabs>
        <w:spacing w:before="240" w:line="260" w:lineRule="exact"/>
        <w:jc w:val="both"/>
        <w:rPr>
          <w:sz w:val="22"/>
        </w:rPr>
      </w:pPr>
      <w:r>
        <w:rPr>
          <w:sz w:val="22"/>
        </w:rPr>
        <w:t xml:space="preserve">223. </w:t>
      </w:r>
      <w:r>
        <w:rPr>
          <w:sz w:val="22"/>
        </w:rPr>
        <w:tab/>
        <w:t>В 1984 году были разработаны первые руководства по сексуальному воспитанию для третьего цикла школьного обучения (7-й, 8-й и 9-й классы), предназначенные для учителей. Из-за жесткой критики со стороны церкви в лице Епископской конференции не удалось издать руководства в том виде, как они были подготовлены в рамках проекта "Образование в массы". В 1993 году сексуальное воспитание стало постепенно включаться в программы по другим дисциплинам, благодаря чему они вошли во все базовые циклы системы образования, включая дошкольное образование. Но, несмотря на формальные успехи, на практике прогресс был медленным из-за многочисленных случаев сопротивления властей и сотрудников МЕП, а также из-за вмешательства групп, связанных с Католической церковью, главным образом с Епископской конференцией.</w:t>
      </w:r>
    </w:p>
    <w:p w:rsidR="00000000" w:rsidRDefault="00000000">
      <w:pPr>
        <w:tabs>
          <w:tab w:val="left" w:pos="680"/>
        </w:tabs>
        <w:spacing w:before="240" w:line="260" w:lineRule="exact"/>
        <w:jc w:val="both"/>
        <w:rPr>
          <w:sz w:val="22"/>
        </w:rPr>
      </w:pPr>
      <w:r>
        <w:rPr>
          <w:sz w:val="22"/>
        </w:rPr>
        <w:t xml:space="preserve">224. </w:t>
      </w:r>
      <w:r>
        <w:rPr>
          <w:sz w:val="22"/>
        </w:rPr>
        <w:tab/>
        <w:t>В 1998 году при администрации Родригеса было начато выполнение программы "Молодая любовь", в задачи которой входило утверждение права мальчиков, девочек и подростков на получение образования, необходимого для здорового и ответственного сексуального поведения. МЕП и другие ведомства, а также организации гражданского общества разработали определение, укрепившее и расширившее возможности образовательной системы для работы в этом направлении и для внедрения сексуального воспитания во все циклы обучения. Данный подход не ограничился рамками одного предмета; он вошел в повседневную жизнь мальчиков, девочек и подростков, в формальное и неформальное образование. Так, в программе поставлена цель укрепления потенциала девочек, мальчиков и подростков для достижения ими личностной и общественной реализации при участии их семей и общества в целом. Основу программы составили следующие положения:</w:t>
      </w:r>
    </w:p>
    <w:p w:rsidR="00000000" w:rsidRDefault="00000000">
      <w:pPr>
        <w:numPr>
          <w:ilvl w:val="0"/>
          <w:numId w:val="35"/>
        </w:numPr>
        <w:tabs>
          <w:tab w:val="clear" w:pos="720"/>
          <w:tab w:val="left" w:pos="340"/>
          <w:tab w:val="left" w:pos="680"/>
        </w:tabs>
        <w:spacing w:before="240" w:line="260" w:lineRule="exact"/>
        <w:ind w:left="340" w:hanging="340"/>
        <w:jc w:val="both"/>
        <w:rPr>
          <w:sz w:val="22"/>
        </w:rPr>
      </w:pPr>
      <w:r>
        <w:rPr>
          <w:sz w:val="22"/>
        </w:rPr>
        <w:t>рассмотрение сексуальности в ее различных проявлениях: физиологическом, психологическом, социальном и правовом, то есть как составную часть развития человеческой личности;</w:t>
      </w:r>
    </w:p>
    <w:p w:rsidR="00000000" w:rsidRDefault="00000000">
      <w:pPr>
        <w:numPr>
          <w:ilvl w:val="0"/>
          <w:numId w:val="35"/>
        </w:numPr>
        <w:tabs>
          <w:tab w:val="clear" w:pos="720"/>
          <w:tab w:val="left" w:pos="340"/>
          <w:tab w:val="left" w:pos="680"/>
        </w:tabs>
        <w:spacing w:before="240" w:line="260" w:lineRule="exact"/>
        <w:ind w:left="340" w:hanging="340"/>
        <w:jc w:val="both"/>
        <w:rPr>
          <w:sz w:val="22"/>
        </w:rPr>
      </w:pPr>
      <w:r>
        <w:rPr>
          <w:sz w:val="22"/>
        </w:rPr>
        <w:t>проведение различий между потребностями в сфере сексуальности, характерными для взрослых, и потребностями, свойственными детям и подросткам;</w:t>
      </w:r>
    </w:p>
    <w:p w:rsidR="00000000" w:rsidRDefault="00000000">
      <w:pPr>
        <w:numPr>
          <w:ilvl w:val="0"/>
          <w:numId w:val="35"/>
        </w:numPr>
        <w:tabs>
          <w:tab w:val="clear" w:pos="720"/>
          <w:tab w:val="left" w:pos="340"/>
          <w:tab w:val="left" w:pos="680"/>
        </w:tabs>
        <w:spacing w:before="240" w:line="260" w:lineRule="exact"/>
        <w:ind w:left="340" w:hanging="340"/>
        <w:jc w:val="both"/>
        <w:rPr>
          <w:sz w:val="22"/>
        </w:rPr>
      </w:pPr>
      <w:r>
        <w:rPr>
          <w:sz w:val="22"/>
        </w:rPr>
        <w:t>необходимость участия и согласованных действий различных групп: девочек, мальчиков и подростков, отцов и матерей, государственных служащих и общества в целом;</w:t>
      </w:r>
    </w:p>
    <w:p w:rsidR="00000000" w:rsidRDefault="00000000">
      <w:pPr>
        <w:numPr>
          <w:ilvl w:val="0"/>
          <w:numId w:val="35"/>
        </w:numPr>
        <w:tabs>
          <w:tab w:val="clear" w:pos="720"/>
          <w:tab w:val="left" w:pos="340"/>
          <w:tab w:val="left" w:pos="680"/>
        </w:tabs>
        <w:spacing w:before="240" w:line="260" w:lineRule="exact"/>
        <w:ind w:left="340" w:hanging="340"/>
        <w:jc w:val="both"/>
        <w:rPr>
          <w:sz w:val="22"/>
        </w:rPr>
      </w:pPr>
      <w:r>
        <w:rPr>
          <w:sz w:val="22"/>
        </w:rPr>
        <w:t>признание того факта, что дети и подростки являются субъектами прав и ответственности, способными иметь свое мнение и активно участвовать в любом аспекте личной и общественной жизни; признание того, что подростки имеют право на самостоятельное ответственное проявление своей сексуальности;</w:t>
      </w:r>
    </w:p>
    <w:p w:rsidR="00000000" w:rsidRDefault="00000000">
      <w:pPr>
        <w:numPr>
          <w:ilvl w:val="0"/>
          <w:numId w:val="35"/>
        </w:numPr>
        <w:tabs>
          <w:tab w:val="clear" w:pos="720"/>
          <w:tab w:val="left" w:pos="340"/>
          <w:tab w:val="left" w:pos="680"/>
        </w:tabs>
        <w:spacing w:before="240" w:line="260" w:lineRule="exact"/>
        <w:ind w:left="340" w:hanging="340"/>
        <w:jc w:val="both"/>
        <w:rPr>
          <w:sz w:val="22"/>
        </w:rPr>
      </w:pPr>
      <w:r>
        <w:rPr>
          <w:sz w:val="22"/>
        </w:rPr>
        <w:t>сокращение значительно возросшего числа случаев подростковой беременности, ограничивающей развитие девочек-подростков и их детей;</w:t>
      </w:r>
    </w:p>
    <w:p w:rsidR="00000000" w:rsidRDefault="00000000">
      <w:pPr>
        <w:numPr>
          <w:ilvl w:val="0"/>
          <w:numId w:val="35"/>
        </w:numPr>
        <w:tabs>
          <w:tab w:val="clear" w:pos="720"/>
          <w:tab w:val="left" w:pos="340"/>
          <w:tab w:val="left" w:pos="680"/>
        </w:tabs>
        <w:spacing w:before="240" w:line="260" w:lineRule="exact"/>
        <w:ind w:left="340" w:hanging="340"/>
        <w:jc w:val="both"/>
        <w:rPr>
          <w:spacing w:val="-4"/>
          <w:sz w:val="22"/>
        </w:rPr>
      </w:pPr>
      <w:r>
        <w:rPr>
          <w:spacing w:val="-4"/>
          <w:sz w:val="22"/>
        </w:rPr>
        <w:t>признание наличия других факторов риска для детей и подростков, таких как гендерный статус, насилие в семье и насилие на сексуальной почве, отсутствие соответствующей информации и сексуального воспитания, отсутствие специализированных услуг, непризнание сексуальности в качестве составной части развития детей и подростков, а также наличие глубокого социального, культурного и экономического неравенства, которое приводит к исключению некоторых групп населения из общественного и экономического развития (программы "Молодая любовь" и "Создаем возможности", 1999 год).</w:t>
      </w:r>
    </w:p>
    <w:p w:rsidR="00000000" w:rsidRDefault="00000000">
      <w:pPr>
        <w:tabs>
          <w:tab w:val="left" w:pos="680"/>
        </w:tabs>
        <w:spacing w:before="240" w:line="260" w:lineRule="exact"/>
        <w:jc w:val="both"/>
        <w:rPr>
          <w:sz w:val="22"/>
        </w:rPr>
      </w:pPr>
      <w:r>
        <w:rPr>
          <w:sz w:val="22"/>
        </w:rPr>
        <w:t xml:space="preserve">225. </w:t>
      </w:r>
      <w:r>
        <w:rPr>
          <w:sz w:val="22"/>
        </w:rPr>
        <w:tab/>
      </w:r>
      <w:r>
        <w:rPr>
          <w:sz w:val="22"/>
          <w:lang w:val="en-US"/>
        </w:rPr>
        <w:t>Faerr</w:t>
      </w:r>
      <w:r>
        <w:rPr>
          <w:sz w:val="22"/>
        </w:rPr>
        <w:t>ó</w:t>
      </w:r>
      <w:r>
        <w:rPr>
          <w:sz w:val="22"/>
          <w:lang w:val="en-US"/>
        </w:rPr>
        <w:t>n</w:t>
      </w:r>
      <w:r>
        <w:rPr>
          <w:sz w:val="22"/>
        </w:rPr>
        <w:t xml:space="preserve"> (2002) в своем исследовании по этому вопросу показал, что осуществленные в стране программы сексуального воспитания были неэффективными. Это воспитание, соответствующее чисто физиологическому представлению о сексуальности, широко распространено в системе образования и, следовательно, прочно укоренилось в сознании детей и подростков.</w:t>
      </w:r>
    </w:p>
    <w:p w:rsidR="00000000" w:rsidRDefault="00000000">
      <w:pPr>
        <w:tabs>
          <w:tab w:val="left" w:pos="680"/>
        </w:tabs>
        <w:spacing w:before="240" w:line="260" w:lineRule="exact"/>
        <w:jc w:val="both"/>
        <w:rPr>
          <w:sz w:val="22"/>
        </w:rPr>
      </w:pPr>
      <w:r>
        <w:rPr>
          <w:sz w:val="22"/>
        </w:rPr>
        <w:t xml:space="preserve">226. </w:t>
      </w:r>
      <w:r>
        <w:rPr>
          <w:sz w:val="22"/>
        </w:rPr>
        <w:tab/>
        <w:t>В рамках программы была сделана попытка внедрить новые методы сексуального воспитания на основе междисциплинарного подхода, всеобъемлющего соблюдения прав человека, учета гендерных и возрастных особенностей, установления равноправных отношений между женщинами и мужчинами, диалога между поколениями и внутри поколений, а также взаимного уважения к культурным ценностям и их сосуществования. Была поставлена цель предложить новый вариант образовательных стратегий, основанных на более широком представлении о сексуальности в отличие от прежних стратегий, базировавшихся на негативном и ограниченном ее понимании. С этой точки зрения следует отметить новаторский характер программы "Молодая любовь", так как в ней была сделана попытка заложить основы новой государственной политики в области сексуального воспитания и обеспечить ее осуществление в среднесрочной и долгосрочной перспективах.</w:t>
      </w:r>
    </w:p>
    <w:p w:rsidR="00000000" w:rsidRDefault="00000000">
      <w:pPr>
        <w:tabs>
          <w:tab w:val="left" w:pos="680"/>
        </w:tabs>
        <w:spacing w:before="240" w:line="260" w:lineRule="exact"/>
        <w:jc w:val="both"/>
        <w:rPr>
          <w:sz w:val="22"/>
        </w:rPr>
      </w:pPr>
      <w:r>
        <w:rPr>
          <w:sz w:val="22"/>
        </w:rPr>
        <w:t xml:space="preserve">227. </w:t>
      </w:r>
      <w:r>
        <w:rPr>
          <w:sz w:val="22"/>
        </w:rPr>
        <w:tab/>
        <w:t xml:space="preserve">Эта программа представляла собой шаг вперед, так как в ней учитывались потребности и пожелания самих детей и подростков; она не была реакцией на обеспокоенность мира взрослых или результатом этой обеспокоенности. Усилия были сосредоточены не на сексуальном и репродуктивном здоровье, а на реализации права детей и подростков на гармоничное развитие. В задачи программы входило выполнение обязательств, взятых на себя страной при ратификации Конвенции о правах ребенка, а также в связи с Программой действий Международной конференции по народонаселению и развитию и Платформой действий </w:t>
      </w:r>
      <w:r>
        <w:rPr>
          <w:sz w:val="22"/>
          <w:lang w:val="es-ES"/>
        </w:rPr>
        <w:t>IV</w:t>
      </w:r>
      <w:r>
        <w:rPr>
          <w:sz w:val="22"/>
        </w:rPr>
        <w:t xml:space="preserve"> Всемирной конференции по положению женщин, в которой говорится:</w:t>
      </w:r>
    </w:p>
    <w:p w:rsidR="00000000" w:rsidRDefault="00000000">
      <w:pPr>
        <w:tabs>
          <w:tab w:val="left" w:pos="680"/>
        </w:tabs>
        <w:spacing w:before="240" w:line="260" w:lineRule="exact"/>
        <w:ind w:left="680" w:hanging="680"/>
        <w:jc w:val="both"/>
        <w:rPr>
          <w:i/>
          <w:sz w:val="22"/>
        </w:rPr>
      </w:pPr>
      <w:r>
        <w:rPr>
          <w:i/>
          <w:sz w:val="22"/>
        </w:rPr>
        <w:tab/>
        <w:t>"Права человека женщины включают в себя ее право осуществлять контроль над вопросами, касающимися ее сексуального поведения, включая сексуальное и репродуктивное здоровье, и свободно и ответственно принимать по ним решения без какого то ни было принуждения, дискриминации и насилия. Равные взаимоотношения женщин и мужчин в вопросах сексуальных отношений и репродуктивного поведения, в том числе полное уважение неприкосновенности личности, требуют взаимного уважения, согласия и общей ответственности за сексуальное поведение и его последствия".</w:t>
      </w:r>
    </w:p>
    <w:p w:rsidR="00000000" w:rsidRDefault="00000000">
      <w:pPr>
        <w:tabs>
          <w:tab w:val="left" w:pos="680"/>
        </w:tabs>
        <w:spacing w:before="240" w:line="260" w:lineRule="exact"/>
        <w:jc w:val="both"/>
        <w:rPr>
          <w:sz w:val="22"/>
        </w:rPr>
      </w:pPr>
      <w:r>
        <w:rPr>
          <w:sz w:val="22"/>
        </w:rPr>
        <w:t>228.</w:t>
      </w:r>
      <w:r>
        <w:rPr>
          <w:sz w:val="22"/>
        </w:rPr>
        <w:tab/>
        <w:t>В качестве приоритетной цели программы техническая группа выдвинула профессиональную подготовку преподавателей, а также пересмотр учебных программ. Данная цель сочетается с другими мероприятиями, направленными, в свою очередь, на группы населения, не охваченные школой. Было включено пять компонентов: профессиональная подготовка, улучшение информированности, участие, анализ и изучение правовых нормативных актов. Однако удалось претворить в жизнь только три из них: профессиональную подготовку, улучшение информированности и участие.</w:t>
      </w:r>
    </w:p>
    <w:p w:rsidR="00000000" w:rsidRDefault="00000000">
      <w:pPr>
        <w:tabs>
          <w:tab w:val="left" w:pos="680"/>
        </w:tabs>
        <w:spacing w:before="240" w:line="260" w:lineRule="exact"/>
        <w:jc w:val="both"/>
        <w:rPr>
          <w:sz w:val="22"/>
        </w:rPr>
      </w:pPr>
      <w:r>
        <w:rPr>
          <w:sz w:val="22"/>
        </w:rPr>
        <w:t xml:space="preserve">229. </w:t>
      </w:r>
      <w:r>
        <w:rPr>
          <w:sz w:val="22"/>
        </w:rPr>
        <w:tab/>
        <w:t>В рамках Программы осуществлялась стратегия по согласованию двух путей сексуального воспитания: содержания формальных учебных планов и программ, посредством которых учащиеся получают соответствующие знания от преподавателей, технического и административного персонала МЕП, подготовленного для проведения таких занятий; и содержания неформальных учебных планов и программ, используемых в процессе неформального обучения в учебных заведениях.</w:t>
      </w:r>
    </w:p>
    <w:p w:rsidR="00000000" w:rsidRDefault="00000000">
      <w:pPr>
        <w:tabs>
          <w:tab w:val="left" w:pos="680"/>
        </w:tabs>
        <w:spacing w:before="240" w:line="260" w:lineRule="exact"/>
        <w:jc w:val="both"/>
        <w:rPr>
          <w:sz w:val="22"/>
        </w:rPr>
      </w:pPr>
      <w:r>
        <w:rPr>
          <w:sz w:val="22"/>
        </w:rPr>
        <w:t>230.</w:t>
      </w:r>
      <w:r>
        <w:rPr>
          <w:sz w:val="22"/>
        </w:rPr>
        <w:tab/>
        <w:t>На базовых практических занятиях по сексуальному воспитанию (ТБПС) рассматриваются следующие вопросы: сексуальность как понятие, что такое гармоничная сексуальность, биологические и социальные аспекты сексуальности и т. п. В ходе обсуждения данной тематики с детьми и подростками используется методика, основанная на сотрудничестве с привлечением жизненного опыта и переживаний участников занятий, совместно анализируются предрассудки, те или иные культурные особенности, точки зрения, бытующие в обществе, а также разбираются различные теоретические положения и концепции. В дополнение к этому в задачи данного педагогического проекта входит обобщение критериев, опыта, переживаний, методической практики и способов достижения логической ясности и доходчивости, с тем чтобы лица, прошедшие профессиональную подготовку, могли легко входить в контакт с общиной, другими группами преподавателей и учащимися в интересах сотрудничества для достижения целей, преследуемых данной учебной дисциплиной.</w:t>
      </w:r>
    </w:p>
    <w:p w:rsidR="00000000" w:rsidRDefault="00000000">
      <w:pPr>
        <w:tabs>
          <w:tab w:val="left" w:pos="680"/>
        </w:tabs>
        <w:spacing w:before="240" w:line="260" w:lineRule="exact"/>
        <w:jc w:val="both"/>
        <w:rPr>
          <w:spacing w:val="-2"/>
          <w:sz w:val="22"/>
        </w:rPr>
      </w:pPr>
      <w:r>
        <w:rPr>
          <w:sz w:val="22"/>
        </w:rPr>
        <w:t xml:space="preserve">231. </w:t>
      </w:r>
      <w:r>
        <w:rPr>
          <w:sz w:val="22"/>
        </w:rPr>
        <w:tab/>
      </w:r>
      <w:r>
        <w:rPr>
          <w:spacing w:val="-2"/>
          <w:sz w:val="22"/>
        </w:rPr>
        <w:t>В дополнение к вышесказанному следует отметить, что при содействии ИНАМУ был претворен в жизнь "План профессиональной подготовки: осуществление подготовки преподавателей в рамках Министерства народного образования по предмету сексуального воспитания". В результате профессиональную подготовку прошли 1166 специалистов, в том числе преподаватели, технический и административный персонал регионального управления образования (МЕП) в Десампарадосе, Сан-Карлосе, Пунтаренасе, Лимоне и Картаго, а также группы ПРОМЕКУМ</w:t>
      </w:r>
      <w:r>
        <w:rPr>
          <w:rStyle w:val="FootnoteReference"/>
          <w:spacing w:val="-2"/>
          <w:sz w:val="22"/>
        </w:rPr>
        <w:footnoteReference w:id="15"/>
      </w:r>
      <w:r>
        <w:rPr>
          <w:spacing w:val="-2"/>
          <w:sz w:val="22"/>
        </w:rPr>
        <w:t xml:space="preserve"> и учителя некомплектных школ в районах проживания коренного населения. Благодаря этой акции в учебных заведениях, где работали указанные специалисты, началось осуществление педагогических проектов сексуального воспитания. Проекты предусматривали проведение информационных, образовательных и пропагандистских мероприятий для преподавателей, учащихся и их семей.</w:t>
      </w:r>
    </w:p>
    <w:p w:rsidR="00000000" w:rsidRDefault="00000000">
      <w:pPr>
        <w:tabs>
          <w:tab w:val="left" w:pos="680"/>
        </w:tabs>
        <w:spacing w:before="240" w:line="260" w:lineRule="exact"/>
        <w:jc w:val="both"/>
        <w:rPr>
          <w:sz w:val="22"/>
        </w:rPr>
      </w:pPr>
      <w:r>
        <w:rPr>
          <w:sz w:val="22"/>
        </w:rPr>
        <w:t xml:space="preserve">232. </w:t>
      </w:r>
      <w:r>
        <w:rPr>
          <w:sz w:val="22"/>
        </w:rPr>
        <w:tab/>
        <w:t>С другой стороны, осуществлялись кампании на местах, целью которых было привлечение внимания к теме сексуальности. С этой целью в общинах были проведены мероприятия, призванные привлечь внимание к тому, что мальчики и девочки имеют право на сексуальность. Одновременно при проведении Дней общин подростки получили возможность свободно и открыто говорить о сексуальности, не боясь осуждения и препятствий в выражении своих мыслей.</w:t>
      </w:r>
    </w:p>
    <w:p w:rsidR="00000000" w:rsidRDefault="00000000">
      <w:pPr>
        <w:tabs>
          <w:tab w:val="left" w:pos="680"/>
        </w:tabs>
        <w:spacing w:before="240" w:line="260" w:lineRule="exact"/>
        <w:jc w:val="both"/>
        <w:rPr>
          <w:sz w:val="22"/>
        </w:rPr>
      </w:pPr>
      <w:r>
        <w:rPr>
          <w:sz w:val="22"/>
        </w:rPr>
        <w:t xml:space="preserve">233. </w:t>
      </w:r>
      <w:r>
        <w:rPr>
          <w:sz w:val="22"/>
        </w:rPr>
        <w:tab/>
        <w:t>В программе "Молодая любовь" был использован методический опыт других стран, особенно Мексики, Колумбии и Чили. Были проведены "Дни бесед об эмоциональности и сексуальности", заимствованные из чилийской модели и внедренные в таких странах, как Бразилия, Мексика, Боливия и Аргентина. Эти мероприятия дали возможность охватить программой население за пределами системы образования, однако их проведение столкнулось с трудностями. С одной стороны, используемая методика вызвала сопротивление персонала технической группы. С другой стороны, иногда было сложно собрать жителей общины, а преподаватели или сама община не проявляли интереса к участию в мероприятиях. Кроме того, продолжительность мероприятий не позволила оказать существенную помощь общинам, а их массовый характер снизил эффективность.</w:t>
      </w:r>
    </w:p>
    <w:p w:rsidR="00000000" w:rsidRDefault="00000000">
      <w:pPr>
        <w:tabs>
          <w:tab w:val="left" w:pos="680"/>
        </w:tabs>
        <w:spacing w:before="240" w:line="260" w:lineRule="exact"/>
        <w:jc w:val="both"/>
        <w:rPr>
          <w:sz w:val="22"/>
        </w:rPr>
      </w:pPr>
      <w:r>
        <w:rPr>
          <w:sz w:val="22"/>
        </w:rPr>
        <w:t xml:space="preserve">234. </w:t>
      </w:r>
      <w:r>
        <w:rPr>
          <w:sz w:val="22"/>
        </w:rPr>
        <w:tab/>
        <w:t>Выполнение программы встретилось с сопротивлением некоторых представителей органов власти и преподавателей МЕП, а также с оппозицией неоконсервативных группировок и Епископской конференции. В результате были проведены переговоры между правительством и Католической церковью, благодаря которым в философию и стратегию программы были внесены существенные изменения. Оценивая программу, Фаэррон отметил (</w:t>
      </w:r>
      <w:r>
        <w:rPr>
          <w:sz w:val="22"/>
          <w:lang w:val="en-US"/>
        </w:rPr>
        <w:t>Faerron</w:t>
      </w:r>
      <w:r>
        <w:rPr>
          <w:sz w:val="22"/>
        </w:rPr>
        <w:t>, 2002: 143–144):</w:t>
      </w:r>
    </w:p>
    <w:p w:rsidR="00000000" w:rsidRDefault="00000000">
      <w:pPr>
        <w:pStyle w:val="BodyTextIndent"/>
        <w:tabs>
          <w:tab w:val="left" w:pos="680"/>
        </w:tabs>
        <w:spacing w:before="200" w:line="260" w:lineRule="exact"/>
        <w:ind w:firstLine="0"/>
        <w:rPr>
          <w:spacing w:val="-2"/>
          <w:sz w:val="22"/>
        </w:rPr>
      </w:pPr>
      <w:r>
        <w:rPr>
          <w:sz w:val="22"/>
        </w:rPr>
        <w:tab/>
      </w:r>
      <w:r>
        <w:rPr>
          <w:spacing w:val="-2"/>
          <w:sz w:val="22"/>
        </w:rPr>
        <w:t>«…Программа "Молодая любовь" вызвала воодушевление и породила множество надежд, потому что при рассмотрении темы сексуальности в ней учитывалось критическое отношение со стороны как подростков, так и взрослых, а также организационные, концептуальные правовые основы политики в отношении сексуальности. Вместе с тем многие опасались, что при обнародовании такой постановки вопроса и при осуществлении всех планов действий – Плана профессиональной подготовки, кампаний на местах, Дней общин – вновь появятся группы или слои населения, выступающие против программы, как это произошло в прошлом с другими подобными инициативами. Именно так и случилось: предложение ПАХ вызвало жесткую реакцию со стороны Католической церкви».</w:t>
      </w:r>
    </w:p>
    <w:p w:rsidR="00000000" w:rsidRDefault="00000000">
      <w:pPr>
        <w:tabs>
          <w:tab w:val="left" w:pos="680"/>
        </w:tabs>
        <w:spacing w:before="200" w:line="260" w:lineRule="exact"/>
        <w:jc w:val="both"/>
        <w:rPr>
          <w:sz w:val="22"/>
        </w:rPr>
      </w:pPr>
      <w:r>
        <w:rPr>
          <w:sz w:val="22"/>
        </w:rPr>
        <w:t>235.</w:t>
      </w:r>
      <w:r>
        <w:rPr>
          <w:sz w:val="22"/>
        </w:rPr>
        <w:tab/>
        <w:t>Таким образом, подтвердилась сохраняющаяся нетерпимость по отношению к данному вопросу, а его публичное обсуждение вызывает большие трудности. Кроме того, обнаружилось, что Католическая церковь продолжает пользоваться большим влиянием и все еще оказывает сильное давление при рассмотрении жизненно важных для населения вопросов, связанных с правом на получение образования, отвечающего жизненным потребностям. При этом следует отметить, что в Политической конституции гарантируется право на религиозную свободу.</w:t>
      </w:r>
    </w:p>
    <w:p w:rsidR="00000000" w:rsidRDefault="00000000">
      <w:pPr>
        <w:tabs>
          <w:tab w:val="left" w:pos="680"/>
        </w:tabs>
        <w:spacing w:before="200" w:line="260" w:lineRule="exact"/>
        <w:jc w:val="both"/>
        <w:rPr>
          <w:sz w:val="22"/>
        </w:rPr>
      </w:pPr>
      <w:r>
        <w:rPr>
          <w:sz w:val="22"/>
        </w:rPr>
        <w:t xml:space="preserve">236. </w:t>
      </w:r>
      <w:r>
        <w:rPr>
          <w:sz w:val="22"/>
        </w:rPr>
        <w:tab/>
        <w:t>В рамках программы продолжалось проведение практических занятий для преподавателей, проводились кампании на местах и Дни общин, однако подход к проблеме изменился: во главу угла было поставлено распространение знаний о сексуальном и репродуктивном здоровье, а не размышления о наших представлениях о сексуальности и ответственном и полном ее осуществлении с точки зрения прав человека. В течение отчетного периода продолжала работать "горячая линия" ККСС "Рассчитывай на меня", которая информирует и ориентирует в основном подростков и молодежь в вопросах, связанных с сексуальностью.</w:t>
      </w:r>
    </w:p>
    <w:p w:rsidR="00000000" w:rsidRDefault="00000000">
      <w:pPr>
        <w:tabs>
          <w:tab w:val="left" w:pos="680"/>
        </w:tabs>
        <w:spacing w:before="200" w:line="260" w:lineRule="exact"/>
        <w:jc w:val="both"/>
        <w:rPr>
          <w:spacing w:val="-4"/>
          <w:sz w:val="22"/>
        </w:rPr>
      </w:pPr>
      <w:r>
        <w:rPr>
          <w:sz w:val="22"/>
        </w:rPr>
        <w:t xml:space="preserve">237. </w:t>
      </w:r>
      <w:r>
        <w:rPr>
          <w:sz w:val="22"/>
        </w:rPr>
        <w:tab/>
      </w:r>
      <w:r>
        <w:rPr>
          <w:spacing w:val="-4"/>
          <w:sz w:val="22"/>
        </w:rPr>
        <w:t>Полученный опыт позволяет сделать вывод о том, что в наших условиях государственная политика – это не нейтральные действия, лишенные идеологического содержания, и не результат односторонних решений; она является выражением той формы, в которой государство отвечает на вызовы общественного развития и идеологического воспроизводства социального порядка. Поэтому необходимы стратегии, содействующие существенным изменениям в этой области, с тем чтобы государственная политика, и в частности в области образования, понималась как особая форма связи государства с обществом, направленная на достижение социальной сплоченности на основе согласия и ненасилия.</w:t>
      </w:r>
    </w:p>
    <w:p w:rsidR="00000000" w:rsidRDefault="00000000">
      <w:pPr>
        <w:pStyle w:val="Heading3"/>
        <w:spacing w:before="0"/>
      </w:pPr>
    </w:p>
    <w:p w:rsidR="00000000" w:rsidRDefault="00000000">
      <w:pPr>
        <w:pStyle w:val="Heading3"/>
      </w:pPr>
      <w:r>
        <w:rPr>
          <w:caps/>
        </w:rPr>
        <w:t>о</w:t>
      </w:r>
      <w:r>
        <w:t>браз женщины в рекламе</w:t>
      </w:r>
    </w:p>
    <w:p w:rsidR="00000000" w:rsidRDefault="00000000">
      <w:pPr>
        <w:tabs>
          <w:tab w:val="left" w:pos="680"/>
        </w:tabs>
        <w:spacing w:before="200" w:line="260" w:lineRule="exact"/>
        <w:jc w:val="both"/>
        <w:rPr>
          <w:sz w:val="22"/>
        </w:rPr>
      </w:pPr>
      <w:r>
        <w:rPr>
          <w:sz w:val="22"/>
        </w:rPr>
        <w:t>238.</w:t>
      </w:r>
      <w:r>
        <w:rPr>
          <w:sz w:val="22"/>
        </w:rPr>
        <w:tab/>
        <w:t>Имеются два закона о защите женщин от насилия в средствах массовой информации и от использования ее образа в коммерческих целях: Закон № 7440 о контроле за публичными представлениями и Закон № 5811 о защите женщин от унижающей ее рекламы. Действия государства в этой области по-прежнему неэффективны и недостаточны в том, что касается контроля за гендерным насилием в средствах коммуникации, в том числе в коммерческой рекламе, которая использует женский образ, унижающий человеческое достоинство. Не существует ясной и содержательной государственной политики, способной, например, противостоять давлению частного бизнеса (рекламным компаниям, СМИ и т. п.). Кроме того, вся система защиты находится под угрозой, после того как первый из указанных законов был обжалован в суде. К настоящему времени Конституционный суд еще не принял решение по этому иску.</w:t>
      </w:r>
    </w:p>
    <w:p w:rsidR="00000000" w:rsidRDefault="00000000">
      <w:pPr>
        <w:pStyle w:val="BodyText"/>
        <w:tabs>
          <w:tab w:val="left" w:pos="680"/>
        </w:tabs>
        <w:spacing w:before="360" w:line="260" w:lineRule="exact"/>
        <w:jc w:val="center"/>
        <w:rPr>
          <w:b/>
          <w:sz w:val="22"/>
        </w:rPr>
      </w:pPr>
      <w:r>
        <w:rPr>
          <w:b/>
          <w:sz w:val="22"/>
        </w:rPr>
        <w:t xml:space="preserve">Статья 6. Меры по пресечению всех видов торговли женщинами </w:t>
      </w:r>
      <w:r>
        <w:rPr>
          <w:b/>
          <w:sz w:val="22"/>
        </w:rPr>
        <w:br/>
        <w:t>и эксплуатации женской проституции</w:t>
      </w:r>
    </w:p>
    <w:p w:rsidR="00000000" w:rsidRDefault="00000000">
      <w:pPr>
        <w:tabs>
          <w:tab w:val="left" w:pos="680"/>
          <w:tab w:val="left" w:pos="1247"/>
        </w:tabs>
        <w:autoSpaceDE w:val="0"/>
        <w:autoSpaceDN w:val="0"/>
        <w:adjustRightInd w:val="0"/>
        <w:spacing w:before="240" w:line="260" w:lineRule="exact"/>
        <w:ind w:left="1247" w:hanging="1247"/>
        <w:jc w:val="both"/>
        <w:rPr>
          <w:i/>
          <w:sz w:val="22"/>
        </w:rPr>
      </w:pPr>
      <w:r>
        <w:rPr>
          <w:i/>
          <w:sz w:val="22"/>
        </w:rPr>
        <w:t>Статья 6.</w:t>
      </w:r>
      <w:r>
        <w:rPr>
          <w:i/>
          <w:sz w:val="22"/>
        </w:rPr>
        <w:tab/>
        <w:t>Государства-участники принимают все соответствующие меры, включая законодательные, для пресечения всех видов торговли женщинами и эксплуатации проституции женщин.</w:t>
      </w:r>
    </w:p>
    <w:p w:rsidR="00000000" w:rsidRDefault="00000000">
      <w:pPr>
        <w:pStyle w:val="BodyText"/>
        <w:tabs>
          <w:tab w:val="left" w:pos="680"/>
        </w:tabs>
        <w:spacing w:before="240" w:line="260" w:lineRule="exact"/>
        <w:jc w:val="left"/>
        <w:rPr>
          <w:b/>
          <w:sz w:val="22"/>
        </w:rPr>
      </w:pPr>
      <w:r>
        <w:rPr>
          <w:b/>
          <w:sz w:val="22"/>
        </w:rPr>
        <w:t>Сексуальная эксплуатация и принудительное вовлечение в занятие проституцией девочек и подростков</w:t>
      </w:r>
    </w:p>
    <w:p w:rsidR="00000000" w:rsidRDefault="00000000">
      <w:pPr>
        <w:tabs>
          <w:tab w:val="left" w:pos="680"/>
        </w:tabs>
        <w:spacing w:before="240" w:line="260" w:lineRule="exact"/>
        <w:jc w:val="both"/>
        <w:rPr>
          <w:sz w:val="22"/>
        </w:rPr>
      </w:pPr>
      <w:r>
        <w:rPr>
          <w:sz w:val="22"/>
        </w:rPr>
        <w:t>239.</w:t>
      </w:r>
      <w:r>
        <w:rPr>
          <w:sz w:val="22"/>
        </w:rPr>
        <w:tab/>
        <w:t>Наибольшими достижениями в этой области следует признать принятие в 1999 году Закона № 7899 о борьбе с сексуальной эксплуатацией несовершеннолетних</w:t>
      </w:r>
      <w:r>
        <w:rPr>
          <w:rStyle w:val="FootnoteReference"/>
          <w:sz w:val="22"/>
        </w:rPr>
        <w:footnoteReference w:id="16"/>
      </w:r>
      <w:r>
        <w:rPr>
          <w:sz w:val="22"/>
        </w:rPr>
        <w:t>, а также создание Прокуратуры по преступлениям на сексуальной почве (1998 год) и Группы по борьбе с сексуальной эксплуатацией в Министерстве общественной безопасности.</w:t>
      </w:r>
    </w:p>
    <w:p w:rsidR="00000000" w:rsidRDefault="00000000">
      <w:pPr>
        <w:tabs>
          <w:tab w:val="left" w:pos="680"/>
        </w:tabs>
        <w:spacing w:before="240" w:line="260" w:lineRule="exact"/>
        <w:jc w:val="both"/>
        <w:rPr>
          <w:spacing w:val="-2"/>
          <w:sz w:val="22"/>
        </w:rPr>
      </w:pPr>
      <w:r>
        <w:rPr>
          <w:sz w:val="22"/>
        </w:rPr>
        <w:t>240.</w:t>
      </w:r>
      <w:r>
        <w:rPr>
          <w:sz w:val="22"/>
        </w:rPr>
        <w:tab/>
      </w:r>
      <w:r>
        <w:rPr>
          <w:spacing w:val="-2"/>
          <w:sz w:val="22"/>
        </w:rPr>
        <w:t>Коммерческая сексуальная эксплуатация девочек и подростков является формой сексуального насилия, которая влечет за собой серьезные последствия как для жертвы, так и для общества в целом. Это понятие подразумевает: "…продажу девочек, мальчиков и подростков с целью сексуальной эксплуатации, насильственное вовлечение в занятие проституцией и использование представителей этой возрастной группы при производстве порнографических материалов" (проект "Состояние нации", 2001 год). До принятия закона в среднем в год поступало в среднем 82 заявления о продаже несовершеннолетних и женщин, совращении несовершеннолетних и сводничестве. В 1999 году число заявлений достигло 185, а в 2002 году – 345, поскольку были признаны в качестве преступлений многие виды насилия, прежде всего те, жертвами которых становятся несовершеннолетние (</w:t>
      </w:r>
      <w:r>
        <w:rPr>
          <w:spacing w:val="-2"/>
          <w:sz w:val="22"/>
          <w:lang w:val="en-US"/>
        </w:rPr>
        <w:t>Poder</w:t>
      </w:r>
      <w:r>
        <w:rPr>
          <w:spacing w:val="-2"/>
          <w:sz w:val="22"/>
        </w:rPr>
        <w:t xml:space="preserve"> </w:t>
      </w:r>
      <w:r>
        <w:rPr>
          <w:spacing w:val="-2"/>
          <w:sz w:val="22"/>
          <w:lang w:val="en-US"/>
        </w:rPr>
        <w:t>Judicial</w:t>
      </w:r>
      <w:r>
        <w:rPr>
          <w:spacing w:val="-2"/>
          <w:sz w:val="22"/>
        </w:rPr>
        <w:t>, 2001).</w:t>
      </w:r>
    </w:p>
    <w:p w:rsidR="00000000" w:rsidRDefault="00000000">
      <w:pPr>
        <w:tabs>
          <w:tab w:val="left" w:pos="680"/>
        </w:tabs>
        <w:spacing w:before="240" w:line="260" w:lineRule="exact"/>
        <w:jc w:val="both"/>
        <w:rPr>
          <w:sz w:val="22"/>
        </w:rPr>
      </w:pPr>
      <w:r>
        <w:rPr>
          <w:sz w:val="22"/>
        </w:rPr>
        <w:t>241.</w:t>
      </w:r>
      <w:r>
        <w:rPr>
          <w:sz w:val="22"/>
        </w:rPr>
        <w:tab/>
        <w:t>Приняв этот закон, Коста-Рика приняла международные нормы и переосмыслила эту проблему. Запретив три указанные формы сексуальной эксплуатации детей, государство признало, что подобные действия являются актами насилия и сексуальной эксплуатации, а не только актами развращения их жертв. Таким образом, ответственность была перенесена с потерпевших на лиц и группы лиц, которые совершают подобные преступления. Усилия государства и общества направлены на введение наказаний за такие преступления лиц, их совершающих, и одновременно на защиту и поддержку детей и подростков, которые становятся жертвами таких преступлений.</w:t>
      </w:r>
    </w:p>
    <w:p w:rsidR="00000000" w:rsidRDefault="00000000">
      <w:pPr>
        <w:tabs>
          <w:tab w:val="left" w:pos="680"/>
        </w:tabs>
        <w:spacing w:before="240" w:line="260" w:lineRule="exact"/>
        <w:jc w:val="both"/>
        <w:rPr>
          <w:sz w:val="22"/>
        </w:rPr>
      </w:pPr>
      <w:r>
        <w:rPr>
          <w:sz w:val="22"/>
        </w:rPr>
        <w:t>242.</w:t>
      </w:r>
      <w:r>
        <w:rPr>
          <w:sz w:val="22"/>
        </w:rPr>
        <w:tab/>
        <w:t>Удалось добиться определенных успехов в признании важности этой проблемы в стране, хотя некоторые слои общества по-прежнему не признают ее важности или приуменьшают ее; также удалось продвинуться вперед в определении проблемы – дать четкую характеристику причин преступлений и ответственности за них, а также в изучении форм и методов деятельности тех, кто совершает такие преступления и занимается сексуальной эксплуатацией детей.</w:t>
      </w:r>
    </w:p>
    <w:p w:rsidR="00000000" w:rsidRDefault="00000000">
      <w:pPr>
        <w:tabs>
          <w:tab w:val="left" w:pos="680"/>
        </w:tabs>
        <w:spacing w:before="240" w:line="260" w:lineRule="exact"/>
        <w:jc w:val="both"/>
        <w:rPr>
          <w:sz w:val="22"/>
        </w:rPr>
      </w:pPr>
      <w:r>
        <w:rPr>
          <w:sz w:val="22"/>
        </w:rPr>
        <w:t>243.</w:t>
      </w:r>
      <w:r>
        <w:rPr>
          <w:sz w:val="22"/>
        </w:rPr>
        <w:tab/>
        <w:t>В январе 1998 года была организована Прокуратура по расследованию преступлений на сексуальной почве и случаев насилия в семье. На этот орган возложены прием заявлений о преступлениях на сексуальной почве, их рассмотрение и расследование. Как указывается в докладах "Подер худисиаль", до января 2001 года было принято 309 заявлений о сводничестве и совращении при отягчающих обстоятельствах, из которых 136 находятся сейчас на стадии расследования. До настоящего времени к суду было привлечено 47 человек, 5 из которых были осуждены. Однако практически не было возбуждено уголовных дел в отношении клиентов, пользующихся сексуальными услугами несовершеннолетних (ИНАМУ, 2002 год).</w:t>
      </w:r>
    </w:p>
    <w:p w:rsidR="00000000" w:rsidRDefault="00000000">
      <w:pPr>
        <w:tabs>
          <w:tab w:val="left" w:pos="680"/>
        </w:tabs>
        <w:spacing w:before="240" w:line="260" w:lineRule="exact"/>
        <w:jc w:val="both"/>
        <w:rPr>
          <w:sz w:val="22"/>
        </w:rPr>
      </w:pPr>
      <w:r>
        <w:rPr>
          <w:sz w:val="22"/>
        </w:rPr>
        <w:t>244.</w:t>
      </w:r>
      <w:r>
        <w:rPr>
          <w:sz w:val="22"/>
        </w:rPr>
        <w:tab/>
        <w:t>В 1998 открылся приют "Каса огар де тиа Тере", который является общедоступным негосударственным учреждением. Это единственное постоянно действующее специализированное учреждение в стране, которое оказывает помощь девочкам и подросткам, ставшим жертвами сексуальной эксплуатации. Параллельно с этим ряд разного рода неправительственных организаций, которые оказывают помощь группам риска, также принимают участие в предупреждении сексуальной эксплуатации и борьбе с ней. В их числе следует особо отметить "Каса алианса", в деятельности которой важное место занимают выявление, расследование и предание гласности преступлений, связанных с сексуальной эксплуатацией.</w:t>
      </w:r>
    </w:p>
    <w:p w:rsidR="00000000" w:rsidRDefault="00000000">
      <w:pPr>
        <w:tabs>
          <w:tab w:val="left" w:pos="680"/>
        </w:tabs>
        <w:spacing w:before="240" w:line="260" w:lineRule="exact"/>
        <w:jc w:val="both"/>
        <w:rPr>
          <w:sz w:val="22"/>
        </w:rPr>
      </w:pPr>
      <w:r>
        <w:rPr>
          <w:sz w:val="22"/>
        </w:rPr>
        <w:t>245.</w:t>
      </w:r>
      <w:r>
        <w:rPr>
          <w:sz w:val="22"/>
        </w:rPr>
        <w:tab/>
        <w:t>Одновременно с этим некоторые государственные органы, среди которых следует выделить Министерство юстиции, ИНАМУ и Государственный детский благотворительный фонд (ПАНИ), развернули разъяснительную деятельность и подготовку информационных материалов по данной проблеме. Эти организации координируют свою работу по борьбе с сексуальным туризмом с Коста-Риканским институтом туризма. В то же время Коллегия адвокатов по защите прав граждан опубликовала документ, в котором изложила свой взгляд на эту проблему и свои рекомендации. В деятельности по подготовке кадров, которые должны заниматься этой проблемой, приняла участие Национальная комиссия по улучшению отправления правосудия (КОНАМАХ), которая подготовила программу повышения квалификации в вопросах борьбы с сексуальной эксплуатацией для работников различных категорий правоохранительных и судебных органов.</w:t>
      </w:r>
    </w:p>
    <w:p w:rsidR="00000000" w:rsidRDefault="00000000">
      <w:pPr>
        <w:tabs>
          <w:tab w:val="left" w:pos="680"/>
        </w:tabs>
        <w:spacing w:before="240" w:line="260" w:lineRule="exact"/>
        <w:jc w:val="both"/>
        <w:rPr>
          <w:sz w:val="22"/>
        </w:rPr>
      </w:pPr>
      <w:r>
        <w:rPr>
          <w:sz w:val="22"/>
        </w:rPr>
        <w:t>246.</w:t>
      </w:r>
      <w:r>
        <w:rPr>
          <w:sz w:val="22"/>
        </w:rPr>
        <w:tab/>
        <w:t>Была реорганизована и переориентирована деятельность Постоянной национальной рабочей комиссии по борьбе с сексуальной эксплуатацией в коммерческих целях (КОНАКОЕС), которая существует с 1997 года. В работе Комиссии принимали участие представители как общественности, так и государственных органов. Однако во втором полугодии 2001 года была произведена новая реорганизация Комиссии, в ходе которой был назначен представитель президента; на него была возложена обязанность планировать и направлять деятельность Комиссии по этой проблематике. В результате этой меры деятельность Комиссии была дезорганизована, поскольку после этого назначения сложили с себя полномочия представители основных НПО, прежде принимавшие участие в работе Комиссии.</w:t>
      </w:r>
    </w:p>
    <w:p w:rsidR="00000000" w:rsidRDefault="00000000">
      <w:pPr>
        <w:tabs>
          <w:tab w:val="left" w:pos="680"/>
        </w:tabs>
        <w:spacing w:before="240" w:line="260" w:lineRule="exact"/>
        <w:jc w:val="both"/>
        <w:rPr>
          <w:sz w:val="22"/>
        </w:rPr>
      </w:pPr>
      <w:r>
        <w:rPr>
          <w:sz w:val="22"/>
        </w:rPr>
        <w:t>247.</w:t>
      </w:r>
      <w:r>
        <w:rPr>
          <w:sz w:val="22"/>
        </w:rPr>
        <w:tab/>
        <w:t>Правительство Коста-Рики сделало несколько важных шагов в целях предупреждения сексуальной эксплуатации и борьбы с ней, однако, как указывается в различных источниках (</w:t>
      </w:r>
      <w:r>
        <w:rPr>
          <w:sz w:val="22"/>
          <w:lang w:val="es-ES"/>
        </w:rPr>
        <w:t>Claramunt</w:t>
      </w:r>
      <w:r>
        <w:rPr>
          <w:sz w:val="22"/>
        </w:rPr>
        <w:t>, 2001; ИНАМУ, 2002 год), этих шагов явно недостаточно. До сих пор не выработана государственная политика, а потому деятельность, которую развивают в этом направлении государственные учреждения и НПО, недостаточно скоординирована. Предупреждение сексуальной эксплуатации практически не организовано, а деятельность большей частью сводится к помощи жертвам. По этому вопросу все еще немало предрассудков, которые затрудняют борьбу с такого рода явлениями.</w:t>
      </w:r>
    </w:p>
    <w:p w:rsidR="00000000" w:rsidRDefault="00000000">
      <w:pPr>
        <w:tabs>
          <w:tab w:val="left" w:pos="680"/>
        </w:tabs>
        <w:spacing w:line="260" w:lineRule="exact"/>
        <w:jc w:val="both"/>
        <w:rPr>
          <w:sz w:val="22"/>
        </w:rPr>
      </w:pPr>
    </w:p>
    <w:p w:rsidR="00000000" w:rsidRDefault="00000000">
      <w:pPr>
        <w:pStyle w:val="Heading1"/>
        <w:tabs>
          <w:tab w:val="left" w:pos="680"/>
        </w:tabs>
        <w:spacing w:before="240" w:line="260" w:lineRule="exact"/>
        <w:jc w:val="center"/>
        <w:rPr>
          <w:sz w:val="22"/>
        </w:rPr>
      </w:pPr>
      <w:r>
        <w:rPr>
          <w:sz w:val="22"/>
        </w:rPr>
        <w:t>Статья 7. Участие женщин в общественной и политической жизни страны</w:t>
      </w:r>
    </w:p>
    <w:p w:rsidR="00000000" w:rsidRDefault="00000000">
      <w:pPr>
        <w:pStyle w:val="Heading4"/>
        <w:tabs>
          <w:tab w:val="left" w:pos="680"/>
        </w:tabs>
        <w:spacing w:before="240" w:line="260" w:lineRule="exact"/>
        <w:jc w:val="both"/>
        <w:rPr>
          <w:color w:val="auto"/>
          <w:sz w:val="22"/>
        </w:rPr>
      </w:pPr>
      <w:r>
        <w:rPr>
          <w:smallCaps w:val="0"/>
          <w:color w:val="auto"/>
          <w:sz w:val="22"/>
        </w:rPr>
        <w:t>Статья</w:t>
      </w:r>
      <w:r>
        <w:rPr>
          <w:color w:val="auto"/>
          <w:sz w:val="22"/>
        </w:rPr>
        <w:t xml:space="preserve"> 7 </w:t>
      </w:r>
    </w:p>
    <w:p w:rsidR="00000000" w:rsidRDefault="00000000">
      <w:pPr>
        <w:tabs>
          <w:tab w:val="left" w:pos="680"/>
        </w:tabs>
        <w:autoSpaceDE w:val="0"/>
        <w:autoSpaceDN w:val="0"/>
        <w:adjustRightInd w:val="0"/>
        <w:spacing w:before="240" w:line="260" w:lineRule="exact"/>
        <w:jc w:val="both"/>
        <w:rPr>
          <w:i/>
          <w:sz w:val="22"/>
        </w:rPr>
      </w:pPr>
      <w:r>
        <w:rPr>
          <w:i/>
          <w:sz w:val="22"/>
        </w:rPr>
        <w:t>Государства-участники принимают все соответствующие меры по ликвидации дискриминации в отношении женщин в политической и общественной жизни страны и, в частности, обеспечивают женщинам на равных условиях с мужчинами право:</w:t>
      </w:r>
    </w:p>
    <w:p w:rsidR="00000000" w:rsidRDefault="00000000">
      <w:pPr>
        <w:tabs>
          <w:tab w:val="left" w:pos="340"/>
          <w:tab w:val="left" w:pos="680"/>
        </w:tabs>
        <w:autoSpaceDE w:val="0"/>
        <w:autoSpaceDN w:val="0"/>
        <w:adjustRightInd w:val="0"/>
        <w:spacing w:before="240" w:line="260" w:lineRule="exact"/>
        <w:ind w:left="680" w:hanging="680"/>
        <w:jc w:val="both"/>
        <w:rPr>
          <w:i/>
          <w:sz w:val="22"/>
        </w:rPr>
      </w:pPr>
      <w:r>
        <w:rPr>
          <w:i/>
          <w:sz w:val="22"/>
        </w:rPr>
        <w:tab/>
        <w:t>а)</w:t>
      </w:r>
      <w:r>
        <w:rPr>
          <w:i/>
          <w:sz w:val="22"/>
        </w:rPr>
        <w:tab/>
        <w:t>голосовать на всех выборах и публичных референдумах и избираться во все публично избираемые органы;</w:t>
      </w:r>
    </w:p>
    <w:p w:rsidR="00000000" w:rsidRDefault="00000000">
      <w:pPr>
        <w:tabs>
          <w:tab w:val="left" w:pos="340"/>
          <w:tab w:val="left" w:pos="680"/>
        </w:tabs>
        <w:autoSpaceDE w:val="0"/>
        <w:autoSpaceDN w:val="0"/>
        <w:adjustRightInd w:val="0"/>
        <w:spacing w:before="240" w:line="260" w:lineRule="exact"/>
        <w:ind w:left="680" w:hanging="680"/>
        <w:jc w:val="both"/>
        <w:rPr>
          <w:i/>
          <w:sz w:val="22"/>
        </w:rPr>
      </w:pPr>
      <w:r>
        <w:rPr>
          <w:i/>
          <w:sz w:val="22"/>
        </w:rPr>
        <w:tab/>
      </w:r>
      <w:r>
        <w:rPr>
          <w:i/>
          <w:sz w:val="22"/>
          <w:lang w:val="en-US"/>
        </w:rPr>
        <w:t>b</w:t>
      </w:r>
      <w:r>
        <w:rPr>
          <w:i/>
          <w:sz w:val="22"/>
        </w:rPr>
        <w:t>)</w:t>
      </w:r>
      <w:r>
        <w:rPr>
          <w:i/>
          <w:sz w:val="22"/>
        </w:rPr>
        <w:tab/>
        <w:t>участвовать в формулировании и осуществлении политики правительства и занимать государственные посты, а также осуществлять все государственные функции на всех уровнях государственного управления;</w:t>
      </w:r>
    </w:p>
    <w:p w:rsidR="00000000" w:rsidRDefault="00000000">
      <w:pPr>
        <w:tabs>
          <w:tab w:val="left" w:pos="340"/>
          <w:tab w:val="left" w:pos="680"/>
        </w:tabs>
        <w:autoSpaceDE w:val="0"/>
        <w:autoSpaceDN w:val="0"/>
        <w:adjustRightInd w:val="0"/>
        <w:spacing w:before="240" w:line="260" w:lineRule="exact"/>
        <w:ind w:left="680" w:hanging="680"/>
        <w:jc w:val="both"/>
        <w:rPr>
          <w:i/>
          <w:sz w:val="22"/>
        </w:rPr>
      </w:pPr>
      <w:r>
        <w:rPr>
          <w:i/>
          <w:sz w:val="22"/>
        </w:rPr>
        <w:tab/>
        <w:t>с)</w:t>
      </w:r>
      <w:r>
        <w:rPr>
          <w:i/>
          <w:sz w:val="22"/>
        </w:rPr>
        <w:tab/>
        <w:t>принимать участие в деятельности неправительственных организаций и ассоциаций, занимающихся проблемами общественной и политической жизни страны.</w:t>
      </w:r>
    </w:p>
    <w:p w:rsidR="00000000" w:rsidRDefault="00000000">
      <w:pPr>
        <w:pStyle w:val="Heading1"/>
        <w:tabs>
          <w:tab w:val="left" w:pos="680"/>
        </w:tabs>
        <w:spacing w:before="240" w:line="260" w:lineRule="exact"/>
        <w:jc w:val="both"/>
        <w:rPr>
          <w:sz w:val="22"/>
        </w:rPr>
      </w:pPr>
      <w:r>
        <w:rPr>
          <w:sz w:val="22"/>
        </w:rPr>
        <w:t>Участие женщин в политической жизни</w:t>
      </w:r>
    </w:p>
    <w:p w:rsidR="00000000" w:rsidRDefault="00000000">
      <w:pPr>
        <w:tabs>
          <w:tab w:val="left" w:pos="680"/>
        </w:tabs>
        <w:spacing w:before="240" w:line="260" w:lineRule="exact"/>
        <w:jc w:val="both"/>
        <w:rPr>
          <w:sz w:val="22"/>
        </w:rPr>
      </w:pPr>
      <w:r>
        <w:rPr>
          <w:sz w:val="22"/>
        </w:rPr>
        <w:t>248.</w:t>
      </w:r>
      <w:r>
        <w:rPr>
          <w:sz w:val="22"/>
        </w:rPr>
        <w:tab/>
        <w:t>С момента получения более пятидесяти лет назад права голоса женщины Коста-Рики боролись за эффективное и активное использование своих гражданских прав, которые отнюдь не сводятся лишь к праву каждые четыре года принимать участие в выборах. Борьба за достижение равного представительства женщин и мужчин на выборных должностях и на постах, подразумевающих принятие решений в государственном секторе, а также в руководящих органах политических партий являлась важнейшим направлением в деятельности женщин. За последнее десятилетие в этой области были достигнуты значительные успехи, обусловленные, прежде всего, объединением усилий женских организаций, женщин, занимающих высокие посты, и национального механизма по вопросам улучшения положения женщин (проект "Состояние нации", 2001 год).</w:t>
      </w:r>
    </w:p>
    <w:p w:rsidR="00000000" w:rsidRDefault="00000000">
      <w:pPr>
        <w:tabs>
          <w:tab w:val="left" w:pos="680"/>
        </w:tabs>
        <w:spacing w:before="240" w:line="260" w:lineRule="exact"/>
        <w:jc w:val="both"/>
        <w:rPr>
          <w:sz w:val="22"/>
        </w:rPr>
      </w:pPr>
      <w:r>
        <w:rPr>
          <w:sz w:val="22"/>
        </w:rPr>
        <w:t>249.</w:t>
      </w:r>
      <w:r>
        <w:rPr>
          <w:sz w:val="22"/>
        </w:rPr>
        <w:tab/>
        <w:t>Невозможно переоценить вклад в развитие демократии женщин, работающих в различных местных, региональных и национальных организациях. Хотя еще предстоит пройти достаточно долгий путь к достижению подлинного равенства, следует отметить и значительные достижения в этом направлении. Так, показатель представительства мужчин на выборных должностях на уровне председателей, заместителей председателей, депутатов и на других руководящих должностях снизился с 5,95 в 1994 году до 2,01 в 1998 году. Эти данные свидетельствуют о том, что были достигнуты значительные изменения (проект "Состояние нации", 2001 год).</w:t>
      </w:r>
    </w:p>
    <w:p w:rsidR="00000000" w:rsidRDefault="00000000">
      <w:pPr>
        <w:tabs>
          <w:tab w:val="left" w:pos="340"/>
          <w:tab w:val="left" w:pos="680"/>
        </w:tabs>
        <w:spacing w:before="240" w:line="260" w:lineRule="exact"/>
        <w:ind w:left="340" w:hanging="340"/>
        <w:jc w:val="both"/>
        <w:rPr>
          <w:sz w:val="22"/>
        </w:rPr>
      </w:pPr>
      <w:r>
        <w:rPr>
          <w:sz w:val="22"/>
        </w:rPr>
        <w:sym w:font="Symbol" w:char="F0B7"/>
      </w:r>
      <w:r>
        <w:rPr>
          <w:sz w:val="22"/>
        </w:rPr>
        <w:tab/>
        <w:t>Для того чтобы достичь таких результатов, женщины прежде всего должны были преодолеть барьеры и препятствия внутри политических партий (</w:t>
      </w:r>
      <w:r>
        <w:rPr>
          <w:sz w:val="22"/>
          <w:lang w:val="en-US"/>
        </w:rPr>
        <w:t>Torres</w:t>
      </w:r>
      <w:r>
        <w:rPr>
          <w:sz w:val="22"/>
        </w:rPr>
        <w:t>, 2001).</w:t>
      </w:r>
    </w:p>
    <w:p w:rsidR="00000000" w:rsidRDefault="00000000">
      <w:pPr>
        <w:tabs>
          <w:tab w:val="left" w:pos="340"/>
          <w:tab w:val="left" w:pos="680"/>
        </w:tabs>
        <w:spacing w:before="240" w:line="260" w:lineRule="exact"/>
        <w:ind w:left="340" w:hanging="340"/>
        <w:jc w:val="both"/>
        <w:rPr>
          <w:sz w:val="22"/>
        </w:rPr>
      </w:pPr>
      <w:r>
        <w:rPr>
          <w:sz w:val="22"/>
        </w:rPr>
        <w:sym w:font="Symbol" w:char="F0B7"/>
      </w:r>
      <w:r>
        <w:rPr>
          <w:sz w:val="22"/>
        </w:rPr>
        <w:tab/>
        <w:t>В общественном мнении сохраняются старые представления – недооценка возможностей, способностей и достижений женщин.</w:t>
      </w:r>
    </w:p>
    <w:p w:rsidR="00000000" w:rsidRDefault="00000000">
      <w:pPr>
        <w:tabs>
          <w:tab w:val="left" w:pos="340"/>
          <w:tab w:val="left" w:pos="680"/>
        </w:tabs>
        <w:spacing w:before="240" w:line="260" w:lineRule="exact"/>
        <w:ind w:left="340" w:hanging="340"/>
        <w:jc w:val="both"/>
        <w:rPr>
          <w:sz w:val="22"/>
        </w:rPr>
      </w:pPr>
      <w:r>
        <w:rPr>
          <w:sz w:val="22"/>
        </w:rPr>
        <w:sym w:font="Symbol" w:char="F0B7"/>
      </w:r>
      <w:r>
        <w:rPr>
          <w:sz w:val="22"/>
        </w:rPr>
        <w:tab/>
        <w:t>Ограничения, которые обусловлены двойным рабочим днем и выполнением супружеских и семейных обязанностей.</w:t>
      </w:r>
    </w:p>
    <w:p w:rsidR="00000000" w:rsidRDefault="00000000">
      <w:pPr>
        <w:tabs>
          <w:tab w:val="left" w:pos="340"/>
          <w:tab w:val="left" w:pos="680"/>
        </w:tabs>
        <w:spacing w:before="240" w:line="260" w:lineRule="exact"/>
        <w:ind w:left="340" w:hanging="340"/>
        <w:jc w:val="both"/>
        <w:rPr>
          <w:sz w:val="22"/>
        </w:rPr>
      </w:pPr>
      <w:r>
        <w:rPr>
          <w:sz w:val="22"/>
        </w:rPr>
        <w:sym w:font="Symbol" w:char="F0B7"/>
      </w:r>
      <w:r>
        <w:rPr>
          <w:sz w:val="22"/>
        </w:rPr>
        <w:tab/>
        <w:t>Пирамидальная структура власти, которую контролируют мужчины. По мере того как человек поднимается к вершине пирамиды, количество доступных должностей сокращается. Кроме того, что эта пирамида контролируется мужчинами, они же занимают большинство должностей, связанных с принятием решений. Это позволяет им удерживать в своих руках формальные и неформальные механизмы принятия решений и выбора, а также представлять и поддерживать других мужчин – соискателей руководящих должностей.</w:t>
      </w:r>
    </w:p>
    <w:p w:rsidR="00000000" w:rsidRDefault="00000000">
      <w:pPr>
        <w:tabs>
          <w:tab w:val="left" w:pos="340"/>
          <w:tab w:val="left" w:pos="680"/>
        </w:tabs>
        <w:spacing w:before="240" w:line="260" w:lineRule="exact"/>
        <w:ind w:left="340" w:hanging="340"/>
        <w:jc w:val="both"/>
        <w:rPr>
          <w:sz w:val="22"/>
        </w:rPr>
      </w:pPr>
      <w:r>
        <w:rPr>
          <w:sz w:val="22"/>
        </w:rPr>
        <w:sym w:font="Symbol" w:char="F0B7"/>
      </w:r>
      <w:r>
        <w:rPr>
          <w:sz w:val="22"/>
        </w:rPr>
        <w:tab/>
        <w:t>Женщины, как правило, не имеют достаточных средств для финансирования своей избирательной кампании, а многие из них не могут также опереться на экономическую и моральную поддержку семьи.</w:t>
      </w:r>
    </w:p>
    <w:p w:rsidR="00000000" w:rsidRDefault="00000000">
      <w:pPr>
        <w:tabs>
          <w:tab w:val="left" w:pos="340"/>
          <w:tab w:val="left" w:pos="680"/>
        </w:tabs>
        <w:spacing w:before="240" w:line="260" w:lineRule="exact"/>
        <w:ind w:left="340" w:hanging="340"/>
        <w:jc w:val="both"/>
        <w:rPr>
          <w:sz w:val="22"/>
        </w:rPr>
      </w:pPr>
      <w:r>
        <w:rPr>
          <w:sz w:val="22"/>
        </w:rPr>
        <w:sym w:font="Symbol" w:char="F0B7"/>
      </w:r>
      <w:r>
        <w:rPr>
          <w:sz w:val="22"/>
        </w:rPr>
        <w:tab/>
        <w:t>Женщины не имеют достаточного доступа к стратегически важной информации, что ограничивает их возможности для участия в переговорах и не дает им возможности в полной мере реализовать задатки лидеров.</w:t>
      </w:r>
    </w:p>
    <w:p w:rsidR="00000000" w:rsidRDefault="00000000">
      <w:pPr>
        <w:tabs>
          <w:tab w:val="left" w:pos="680"/>
        </w:tabs>
        <w:spacing w:before="240" w:line="260" w:lineRule="exact"/>
        <w:jc w:val="both"/>
        <w:rPr>
          <w:sz w:val="22"/>
        </w:rPr>
      </w:pPr>
      <w:r>
        <w:rPr>
          <w:sz w:val="22"/>
        </w:rPr>
        <w:t>250.</w:t>
      </w:r>
      <w:r>
        <w:rPr>
          <w:sz w:val="22"/>
        </w:rPr>
        <w:tab/>
        <w:t>В последние четыре года деятельность государства в этой области сосредоточена на выработке механизмов для эффективного использования минимальных квот участия женщин в государственной и политической деятельности и на укреплении возможностей женщин в полной мере реализовать свои гражданские права. Большую роль в этом играет Национальный механизм по вопросам улучшения положения женщин.</w:t>
      </w:r>
    </w:p>
    <w:p w:rsidR="00000000" w:rsidRDefault="00000000">
      <w:pPr>
        <w:pStyle w:val="BodyTextIndent"/>
        <w:tabs>
          <w:tab w:val="left" w:pos="680"/>
        </w:tabs>
        <w:spacing w:line="260" w:lineRule="exact"/>
        <w:ind w:firstLine="0"/>
        <w:jc w:val="left"/>
        <w:rPr>
          <w:b/>
          <w:i w:val="0"/>
          <w:sz w:val="22"/>
        </w:rPr>
      </w:pPr>
      <w:r>
        <w:rPr>
          <w:b/>
          <w:i w:val="0"/>
          <w:sz w:val="22"/>
        </w:rPr>
        <w:t>Участие в управлении государством и доступ к государственным постам</w:t>
      </w:r>
    </w:p>
    <w:p w:rsidR="00000000" w:rsidRDefault="00000000">
      <w:pPr>
        <w:tabs>
          <w:tab w:val="left" w:pos="680"/>
        </w:tabs>
        <w:spacing w:before="240" w:line="260" w:lineRule="exact"/>
        <w:jc w:val="both"/>
        <w:rPr>
          <w:sz w:val="22"/>
        </w:rPr>
      </w:pPr>
      <w:r>
        <w:rPr>
          <w:sz w:val="22"/>
        </w:rPr>
        <w:t>251.</w:t>
      </w:r>
      <w:r>
        <w:rPr>
          <w:sz w:val="22"/>
        </w:rPr>
        <w:tab/>
        <w:t>За рассматриваемый период были отмечены значительные успехи в области доступа женщин к государственным постам. За время деятельности администрации президента Родригеса (1998–2002 годы) две женщины были назначены вице-президентами Республики, а Исполнительный директор ИНАМУ была назначена в 1998 году министром по делам женщин. В том же году оба вице-президента были назначены министрами, позже одна из них отказалась от своего поста.</w:t>
      </w:r>
    </w:p>
    <w:p w:rsidR="00000000" w:rsidRDefault="00000000">
      <w:pPr>
        <w:pStyle w:val="BodyTextIndent2"/>
        <w:tabs>
          <w:tab w:val="left" w:pos="680"/>
        </w:tabs>
        <w:spacing w:before="240" w:line="260" w:lineRule="exact"/>
        <w:ind w:firstLine="0"/>
        <w:jc w:val="both"/>
        <w:rPr>
          <w:sz w:val="22"/>
        </w:rPr>
      </w:pPr>
      <w:r>
        <w:rPr>
          <w:sz w:val="22"/>
        </w:rPr>
        <w:t>252.</w:t>
      </w:r>
      <w:r>
        <w:rPr>
          <w:sz w:val="22"/>
        </w:rPr>
        <w:tab/>
        <w:t xml:space="preserve">Женщины возглавили 3 из 15 министерств. Таким образом, женщины заняли 20 процентов руководящих постов – на 50 процентов больше, чем при предыдущей администрации, в то же время женщины возглавили18 процентов исполнительных органов негосударственных учреждений. При администрации президента Родригеса женщины составили 23,5 процента членов правительства. Однако сохранилась тенденция предыдущих администраций чаще назначать женщин заместителями министров, чем министрами. </w:t>
      </w:r>
    </w:p>
    <w:p w:rsidR="00000000" w:rsidRDefault="00000000">
      <w:pPr>
        <w:tabs>
          <w:tab w:val="left" w:pos="680"/>
        </w:tabs>
        <w:spacing w:line="260" w:lineRule="exact"/>
        <w:jc w:val="center"/>
        <w:rPr>
          <w:b/>
          <w:sz w:val="22"/>
        </w:rPr>
      </w:pPr>
      <w:r>
        <w:rPr>
          <w:b/>
          <w:sz w:val="22"/>
        </w:rPr>
        <w:br w:type="page"/>
        <w:t>Таблица 2</w:t>
      </w:r>
    </w:p>
    <w:p w:rsidR="00000000" w:rsidRDefault="00000000">
      <w:pPr>
        <w:tabs>
          <w:tab w:val="left" w:pos="680"/>
        </w:tabs>
        <w:spacing w:before="120" w:after="120" w:line="260" w:lineRule="exact"/>
        <w:jc w:val="center"/>
        <w:rPr>
          <w:b/>
          <w:sz w:val="22"/>
        </w:rPr>
      </w:pPr>
      <w:r>
        <w:rPr>
          <w:b/>
          <w:sz w:val="22"/>
        </w:rPr>
        <w:t>Назначение женщин на государственные должности, 2002–2006 годы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969"/>
        <w:gridCol w:w="1701"/>
        <w:gridCol w:w="1985"/>
        <w:gridCol w:w="1134"/>
      </w:tblGrid>
      <w:tr w:rsidR="00000000">
        <w:tblPrEx>
          <w:tblCellMar>
            <w:top w:w="0" w:type="dxa"/>
            <w:bottom w:w="0" w:type="dxa"/>
          </w:tblCellMar>
        </w:tblPrEx>
        <w:trPr>
          <w:jc w:val="center"/>
        </w:trPr>
        <w:tc>
          <w:tcPr>
            <w:tcW w:w="3969" w:type="dxa"/>
          </w:tcPr>
          <w:p w:rsidR="00000000" w:rsidRDefault="00000000">
            <w:pPr>
              <w:tabs>
                <w:tab w:val="left" w:pos="680"/>
              </w:tabs>
              <w:spacing w:before="80" w:after="80" w:line="240" w:lineRule="exact"/>
              <w:jc w:val="both"/>
              <w:rPr>
                <w:b/>
                <w:sz w:val="20"/>
              </w:rPr>
            </w:pPr>
            <w:r>
              <w:rPr>
                <w:b/>
                <w:sz w:val="20"/>
              </w:rPr>
              <w:t>Должности</w:t>
            </w:r>
          </w:p>
        </w:tc>
        <w:tc>
          <w:tcPr>
            <w:tcW w:w="1701" w:type="dxa"/>
          </w:tcPr>
          <w:p w:rsidR="00000000" w:rsidRDefault="00000000">
            <w:pPr>
              <w:tabs>
                <w:tab w:val="left" w:pos="680"/>
              </w:tabs>
              <w:spacing w:before="80" w:after="80" w:line="240" w:lineRule="exact"/>
              <w:jc w:val="center"/>
              <w:rPr>
                <w:b/>
                <w:sz w:val="20"/>
              </w:rPr>
            </w:pPr>
            <w:r>
              <w:rPr>
                <w:b/>
                <w:sz w:val="20"/>
              </w:rPr>
              <w:t>Общее количество</w:t>
            </w:r>
          </w:p>
        </w:tc>
        <w:tc>
          <w:tcPr>
            <w:tcW w:w="1985" w:type="dxa"/>
          </w:tcPr>
          <w:p w:rsidR="00000000" w:rsidRDefault="00000000">
            <w:pPr>
              <w:tabs>
                <w:tab w:val="left" w:pos="680"/>
              </w:tabs>
              <w:spacing w:before="80" w:after="80" w:line="240" w:lineRule="exact"/>
              <w:jc w:val="center"/>
              <w:rPr>
                <w:b/>
                <w:sz w:val="20"/>
              </w:rPr>
            </w:pPr>
            <w:r>
              <w:rPr>
                <w:b/>
                <w:sz w:val="20"/>
              </w:rPr>
              <w:t>Из них занято женщинами</w:t>
            </w:r>
          </w:p>
        </w:tc>
        <w:tc>
          <w:tcPr>
            <w:tcW w:w="1134" w:type="dxa"/>
          </w:tcPr>
          <w:p w:rsidR="00000000" w:rsidRDefault="00000000">
            <w:pPr>
              <w:tabs>
                <w:tab w:val="left" w:pos="680"/>
              </w:tabs>
              <w:spacing w:before="80" w:after="80" w:line="240" w:lineRule="exact"/>
              <w:jc w:val="center"/>
              <w:rPr>
                <w:b/>
                <w:sz w:val="20"/>
              </w:rPr>
            </w:pPr>
            <w:r>
              <w:rPr>
                <w:b/>
                <w:sz w:val="20"/>
              </w:rPr>
              <w:t>Проценты</w:t>
            </w:r>
          </w:p>
        </w:tc>
      </w:tr>
      <w:tr w:rsidR="00000000">
        <w:tblPrEx>
          <w:tblCellMar>
            <w:top w:w="0" w:type="dxa"/>
            <w:bottom w:w="0" w:type="dxa"/>
          </w:tblCellMar>
        </w:tblPrEx>
        <w:trPr>
          <w:jc w:val="center"/>
        </w:trPr>
        <w:tc>
          <w:tcPr>
            <w:tcW w:w="3969" w:type="dxa"/>
            <w:tcBorders>
              <w:bottom w:val="nil"/>
            </w:tcBorders>
          </w:tcPr>
          <w:p w:rsidR="00000000" w:rsidRDefault="00000000">
            <w:pPr>
              <w:tabs>
                <w:tab w:val="left" w:pos="680"/>
              </w:tabs>
              <w:spacing w:before="80" w:after="80" w:line="240" w:lineRule="exact"/>
              <w:rPr>
                <w:sz w:val="20"/>
              </w:rPr>
            </w:pPr>
            <w:r>
              <w:rPr>
                <w:sz w:val="20"/>
              </w:rPr>
              <w:t>Министры</w:t>
            </w:r>
          </w:p>
        </w:tc>
        <w:tc>
          <w:tcPr>
            <w:tcW w:w="1701" w:type="dxa"/>
            <w:tcBorders>
              <w:bottom w:val="nil"/>
            </w:tcBorders>
          </w:tcPr>
          <w:p w:rsidR="00000000" w:rsidRDefault="00000000">
            <w:pPr>
              <w:tabs>
                <w:tab w:val="left" w:pos="680"/>
              </w:tabs>
              <w:spacing w:before="80" w:after="80" w:line="240" w:lineRule="exact"/>
              <w:jc w:val="center"/>
              <w:rPr>
                <w:sz w:val="20"/>
              </w:rPr>
            </w:pPr>
            <w:r>
              <w:rPr>
                <w:sz w:val="20"/>
              </w:rPr>
              <w:t>20</w:t>
            </w:r>
          </w:p>
        </w:tc>
        <w:tc>
          <w:tcPr>
            <w:tcW w:w="1985" w:type="dxa"/>
            <w:tcBorders>
              <w:bottom w:val="nil"/>
            </w:tcBorders>
          </w:tcPr>
          <w:p w:rsidR="00000000" w:rsidRDefault="00000000">
            <w:pPr>
              <w:tabs>
                <w:tab w:val="left" w:pos="680"/>
              </w:tabs>
              <w:spacing w:before="80" w:after="80" w:line="240" w:lineRule="exact"/>
              <w:jc w:val="center"/>
              <w:rPr>
                <w:sz w:val="20"/>
              </w:rPr>
            </w:pPr>
            <w:r>
              <w:rPr>
                <w:sz w:val="20"/>
              </w:rPr>
              <w:t>5</w:t>
            </w:r>
          </w:p>
        </w:tc>
        <w:tc>
          <w:tcPr>
            <w:tcW w:w="1134" w:type="dxa"/>
            <w:tcBorders>
              <w:bottom w:val="nil"/>
            </w:tcBorders>
          </w:tcPr>
          <w:p w:rsidR="00000000" w:rsidRDefault="00000000">
            <w:pPr>
              <w:tabs>
                <w:tab w:val="left" w:pos="680"/>
              </w:tabs>
              <w:spacing w:before="80" w:after="80" w:line="240" w:lineRule="exact"/>
              <w:jc w:val="center"/>
              <w:rPr>
                <w:sz w:val="20"/>
              </w:rPr>
            </w:pPr>
            <w:r>
              <w:rPr>
                <w:sz w:val="20"/>
              </w:rPr>
              <w:t>25</w:t>
            </w:r>
          </w:p>
        </w:tc>
      </w:tr>
      <w:tr w:rsidR="00000000">
        <w:tblPrEx>
          <w:tblCellMar>
            <w:top w:w="0" w:type="dxa"/>
            <w:bottom w:w="0" w:type="dxa"/>
          </w:tblCellMar>
        </w:tblPrEx>
        <w:trPr>
          <w:jc w:val="center"/>
        </w:trPr>
        <w:tc>
          <w:tcPr>
            <w:tcW w:w="3969" w:type="dxa"/>
            <w:tcBorders>
              <w:top w:val="nil"/>
              <w:bottom w:val="nil"/>
            </w:tcBorders>
          </w:tcPr>
          <w:p w:rsidR="00000000" w:rsidRDefault="00000000">
            <w:pPr>
              <w:tabs>
                <w:tab w:val="left" w:pos="680"/>
              </w:tabs>
              <w:spacing w:before="80" w:after="80" w:line="240" w:lineRule="exact"/>
              <w:rPr>
                <w:sz w:val="20"/>
              </w:rPr>
            </w:pPr>
            <w:r>
              <w:rPr>
                <w:sz w:val="20"/>
              </w:rPr>
              <w:t>Заместители министров</w:t>
            </w:r>
          </w:p>
        </w:tc>
        <w:tc>
          <w:tcPr>
            <w:tcW w:w="1701" w:type="dxa"/>
            <w:tcBorders>
              <w:top w:val="nil"/>
              <w:bottom w:val="nil"/>
            </w:tcBorders>
          </w:tcPr>
          <w:p w:rsidR="00000000" w:rsidRDefault="00000000">
            <w:pPr>
              <w:tabs>
                <w:tab w:val="left" w:pos="680"/>
              </w:tabs>
              <w:spacing w:before="80" w:after="80" w:line="240" w:lineRule="exact"/>
              <w:jc w:val="center"/>
              <w:rPr>
                <w:sz w:val="20"/>
              </w:rPr>
            </w:pPr>
            <w:r>
              <w:rPr>
                <w:sz w:val="20"/>
              </w:rPr>
              <w:t>25</w:t>
            </w:r>
          </w:p>
        </w:tc>
        <w:tc>
          <w:tcPr>
            <w:tcW w:w="1985" w:type="dxa"/>
            <w:tcBorders>
              <w:top w:val="nil"/>
              <w:bottom w:val="nil"/>
            </w:tcBorders>
          </w:tcPr>
          <w:p w:rsidR="00000000" w:rsidRDefault="00000000">
            <w:pPr>
              <w:tabs>
                <w:tab w:val="left" w:pos="680"/>
              </w:tabs>
              <w:spacing w:before="80" w:after="80" w:line="240" w:lineRule="exact"/>
              <w:jc w:val="center"/>
              <w:rPr>
                <w:sz w:val="20"/>
              </w:rPr>
            </w:pPr>
            <w:r>
              <w:rPr>
                <w:sz w:val="20"/>
              </w:rPr>
              <w:t>12</w:t>
            </w:r>
          </w:p>
        </w:tc>
        <w:tc>
          <w:tcPr>
            <w:tcW w:w="1134" w:type="dxa"/>
            <w:tcBorders>
              <w:top w:val="nil"/>
              <w:bottom w:val="nil"/>
            </w:tcBorders>
          </w:tcPr>
          <w:p w:rsidR="00000000" w:rsidRDefault="00000000">
            <w:pPr>
              <w:tabs>
                <w:tab w:val="left" w:pos="680"/>
              </w:tabs>
              <w:spacing w:before="80" w:after="80" w:line="240" w:lineRule="exact"/>
              <w:jc w:val="center"/>
              <w:rPr>
                <w:sz w:val="20"/>
              </w:rPr>
            </w:pPr>
            <w:r>
              <w:rPr>
                <w:sz w:val="20"/>
              </w:rPr>
              <w:t>48</w:t>
            </w:r>
          </w:p>
        </w:tc>
      </w:tr>
      <w:tr w:rsidR="00000000">
        <w:tblPrEx>
          <w:tblCellMar>
            <w:top w:w="0" w:type="dxa"/>
            <w:bottom w:w="0" w:type="dxa"/>
          </w:tblCellMar>
        </w:tblPrEx>
        <w:trPr>
          <w:jc w:val="center"/>
        </w:trPr>
        <w:tc>
          <w:tcPr>
            <w:tcW w:w="3969" w:type="dxa"/>
            <w:tcBorders>
              <w:top w:val="nil"/>
              <w:bottom w:val="nil"/>
            </w:tcBorders>
          </w:tcPr>
          <w:p w:rsidR="00000000" w:rsidRDefault="00000000">
            <w:pPr>
              <w:tabs>
                <w:tab w:val="left" w:pos="680"/>
              </w:tabs>
              <w:spacing w:before="80" w:after="80" w:line="240" w:lineRule="exact"/>
              <w:rPr>
                <w:sz w:val="20"/>
                <w:highlight w:val="yellow"/>
              </w:rPr>
            </w:pPr>
            <w:r>
              <w:rPr>
                <w:sz w:val="20"/>
              </w:rPr>
              <w:t>Главы учреждений</w:t>
            </w:r>
          </w:p>
        </w:tc>
        <w:tc>
          <w:tcPr>
            <w:tcW w:w="1701" w:type="dxa"/>
            <w:tcBorders>
              <w:top w:val="nil"/>
              <w:bottom w:val="nil"/>
            </w:tcBorders>
          </w:tcPr>
          <w:p w:rsidR="00000000" w:rsidRDefault="00000000">
            <w:pPr>
              <w:tabs>
                <w:tab w:val="left" w:pos="680"/>
              </w:tabs>
              <w:spacing w:before="80" w:after="80" w:line="240" w:lineRule="exact"/>
              <w:jc w:val="center"/>
              <w:rPr>
                <w:sz w:val="20"/>
              </w:rPr>
            </w:pPr>
            <w:r>
              <w:rPr>
                <w:sz w:val="20"/>
              </w:rPr>
              <w:t>21</w:t>
            </w:r>
          </w:p>
        </w:tc>
        <w:tc>
          <w:tcPr>
            <w:tcW w:w="1985" w:type="dxa"/>
            <w:tcBorders>
              <w:top w:val="nil"/>
              <w:bottom w:val="nil"/>
            </w:tcBorders>
          </w:tcPr>
          <w:p w:rsidR="00000000" w:rsidRDefault="00000000">
            <w:pPr>
              <w:tabs>
                <w:tab w:val="left" w:pos="680"/>
              </w:tabs>
              <w:spacing w:before="80" w:after="80" w:line="240" w:lineRule="exact"/>
              <w:jc w:val="center"/>
              <w:rPr>
                <w:sz w:val="20"/>
              </w:rPr>
            </w:pPr>
            <w:r>
              <w:rPr>
                <w:sz w:val="20"/>
              </w:rPr>
              <w:t>5</w:t>
            </w:r>
          </w:p>
        </w:tc>
        <w:tc>
          <w:tcPr>
            <w:tcW w:w="1134" w:type="dxa"/>
            <w:tcBorders>
              <w:top w:val="nil"/>
              <w:bottom w:val="nil"/>
            </w:tcBorders>
          </w:tcPr>
          <w:p w:rsidR="00000000" w:rsidRDefault="00000000">
            <w:pPr>
              <w:tabs>
                <w:tab w:val="left" w:pos="680"/>
              </w:tabs>
              <w:spacing w:before="80" w:after="80" w:line="240" w:lineRule="exact"/>
              <w:jc w:val="center"/>
              <w:rPr>
                <w:sz w:val="20"/>
              </w:rPr>
            </w:pPr>
            <w:r>
              <w:rPr>
                <w:sz w:val="20"/>
              </w:rPr>
              <w:t>23,8</w:t>
            </w:r>
          </w:p>
        </w:tc>
      </w:tr>
      <w:tr w:rsidR="00000000">
        <w:tblPrEx>
          <w:tblCellMar>
            <w:top w:w="0" w:type="dxa"/>
            <w:bottom w:w="0" w:type="dxa"/>
          </w:tblCellMar>
        </w:tblPrEx>
        <w:trPr>
          <w:jc w:val="center"/>
        </w:trPr>
        <w:tc>
          <w:tcPr>
            <w:tcW w:w="3969" w:type="dxa"/>
            <w:tcBorders>
              <w:top w:val="nil"/>
            </w:tcBorders>
          </w:tcPr>
          <w:p w:rsidR="00000000" w:rsidRDefault="00000000">
            <w:pPr>
              <w:tabs>
                <w:tab w:val="left" w:pos="680"/>
              </w:tabs>
              <w:spacing w:before="80" w:after="80" w:line="240" w:lineRule="exact"/>
              <w:rPr>
                <w:sz w:val="20"/>
                <w:highlight w:val="yellow"/>
              </w:rPr>
            </w:pPr>
            <w:r>
              <w:rPr>
                <w:sz w:val="20"/>
              </w:rPr>
              <w:t>Исполнительные директоры/главы учреждений</w:t>
            </w:r>
          </w:p>
        </w:tc>
        <w:tc>
          <w:tcPr>
            <w:tcW w:w="1701" w:type="dxa"/>
            <w:tcBorders>
              <w:top w:val="nil"/>
            </w:tcBorders>
          </w:tcPr>
          <w:p w:rsidR="00000000" w:rsidRDefault="00000000">
            <w:pPr>
              <w:tabs>
                <w:tab w:val="left" w:pos="680"/>
              </w:tabs>
              <w:spacing w:before="80" w:after="80" w:line="240" w:lineRule="exact"/>
              <w:jc w:val="center"/>
              <w:rPr>
                <w:sz w:val="20"/>
                <w:lang w:val="es-ES"/>
              </w:rPr>
            </w:pPr>
            <w:r>
              <w:rPr>
                <w:sz w:val="20"/>
                <w:lang w:val="es-ES"/>
              </w:rPr>
              <w:t>21</w:t>
            </w:r>
          </w:p>
        </w:tc>
        <w:tc>
          <w:tcPr>
            <w:tcW w:w="1985" w:type="dxa"/>
            <w:tcBorders>
              <w:top w:val="nil"/>
            </w:tcBorders>
          </w:tcPr>
          <w:p w:rsidR="00000000" w:rsidRDefault="00000000">
            <w:pPr>
              <w:tabs>
                <w:tab w:val="left" w:pos="680"/>
              </w:tabs>
              <w:spacing w:before="80" w:after="80" w:line="240" w:lineRule="exact"/>
              <w:jc w:val="center"/>
              <w:rPr>
                <w:sz w:val="20"/>
                <w:lang w:val="es-ES"/>
              </w:rPr>
            </w:pPr>
            <w:r>
              <w:rPr>
                <w:sz w:val="20"/>
                <w:lang w:val="es-ES"/>
              </w:rPr>
              <w:t>3</w:t>
            </w:r>
          </w:p>
        </w:tc>
        <w:tc>
          <w:tcPr>
            <w:tcW w:w="1134" w:type="dxa"/>
            <w:tcBorders>
              <w:top w:val="nil"/>
            </w:tcBorders>
          </w:tcPr>
          <w:p w:rsidR="00000000" w:rsidRDefault="00000000">
            <w:pPr>
              <w:tabs>
                <w:tab w:val="left" w:pos="680"/>
              </w:tabs>
              <w:spacing w:before="80" w:after="80" w:line="240" w:lineRule="exact"/>
              <w:jc w:val="center"/>
              <w:rPr>
                <w:sz w:val="20"/>
                <w:lang w:val="es-ES"/>
              </w:rPr>
            </w:pPr>
            <w:r>
              <w:rPr>
                <w:sz w:val="20"/>
                <w:lang w:val="es-ES"/>
              </w:rPr>
              <w:t>14</w:t>
            </w:r>
            <w:r>
              <w:rPr>
                <w:sz w:val="20"/>
                <w:lang w:val="en-US"/>
              </w:rPr>
              <w:t>,</w:t>
            </w:r>
            <w:r>
              <w:rPr>
                <w:sz w:val="20"/>
                <w:lang w:val="es-ES"/>
              </w:rPr>
              <w:t>28</w:t>
            </w:r>
          </w:p>
        </w:tc>
      </w:tr>
    </w:tbl>
    <w:p w:rsidR="00000000" w:rsidRDefault="00000000">
      <w:pPr>
        <w:tabs>
          <w:tab w:val="left" w:pos="680"/>
        </w:tabs>
        <w:spacing w:before="240" w:line="260" w:lineRule="exact"/>
        <w:jc w:val="both"/>
        <w:rPr>
          <w:sz w:val="20"/>
          <w:lang w:val="en-US"/>
        </w:rPr>
      </w:pPr>
      <w:r>
        <w:rPr>
          <w:b/>
          <w:sz w:val="20"/>
        </w:rPr>
        <w:t>Источник</w:t>
      </w:r>
      <w:r>
        <w:rPr>
          <w:sz w:val="20"/>
          <w:lang w:val="en-US"/>
        </w:rPr>
        <w:t xml:space="preserve">: </w:t>
      </w:r>
      <w:r>
        <w:rPr>
          <w:sz w:val="20"/>
          <w:lang w:val="es-ES"/>
        </w:rPr>
        <w:t>Area</w:t>
      </w:r>
      <w:r>
        <w:rPr>
          <w:sz w:val="20"/>
          <w:lang w:val="en-US"/>
        </w:rPr>
        <w:t xml:space="preserve"> </w:t>
      </w:r>
      <w:r>
        <w:rPr>
          <w:sz w:val="20"/>
          <w:lang w:val="es-ES"/>
        </w:rPr>
        <w:t>de</w:t>
      </w:r>
      <w:r>
        <w:rPr>
          <w:sz w:val="20"/>
          <w:lang w:val="en-US"/>
        </w:rPr>
        <w:t xml:space="preserve"> </w:t>
      </w:r>
      <w:r>
        <w:rPr>
          <w:caps/>
          <w:sz w:val="20"/>
          <w:lang w:val="es-ES"/>
        </w:rPr>
        <w:t>c</w:t>
      </w:r>
      <w:r>
        <w:rPr>
          <w:sz w:val="20"/>
          <w:lang w:val="es-ES"/>
        </w:rPr>
        <w:t>iudadania</w:t>
      </w:r>
      <w:r>
        <w:rPr>
          <w:sz w:val="20"/>
          <w:lang w:val="en-US"/>
        </w:rPr>
        <w:t xml:space="preserve"> </w:t>
      </w:r>
      <w:r>
        <w:rPr>
          <w:sz w:val="20"/>
          <w:lang w:val="es-ES"/>
        </w:rPr>
        <w:t>Activa</w:t>
      </w:r>
      <w:r>
        <w:rPr>
          <w:sz w:val="20"/>
          <w:lang w:val="en-US"/>
        </w:rPr>
        <w:t xml:space="preserve">, </w:t>
      </w:r>
      <w:r>
        <w:rPr>
          <w:sz w:val="20"/>
          <w:lang w:val="es-ES"/>
        </w:rPr>
        <w:t>Liderazgo</w:t>
      </w:r>
      <w:r>
        <w:rPr>
          <w:sz w:val="20"/>
          <w:lang w:val="en-US"/>
        </w:rPr>
        <w:t xml:space="preserve"> </w:t>
      </w:r>
      <w:r>
        <w:rPr>
          <w:sz w:val="20"/>
          <w:lang w:val="es-ES"/>
        </w:rPr>
        <w:t>y</w:t>
      </w:r>
      <w:r>
        <w:rPr>
          <w:sz w:val="20"/>
          <w:lang w:val="en-US"/>
        </w:rPr>
        <w:t xml:space="preserve"> </w:t>
      </w:r>
      <w:r>
        <w:rPr>
          <w:sz w:val="20"/>
          <w:lang w:val="es-ES"/>
        </w:rPr>
        <w:t>Gestion</w:t>
      </w:r>
      <w:r>
        <w:rPr>
          <w:sz w:val="20"/>
          <w:lang w:val="en-US"/>
        </w:rPr>
        <w:t xml:space="preserve"> </w:t>
      </w:r>
      <w:r>
        <w:rPr>
          <w:sz w:val="20"/>
          <w:lang w:val="es-ES"/>
        </w:rPr>
        <w:t>Local</w:t>
      </w:r>
      <w:r>
        <w:rPr>
          <w:sz w:val="20"/>
          <w:lang w:val="en-US"/>
        </w:rPr>
        <w:t xml:space="preserve"> – INAMU, 2002.</w:t>
      </w:r>
    </w:p>
    <w:p w:rsidR="00000000" w:rsidRDefault="00000000">
      <w:pPr>
        <w:tabs>
          <w:tab w:val="left" w:pos="680"/>
        </w:tabs>
        <w:spacing w:before="240" w:line="260" w:lineRule="exact"/>
        <w:jc w:val="both"/>
        <w:rPr>
          <w:sz w:val="22"/>
        </w:rPr>
      </w:pPr>
      <w:r>
        <w:rPr>
          <w:sz w:val="22"/>
        </w:rPr>
        <w:t>253.</w:t>
      </w:r>
      <w:r>
        <w:rPr>
          <w:sz w:val="22"/>
        </w:rPr>
        <w:tab/>
        <w:t>За последнее десятилетие не произошло значительного роста числа женщин – депутатов Законодательного собрания, хотя и отмечался значительный рост числа женщин – кандидатов на выборах. Однако среди избранных депутатов доля женщин оказалась значительно ниже, что свидетельствует о том, что большинство из них занимало "непроходные места" в избирательных списках. В то же время следует отметить, что увеличилось число женщин, занимавших верхние строки в избирательных списках: за период 1990–1998 годов их число возросло с 6,7 до 25,1 процента (проект "Состояние нации", 2001 год). Это несоответствие доказывает неравенство возможностей женщин и мужчин в плане попадания на такие места в избирательных списках, которые способствовали бы их избранию.</w:t>
      </w:r>
    </w:p>
    <w:p w:rsidR="00000000" w:rsidRDefault="00000000">
      <w:pPr>
        <w:tabs>
          <w:tab w:val="left" w:pos="680"/>
        </w:tabs>
        <w:spacing w:before="240" w:line="260" w:lineRule="exact"/>
        <w:jc w:val="center"/>
        <w:rPr>
          <w:b/>
          <w:sz w:val="22"/>
        </w:rPr>
      </w:pPr>
      <w:r>
        <w:rPr>
          <w:b/>
          <w:sz w:val="22"/>
        </w:rPr>
        <w:t>Таблица 3</w:t>
      </w:r>
    </w:p>
    <w:p w:rsidR="00000000" w:rsidRDefault="00000000">
      <w:pPr>
        <w:tabs>
          <w:tab w:val="left" w:pos="680"/>
        </w:tabs>
        <w:spacing w:before="120" w:after="120" w:line="260" w:lineRule="exact"/>
        <w:jc w:val="center"/>
        <w:rPr>
          <w:b/>
          <w:sz w:val="22"/>
        </w:rPr>
      </w:pPr>
      <w:r>
        <w:rPr>
          <w:b/>
          <w:sz w:val="22"/>
        </w:rPr>
        <w:t>Женщины в Законодательном собрании, 1958–2006 годы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418"/>
        <w:gridCol w:w="1701"/>
        <w:gridCol w:w="2835"/>
        <w:gridCol w:w="2835"/>
      </w:tblGrid>
      <w:tr w:rsidR="00000000">
        <w:tblPrEx>
          <w:tblCellMar>
            <w:top w:w="0" w:type="dxa"/>
            <w:bottom w:w="0" w:type="dxa"/>
          </w:tblCellMar>
        </w:tblPrEx>
        <w:trPr>
          <w:jc w:val="center"/>
        </w:trPr>
        <w:tc>
          <w:tcPr>
            <w:tcW w:w="1418" w:type="dxa"/>
          </w:tcPr>
          <w:p w:rsidR="00000000" w:rsidRDefault="00000000">
            <w:pPr>
              <w:tabs>
                <w:tab w:val="left" w:pos="680"/>
              </w:tabs>
              <w:spacing w:before="120" w:after="120"/>
              <w:jc w:val="center"/>
              <w:rPr>
                <w:b/>
                <w:sz w:val="20"/>
              </w:rPr>
            </w:pPr>
            <w:r>
              <w:rPr>
                <w:b/>
                <w:sz w:val="20"/>
              </w:rPr>
              <w:t>Период</w:t>
            </w:r>
          </w:p>
        </w:tc>
        <w:tc>
          <w:tcPr>
            <w:tcW w:w="1701" w:type="dxa"/>
          </w:tcPr>
          <w:p w:rsidR="00000000" w:rsidRDefault="00000000">
            <w:pPr>
              <w:tabs>
                <w:tab w:val="left" w:pos="680"/>
              </w:tabs>
              <w:spacing w:before="120" w:after="120"/>
              <w:jc w:val="center"/>
              <w:rPr>
                <w:b/>
                <w:sz w:val="20"/>
              </w:rPr>
            </w:pPr>
            <w:r>
              <w:rPr>
                <w:b/>
                <w:sz w:val="20"/>
              </w:rPr>
              <w:t>Всего депутатов</w:t>
            </w:r>
          </w:p>
        </w:tc>
        <w:tc>
          <w:tcPr>
            <w:tcW w:w="2835" w:type="dxa"/>
          </w:tcPr>
          <w:p w:rsidR="00000000" w:rsidRDefault="00000000">
            <w:pPr>
              <w:tabs>
                <w:tab w:val="left" w:pos="680"/>
              </w:tabs>
              <w:spacing w:before="120" w:after="120"/>
              <w:jc w:val="center"/>
              <w:rPr>
                <w:b/>
                <w:sz w:val="20"/>
              </w:rPr>
            </w:pPr>
            <w:r>
              <w:rPr>
                <w:b/>
                <w:sz w:val="20"/>
              </w:rPr>
              <w:t>Всего депутатов-женщин</w:t>
            </w:r>
          </w:p>
        </w:tc>
        <w:tc>
          <w:tcPr>
            <w:tcW w:w="2835" w:type="dxa"/>
          </w:tcPr>
          <w:p w:rsidR="00000000" w:rsidRDefault="00000000">
            <w:pPr>
              <w:tabs>
                <w:tab w:val="left" w:pos="680"/>
              </w:tabs>
              <w:spacing w:before="120" w:after="120"/>
              <w:jc w:val="center"/>
              <w:rPr>
                <w:b/>
                <w:sz w:val="20"/>
              </w:rPr>
            </w:pPr>
            <w:r>
              <w:rPr>
                <w:b/>
                <w:sz w:val="20"/>
              </w:rPr>
              <w:t>Процент депутатов-женщин</w:t>
            </w:r>
          </w:p>
        </w:tc>
      </w:tr>
      <w:tr w:rsidR="00000000">
        <w:tblPrEx>
          <w:tblCellMar>
            <w:top w:w="0" w:type="dxa"/>
            <w:bottom w:w="0" w:type="dxa"/>
          </w:tblCellMar>
        </w:tblPrEx>
        <w:trPr>
          <w:jc w:val="center"/>
        </w:trPr>
        <w:tc>
          <w:tcPr>
            <w:tcW w:w="1418" w:type="dxa"/>
            <w:tcBorders>
              <w:bottom w:val="nil"/>
            </w:tcBorders>
          </w:tcPr>
          <w:p w:rsidR="00000000" w:rsidRDefault="00000000">
            <w:pPr>
              <w:tabs>
                <w:tab w:val="left" w:pos="680"/>
              </w:tabs>
              <w:spacing w:before="40" w:after="40"/>
              <w:jc w:val="center"/>
              <w:rPr>
                <w:sz w:val="20"/>
                <w:lang w:val="es-ES"/>
              </w:rPr>
            </w:pPr>
            <w:r>
              <w:rPr>
                <w:sz w:val="20"/>
                <w:lang w:val="es-ES"/>
              </w:rPr>
              <w:t>1953–1958</w:t>
            </w:r>
          </w:p>
        </w:tc>
        <w:tc>
          <w:tcPr>
            <w:tcW w:w="1701" w:type="dxa"/>
            <w:tcBorders>
              <w:bottom w:val="nil"/>
            </w:tcBorders>
          </w:tcPr>
          <w:p w:rsidR="00000000" w:rsidRDefault="00000000">
            <w:pPr>
              <w:tabs>
                <w:tab w:val="left" w:pos="680"/>
              </w:tabs>
              <w:spacing w:before="40" w:after="40"/>
              <w:jc w:val="center"/>
              <w:rPr>
                <w:sz w:val="20"/>
                <w:lang w:val="es-ES"/>
              </w:rPr>
            </w:pPr>
            <w:r>
              <w:rPr>
                <w:sz w:val="20"/>
                <w:lang w:val="es-ES"/>
              </w:rPr>
              <w:t>45</w:t>
            </w:r>
          </w:p>
        </w:tc>
        <w:tc>
          <w:tcPr>
            <w:tcW w:w="2835" w:type="dxa"/>
            <w:tcBorders>
              <w:bottom w:val="nil"/>
            </w:tcBorders>
          </w:tcPr>
          <w:p w:rsidR="00000000" w:rsidRDefault="00000000">
            <w:pPr>
              <w:tabs>
                <w:tab w:val="left" w:pos="680"/>
              </w:tabs>
              <w:spacing w:before="40" w:after="40"/>
              <w:jc w:val="center"/>
              <w:rPr>
                <w:sz w:val="20"/>
                <w:lang w:val="es-ES"/>
              </w:rPr>
            </w:pPr>
            <w:r>
              <w:rPr>
                <w:sz w:val="20"/>
                <w:lang w:val="es-ES"/>
              </w:rPr>
              <w:t>3</w:t>
            </w:r>
          </w:p>
        </w:tc>
        <w:tc>
          <w:tcPr>
            <w:tcW w:w="2835" w:type="dxa"/>
            <w:tcBorders>
              <w:bottom w:val="nil"/>
            </w:tcBorders>
          </w:tcPr>
          <w:p w:rsidR="00000000" w:rsidRDefault="00000000">
            <w:pPr>
              <w:tabs>
                <w:tab w:val="left" w:pos="680"/>
              </w:tabs>
              <w:spacing w:before="40" w:after="40"/>
              <w:jc w:val="center"/>
              <w:rPr>
                <w:sz w:val="20"/>
                <w:lang w:val="es-ES"/>
              </w:rPr>
            </w:pPr>
            <w:r>
              <w:rPr>
                <w:sz w:val="20"/>
                <w:lang w:val="es-ES"/>
              </w:rPr>
              <w:t>6,7</w:t>
            </w:r>
          </w:p>
        </w:tc>
      </w:tr>
      <w:tr w:rsidR="00000000">
        <w:tblPrEx>
          <w:tblCellMar>
            <w:top w:w="0" w:type="dxa"/>
            <w:bottom w:w="0" w:type="dxa"/>
          </w:tblCellMar>
        </w:tblPrEx>
        <w:trPr>
          <w:jc w:val="center"/>
        </w:trPr>
        <w:tc>
          <w:tcPr>
            <w:tcW w:w="1418" w:type="dxa"/>
            <w:tcBorders>
              <w:top w:val="nil"/>
              <w:bottom w:val="nil"/>
            </w:tcBorders>
          </w:tcPr>
          <w:p w:rsidR="00000000" w:rsidRDefault="00000000">
            <w:pPr>
              <w:tabs>
                <w:tab w:val="left" w:pos="680"/>
              </w:tabs>
              <w:spacing w:before="40" w:after="40"/>
              <w:jc w:val="center"/>
              <w:rPr>
                <w:sz w:val="20"/>
                <w:lang w:val="es-ES"/>
              </w:rPr>
            </w:pPr>
            <w:r>
              <w:rPr>
                <w:sz w:val="20"/>
                <w:lang w:val="es-ES"/>
              </w:rPr>
              <w:t>1958–1962</w:t>
            </w:r>
          </w:p>
        </w:tc>
        <w:tc>
          <w:tcPr>
            <w:tcW w:w="1701" w:type="dxa"/>
            <w:tcBorders>
              <w:top w:val="nil"/>
              <w:bottom w:val="nil"/>
            </w:tcBorders>
          </w:tcPr>
          <w:p w:rsidR="00000000" w:rsidRDefault="00000000">
            <w:pPr>
              <w:tabs>
                <w:tab w:val="left" w:pos="680"/>
              </w:tabs>
              <w:spacing w:before="40" w:after="40"/>
              <w:jc w:val="center"/>
              <w:rPr>
                <w:sz w:val="20"/>
                <w:lang w:val="es-ES"/>
              </w:rPr>
            </w:pPr>
            <w:r>
              <w:rPr>
                <w:sz w:val="20"/>
                <w:lang w:val="es-ES"/>
              </w:rPr>
              <w:t>45</w:t>
            </w:r>
          </w:p>
        </w:tc>
        <w:tc>
          <w:tcPr>
            <w:tcW w:w="2835" w:type="dxa"/>
            <w:tcBorders>
              <w:top w:val="nil"/>
              <w:bottom w:val="nil"/>
            </w:tcBorders>
          </w:tcPr>
          <w:p w:rsidR="00000000" w:rsidRDefault="00000000">
            <w:pPr>
              <w:tabs>
                <w:tab w:val="left" w:pos="680"/>
              </w:tabs>
              <w:spacing w:before="40" w:after="40"/>
              <w:jc w:val="center"/>
              <w:rPr>
                <w:sz w:val="20"/>
                <w:lang w:val="es-ES"/>
              </w:rPr>
            </w:pPr>
            <w:r>
              <w:rPr>
                <w:sz w:val="20"/>
                <w:lang w:val="es-ES"/>
              </w:rPr>
              <w:t>2</w:t>
            </w:r>
          </w:p>
        </w:tc>
        <w:tc>
          <w:tcPr>
            <w:tcW w:w="2835" w:type="dxa"/>
            <w:tcBorders>
              <w:top w:val="nil"/>
              <w:bottom w:val="nil"/>
            </w:tcBorders>
          </w:tcPr>
          <w:p w:rsidR="00000000" w:rsidRDefault="00000000">
            <w:pPr>
              <w:tabs>
                <w:tab w:val="left" w:pos="680"/>
              </w:tabs>
              <w:spacing w:before="40" w:after="40"/>
              <w:jc w:val="center"/>
              <w:rPr>
                <w:sz w:val="20"/>
                <w:lang w:val="es-ES"/>
              </w:rPr>
            </w:pPr>
            <w:r>
              <w:rPr>
                <w:sz w:val="20"/>
                <w:lang w:val="es-ES"/>
              </w:rPr>
              <w:t>4,4</w:t>
            </w:r>
          </w:p>
        </w:tc>
      </w:tr>
      <w:tr w:rsidR="00000000">
        <w:tblPrEx>
          <w:tblCellMar>
            <w:top w:w="0" w:type="dxa"/>
            <w:bottom w:w="0" w:type="dxa"/>
          </w:tblCellMar>
        </w:tblPrEx>
        <w:trPr>
          <w:jc w:val="center"/>
        </w:trPr>
        <w:tc>
          <w:tcPr>
            <w:tcW w:w="1418" w:type="dxa"/>
            <w:tcBorders>
              <w:top w:val="nil"/>
              <w:bottom w:val="nil"/>
            </w:tcBorders>
          </w:tcPr>
          <w:p w:rsidR="00000000" w:rsidRDefault="00000000">
            <w:pPr>
              <w:tabs>
                <w:tab w:val="left" w:pos="680"/>
              </w:tabs>
              <w:spacing w:before="40" w:after="40"/>
              <w:jc w:val="center"/>
              <w:rPr>
                <w:sz w:val="20"/>
                <w:lang w:val="es-ES"/>
              </w:rPr>
            </w:pPr>
            <w:r>
              <w:rPr>
                <w:sz w:val="20"/>
                <w:lang w:val="es-ES"/>
              </w:rPr>
              <w:t>1962–1966</w:t>
            </w:r>
          </w:p>
        </w:tc>
        <w:tc>
          <w:tcPr>
            <w:tcW w:w="1701" w:type="dxa"/>
            <w:tcBorders>
              <w:top w:val="nil"/>
              <w:bottom w:val="nil"/>
            </w:tcBorders>
          </w:tcPr>
          <w:p w:rsidR="00000000" w:rsidRDefault="00000000">
            <w:pPr>
              <w:tabs>
                <w:tab w:val="left" w:pos="680"/>
              </w:tabs>
              <w:spacing w:before="40" w:after="40"/>
              <w:jc w:val="center"/>
              <w:rPr>
                <w:sz w:val="20"/>
                <w:lang w:val="es-ES"/>
              </w:rPr>
            </w:pPr>
            <w:r>
              <w:rPr>
                <w:sz w:val="20"/>
                <w:lang w:val="es-ES"/>
              </w:rPr>
              <w:t>57</w:t>
            </w:r>
          </w:p>
        </w:tc>
        <w:tc>
          <w:tcPr>
            <w:tcW w:w="2835" w:type="dxa"/>
            <w:tcBorders>
              <w:top w:val="nil"/>
              <w:bottom w:val="nil"/>
            </w:tcBorders>
          </w:tcPr>
          <w:p w:rsidR="00000000" w:rsidRDefault="00000000">
            <w:pPr>
              <w:tabs>
                <w:tab w:val="left" w:pos="680"/>
              </w:tabs>
              <w:spacing w:before="40" w:after="40"/>
              <w:jc w:val="center"/>
              <w:rPr>
                <w:sz w:val="20"/>
                <w:lang w:val="es-ES"/>
              </w:rPr>
            </w:pPr>
            <w:r>
              <w:rPr>
                <w:sz w:val="20"/>
                <w:lang w:val="es-ES"/>
              </w:rPr>
              <w:t>1</w:t>
            </w:r>
          </w:p>
        </w:tc>
        <w:tc>
          <w:tcPr>
            <w:tcW w:w="2835" w:type="dxa"/>
            <w:tcBorders>
              <w:top w:val="nil"/>
              <w:bottom w:val="nil"/>
            </w:tcBorders>
          </w:tcPr>
          <w:p w:rsidR="00000000" w:rsidRDefault="00000000">
            <w:pPr>
              <w:tabs>
                <w:tab w:val="left" w:pos="680"/>
              </w:tabs>
              <w:spacing w:before="40" w:after="40"/>
              <w:jc w:val="center"/>
              <w:rPr>
                <w:sz w:val="20"/>
                <w:lang w:val="es-ES"/>
              </w:rPr>
            </w:pPr>
            <w:r>
              <w:rPr>
                <w:sz w:val="20"/>
                <w:lang w:val="es-ES"/>
              </w:rPr>
              <w:t>1,8</w:t>
            </w:r>
          </w:p>
        </w:tc>
      </w:tr>
      <w:tr w:rsidR="00000000">
        <w:tblPrEx>
          <w:tblCellMar>
            <w:top w:w="0" w:type="dxa"/>
            <w:bottom w:w="0" w:type="dxa"/>
          </w:tblCellMar>
        </w:tblPrEx>
        <w:trPr>
          <w:jc w:val="center"/>
        </w:trPr>
        <w:tc>
          <w:tcPr>
            <w:tcW w:w="1418" w:type="dxa"/>
            <w:tcBorders>
              <w:top w:val="nil"/>
              <w:bottom w:val="nil"/>
            </w:tcBorders>
          </w:tcPr>
          <w:p w:rsidR="00000000" w:rsidRDefault="00000000">
            <w:pPr>
              <w:tabs>
                <w:tab w:val="left" w:pos="680"/>
              </w:tabs>
              <w:spacing w:before="40" w:after="40"/>
              <w:jc w:val="center"/>
              <w:rPr>
                <w:sz w:val="20"/>
                <w:lang w:val="es-ES"/>
              </w:rPr>
            </w:pPr>
            <w:r>
              <w:rPr>
                <w:sz w:val="20"/>
                <w:lang w:val="es-ES"/>
              </w:rPr>
              <w:t>1966–1970</w:t>
            </w:r>
          </w:p>
        </w:tc>
        <w:tc>
          <w:tcPr>
            <w:tcW w:w="1701" w:type="dxa"/>
            <w:tcBorders>
              <w:top w:val="nil"/>
              <w:bottom w:val="nil"/>
            </w:tcBorders>
          </w:tcPr>
          <w:p w:rsidR="00000000" w:rsidRDefault="00000000">
            <w:pPr>
              <w:tabs>
                <w:tab w:val="left" w:pos="680"/>
              </w:tabs>
              <w:spacing w:before="40" w:after="40"/>
              <w:jc w:val="center"/>
              <w:rPr>
                <w:sz w:val="20"/>
                <w:lang w:val="es-ES"/>
              </w:rPr>
            </w:pPr>
            <w:r>
              <w:rPr>
                <w:sz w:val="20"/>
                <w:lang w:val="es-ES"/>
              </w:rPr>
              <w:t>57</w:t>
            </w:r>
          </w:p>
        </w:tc>
        <w:tc>
          <w:tcPr>
            <w:tcW w:w="2835" w:type="dxa"/>
            <w:tcBorders>
              <w:top w:val="nil"/>
              <w:bottom w:val="nil"/>
            </w:tcBorders>
          </w:tcPr>
          <w:p w:rsidR="00000000" w:rsidRDefault="00000000">
            <w:pPr>
              <w:tabs>
                <w:tab w:val="left" w:pos="680"/>
              </w:tabs>
              <w:spacing w:before="40" w:after="40"/>
              <w:jc w:val="center"/>
              <w:rPr>
                <w:sz w:val="20"/>
                <w:lang w:val="es-ES"/>
              </w:rPr>
            </w:pPr>
            <w:r>
              <w:rPr>
                <w:sz w:val="20"/>
                <w:lang w:val="es-ES"/>
              </w:rPr>
              <w:t>3</w:t>
            </w:r>
          </w:p>
        </w:tc>
        <w:tc>
          <w:tcPr>
            <w:tcW w:w="2835" w:type="dxa"/>
            <w:tcBorders>
              <w:top w:val="nil"/>
              <w:bottom w:val="nil"/>
            </w:tcBorders>
          </w:tcPr>
          <w:p w:rsidR="00000000" w:rsidRDefault="00000000">
            <w:pPr>
              <w:tabs>
                <w:tab w:val="left" w:pos="680"/>
              </w:tabs>
              <w:spacing w:before="40" w:after="40"/>
              <w:jc w:val="center"/>
              <w:rPr>
                <w:sz w:val="20"/>
                <w:lang w:val="es-ES"/>
              </w:rPr>
            </w:pPr>
            <w:r>
              <w:rPr>
                <w:sz w:val="20"/>
                <w:lang w:val="es-ES"/>
              </w:rPr>
              <w:t>5,3</w:t>
            </w:r>
          </w:p>
        </w:tc>
      </w:tr>
      <w:tr w:rsidR="00000000">
        <w:tblPrEx>
          <w:tblCellMar>
            <w:top w:w="0" w:type="dxa"/>
            <w:bottom w:w="0" w:type="dxa"/>
          </w:tblCellMar>
        </w:tblPrEx>
        <w:trPr>
          <w:jc w:val="center"/>
        </w:trPr>
        <w:tc>
          <w:tcPr>
            <w:tcW w:w="1418" w:type="dxa"/>
            <w:tcBorders>
              <w:top w:val="nil"/>
              <w:bottom w:val="nil"/>
            </w:tcBorders>
          </w:tcPr>
          <w:p w:rsidR="00000000" w:rsidRDefault="00000000">
            <w:pPr>
              <w:tabs>
                <w:tab w:val="left" w:pos="680"/>
              </w:tabs>
              <w:spacing w:before="40" w:after="40"/>
              <w:jc w:val="center"/>
              <w:rPr>
                <w:sz w:val="20"/>
                <w:lang w:val="es-ES"/>
              </w:rPr>
            </w:pPr>
            <w:r>
              <w:rPr>
                <w:sz w:val="20"/>
                <w:lang w:val="es-ES"/>
              </w:rPr>
              <w:t>1970–1974</w:t>
            </w:r>
          </w:p>
        </w:tc>
        <w:tc>
          <w:tcPr>
            <w:tcW w:w="1701" w:type="dxa"/>
            <w:tcBorders>
              <w:top w:val="nil"/>
              <w:bottom w:val="nil"/>
            </w:tcBorders>
          </w:tcPr>
          <w:p w:rsidR="00000000" w:rsidRDefault="00000000">
            <w:pPr>
              <w:tabs>
                <w:tab w:val="left" w:pos="680"/>
              </w:tabs>
              <w:spacing w:before="40" w:after="40"/>
              <w:jc w:val="center"/>
              <w:rPr>
                <w:sz w:val="20"/>
                <w:lang w:val="es-ES"/>
              </w:rPr>
            </w:pPr>
            <w:r>
              <w:rPr>
                <w:sz w:val="20"/>
                <w:lang w:val="es-ES"/>
              </w:rPr>
              <w:t>57</w:t>
            </w:r>
          </w:p>
        </w:tc>
        <w:tc>
          <w:tcPr>
            <w:tcW w:w="2835" w:type="dxa"/>
            <w:tcBorders>
              <w:top w:val="nil"/>
              <w:bottom w:val="nil"/>
            </w:tcBorders>
          </w:tcPr>
          <w:p w:rsidR="00000000" w:rsidRDefault="00000000">
            <w:pPr>
              <w:tabs>
                <w:tab w:val="left" w:pos="680"/>
              </w:tabs>
              <w:spacing w:before="40" w:after="40"/>
              <w:jc w:val="center"/>
              <w:rPr>
                <w:sz w:val="20"/>
                <w:lang w:val="es-ES"/>
              </w:rPr>
            </w:pPr>
            <w:r>
              <w:rPr>
                <w:sz w:val="20"/>
                <w:lang w:val="es-ES"/>
              </w:rPr>
              <w:t>4</w:t>
            </w:r>
          </w:p>
        </w:tc>
        <w:tc>
          <w:tcPr>
            <w:tcW w:w="2835" w:type="dxa"/>
            <w:tcBorders>
              <w:top w:val="nil"/>
              <w:bottom w:val="nil"/>
            </w:tcBorders>
          </w:tcPr>
          <w:p w:rsidR="00000000" w:rsidRDefault="00000000">
            <w:pPr>
              <w:tabs>
                <w:tab w:val="left" w:pos="680"/>
              </w:tabs>
              <w:spacing w:before="40" w:after="40"/>
              <w:jc w:val="center"/>
              <w:rPr>
                <w:sz w:val="20"/>
                <w:lang w:val="es-ES"/>
              </w:rPr>
            </w:pPr>
            <w:r>
              <w:rPr>
                <w:sz w:val="20"/>
                <w:lang w:val="es-ES"/>
              </w:rPr>
              <w:t>7,0</w:t>
            </w:r>
          </w:p>
        </w:tc>
      </w:tr>
      <w:tr w:rsidR="00000000">
        <w:tblPrEx>
          <w:tblCellMar>
            <w:top w:w="0" w:type="dxa"/>
            <w:bottom w:w="0" w:type="dxa"/>
          </w:tblCellMar>
        </w:tblPrEx>
        <w:trPr>
          <w:jc w:val="center"/>
        </w:trPr>
        <w:tc>
          <w:tcPr>
            <w:tcW w:w="1418" w:type="dxa"/>
            <w:tcBorders>
              <w:top w:val="nil"/>
              <w:bottom w:val="nil"/>
            </w:tcBorders>
          </w:tcPr>
          <w:p w:rsidR="00000000" w:rsidRDefault="00000000">
            <w:pPr>
              <w:tabs>
                <w:tab w:val="left" w:pos="680"/>
              </w:tabs>
              <w:spacing w:before="40" w:after="40"/>
              <w:jc w:val="center"/>
              <w:rPr>
                <w:sz w:val="20"/>
                <w:lang w:val="es-ES"/>
              </w:rPr>
            </w:pPr>
            <w:r>
              <w:rPr>
                <w:sz w:val="20"/>
                <w:lang w:val="es-ES"/>
              </w:rPr>
              <w:t>1974–1978</w:t>
            </w:r>
          </w:p>
        </w:tc>
        <w:tc>
          <w:tcPr>
            <w:tcW w:w="1701" w:type="dxa"/>
            <w:tcBorders>
              <w:top w:val="nil"/>
              <w:bottom w:val="nil"/>
            </w:tcBorders>
          </w:tcPr>
          <w:p w:rsidR="00000000" w:rsidRDefault="00000000">
            <w:pPr>
              <w:tabs>
                <w:tab w:val="left" w:pos="680"/>
              </w:tabs>
              <w:spacing w:before="40" w:after="40"/>
              <w:jc w:val="center"/>
              <w:rPr>
                <w:sz w:val="20"/>
                <w:lang w:val="es-ES"/>
              </w:rPr>
            </w:pPr>
            <w:r>
              <w:rPr>
                <w:sz w:val="20"/>
                <w:lang w:val="es-ES"/>
              </w:rPr>
              <w:t>57</w:t>
            </w:r>
          </w:p>
        </w:tc>
        <w:tc>
          <w:tcPr>
            <w:tcW w:w="2835" w:type="dxa"/>
            <w:tcBorders>
              <w:top w:val="nil"/>
              <w:bottom w:val="nil"/>
            </w:tcBorders>
          </w:tcPr>
          <w:p w:rsidR="00000000" w:rsidRDefault="00000000">
            <w:pPr>
              <w:tabs>
                <w:tab w:val="left" w:pos="680"/>
              </w:tabs>
              <w:spacing w:before="40" w:after="40"/>
              <w:jc w:val="center"/>
              <w:rPr>
                <w:sz w:val="20"/>
                <w:lang w:val="es-ES"/>
              </w:rPr>
            </w:pPr>
            <w:r>
              <w:rPr>
                <w:sz w:val="20"/>
                <w:lang w:val="es-ES"/>
              </w:rPr>
              <w:t>4</w:t>
            </w:r>
          </w:p>
        </w:tc>
        <w:tc>
          <w:tcPr>
            <w:tcW w:w="2835" w:type="dxa"/>
            <w:tcBorders>
              <w:top w:val="nil"/>
              <w:bottom w:val="nil"/>
            </w:tcBorders>
          </w:tcPr>
          <w:p w:rsidR="00000000" w:rsidRDefault="00000000">
            <w:pPr>
              <w:tabs>
                <w:tab w:val="left" w:pos="680"/>
              </w:tabs>
              <w:spacing w:before="40" w:after="40"/>
              <w:jc w:val="center"/>
              <w:rPr>
                <w:sz w:val="20"/>
                <w:lang w:val="es-ES"/>
              </w:rPr>
            </w:pPr>
            <w:r>
              <w:rPr>
                <w:sz w:val="20"/>
                <w:lang w:val="es-ES"/>
              </w:rPr>
              <w:t>7,0</w:t>
            </w:r>
          </w:p>
        </w:tc>
      </w:tr>
      <w:tr w:rsidR="00000000">
        <w:tblPrEx>
          <w:tblCellMar>
            <w:top w:w="0" w:type="dxa"/>
            <w:bottom w:w="0" w:type="dxa"/>
          </w:tblCellMar>
        </w:tblPrEx>
        <w:trPr>
          <w:jc w:val="center"/>
        </w:trPr>
        <w:tc>
          <w:tcPr>
            <w:tcW w:w="1418" w:type="dxa"/>
            <w:tcBorders>
              <w:top w:val="nil"/>
              <w:bottom w:val="nil"/>
            </w:tcBorders>
          </w:tcPr>
          <w:p w:rsidR="00000000" w:rsidRDefault="00000000">
            <w:pPr>
              <w:tabs>
                <w:tab w:val="left" w:pos="680"/>
              </w:tabs>
              <w:spacing w:before="40" w:after="40"/>
              <w:jc w:val="center"/>
              <w:rPr>
                <w:sz w:val="20"/>
                <w:lang w:val="es-ES"/>
              </w:rPr>
            </w:pPr>
            <w:r>
              <w:rPr>
                <w:sz w:val="20"/>
                <w:lang w:val="es-ES"/>
              </w:rPr>
              <w:t>1978–1982</w:t>
            </w:r>
          </w:p>
        </w:tc>
        <w:tc>
          <w:tcPr>
            <w:tcW w:w="1701" w:type="dxa"/>
            <w:tcBorders>
              <w:top w:val="nil"/>
              <w:bottom w:val="nil"/>
            </w:tcBorders>
          </w:tcPr>
          <w:p w:rsidR="00000000" w:rsidRDefault="00000000">
            <w:pPr>
              <w:tabs>
                <w:tab w:val="left" w:pos="680"/>
              </w:tabs>
              <w:spacing w:before="40" w:after="40"/>
              <w:jc w:val="center"/>
              <w:rPr>
                <w:sz w:val="20"/>
                <w:lang w:val="es-ES"/>
              </w:rPr>
            </w:pPr>
            <w:r>
              <w:rPr>
                <w:sz w:val="20"/>
                <w:lang w:val="es-ES"/>
              </w:rPr>
              <w:t>57</w:t>
            </w:r>
          </w:p>
        </w:tc>
        <w:tc>
          <w:tcPr>
            <w:tcW w:w="2835" w:type="dxa"/>
            <w:tcBorders>
              <w:top w:val="nil"/>
              <w:bottom w:val="nil"/>
            </w:tcBorders>
          </w:tcPr>
          <w:p w:rsidR="00000000" w:rsidRDefault="00000000">
            <w:pPr>
              <w:tabs>
                <w:tab w:val="left" w:pos="680"/>
              </w:tabs>
              <w:spacing w:before="40" w:after="40"/>
              <w:jc w:val="center"/>
              <w:rPr>
                <w:sz w:val="20"/>
                <w:lang w:val="es-ES"/>
              </w:rPr>
            </w:pPr>
            <w:r>
              <w:rPr>
                <w:sz w:val="20"/>
                <w:lang w:val="es-ES"/>
              </w:rPr>
              <w:t>5</w:t>
            </w:r>
          </w:p>
        </w:tc>
        <w:tc>
          <w:tcPr>
            <w:tcW w:w="2835" w:type="dxa"/>
            <w:tcBorders>
              <w:top w:val="nil"/>
              <w:bottom w:val="nil"/>
            </w:tcBorders>
          </w:tcPr>
          <w:p w:rsidR="00000000" w:rsidRDefault="00000000">
            <w:pPr>
              <w:tabs>
                <w:tab w:val="left" w:pos="680"/>
              </w:tabs>
              <w:spacing w:before="40" w:after="40"/>
              <w:jc w:val="center"/>
              <w:rPr>
                <w:sz w:val="20"/>
                <w:lang w:val="es-ES"/>
              </w:rPr>
            </w:pPr>
            <w:r>
              <w:rPr>
                <w:sz w:val="20"/>
                <w:lang w:val="es-ES"/>
              </w:rPr>
              <w:t>8,8</w:t>
            </w:r>
          </w:p>
        </w:tc>
      </w:tr>
      <w:tr w:rsidR="00000000">
        <w:tblPrEx>
          <w:tblCellMar>
            <w:top w:w="0" w:type="dxa"/>
            <w:bottom w:w="0" w:type="dxa"/>
          </w:tblCellMar>
        </w:tblPrEx>
        <w:trPr>
          <w:jc w:val="center"/>
        </w:trPr>
        <w:tc>
          <w:tcPr>
            <w:tcW w:w="1418" w:type="dxa"/>
            <w:tcBorders>
              <w:top w:val="nil"/>
              <w:bottom w:val="nil"/>
            </w:tcBorders>
          </w:tcPr>
          <w:p w:rsidR="00000000" w:rsidRDefault="00000000">
            <w:pPr>
              <w:tabs>
                <w:tab w:val="left" w:pos="680"/>
              </w:tabs>
              <w:spacing w:before="40" w:after="40"/>
              <w:jc w:val="center"/>
              <w:rPr>
                <w:sz w:val="20"/>
                <w:lang w:val="es-ES"/>
              </w:rPr>
            </w:pPr>
            <w:r>
              <w:rPr>
                <w:sz w:val="20"/>
                <w:lang w:val="es-ES"/>
              </w:rPr>
              <w:t>1982–1986</w:t>
            </w:r>
          </w:p>
        </w:tc>
        <w:tc>
          <w:tcPr>
            <w:tcW w:w="1701" w:type="dxa"/>
            <w:tcBorders>
              <w:top w:val="nil"/>
              <w:bottom w:val="nil"/>
            </w:tcBorders>
          </w:tcPr>
          <w:p w:rsidR="00000000" w:rsidRDefault="00000000">
            <w:pPr>
              <w:tabs>
                <w:tab w:val="left" w:pos="680"/>
              </w:tabs>
              <w:spacing w:before="40" w:after="40"/>
              <w:jc w:val="center"/>
              <w:rPr>
                <w:sz w:val="20"/>
                <w:lang w:val="es-ES"/>
              </w:rPr>
            </w:pPr>
            <w:r>
              <w:rPr>
                <w:sz w:val="20"/>
                <w:lang w:val="es-ES"/>
              </w:rPr>
              <w:t>57</w:t>
            </w:r>
          </w:p>
        </w:tc>
        <w:tc>
          <w:tcPr>
            <w:tcW w:w="2835" w:type="dxa"/>
            <w:tcBorders>
              <w:top w:val="nil"/>
              <w:bottom w:val="nil"/>
            </w:tcBorders>
          </w:tcPr>
          <w:p w:rsidR="00000000" w:rsidRDefault="00000000">
            <w:pPr>
              <w:tabs>
                <w:tab w:val="left" w:pos="680"/>
              </w:tabs>
              <w:spacing w:before="40" w:after="40"/>
              <w:jc w:val="center"/>
              <w:rPr>
                <w:sz w:val="20"/>
                <w:lang w:val="es-ES"/>
              </w:rPr>
            </w:pPr>
            <w:r>
              <w:rPr>
                <w:sz w:val="20"/>
                <w:lang w:val="es-ES"/>
              </w:rPr>
              <w:t>4</w:t>
            </w:r>
          </w:p>
        </w:tc>
        <w:tc>
          <w:tcPr>
            <w:tcW w:w="2835" w:type="dxa"/>
            <w:tcBorders>
              <w:top w:val="nil"/>
              <w:bottom w:val="nil"/>
            </w:tcBorders>
          </w:tcPr>
          <w:p w:rsidR="00000000" w:rsidRDefault="00000000">
            <w:pPr>
              <w:tabs>
                <w:tab w:val="left" w:pos="680"/>
              </w:tabs>
              <w:spacing w:before="40" w:after="40"/>
              <w:jc w:val="center"/>
              <w:rPr>
                <w:sz w:val="20"/>
                <w:lang w:val="es-ES"/>
              </w:rPr>
            </w:pPr>
            <w:r>
              <w:rPr>
                <w:sz w:val="20"/>
                <w:lang w:val="es-ES"/>
              </w:rPr>
              <w:t>7,0</w:t>
            </w:r>
          </w:p>
        </w:tc>
      </w:tr>
      <w:tr w:rsidR="00000000">
        <w:tblPrEx>
          <w:tblCellMar>
            <w:top w:w="0" w:type="dxa"/>
            <w:bottom w:w="0" w:type="dxa"/>
          </w:tblCellMar>
        </w:tblPrEx>
        <w:trPr>
          <w:jc w:val="center"/>
        </w:trPr>
        <w:tc>
          <w:tcPr>
            <w:tcW w:w="1418" w:type="dxa"/>
            <w:tcBorders>
              <w:top w:val="nil"/>
              <w:bottom w:val="nil"/>
            </w:tcBorders>
          </w:tcPr>
          <w:p w:rsidR="00000000" w:rsidRDefault="00000000">
            <w:pPr>
              <w:tabs>
                <w:tab w:val="left" w:pos="680"/>
              </w:tabs>
              <w:spacing w:before="40" w:after="40"/>
              <w:jc w:val="center"/>
              <w:rPr>
                <w:sz w:val="20"/>
                <w:lang w:val="es-ES"/>
              </w:rPr>
            </w:pPr>
            <w:r>
              <w:rPr>
                <w:sz w:val="20"/>
                <w:lang w:val="es-ES"/>
              </w:rPr>
              <w:t>1986–1990</w:t>
            </w:r>
          </w:p>
        </w:tc>
        <w:tc>
          <w:tcPr>
            <w:tcW w:w="1701" w:type="dxa"/>
            <w:tcBorders>
              <w:top w:val="nil"/>
              <w:bottom w:val="nil"/>
            </w:tcBorders>
          </w:tcPr>
          <w:p w:rsidR="00000000" w:rsidRDefault="00000000">
            <w:pPr>
              <w:tabs>
                <w:tab w:val="left" w:pos="680"/>
              </w:tabs>
              <w:spacing w:before="40" w:after="40"/>
              <w:jc w:val="center"/>
              <w:rPr>
                <w:sz w:val="20"/>
                <w:lang w:val="es-ES"/>
              </w:rPr>
            </w:pPr>
            <w:r>
              <w:rPr>
                <w:sz w:val="20"/>
                <w:lang w:val="es-ES"/>
              </w:rPr>
              <w:t>57</w:t>
            </w:r>
          </w:p>
        </w:tc>
        <w:tc>
          <w:tcPr>
            <w:tcW w:w="2835" w:type="dxa"/>
            <w:tcBorders>
              <w:top w:val="nil"/>
              <w:bottom w:val="nil"/>
            </w:tcBorders>
          </w:tcPr>
          <w:p w:rsidR="00000000" w:rsidRDefault="00000000">
            <w:pPr>
              <w:tabs>
                <w:tab w:val="left" w:pos="680"/>
              </w:tabs>
              <w:spacing w:before="40" w:after="40"/>
              <w:jc w:val="center"/>
              <w:rPr>
                <w:sz w:val="20"/>
                <w:lang w:val="es-ES"/>
              </w:rPr>
            </w:pPr>
            <w:r>
              <w:rPr>
                <w:sz w:val="20"/>
                <w:lang w:val="es-ES"/>
              </w:rPr>
              <w:t>7</w:t>
            </w:r>
          </w:p>
        </w:tc>
        <w:tc>
          <w:tcPr>
            <w:tcW w:w="2835" w:type="dxa"/>
            <w:tcBorders>
              <w:top w:val="nil"/>
              <w:bottom w:val="nil"/>
            </w:tcBorders>
          </w:tcPr>
          <w:p w:rsidR="00000000" w:rsidRDefault="00000000">
            <w:pPr>
              <w:tabs>
                <w:tab w:val="left" w:pos="680"/>
              </w:tabs>
              <w:spacing w:before="40" w:after="40"/>
              <w:jc w:val="center"/>
              <w:rPr>
                <w:sz w:val="20"/>
                <w:lang w:val="es-ES"/>
              </w:rPr>
            </w:pPr>
            <w:r>
              <w:rPr>
                <w:sz w:val="20"/>
                <w:lang w:val="es-ES"/>
              </w:rPr>
              <w:t>12,</w:t>
            </w:r>
            <w:r>
              <w:rPr>
                <w:sz w:val="20"/>
                <w:lang w:val="en-US"/>
              </w:rPr>
              <w:t>3</w:t>
            </w:r>
          </w:p>
        </w:tc>
      </w:tr>
      <w:tr w:rsidR="00000000">
        <w:tblPrEx>
          <w:tblCellMar>
            <w:top w:w="0" w:type="dxa"/>
            <w:bottom w:w="0" w:type="dxa"/>
          </w:tblCellMar>
        </w:tblPrEx>
        <w:trPr>
          <w:jc w:val="center"/>
        </w:trPr>
        <w:tc>
          <w:tcPr>
            <w:tcW w:w="1418" w:type="dxa"/>
            <w:tcBorders>
              <w:top w:val="nil"/>
              <w:bottom w:val="nil"/>
            </w:tcBorders>
          </w:tcPr>
          <w:p w:rsidR="00000000" w:rsidRDefault="00000000">
            <w:pPr>
              <w:tabs>
                <w:tab w:val="left" w:pos="680"/>
              </w:tabs>
              <w:spacing w:before="40" w:after="40"/>
              <w:jc w:val="center"/>
              <w:rPr>
                <w:sz w:val="20"/>
                <w:lang w:val="es-ES"/>
              </w:rPr>
            </w:pPr>
            <w:r>
              <w:rPr>
                <w:sz w:val="20"/>
                <w:lang w:val="es-ES"/>
              </w:rPr>
              <w:t>1990–1994</w:t>
            </w:r>
          </w:p>
        </w:tc>
        <w:tc>
          <w:tcPr>
            <w:tcW w:w="1701" w:type="dxa"/>
            <w:tcBorders>
              <w:top w:val="nil"/>
              <w:bottom w:val="nil"/>
            </w:tcBorders>
          </w:tcPr>
          <w:p w:rsidR="00000000" w:rsidRDefault="00000000">
            <w:pPr>
              <w:tabs>
                <w:tab w:val="left" w:pos="680"/>
              </w:tabs>
              <w:spacing w:before="40" w:after="40"/>
              <w:jc w:val="center"/>
              <w:rPr>
                <w:sz w:val="20"/>
                <w:lang w:val="es-ES"/>
              </w:rPr>
            </w:pPr>
            <w:r>
              <w:rPr>
                <w:sz w:val="20"/>
                <w:lang w:val="es-ES"/>
              </w:rPr>
              <w:t>57</w:t>
            </w:r>
          </w:p>
        </w:tc>
        <w:tc>
          <w:tcPr>
            <w:tcW w:w="2835" w:type="dxa"/>
            <w:tcBorders>
              <w:top w:val="nil"/>
              <w:bottom w:val="nil"/>
            </w:tcBorders>
          </w:tcPr>
          <w:p w:rsidR="00000000" w:rsidRDefault="00000000">
            <w:pPr>
              <w:tabs>
                <w:tab w:val="left" w:pos="680"/>
              </w:tabs>
              <w:spacing w:before="40" w:after="40"/>
              <w:jc w:val="center"/>
              <w:rPr>
                <w:sz w:val="20"/>
                <w:lang w:val="es-ES"/>
              </w:rPr>
            </w:pPr>
            <w:r>
              <w:rPr>
                <w:sz w:val="20"/>
                <w:lang w:val="es-ES"/>
              </w:rPr>
              <w:t>7</w:t>
            </w:r>
          </w:p>
        </w:tc>
        <w:tc>
          <w:tcPr>
            <w:tcW w:w="2835" w:type="dxa"/>
            <w:tcBorders>
              <w:top w:val="nil"/>
              <w:bottom w:val="nil"/>
            </w:tcBorders>
          </w:tcPr>
          <w:p w:rsidR="00000000" w:rsidRDefault="00000000">
            <w:pPr>
              <w:tabs>
                <w:tab w:val="left" w:pos="680"/>
              </w:tabs>
              <w:spacing w:before="40" w:after="40"/>
              <w:jc w:val="center"/>
              <w:rPr>
                <w:sz w:val="20"/>
                <w:lang w:val="es-ES"/>
              </w:rPr>
            </w:pPr>
            <w:r>
              <w:rPr>
                <w:sz w:val="20"/>
                <w:lang w:val="es-ES"/>
              </w:rPr>
              <w:t>12,3</w:t>
            </w:r>
          </w:p>
        </w:tc>
      </w:tr>
      <w:tr w:rsidR="00000000">
        <w:tblPrEx>
          <w:tblCellMar>
            <w:top w:w="0" w:type="dxa"/>
            <w:bottom w:w="0" w:type="dxa"/>
          </w:tblCellMar>
        </w:tblPrEx>
        <w:trPr>
          <w:jc w:val="center"/>
        </w:trPr>
        <w:tc>
          <w:tcPr>
            <w:tcW w:w="1418" w:type="dxa"/>
            <w:tcBorders>
              <w:top w:val="nil"/>
              <w:bottom w:val="nil"/>
            </w:tcBorders>
          </w:tcPr>
          <w:p w:rsidR="00000000" w:rsidRDefault="00000000">
            <w:pPr>
              <w:tabs>
                <w:tab w:val="left" w:pos="680"/>
              </w:tabs>
              <w:spacing w:before="40" w:after="40"/>
              <w:jc w:val="center"/>
              <w:rPr>
                <w:sz w:val="20"/>
                <w:lang w:val="es-ES"/>
              </w:rPr>
            </w:pPr>
            <w:r>
              <w:rPr>
                <w:sz w:val="20"/>
                <w:lang w:val="es-ES"/>
              </w:rPr>
              <w:t>1994–1998</w:t>
            </w:r>
          </w:p>
        </w:tc>
        <w:tc>
          <w:tcPr>
            <w:tcW w:w="1701" w:type="dxa"/>
            <w:tcBorders>
              <w:top w:val="nil"/>
              <w:bottom w:val="nil"/>
            </w:tcBorders>
          </w:tcPr>
          <w:p w:rsidR="00000000" w:rsidRDefault="00000000">
            <w:pPr>
              <w:tabs>
                <w:tab w:val="left" w:pos="680"/>
              </w:tabs>
              <w:spacing w:before="40" w:after="40"/>
              <w:jc w:val="center"/>
              <w:rPr>
                <w:sz w:val="20"/>
                <w:lang w:val="es-ES"/>
              </w:rPr>
            </w:pPr>
            <w:r>
              <w:rPr>
                <w:sz w:val="20"/>
                <w:lang w:val="es-ES"/>
              </w:rPr>
              <w:t>57</w:t>
            </w:r>
          </w:p>
        </w:tc>
        <w:tc>
          <w:tcPr>
            <w:tcW w:w="2835" w:type="dxa"/>
            <w:tcBorders>
              <w:top w:val="nil"/>
              <w:bottom w:val="nil"/>
            </w:tcBorders>
          </w:tcPr>
          <w:p w:rsidR="00000000" w:rsidRDefault="00000000">
            <w:pPr>
              <w:tabs>
                <w:tab w:val="left" w:pos="680"/>
              </w:tabs>
              <w:spacing w:before="40" w:after="40"/>
              <w:jc w:val="center"/>
              <w:rPr>
                <w:sz w:val="20"/>
                <w:lang w:val="es-ES"/>
              </w:rPr>
            </w:pPr>
            <w:r>
              <w:rPr>
                <w:sz w:val="20"/>
                <w:lang w:val="es-ES"/>
              </w:rPr>
              <w:t>9</w:t>
            </w:r>
          </w:p>
        </w:tc>
        <w:tc>
          <w:tcPr>
            <w:tcW w:w="2835" w:type="dxa"/>
            <w:tcBorders>
              <w:top w:val="nil"/>
              <w:bottom w:val="nil"/>
            </w:tcBorders>
          </w:tcPr>
          <w:p w:rsidR="00000000" w:rsidRDefault="00000000">
            <w:pPr>
              <w:tabs>
                <w:tab w:val="left" w:pos="680"/>
              </w:tabs>
              <w:spacing w:before="40" w:after="40"/>
              <w:jc w:val="center"/>
              <w:rPr>
                <w:sz w:val="20"/>
                <w:lang w:val="es-ES"/>
              </w:rPr>
            </w:pPr>
            <w:r>
              <w:rPr>
                <w:sz w:val="20"/>
                <w:lang w:val="es-ES"/>
              </w:rPr>
              <w:t>15,8</w:t>
            </w:r>
          </w:p>
        </w:tc>
      </w:tr>
      <w:tr w:rsidR="00000000">
        <w:tblPrEx>
          <w:tblCellMar>
            <w:top w:w="0" w:type="dxa"/>
            <w:bottom w:w="0" w:type="dxa"/>
          </w:tblCellMar>
        </w:tblPrEx>
        <w:trPr>
          <w:jc w:val="center"/>
        </w:trPr>
        <w:tc>
          <w:tcPr>
            <w:tcW w:w="1418" w:type="dxa"/>
            <w:tcBorders>
              <w:top w:val="nil"/>
              <w:bottom w:val="nil"/>
            </w:tcBorders>
          </w:tcPr>
          <w:p w:rsidR="00000000" w:rsidRDefault="00000000">
            <w:pPr>
              <w:tabs>
                <w:tab w:val="left" w:pos="680"/>
              </w:tabs>
              <w:spacing w:before="40" w:after="40"/>
              <w:jc w:val="center"/>
              <w:rPr>
                <w:sz w:val="20"/>
                <w:lang w:val="es-ES"/>
              </w:rPr>
            </w:pPr>
            <w:r>
              <w:rPr>
                <w:sz w:val="20"/>
                <w:lang w:val="es-ES"/>
              </w:rPr>
              <w:t>1998–2002</w:t>
            </w:r>
          </w:p>
        </w:tc>
        <w:tc>
          <w:tcPr>
            <w:tcW w:w="1701" w:type="dxa"/>
            <w:tcBorders>
              <w:top w:val="nil"/>
              <w:bottom w:val="nil"/>
            </w:tcBorders>
          </w:tcPr>
          <w:p w:rsidR="00000000" w:rsidRDefault="00000000">
            <w:pPr>
              <w:tabs>
                <w:tab w:val="left" w:pos="680"/>
              </w:tabs>
              <w:spacing w:before="40" w:after="40"/>
              <w:jc w:val="center"/>
              <w:rPr>
                <w:sz w:val="20"/>
                <w:lang w:val="es-ES"/>
              </w:rPr>
            </w:pPr>
            <w:r>
              <w:rPr>
                <w:sz w:val="20"/>
                <w:lang w:val="es-ES"/>
              </w:rPr>
              <w:t>57</w:t>
            </w:r>
          </w:p>
        </w:tc>
        <w:tc>
          <w:tcPr>
            <w:tcW w:w="2835" w:type="dxa"/>
            <w:tcBorders>
              <w:top w:val="nil"/>
              <w:bottom w:val="nil"/>
            </w:tcBorders>
          </w:tcPr>
          <w:p w:rsidR="00000000" w:rsidRDefault="00000000">
            <w:pPr>
              <w:tabs>
                <w:tab w:val="left" w:pos="680"/>
              </w:tabs>
              <w:spacing w:before="40" w:after="40"/>
              <w:jc w:val="center"/>
              <w:rPr>
                <w:sz w:val="20"/>
                <w:lang w:val="es-ES"/>
              </w:rPr>
            </w:pPr>
            <w:r>
              <w:rPr>
                <w:sz w:val="20"/>
                <w:lang w:val="es-ES"/>
              </w:rPr>
              <w:t>11</w:t>
            </w:r>
          </w:p>
        </w:tc>
        <w:tc>
          <w:tcPr>
            <w:tcW w:w="2835" w:type="dxa"/>
            <w:tcBorders>
              <w:top w:val="nil"/>
              <w:bottom w:val="nil"/>
            </w:tcBorders>
          </w:tcPr>
          <w:p w:rsidR="00000000" w:rsidRDefault="00000000">
            <w:pPr>
              <w:tabs>
                <w:tab w:val="left" w:pos="680"/>
              </w:tabs>
              <w:spacing w:before="40" w:after="40"/>
              <w:jc w:val="center"/>
              <w:rPr>
                <w:sz w:val="20"/>
                <w:lang w:val="es-ES"/>
              </w:rPr>
            </w:pPr>
            <w:r>
              <w:rPr>
                <w:sz w:val="20"/>
                <w:lang w:val="es-ES"/>
              </w:rPr>
              <w:t>19,3</w:t>
            </w:r>
          </w:p>
        </w:tc>
      </w:tr>
      <w:tr w:rsidR="00000000">
        <w:tblPrEx>
          <w:tblCellMar>
            <w:top w:w="0" w:type="dxa"/>
            <w:bottom w:w="0" w:type="dxa"/>
          </w:tblCellMar>
        </w:tblPrEx>
        <w:trPr>
          <w:jc w:val="center"/>
        </w:trPr>
        <w:tc>
          <w:tcPr>
            <w:tcW w:w="1418" w:type="dxa"/>
            <w:tcBorders>
              <w:top w:val="nil"/>
            </w:tcBorders>
          </w:tcPr>
          <w:p w:rsidR="00000000" w:rsidRDefault="00000000">
            <w:pPr>
              <w:tabs>
                <w:tab w:val="left" w:pos="680"/>
              </w:tabs>
              <w:spacing w:before="40" w:after="40"/>
              <w:jc w:val="center"/>
              <w:rPr>
                <w:sz w:val="20"/>
                <w:lang w:val="es-ES"/>
              </w:rPr>
            </w:pPr>
            <w:r>
              <w:rPr>
                <w:sz w:val="20"/>
                <w:lang w:val="es-ES"/>
              </w:rPr>
              <w:t>2002–2006</w:t>
            </w:r>
          </w:p>
        </w:tc>
        <w:tc>
          <w:tcPr>
            <w:tcW w:w="1701" w:type="dxa"/>
            <w:tcBorders>
              <w:top w:val="nil"/>
            </w:tcBorders>
          </w:tcPr>
          <w:p w:rsidR="00000000" w:rsidRDefault="00000000">
            <w:pPr>
              <w:tabs>
                <w:tab w:val="left" w:pos="680"/>
              </w:tabs>
              <w:spacing w:before="40" w:after="40"/>
              <w:jc w:val="center"/>
              <w:rPr>
                <w:sz w:val="20"/>
                <w:lang w:val="es-ES"/>
              </w:rPr>
            </w:pPr>
            <w:r>
              <w:rPr>
                <w:sz w:val="20"/>
                <w:lang w:val="es-ES"/>
              </w:rPr>
              <w:t>57</w:t>
            </w:r>
          </w:p>
        </w:tc>
        <w:tc>
          <w:tcPr>
            <w:tcW w:w="2835" w:type="dxa"/>
            <w:tcBorders>
              <w:top w:val="nil"/>
            </w:tcBorders>
          </w:tcPr>
          <w:p w:rsidR="00000000" w:rsidRDefault="00000000">
            <w:pPr>
              <w:tabs>
                <w:tab w:val="left" w:pos="680"/>
              </w:tabs>
              <w:spacing w:before="40" w:after="40"/>
              <w:jc w:val="center"/>
              <w:rPr>
                <w:sz w:val="20"/>
                <w:lang w:val="es-ES"/>
              </w:rPr>
            </w:pPr>
            <w:r>
              <w:rPr>
                <w:sz w:val="20"/>
                <w:lang w:val="es-ES"/>
              </w:rPr>
              <w:t>20</w:t>
            </w:r>
          </w:p>
        </w:tc>
        <w:tc>
          <w:tcPr>
            <w:tcW w:w="2835" w:type="dxa"/>
            <w:tcBorders>
              <w:top w:val="nil"/>
            </w:tcBorders>
          </w:tcPr>
          <w:p w:rsidR="00000000" w:rsidRDefault="00000000">
            <w:pPr>
              <w:tabs>
                <w:tab w:val="left" w:pos="680"/>
              </w:tabs>
              <w:spacing w:before="40" w:after="40"/>
              <w:jc w:val="center"/>
              <w:rPr>
                <w:sz w:val="20"/>
                <w:lang w:val="es-ES"/>
              </w:rPr>
            </w:pPr>
            <w:r>
              <w:rPr>
                <w:sz w:val="20"/>
                <w:lang w:val="es-ES"/>
              </w:rPr>
              <w:t>35,08</w:t>
            </w:r>
          </w:p>
        </w:tc>
      </w:tr>
    </w:tbl>
    <w:p w:rsidR="00000000" w:rsidRDefault="00000000">
      <w:pPr>
        <w:tabs>
          <w:tab w:val="left" w:pos="680"/>
        </w:tabs>
        <w:spacing w:before="120" w:line="260" w:lineRule="exact"/>
        <w:jc w:val="both"/>
        <w:rPr>
          <w:sz w:val="20"/>
          <w:lang w:val="en-US"/>
        </w:rPr>
      </w:pPr>
      <w:r>
        <w:rPr>
          <w:b/>
          <w:caps/>
          <w:sz w:val="20"/>
        </w:rPr>
        <w:t>и</w:t>
      </w:r>
      <w:r>
        <w:rPr>
          <w:b/>
          <w:sz w:val="20"/>
        </w:rPr>
        <w:t>сточник</w:t>
      </w:r>
      <w:r>
        <w:rPr>
          <w:b/>
          <w:sz w:val="20"/>
          <w:lang w:val="en-US"/>
        </w:rPr>
        <w:t>:</w:t>
      </w:r>
      <w:r>
        <w:rPr>
          <w:sz w:val="20"/>
          <w:lang w:val="en-US"/>
        </w:rPr>
        <w:t xml:space="preserve"> </w:t>
      </w:r>
      <w:r>
        <w:rPr>
          <w:sz w:val="20"/>
          <w:lang w:val="es-ES"/>
        </w:rPr>
        <w:t>Area</w:t>
      </w:r>
      <w:r>
        <w:rPr>
          <w:sz w:val="20"/>
          <w:lang w:val="en-US"/>
        </w:rPr>
        <w:t xml:space="preserve"> </w:t>
      </w:r>
      <w:r>
        <w:rPr>
          <w:sz w:val="20"/>
          <w:lang w:val="es-ES"/>
        </w:rPr>
        <w:t>de</w:t>
      </w:r>
      <w:r>
        <w:rPr>
          <w:sz w:val="20"/>
          <w:lang w:val="en-US"/>
        </w:rPr>
        <w:t xml:space="preserve"> </w:t>
      </w:r>
      <w:r>
        <w:rPr>
          <w:sz w:val="20"/>
          <w:lang w:val="es-ES"/>
        </w:rPr>
        <w:t>Ciudadania</w:t>
      </w:r>
      <w:r>
        <w:rPr>
          <w:sz w:val="20"/>
          <w:lang w:val="en-US"/>
        </w:rPr>
        <w:t xml:space="preserve"> </w:t>
      </w:r>
      <w:r>
        <w:rPr>
          <w:sz w:val="20"/>
          <w:lang w:val="es-ES"/>
        </w:rPr>
        <w:t>Activa</w:t>
      </w:r>
      <w:r>
        <w:rPr>
          <w:sz w:val="20"/>
          <w:lang w:val="en-US"/>
        </w:rPr>
        <w:t xml:space="preserve">, </w:t>
      </w:r>
      <w:r>
        <w:rPr>
          <w:sz w:val="20"/>
          <w:lang w:val="es-ES"/>
        </w:rPr>
        <w:t>Liderazgo</w:t>
      </w:r>
      <w:r>
        <w:rPr>
          <w:sz w:val="20"/>
          <w:lang w:val="en-US"/>
        </w:rPr>
        <w:t xml:space="preserve"> </w:t>
      </w:r>
      <w:r>
        <w:rPr>
          <w:sz w:val="20"/>
          <w:lang w:val="es-ES"/>
        </w:rPr>
        <w:t>y</w:t>
      </w:r>
      <w:r>
        <w:rPr>
          <w:sz w:val="20"/>
          <w:lang w:val="en-US"/>
        </w:rPr>
        <w:t xml:space="preserve"> </w:t>
      </w:r>
      <w:r>
        <w:rPr>
          <w:sz w:val="20"/>
          <w:lang w:val="es-ES"/>
        </w:rPr>
        <w:t>Gestion</w:t>
      </w:r>
      <w:r>
        <w:rPr>
          <w:sz w:val="20"/>
          <w:lang w:val="en-US"/>
        </w:rPr>
        <w:t xml:space="preserve"> </w:t>
      </w:r>
      <w:r>
        <w:rPr>
          <w:sz w:val="20"/>
          <w:lang w:val="es-ES"/>
        </w:rPr>
        <w:t>Local</w:t>
      </w:r>
      <w:r>
        <w:rPr>
          <w:sz w:val="20"/>
          <w:lang w:val="en-US"/>
        </w:rPr>
        <w:t xml:space="preserve"> – INAMU, 2002.</w:t>
      </w:r>
    </w:p>
    <w:p w:rsidR="00000000" w:rsidRDefault="00000000">
      <w:pPr>
        <w:tabs>
          <w:tab w:val="left" w:pos="680"/>
        </w:tabs>
        <w:spacing w:before="240" w:line="260" w:lineRule="exact"/>
        <w:jc w:val="both"/>
        <w:rPr>
          <w:sz w:val="22"/>
        </w:rPr>
      </w:pPr>
      <w:r>
        <w:rPr>
          <w:sz w:val="22"/>
        </w:rPr>
        <w:t>254.</w:t>
      </w:r>
      <w:r>
        <w:rPr>
          <w:sz w:val="22"/>
        </w:rPr>
        <w:tab/>
        <w:t>Примером в этом отношении может служить уровень участия кандидатов-женщин в выборах депутатов. На выборах 1990 года в провинции Сан-Хосе женщины составляли 27,3 процента общего числа кандидатов (187). В 1994 году сохранилось такое же процентное соотношение (28 процентов от 168), а на выборах 1998 года их доля достигла 47,9 процента от 267 кандидатов. Значительные успехи были достигнуты в провинции Лимон: число кандидатов-женщин возросло с 3 в 1994 году до 26 в 1998 году. В то же время в провинции Гуанакасте число кандидатов-женщин сократилось с 9 в 1990 году до 7 в 1994 году, но на выборах 1998 года баллотировались 34 кандидата-женщины.</w:t>
      </w:r>
    </w:p>
    <w:p w:rsidR="00000000" w:rsidRDefault="00000000">
      <w:pPr>
        <w:tabs>
          <w:tab w:val="left" w:pos="680"/>
        </w:tabs>
        <w:spacing w:before="240" w:line="260" w:lineRule="exact"/>
        <w:jc w:val="both"/>
        <w:rPr>
          <w:sz w:val="22"/>
        </w:rPr>
      </w:pPr>
      <w:r>
        <w:rPr>
          <w:sz w:val="22"/>
        </w:rPr>
        <w:t>255.</w:t>
      </w:r>
      <w:r>
        <w:rPr>
          <w:sz w:val="22"/>
        </w:rPr>
        <w:tab/>
        <w:t>Мужчины и женщины занимают различные места в списках кандидатов в депутаты, что приводит к непаритетному представительству тех и других в Законодательном собрании: 9 и 11 депутатов-женщин по результатам выборов, соответственно, 1994 и 1998 годов от общего числа депутатов, которое составляет 57 человек. Однако в этой области отмечается определенный прогресс. Так, если на выборах 1990 года среди кандидатов в депутаты, занимавших первые пять строк в списках, было только 6,7 процента кандидатов-женщин, то на выборах 1998 года их было уже 25,1 процента.</w:t>
      </w:r>
    </w:p>
    <w:p w:rsidR="00000000" w:rsidRDefault="00000000">
      <w:pPr>
        <w:tabs>
          <w:tab w:val="left" w:pos="680"/>
        </w:tabs>
        <w:spacing w:before="240" w:line="260" w:lineRule="exact"/>
        <w:jc w:val="both"/>
        <w:rPr>
          <w:sz w:val="22"/>
        </w:rPr>
      </w:pPr>
      <w:r>
        <w:rPr>
          <w:sz w:val="22"/>
        </w:rPr>
        <w:t>256.</w:t>
      </w:r>
      <w:r>
        <w:rPr>
          <w:sz w:val="22"/>
        </w:rPr>
        <w:tab/>
        <w:t>Аналогичная ситуация и на муниципальном уровне, где в пропорциональном отношении муниципальными советниками было избрано больше кандидатов-женщин, чем тех, кто баллотировался на пост депутатов муниципальных советов: 12,4 процента в 1990 году и 34,4 процента в 1998 году. В 2002 году женщины заняли 46,7 процента постов штатных муниципальных советников и 53,3 процента постов заместителей муниципальных советников. В то же время среди председателей муниципальных советов, которые обладают правом принятия решений, в 1998 году насчитывалось только 6 процентов женщин (в стране имеется 81 муниципальный совет) (проект "Состояние нации", 2001 год).</w:t>
      </w:r>
    </w:p>
    <w:p w:rsidR="00000000" w:rsidRDefault="00000000">
      <w:pPr>
        <w:tabs>
          <w:tab w:val="left" w:pos="680"/>
        </w:tabs>
        <w:spacing w:before="240" w:line="260" w:lineRule="exact"/>
        <w:jc w:val="both"/>
        <w:rPr>
          <w:sz w:val="22"/>
        </w:rPr>
      </w:pPr>
      <w:r>
        <w:rPr>
          <w:sz w:val="22"/>
        </w:rPr>
        <w:t>257.</w:t>
      </w:r>
      <w:r>
        <w:rPr>
          <w:sz w:val="22"/>
        </w:rPr>
        <w:tab/>
        <w:t>Как неоднократно отмечалось выше, первые шаги на пути к реализации равенства возможностей мужчин и женщин в избирательном процессе были сделаны на основе Закона о содействии социальному равенству женщин. В 1996 году были внесены изменения в пункты </w:t>
      </w:r>
      <w:r>
        <w:rPr>
          <w:sz w:val="22"/>
          <w:lang w:val="en-US"/>
        </w:rPr>
        <w:t>n</w:t>
      </w:r>
      <w:r>
        <w:rPr>
          <w:sz w:val="22"/>
        </w:rPr>
        <w:t xml:space="preserve"> и ñ статьи 58 и в статью 60 Избирательного кодекса (Закон № 7653), в соответствии с которыми была введена обязательная 40-процентная квота для женщин в избирательных списках партий. Установлено, что среди депутатов муниципальных, кантональных и провинциальных собраний также должно быть как минимум 40 процентов депутатов-женщин, а уставы политических партий должны соответствовать требованиям статьи 6 Закона о содействии социальному равенству женщин об обязательном 40</w:t>
      </w:r>
      <w:r>
        <w:rPr>
          <w:sz w:val="22"/>
        </w:rPr>
        <w:noBreakHyphen/>
        <w:t>процентном представительстве женщин в руководящих органах партии в целях активизации участия женщин в политической жизни.</w:t>
      </w:r>
    </w:p>
    <w:p w:rsidR="00000000" w:rsidRDefault="00000000">
      <w:pPr>
        <w:tabs>
          <w:tab w:val="left" w:pos="360"/>
          <w:tab w:val="left" w:pos="680"/>
        </w:tabs>
        <w:spacing w:before="240" w:line="260" w:lineRule="exact"/>
        <w:jc w:val="both"/>
        <w:rPr>
          <w:sz w:val="22"/>
        </w:rPr>
      </w:pPr>
      <w:r>
        <w:rPr>
          <w:sz w:val="22"/>
        </w:rPr>
        <w:t>258.</w:t>
      </w:r>
      <w:r>
        <w:rPr>
          <w:sz w:val="22"/>
        </w:rPr>
        <w:tab/>
        <w:t>Несмотря на вышесказанное, на выборах 1998 года не удалось добиться, чтобы в избирательные бюллетени было внесено 40 процентов женщин. Как показано в приведенной ниже таблице, кандидаты-женщины баллотировались на посты первых и вторых вице-президентов (61,5 процента). Однако до настоящего времени кандидаты-женщины не баллотируются на высшие должности даже на местных выборах.</w:t>
      </w:r>
    </w:p>
    <w:p w:rsidR="00000000" w:rsidRDefault="00000000">
      <w:pPr>
        <w:tabs>
          <w:tab w:val="left" w:pos="680"/>
        </w:tabs>
        <w:spacing w:line="260" w:lineRule="exact"/>
        <w:jc w:val="center"/>
        <w:rPr>
          <w:b/>
          <w:sz w:val="22"/>
        </w:rPr>
      </w:pPr>
      <w:r>
        <w:rPr>
          <w:b/>
          <w:sz w:val="22"/>
        </w:rPr>
        <w:br w:type="page"/>
        <w:t>Таблица 4</w:t>
      </w:r>
    </w:p>
    <w:p w:rsidR="00000000" w:rsidRDefault="00000000">
      <w:pPr>
        <w:tabs>
          <w:tab w:val="left" w:pos="680"/>
        </w:tabs>
        <w:spacing w:before="120" w:after="120" w:line="260" w:lineRule="exact"/>
        <w:jc w:val="center"/>
        <w:rPr>
          <w:b/>
          <w:sz w:val="22"/>
        </w:rPr>
      </w:pPr>
      <w:r>
        <w:rPr>
          <w:b/>
          <w:sz w:val="22"/>
        </w:rPr>
        <w:t xml:space="preserve">Участие в выборах кандидатов мужчин и женщин </w:t>
      </w:r>
      <w:r>
        <w:rPr>
          <w:b/>
          <w:sz w:val="22"/>
        </w:rPr>
        <w:br/>
        <w:t xml:space="preserve">(по месту в избирательных бюллетенях во время предвыборных кампаний </w:t>
      </w:r>
      <w:r>
        <w:rPr>
          <w:b/>
          <w:sz w:val="22"/>
        </w:rPr>
        <w:br/>
        <w:t>2002–2006 годов)</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418"/>
        <w:gridCol w:w="1418"/>
        <w:gridCol w:w="1134"/>
        <w:gridCol w:w="1134"/>
        <w:gridCol w:w="737"/>
        <w:gridCol w:w="1134"/>
        <w:gridCol w:w="1134"/>
        <w:gridCol w:w="737"/>
      </w:tblGrid>
      <w:tr w:rsidR="00000000">
        <w:tblPrEx>
          <w:tblCellMar>
            <w:top w:w="0" w:type="dxa"/>
            <w:bottom w:w="0" w:type="dxa"/>
          </w:tblCellMar>
        </w:tblPrEx>
        <w:trPr>
          <w:cantSplit/>
          <w:jc w:val="center"/>
        </w:trPr>
        <w:tc>
          <w:tcPr>
            <w:tcW w:w="1418" w:type="dxa"/>
            <w:vMerge w:val="restart"/>
          </w:tcPr>
          <w:p w:rsidR="00000000" w:rsidRDefault="00000000">
            <w:pPr>
              <w:tabs>
                <w:tab w:val="left" w:pos="680"/>
              </w:tabs>
              <w:spacing w:before="80" w:after="80"/>
              <w:jc w:val="center"/>
              <w:rPr>
                <w:b/>
                <w:sz w:val="19"/>
              </w:rPr>
            </w:pPr>
            <w:r>
              <w:rPr>
                <w:b/>
                <w:sz w:val="19"/>
              </w:rPr>
              <w:t>Выборные должности</w:t>
            </w:r>
          </w:p>
        </w:tc>
        <w:tc>
          <w:tcPr>
            <w:tcW w:w="1418" w:type="dxa"/>
            <w:vMerge w:val="restart"/>
          </w:tcPr>
          <w:p w:rsidR="00000000" w:rsidRDefault="00000000">
            <w:pPr>
              <w:tabs>
                <w:tab w:val="left" w:pos="680"/>
              </w:tabs>
              <w:spacing w:before="80" w:after="80"/>
              <w:jc w:val="center"/>
              <w:rPr>
                <w:b/>
                <w:sz w:val="19"/>
              </w:rPr>
            </w:pPr>
            <w:r>
              <w:rPr>
                <w:b/>
                <w:sz w:val="19"/>
              </w:rPr>
              <w:t>Место в избиратель-</w:t>
            </w:r>
            <w:r>
              <w:rPr>
                <w:b/>
                <w:sz w:val="19"/>
              </w:rPr>
              <w:br/>
              <w:t>ных списках</w:t>
            </w:r>
          </w:p>
        </w:tc>
        <w:tc>
          <w:tcPr>
            <w:tcW w:w="6010" w:type="dxa"/>
            <w:gridSpan w:val="6"/>
          </w:tcPr>
          <w:p w:rsidR="00000000" w:rsidRDefault="00000000">
            <w:pPr>
              <w:tabs>
                <w:tab w:val="left" w:pos="680"/>
              </w:tabs>
              <w:spacing w:before="80" w:after="80"/>
              <w:jc w:val="center"/>
              <w:rPr>
                <w:b/>
                <w:sz w:val="19"/>
              </w:rPr>
            </w:pPr>
            <w:r>
              <w:rPr>
                <w:b/>
                <w:sz w:val="19"/>
              </w:rPr>
              <w:t>Участие мужчин и женщин</w:t>
            </w:r>
          </w:p>
        </w:tc>
      </w:tr>
      <w:tr w:rsidR="00000000">
        <w:tblPrEx>
          <w:tblCellMar>
            <w:top w:w="0" w:type="dxa"/>
            <w:bottom w:w="0" w:type="dxa"/>
          </w:tblCellMar>
        </w:tblPrEx>
        <w:trPr>
          <w:cantSplit/>
          <w:jc w:val="center"/>
        </w:trPr>
        <w:tc>
          <w:tcPr>
            <w:tcW w:w="1418" w:type="dxa"/>
            <w:vMerge/>
          </w:tcPr>
          <w:p w:rsidR="00000000" w:rsidRDefault="00000000">
            <w:pPr>
              <w:tabs>
                <w:tab w:val="left" w:pos="680"/>
              </w:tabs>
              <w:spacing w:before="80" w:after="80"/>
              <w:jc w:val="center"/>
              <w:rPr>
                <w:b/>
                <w:sz w:val="19"/>
              </w:rPr>
            </w:pPr>
          </w:p>
        </w:tc>
        <w:tc>
          <w:tcPr>
            <w:tcW w:w="1418" w:type="dxa"/>
            <w:vMerge/>
          </w:tcPr>
          <w:p w:rsidR="00000000" w:rsidRDefault="00000000">
            <w:pPr>
              <w:tabs>
                <w:tab w:val="left" w:pos="680"/>
              </w:tabs>
              <w:spacing w:before="80" w:after="80"/>
              <w:jc w:val="center"/>
              <w:rPr>
                <w:b/>
                <w:sz w:val="19"/>
              </w:rPr>
            </w:pPr>
          </w:p>
        </w:tc>
        <w:tc>
          <w:tcPr>
            <w:tcW w:w="3005" w:type="dxa"/>
            <w:gridSpan w:val="3"/>
          </w:tcPr>
          <w:p w:rsidR="00000000" w:rsidRDefault="00000000">
            <w:pPr>
              <w:tabs>
                <w:tab w:val="left" w:pos="680"/>
              </w:tabs>
              <w:spacing w:before="80" w:after="80"/>
              <w:jc w:val="center"/>
              <w:rPr>
                <w:b/>
                <w:sz w:val="19"/>
              </w:rPr>
            </w:pPr>
            <w:r>
              <w:rPr>
                <w:b/>
                <w:sz w:val="19"/>
              </w:rPr>
              <w:t>Абсолютные цифры</w:t>
            </w:r>
          </w:p>
        </w:tc>
        <w:tc>
          <w:tcPr>
            <w:tcW w:w="3005" w:type="dxa"/>
            <w:gridSpan w:val="3"/>
          </w:tcPr>
          <w:p w:rsidR="00000000" w:rsidRDefault="00000000">
            <w:pPr>
              <w:tabs>
                <w:tab w:val="left" w:pos="680"/>
              </w:tabs>
              <w:spacing w:before="80" w:after="80"/>
              <w:jc w:val="center"/>
              <w:rPr>
                <w:b/>
                <w:sz w:val="19"/>
              </w:rPr>
            </w:pPr>
            <w:r>
              <w:rPr>
                <w:b/>
                <w:sz w:val="19"/>
              </w:rPr>
              <w:t>Относительные цифры (проценты)</w:t>
            </w:r>
          </w:p>
        </w:tc>
      </w:tr>
      <w:tr w:rsidR="00000000">
        <w:tblPrEx>
          <w:tblCellMar>
            <w:top w:w="0" w:type="dxa"/>
            <w:bottom w:w="0" w:type="dxa"/>
          </w:tblCellMar>
        </w:tblPrEx>
        <w:trPr>
          <w:cantSplit/>
          <w:jc w:val="center"/>
        </w:trPr>
        <w:tc>
          <w:tcPr>
            <w:tcW w:w="1418" w:type="dxa"/>
            <w:vMerge/>
          </w:tcPr>
          <w:p w:rsidR="00000000" w:rsidRDefault="00000000">
            <w:pPr>
              <w:tabs>
                <w:tab w:val="left" w:pos="680"/>
              </w:tabs>
              <w:spacing w:before="80" w:after="80"/>
              <w:jc w:val="center"/>
              <w:rPr>
                <w:b/>
                <w:sz w:val="19"/>
              </w:rPr>
            </w:pPr>
          </w:p>
        </w:tc>
        <w:tc>
          <w:tcPr>
            <w:tcW w:w="1418" w:type="dxa"/>
            <w:vMerge/>
          </w:tcPr>
          <w:p w:rsidR="00000000" w:rsidRDefault="00000000">
            <w:pPr>
              <w:tabs>
                <w:tab w:val="left" w:pos="680"/>
              </w:tabs>
              <w:spacing w:before="80" w:after="80"/>
              <w:jc w:val="center"/>
              <w:rPr>
                <w:b/>
                <w:sz w:val="19"/>
              </w:rPr>
            </w:pPr>
          </w:p>
        </w:tc>
        <w:tc>
          <w:tcPr>
            <w:tcW w:w="1134" w:type="dxa"/>
          </w:tcPr>
          <w:p w:rsidR="00000000" w:rsidRDefault="00000000">
            <w:pPr>
              <w:tabs>
                <w:tab w:val="left" w:pos="680"/>
              </w:tabs>
              <w:spacing w:before="80" w:after="80"/>
              <w:jc w:val="center"/>
              <w:rPr>
                <w:b/>
                <w:sz w:val="19"/>
              </w:rPr>
            </w:pPr>
            <w:r>
              <w:rPr>
                <w:b/>
                <w:sz w:val="19"/>
              </w:rPr>
              <w:t>Женщины</w:t>
            </w:r>
          </w:p>
        </w:tc>
        <w:tc>
          <w:tcPr>
            <w:tcW w:w="1134" w:type="dxa"/>
          </w:tcPr>
          <w:p w:rsidR="00000000" w:rsidRDefault="00000000">
            <w:pPr>
              <w:tabs>
                <w:tab w:val="left" w:pos="680"/>
              </w:tabs>
              <w:spacing w:before="80" w:after="80"/>
              <w:jc w:val="center"/>
              <w:rPr>
                <w:b/>
                <w:sz w:val="19"/>
              </w:rPr>
            </w:pPr>
            <w:r>
              <w:rPr>
                <w:b/>
                <w:sz w:val="19"/>
              </w:rPr>
              <w:t>Мужчины</w:t>
            </w:r>
          </w:p>
        </w:tc>
        <w:tc>
          <w:tcPr>
            <w:tcW w:w="737" w:type="dxa"/>
          </w:tcPr>
          <w:p w:rsidR="00000000" w:rsidRDefault="00000000">
            <w:pPr>
              <w:tabs>
                <w:tab w:val="left" w:pos="680"/>
              </w:tabs>
              <w:spacing w:before="80" w:after="80"/>
              <w:jc w:val="center"/>
              <w:rPr>
                <w:b/>
                <w:sz w:val="19"/>
              </w:rPr>
            </w:pPr>
            <w:r>
              <w:rPr>
                <w:b/>
                <w:sz w:val="19"/>
              </w:rPr>
              <w:t>Всего</w:t>
            </w:r>
          </w:p>
        </w:tc>
        <w:tc>
          <w:tcPr>
            <w:tcW w:w="1134" w:type="dxa"/>
          </w:tcPr>
          <w:p w:rsidR="00000000" w:rsidRDefault="00000000">
            <w:pPr>
              <w:tabs>
                <w:tab w:val="left" w:pos="680"/>
              </w:tabs>
              <w:spacing w:before="80" w:after="80"/>
              <w:jc w:val="center"/>
              <w:rPr>
                <w:b/>
                <w:sz w:val="19"/>
              </w:rPr>
            </w:pPr>
            <w:r>
              <w:rPr>
                <w:b/>
                <w:sz w:val="19"/>
              </w:rPr>
              <w:t>Женщины</w:t>
            </w:r>
          </w:p>
        </w:tc>
        <w:tc>
          <w:tcPr>
            <w:tcW w:w="1134" w:type="dxa"/>
          </w:tcPr>
          <w:p w:rsidR="00000000" w:rsidRDefault="00000000">
            <w:pPr>
              <w:tabs>
                <w:tab w:val="left" w:pos="680"/>
              </w:tabs>
              <w:spacing w:before="80" w:after="80"/>
              <w:jc w:val="center"/>
              <w:rPr>
                <w:b/>
                <w:sz w:val="19"/>
              </w:rPr>
            </w:pPr>
            <w:r>
              <w:rPr>
                <w:b/>
                <w:sz w:val="19"/>
              </w:rPr>
              <w:t>Мужчины</w:t>
            </w:r>
          </w:p>
        </w:tc>
        <w:tc>
          <w:tcPr>
            <w:tcW w:w="737" w:type="dxa"/>
          </w:tcPr>
          <w:p w:rsidR="00000000" w:rsidRDefault="00000000">
            <w:pPr>
              <w:tabs>
                <w:tab w:val="left" w:pos="680"/>
              </w:tabs>
              <w:spacing w:before="80" w:after="80"/>
              <w:jc w:val="center"/>
              <w:rPr>
                <w:b/>
                <w:sz w:val="19"/>
              </w:rPr>
            </w:pPr>
            <w:r>
              <w:rPr>
                <w:b/>
                <w:sz w:val="19"/>
              </w:rPr>
              <w:t>Всего</w:t>
            </w:r>
          </w:p>
        </w:tc>
      </w:tr>
      <w:tr w:rsidR="00000000">
        <w:tblPrEx>
          <w:tblCellMar>
            <w:top w:w="0" w:type="dxa"/>
            <w:bottom w:w="0" w:type="dxa"/>
          </w:tblCellMar>
        </w:tblPrEx>
        <w:trPr>
          <w:cantSplit/>
          <w:jc w:val="center"/>
        </w:trPr>
        <w:tc>
          <w:tcPr>
            <w:tcW w:w="1418" w:type="dxa"/>
            <w:vMerge w:val="restart"/>
          </w:tcPr>
          <w:p w:rsidR="00000000" w:rsidRDefault="00000000">
            <w:pPr>
              <w:tabs>
                <w:tab w:val="left" w:pos="680"/>
              </w:tabs>
              <w:spacing w:before="80" w:after="80"/>
              <w:rPr>
                <w:sz w:val="19"/>
              </w:rPr>
            </w:pPr>
            <w:r>
              <w:rPr>
                <w:sz w:val="19"/>
              </w:rPr>
              <w:t>Президент и вице-президент Республики</w:t>
            </w:r>
          </w:p>
        </w:tc>
        <w:tc>
          <w:tcPr>
            <w:tcW w:w="1418" w:type="dxa"/>
            <w:tcBorders>
              <w:bottom w:val="nil"/>
            </w:tcBorders>
          </w:tcPr>
          <w:p w:rsidR="00000000" w:rsidRDefault="00000000">
            <w:pPr>
              <w:tabs>
                <w:tab w:val="left" w:pos="680"/>
              </w:tabs>
              <w:spacing w:before="80" w:after="80"/>
              <w:rPr>
                <w:sz w:val="19"/>
              </w:rPr>
            </w:pPr>
            <w:r>
              <w:rPr>
                <w:sz w:val="19"/>
              </w:rPr>
              <w:t>Президент</w:t>
            </w:r>
          </w:p>
        </w:tc>
        <w:tc>
          <w:tcPr>
            <w:tcW w:w="1134" w:type="dxa"/>
            <w:tcBorders>
              <w:bottom w:val="nil"/>
            </w:tcBorders>
          </w:tcPr>
          <w:p w:rsidR="00000000" w:rsidRDefault="00000000">
            <w:pPr>
              <w:tabs>
                <w:tab w:val="left" w:pos="680"/>
              </w:tabs>
              <w:spacing w:before="80" w:after="80"/>
              <w:jc w:val="center"/>
              <w:rPr>
                <w:sz w:val="19"/>
              </w:rPr>
            </w:pPr>
            <w:r>
              <w:rPr>
                <w:sz w:val="19"/>
              </w:rPr>
              <w:t>0</w:t>
            </w:r>
          </w:p>
        </w:tc>
        <w:tc>
          <w:tcPr>
            <w:tcW w:w="1134" w:type="dxa"/>
            <w:tcBorders>
              <w:bottom w:val="nil"/>
            </w:tcBorders>
          </w:tcPr>
          <w:p w:rsidR="00000000" w:rsidRDefault="00000000">
            <w:pPr>
              <w:tabs>
                <w:tab w:val="left" w:pos="680"/>
              </w:tabs>
              <w:spacing w:before="80" w:after="80"/>
              <w:jc w:val="center"/>
              <w:rPr>
                <w:sz w:val="19"/>
              </w:rPr>
            </w:pPr>
            <w:r>
              <w:rPr>
                <w:sz w:val="19"/>
              </w:rPr>
              <w:t>13</w:t>
            </w:r>
          </w:p>
        </w:tc>
        <w:tc>
          <w:tcPr>
            <w:tcW w:w="737" w:type="dxa"/>
            <w:tcBorders>
              <w:bottom w:val="nil"/>
            </w:tcBorders>
          </w:tcPr>
          <w:p w:rsidR="00000000" w:rsidRDefault="00000000">
            <w:pPr>
              <w:tabs>
                <w:tab w:val="left" w:pos="680"/>
              </w:tabs>
              <w:spacing w:before="80" w:after="80"/>
              <w:jc w:val="center"/>
              <w:rPr>
                <w:sz w:val="19"/>
              </w:rPr>
            </w:pPr>
            <w:r>
              <w:rPr>
                <w:sz w:val="19"/>
              </w:rPr>
              <w:t>13</w:t>
            </w:r>
          </w:p>
        </w:tc>
        <w:tc>
          <w:tcPr>
            <w:tcW w:w="1134" w:type="dxa"/>
            <w:tcBorders>
              <w:bottom w:val="nil"/>
            </w:tcBorders>
          </w:tcPr>
          <w:p w:rsidR="00000000" w:rsidRDefault="00000000">
            <w:pPr>
              <w:tabs>
                <w:tab w:val="left" w:pos="680"/>
              </w:tabs>
              <w:spacing w:before="80" w:after="80"/>
              <w:jc w:val="center"/>
              <w:rPr>
                <w:sz w:val="19"/>
              </w:rPr>
            </w:pPr>
            <w:r>
              <w:rPr>
                <w:sz w:val="19"/>
              </w:rPr>
              <w:t>0</w:t>
            </w:r>
          </w:p>
        </w:tc>
        <w:tc>
          <w:tcPr>
            <w:tcW w:w="1134" w:type="dxa"/>
            <w:tcBorders>
              <w:bottom w:val="nil"/>
            </w:tcBorders>
          </w:tcPr>
          <w:p w:rsidR="00000000" w:rsidRDefault="00000000">
            <w:pPr>
              <w:tabs>
                <w:tab w:val="left" w:pos="680"/>
              </w:tabs>
              <w:spacing w:before="80" w:after="80"/>
              <w:jc w:val="center"/>
              <w:rPr>
                <w:sz w:val="19"/>
              </w:rPr>
            </w:pPr>
            <w:r>
              <w:rPr>
                <w:sz w:val="19"/>
              </w:rPr>
              <w:t>100</w:t>
            </w:r>
          </w:p>
        </w:tc>
        <w:tc>
          <w:tcPr>
            <w:tcW w:w="737" w:type="dxa"/>
            <w:tcBorders>
              <w:bottom w:val="nil"/>
            </w:tcBorders>
          </w:tcPr>
          <w:p w:rsidR="00000000" w:rsidRDefault="00000000">
            <w:pPr>
              <w:tabs>
                <w:tab w:val="left" w:pos="680"/>
              </w:tabs>
              <w:spacing w:before="80" w:after="80"/>
              <w:jc w:val="center"/>
              <w:rPr>
                <w:sz w:val="19"/>
              </w:rPr>
            </w:pPr>
            <w:r>
              <w:rPr>
                <w:sz w:val="19"/>
              </w:rPr>
              <w:t>100</w:t>
            </w:r>
          </w:p>
        </w:tc>
      </w:tr>
      <w:tr w:rsidR="00000000">
        <w:tblPrEx>
          <w:tblCellMar>
            <w:top w:w="0" w:type="dxa"/>
            <w:bottom w:w="0" w:type="dxa"/>
          </w:tblCellMar>
        </w:tblPrEx>
        <w:trPr>
          <w:cantSplit/>
          <w:jc w:val="center"/>
        </w:trPr>
        <w:tc>
          <w:tcPr>
            <w:tcW w:w="1418" w:type="dxa"/>
            <w:vMerge/>
          </w:tcPr>
          <w:p w:rsidR="00000000" w:rsidRDefault="00000000">
            <w:pPr>
              <w:tabs>
                <w:tab w:val="left" w:pos="680"/>
              </w:tabs>
              <w:spacing w:before="80" w:after="80"/>
              <w:rPr>
                <w:sz w:val="19"/>
              </w:rPr>
            </w:pPr>
          </w:p>
        </w:tc>
        <w:tc>
          <w:tcPr>
            <w:tcW w:w="1418" w:type="dxa"/>
            <w:tcBorders>
              <w:top w:val="nil"/>
              <w:bottom w:val="nil"/>
            </w:tcBorders>
          </w:tcPr>
          <w:p w:rsidR="00000000" w:rsidRDefault="00000000">
            <w:pPr>
              <w:tabs>
                <w:tab w:val="left" w:pos="680"/>
              </w:tabs>
              <w:spacing w:before="80" w:after="80"/>
              <w:rPr>
                <w:sz w:val="19"/>
              </w:rPr>
            </w:pPr>
            <w:r>
              <w:rPr>
                <w:sz w:val="19"/>
              </w:rPr>
              <w:t>Первый вице-президент</w:t>
            </w:r>
          </w:p>
        </w:tc>
        <w:tc>
          <w:tcPr>
            <w:tcW w:w="1134" w:type="dxa"/>
            <w:tcBorders>
              <w:top w:val="nil"/>
              <w:bottom w:val="nil"/>
            </w:tcBorders>
          </w:tcPr>
          <w:p w:rsidR="00000000" w:rsidRDefault="00000000">
            <w:pPr>
              <w:tabs>
                <w:tab w:val="left" w:pos="680"/>
              </w:tabs>
              <w:spacing w:before="80" w:after="80"/>
              <w:jc w:val="center"/>
              <w:rPr>
                <w:sz w:val="19"/>
              </w:rPr>
            </w:pPr>
            <w:r>
              <w:rPr>
                <w:sz w:val="19"/>
              </w:rPr>
              <w:t>8</w:t>
            </w:r>
          </w:p>
        </w:tc>
        <w:tc>
          <w:tcPr>
            <w:tcW w:w="1134" w:type="dxa"/>
            <w:tcBorders>
              <w:top w:val="nil"/>
              <w:bottom w:val="nil"/>
            </w:tcBorders>
          </w:tcPr>
          <w:p w:rsidR="00000000" w:rsidRDefault="00000000">
            <w:pPr>
              <w:tabs>
                <w:tab w:val="left" w:pos="680"/>
              </w:tabs>
              <w:spacing w:before="80" w:after="80"/>
              <w:jc w:val="center"/>
              <w:rPr>
                <w:sz w:val="19"/>
              </w:rPr>
            </w:pPr>
            <w:r>
              <w:rPr>
                <w:sz w:val="19"/>
              </w:rPr>
              <w:t>5</w:t>
            </w:r>
          </w:p>
        </w:tc>
        <w:tc>
          <w:tcPr>
            <w:tcW w:w="737" w:type="dxa"/>
            <w:tcBorders>
              <w:top w:val="nil"/>
              <w:bottom w:val="nil"/>
            </w:tcBorders>
          </w:tcPr>
          <w:p w:rsidR="00000000" w:rsidRDefault="00000000">
            <w:pPr>
              <w:tabs>
                <w:tab w:val="left" w:pos="680"/>
              </w:tabs>
              <w:spacing w:before="80" w:after="80"/>
              <w:jc w:val="center"/>
              <w:rPr>
                <w:sz w:val="19"/>
              </w:rPr>
            </w:pPr>
            <w:r>
              <w:rPr>
                <w:sz w:val="19"/>
              </w:rPr>
              <w:t>13</w:t>
            </w:r>
          </w:p>
        </w:tc>
        <w:tc>
          <w:tcPr>
            <w:tcW w:w="1134" w:type="dxa"/>
            <w:tcBorders>
              <w:top w:val="nil"/>
              <w:bottom w:val="nil"/>
            </w:tcBorders>
          </w:tcPr>
          <w:p w:rsidR="00000000" w:rsidRDefault="00000000">
            <w:pPr>
              <w:tabs>
                <w:tab w:val="left" w:pos="680"/>
              </w:tabs>
              <w:spacing w:before="80" w:after="80"/>
              <w:jc w:val="center"/>
              <w:rPr>
                <w:sz w:val="19"/>
              </w:rPr>
            </w:pPr>
            <w:r>
              <w:rPr>
                <w:sz w:val="19"/>
              </w:rPr>
              <w:t>61,5</w:t>
            </w:r>
          </w:p>
        </w:tc>
        <w:tc>
          <w:tcPr>
            <w:tcW w:w="1134" w:type="dxa"/>
            <w:tcBorders>
              <w:top w:val="nil"/>
              <w:bottom w:val="nil"/>
            </w:tcBorders>
          </w:tcPr>
          <w:p w:rsidR="00000000" w:rsidRDefault="00000000">
            <w:pPr>
              <w:tabs>
                <w:tab w:val="left" w:pos="680"/>
              </w:tabs>
              <w:spacing w:before="80" w:after="80"/>
              <w:jc w:val="center"/>
              <w:rPr>
                <w:sz w:val="19"/>
              </w:rPr>
            </w:pPr>
            <w:r>
              <w:rPr>
                <w:sz w:val="19"/>
              </w:rPr>
              <w:t>38,5</w:t>
            </w:r>
          </w:p>
        </w:tc>
        <w:tc>
          <w:tcPr>
            <w:tcW w:w="737" w:type="dxa"/>
            <w:tcBorders>
              <w:top w:val="nil"/>
              <w:bottom w:val="nil"/>
            </w:tcBorders>
          </w:tcPr>
          <w:p w:rsidR="00000000" w:rsidRDefault="00000000">
            <w:pPr>
              <w:tabs>
                <w:tab w:val="left" w:pos="680"/>
              </w:tabs>
              <w:spacing w:before="80" w:after="80"/>
              <w:jc w:val="center"/>
              <w:rPr>
                <w:sz w:val="19"/>
              </w:rPr>
            </w:pPr>
            <w:r>
              <w:rPr>
                <w:sz w:val="19"/>
              </w:rPr>
              <w:t>100</w:t>
            </w:r>
          </w:p>
        </w:tc>
      </w:tr>
      <w:tr w:rsidR="00000000">
        <w:tblPrEx>
          <w:tblCellMar>
            <w:top w:w="0" w:type="dxa"/>
            <w:bottom w:w="0" w:type="dxa"/>
          </w:tblCellMar>
        </w:tblPrEx>
        <w:trPr>
          <w:cantSplit/>
          <w:jc w:val="center"/>
        </w:trPr>
        <w:tc>
          <w:tcPr>
            <w:tcW w:w="1418" w:type="dxa"/>
            <w:vMerge/>
          </w:tcPr>
          <w:p w:rsidR="00000000" w:rsidRDefault="00000000">
            <w:pPr>
              <w:tabs>
                <w:tab w:val="left" w:pos="680"/>
              </w:tabs>
              <w:spacing w:before="80" w:after="80"/>
              <w:rPr>
                <w:sz w:val="19"/>
              </w:rPr>
            </w:pPr>
          </w:p>
        </w:tc>
        <w:tc>
          <w:tcPr>
            <w:tcW w:w="1418" w:type="dxa"/>
            <w:tcBorders>
              <w:top w:val="nil"/>
              <w:bottom w:val="single" w:sz="4" w:space="0" w:color="auto"/>
            </w:tcBorders>
          </w:tcPr>
          <w:p w:rsidR="00000000" w:rsidRDefault="00000000">
            <w:pPr>
              <w:tabs>
                <w:tab w:val="left" w:pos="680"/>
              </w:tabs>
              <w:spacing w:before="80" w:after="80"/>
              <w:rPr>
                <w:sz w:val="19"/>
              </w:rPr>
            </w:pPr>
            <w:r>
              <w:rPr>
                <w:sz w:val="19"/>
              </w:rPr>
              <w:t>Второй вице-президент</w:t>
            </w:r>
          </w:p>
        </w:tc>
        <w:tc>
          <w:tcPr>
            <w:tcW w:w="1134" w:type="dxa"/>
            <w:tcBorders>
              <w:top w:val="nil"/>
              <w:bottom w:val="single" w:sz="4" w:space="0" w:color="auto"/>
            </w:tcBorders>
          </w:tcPr>
          <w:p w:rsidR="00000000" w:rsidRDefault="00000000">
            <w:pPr>
              <w:tabs>
                <w:tab w:val="left" w:pos="680"/>
              </w:tabs>
              <w:spacing w:before="80" w:after="80"/>
              <w:jc w:val="center"/>
              <w:rPr>
                <w:sz w:val="19"/>
              </w:rPr>
            </w:pPr>
            <w:r>
              <w:rPr>
                <w:sz w:val="19"/>
              </w:rPr>
              <w:t>8</w:t>
            </w:r>
          </w:p>
        </w:tc>
        <w:tc>
          <w:tcPr>
            <w:tcW w:w="1134" w:type="dxa"/>
            <w:tcBorders>
              <w:top w:val="nil"/>
              <w:bottom w:val="single" w:sz="4" w:space="0" w:color="auto"/>
            </w:tcBorders>
          </w:tcPr>
          <w:p w:rsidR="00000000" w:rsidRDefault="00000000">
            <w:pPr>
              <w:tabs>
                <w:tab w:val="left" w:pos="680"/>
              </w:tabs>
              <w:spacing w:before="80" w:after="80"/>
              <w:jc w:val="center"/>
              <w:rPr>
                <w:sz w:val="19"/>
              </w:rPr>
            </w:pPr>
            <w:r>
              <w:rPr>
                <w:sz w:val="19"/>
              </w:rPr>
              <w:t>5</w:t>
            </w:r>
          </w:p>
        </w:tc>
        <w:tc>
          <w:tcPr>
            <w:tcW w:w="737" w:type="dxa"/>
            <w:tcBorders>
              <w:top w:val="nil"/>
              <w:bottom w:val="single" w:sz="4" w:space="0" w:color="auto"/>
            </w:tcBorders>
          </w:tcPr>
          <w:p w:rsidR="00000000" w:rsidRDefault="00000000">
            <w:pPr>
              <w:tabs>
                <w:tab w:val="left" w:pos="680"/>
              </w:tabs>
              <w:spacing w:before="80" w:after="80"/>
              <w:jc w:val="center"/>
              <w:rPr>
                <w:sz w:val="19"/>
              </w:rPr>
            </w:pPr>
            <w:r>
              <w:rPr>
                <w:sz w:val="19"/>
              </w:rPr>
              <w:t>13</w:t>
            </w:r>
          </w:p>
        </w:tc>
        <w:tc>
          <w:tcPr>
            <w:tcW w:w="1134" w:type="dxa"/>
            <w:tcBorders>
              <w:top w:val="nil"/>
              <w:bottom w:val="single" w:sz="4" w:space="0" w:color="auto"/>
            </w:tcBorders>
          </w:tcPr>
          <w:p w:rsidR="00000000" w:rsidRDefault="00000000">
            <w:pPr>
              <w:tabs>
                <w:tab w:val="left" w:pos="680"/>
              </w:tabs>
              <w:spacing w:before="80" w:after="80"/>
              <w:jc w:val="center"/>
              <w:rPr>
                <w:sz w:val="19"/>
              </w:rPr>
            </w:pPr>
            <w:r>
              <w:rPr>
                <w:sz w:val="19"/>
              </w:rPr>
              <w:t>61,5</w:t>
            </w:r>
          </w:p>
        </w:tc>
        <w:tc>
          <w:tcPr>
            <w:tcW w:w="1134" w:type="dxa"/>
            <w:tcBorders>
              <w:top w:val="nil"/>
              <w:bottom w:val="single" w:sz="4" w:space="0" w:color="auto"/>
            </w:tcBorders>
          </w:tcPr>
          <w:p w:rsidR="00000000" w:rsidRDefault="00000000">
            <w:pPr>
              <w:tabs>
                <w:tab w:val="left" w:pos="680"/>
              </w:tabs>
              <w:spacing w:before="80" w:after="80"/>
              <w:jc w:val="center"/>
              <w:rPr>
                <w:sz w:val="19"/>
              </w:rPr>
            </w:pPr>
            <w:r>
              <w:rPr>
                <w:sz w:val="19"/>
              </w:rPr>
              <w:t>38,5</w:t>
            </w:r>
          </w:p>
        </w:tc>
        <w:tc>
          <w:tcPr>
            <w:tcW w:w="737" w:type="dxa"/>
            <w:tcBorders>
              <w:top w:val="nil"/>
              <w:bottom w:val="single" w:sz="4" w:space="0" w:color="auto"/>
            </w:tcBorders>
          </w:tcPr>
          <w:p w:rsidR="00000000" w:rsidRDefault="00000000">
            <w:pPr>
              <w:tabs>
                <w:tab w:val="left" w:pos="680"/>
              </w:tabs>
              <w:spacing w:before="80" w:after="80"/>
              <w:jc w:val="center"/>
              <w:rPr>
                <w:sz w:val="19"/>
              </w:rPr>
            </w:pPr>
            <w:r>
              <w:rPr>
                <w:sz w:val="19"/>
              </w:rPr>
              <w:t>100</w:t>
            </w:r>
          </w:p>
        </w:tc>
      </w:tr>
      <w:tr w:rsidR="00000000">
        <w:tblPrEx>
          <w:tblCellMar>
            <w:top w:w="0" w:type="dxa"/>
            <w:bottom w:w="0" w:type="dxa"/>
          </w:tblCellMar>
        </w:tblPrEx>
        <w:trPr>
          <w:cantSplit/>
          <w:jc w:val="center"/>
        </w:trPr>
        <w:tc>
          <w:tcPr>
            <w:tcW w:w="1418" w:type="dxa"/>
            <w:vMerge w:val="restart"/>
          </w:tcPr>
          <w:p w:rsidR="00000000" w:rsidRDefault="00000000">
            <w:pPr>
              <w:tabs>
                <w:tab w:val="left" w:pos="680"/>
              </w:tabs>
              <w:spacing w:before="80" w:after="80"/>
              <w:rPr>
                <w:sz w:val="19"/>
              </w:rPr>
            </w:pPr>
            <w:r>
              <w:rPr>
                <w:sz w:val="19"/>
              </w:rPr>
              <w:t>Депутаты</w:t>
            </w:r>
          </w:p>
        </w:tc>
        <w:tc>
          <w:tcPr>
            <w:tcW w:w="1418" w:type="dxa"/>
            <w:tcBorders>
              <w:bottom w:val="nil"/>
            </w:tcBorders>
          </w:tcPr>
          <w:p w:rsidR="00000000" w:rsidRDefault="00000000">
            <w:pPr>
              <w:tabs>
                <w:tab w:val="left" w:pos="680"/>
              </w:tabs>
              <w:spacing w:before="80" w:after="80"/>
              <w:rPr>
                <w:sz w:val="19"/>
              </w:rPr>
            </w:pPr>
            <w:r>
              <w:rPr>
                <w:sz w:val="19"/>
              </w:rPr>
              <w:t>Первое место</w:t>
            </w:r>
          </w:p>
        </w:tc>
        <w:tc>
          <w:tcPr>
            <w:tcW w:w="1134" w:type="dxa"/>
            <w:tcBorders>
              <w:bottom w:val="nil"/>
            </w:tcBorders>
          </w:tcPr>
          <w:p w:rsidR="00000000" w:rsidRDefault="00000000">
            <w:pPr>
              <w:tabs>
                <w:tab w:val="left" w:pos="680"/>
              </w:tabs>
              <w:spacing w:before="80" w:after="80"/>
              <w:jc w:val="center"/>
              <w:rPr>
                <w:sz w:val="19"/>
              </w:rPr>
            </w:pPr>
            <w:r>
              <w:rPr>
                <w:sz w:val="19"/>
              </w:rPr>
              <w:t>23</w:t>
            </w:r>
          </w:p>
        </w:tc>
        <w:tc>
          <w:tcPr>
            <w:tcW w:w="1134" w:type="dxa"/>
            <w:tcBorders>
              <w:bottom w:val="nil"/>
            </w:tcBorders>
          </w:tcPr>
          <w:p w:rsidR="00000000" w:rsidRDefault="00000000">
            <w:pPr>
              <w:tabs>
                <w:tab w:val="left" w:pos="680"/>
              </w:tabs>
              <w:spacing w:before="80" w:after="80"/>
              <w:jc w:val="center"/>
              <w:rPr>
                <w:sz w:val="19"/>
              </w:rPr>
            </w:pPr>
            <w:r>
              <w:rPr>
                <w:sz w:val="19"/>
              </w:rPr>
              <w:t>73</w:t>
            </w:r>
          </w:p>
        </w:tc>
        <w:tc>
          <w:tcPr>
            <w:tcW w:w="737" w:type="dxa"/>
            <w:tcBorders>
              <w:bottom w:val="nil"/>
            </w:tcBorders>
          </w:tcPr>
          <w:p w:rsidR="00000000" w:rsidRDefault="00000000">
            <w:pPr>
              <w:tabs>
                <w:tab w:val="left" w:pos="680"/>
              </w:tabs>
              <w:spacing w:before="80" w:after="80"/>
              <w:jc w:val="center"/>
              <w:rPr>
                <w:sz w:val="19"/>
              </w:rPr>
            </w:pPr>
            <w:r>
              <w:rPr>
                <w:sz w:val="19"/>
              </w:rPr>
              <w:t>96</w:t>
            </w:r>
          </w:p>
        </w:tc>
        <w:tc>
          <w:tcPr>
            <w:tcW w:w="1134" w:type="dxa"/>
            <w:tcBorders>
              <w:bottom w:val="nil"/>
            </w:tcBorders>
          </w:tcPr>
          <w:p w:rsidR="00000000" w:rsidRDefault="00000000">
            <w:pPr>
              <w:tabs>
                <w:tab w:val="left" w:pos="680"/>
              </w:tabs>
              <w:spacing w:before="80" w:after="80"/>
              <w:jc w:val="center"/>
              <w:rPr>
                <w:sz w:val="19"/>
              </w:rPr>
            </w:pPr>
            <w:r>
              <w:rPr>
                <w:sz w:val="19"/>
              </w:rPr>
              <w:t>24,0</w:t>
            </w:r>
          </w:p>
        </w:tc>
        <w:tc>
          <w:tcPr>
            <w:tcW w:w="1134" w:type="dxa"/>
            <w:tcBorders>
              <w:bottom w:val="nil"/>
            </w:tcBorders>
          </w:tcPr>
          <w:p w:rsidR="00000000" w:rsidRDefault="00000000">
            <w:pPr>
              <w:tabs>
                <w:tab w:val="left" w:pos="680"/>
              </w:tabs>
              <w:spacing w:before="80" w:after="80"/>
              <w:jc w:val="center"/>
              <w:rPr>
                <w:sz w:val="19"/>
              </w:rPr>
            </w:pPr>
            <w:r>
              <w:rPr>
                <w:sz w:val="19"/>
              </w:rPr>
              <w:t>76</w:t>
            </w:r>
          </w:p>
        </w:tc>
        <w:tc>
          <w:tcPr>
            <w:tcW w:w="737" w:type="dxa"/>
            <w:tcBorders>
              <w:bottom w:val="nil"/>
            </w:tcBorders>
          </w:tcPr>
          <w:p w:rsidR="00000000" w:rsidRDefault="00000000">
            <w:pPr>
              <w:tabs>
                <w:tab w:val="left" w:pos="680"/>
              </w:tabs>
              <w:spacing w:before="80" w:after="80"/>
              <w:jc w:val="center"/>
              <w:rPr>
                <w:sz w:val="19"/>
              </w:rPr>
            </w:pPr>
            <w:r>
              <w:rPr>
                <w:sz w:val="19"/>
              </w:rPr>
              <w:t>100</w:t>
            </w:r>
          </w:p>
        </w:tc>
      </w:tr>
      <w:tr w:rsidR="00000000">
        <w:tblPrEx>
          <w:tblCellMar>
            <w:top w:w="0" w:type="dxa"/>
            <w:bottom w:w="0" w:type="dxa"/>
          </w:tblCellMar>
        </w:tblPrEx>
        <w:trPr>
          <w:cantSplit/>
          <w:jc w:val="center"/>
        </w:trPr>
        <w:tc>
          <w:tcPr>
            <w:tcW w:w="1418" w:type="dxa"/>
            <w:vMerge/>
          </w:tcPr>
          <w:p w:rsidR="00000000" w:rsidRDefault="00000000">
            <w:pPr>
              <w:tabs>
                <w:tab w:val="left" w:pos="680"/>
              </w:tabs>
              <w:spacing w:before="80" w:after="80"/>
              <w:rPr>
                <w:sz w:val="19"/>
              </w:rPr>
            </w:pPr>
          </w:p>
        </w:tc>
        <w:tc>
          <w:tcPr>
            <w:tcW w:w="1418" w:type="dxa"/>
            <w:tcBorders>
              <w:top w:val="nil"/>
              <w:bottom w:val="single" w:sz="4" w:space="0" w:color="auto"/>
            </w:tcBorders>
          </w:tcPr>
          <w:p w:rsidR="00000000" w:rsidRDefault="00000000">
            <w:pPr>
              <w:tabs>
                <w:tab w:val="left" w:pos="680"/>
              </w:tabs>
              <w:spacing w:before="80" w:after="80"/>
              <w:rPr>
                <w:sz w:val="19"/>
              </w:rPr>
            </w:pPr>
            <w:r>
              <w:rPr>
                <w:sz w:val="19"/>
              </w:rPr>
              <w:t>Второе место</w:t>
            </w:r>
          </w:p>
        </w:tc>
        <w:tc>
          <w:tcPr>
            <w:tcW w:w="1134" w:type="dxa"/>
            <w:tcBorders>
              <w:top w:val="nil"/>
              <w:bottom w:val="single" w:sz="4" w:space="0" w:color="auto"/>
            </w:tcBorders>
          </w:tcPr>
          <w:p w:rsidR="00000000" w:rsidRDefault="00000000">
            <w:pPr>
              <w:tabs>
                <w:tab w:val="left" w:pos="680"/>
              </w:tabs>
              <w:spacing w:before="80" w:after="80"/>
              <w:jc w:val="center"/>
              <w:rPr>
                <w:sz w:val="19"/>
              </w:rPr>
            </w:pPr>
            <w:r>
              <w:rPr>
                <w:sz w:val="19"/>
              </w:rPr>
              <w:t>49</w:t>
            </w:r>
          </w:p>
        </w:tc>
        <w:tc>
          <w:tcPr>
            <w:tcW w:w="1134" w:type="dxa"/>
            <w:tcBorders>
              <w:top w:val="nil"/>
              <w:bottom w:val="single" w:sz="4" w:space="0" w:color="auto"/>
            </w:tcBorders>
          </w:tcPr>
          <w:p w:rsidR="00000000" w:rsidRDefault="00000000">
            <w:pPr>
              <w:tabs>
                <w:tab w:val="left" w:pos="680"/>
              </w:tabs>
              <w:spacing w:before="80" w:after="80"/>
              <w:jc w:val="center"/>
              <w:rPr>
                <w:sz w:val="19"/>
              </w:rPr>
            </w:pPr>
            <w:r>
              <w:rPr>
                <w:sz w:val="19"/>
              </w:rPr>
              <w:t>47</w:t>
            </w:r>
          </w:p>
        </w:tc>
        <w:tc>
          <w:tcPr>
            <w:tcW w:w="737" w:type="dxa"/>
            <w:tcBorders>
              <w:top w:val="nil"/>
              <w:bottom w:val="single" w:sz="4" w:space="0" w:color="auto"/>
            </w:tcBorders>
          </w:tcPr>
          <w:p w:rsidR="00000000" w:rsidRDefault="00000000">
            <w:pPr>
              <w:tabs>
                <w:tab w:val="left" w:pos="680"/>
              </w:tabs>
              <w:spacing w:before="80" w:after="80"/>
              <w:jc w:val="center"/>
              <w:rPr>
                <w:sz w:val="19"/>
              </w:rPr>
            </w:pPr>
            <w:r>
              <w:rPr>
                <w:sz w:val="19"/>
              </w:rPr>
              <w:t>96</w:t>
            </w:r>
          </w:p>
        </w:tc>
        <w:tc>
          <w:tcPr>
            <w:tcW w:w="1134" w:type="dxa"/>
            <w:tcBorders>
              <w:top w:val="nil"/>
              <w:bottom w:val="single" w:sz="4" w:space="0" w:color="auto"/>
            </w:tcBorders>
          </w:tcPr>
          <w:p w:rsidR="00000000" w:rsidRDefault="00000000">
            <w:pPr>
              <w:tabs>
                <w:tab w:val="left" w:pos="680"/>
              </w:tabs>
              <w:spacing w:before="80" w:after="80"/>
              <w:jc w:val="center"/>
              <w:rPr>
                <w:sz w:val="19"/>
              </w:rPr>
            </w:pPr>
            <w:r>
              <w:rPr>
                <w:sz w:val="19"/>
              </w:rPr>
              <w:t>51,0</w:t>
            </w:r>
          </w:p>
        </w:tc>
        <w:tc>
          <w:tcPr>
            <w:tcW w:w="1134" w:type="dxa"/>
            <w:tcBorders>
              <w:top w:val="nil"/>
              <w:bottom w:val="single" w:sz="4" w:space="0" w:color="auto"/>
            </w:tcBorders>
          </w:tcPr>
          <w:p w:rsidR="00000000" w:rsidRDefault="00000000">
            <w:pPr>
              <w:tabs>
                <w:tab w:val="left" w:pos="680"/>
              </w:tabs>
              <w:spacing w:before="80" w:after="80"/>
              <w:jc w:val="center"/>
              <w:rPr>
                <w:sz w:val="19"/>
              </w:rPr>
            </w:pPr>
            <w:r>
              <w:rPr>
                <w:sz w:val="19"/>
              </w:rPr>
              <w:t>49</w:t>
            </w:r>
          </w:p>
        </w:tc>
        <w:tc>
          <w:tcPr>
            <w:tcW w:w="737" w:type="dxa"/>
            <w:tcBorders>
              <w:top w:val="nil"/>
              <w:bottom w:val="single" w:sz="4" w:space="0" w:color="auto"/>
            </w:tcBorders>
          </w:tcPr>
          <w:p w:rsidR="00000000" w:rsidRDefault="00000000">
            <w:pPr>
              <w:tabs>
                <w:tab w:val="left" w:pos="680"/>
              </w:tabs>
              <w:spacing w:before="80" w:after="80"/>
              <w:jc w:val="center"/>
              <w:rPr>
                <w:sz w:val="19"/>
              </w:rPr>
            </w:pPr>
            <w:r>
              <w:rPr>
                <w:sz w:val="19"/>
              </w:rPr>
              <w:t>100</w:t>
            </w:r>
          </w:p>
        </w:tc>
      </w:tr>
      <w:tr w:rsidR="00000000">
        <w:tblPrEx>
          <w:tblCellMar>
            <w:top w:w="0" w:type="dxa"/>
            <w:bottom w:w="0" w:type="dxa"/>
          </w:tblCellMar>
        </w:tblPrEx>
        <w:trPr>
          <w:cantSplit/>
          <w:jc w:val="center"/>
        </w:trPr>
        <w:tc>
          <w:tcPr>
            <w:tcW w:w="1418" w:type="dxa"/>
            <w:vMerge w:val="restart"/>
          </w:tcPr>
          <w:p w:rsidR="00000000" w:rsidRDefault="00000000">
            <w:pPr>
              <w:tabs>
                <w:tab w:val="left" w:pos="680"/>
              </w:tabs>
              <w:spacing w:before="80" w:after="80"/>
              <w:rPr>
                <w:sz w:val="19"/>
              </w:rPr>
            </w:pPr>
            <w:r>
              <w:rPr>
                <w:sz w:val="19"/>
              </w:rPr>
              <w:t>Члены муни-</w:t>
            </w:r>
            <w:r>
              <w:rPr>
                <w:sz w:val="19"/>
              </w:rPr>
              <w:br/>
              <w:t>ципальных советов</w:t>
            </w:r>
          </w:p>
        </w:tc>
        <w:tc>
          <w:tcPr>
            <w:tcW w:w="1418" w:type="dxa"/>
            <w:tcBorders>
              <w:bottom w:val="nil"/>
            </w:tcBorders>
          </w:tcPr>
          <w:p w:rsidR="00000000" w:rsidRDefault="00000000">
            <w:pPr>
              <w:tabs>
                <w:tab w:val="left" w:pos="680"/>
              </w:tabs>
              <w:spacing w:before="80" w:after="80"/>
              <w:rPr>
                <w:sz w:val="19"/>
              </w:rPr>
            </w:pPr>
            <w:r>
              <w:rPr>
                <w:sz w:val="19"/>
              </w:rPr>
              <w:t>Первое место</w:t>
            </w:r>
          </w:p>
        </w:tc>
        <w:tc>
          <w:tcPr>
            <w:tcW w:w="1134" w:type="dxa"/>
            <w:tcBorders>
              <w:bottom w:val="nil"/>
            </w:tcBorders>
          </w:tcPr>
          <w:p w:rsidR="00000000" w:rsidRDefault="00000000">
            <w:pPr>
              <w:tabs>
                <w:tab w:val="left" w:pos="680"/>
              </w:tabs>
              <w:spacing w:before="80" w:after="80"/>
              <w:jc w:val="center"/>
              <w:rPr>
                <w:sz w:val="19"/>
              </w:rPr>
            </w:pPr>
            <w:r>
              <w:rPr>
                <w:sz w:val="19"/>
              </w:rPr>
              <w:t>217</w:t>
            </w:r>
          </w:p>
        </w:tc>
        <w:tc>
          <w:tcPr>
            <w:tcW w:w="1134" w:type="dxa"/>
            <w:tcBorders>
              <w:bottom w:val="nil"/>
            </w:tcBorders>
          </w:tcPr>
          <w:p w:rsidR="00000000" w:rsidRDefault="00000000">
            <w:pPr>
              <w:tabs>
                <w:tab w:val="left" w:pos="680"/>
              </w:tabs>
              <w:spacing w:before="80" w:after="80"/>
              <w:jc w:val="center"/>
              <w:rPr>
                <w:sz w:val="19"/>
              </w:rPr>
            </w:pPr>
            <w:r>
              <w:rPr>
                <w:sz w:val="19"/>
              </w:rPr>
              <w:t>501</w:t>
            </w:r>
          </w:p>
        </w:tc>
        <w:tc>
          <w:tcPr>
            <w:tcW w:w="737" w:type="dxa"/>
            <w:tcBorders>
              <w:bottom w:val="nil"/>
            </w:tcBorders>
          </w:tcPr>
          <w:p w:rsidR="00000000" w:rsidRDefault="00000000">
            <w:pPr>
              <w:tabs>
                <w:tab w:val="left" w:pos="680"/>
              </w:tabs>
              <w:spacing w:before="80" w:after="80"/>
              <w:jc w:val="center"/>
              <w:rPr>
                <w:sz w:val="19"/>
              </w:rPr>
            </w:pPr>
            <w:r>
              <w:rPr>
                <w:sz w:val="19"/>
              </w:rPr>
              <w:t>718</w:t>
            </w:r>
          </w:p>
        </w:tc>
        <w:tc>
          <w:tcPr>
            <w:tcW w:w="1134" w:type="dxa"/>
            <w:tcBorders>
              <w:bottom w:val="nil"/>
            </w:tcBorders>
          </w:tcPr>
          <w:p w:rsidR="00000000" w:rsidRDefault="00000000">
            <w:pPr>
              <w:tabs>
                <w:tab w:val="left" w:pos="680"/>
              </w:tabs>
              <w:spacing w:before="80" w:after="80"/>
              <w:jc w:val="center"/>
              <w:rPr>
                <w:sz w:val="19"/>
              </w:rPr>
            </w:pPr>
            <w:r>
              <w:rPr>
                <w:sz w:val="19"/>
              </w:rPr>
              <w:t>30,2</w:t>
            </w:r>
          </w:p>
        </w:tc>
        <w:tc>
          <w:tcPr>
            <w:tcW w:w="1134" w:type="dxa"/>
            <w:tcBorders>
              <w:bottom w:val="nil"/>
            </w:tcBorders>
          </w:tcPr>
          <w:p w:rsidR="00000000" w:rsidRDefault="00000000">
            <w:pPr>
              <w:tabs>
                <w:tab w:val="left" w:pos="680"/>
              </w:tabs>
              <w:spacing w:before="80" w:after="80"/>
              <w:jc w:val="center"/>
              <w:rPr>
                <w:sz w:val="19"/>
              </w:rPr>
            </w:pPr>
            <w:r>
              <w:rPr>
                <w:sz w:val="19"/>
              </w:rPr>
              <w:t>69,8</w:t>
            </w:r>
          </w:p>
        </w:tc>
        <w:tc>
          <w:tcPr>
            <w:tcW w:w="737" w:type="dxa"/>
            <w:tcBorders>
              <w:bottom w:val="nil"/>
            </w:tcBorders>
          </w:tcPr>
          <w:p w:rsidR="00000000" w:rsidRDefault="00000000">
            <w:pPr>
              <w:tabs>
                <w:tab w:val="left" w:pos="680"/>
              </w:tabs>
              <w:spacing w:before="80" w:after="80"/>
              <w:jc w:val="center"/>
              <w:rPr>
                <w:sz w:val="19"/>
              </w:rPr>
            </w:pPr>
            <w:r>
              <w:rPr>
                <w:sz w:val="19"/>
              </w:rPr>
              <w:t>100</w:t>
            </w:r>
          </w:p>
        </w:tc>
      </w:tr>
      <w:tr w:rsidR="00000000">
        <w:tblPrEx>
          <w:tblCellMar>
            <w:top w:w="0" w:type="dxa"/>
            <w:bottom w:w="0" w:type="dxa"/>
          </w:tblCellMar>
        </w:tblPrEx>
        <w:trPr>
          <w:cantSplit/>
          <w:jc w:val="center"/>
        </w:trPr>
        <w:tc>
          <w:tcPr>
            <w:tcW w:w="1418" w:type="dxa"/>
            <w:vMerge/>
            <w:tcBorders>
              <w:bottom w:val="single" w:sz="4" w:space="0" w:color="auto"/>
            </w:tcBorders>
          </w:tcPr>
          <w:p w:rsidR="00000000" w:rsidRDefault="00000000">
            <w:pPr>
              <w:tabs>
                <w:tab w:val="left" w:pos="680"/>
              </w:tabs>
              <w:spacing w:before="80" w:after="80"/>
              <w:rPr>
                <w:sz w:val="19"/>
              </w:rPr>
            </w:pPr>
          </w:p>
        </w:tc>
        <w:tc>
          <w:tcPr>
            <w:tcW w:w="1418" w:type="dxa"/>
            <w:tcBorders>
              <w:top w:val="nil"/>
            </w:tcBorders>
          </w:tcPr>
          <w:p w:rsidR="00000000" w:rsidRDefault="00000000">
            <w:pPr>
              <w:tabs>
                <w:tab w:val="left" w:pos="680"/>
              </w:tabs>
              <w:spacing w:before="80" w:after="80"/>
              <w:rPr>
                <w:sz w:val="19"/>
              </w:rPr>
            </w:pPr>
            <w:r>
              <w:rPr>
                <w:sz w:val="19"/>
              </w:rPr>
              <w:t>Второе место</w:t>
            </w:r>
          </w:p>
        </w:tc>
        <w:tc>
          <w:tcPr>
            <w:tcW w:w="1134" w:type="dxa"/>
            <w:tcBorders>
              <w:top w:val="nil"/>
            </w:tcBorders>
          </w:tcPr>
          <w:p w:rsidR="00000000" w:rsidRDefault="00000000">
            <w:pPr>
              <w:tabs>
                <w:tab w:val="left" w:pos="680"/>
              </w:tabs>
              <w:spacing w:before="80" w:after="80"/>
              <w:jc w:val="center"/>
              <w:rPr>
                <w:sz w:val="19"/>
                <w:lang w:val="en-US"/>
              </w:rPr>
            </w:pPr>
            <w:r>
              <w:rPr>
                <w:sz w:val="19"/>
                <w:lang w:val="en-US"/>
              </w:rPr>
              <w:t>332</w:t>
            </w:r>
          </w:p>
        </w:tc>
        <w:tc>
          <w:tcPr>
            <w:tcW w:w="1134" w:type="dxa"/>
            <w:tcBorders>
              <w:top w:val="nil"/>
            </w:tcBorders>
          </w:tcPr>
          <w:p w:rsidR="00000000" w:rsidRDefault="00000000">
            <w:pPr>
              <w:tabs>
                <w:tab w:val="left" w:pos="680"/>
              </w:tabs>
              <w:spacing w:before="80" w:after="80"/>
              <w:jc w:val="center"/>
              <w:rPr>
                <w:sz w:val="19"/>
                <w:lang w:val="en-US"/>
              </w:rPr>
            </w:pPr>
            <w:r>
              <w:rPr>
                <w:sz w:val="19"/>
                <w:lang w:val="en-US"/>
              </w:rPr>
              <w:t>386</w:t>
            </w:r>
          </w:p>
        </w:tc>
        <w:tc>
          <w:tcPr>
            <w:tcW w:w="737" w:type="dxa"/>
            <w:tcBorders>
              <w:top w:val="nil"/>
            </w:tcBorders>
          </w:tcPr>
          <w:p w:rsidR="00000000" w:rsidRDefault="00000000">
            <w:pPr>
              <w:tabs>
                <w:tab w:val="left" w:pos="680"/>
              </w:tabs>
              <w:spacing w:before="80" w:after="80"/>
              <w:jc w:val="center"/>
              <w:rPr>
                <w:sz w:val="19"/>
                <w:lang w:val="en-US"/>
              </w:rPr>
            </w:pPr>
            <w:r>
              <w:rPr>
                <w:sz w:val="19"/>
                <w:lang w:val="en-US"/>
              </w:rPr>
              <w:t>718</w:t>
            </w:r>
          </w:p>
        </w:tc>
        <w:tc>
          <w:tcPr>
            <w:tcW w:w="1134" w:type="dxa"/>
            <w:tcBorders>
              <w:top w:val="nil"/>
            </w:tcBorders>
          </w:tcPr>
          <w:p w:rsidR="00000000" w:rsidRDefault="00000000">
            <w:pPr>
              <w:tabs>
                <w:tab w:val="left" w:pos="680"/>
              </w:tabs>
              <w:spacing w:before="80" w:after="80"/>
              <w:jc w:val="center"/>
              <w:rPr>
                <w:sz w:val="19"/>
                <w:lang w:val="en-US"/>
              </w:rPr>
            </w:pPr>
            <w:r>
              <w:rPr>
                <w:sz w:val="19"/>
                <w:lang w:val="en-US"/>
              </w:rPr>
              <w:t>46,2</w:t>
            </w:r>
          </w:p>
        </w:tc>
        <w:tc>
          <w:tcPr>
            <w:tcW w:w="1134" w:type="dxa"/>
            <w:tcBorders>
              <w:top w:val="nil"/>
            </w:tcBorders>
          </w:tcPr>
          <w:p w:rsidR="00000000" w:rsidRDefault="00000000">
            <w:pPr>
              <w:tabs>
                <w:tab w:val="left" w:pos="680"/>
              </w:tabs>
              <w:spacing w:before="80" w:after="80"/>
              <w:jc w:val="center"/>
              <w:rPr>
                <w:sz w:val="19"/>
                <w:lang w:val="en-US"/>
              </w:rPr>
            </w:pPr>
            <w:r>
              <w:rPr>
                <w:sz w:val="19"/>
                <w:lang w:val="en-US"/>
              </w:rPr>
              <w:t>53,8</w:t>
            </w:r>
          </w:p>
        </w:tc>
        <w:tc>
          <w:tcPr>
            <w:tcW w:w="737" w:type="dxa"/>
            <w:tcBorders>
              <w:top w:val="nil"/>
            </w:tcBorders>
          </w:tcPr>
          <w:p w:rsidR="00000000" w:rsidRDefault="00000000">
            <w:pPr>
              <w:tabs>
                <w:tab w:val="left" w:pos="680"/>
              </w:tabs>
              <w:spacing w:before="80" w:after="80"/>
              <w:jc w:val="center"/>
              <w:rPr>
                <w:sz w:val="19"/>
                <w:lang w:val="en-US"/>
              </w:rPr>
            </w:pPr>
            <w:r>
              <w:rPr>
                <w:sz w:val="19"/>
                <w:lang w:val="en-US"/>
              </w:rPr>
              <w:t>100</w:t>
            </w:r>
          </w:p>
        </w:tc>
      </w:tr>
      <w:tr w:rsidR="00000000">
        <w:tblPrEx>
          <w:tblCellMar>
            <w:top w:w="0" w:type="dxa"/>
            <w:bottom w:w="0" w:type="dxa"/>
          </w:tblCellMar>
        </w:tblPrEx>
        <w:trPr>
          <w:cantSplit/>
          <w:jc w:val="center"/>
        </w:trPr>
        <w:tc>
          <w:tcPr>
            <w:tcW w:w="1418" w:type="dxa"/>
            <w:tcBorders>
              <w:right w:val="nil"/>
            </w:tcBorders>
          </w:tcPr>
          <w:p w:rsidR="00000000" w:rsidRDefault="00000000">
            <w:pPr>
              <w:tabs>
                <w:tab w:val="left" w:pos="680"/>
              </w:tabs>
              <w:spacing w:before="80" w:after="80"/>
              <w:rPr>
                <w:sz w:val="19"/>
                <w:lang w:val="es-ES"/>
              </w:rPr>
            </w:pPr>
            <w:r>
              <w:rPr>
                <w:sz w:val="19"/>
              </w:rPr>
              <w:t>Всего</w:t>
            </w:r>
            <w:r>
              <w:rPr>
                <w:sz w:val="19"/>
                <w:lang w:val="es-ES"/>
              </w:rPr>
              <w:t>:</w:t>
            </w:r>
          </w:p>
        </w:tc>
        <w:tc>
          <w:tcPr>
            <w:tcW w:w="1418" w:type="dxa"/>
            <w:tcBorders>
              <w:left w:val="nil"/>
            </w:tcBorders>
          </w:tcPr>
          <w:p w:rsidR="00000000" w:rsidRDefault="00000000">
            <w:pPr>
              <w:tabs>
                <w:tab w:val="left" w:pos="680"/>
              </w:tabs>
              <w:spacing w:before="80" w:after="80"/>
              <w:rPr>
                <w:sz w:val="19"/>
                <w:lang w:val="es-ES"/>
              </w:rPr>
            </w:pPr>
          </w:p>
        </w:tc>
        <w:tc>
          <w:tcPr>
            <w:tcW w:w="1134" w:type="dxa"/>
          </w:tcPr>
          <w:p w:rsidR="00000000" w:rsidRDefault="00000000">
            <w:pPr>
              <w:tabs>
                <w:tab w:val="left" w:pos="680"/>
              </w:tabs>
              <w:spacing w:before="80" w:after="80"/>
              <w:jc w:val="center"/>
              <w:rPr>
                <w:sz w:val="19"/>
                <w:lang w:val="es-ES"/>
              </w:rPr>
            </w:pPr>
            <w:r>
              <w:rPr>
                <w:sz w:val="19"/>
                <w:lang w:val="es-ES"/>
              </w:rPr>
              <w:t>637</w:t>
            </w:r>
          </w:p>
        </w:tc>
        <w:tc>
          <w:tcPr>
            <w:tcW w:w="1134" w:type="dxa"/>
          </w:tcPr>
          <w:p w:rsidR="00000000" w:rsidRDefault="00000000">
            <w:pPr>
              <w:tabs>
                <w:tab w:val="left" w:pos="680"/>
              </w:tabs>
              <w:spacing w:before="80" w:after="80"/>
              <w:jc w:val="center"/>
              <w:rPr>
                <w:sz w:val="19"/>
                <w:lang w:val="es-ES"/>
              </w:rPr>
            </w:pPr>
            <w:r>
              <w:rPr>
                <w:sz w:val="19"/>
                <w:lang w:val="es-ES"/>
              </w:rPr>
              <w:t>1</w:t>
            </w:r>
            <w:r>
              <w:rPr>
                <w:sz w:val="19"/>
                <w:lang w:val="en-US"/>
              </w:rPr>
              <w:t> </w:t>
            </w:r>
            <w:r>
              <w:rPr>
                <w:sz w:val="19"/>
                <w:lang w:val="es-ES"/>
              </w:rPr>
              <w:t>030</w:t>
            </w:r>
          </w:p>
        </w:tc>
        <w:tc>
          <w:tcPr>
            <w:tcW w:w="737" w:type="dxa"/>
          </w:tcPr>
          <w:p w:rsidR="00000000" w:rsidRDefault="00000000">
            <w:pPr>
              <w:tabs>
                <w:tab w:val="left" w:pos="680"/>
              </w:tabs>
              <w:spacing w:before="80" w:after="80"/>
              <w:jc w:val="center"/>
              <w:rPr>
                <w:sz w:val="19"/>
                <w:lang w:val="es-ES"/>
              </w:rPr>
            </w:pPr>
            <w:r>
              <w:rPr>
                <w:sz w:val="19"/>
                <w:lang w:val="es-ES"/>
              </w:rPr>
              <w:t>1</w:t>
            </w:r>
            <w:r>
              <w:rPr>
                <w:sz w:val="19"/>
                <w:lang w:val="en-US"/>
              </w:rPr>
              <w:t> </w:t>
            </w:r>
            <w:r>
              <w:rPr>
                <w:sz w:val="19"/>
                <w:lang w:val="es-ES"/>
              </w:rPr>
              <w:t>667</w:t>
            </w:r>
          </w:p>
        </w:tc>
        <w:tc>
          <w:tcPr>
            <w:tcW w:w="1134" w:type="dxa"/>
          </w:tcPr>
          <w:p w:rsidR="00000000" w:rsidRDefault="00000000">
            <w:pPr>
              <w:tabs>
                <w:tab w:val="left" w:pos="680"/>
              </w:tabs>
              <w:spacing w:before="80" w:after="80"/>
              <w:jc w:val="center"/>
              <w:rPr>
                <w:sz w:val="19"/>
                <w:lang w:val="es-ES"/>
              </w:rPr>
            </w:pPr>
            <w:r>
              <w:rPr>
                <w:sz w:val="19"/>
                <w:lang w:val="es-ES"/>
              </w:rPr>
              <w:t>38,2</w:t>
            </w:r>
          </w:p>
        </w:tc>
        <w:tc>
          <w:tcPr>
            <w:tcW w:w="1134" w:type="dxa"/>
          </w:tcPr>
          <w:p w:rsidR="00000000" w:rsidRDefault="00000000">
            <w:pPr>
              <w:tabs>
                <w:tab w:val="left" w:pos="680"/>
              </w:tabs>
              <w:spacing w:before="80" w:after="80"/>
              <w:jc w:val="center"/>
              <w:rPr>
                <w:sz w:val="19"/>
                <w:lang w:val="es-ES"/>
              </w:rPr>
            </w:pPr>
            <w:r>
              <w:rPr>
                <w:sz w:val="19"/>
                <w:lang w:val="es-ES"/>
              </w:rPr>
              <w:t>61,8</w:t>
            </w:r>
          </w:p>
        </w:tc>
        <w:tc>
          <w:tcPr>
            <w:tcW w:w="737" w:type="dxa"/>
          </w:tcPr>
          <w:p w:rsidR="00000000" w:rsidRDefault="00000000">
            <w:pPr>
              <w:tabs>
                <w:tab w:val="left" w:pos="680"/>
              </w:tabs>
              <w:spacing w:before="80" w:after="80"/>
              <w:jc w:val="center"/>
              <w:rPr>
                <w:sz w:val="19"/>
                <w:lang w:val="es-ES"/>
              </w:rPr>
            </w:pPr>
            <w:r>
              <w:rPr>
                <w:sz w:val="19"/>
                <w:lang w:val="es-ES"/>
              </w:rPr>
              <w:t>100</w:t>
            </w:r>
          </w:p>
        </w:tc>
      </w:tr>
    </w:tbl>
    <w:p w:rsidR="00000000" w:rsidRDefault="00000000">
      <w:pPr>
        <w:tabs>
          <w:tab w:val="left" w:pos="680"/>
        </w:tabs>
        <w:spacing w:before="240" w:line="260" w:lineRule="exact"/>
        <w:jc w:val="both"/>
        <w:rPr>
          <w:sz w:val="20"/>
        </w:rPr>
      </w:pPr>
      <w:r>
        <w:rPr>
          <w:b/>
          <w:sz w:val="20"/>
        </w:rPr>
        <w:t>Источник</w:t>
      </w:r>
      <w:r>
        <w:rPr>
          <w:b/>
          <w:sz w:val="20"/>
          <w:lang w:val="en-US"/>
        </w:rPr>
        <w:t>:</w:t>
      </w:r>
      <w:r>
        <w:rPr>
          <w:sz w:val="20"/>
          <w:lang w:val="en-US"/>
        </w:rPr>
        <w:t xml:space="preserve"> </w:t>
      </w:r>
      <w:r>
        <w:rPr>
          <w:sz w:val="20"/>
          <w:lang w:val="es-ES"/>
        </w:rPr>
        <w:t>Area</w:t>
      </w:r>
      <w:r>
        <w:rPr>
          <w:sz w:val="20"/>
          <w:lang w:val="en-US"/>
        </w:rPr>
        <w:t xml:space="preserve"> </w:t>
      </w:r>
      <w:r>
        <w:rPr>
          <w:sz w:val="20"/>
          <w:lang w:val="es-ES"/>
        </w:rPr>
        <w:t>de</w:t>
      </w:r>
      <w:r>
        <w:rPr>
          <w:sz w:val="20"/>
          <w:lang w:val="en-US"/>
        </w:rPr>
        <w:t xml:space="preserve"> </w:t>
      </w:r>
      <w:r>
        <w:rPr>
          <w:caps/>
          <w:sz w:val="20"/>
          <w:lang w:val="es-ES"/>
        </w:rPr>
        <w:t>c</w:t>
      </w:r>
      <w:r>
        <w:rPr>
          <w:sz w:val="20"/>
          <w:lang w:val="es-ES"/>
        </w:rPr>
        <w:t>iudadania</w:t>
      </w:r>
      <w:r>
        <w:rPr>
          <w:sz w:val="20"/>
          <w:lang w:val="en-US"/>
        </w:rPr>
        <w:t xml:space="preserve"> </w:t>
      </w:r>
      <w:r>
        <w:rPr>
          <w:sz w:val="20"/>
          <w:lang w:val="es-ES"/>
        </w:rPr>
        <w:t>Activa</w:t>
      </w:r>
      <w:r>
        <w:rPr>
          <w:sz w:val="20"/>
          <w:lang w:val="en-US"/>
        </w:rPr>
        <w:t xml:space="preserve">, </w:t>
      </w:r>
      <w:r>
        <w:rPr>
          <w:sz w:val="20"/>
          <w:lang w:val="es-ES"/>
        </w:rPr>
        <w:t>Liderazgo</w:t>
      </w:r>
      <w:r>
        <w:rPr>
          <w:sz w:val="20"/>
          <w:lang w:val="en-US"/>
        </w:rPr>
        <w:t xml:space="preserve"> </w:t>
      </w:r>
      <w:r>
        <w:rPr>
          <w:sz w:val="20"/>
          <w:lang w:val="es-ES"/>
        </w:rPr>
        <w:t>y</w:t>
      </w:r>
      <w:r>
        <w:rPr>
          <w:sz w:val="20"/>
          <w:lang w:val="en-US"/>
        </w:rPr>
        <w:t xml:space="preserve"> </w:t>
      </w:r>
      <w:r>
        <w:rPr>
          <w:sz w:val="20"/>
          <w:lang w:val="es-ES"/>
        </w:rPr>
        <w:t>Gestion</w:t>
      </w:r>
      <w:r>
        <w:rPr>
          <w:sz w:val="20"/>
          <w:lang w:val="en-US"/>
        </w:rPr>
        <w:t xml:space="preserve"> </w:t>
      </w:r>
      <w:r>
        <w:rPr>
          <w:sz w:val="20"/>
          <w:lang w:val="es-ES"/>
        </w:rPr>
        <w:t>Local</w:t>
      </w:r>
      <w:r>
        <w:rPr>
          <w:sz w:val="20"/>
          <w:lang w:val="en-US"/>
        </w:rPr>
        <w:t xml:space="preserve"> – INAMU. </w:t>
      </w:r>
      <w:r>
        <w:rPr>
          <w:sz w:val="20"/>
        </w:rPr>
        <w:t>Составлено на основании резолюций Генеральной дирекции Гражданского регистра, 2002 год.</w:t>
      </w:r>
    </w:p>
    <w:p w:rsidR="00000000" w:rsidRDefault="00000000">
      <w:pPr>
        <w:tabs>
          <w:tab w:val="left" w:pos="680"/>
        </w:tabs>
        <w:spacing w:before="240" w:line="260" w:lineRule="exact"/>
        <w:jc w:val="both"/>
        <w:rPr>
          <w:sz w:val="22"/>
        </w:rPr>
      </w:pPr>
      <w:r>
        <w:rPr>
          <w:sz w:val="22"/>
        </w:rPr>
        <w:t>259.</w:t>
      </w:r>
      <w:r>
        <w:rPr>
          <w:sz w:val="22"/>
        </w:rPr>
        <w:tab/>
        <w:t>Таким образом, для того чтобы реализовать решение о квотах, необходимо было произвести изменения в избирательной системе. 23 сентября 1999 года в ответ на запрос министра по делам женщин и президента Национального института по делам женщин Высший избирательный трибунал своим решением № 1863 постановил:</w:t>
      </w:r>
    </w:p>
    <w:p w:rsidR="00000000" w:rsidRDefault="00000000">
      <w:pPr>
        <w:tabs>
          <w:tab w:val="left" w:pos="680"/>
        </w:tabs>
        <w:spacing w:before="240" w:line="260" w:lineRule="exact"/>
        <w:jc w:val="both"/>
        <w:rPr>
          <w:sz w:val="22"/>
        </w:rPr>
      </w:pPr>
      <w:r>
        <w:rPr>
          <w:sz w:val="22"/>
        </w:rPr>
        <w:t>260.</w:t>
      </w:r>
      <w:r>
        <w:rPr>
          <w:sz w:val="22"/>
        </w:rPr>
        <w:tab/>
        <w:t>"…При выборах депутатов, штатных и временных муниципальных советников в бюллетени для голосования должно быть внесено не менее 40 процентов кандидатов-женщин". Вышесказанное должно исполняться при выборах в каждом муниципалитете, кантоне или провинции. Все политические партии должны внести в свои уставы "необходимые поправки, которые гарантировали бы участие женщин в рамках указанной квоты. Гражданский регистр не будет принимать к рассмотрению списки кандидатов, не отвечающие этим требованиям".</w:t>
      </w:r>
    </w:p>
    <w:p w:rsidR="00000000" w:rsidRDefault="00000000">
      <w:pPr>
        <w:tabs>
          <w:tab w:val="left" w:pos="680"/>
        </w:tabs>
        <w:spacing w:before="240" w:line="260" w:lineRule="exact"/>
        <w:jc w:val="both"/>
        <w:rPr>
          <w:sz w:val="22"/>
        </w:rPr>
      </w:pPr>
      <w:r>
        <w:rPr>
          <w:sz w:val="22"/>
        </w:rPr>
        <w:t>261.</w:t>
      </w:r>
      <w:r>
        <w:rPr>
          <w:sz w:val="22"/>
        </w:rPr>
        <w:tab/>
        <w:t>Это положение получило отражение в данных, предоставленных ИНАМУ (2002 год). Эти данные подтверждают, что Генеральная дирекция Гражданского регистра вынесла 73 предупреждения 11 политическим партиям (10 национальным и 1 провинциальной) о невыполнении решения о 40</w:t>
      </w:r>
      <w:r>
        <w:rPr>
          <w:sz w:val="22"/>
        </w:rPr>
        <w:noBreakHyphen/>
        <w:t>процентной квоте для женщин в избирательных списках.</w:t>
      </w:r>
    </w:p>
    <w:p w:rsidR="00000000" w:rsidRDefault="00000000">
      <w:pPr>
        <w:tabs>
          <w:tab w:val="left" w:pos="680"/>
        </w:tabs>
        <w:spacing w:line="260" w:lineRule="exact"/>
        <w:jc w:val="center"/>
        <w:rPr>
          <w:b/>
          <w:sz w:val="22"/>
        </w:rPr>
      </w:pPr>
      <w:r>
        <w:rPr>
          <w:b/>
          <w:sz w:val="22"/>
        </w:rPr>
        <w:br w:type="page"/>
        <w:t>Таблица 5</w:t>
      </w:r>
    </w:p>
    <w:p w:rsidR="00000000" w:rsidRDefault="00000000">
      <w:pPr>
        <w:tabs>
          <w:tab w:val="left" w:pos="680"/>
        </w:tabs>
        <w:spacing w:before="120" w:after="120" w:line="260" w:lineRule="exact"/>
        <w:jc w:val="center"/>
        <w:rPr>
          <w:b/>
          <w:sz w:val="22"/>
        </w:rPr>
      </w:pPr>
      <w:r>
        <w:rPr>
          <w:b/>
          <w:sz w:val="22"/>
        </w:rPr>
        <w:t xml:space="preserve">Количество избирательных списков, в отношении которых вынесено предупреждение </w:t>
      </w:r>
      <w:r>
        <w:rPr>
          <w:b/>
          <w:sz w:val="22"/>
        </w:rPr>
        <w:br/>
        <w:t>о невыполнении решения о 40</w:t>
      </w:r>
      <w:r>
        <w:rPr>
          <w:b/>
          <w:sz w:val="22"/>
        </w:rPr>
        <w:noBreakHyphen/>
        <w:t>процентной минимальной квоте для женщин,</w:t>
      </w:r>
      <w:r>
        <w:rPr>
          <w:b/>
          <w:sz w:val="22"/>
        </w:rPr>
        <w:br/>
        <w:t>в избирательных кампаниях 2002–2006 годов</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5387"/>
        <w:gridCol w:w="3402"/>
      </w:tblGrid>
      <w:tr w:rsidR="00000000">
        <w:tblPrEx>
          <w:tblCellMar>
            <w:top w:w="0" w:type="dxa"/>
            <w:bottom w:w="0" w:type="dxa"/>
          </w:tblCellMar>
        </w:tblPrEx>
        <w:trPr>
          <w:jc w:val="center"/>
        </w:trPr>
        <w:tc>
          <w:tcPr>
            <w:tcW w:w="5387" w:type="dxa"/>
            <w:tcBorders>
              <w:bottom w:val="single" w:sz="4" w:space="0" w:color="auto"/>
            </w:tcBorders>
          </w:tcPr>
          <w:p w:rsidR="00000000" w:rsidRDefault="00000000">
            <w:pPr>
              <w:tabs>
                <w:tab w:val="left" w:pos="680"/>
              </w:tabs>
              <w:spacing w:before="80" w:after="80"/>
              <w:jc w:val="center"/>
              <w:rPr>
                <w:b/>
                <w:sz w:val="20"/>
              </w:rPr>
            </w:pPr>
            <w:r>
              <w:rPr>
                <w:b/>
                <w:sz w:val="20"/>
              </w:rPr>
              <w:t>Политические партии</w:t>
            </w:r>
          </w:p>
        </w:tc>
        <w:tc>
          <w:tcPr>
            <w:tcW w:w="3402" w:type="dxa"/>
            <w:tcBorders>
              <w:bottom w:val="single" w:sz="4" w:space="0" w:color="auto"/>
            </w:tcBorders>
          </w:tcPr>
          <w:p w:rsidR="00000000" w:rsidRDefault="00000000">
            <w:pPr>
              <w:tabs>
                <w:tab w:val="left" w:pos="680"/>
              </w:tabs>
              <w:spacing w:before="80" w:after="80"/>
              <w:jc w:val="center"/>
              <w:rPr>
                <w:b/>
                <w:sz w:val="20"/>
              </w:rPr>
            </w:pPr>
            <w:r>
              <w:rPr>
                <w:b/>
                <w:sz w:val="20"/>
              </w:rPr>
              <w:t>Количество списков, по которым вынесено предупреждение</w:t>
            </w:r>
          </w:p>
        </w:tc>
      </w:tr>
      <w:tr w:rsidR="00000000">
        <w:tblPrEx>
          <w:tblCellMar>
            <w:top w:w="0" w:type="dxa"/>
            <w:bottom w:w="0" w:type="dxa"/>
          </w:tblCellMar>
        </w:tblPrEx>
        <w:trPr>
          <w:jc w:val="center"/>
        </w:trPr>
        <w:tc>
          <w:tcPr>
            <w:tcW w:w="5387" w:type="dxa"/>
            <w:tcBorders>
              <w:bottom w:val="nil"/>
            </w:tcBorders>
          </w:tcPr>
          <w:p w:rsidR="00000000" w:rsidRDefault="00000000">
            <w:pPr>
              <w:tabs>
                <w:tab w:val="left" w:pos="680"/>
              </w:tabs>
              <w:spacing w:before="80" w:after="80"/>
              <w:jc w:val="center"/>
              <w:rPr>
                <w:sz w:val="20"/>
              </w:rPr>
            </w:pPr>
            <w:r>
              <w:rPr>
                <w:sz w:val="20"/>
              </w:rPr>
              <w:t>Гражданское действие</w:t>
            </w:r>
          </w:p>
        </w:tc>
        <w:tc>
          <w:tcPr>
            <w:tcW w:w="3402" w:type="dxa"/>
            <w:tcBorders>
              <w:bottom w:val="nil"/>
            </w:tcBorders>
          </w:tcPr>
          <w:p w:rsidR="00000000" w:rsidRDefault="00000000">
            <w:pPr>
              <w:tabs>
                <w:tab w:val="left" w:pos="680"/>
              </w:tabs>
              <w:spacing w:before="80" w:after="80"/>
              <w:jc w:val="center"/>
              <w:rPr>
                <w:sz w:val="20"/>
                <w:lang w:val="es-ES"/>
              </w:rPr>
            </w:pPr>
            <w:r>
              <w:rPr>
                <w:sz w:val="20"/>
                <w:lang w:val="es-ES"/>
              </w:rPr>
              <w:t>2</w:t>
            </w:r>
          </w:p>
        </w:tc>
      </w:tr>
      <w:tr w:rsidR="00000000">
        <w:tblPrEx>
          <w:tblCellMar>
            <w:top w:w="0" w:type="dxa"/>
            <w:bottom w:w="0" w:type="dxa"/>
          </w:tblCellMar>
        </w:tblPrEx>
        <w:trPr>
          <w:jc w:val="center"/>
        </w:trPr>
        <w:tc>
          <w:tcPr>
            <w:tcW w:w="5387" w:type="dxa"/>
            <w:tcBorders>
              <w:top w:val="nil"/>
              <w:bottom w:val="nil"/>
            </w:tcBorders>
          </w:tcPr>
          <w:p w:rsidR="00000000" w:rsidRDefault="00000000">
            <w:pPr>
              <w:tabs>
                <w:tab w:val="left" w:pos="680"/>
              </w:tabs>
              <w:spacing w:before="80" w:after="80"/>
              <w:jc w:val="center"/>
              <w:rPr>
                <w:sz w:val="20"/>
                <w:lang w:val="es-ES"/>
              </w:rPr>
            </w:pPr>
            <w:r>
              <w:rPr>
                <w:sz w:val="20"/>
              </w:rPr>
              <w:t>Демократическая сила</w:t>
            </w:r>
          </w:p>
        </w:tc>
        <w:tc>
          <w:tcPr>
            <w:tcW w:w="3402" w:type="dxa"/>
            <w:tcBorders>
              <w:top w:val="nil"/>
              <w:bottom w:val="nil"/>
            </w:tcBorders>
          </w:tcPr>
          <w:p w:rsidR="00000000" w:rsidRDefault="00000000">
            <w:pPr>
              <w:tabs>
                <w:tab w:val="left" w:pos="680"/>
              </w:tabs>
              <w:spacing w:before="80" w:after="80"/>
              <w:jc w:val="center"/>
              <w:rPr>
                <w:sz w:val="20"/>
                <w:lang w:val="es-ES"/>
              </w:rPr>
            </w:pPr>
            <w:r>
              <w:rPr>
                <w:sz w:val="20"/>
                <w:lang w:val="es-ES"/>
              </w:rPr>
              <w:t>12</w:t>
            </w:r>
          </w:p>
        </w:tc>
      </w:tr>
      <w:tr w:rsidR="00000000">
        <w:tblPrEx>
          <w:tblCellMar>
            <w:top w:w="0" w:type="dxa"/>
            <w:bottom w:w="0" w:type="dxa"/>
          </w:tblCellMar>
        </w:tblPrEx>
        <w:trPr>
          <w:jc w:val="center"/>
        </w:trPr>
        <w:tc>
          <w:tcPr>
            <w:tcW w:w="5387" w:type="dxa"/>
            <w:tcBorders>
              <w:top w:val="nil"/>
              <w:bottom w:val="nil"/>
            </w:tcBorders>
          </w:tcPr>
          <w:p w:rsidR="00000000" w:rsidRDefault="00000000">
            <w:pPr>
              <w:tabs>
                <w:tab w:val="left" w:pos="680"/>
              </w:tabs>
              <w:spacing w:before="80" w:after="80"/>
              <w:jc w:val="center"/>
              <w:rPr>
                <w:sz w:val="20"/>
                <w:lang w:val="es-ES"/>
              </w:rPr>
            </w:pPr>
            <w:r>
              <w:rPr>
                <w:sz w:val="20"/>
              </w:rPr>
              <w:t>Независимая рабочая партия</w:t>
            </w:r>
          </w:p>
        </w:tc>
        <w:tc>
          <w:tcPr>
            <w:tcW w:w="3402" w:type="dxa"/>
            <w:tcBorders>
              <w:top w:val="nil"/>
              <w:bottom w:val="nil"/>
            </w:tcBorders>
          </w:tcPr>
          <w:p w:rsidR="00000000" w:rsidRDefault="00000000">
            <w:pPr>
              <w:tabs>
                <w:tab w:val="left" w:pos="680"/>
              </w:tabs>
              <w:spacing w:before="80" w:after="80"/>
              <w:jc w:val="center"/>
              <w:rPr>
                <w:sz w:val="20"/>
                <w:lang w:val="es-ES"/>
              </w:rPr>
            </w:pPr>
            <w:r>
              <w:rPr>
                <w:sz w:val="20"/>
                <w:lang w:val="es-ES"/>
              </w:rPr>
              <w:t>22</w:t>
            </w:r>
          </w:p>
        </w:tc>
      </w:tr>
      <w:tr w:rsidR="00000000">
        <w:tblPrEx>
          <w:tblCellMar>
            <w:top w:w="0" w:type="dxa"/>
            <w:bottom w:w="0" w:type="dxa"/>
          </w:tblCellMar>
        </w:tblPrEx>
        <w:trPr>
          <w:jc w:val="center"/>
        </w:trPr>
        <w:tc>
          <w:tcPr>
            <w:tcW w:w="5387" w:type="dxa"/>
            <w:tcBorders>
              <w:top w:val="nil"/>
              <w:bottom w:val="nil"/>
            </w:tcBorders>
          </w:tcPr>
          <w:p w:rsidR="00000000" w:rsidRDefault="00000000">
            <w:pPr>
              <w:tabs>
                <w:tab w:val="left" w:pos="680"/>
              </w:tabs>
              <w:spacing w:before="80" w:after="80"/>
              <w:jc w:val="center"/>
              <w:rPr>
                <w:sz w:val="20"/>
                <w:lang w:val="es-ES"/>
              </w:rPr>
            </w:pPr>
            <w:r>
              <w:rPr>
                <w:sz w:val="20"/>
              </w:rPr>
              <w:t>Национальная интеграция</w:t>
            </w:r>
          </w:p>
        </w:tc>
        <w:tc>
          <w:tcPr>
            <w:tcW w:w="3402" w:type="dxa"/>
            <w:tcBorders>
              <w:top w:val="nil"/>
              <w:bottom w:val="nil"/>
            </w:tcBorders>
          </w:tcPr>
          <w:p w:rsidR="00000000" w:rsidRDefault="00000000">
            <w:pPr>
              <w:tabs>
                <w:tab w:val="left" w:pos="680"/>
              </w:tabs>
              <w:spacing w:before="80" w:after="80"/>
              <w:jc w:val="center"/>
              <w:rPr>
                <w:sz w:val="20"/>
                <w:lang w:val="es-ES"/>
              </w:rPr>
            </w:pPr>
            <w:r>
              <w:rPr>
                <w:sz w:val="20"/>
                <w:lang w:val="es-ES"/>
              </w:rPr>
              <w:t>13</w:t>
            </w:r>
          </w:p>
        </w:tc>
      </w:tr>
      <w:tr w:rsidR="00000000">
        <w:tblPrEx>
          <w:tblCellMar>
            <w:top w:w="0" w:type="dxa"/>
            <w:bottom w:w="0" w:type="dxa"/>
          </w:tblCellMar>
        </w:tblPrEx>
        <w:trPr>
          <w:jc w:val="center"/>
        </w:trPr>
        <w:tc>
          <w:tcPr>
            <w:tcW w:w="5387" w:type="dxa"/>
            <w:tcBorders>
              <w:top w:val="nil"/>
              <w:bottom w:val="nil"/>
            </w:tcBorders>
          </w:tcPr>
          <w:p w:rsidR="00000000" w:rsidRDefault="00000000">
            <w:pPr>
              <w:tabs>
                <w:tab w:val="left" w:pos="680"/>
              </w:tabs>
              <w:spacing w:before="80" w:after="80"/>
              <w:jc w:val="center"/>
              <w:rPr>
                <w:sz w:val="20"/>
                <w:lang w:val="es-ES"/>
              </w:rPr>
            </w:pPr>
            <w:r>
              <w:rPr>
                <w:sz w:val="20"/>
              </w:rPr>
              <w:t>Национальное освобождение</w:t>
            </w:r>
          </w:p>
        </w:tc>
        <w:tc>
          <w:tcPr>
            <w:tcW w:w="3402" w:type="dxa"/>
            <w:tcBorders>
              <w:top w:val="nil"/>
              <w:bottom w:val="nil"/>
            </w:tcBorders>
          </w:tcPr>
          <w:p w:rsidR="00000000" w:rsidRDefault="00000000">
            <w:pPr>
              <w:tabs>
                <w:tab w:val="left" w:pos="680"/>
              </w:tabs>
              <w:spacing w:before="80" w:after="80"/>
              <w:jc w:val="center"/>
              <w:rPr>
                <w:sz w:val="20"/>
                <w:lang w:val="es-ES"/>
              </w:rPr>
            </w:pPr>
            <w:r>
              <w:rPr>
                <w:sz w:val="20"/>
                <w:lang w:val="es-ES"/>
              </w:rPr>
              <w:t>6</w:t>
            </w:r>
          </w:p>
        </w:tc>
      </w:tr>
      <w:tr w:rsidR="00000000">
        <w:tblPrEx>
          <w:tblCellMar>
            <w:top w:w="0" w:type="dxa"/>
            <w:bottom w:w="0" w:type="dxa"/>
          </w:tblCellMar>
        </w:tblPrEx>
        <w:trPr>
          <w:jc w:val="center"/>
        </w:trPr>
        <w:tc>
          <w:tcPr>
            <w:tcW w:w="5387" w:type="dxa"/>
            <w:tcBorders>
              <w:top w:val="nil"/>
              <w:bottom w:val="nil"/>
            </w:tcBorders>
          </w:tcPr>
          <w:p w:rsidR="00000000" w:rsidRDefault="00000000">
            <w:pPr>
              <w:tabs>
                <w:tab w:val="left" w:pos="680"/>
              </w:tabs>
              <w:spacing w:before="80" w:after="80"/>
              <w:jc w:val="center"/>
              <w:rPr>
                <w:sz w:val="20"/>
                <w:lang w:val="es-ES"/>
              </w:rPr>
            </w:pPr>
            <w:r>
              <w:rPr>
                <w:sz w:val="20"/>
              </w:rPr>
              <w:t>Либеральное движение</w:t>
            </w:r>
          </w:p>
        </w:tc>
        <w:tc>
          <w:tcPr>
            <w:tcW w:w="3402" w:type="dxa"/>
            <w:tcBorders>
              <w:top w:val="nil"/>
              <w:bottom w:val="nil"/>
            </w:tcBorders>
          </w:tcPr>
          <w:p w:rsidR="00000000" w:rsidRDefault="00000000">
            <w:pPr>
              <w:tabs>
                <w:tab w:val="left" w:pos="680"/>
              </w:tabs>
              <w:spacing w:before="80" w:after="80"/>
              <w:jc w:val="center"/>
              <w:rPr>
                <w:sz w:val="20"/>
                <w:lang w:val="es-ES"/>
              </w:rPr>
            </w:pPr>
            <w:r>
              <w:rPr>
                <w:sz w:val="20"/>
                <w:lang w:val="es-ES"/>
              </w:rPr>
              <w:t>2</w:t>
            </w:r>
          </w:p>
        </w:tc>
      </w:tr>
      <w:tr w:rsidR="00000000">
        <w:tblPrEx>
          <w:tblCellMar>
            <w:top w:w="0" w:type="dxa"/>
            <w:bottom w:w="0" w:type="dxa"/>
          </w:tblCellMar>
        </w:tblPrEx>
        <w:trPr>
          <w:jc w:val="center"/>
        </w:trPr>
        <w:tc>
          <w:tcPr>
            <w:tcW w:w="5387" w:type="dxa"/>
            <w:tcBorders>
              <w:top w:val="nil"/>
              <w:bottom w:val="nil"/>
            </w:tcBorders>
          </w:tcPr>
          <w:p w:rsidR="00000000" w:rsidRDefault="00000000">
            <w:pPr>
              <w:tabs>
                <w:tab w:val="left" w:pos="680"/>
              </w:tabs>
              <w:spacing w:before="80" w:after="80"/>
              <w:jc w:val="center"/>
              <w:rPr>
                <w:sz w:val="20"/>
              </w:rPr>
            </w:pPr>
            <w:r>
              <w:rPr>
                <w:sz w:val="20"/>
              </w:rPr>
              <w:t>Коалиция "Камбио</w:t>
            </w:r>
            <w:r>
              <w:rPr>
                <w:sz w:val="20"/>
                <w:lang w:val="es-ES"/>
              </w:rPr>
              <w:t>-2000</w:t>
            </w:r>
            <w:r>
              <w:rPr>
                <w:sz w:val="20"/>
              </w:rPr>
              <w:t>"</w:t>
            </w:r>
          </w:p>
        </w:tc>
        <w:tc>
          <w:tcPr>
            <w:tcW w:w="3402" w:type="dxa"/>
            <w:tcBorders>
              <w:top w:val="nil"/>
              <w:bottom w:val="nil"/>
            </w:tcBorders>
          </w:tcPr>
          <w:p w:rsidR="00000000" w:rsidRDefault="00000000">
            <w:pPr>
              <w:tabs>
                <w:tab w:val="left" w:pos="680"/>
              </w:tabs>
              <w:spacing w:before="80" w:after="80"/>
              <w:jc w:val="center"/>
              <w:rPr>
                <w:sz w:val="20"/>
                <w:lang w:val="es-ES"/>
              </w:rPr>
            </w:pPr>
            <w:r>
              <w:rPr>
                <w:sz w:val="20"/>
                <w:lang w:val="es-ES"/>
              </w:rPr>
              <w:t>4</w:t>
            </w:r>
          </w:p>
        </w:tc>
      </w:tr>
      <w:tr w:rsidR="00000000">
        <w:tblPrEx>
          <w:tblCellMar>
            <w:top w:w="0" w:type="dxa"/>
            <w:bottom w:w="0" w:type="dxa"/>
          </w:tblCellMar>
        </w:tblPrEx>
        <w:trPr>
          <w:jc w:val="center"/>
        </w:trPr>
        <w:tc>
          <w:tcPr>
            <w:tcW w:w="5387" w:type="dxa"/>
            <w:tcBorders>
              <w:top w:val="nil"/>
              <w:bottom w:val="nil"/>
            </w:tcBorders>
          </w:tcPr>
          <w:p w:rsidR="00000000" w:rsidRDefault="00000000">
            <w:pPr>
              <w:tabs>
                <w:tab w:val="left" w:pos="680"/>
              </w:tabs>
              <w:spacing w:before="80" w:after="80"/>
              <w:jc w:val="center"/>
              <w:rPr>
                <w:sz w:val="20"/>
              </w:rPr>
            </w:pPr>
            <w:r>
              <w:rPr>
                <w:sz w:val="20"/>
              </w:rPr>
              <w:t>Обновление Коста-Рики</w:t>
            </w:r>
          </w:p>
        </w:tc>
        <w:tc>
          <w:tcPr>
            <w:tcW w:w="3402" w:type="dxa"/>
            <w:tcBorders>
              <w:top w:val="nil"/>
              <w:bottom w:val="nil"/>
            </w:tcBorders>
          </w:tcPr>
          <w:p w:rsidR="00000000" w:rsidRDefault="00000000">
            <w:pPr>
              <w:tabs>
                <w:tab w:val="left" w:pos="680"/>
              </w:tabs>
              <w:spacing w:before="80" w:after="80"/>
              <w:jc w:val="center"/>
              <w:rPr>
                <w:sz w:val="20"/>
              </w:rPr>
            </w:pPr>
            <w:r>
              <w:rPr>
                <w:sz w:val="20"/>
              </w:rPr>
              <w:t>2</w:t>
            </w:r>
          </w:p>
        </w:tc>
      </w:tr>
      <w:tr w:rsidR="00000000">
        <w:tblPrEx>
          <w:tblCellMar>
            <w:top w:w="0" w:type="dxa"/>
            <w:bottom w:w="0" w:type="dxa"/>
          </w:tblCellMar>
        </w:tblPrEx>
        <w:trPr>
          <w:jc w:val="center"/>
        </w:trPr>
        <w:tc>
          <w:tcPr>
            <w:tcW w:w="5387" w:type="dxa"/>
            <w:tcBorders>
              <w:top w:val="nil"/>
              <w:bottom w:val="nil"/>
            </w:tcBorders>
          </w:tcPr>
          <w:p w:rsidR="00000000" w:rsidRDefault="00000000">
            <w:pPr>
              <w:tabs>
                <w:tab w:val="left" w:pos="680"/>
              </w:tabs>
              <w:spacing w:before="80" w:after="80"/>
              <w:jc w:val="center"/>
              <w:rPr>
                <w:sz w:val="20"/>
              </w:rPr>
            </w:pPr>
            <w:r>
              <w:rPr>
                <w:sz w:val="20"/>
              </w:rPr>
              <w:t>Национальное спасение</w:t>
            </w:r>
          </w:p>
        </w:tc>
        <w:tc>
          <w:tcPr>
            <w:tcW w:w="3402" w:type="dxa"/>
            <w:tcBorders>
              <w:top w:val="nil"/>
              <w:bottom w:val="nil"/>
            </w:tcBorders>
          </w:tcPr>
          <w:p w:rsidR="00000000" w:rsidRDefault="00000000">
            <w:pPr>
              <w:tabs>
                <w:tab w:val="left" w:pos="680"/>
              </w:tabs>
              <w:spacing w:before="80" w:after="80"/>
              <w:jc w:val="center"/>
              <w:rPr>
                <w:sz w:val="20"/>
                <w:lang w:val="es-ES"/>
              </w:rPr>
            </w:pPr>
            <w:r>
              <w:rPr>
                <w:sz w:val="20"/>
                <w:lang w:val="es-ES"/>
              </w:rPr>
              <w:t>1</w:t>
            </w:r>
          </w:p>
        </w:tc>
      </w:tr>
      <w:tr w:rsidR="00000000">
        <w:tblPrEx>
          <w:tblCellMar>
            <w:top w:w="0" w:type="dxa"/>
            <w:bottom w:w="0" w:type="dxa"/>
          </w:tblCellMar>
        </w:tblPrEx>
        <w:trPr>
          <w:jc w:val="center"/>
        </w:trPr>
        <w:tc>
          <w:tcPr>
            <w:tcW w:w="5387" w:type="dxa"/>
            <w:tcBorders>
              <w:top w:val="nil"/>
              <w:bottom w:val="nil"/>
            </w:tcBorders>
          </w:tcPr>
          <w:p w:rsidR="00000000" w:rsidRDefault="00000000">
            <w:pPr>
              <w:tabs>
                <w:tab w:val="left" w:pos="680"/>
              </w:tabs>
              <w:spacing w:before="80" w:after="80"/>
              <w:jc w:val="center"/>
              <w:rPr>
                <w:sz w:val="20"/>
              </w:rPr>
            </w:pPr>
            <w:r>
              <w:rPr>
                <w:sz w:val="20"/>
              </w:rPr>
              <w:t>Социал-христианское единство</w:t>
            </w:r>
          </w:p>
        </w:tc>
        <w:tc>
          <w:tcPr>
            <w:tcW w:w="3402" w:type="dxa"/>
            <w:tcBorders>
              <w:top w:val="nil"/>
              <w:bottom w:val="nil"/>
            </w:tcBorders>
          </w:tcPr>
          <w:p w:rsidR="00000000" w:rsidRDefault="00000000">
            <w:pPr>
              <w:tabs>
                <w:tab w:val="left" w:pos="680"/>
              </w:tabs>
              <w:spacing w:before="80" w:after="80"/>
              <w:jc w:val="center"/>
              <w:rPr>
                <w:sz w:val="20"/>
                <w:lang w:val="es-ES"/>
              </w:rPr>
            </w:pPr>
            <w:r>
              <w:rPr>
                <w:sz w:val="20"/>
                <w:lang w:val="es-ES"/>
              </w:rPr>
              <w:t>2</w:t>
            </w:r>
          </w:p>
        </w:tc>
      </w:tr>
      <w:tr w:rsidR="00000000">
        <w:tblPrEx>
          <w:tblCellMar>
            <w:top w:w="0" w:type="dxa"/>
            <w:bottom w:w="0" w:type="dxa"/>
          </w:tblCellMar>
        </w:tblPrEx>
        <w:trPr>
          <w:jc w:val="center"/>
        </w:trPr>
        <w:tc>
          <w:tcPr>
            <w:tcW w:w="5387" w:type="dxa"/>
            <w:tcBorders>
              <w:top w:val="nil"/>
              <w:bottom w:val="nil"/>
            </w:tcBorders>
          </w:tcPr>
          <w:p w:rsidR="00000000" w:rsidRDefault="00000000">
            <w:pPr>
              <w:tabs>
                <w:tab w:val="left" w:pos="680"/>
              </w:tabs>
              <w:spacing w:before="80" w:after="80"/>
              <w:jc w:val="center"/>
              <w:rPr>
                <w:sz w:val="20"/>
              </w:rPr>
            </w:pPr>
            <w:r>
              <w:rPr>
                <w:sz w:val="20"/>
              </w:rPr>
              <w:t>Аграрное действие (провинциальный уровень)</w:t>
            </w:r>
          </w:p>
        </w:tc>
        <w:tc>
          <w:tcPr>
            <w:tcW w:w="3402" w:type="dxa"/>
            <w:tcBorders>
              <w:top w:val="nil"/>
              <w:bottom w:val="nil"/>
            </w:tcBorders>
          </w:tcPr>
          <w:p w:rsidR="00000000" w:rsidRDefault="00000000">
            <w:pPr>
              <w:tabs>
                <w:tab w:val="left" w:pos="680"/>
              </w:tabs>
              <w:spacing w:before="80" w:after="80"/>
              <w:jc w:val="center"/>
              <w:rPr>
                <w:sz w:val="20"/>
                <w:lang w:val="en-US"/>
              </w:rPr>
            </w:pPr>
            <w:r>
              <w:rPr>
                <w:sz w:val="20"/>
                <w:lang w:val="en-US"/>
              </w:rPr>
              <w:t>7</w:t>
            </w:r>
          </w:p>
        </w:tc>
      </w:tr>
      <w:tr w:rsidR="00000000">
        <w:tblPrEx>
          <w:tblCellMar>
            <w:top w:w="0" w:type="dxa"/>
            <w:bottom w:w="0" w:type="dxa"/>
          </w:tblCellMar>
        </w:tblPrEx>
        <w:trPr>
          <w:jc w:val="center"/>
        </w:trPr>
        <w:tc>
          <w:tcPr>
            <w:tcW w:w="5387" w:type="dxa"/>
            <w:tcBorders>
              <w:top w:val="nil"/>
            </w:tcBorders>
          </w:tcPr>
          <w:p w:rsidR="00000000" w:rsidRDefault="00000000">
            <w:pPr>
              <w:tabs>
                <w:tab w:val="left" w:pos="680"/>
              </w:tabs>
              <w:spacing w:before="80" w:after="80"/>
              <w:jc w:val="center"/>
              <w:rPr>
                <w:b/>
                <w:sz w:val="20"/>
                <w:lang w:val="en-US"/>
              </w:rPr>
            </w:pPr>
            <w:r>
              <w:rPr>
                <w:b/>
                <w:sz w:val="20"/>
              </w:rPr>
              <w:t>Всего:</w:t>
            </w:r>
          </w:p>
        </w:tc>
        <w:tc>
          <w:tcPr>
            <w:tcW w:w="3402" w:type="dxa"/>
            <w:tcBorders>
              <w:top w:val="nil"/>
            </w:tcBorders>
          </w:tcPr>
          <w:p w:rsidR="00000000" w:rsidRDefault="00000000">
            <w:pPr>
              <w:tabs>
                <w:tab w:val="left" w:pos="680"/>
              </w:tabs>
              <w:spacing w:before="80" w:after="80"/>
              <w:jc w:val="center"/>
              <w:rPr>
                <w:b/>
                <w:sz w:val="20"/>
                <w:lang w:val="en-US"/>
              </w:rPr>
            </w:pPr>
            <w:r>
              <w:rPr>
                <w:b/>
                <w:sz w:val="20"/>
                <w:lang w:val="en-US"/>
              </w:rPr>
              <w:t>73</w:t>
            </w:r>
          </w:p>
        </w:tc>
      </w:tr>
    </w:tbl>
    <w:p w:rsidR="00000000" w:rsidRDefault="00000000">
      <w:pPr>
        <w:tabs>
          <w:tab w:val="left" w:pos="680"/>
        </w:tabs>
        <w:spacing w:before="240" w:line="260" w:lineRule="exact"/>
        <w:jc w:val="both"/>
        <w:rPr>
          <w:sz w:val="20"/>
        </w:rPr>
      </w:pPr>
      <w:r>
        <w:rPr>
          <w:b/>
          <w:sz w:val="20"/>
        </w:rPr>
        <w:t>Источник</w:t>
      </w:r>
      <w:r>
        <w:rPr>
          <w:b/>
          <w:sz w:val="20"/>
          <w:lang w:val="en-US"/>
        </w:rPr>
        <w:t>:</w:t>
      </w:r>
      <w:r>
        <w:rPr>
          <w:sz w:val="20"/>
          <w:lang w:val="en-US"/>
        </w:rPr>
        <w:t xml:space="preserve"> </w:t>
      </w:r>
      <w:r>
        <w:rPr>
          <w:sz w:val="20"/>
          <w:lang w:val="es-ES"/>
        </w:rPr>
        <w:t>Area</w:t>
      </w:r>
      <w:r>
        <w:rPr>
          <w:sz w:val="20"/>
          <w:lang w:val="en-US"/>
        </w:rPr>
        <w:t xml:space="preserve"> </w:t>
      </w:r>
      <w:r>
        <w:rPr>
          <w:sz w:val="20"/>
          <w:lang w:val="es-ES"/>
        </w:rPr>
        <w:t>de</w:t>
      </w:r>
      <w:r>
        <w:rPr>
          <w:sz w:val="20"/>
          <w:lang w:val="en-US"/>
        </w:rPr>
        <w:t xml:space="preserve"> </w:t>
      </w:r>
      <w:r>
        <w:rPr>
          <w:sz w:val="20"/>
          <w:lang w:val="es-ES"/>
        </w:rPr>
        <w:t>Ciudadania</w:t>
      </w:r>
      <w:r>
        <w:rPr>
          <w:sz w:val="20"/>
          <w:lang w:val="en-US"/>
        </w:rPr>
        <w:t xml:space="preserve"> </w:t>
      </w:r>
      <w:r>
        <w:rPr>
          <w:sz w:val="20"/>
          <w:lang w:val="es-ES"/>
        </w:rPr>
        <w:t>Activa</w:t>
      </w:r>
      <w:r>
        <w:rPr>
          <w:sz w:val="20"/>
          <w:lang w:val="en-US"/>
        </w:rPr>
        <w:t xml:space="preserve">, </w:t>
      </w:r>
      <w:r>
        <w:rPr>
          <w:sz w:val="20"/>
          <w:lang w:val="es-ES"/>
        </w:rPr>
        <w:t>Liderazgo</w:t>
      </w:r>
      <w:r>
        <w:rPr>
          <w:sz w:val="20"/>
          <w:lang w:val="en-US"/>
        </w:rPr>
        <w:t xml:space="preserve"> </w:t>
      </w:r>
      <w:r>
        <w:rPr>
          <w:sz w:val="20"/>
          <w:lang w:val="es-ES"/>
        </w:rPr>
        <w:t>y</w:t>
      </w:r>
      <w:r>
        <w:rPr>
          <w:sz w:val="20"/>
          <w:lang w:val="en-US"/>
        </w:rPr>
        <w:t xml:space="preserve"> </w:t>
      </w:r>
      <w:r>
        <w:rPr>
          <w:sz w:val="20"/>
          <w:lang w:val="es-ES"/>
        </w:rPr>
        <w:t>Gestion</w:t>
      </w:r>
      <w:r>
        <w:rPr>
          <w:sz w:val="20"/>
          <w:lang w:val="en-US"/>
        </w:rPr>
        <w:t xml:space="preserve"> </w:t>
      </w:r>
      <w:r>
        <w:rPr>
          <w:sz w:val="20"/>
          <w:lang w:val="es-ES"/>
        </w:rPr>
        <w:t>Local</w:t>
      </w:r>
      <w:r>
        <w:rPr>
          <w:sz w:val="20"/>
          <w:lang w:val="en-US"/>
        </w:rPr>
        <w:t xml:space="preserve"> – INAMU. </w:t>
      </w:r>
      <w:r>
        <w:rPr>
          <w:sz w:val="20"/>
        </w:rPr>
        <w:t xml:space="preserve">Составлено на основании данных, предоставленных Генеральной дирекцией Гражданского регистра, 2002 год. </w:t>
      </w:r>
    </w:p>
    <w:p w:rsidR="00000000" w:rsidRDefault="00000000">
      <w:pPr>
        <w:tabs>
          <w:tab w:val="left" w:pos="680"/>
        </w:tabs>
        <w:spacing w:before="240" w:line="260" w:lineRule="exact"/>
        <w:jc w:val="both"/>
        <w:rPr>
          <w:sz w:val="22"/>
        </w:rPr>
      </w:pPr>
      <w:r>
        <w:rPr>
          <w:sz w:val="22"/>
        </w:rPr>
        <w:t>262.</w:t>
      </w:r>
      <w:r>
        <w:rPr>
          <w:sz w:val="22"/>
        </w:rPr>
        <w:tab/>
        <w:t>В соответствии со статьями 4 и 5 Закона о содействии социальному равенству женщин, а также вышеуказанным постановлением политические партии должны включить в свои уставы положения о неукоснительном выполнении решения о предоставлении 40</w:t>
      </w:r>
      <w:r>
        <w:rPr>
          <w:sz w:val="22"/>
        </w:rPr>
        <w:noBreakHyphen/>
        <w:t>процентной квоты женщинам в руководящих партийных органах, а также способствовать их эффективному участию в политической жизни:</w:t>
      </w:r>
    </w:p>
    <w:p w:rsidR="00000000" w:rsidRDefault="00000000">
      <w:pPr>
        <w:tabs>
          <w:tab w:val="left" w:pos="680"/>
          <w:tab w:val="left" w:pos="1247"/>
        </w:tabs>
        <w:spacing w:before="240" w:line="260" w:lineRule="exact"/>
        <w:ind w:left="1247" w:hanging="1247"/>
        <w:jc w:val="both"/>
        <w:rPr>
          <w:i/>
          <w:sz w:val="22"/>
        </w:rPr>
      </w:pPr>
      <w:r>
        <w:rPr>
          <w:sz w:val="22"/>
        </w:rPr>
        <w:t>"</w:t>
      </w:r>
      <w:r>
        <w:rPr>
          <w:i/>
          <w:sz w:val="22"/>
        </w:rPr>
        <w:t>Статья 4.</w:t>
      </w:r>
      <w:r>
        <w:rPr>
          <w:i/>
          <w:sz w:val="22"/>
        </w:rPr>
        <w:tab/>
        <w:t>Генеральная коллегия адвокатов по защите прав граждан принимает необходимые меры, для того чтобы гарантировать равенство возможностей для женщин, с целью исключить дискриминацию женщин в доступе к руководящим постам в центральных и местных органах власти.</w:t>
      </w:r>
    </w:p>
    <w:p w:rsidR="00000000" w:rsidRDefault="00000000">
      <w:pPr>
        <w:tabs>
          <w:tab w:val="left" w:pos="680"/>
          <w:tab w:val="left" w:pos="1247"/>
        </w:tabs>
        <w:spacing w:before="240" w:line="260" w:lineRule="exact"/>
        <w:ind w:left="1247" w:hanging="1247"/>
        <w:jc w:val="both"/>
        <w:rPr>
          <w:i/>
          <w:sz w:val="22"/>
        </w:rPr>
      </w:pPr>
      <w:r>
        <w:rPr>
          <w:i/>
          <w:sz w:val="22"/>
        </w:rPr>
        <w:t>Статья 5.</w:t>
      </w:r>
      <w:r>
        <w:rPr>
          <w:i/>
          <w:sz w:val="22"/>
        </w:rPr>
        <w:tab/>
        <w:t>Политические партии должны разработать и внести в свои уставы эффективные механизмы, которые способствовали бы активному участию женщин во внутрипартийных выборах, гарантировали бы увеличение числа женщин в руководящих партийных органах, а также включение женщин-кандидатов в избирательные бюллетени</w:t>
      </w:r>
      <w:r>
        <w:rPr>
          <w:sz w:val="22"/>
        </w:rPr>
        <w:t>".</w:t>
      </w:r>
    </w:p>
    <w:p w:rsidR="00000000" w:rsidRDefault="00000000">
      <w:pPr>
        <w:pStyle w:val="BodyTextIndent2"/>
        <w:tabs>
          <w:tab w:val="left" w:pos="680"/>
        </w:tabs>
        <w:spacing w:before="240" w:line="260" w:lineRule="exact"/>
        <w:ind w:firstLine="0"/>
        <w:jc w:val="both"/>
        <w:rPr>
          <w:sz w:val="22"/>
        </w:rPr>
      </w:pPr>
      <w:r>
        <w:rPr>
          <w:sz w:val="22"/>
        </w:rPr>
        <w:t>263.</w:t>
      </w:r>
      <w:r>
        <w:rPr>
          <w:sz w:val="22"/>
        </w:rPr>
        <w:tab/>
        <w:t>Уставы политических партий должны содержать эффективные механизмы, которые гарантировали бы назначение значительного числа женщин на руководящие посты разного уровня как в общегосударственных органах, так и в органах местной власти и самоуправления ".</w:t>
      </w:r>
    </w:p>
    <w:p w:rsidR="00000000" w:rsidRDefault="00000000">
      <w:pPr>
        <w:pStyle w:val="BodyTextIndent2"/>
        <w:tabs>
          <w:tab w:val="left" w:pos="680"/>
        </w:tabs>
        <w:spacing w:before="240" w:line="260" w:lineRule="exact"/>
        <w:ind w:firstLine="0"/>
        <w:jc w:val="both"/>
        <w:rPr>
          <w:sz w:val="22"/>
        </w:rPr>
      </w:pPr>
      <w:r>
        <w:rPr>
          <w:sz w:val="22"/>
        </w:rPr>
        <w:t>264.</w:t>
      </w:r>
      <w:r>
        <w:rPr>
          <w:sz w:val="22"/>
        </w:rPr>
        <w:tab/>
        <w:t>Опыт показывает, что необходимо выработать унифицированный механизм для всех политических партий, который, с одной стороны, гарантировал бы выполнение решения о предоставлении квоты кандидатам-женщинам, а с другой стороны, не вызывал бы противодействия со стороны кандидатов-мужчин, как это было в различных политических партиях. В этом отношении представляется оптимальным определение верхних строчек бюллетеней по жребию, если бюллетени будут неблокированными, как сейчас, а не так, как предлагает Высший избирательный трибунал в проекте реформы Избирательного кодекса, – частично разблокированными.</w:t>
      </w:r>
    </w:p>
    <w:p w:rsidR="00000000" w:rsidRDefault="00000000">
      <w:pPr>
        <w:pStyle w:val="BodyTextIndent2"/>
        <w:tabs>
          <w:tab w:val="left" w:pos="680"/>
        </w:tabs>
        <w:spacing w:before="240" w:line="260" w:lineRule="exact"/>
        <w:ind w:firstLine="0"/>
        <w:jc w:val="both"/>
        <w:rPr>
          <w:sz w:val="22"/>
        </w:rPr>
      </w:pPr>
      <w:r>
        <w:rPr>
          <w:sz w:val="22"/>
        </w:rPr>
        <w:t>265.</w:t>
      </w:r>
      <w:r>
        <w:rPr>
          <w:sz w:val="22"/>
        </w:rPr>
        <w:tab/>
        <w:t xml:space="preserve">Конституционная палата Верховного суда, основываясь на положениях статьи 7 Конвенции, в своей резолюции № 0716-98 от 6 февраля 1998 года указывает: "…Для того чтобы не допускать дискриминации женщин, законодательство Республики предоставляет им специальную защиту и обязывает администрации назначать разумное число женщин на руководящие должности, поскольку иначе, несмотря на способности и профессиональную подготовку, доступ женщинам к таким должностям будет в значительной степени затруднен". </w:t>
      </w:r>
    </w:p>
    <w:p w:rsidR="00000000" w:rsidRDefault="00000000">
      <w:pPr>
        <w:pStyle w:val="BodyTextIndent2"/>
        <w:tabs>
          <w:tab w:val="left" w:pos="680"/>
        </w:tabs>
        <w:spacing w:before="240" w:line="260" w:lineRule="exact"/>
        <w:ind w:firstLine="0"/>
        <w:jc w:val="both"/>
        <w:rPr>
          <w:sz w:val="22"/>
        </w:rPr>
      </w:pPr>
      <w:r>
        <w:rPr>
          <w:sz w:val="22"/>
        </w:rPr>
        <w:t>266.</w:t>
      </w:r>
      <w:r>
        <w:rPr>
          <w:sz w:val="22"/>
        </w:rPr>
        <w:tab/>
        <w:t>Постановления № 1863, 2837 и 804-Е-2000 Верховного избирательного трибунала, которые явились результатом консультаций с министром по делам женщин и председателем ИНАМУ, обязывают политические партии разработать и использовать внутрипартийные механизмы, которые позволили бы воплотить в жизнь решение о минимальных квотах участия женщин в политической жизни, их наличие в "проходной части" списков кандидатов в депутаты Законодательного собрания и муниципальных органов. Несмотря на многочисленные препятствия, которые воздвигаются на пути кандидатов-женщин абсолютным большинством политических партий, благодаря жесткому требованию о соблюдении минимальных квот, на последних выборах в феврале 2002 года удалось добиться того, что 36 процентов из 57 мест в Законодательном собрании заняли депутаты-женщины. Опыт показал, что необходимо и полезно заменить исторически сложившийся подход составления предвыборных списков подходом, основанным на чередовании кандидатов – мужчин и женщин в строках избирательных списков.</w:t>
      </w:r>
    </w:p>
    <w:p w:rsidR="00000000" w:rsidRDefault="00000000">
      <w:pPr>
        <w:pStyle w:val="BodyTextIndent2"/>
        <w:tabs>
          <w:tab w:val="left" w:pos="680"/>
        </w:tabs>
        <w:spacing w:before="240" w:line="260" w:lineRule="exact"/>
        <w:ind w:firstLine="0"/>
        <w:jc w:val="both"/>
        <w:rPr>
          <w:sz w:val="22"/>
        </w:rPr>
      </w:pPr>
      <w:r>
        <w:rPr>
          <w:sz w:val="22"/>
        </w:rPr>
        <w:t>267.</w:t>
      </w:r>
      <w:r>
        <w:rPr>
          <w:sz w:val="22"/>
        </w:rPr>
        <w:tab/>
        <w:t>Наконец, следует обратить внимание на результаты Национальной переписи населения 2000 года, которые могут изменить географическую карту выборов, прежде всего в том, что касается распределения населения по провинциям.</w:t>
      </w:r>
    </w:p>
    <w:p w:rsidR="00000000" w:rsidRDefault="00000000">
      <w:pPr>
        <w:pStyle w:val="BodyTextIndent2"/>
        <w:tabs>
          <w:tab w:val="left" w:pos="680"/>
        </w:tabs>
        <w:spacing w:before="240" w:line="260" w:lineRule="exact"/>
        <w:ind w:firstLine="0"/>
        <w:jc w:val="both"/>
        <w:rPr>
          <w:sz w:val="22"/>
        </w:rPr>
      </w:pPr>
      <w:r>
        <w:rPr>
          <w:sz w:val="22"/>
        </w:rPr>
        <w:t>268.</w:t>
      </w:r>
      <w:r>
        <w:rPr>
          <w:sz w:val="22"/>
        </w:rPr>
        <w:tab/>
        <w:t xml:space="preserve">В соответствии со статьей 5 Закона № 7142 уставы политических партий должны содержать эффективные механизмы, которые гарантировали бы назначение значительного числа женщин на руководящие посты разного уровня как в общегосударственных органах, так и в органах местной власти и самоуправления и в децентрализованных учреждениях. Однако в действительности такие механизмы еще не разработаны или носят общий характер, в результате чего решение о предоставлении минимальных квот женщинам до сих пор не выполняется. Так, например, женщины возглавляют лишь 18 процентов негосударственных учреждений (ИНАМУ, 2000 год). </w:t>
      </w:r>
    </w:p>
    <w:p w:rsidR="00000000" w:rsidRDefault="00000000">
      <w:pPr>
        <w:pStyle w:val="BodyTextIndent2"/>
        <w:tabs>
          <w:tab w:val="left" w:pos="680"/>
        </w:tabs>
        <w:spacing w:before="240" w:line="260" w:lineRule="exact"/>
        <w:ind w:firstLine="0"/>
        <w:jc w:val="both"/>
        <w:rPr>
          <w:sz w:val="22"/>
        </w:rPr>
      </w:pPr>
      <w:r>
        <w:rPr>
          <w:sz w:val="22"/>
        </w:rPr>
        <w:t>269.</w:t>
      </w:r>
      <w:r>
        <w:rPr>
          <w:sz w:val="22"/>
        </w:rPr>
        <w:tab/>
        <w:t>Непредставленность женщин на должностях, требующих принятия политических решений, является нарушением их права на участие в политической жизни. Эта проблема была изучена в исследовании, проведенном Коллегией адвокатов по защите прав граждан (Доклад о работе в 2000–2001 годах). В 2001 году организация гражданского общества "Политическая повестка дня для женщин" представила запрос, в котором отмечалось, что назначение на руководящие должности в негосударственных учреждениях должно производиться в соответствии с внутренним и международным законодательством, а также резолюцией Конституционной палаты № 716</w:t>
      </w:r>
      <w:r>
        <w:rPr>
          <w:sz w:val="22"/>
        </w:rPr>
        <w:noBreakHyphen/>
        <w:t>98, принятой 6 февраля 1998 года, которая устанавливает обязательное наличие женщин на руководящих должностях. Следующая таблица иллюстрирует представленность мужчин и женщин в руководящих органах некоторых учреждений и организаций на основе исследования Коллегии адвокатов по защите прав граждан за 2000 год и данных ИНАМУ, относящихся к 2002–2006 годам.</w:t>
      </w:r>
    </w:p>
    <w:p w:rsidR="00000000" w:rsidRDefault="00000000">
      <w:pPr>
        <w:pStyle w:val="BodyTextIndent2"/>
        <w:tabs>
          <w:tab w:val="left" w:pos="680"/>
        </w:tabs>
        <w:spacing w:before="240" w:line="260" w:lineRule="exact"/>
        <w:ind w:firstLine="0"/>
        <w:jc w:val="both"/>
        <w:rPr>
          <w:sz w:val="22"/>
        </w:rPr>
      </w:pPr>
    </w:p>
    <w:p w:rsidR="00000000" w:rsidRDefault="00000000">
      <w:pPr>
        <w:pStyle w:val="BodyTextIndent2"/>
        <w:tabs>
          <w:tab w:val="left" w:pos="680"/>
        </w:tabs>
        <w:spacing w:line="260" w:lineRule="exact"/>
        <w:ind w:firstLine="0"/>
        <w:jc w:val="center"/>
        <w:rPr>
          <w:b/>
          <w:sz w:val="22"/>
        </w:rPr>
      </w:pPr>
      <w:r>
        <w:rPr>
          <w:b/>
          <w:sz w:val="22"/>
        </w:rPr>
        <w:t>Таблица 6</w:t>
      </w:r>
    </w:p>
    <w:p w:rsidR="00000000" w:rsidRDefault="00000000">
      <w:pPr>
        <w:pStyle w:val="BodyTextIndent2"/>
        <w:tabs>
          <w:tab w:val="left" w:pos="680"/>
        </w:tabs>
        <w:spacing w:before="120" w:after="120" w:line="260" w:lineRule="exact"/>
        <w:ind w:firstLine="0"/>
        <w:jc w:val="center"/>
        <w:rPr>
          <w:sz w:val="22"/>
        </w:rPr>
      </w:pPr>
      <w:r>
        <w:rPr>
          <w:b/>
          <w:sz w:val="22"/>
        </w:rPr>
        <w:t xml:space="preserve">Участие мужчин и женщин в руководящих советах некоторых государственных, </w:t>
      </w:r>
      <w:r>
        <w:rPr>
          <w:b/>
          <w:sz w:val="22"/>
        </w:rPr>
        <w:br/>
        <w:t xml:space="preserve">полугосударственных и децентрализованых учреждениях </w:t>
      </w:r>
      <w:r>
        <w:rPr>
          <w:b/>
          <w:sz w:val="22"/>
        </w:rPr>
        <w:br/>
        <w:t xml:space="preserve">и в администрации президента Республики </w:t>
      </w:r>
      <w:r>
        <w:rPr>
          <w:sz w:val="22"/>
        </w:rPr>
        <w:t>(в процентах)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969"/>
        <w:gridCol w:w="1247"/>
        <w:gridCol w:w="1191"/>
        <w:gridCol w:w="1247"/>
        <w:gridCol w:w="1191"/>
      </w:tblGrid>
      <w:tr w:rsidR="00000000">
        <w:tblPrEx>
          <w:tblCellMar>
            <w:top w:w="0" w:type="dxa"/>
            <w:bottom w:w="0" w:type="dxa"/>
          </w:tblCellMar>
        </w:tblPrEx>
        <w:trPr>
          <w:cantSplit/>
          <w:tblHeader/>
          <w:jc w:val="center"/>
        </w:trPr>
        <w:tc>
          <w:tcPr>
            <w:tcW w:w="3969" w:type="dxa"/>
            <w:vMerge w:val="restart"/>
            <w:vAlign w:val="center"/>
          </w:tcPr>
          <w:p w:rsidR="00000000" w:rsidRDefault="00000000">
            <w:pPr>
              <w:pStyle w:val="BodyTextIndent2"/>
              <w:tabs>
                <w:tab w:val="left" w:pos="680"/>
              </w:tabs>
              <w:spacing w:before="60" w:after="40"/>
              <w:rPr>
                <w:b/>
                <w:sz w:val="20"/>
              </w:rPr>
            </w:pPr>
            <w:r>
              <w:rPr>
                <w:b/>
                <w:sz w:val="20"/>
              </w:rPr>
              <w:t>Учреждение</w:t>
            </w:r>
          </w:p>
        </w:tc>
        <w:tc>
          <w:tcPr>
            <w:tcW w:w="2438" w:type="dxa"/>
            <w:gridSpan w:val="2"/>
          </w:tcPr>
          <w:p w:rsidR="00000000" w:rsidRDefault="00000000">
            <w:pPr>
              <w:pStyle w:val="BodyTextIndent2"/>
              <w:tabs>
                <w:tab w:val="left" w:pos="680"/>
              </w:tabs>
              <w:spacing w:before="60" w:after="40"/>
              <w:ind w:firstLine="0"/>
              <w:jc w:val="center"/>
              <w:rPr>
                <w:b/>
                <w:sz w:val="20"/>
              </w:rPr>
            </w:pPr>
            <w:r>
              <w:rPr>
                <w:b/>
                <w:sz w:val="20"/>
              </w:rPr>
              <w:t>Участие в 2000 г.</w:t>
            </w:r>
            <w:r>
              <w:rPr>
                <w:rStyle w:val="FootnoteReference"/>
                <w:sz w:val="20"/>
              </w:rPr>
              <w:footnoteReference w:id="17"/>
            </w:r>
          </w:p>
        </w:tc>
        <w:tc>
          <w:tcPr>
            <w:tcW w:w="2438" w:type="dxa"/>
            <w:gridSpan w:val="2"/>
          </w:tcPr>
          <w:p w:rsidR="00000000" w:rsidRDefault="00000000">
            <w:pPr>
              <w:pStyle w:val="BodyTextIndent2"/>
              <w:tabs>
                <w:tab w:val="left" w:pos="680"/>
              </w:tabs>
              <w:spacing w:before="60" w:after="40"/>
              <w:ind w:firstLine="0"/>
              <w:jc w:val="center"/>
              <w:rPr>
                <w:b/>
                <w:sz w:val="20"/>
              </w:rPr>
            </w:pPr>
            <w:r>
              <w:rPr>
                <w:b/>
                <w:sz w:val="20"/>
              </w:rPr>
              <w:t>Участие в 2002–2006 гг.</w:t>
            </w:r>
            <w:r>
              <w:rPr>
                <w:rStyle w:val="FootnoteReference"/>
                <w:sz w:val="20"/>
              </w:rPr>
              <w:footnoteReference w:id="18"/>
            </w:r>
          </w:p>
        </w:tc>
      </w:tr>
      <w:tr w:rsidR="00000000">
        <w:tblPrEx>
          <w:tblCellMar>
            <w:top w:w="0" w:type="dxa"/>
            <w:bottom w:w="0" w:type="dxa"/>
          </w:tblCellMar>
        </w:tblPrEx>
        <w:trPr>
          <w:cantSplit/>
          <w:tblHeader/>
          <w:jc w:val="center"/>
        </w:trPr>
        <w:tc>
          <w:tcPr>
            <w:tcW w:w="3969" w:type="dxa"/>
            <w:vMerge/>
            <w:tcBorders>
              <w:bottom w:val="single" w:sz="4" w:space="0" w:color="auto"/>
            </w:tcBorders>
          </w:tcPr>
          <w:p w:rsidR="00000000" w:rsidRDefault="00000000">
            <w:pPr>
              <w:pStyle w:val="BodyTextIndent2"/>
              <w:tabs>
                <w:tab w:val="left" w:pos="680"/>
              </w:tabs>
              <w:spacing w:before="60" w:after="40"/>
              <w:ind w:firstLine="0"/>
              <w:rPr>
                <w:b/>
                <w:sz w:val="20"/>
              </w:rPr>
            </w:pPr>
          </w:p>
        </w:tc>
        <w:tc>
          <w:tcPr>
            <w:tcW w:w="1247" w:type="dxa"/>
            <w:tcBorders>
              <w:bottom w:val="single" w:sz="4" w:space="0" w:color="auto"/>
            </w:tcBorders>
          </w:tcPr>
          <w:p w:rsidR="00000000" w:rsidRDefault="00000000">
            <w:pPr>
              <w:pStyle w:val="BodyTextIndent2"/>
              <w:tabs>
                <w:tab w:val="left" w:pos="680"/>
              </w:tabs>
              <w:spacing w:before="60" w:after="40"/>
              <w:ind w:firstLine="0"/>
              <w:jc w:val="center"/>
              <w:rPr>
                <w:b/>
                <w:sz w:val="20"/>
              </w:rPr>
            </w:pPr>
            <w:r>
              <w:rPr>
                <w:b/>
                <w:sz w:val="20"/>
              </w:rPr>
              <w:t>Мужчины</w:t>
            </w:r>
          </w:p>
        </w:tc>
        <w:tc>
          <w:tcPr>
            <w:tcW w:w="1191" w:type="dxa"/>
            <w:tcBorders>
              <w:bottom w:val="single" w:sz="4" w:space="0" w:color="auto"/>
            </w:tcBorders>
          </w:tcPr>
          <w:p w:rsidR="00000000" w:rsidRDefault="00000000">
            <w:pPr>
              <w:pStyle w:val="BodyTextIndent2"/>
              <w:tabs>
                <w:tab w:val="left" w:pos="680"/>
              </w:tabs>
              <w:spacing w:before="60" w:after="40"/>
              <w:ind w:firstLine="0"/>
              <w:jc w:val="center"/>
              <w:rPr>
                <w:b/>
                <w:sz w:val="20"/>
              </w:rPr>
            </w:pPr>
            <w:r>
              <w:rPr>
                <w:b/>
                <w:sz w:val="20"/>
              </w:rPr>
              <w:t>Женщины</w:t>
            </w:r>
          </w:p>
        </w:tc>
        <w:tc>
          <w:tcPr>
            <w:tcW w:w="1247" w:type="dxa"/>
            <w:tcBorders>
              <w:bottom w:val="single" w:sz="4" w:space="0" w:color="auto"/>
            </w:tcBorders>
          </w:tcPr>
          <w:p w:rsidR="00000000" w:rsidRDefault="00000000">
            <w:pPr>
              <w:pStyle w:val="BodyTextIndent2"/>
              <w:tabs>
                <w:tab w:val="left" w:pos="680"/>
              </w:tabs>
              <w:spacing w:before="60" w:after="40"/>
              <w:ind w:firstLine="0"/>
              <w:jc w:val="center"/>
              <w:rPr>
                <w:b/>
                <w:sz w:val="20"/>
              </w:rPr>
            </w:pPr>
            <w:r>
              <w:rPr>
                <w:b/>
                <w:sz w:val="20"/>
              </w:rPr>
              <w:t>Мужчины</w:t>
            </w:r>
          </w:p>
        </w:tc>
        <w:tc>
          <w:tcPr>
            <w:tcW w:w="1191" w:type="dxa"/>
            <w:tcBorders>
              <w:bottom w:val="single" w:sz="4" w:space="0" w:color="auto"/>
            </w:tcBorders>
          </w:tcPr>
          <w:p w:rsidR="00000000" w:rsidRDefault="00000000">
            <w:pPr>
              <w:pStyle w:val="BodyTextIndent2"/>
              <w:tabs>
                <w:tab w:val="left" w:pos="680"/>
              </w:tabs>
              <w:spacing w:before="60" w:after="40"/>
              <w:ind w:firstLine="0"/>
              <w:jc w:val="center"/>
              <w:rPr>
                <w:b/>
                <w:sz w:val="20"/>
              </w:rPr>
            </w:pPr>
            <w:r>
              <w:rPr>
                <w:b/>
                <w:sz w:val="20"/>
              </w:rPr>
              <w:t>Женщины</w:t>
            </w:r>
          </w:p>
        </w:tc>
      </w:tr>
      <w:tr w:rsidR="00000000">
        <w:tblPrEx>
          <w:tblCellMar>
            <w:top w:w="0" w:type="dxa"/>
            <w:bottom w:w="0" w:type="dxa"/>
          </w:tblCellMar>
        </w:tblPrEx>
        <w:trPr>
          <w:jc w:val="center"/>
        </w:trPr>
        <w:tc>
          <w:tcPr>
            <w:tcW w:w="3969" w:type="dxa"/>
            <w:tcBorders>
              <w:bottom w:val="nil"/>
            </w:tcBorders>
          </w:tcPr>
          <w:p w:rsidR="00000000" w:rsidRDefault="00000000">
            <w:pPr>
              <w:pStyle w:val="BodyTextIndent2"/>
              <w:tabs>
                <w:tab w:val="left" w:pos="680"/>
              </w:tabs>
              <w:spacing w:before="60" w:after="40"/>
              <w:ind w:firstLine="0"/>
              <w:rPr>
                <w:sz w:val="20"/>
              </w:rPr>
            </w:pPr>
            <w:r>
              <w:rPr>
                <w:sz w:val="20"/>
              </w:rPr>
              <w:t>Управление государственной службы (АРЕСЕП)</w:t>
            </w:r>
          </w:p>
        </w:tc>
        <w:tc>
          <w:tcPr>
            <w:tcW w:w="1247" w:type="dxa"/>
            <w:tcBorders>
              <w:bottom w:val="nil"/>
            </w:tcBorders>
          </w:tcPr>
          <w:p w:rsidR="00000000" w:rsidRDefault="00000000">
            <w:pPr>
              <w:pStyle w:val="BodyTextIndent2"/>
              <w:tabs>
                <w:tab w:val="left" w:pos="680"/>
              </w:tabs>
              <w:spacing w:before="60" w:after="40"/>
              <w:ind w:firstLine="0"/>
              <w:jc w:val="center"/>
              <w:rPr>
                <w:sz w:val="20"/>
              </w:rPr>
            </w:pPr>
            <w:r>
              <w:rPr>
                <w:sz w:val="20"/>
              </w:rPr>
              <w:t>60</w:t>
            </w:r>
          </w:p>
        </w:tc>
        <w:tc>
          <w:tcPr>
            <w:tcW w:w="1191" w:type="dxa"/>
            <w:tcBorders>
              <w:bottom w:val="nil"/>
            </w:tcBorders>
          </w:tcPr>
          <w:p w:rsidR="00000000" w:rsidRDefault="00000000">
            <w:pPr>
              <w:pStyle w:val="BodyTextIndent2"/>
              <w:tabs>
                <w:tab w:val="left" w:pos="680"/>
              </w:tabs>
              <w:spacing w:before="60" w:after="40"/>
              <w:ind w:firstLine="0"/>
              <w:jc w:val="center"/>
              <w:rPr>
                <w:sz w:val="20"/>
              </w:rPr>
            </w:pPr>
            <w:r>
              <w:rPr>
                <w:sz w:val="20"/>
              </w:rPr>
              <w:t>40</w:t>
            </w:r>
          </w:p>
        </w:tc>
        <w:tc>
          <w:tcPr>
            <w:tcW w:w="1247" w:type="dxa"/>
            <w:tcBorders>
              <w:bottom w:val="nil"/>
            </w:tcBorders>
          </w:tcPr>
          <w:p w:rsidR="00000000" w:rsidRDefault="00000000">
            <w:pPr>
              <w:pStyle w:val="BodyTextIndent2"/>
              <w:tabs>
                <w:tab w:val="left" w:pos="680"/>
              </w:tabs>
              <w:spacing w:before="60" w:after="40"/>
              <w:ind w:firstLine="0"/>
              <w:jc w:val="center"/>
              <w:rPr>
                <w:sz w:val="20"/>
              </w:rPr>
            </w:pPr>
            <w:r>
              <w:rPr>
                <w:sz w:val="20"/>
              </w:rPr>
              <w:t>60</w:t>
            </w:r>
          </w:p>
        </w:tc>
        <w:tc>
          <w:tcPr>
            <w:tcW w:w="1191" w:type="dxa"/>
            <w:tcBorders>
              <w:bottom w:val="nil"/>
            </w:tcBorders>
          </w:tcPr>
          <w:p w:rsidR="00000000" w:rsidRDefault="00000000">
            <w:pPr>
              <w:pStyle w:val="BodyTextIndent2"/>
              <w:tabs>
                <w:tab w:val="left" w:pos="680"/>
              </w:tabs>
              <w:spacing w:before="60" w:after="40"/>
              <w:ind w:firstLine="0"/>
              <w:jc w:val="center"/>
              <w:rPr>
                <w:sz w:val="20"/>
              </w:rPr>
            </w:pPr>
            <w:r>
              <w:rPr>
                <w:sz w:val="20"/>
              </w:rPr>
              <w:t>40</w:t>
            </w:r>
          </w:p>
        </w:tc>
      </w:tr>
      <w:tr w:rsidR="00000000">
        <w:tblPrEx>
          <w:tblCellMar>
            <w:top w:w="0" w:type="dxa"/>
            <w:bottom w:w="0" w:type="dxa"/>
          </w:tblCellMar>
        </w:tblPrEx>
        <w:trPr>
          <w:jc w:val="center"/>
        </w:trPr>
        <w:tc>
          <w:tcPr>
            <w:tcW w:w="3969" w:type="dxa"/>
            <w:tcBorders>
              <w:top w:val="nil"/>
              <w:bottom w:val="nil"/>
            </w:tcBorders>
          </w:tcPr>
          <w:p w:rsidR="00000000" w:rsidRDefault="00000000">
            <w:pPr>
              <w:pStyle w:val="BodyTextIndent2"/>
              <w:tabs>
                <w:tab w:val="left" w:pos="680"/>
              </w:tabs>
              <w:spacing w:before="60" w:after="40"/>
              <w:ind w:firstLine="0"/>
              <w:rPr>
                <w:sz w:val="20"/>
              </w:rPr>
            </w:pPr>
            <w:r>
              <w:rPr>
                <w:sz w:val="20"/>
              </w:rPr>
              <w:t>Коста-Риканский институт водопровода и канализационных систем (</w:t>
            </w:r>
            <w:r>
              <w:rPr>
                <w:sz w:val="20"/>
                <w:lang w:val="en-US"/>
              </w:rPr>
              <w:t>A</w:t>
            </w:r>
            <w:r>
              <w:rPr>
                <w:sz w:val="20"/>
              </w:rPr>
              <w:t>&amp;</w:t>
            </w:r>
            <w:r>
              <w:rPr>
                <w:sz w:val="20"/>
                <w:lang w:val="en-US"/>
              </w:rPr>
              <w:t>A</w:t>
            </w:r>
            <w:r>
              <w:rPr>
                <w:sz w:val="20"/>
              </w:rPr>
              <w:t>)</w:t>
            </w:r>
          </w:p>
        </w:tc>
        <w:tc>
          <w:tcPr>
            <w:tcW w:w="1247"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100</w:t>
            </w:r>
          </w:p>
        </w:tc>
        <w:tc>
          <w:tcPr>
            <w:tcW w:w="1191"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0</w:t>
            </w:r>
          </w:p>
        </w:tc>
        <w:tc>
          <w:tcPr>
            <w:tcW w:w="1247"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w:t>
            </w:r>
          </w:p>
        </w:tc>
        <w:tc>
          <w:tcPr>
            <w:tcW w:w="1191"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w:t>
            </w:r>
          </w:p>
        </w:tc>
      </w:tr>
      <w:tr w:rsidR="00000000">
        <w:tblPrEx>
          <w:tblCellMar>
            <w:top w:w="0" w:type="dxa"/>
            <w:bottom w:w="0" w:type="dxa"/>
          </w:tblCellMar>
        </w:tblPrEx>
        <w:trPr>
          <w:jc w:val="center"/>
        </w:trPr>
        <w:tc>
          <w:tcPr>
            <w:tcW w:w="3969" w:type="dxa"/>
            <w:tcBorders>
              <w:top w:val="nil"/>
              <w:bottom w:val="nil"/>
            </w:tcBorders>
          </w:tcPr>
          <w:p w:rsidR="00000000" w:rsidRDefault="00000000">
            <w:pPr>
              <w:pStyle w:val="BodyTextIndent2"/>
              <w:tabs>
                <w:tab w:val="left" w:pos="680"/>
              </w:tabs>
              <w:spacing w:before="60" w:after="40"/>
              <w:ind w:firstLine="0"/>
              <w:rPr>
                <w:sz w:val="20"/>
              </w:rPr>
            </w:pPr>
            <w:r>
              <w:rPr>
                <w:sz w:val="20"/>
              </w:rPr>
              <w:t>Центральный банк Коста-Рики</w:t>
            </w:r>
          </w:p>
        </w:tc>
        <w:tc>
          <w:tcPr>
            <w:tcW w:w="1247"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w:t>
            </w:r>
          </w:p>
        </w:tc>
        <w:tc>
          <w:tcPr>
            <w:tcW w:w="1191"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w:t>
            </w:r>
          </w:p>
        </w:tc>
        <w:tc>
          <w:tcPr>
            <w:tcW w:w="1247"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86</w:t>
            </w:r>
          </w:p>
        </w:tc>
        <w:tc>
          <w:tcPr>
            <w:tcW w:w="1191"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14</w:t>
            </w:r>
          </w:p>
        </w:tc>
      </w:tr>
      <w:tr w:rsidR="00000000">
        <w:tblPrEx>
          <w:tblCellMar>
            <w:top w:w="0" w:type="dxa"/>
            <w:bottom w:w="0" w:type="dxa"/>
          </w:tblCellMar>
        </w:tblPrEx>
        <w:trPr>
          <w:jc w:val="center"/>
        </w:trPr>
        <w:tc>
          <w:tcPr>
            <w:tcW w:w="3969" w:type="dxa"/>
            <w:tcBorders>
              <w:top w:val="nil"/>
              <w:bottom w:val="nil"/>
            </w:tcBorders>
          </w:tcPr>
          <w:p w:rsidR="00000000" w:rsidRDefault="00000000">
            <w:pPr>
              <w:pStyle w:val="BodyTextIndent2"/>
              <w:tabs>
                <w:tab w:val="left" w:pos="680"/>
              </w:tabs>
              <w:spacing w:before="60" w:after="40"/>
              <w:ind w:firstLine="0"/>
              <w:rPr>
                <w:sz w:val="20"/>
              </w:rPr>
            </w:pPr>
            <w:r>
              <w:rPr>
                <w:sz w:val="20"/>
              </w:rPr>
              <w:t>Сельскохозяйственный кредитный банк Картаго</w:t>
            </w:r>
          </w:p>
        </w:tc>
        <w:tc>
          <w:tcPr>
            <w:tcW w:w="1247"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w:t>
            </w:r>
          </w:p>
        </w:tc>
        <w:tc>
          <w:tcPr>
            <w:tcW w:w="1191"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w:t>
            </w:r>
          </w:p>
        </w:tc>
        <w:tc>
          <w:tcPr>
            <w:tcW w:w="1247"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86</w:t>
            </w:r>
          </w:p>
        </w:tc>
        <w:tc>
          <w:tcPr>
            <w:tcW w:w="1191"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14</w:t>
            </w:r>
          </w:p>
        </w:tc>
      </w:tr>
      <w:tr w:rsidR="00000000">
        <w:tblPrEx>
          <w:tblCellMar>
            <w:top w:w="0" w:type="dxa"/>
            <w:bottom w:w="0" w:type="dxa"/>
          </w:tblCellMar>
        </w:tblPrEx>
        <w:trPr>
          <w:jc w:val="center"/>
        </w:trPr>
        <w:tc>
          <w:tcPr>
            <w:tcW w:w="3969" w:type="dxa"/>
            <w:tcBorders>
              <w:top w:val="nil"/>
              <w:bottom w:val="nil"/>
            </w:tcBorders>
          </w:tcPr>
          <w:p w:rsidR="00000000" w:rsidRDefault="00000000">
            <w:pPr>
              <w:pStyle w:val="BodyTextIndent2"/>
              <w:tabs>
                <w:tab w:val="left" w:pos="680"/>
              </w:tabs>
              <w:spacing w:before="60" w:after="40"/>
              <w:ind w:firstLine="0"/>
              <w:rPr>
                <w:sz w:val="20"/>
              </w:rPr>
            </w:pPr>
            <w:r>
              <w:rPr>
                <w:sz w:val="20"/>
              </w:rPr>
              <w:t>Банк Коста-Рики</w:t>
            </w:r>
          </w:p>
        </w:tc>
        <w:tc>
          <w:tcPr>
            <w:tcW w:w="1247"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w:t>
            </w:r>
          </w:p>
        </w:tc>
        <w:tc>
          <w:tcPr>
            <w:tcW w:w="1191"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w:t>
            </w:r>
          </w:p>
        </w:tc>
        <w:tc>
          <w:tcPr>
            <w:tcW w:w="1247"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71</w:t>
            </w:r>
          </w:p>
        </w:tc>
        <w:tc>
          <w:tcPr>
            <w:tcW w:w="1191"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29</w:t>
            </w:r>
          </w:p>
        </w:tc>
      </w:tr>
      <w:tr w:rsidR="00000000">
        <w:tblPrEx>
          <w:tblCellMar>
            <w:top w:w="0" w:type="dxa"/>
            <w:bottom w:w="0" w:type="dxa"/>
          </w:tblCellMar>
        </w:tblPrEx>
        <w:trPr>
          <w:jc w:val="center"/>
        </w:trPr>
        <w:tc>
          <w:tcPr>
            <w:tcW w:w="3969" w:type="dxa"/>
            <w:tcBorders>
              <w:top w:val="nil"/>
              <w:bottom w:val="nil"/>
            </w:tcBorders>
          </w:tcPr>
          <w:p w:rsidR="00000000" w:rsidRDefault="00000000">
            <w:pPr>
              <w:pStyle w:val="BodyTextIndent2"/>
              <w:tabs>
                <w:tab w:val="left" w:pos="680"/>
              </w:tabs>
              <w:spacing w:before="60" w:after="40"/>
              <w:ind w:firstLine="0"/>
              <w:rPr>
                <w:sz w:val="20"/>
              </w:rPr>
            </w:pPr>
            <w:r>
              <w:rPr>
                <w:sz w:val="20"/>
              </w:rPr>
              <w:t>Национальный банк</w:t>
            </w:r>
          </w:p>
        </w:tc>
        <w:tc>
          <w:tcPr>
            <w:tcW w:w="1247"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100</w:t>
            </w:r>
          </w:p>
        </w:tc>
        <w:tc>
          <w:tcPr>
            <w:tcW w:w="1191"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0</w:t>
            </w:r>
          </w:p>
        </w:tc>
        <w:tc>
          <w:tcPr>
            <w:tcW w:w="1247"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87,5</w:t>
            </w:r>
          </w:p>
        </w:tc>
        <w:tc>
          <w:tcPr>
            <w:tcW w:w="1191"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12,5</w:t>
            </w:r>
          </w:p>
        </w:tc>
      </w:tr>
      <w:tr w:rsidR="00000000">
        <w:tblPrEx>
          <w:tblCellMar>
            <w:top w:w="0" w:type="dxa"/>
            <w:bottom w:w="0" w:type="dxa"/>
          </w:tblCellMar>
        </w:tblPrEx>
        <w:trPr>
          <w:jc w:val="center"/>
        </w:trPr>
        <w:tc>
          <w:tcPr>
            <w:tcW w:w="3969" w:type="dxa"/>
            <w:tcBorders>
              <w:top w:val="nil"/>
              <w:bottom w:val="nil"/>
            </w:tcBorders>
          </w:tcPr>
          <w:p w:rsidR="00000000" w:rsidRDefault="00000000">
            <w:pPr>
              <w:pStyle w:val="BodyTextIndent2"/>
              <w:tabs>
                <w:tab w:val="left" w:pos="680"/>
              </w:tabs>
              <w:spacing w:before="60" w:after="40"/>
              <w:ind w:firstLine="0"/>
              <w:rPr>
                <w:sz w:val="20"/>
              </w:rPr>
            </w:pPr>
            <w:r>
              <w:rPr>
                <w:sz w:val="20"/>
              </w:rPr>
              <w:t>Ипотечный жилищный банк (БАНВХИ)</w:t>
            </w:r>
          </w:p>
        </w:tc>
        <w:tc>
          <w:tcPr>
            <w:tcW w:w="1247"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w:t>
            </w:r>
          </w:p>
        </w:tc>
        <w:tc>
          <w:tcPr>
            <w:tcW w:w="1191"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w:t>
            </w:r>
          </w:p>
        </w:tc>
        <w:tc>
          <w:tcPr>
            <w:tcW w:w="1247"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100</w:t>
            </w:r>
          </w:p>
        </w:tc>
        <w:tc>
          <w:tcPr>
            <w:tcW w:w="1191"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0</w:t>
            </w:r>
          </w:p>
        </w:tc>
      </w:tr>
      <w:tr w:rsidR="00000000">
        <w:tblPrEx>
          <w:tblCellMar>
            <w:top w:w="0" w:type="dxa"/>
            <w:bottom w:w="0" w:type="dxa"/>
          </w:tblCellMar>
        </w:tblPrEx>
        <w:trPr>
          <w:jc w:val="center"/>
        </w:trPr>
        <w:tc>
          <w:tcPr>
            <w:tcW w:w="3969" w:type="dxa"/>
            <w:tcBorders>
              <w:top w:val="nil"/>
              <w:bottom w:val="nil"/>
            </w:tcBorders>
          </w:tcPr>
          <w:p w:rsidR="00000000" w:rsidRDefault="00000000">
            <w:pPr>
              <w:pStyle w:val="BodyTextIndent2"/>
              <w:tabs>
                <w:tab w:val="left" w:pos="680"/>
              </w:tabs>
              <w:spacing w:before="60" w:after="40"/>
              <w:ind w:firstLine="0"/>
              <w:rPr>
                <w:sz w:val="20"/>
              </w:rPr>
            </w:pPr>
            <w:r>
              <w:rPr>
                <w:sz w:val="20"/>
              </w:rPr>
              <w:t>Фонд социального обеспечения Коста-Рики (ККСС)</w:t>
            </w:r>
          </w:p>
        </w:tc>
        <w:tc>
          <w:tcPr>
            <w:tcW w:w="1247"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100</w:t>
            </w:r>
          </w:p>
        </w:tc>
        <w:tc>
          <w:tcPr>
            <w:tcW w:w="1191"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0</w:t>
            </w:r>
          </w:p>
        </w:tc>
        <w:tc>
          <w:tcPr>
            <w:tcW w:w="1247"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87,5</w:t>
            </w:r>
          </w:p>
        </w:tc>
        <w:tc>
          <w:tcPr>
            <w:tcW w:w="1191"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12,5</w:t>
            </w:r>
          </w:p>
        </w:tc>
      </w:tr>
      <w:tr w:rsidR="00000000">
        <w:tblPrEx>
          <w:tblCellMar>
            <w:top w:w="0" w:type="dxa"/>
            <w:bottom w:w="0" w:type="dxa"/>
          </w:tblCellMar>
        </w:tblPrEx>
        <w:trPr>
          <w:jc w:val="center"/>
        </w:trPr>
        <w:tc>
          <w:tcPr>
            <w:tcW w:w="3969" w:type="dxa"/>
            <w:tcBorders>
              <w:top w:val="nil"/>
              <w:bottom w:val="nil"/>
            </w:tcBorders>
          </w:tcPr>
          <w:p w:rsidR="00000000" w:rsidRDefault="00000000">
            <w:pPr>
              <w:pStyle w:val="BodyTextIndent2"/>
              <w:tabs>
                <w:tab w:val="left" w:pos="680"/>
              </w:tabs>
              <w:spacing w:before="60" w:after="40"/>
              <w:ind w:firstLine="0"/>
              <w:rPr>
                <w:sz w:val="20"/>
              </w:rPr>
            </w:pPr>
            <w:r>
              <w:rPr>
                <w:sz w:val="20"/>
              </w:rPr>
              <w:t>Национальная комиссия по чрезвычайным ситуациям (СНЕ)</w:t>
            </w:r>
          </w:p>
        </w:tc>
        <w:tc>
          <w:tcPr>
            <w:tcW w:w="1247"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w:t>
            </w:r>
          </w:p>
        </w:tc>
        <w:tc>
          <w:tcPr>
            <w:tcW w:w="1191"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w:t>
            </w:r>
          </w:p>
        </w:tc>
        <w:tc>
          <w:tcPr>
            <w:tcW w:w="1247"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67</w:t>
            </w:r>
          </w:p>
        </w:tc>
        <w:tc>
          <w:tcPr>
            <w:tcW w:w="1191"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33</w:t>
            </w:r>
          </w:p>
        </w:tc>
      </w:tr>
      <w:tr w:rsidR="00000000">
        <w:tblPrEx>
          <w:tblCellMar>
            <w:top w:w="0" w:type="dxa"/>
            <w:bottom w:w="0" w:type="dxa"/>
          </w:tblCellMar>
        </w:tblPrEx>
        <w:trPr>
          <w:jc w:val="center"/>
        </w:trPr>
        <w:tc>
          <w:tcPr>
            <w:tcW w:w="3969" w:type="dxa"/>
            <w:tcBorders>
              <w:top w:val="nil"/>
              <w:bottom w:val="nil"/>
            </w:tcBorders>
          </w:tcPr>
          <w:p w:rsidR="00000000" w:rsidRDefault="00000000">
            <w:pPr>
              <w:pStyle w:val="BodyTextIndent2"/>
              <w:tabs>
                <w:tab w:val="left" w:pos="680"/>
              </w:tabs>
              <w:spacing w:before="60" w:after="40"/>
              <w:ind w:firstLine="0"/>
              <w:rPr>
                <w:sz w:val="20"/>
              </w:rPr>
            </w:pPr>
            <w:r>
              <w:rPr>
                <w:sz w:val="20"/>
              </w:rPr>
              <w:t>Национальный производственный совет (СНП)</w:t>
            </w:r>
          </w:p>
        </w:tc>
        <w:tc>
          <w:tcPr>
            <w:tcW w:w="1247"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100</w:t>
            </w:r>
          </w:p>
        </w:tc>
        <w:tc>
          <w:tcPr>
            <w:tcW w:w="1191"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0</w:t>
            </w:r>
          </w:p>
        </w:tc>
        <w:tc>
          <w:tcPr>
            <w:tcW w:w="1247"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100</w:t>
            </w:r>
          </w:p>
        </w:tc>
        <w:tc>
          <w:tcPr>
            <w:tcW w:w="1191"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0</w:t>
            </w:r>
          </w:p>
        </w:tc>
      </w:tr>
      <w:tr w:rsidR="00000000">
        <w:tblPrEx>
          <w:tblCellMar>
            <w:top w:w="0" w:type="dxa"/>
            <w:bottom w:w="0" w:type="dxa"/>
          </w:tblCellMar>
        </w:tblPrEx>
        <w:trPr>
          <w:jc w:val="center"/>
        </w:trPr>
        <w:tc>
          <w:tcPr>
            <w:tcW w:w="3969" w:type="dxa"/>
            <w:tcBorders>
              <w:top w:val="nil"/>
              <w:bottom w:val="nil"/>
            </w:tcBorders>
          </w:tcPr>
          <w:p w:rsidR="00000000" w:rsidRDefault="00000000">
            <w:pPr>
              <w:pStyle w:val="BodyTextIndent2"/>
              <w:tabs>
                <w:tab w:val="left" w:pos="680"/>
              </w:tabs>
              <w:spacing w:before="60" w:after="40"/>
              <w:ind w:firstLine="0"/>
              <w:rPr>
                <w:sz w:val="20"/>
              </w:rPr>
            </w:pPr>
            <w:r>
              <w:rPr>
                <w:sz w:val="20"/>
              </w:rPr>
              <w:t>Национальный совет по науке и технологиям</w:t>
            </w:r>
          </w:p>
        </w:tc>
        <w:tc>
          <w:tcPr>
            <w:tcW w:w="1247"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w:t>
            </w:r>
          </w:p>
        </w:tc>
        <w:tc>
          <w:tcPr>
            <w:tcW w:w="1191"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w:t>
            </w:r>
          </w:p>
        </w:tc>
        <w:tc>
          <w:tcPr>
            <w:tcW w:w="1247"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100</w:t>
            </w:r>
          </w:p>
        </w:tc>
        <w:tc>
          <w:tcPr>
            <w:tcW w:w="1191"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0</w:t>
            </w:r>
          </w:p>
        </w:tc>
      </w:tr>
      <w:tr w:rsidR="00000000">
        <w:tblPrEx>
          <w:tblCellMar>
            <w:top w:w="0" w:type="dxa"/>
            <w:bottom w:w="0" w:type="dxa"/>
          </w:tblCellMar>
        </w:tblPrEx>
        <w:trPr>
          <w:jc w:val="center"/>
        </w:trPr>
        <w:tc>
          <w:tcPr>
            <w:tcW w:w="3969" w:type="dxa"/>
            <w:tcBorders>
              <w:top w:val="nil"/>
              <w:bottom w:val="nil"/>
            </w:tcBorders>
          </w:tcPr>
          <w:p w:rsidR="00000000" w:rsidRDefault="00000000">
            <w:pPr>
              <w:pStyle w:val="BodyTextIndent2"/>
              <w:tabs>
                <w:tab w:val="left" w:pos="680"/>
              </w:tabs>
              <w:spacing w:before="60" w:after="40"/>
              <w:ind w:firstLine="0"/>
              <w:rPr>
                <w:sz w:val="20"/>
              </w:rPr>
            </w:pPr>
            <w:r>
              <w:rPr>
                <w:sz w:val="20"/>
              </w:rPr>
              <w:t>Почта Коста-Рики</w:t>
            </w:r>
          </w:p>
        </w:tc>
        <w:tc>
          <w:tcPr>
            <w:tcW w:w="1247"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w:t>
            </w:r>
          </w:p>
        </w:tc>
        <w:tc>
          <w:tcPr>
            <w:tcW w:w="1191"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w:t>
            </w:r>
          </w:p>
        </w:tc>
        <w:tc>
          <w:tcPr>
            <w:tcW w:w="1247"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60</w:t>
            </w:r>
          </w:p>
        </w:tc>
        <w:tc>
          <w:tcPr>
            <w:tcW w:w="1191"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40</w:t>
            </w:r>
          </w:p>
        </w:tc>
      </w:tr>
      <w:tr w:rsidR="00000000">
        <w:tblPrEx>
          <w:tblCellMar>
            <w:top w:w="0" w:type="dxa"/>
            <w:bottom w:w="0" w:type="dxa"/>
          </w:tblCellMar>
        </w:tblPrEx>
        <w:trPr>
          <w:jc w:val="center"/>
        </w:trPr>
        <w:tc>
          <w:tcPr>
            <w:tcW w:w="3969" w:type="dxa"/>
            <w:tcBorders>
              <w:top w:val="nil"/>
              <w:bottom w:val="nil"/>
            </w:tcBorders>
          </w:tcPr>
          <w:p w:rsidR="00000000" w:rsidRDefault="00000000">
            <w:pPr>
              <w:pStyle w:val="BodyTextIndent2"/>
              <w:tabs>
                <w:tab w:val="left" w:pos="680"/>
              </w:tabs>
              <w:spacing w:before="60" w:after="40"/>
              <w:ind w:firstLine="0"/>
              <w:rPr>
                <w:sz w:val="20"/>
              </w:rPr>
            </w:pPr>
            <w:r>
              <w:rPr>
                <w:sz w:val="20"/>
              </w:rPr>
              <w:t>Национальное управление коммунального развития (ДИНАДЕКО)</w:t>
            </w:r>
          </w:p>
        </w:tc>
        <w:tc>
          <w:tcPr>
            <w:tcW w:w="1247"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w:t>
            </w:r>
          </w:p>
        </w:tc>
        <w:tc>
          <w:tcPr>
            <w:tcW w:w="1191"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w:t>
            </w:r>
          </w:p>
        </w:tc>
        <w:tc>
          <w:tcPr>
            <w:tcW w:w="1247"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50</w:t>
            </w:r>
          </w:p>
        </w:tc>
        <w:tc>
          <w:tcPr>
            <w:tcW w:w="1191"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50</w:t>
            </w:r>
          </w:p>
        </w:tc>
      </w:tr>
      <w:tr w:rsidR="00000000">
        <w:tblPrEx>
          <w:tblCellMar>
            <w:top w:w="0" w:type="dxa"/>
            <w:bottom w:w="0" w:type="dxa"/>
          </w:tblCellMar>
        </w:tblPrEx>
        <w:trPr>
          <w:jc w:val="center"/>
        </w:trPr>
        <w:tc>
          <w:tcPr>
            <w:tcW w:w="3969" w:type="dxa"/>
            <w:tcBorders>
              <w:top w:val="nil"/>
              <w:bottom w:val="single" w:sz="4" w:space="0" w:color="auto"/>
            </w:tcBorders>
          </w:tcPr>
          <w:p w:rsidR="00000000" w:rsidRDefault="00000000">
            <w:pPr>
              <w:pStyle w:val="BodyTextIndent2"/>
              <w:tabs>
                <w:tab w:val="left" w:pos="680"/>
              </w:tabs>
              <w:spacing w:before="60" w:after="40"/>
              <w:ind w:firstLine="0"/>
              <w:rPr>
                <w:sz w:val="20"/>
              </w:rPr>
            </w:pPr>
            <w:r>
              <w:rPr>
                <w:sz w:val="20"/>
              </w:rPr>
              <w:t>Коста-Риканский институт водопроводных систем (ИКАА)</w:t>
            </w:r>
          </w:p>
        </w:tc>
        <w:tc>
          <w:tcPr>
            <w:tcW w:w="1247" w:type="dxa"/>
            <w:tcBorders>
              <w:top w:val="nil"/>
              <w:bottom w:val="single" w:sz="4" w:space="0" w:color="auto"/>
            </w:tcBorders>
          </w:tcPr>
          <w:p w:rsidR="00000000" w:rsidRDefault="00000000">
            <w:pPr>
              <w:pStyle w:val="BodyTextIndent2"/>
              <w:tabs>
                <w:tab w:val="left" w:pos="680"/>
              </w:tabs>
              <w:spacing w:before="60" w:after="40"/>
              <w:ind w:firstLine="0"/>
              <w:jc w:val="center"/>
              <w:rPr>
                <w:sz w:val="20"/>
              </w:rPr>
            </w:pPr>
            <w:r>
              <w:rPr>
                <w:sz w:val="20"/>
              </w:rPr>
              <w:t>*</w:t>
            </w:r>
          </w:p>
        </w:tc>
        <w:tc>
          <w:tcPr>
            <w:tcW w:w="1191" w:type="dxa"/>
            <w:tcBorders>
              <w:top w:val="nil"/>
              <w:bottom w:val="single" w:sz="4" w:space="0" w:color="auto"/>
            </w:tcBorders>
          </w:tcPr>
          <w:p w:rsidR="00000000" w:rsidRDefault="00000000">
            <w:pPr>
              <w:pStyle w:val="BodyTextIndent2"/>
              <w:tabs>
                <w:tab w:val="left" w:pos="680"/>
              </w:tabs>
              <w:spacing w:before="60" w:after="40"/>
              <w:ind w:firstLine="0"/>
              <w:jc w:val="center"/>
              <w:rPr>
                <w:sz w:val="20"/>
              </w:rPr>
            </w:pPr>
            <w:r>
              <w:rPr>
                <w:sz w:val="20"/>
              </w:rPr>
              <w:t>*</w:t>
            </w:r>
          </w:p>
        </w:tc>
        <w:tc>
          <w:tcPr>
            <w:tcW w:w="1247" w:type="dxa"/>
            <w:tcBorders>
              <w:top w:val="nil"/>
              <w:bottom w:val="single" w:sz="4" w:space="0" w:color="auto"/>
            </w:tcBorders>
          </w:tcPr>
          <w:p w:rsidR="00000000" w:rsidRDefault="00000000">
            <w:pPr>
              <w:pStyle w:val="BodyTextIndent2"/>
              <w:tabs>
                <w:tab w:val="left" w:pos="680"/>
              </w:tabs>
              <w:spacing w:before="60" w:after="40"/>
              <w:ind w:firstLine="0"/>
              <w:jc w:val="center"/>
              <w:rPr>
                <w:sz w:val="20"/>
              </w:rPr>
            </w:pPr>
            <w:r>
              <w:rPr>
                <w:sz w:val="20"/>
              </w:rPr>
              <w:t>100</w:t>
            </w:r>
          </w:p>
        </w:tc>
        <w:tc>
          <w:tcPr>
            <w:tcW w:w="1191" w:type="dxa"/>
            <w:tcBorders>
              <w:top w:val="nil"/>
              <w:bottom w:val="single" w:sz="4" w:space="0" w:color="auto"/>
            </w:tcBorders>
          </w:tcPr>
          <w:p w:rsidR="00000000" w:rsidRDefault="00000000">
            <w:pPr>
              <w:pStyle w:val="BodyTextIndent2"/>
              <w:tabs>
                <w:tab w:val="left" w:pos="680"/>
              </w:tabs>
              <w:spacing w:before="60" w:after="40"/>
              <w:ind w:firstLine="0"/>
              <w:jc w:val="center"/>
              <w:rPr>
                <w:sz w:val="20"/>
              </w:rPr>
            </w:pPr>
            <w:r>
              <w:rPr>
                <w:sz w:val="20"/>
              </w:rPr>
              <w:t>0</w:t>
            </w:r>
          </w:p>
        </w:tc>
      </w:tr>
      <w:tr w:rsidR="00000000">
        <w:tblPrEx>
          <w:tblCellMar>
            <w:top w:w="0" w:type="dxa"/>
            <w:bottom w:w="0" w:type="dxa"/>
          </w:tblCellMar>
        </w:tblPrEx>
        <w:trPr>
          <w:jc w:val="center"/>
        </w:trPr>
        <w:tc>
          <w:tcPr>
            <w:tcW w:w="3969" w:type="dxa"/>
            <w:tcBorders>
              <w:top w:val="single" w:sz="4" w:space="0" w:color="auto"/>
              <w:bottom w:val="nil"/>
            </w:tcBorders>
          </w:tcPr>
          <w:p w:rsidR="00000000" w:rsidRDefault="00000000">
            <w:pPr>
              <w:pStyle w:val="BodyTextIndent2"/>
              <w:tabs>
                <w:tab w:val="left" w:pos="680"/>
              </w:tabs>
              <w:spacing w:before="60" w:after="40"/>
              <w:ind w:firstLine="0"/>
              <w:rPr>
                <w:sz w:val="20"/>
              </w:rPr>
            </w:pPr>
            <w:r>
              <w:rPr>
                <w:sz w:val="20"/>
              </w:rPr>
              <w:t>Коста-Риканский институт электроэнергетики (ИКЕ)</w:t>
            </w:r>
          </w:p>
        </w:tc>
        <w:tc>
          <w:tcPr>
            <w:tcW w:w="1247" w:type="dxa"/>
            <w:tcBorders>
              <w:top w:val="single" w:sz="4" w:space="0" w:color="auto"/>
              <w:bottom w:val="nil"/>
            </w:tcBorders>
          </w:tcPr>
          <w:p w:rsidR="00000000" w:rsidRDefault="00000000">
            <w:pPr>
              <w:pStyle w:val="BodyTextIndent2"/>
              <w:tabs>
                <w:tab w:val="left" w:pos="680"/>
              </w:tabs>
              <w:spacing w:before="60" w:after="40"/>
              <w:ind w:firstLine="0"/>
              <w:jc w:val="center"/>
              <w:rPr>
                <w:sz w:val="20"/>
              </w:rPr>
            </w:pPr>
            <w:r>
              <w:rPr>
                <w:sz w:val="20"/>
              </w:rPr>
              <w:t>100</w:t>
            </w:r>
          </w:p>
        </w:tc>
        <w:tc>
          <w:tcPr>
            <w:tcW w:w="1191" w:type="dxa"/>
            <w:tcBorders>
              <w:top w:val="single" w:sz="4" w:space="0" w:color="auto"/>
              <w:bottom w:val="nil"/>
            </w:tcBorders>
          </w:tcPr>
          <w:p w:rsidR="00000000" w:rsidRDefault="00000000">
            <w:pPr>
              <w:pStyle w:val="BodyTextIndent2"/>
              <w:tabs>
                <w:tab w:val="left" w:pos="680"/>
              </w:tabs>
              <w:spacing w:before="60" w:after="40"/>
              <w:ind w:firstLine="0"/>
              <w:jc w:val="center"/>
              <w:rPr>
                <w:sz w:val="20"/>
              </w:rPr>
            </w:pPr>
            <w:r>
              <w:rPr>
                <w:sz w:val="20"/>
              </w:rPr>
              <w:t>0</w:t>
            </w:r>
          </w:p>
        </w:tc>
        <w:tc>
          <w:tcPr>
            <w:tcW w:w="1247" w:type="dxa"/>
            <w:tcBorders>
              <w:top w:val="single" w:sz="4" w:space="0" w:color="auto"/>
              <w:bottom w:val="nil"/>
            </w:tcBorders>
          </w:tcPr>
          <w:p w:rsidR="00000000" w:rsidRDefault="00000000">
            <w:pPr>
              <w:pStyle w:val="BodyTextIndent2"/>
              <w:tabs>
                <w:tab w:val="left" w:pos="680"/>
              </w:tabs>
              <w:spacing w:before="60" w:after="40"/>
              <w:ind w:firstLine="0"/>
              <w:jc w:val="center"/>
              <w:rPr>
                <w:sz w:val="20"/>
              </w:rPr>
            </w:pPr>
            <w:r>
              <w:rPr>
                <w:sz w:val="20"/>
              </w:rPr>
              <w:t>100</w:t>
            </w:r>
          </w:p>
        </w:tc>
        <w:tc>
          <w:tcPr>
            <w:tcW w:w="1191" w:type="dxa"/>
            <w:tcBorders>
              <w:top w:val="single" w:sz="4" w:space="0" w:color="auto"/>
              <w:bottom w:val="nil"/>
            </w:tcBorders>
          </w:tcPr>
          <w:p w:rsidR="00000000" w:rsidRDefault="00000000">
            <w:pPr>
              <w:pStyle w:val="BodyTextIndent2"/>
              <w:tabs>
                <w:tab w:val="left" w:pos="680"/>
              </w:tabs>
              <w:spacing w:before="60" w:after="40"/>
              <w:ind w:firstLine="0"/>
              <w:jc w:val="center"/>
              <w:rPr>
                <w:sz w:val="20"/>
              </w:rPr>
            </w:pPr>
            <w:r>
              <w:rPr>
                <w:sz w:val="20"/>
              </w:rPr>
              <w:t>0</w:t>
            </w:r>
          </w:p>
        </w:tc>
      </w:tr>
      <w:tr w:rsidR="00000000">
        <w:tblPrEx>
          <w:tblCellMar>
            <w:top w:w="0" w:type="dxa"/>
            <w:bottom w:w="0" w:type="dxa"/>
          </w:tblCellMar>
        </w:tblPrEx>
        <w:trPr>
          <w:jc w:val="center"/>
        </w:trPr>
        <w:tc>
          <w:tcPr>
            <w:tcW w:w="3969" w:type="dxa"/>
            <w:tcBorders>
              <w:top w:val="nil"/>
              <w:bottom w:val="nil"/>
            </w:tcBorders>
          </w:tcPr>
          <w:p w:rsidR="00000000" w:rsidRDefault="00000000">
            <w:pPr>
              <w:pStyle w:val="BodyTextIndent2"/>
              <w:tabs>
                <w:tab w:val="left" w:pos="680"/>
              </w:tabs>
              <w:spacing w:before="60" w:after="40"/>
              <w:ind w:firstLine="0"/>
              <w:rPr>
                <w:sz w:val="20"/>
              </w:rPr>
            </w:pPr>
            <w:r>
              <w:rPr>
                <w:sz w:val="20"/>
              </w:rPr>
              <w:t>Институт спорта и отдыха (ИКОДЕР)</w:t>
            </w:r>
          </w:p>
        </w:tc>
        <w:tc>
          <w:tcPr>
            <w:tcW w:w="1247"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w:t>
            </w:r>
          </w:p>
        </w:tc>
        <w:tc>
          <w:tcPr>
            <w:tcW w:w="1191"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w:t>
            </w:r>
          </w:p>
        </w:tc>
        <w:tc>
          <w:tcPr>
            <w:tcW w:w="1247"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86</w:t>
            </w:r>
          </w:p>
        </w:tc>
        <w:tc>
          <w:tcPr>
            <w:tcW w:w="1191"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14</w:t>
            </w:r>
          </w:p>
        </w:tc>
      </w:tr>
      <w:tr w:rsidR="00000000">
        <w:tblPrEx>
          <w:tblCellMar>
            <w:top w:w="0" w:type="dxa"/>
            <w:bottom w:w="0" w:type="dxa"/>
          </w:tblCellMar>
        </w:tblPrEx>
        <w:trPr>
          <w:jc w:val="center"/>
        </w:trPr>
        <w:tc>
          <w:tcPr>
            <w:tcW w:w="3969" w:type="dxa"/>
            <w:tcBorders>
              <w:top w:val="nil"/>
              <w:bottom w:val="nil"/>
            </w:tcBorders>
          </w:tcPr>
          <w:p w:rsidR="00000000" w:rsidRDefault="00000000">
            <w:pPr>
              <w:pStyle w:val="BodyTextIndent2"/>
              <w:tabs>
                <w:tab w:val="left" w:pos="680"/>
              </w:tabs>
              <w:spacing w:before="60" w:after="40"/>
              <w:ind w:firstLine="0"/>
              <w:rPr>
                <w:sz w:val="20"/>
              </w:rPr>
            </w:pPr>
            <w:r>
              <w:rPr>
                <w:sz w:val="20"/>
              </w:rPr>
              <w:t>Коста-Риканский институт туризма (ИКТ)</w:t>
            </w:r>
          </w:p>
        </w:tc>
        <w:tc>
          <w:tcPr>
            <w:tcW w:w="1247"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w:t>
            </w:r>
          </w:p>
        </w:tc>
        <w:tc>
          <w:tcPr>
            <w:tcW w:w="1191"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w:t>
            </w:r>
          </w:p>
        </w:tc>
        <w:tc>
          <w:tcPr>
            <w:tcW w:w="1247"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86</w:t>
            </w:r>
          </w:p>
        </w:tc>
        <w:tc>
          <w:tcPr>
            <w:tcW w:w="1191"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14</w:t>
            </w:r>
          </w:p>
        </w:tc>
      </w:tr>
      <w:tr w:rsidR="00000000">
        <w:tblPrEx>
          <w:tblCellMar>
            <w:top w:w="0" w:type="dxa"/>
            <w:bottom w:w="0" w:type="dxa"/>
          </w:tblCellMar>
        </w:tblPrEx>
        <w:trPr>
          <w:jc w:val="center"/>
        </w:trPr>
        <w:tc>
          <w:tcPr>
            <w:tcW w:w="3969" w:type="dxa"/>
            <w:tcBorders>
              <w:top w:val="nil"/>
              <w:bottom w:val="nil"/>
            </w:tcBorders>
          </w:tcPr>
          <w:p w:rsidR="00000000" w:rsidRDefault="00000000">
            <w:pPr>
              <w:pStyle w:val="BodyTextIndent2"/>
              <w:tabs>
                <w:tab w:val="left" w:pos="680"/>
              </w:tabs>
              <w:spacing w:before="60" w:after="40"/>
              <w:ind w:firstLine="0"/>
              <w:rPr>
                <w:sz w:val="20"/>
              </w:rPr>
            </w:pPr>
            <w:r>
              <w:rPr>
                <w:sz w:val="20"/>
              </w:rPr>
              <w:t>Институт сельскохозяйственного развития (ИДА)</w:t>
            </w:r>
          </w:p>
        </w:tc>
        <w:tc>
          <w:tcPr>
            <w:tcW w:w="1247"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85,7</w:t>
            </w:r>
          </w:p>
        </w:tc>
        <w:tc>
          <w:tcPr>
            <w:tcW w:w="1191"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14,3</w:t>
            </w:r>
          </w:p>
        </w:tc>
        <w:tc>
          <w:tcPr>
            <w:tcW w:w="1247"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100</w:t>
            </w:r>
          </w:p>
        </w:tc>
        <w:tc>
          <w:tcPr>
            <w:tcW w:w="1191"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0</w:t>
            </w:r>
          </w:p>
        </w:tc>
      </w:tr>
      <w:tr w:rsidR="00000000">
        <w:tblPrEx>
          <w:tblCellMar>
            <w:top w:w="0" w:type="dxa"/>
            <w:bottom w:w="0" w:type="dxa"/>
          </w:tblCellMar>
        </w:tblPrEx>
        <w:trPr>
          <w:jc w:val="center"/>
        </w:trPr>
        <w:tc>
          <w:tcPr>
            <w:tcW w:w="3969" w:type="dxa"/>
            <w:tcBorders>
              <w:top w:val="nil"/>
              <w:bottom w:val="nil"/>
            </w:tcBorders>
          </w:tcPr>
          <w:p w:rsidR="00000000" w:rsidRDefault="00000000">
            <w:pPr>
              <w:pStyle w:val="BodyTextIndent2"/>
              <w:tabs>
                <w:tab w:val="left" w:pos="680"/>
              </w:tabs>
              <w:spacing w:before="60" w:after="40"/>
              <w:ind w:firstLine="0"/>
              <w:rPr>
                <w:sz w:val="20"/>
              </w:rPr>
            </w:pPr>
            <w:r>
              <w:rPr>
                <w:sz w:val="20"/>
              </w:rPr>
              <w:t>Институт муниципального развития и консультирования (ИФАМ)</w:t>
            </w:r>
          </w:p>
        </w:tc>
        <w:tc>
          <w:tcPr>
            <w:tcW w:w="1247"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85,7</w:t>
            </w:r>
          </w:p>
        </w:tc>
        <w:tc>
          <w:tcPr>
            <w:tcW w:w="1191"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14,3</w:t>
            </w:r>
          </w:p>
        </w:tc>
        <w:tc>
          <w:tcPr>
            <w:tcW w:w="1247"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71</w:t>
            </w:r>
          </w:p>
        </w:tc>
        <w:tc>
          <w:tcPr>
            <w:tcW w:w="1191"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29</w:t>
            </w:r>
          </w:p>
        </w:tc>
      </w:tr>
      <w:tr w:rsidR="00000000">
        <w:tblPrEx>
          <w:tblCellMar>
            <w:top w:w="0" w:type="dxa"/>
            <w:bottom w:w="0" w:type="dxa"/>
          </w:tblCellMar>
        </w:tblPrEx>
        <w:trPr>
          <w:jc w:val="center"/>
        </w:trPr>
        <w:tc>
          <w:tcPr>
            <w:tcW w:w="3969" w:type="dxa"/>
            <w:tcBorders>
              <w:top w:val="nil"/>
              <w:bottom w:val="nil"/>
            </w:tcBorders>
          </w:tcPr>
          <w:p w:rsidR="00000000" w:rsidRDefault="00000000">
            <w:pPr>
              <w:pStyle w:val="BodyTextIndent2"/>
              <w:tabs>
                <w:tab w:val="left" w:pos="680"/>
              </w:tabs>
              <w:spacing w:before="60" w:after="40"/>
              <w:ind w:firstLine="0"/>
              <w:rPr>
                <w:sz w:val="20"/>
              </w:rPr>
            </w:pPr>
            <w:r>
              <w:rPr>
                <w:sz w:val="20"/>
              </w:rPr>
              <w:t>Объединенный институт социальной помощи (ИМАС)</w:t>
            </w:r>
          </w:p>
        </w:tc>
        <w:tc>
          <w:tcPr>
            <w:tcW w:w="1247"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40</w:t>
            </w:r>
          </w:p>
        </w:tc>
        <w:tc>
          <w:tcPr>
            <w:tcW w:w="1191"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60</w:t>
            </w:r>
          </w:p>
        </w:tc>
        <w:tc>
          <w:tcPr>
            <w:tcW w:w="1247"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29</w:t>
            </w:r>
          </w:p>
        </w:tc>
        <w:tc>
          <w:tcPr>
            <w:tcW w:w="1191"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71</w:t>
            </w:r>
          </w:p>
        </w:tc>
      </w:tr>
      <w:tr w:rsidR="00000000">
        <w:tblPrEx>
          <w:tblCellMar>
            <w:top w:w="0" w:type="dxa"/>
            <w:bottom w:w="0" w:type="dxa"/>
          </w:tblCellMar>
        </w:tblPrEx>
        <w:trPr>
          <w:jc w:val="center"/>
        </w:trPr>
        <w:tc>
          <w:tcPr>
            <w:tcW w:w="3969" w:type="dxa"/>
            <w:tcBorders>
              <w:top w:val="nil"/>
              <w:bottom w:val="nil"/>
            </w:tcBorders>
          </w:tcPr>
          <w:p w:rsidR="00000000" w:rsidRDefault="00000000">
            <w:pPr>
              <w:pStyle w:val="BodyTextIndent2"/>
              <w:tabs>
                <w:tab w:val="left" w:pos="680"/>
              </w:tabs>
              <w:spacing w:before="60" w:after="40"/>
              <w:ind w:firstLine="0"/>
              <w:rPr>
                <w:sz w:val="20"/>
              </w:rPr>
            </w:pPr>
            <w:r>
              <w:rPr>
                <w:sz w:val="20"/>
              </w:rPr>
              <w:t>Национальный институт профессионально-технического обучения (ИНА)</w:t>
            </w:r>
          </w:p>
        </w:tc>
        <w:tc>
          <w:tcPr>
            <w:tcW w:w="1247"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w:t>
            </w:r>
          </w:p>
        </w:tc>
        <w:tc>
          <w:tcPr>
            <w:tcW w:w="1191"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w:t>
            </w:r>
          </w:p>
        </w:tc>
        <w:tc>
          <w:tcPr>
            <w:tcW w:w="1247"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78</w:t>
            </w:r>
          </w:p>
        </w:tc>
        <w:tc>
          <w:tcPr>
            <w:tcW w:w="1191"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22</w:t>
            </w:r>
          </w:p>
        </w:tc>
      </w:tr>
      <w:tr w:rsidR="00000000">
        <w:tblPrEx>
          <w:tblCellMar>
            <w:top w:w="0" w:type="dxa"/>
            <w:bottom w:w="0" w:type="dxa"/>
          </w:tblCellMar>
        </w:tblPrEx>
        <w:trPr>
          <w:jc w:val="center"/>
        </w:trPr>
        <w:tc>
          <w:tcPr>
            <w:tcW w:w="3969" w:type="dxa"/>
            <w:tcBorders>
              <w:top w:val="nil"/>
              <w:bottom w:val="nil"/>
            </w:tcBorders>
          </w:tcPr>
          <w:p w:rsidR="00000000" w:rsidRDefault="00000000">
            <w:pPr>
              <w:pStyle w:val="BodyTextIndent2"/>
              <w:tabs>
                <w:tab w:val="left" w:pos="680"/>
              </w:tabs>
              <w:spacing w:before="60" w:after="40"/>
              <w:ind w:firstLine="0"/>
              <w:rPr>
                <w:sz w:val="20"/>
              </w:rPr>
            </w:pPr>
            <w:r>
              <w:rPr>
                <w:sz w:val="20"/>
              </w:rPr>
              <w:t>Национальный институт по делам женщин (ИНАМУ)</w:t>
            </w:r>
          </w:p>
        </w:tc>
        <w:tc>
          <w:tcPr>
            <w:tcW w:w="1247"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w:t>
            </w:r>
          </w:p>
        </w:tc>
        <w:tc>
          <w:tcPr>
            <w:tcW w:w="1191"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w:t>
            </w:r>
          </w:p>
        </w:tc>
        <w:tc>
          <w:tcPr>
            <w:tcW w:w="1247"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100</w:t>
            </w:r>
          </w:p>
        </w:tc>
      </w:tr>
      <w:tr w:rsidR="00000000">
        <w:tblPrEx>
          <w:tblCellMar>
            <w:top w:w="0" w:type="dxa"/>
            <w:bottom w:w="0" w:type="dxa"/>
          </w:tblCellMar>
        </w:tblPrEx>
        <w:trPr>
          <w:jc w:val="center"/>
        </w:trPr>
        <w:tc>
          <w:tcPr>
            <w:tcW w:w="3969" w:type="dxa"/>
            <w:tcBorders>
              <w:top w:val="nil"/>
              <w:bottom w:val="nil"/>
            </w:tcBorders>
          </w:tcPr>
          <w:p w:rsidR="00000000" w:rsidRDefault="00000000">
            <w:pPr>
              <w:pStyle w:val="BodyTextIndent2"/>
              <w:tabs>
                <w:tab w:val="left" w:pos="680"/>
              </w:tabs>
              <w:spacing w:before="60" w:after="40"/>
              <w:ind w:firstLine="0"/>
              <w:rPr>
                <w:sz w:val="20"/>
              </w:rPr>
            </w:pPr>
            <w:r>
              <w:rPr>
                <w:sz w:val="20"/>
              </w:rPr>
              <w:t>Коста-Риканский институт железнодорожного транспорта (ИНКОФЕР)</w:t>
            </w:r>
          </w:p>
        </w:tc>
        <w:tc>
          <w:tcPr>
            <w:tcW w:w="1247"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71,4</w:t>
            </w:r>
          </w:p>
        </w:tc>
        <w:tc>
          <w:tcPr>
            <w:tcW w:w="1191"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28,6</w:t>
            </w:r>
          </w:p>
        </w:tc>
        <w:tc>
          <w:tcPr>
            <w:tcW w:w="1247"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100</w:t>
            </w:r>
          </w:p>
        </w:tc>
        <w:tc>
          <w:tcPr>
            <w:tcW w:w="1191"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0</w:t>
            </w:r>
          </w:p>
        </w:tc>
      </w:tr>
      <w:tr w:rsidR="00000000">
        <w:tblPrEx>
          <w:tblCellMar>
            <w:top w:w="0" w:type="dxa"/>
            <w:bottom w:w="0" w:type="dxa"/>
          </w:tblCellMar>
        </w:tblPrEx>
        <w:trPr>
          <w:jc w:val="center"/>
        </w:trPr>
        <w:tc>
          <w:tcPr>
            <w:tcW w:w="3969" w:type="dxa"/>
            <w:tcBorders>
              <w:top w:val="nil"/>
              <w:bottom w:val="nil"/>
            </w:tcBorders>
          </w:tcPr>
          <w:p w:rsidR="00000000" w:rsidRDefault="00000000">
            <w:pPr>
              <w:pStyle w:val="BodyTextIndent2"/>
              <w:tabs>
                <w:tab w:val="left" w:pos="680"/>
              </w:tabs>
              <w:spacing w:before="60" w:after="40"/>
              <w:ind w:firstLine="0"/>
              <w:rPr>
                <w:sz w:val="20"/>
              </w:rPr>
            </w:pPr>
            <w:r>
              <w:rPr>
                <w:sz w:val="20"/>
              </w:rPr>
              <w:t>Коста-Риканский институт рыболовства и морских ресурсов (ИНСОПЕСКА)</w:t>
            </w:r>
          </w:p>
        </w:tc>
        <w:tc>
          <w:tcPr>
            <w:tcW w:w="1247"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w:t>
            </w:r>
          </w:p>
        </w:tc>
        <w:tc>
          <w:tcPr>
            <w:tcW w:w="1191"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w:t>
            </w:r>
          </w:p>
        </w:tc>
        <w:tc>
          <w:tcPr>
            <w:tcW w:w="1247"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91</w:t>
            </w:r>
          </w:p>
        </w:tc>
        <w:tc>
          <w:tcPr>
            <w:tcW w:w="1191"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9</w:t>
            </w:r>
          </w:p>
        </w:tc>
      </w:tr>
      <w:tr w:rsidR="00000000">
        <w:tblPrEx>
          <w:tblCellMar>
            <w:top w:w="0" w:type="dxa"/>
            <w:bottom w:w="0" w:type="dxa"/>
          </w:tblCellMar>
        </w:tblPrEx>
        <w:trPr>
          <w:jc w:val="center"/>
        </w:trPr>
        <w:tc>
          <w:tcPr>
            <w:tcW w:w="3969" w:type="dxa"/>
            <w:tcBorders>
              <w:top w:val="nil"/>
              <w:bottom w:val="nil"/>
            </w:tcBorders>
          </w:tcPr>
          <w:p w:rsidR="00000000" w:rsidRDefault="00000000">
            <w:pPr>
              <w:pStyle w:val="BodyTextIndent2"/>
              <w:tabs>
                <w:tab w:val="left" w:pos="680"/>
              </w:tabs>
              <w:spacing w:before="60" w:after="40"/>
              <w:ind w:firstLine="0"/>
              <w:rPr>
                <w:sz w:val="20"/>
              </w:rPr>
            </w:pPr>
            <w:r>
              <w:rPr>
                <w:sz w:val="20"/>
              </w:rPr>
              <w:t>Национальный институт статистики и переписей (ИНЕК)</w:t>
            </w:r>
          </w:p>
        </w:tc>
        <w:tc>
          <w:tcPr>
            <w:tcW w:w="1247" w:type="dxa"/>
            <w:tcBorders>
              <w:top w:val="nil"/>
              <w:bottom w:val="nil"/>
            </w:tcBorders>
          </w:tcPr>
          <w:p w:rsidR="00000000" w:rsidRDefault="00000000">
            <w:pPr>
              <w:pStyle w:val="BodyTextIndent2"/>
              <w:tabs>
                <w:tab w:val="left" w:pos="680"/>
              </w:tabs>
              <w:spacing w:before="60" w:after="40"/>
              <w:ind w:firstLine="0"/>
              <w:jc w:val="center"/>
              <w:rPr>
                <w:sz w:val="20"/>
              </w:rPr>
            </w:pPr>
          </w:p>
        </w:tc>
        <w:tc>
          <w:tcPr>
            <w:tcW w:w="1191" w:type="dxa"/>
            <w:tcBorders>
              <w:top w:val="nil"/>
              <w:bottom w:val="nil"/>
            </w:tcBorders>
          </w:tcPr>
          <w:p w:rsidR="00000000" w:rsidRDefault="00000000">
            <w:pPr>
              <w:pStyle w:val="BodyTextIndent2"/>
              <w:tabs>
                <w:tab w:val="left" w:pos="680"/>
              </w:tabs>
              <w:spacing w:before="60" w:after="40"/>
              <w:ind w:firstLine="0"/>
              <w:jc w:val="center"/>
              <w:rPr>
                <w:sz w:val="20"/>
              </w:rPr>
            </w:pPr>
          </w:p>
        </w:tc>
        <w:tc>
          <w:tcPr>
            <w:tcW w:w="1247"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100</w:t>
            </w:r>
          </w:p>
        </w:tc>
        <w:tc>
          <w:tcPr>
            <w:tcW w:w="1191"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0</w:t>
            </w:r>
          </w:p>
        </w:tc>
      </w:tr>
      <w:tr w:rsidR="00000000">
        <w:tblPrEx>
          <w:tblCellMar>
            <w:top w:w="0" w:type="dxa"/>
            <w:bottom w:w="0" w:type="dxa"/>
          </w:tblCellMar>
        </w:tblPrEx>
        <w:trPr>
          <w:jc w:val="center"/>
        </w:trPr>
        <w:tc>
          <w:tcPr>
            <w:tcW w:w="3969" w:type="dxa"/>
            <w:tcBorders>
              <w:top w:val="nil"/>
              <w:bottom w:val="nil"/>
            </w:tcBorders>
          </w:tcPr>
          <w:p w:rsidR="00000000" w:rsidRDefault="00000000">
            <w:pPr>
              <w:pStyle w:val="BodyTextIndent2"/>
              <w:tabs>
                <w:tab w:val="left" w:pos="680"/>
              </w:tabs>
              <w:spacing w:before="60" w:after="40"/>
              <w:ind w:firstLine="0"/>
              <w:rPr>
                <w:sz w:val="20"/>
              </w:rPr>
            </w:pPr>
            <w:r>
              <w:rPr>
                <w:sz w:val="20"/>
              </w:rPr>
              <w:t>Национальный институт укрепления кооперативного движения (ИНФОКООП)</w:t>
            </w:r>
          </w:p>
        </w:tc>
        <w:tc>
          <w:tcPr>
            <w:tcW w:w="1247"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85,7</w:t>
            </w:r>
          </w:p>
        </w:tc>
        <w:tc>
          <w:tcPr>
            <w:tcW w:w="1191"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14,3</w:t>
            </w:r>
          </w:p>
        </w:tc>
        <w:tc>
          <w:tcPr>
            <w:tcW w:w="1247"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w:t>
            </w:r>
          </w:p>
        </w:tc>
        <w:tc>
          <w:tcPr>
            <w:tcW w:w="1191"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w:t>
            </w:r>
          </w:p>
        </w:tc>
      </w:tr>
      <w:tr w:rsidR="00000000">
        <w:tblPrEx>
          <w:tblCellMar>
            <w:top w:w="0" w:type="dxa"/>
            <w:bottom w:w="0" w:type="dxa"/>
          </w:tblCellMar>
        </w:tblPrEx>
        <w:trPr>
          <w:jc w:val="center"/>
        </w:trPr>
        <w:tc>
          <w:tcPr>
            <w:tcW w:w="3969" w:type="dxa"/>
            <w:tcBorders>
              <w:top w:val="nil"/>
              <w:bottom w:val="nil"/>
            </w:tcBorders>
          </w:tcPr>
          <w:p w:rsidR="00000000" w:rsidRDefault="00000000">
            <w:pPr>
              <w:pStyle w:val="BodyTextIndent2"/>
              <w:tabs>
                <w:tab w:val="left" w:pos="680"/>
              </w:tabs>
              <w:spacing w:before="60" w:after="40"/>
              <w:ind w:firstLine="0"/>
              <w:rPr>
                <w:sz w:val="20"/>
              </w:rPr>
            </w:pPr>
            <w:r>
              <w:rPr>
                <w:sz w:val="20"/>
              </w:rPr>
              <w:t>Национальный институт страхования (ИНС)</w:t>
            </w:r>
          </w:p>
        </w:tc>
        <w:tc>
          <w:tcPr>
            <w:tcW w:w="1247"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90</w:t>
            </w:r>
          </w:p>
        </w:tc>
        <w:tc>
          <w:tcPr>
            <w:tcW w:w="1191"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10</w:t>
            </w:r>
          </w:p>
        </w:tc>
        <w:tc>
          <w:tcPr>
            <w:tcW w:w="1247"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86</w:t>
            </w:r>
          </w:p>
        </w:tc>
        <w:tc>
          <w:tcPr>
            <w:tcW w:w="1191"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14</w:t>
            </w:r>
          </w:p>
        </w:tc>
      </w:tr>
      <w:tr w:rsidR="00000000">
        <w:tblPrEx>
          <w:tblCellMar>
            <w:top w:w="0" w:type="dxa"/>
            <w:bottom w:w="0" w:type="dxa"/>
          </w:tblCellMar>
        </w:tblPrEx>
        <w:trPr>
          <w:jc w:val="center"/>
        </w:trPr>
        <w:tc>
          <w:tcPr>
            <w:tcW w:w="3969" w:type="dxa"/>
            <w:tcBorders>
              <w:top w:val="nil"/>
              <w:bottom w:val="nil"/>
            </w:tcBorders>
          </w:tcPr>
          <w:p w:rsidR="00000000" w:rsidRDefault="00000000">
            <w:pPr>
              <w:pStyle w:val="BodyTextIndent2"/>
              <w:tabs>
                <w:tab w:val="left" w:pos="680"/>
              </w:tabs>
              <w:spacing w:before="60" w:after="40"/>
              <w:ind w:firstLine="0"/>
              <w:rPr>
                <w:sz w:val="20"/>
              </w:rPr>
            </w:pPr>
            <w:r>
              <w:rPr>
                <w:sz w:val="20"/>
              </w:rPr>
              <w:t>Коста-Риканский институт портов тихоокеанского побережья</w:t>
            </w:r>
          </w:p>
        </w:tc>
        <w:tc>
          <w:tcPr>
            <w:tcW w:w="1247"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w:t>
            </w:r>
          </w:p>
        </w:tc>
        <w:tc>
          <w:tcPr>
            <w:tcW w:w="1191"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w:t>
            </w:r>
          </w:p>
        </w:tc>
        <w:tc>
          <w:tcPr>
            <w:tcW w:w="1247"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57</w:t>
            </w:r>
          </w:p>
        </w:tc>
        <w:tc>
          <w:tcPr>
            <w:tcW w:w="1191"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43</w:t>
            </w:r>
          </w:p>
        </w:tc>
      </w:tr>
      <w:tr w:rsidR="00000000">
        <w:tblPrEx>
          <w:tblCellMar>
            <w:top w:w="0" w:type="dxa"/>
            <w:bottom w:w="0" w:type="dxa"/>
          </w:tblCellMar>
        </w:tblPrEx>
        <w:trPr>
          <w:jc w:val="center"/>
        </w:trPr>
        <w:tc>
          <w:tcPr>
            <w:tcW w:w="3969" w:type="dxa"/>
            <w:tcBorders>
              <w:top w:val="nil"/>
              <w:bottom w:val="nil"/>
            </w:tcBorders>
          </w:tcPr>
          <w:p w:rsidR="00000000" w:rsidRDefault="00000000">
            <w:pPr>
              <w:pStyle w:val="BodyTextIndent2"/>
              <w:tabs>
                <w:tab w:val="left" w:pos="680"/>
              </w:tabs>
              <w:spacing w:before="60" w:after="40"/>
              <w:ind w:firstLine="0"/>
              <w:rPr>
                <w:sz w:val="20"/>
              </w:rPr>
            </w:pPr>
            <w:r>
              <w:rPr>
                <w:sz w:val="20"/>
              </w:rPr>
              <w:t>Национальный институт жилищного и городского хозяйства (ИНВУ)</w:t>
            </w:r>
          </w:p>
        </w:tc>
        <w:tc>
          <w:tcPr>
            <w:tcW w:w="1247"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100</w:t>
            </w:r>
          </w:p>
        </w:tc>
        <w:tc>
          <w:tcPr>
            <w:tcW w:w="1191"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0</w:t>
            </w:r>
          </w:p>
        </w:tc>
        <w:tc>
          <w:tcPr>
            <w:tcW w:w="1247"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100</w:t>
            </w:r>
          </w:p>
        </w:tc>
        <w:tc>
          <w:tcPr>
            <w:tcW w:w="1191"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0</w:t>
            </w:r>
          </w:p>
        </w:tc>
      </w:tr>
      <w:tr w:rsidR="00000000">
        <w:tblPrEx>
          <w:tblCellMar>
            <w:top w:w="0" w:type="dxa"/>
            <w:bottom w:w="0" w:type="dxa"/>
          </w:tblCellMar>
        </w:tblPrEx>
        <w:trPr>
          <w:jc w:val="center"/>
        </w:trPr>
        <w:tc>
          <w:tcPr>
            <w:tcW w:w="3969" w:type="dxa"/>
            <w:tcBorders>
              <w:top w:val="nil"/>
              <w:bottom w:val="nil"/>
            </w:tcBorders>
          </w:tcPr>
          <w:p w:rsidR="00000000" w:rsidRDefault="00000000">
            <w:pPr>
              <w:pStyle w:val="BodyTextIndent2"/>
              <w:tabs>
                <w:tab w:val="left" w:pos="680"/>
              </w:tabs>
              <w:spacing w:before="60" w:after="40"/>
              <w:ind w:firstLine="0"/>
              <w:rPr>
                <w:sz w:val="20"/>
              </w:rPr>
            </w:pPr>
            <w:r>
              <w:rPr>
                <w:sz w:val="20"/>
              </w:rPr>
              <w:t>Административный совет по портам и развитию атлантического побережья</w:t>
            </w:r>
          </w:p>
        </w:tc>
        <w:tc>
          <w:tcPr>
            <w:tcW w:w="1247"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w:t>
            </w:r>
          </w:p>
        </w:tc>
        <w:tc>
          <w:tcPr>
            <w:tcW w:w="1191"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w:t>
            </w:r>
          </w:p>
        </w:tc>
        <w:tc>
          <w:tcPr>
            <w:tcW w:w="1247"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86</w:t>
            </w:r>
          </w:p>
        </w:tc>
        <w:tc>
          <w:tcPr>
            <w:tcW w:w="1191"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14</w:t>
            </w:r>
          </w:p>
        </w:tc>
      </w:tr>
      <w:tr w:rsidR="00000000">
        <w:tblPrEx>
          <w:tblCellMar>
            <w:top w:w="0" w:type="dxa"/>
            <w:bottom w:w="0" w:type="dxa"/>
          </w:tblCellMar>
        </w:tblPrEx>
        <w:trPr>
          <w:jc w:val="center"/>
        </w:trPr>
        <w:tc>
          <w:tcPr>
            <w:tcW w:w="3969" w:type="dxa"/>
            <w:tcBorders>
              <w:top w:val="nil"/>
              <w:bottom w:val="nil"/>
            </w:tcBorders>
          </w:tcPr>
          <w:p w:rsidR="00000000" w:rsidRDefault="00000000">
            <w:pPr>
              <w:pStyle w:val="BodyTextIndent2"/>
              <w:tabs>
                <w:tab w:val="left" w:pos="680"/>
              </w:tabs>
              <w:spacing w:before="60" w:after="40"/>
              <w:ind w:firstLine="0"/>
              <w:rPr>
                <w:sz w:val="20"/>
              </w:rPr>
            </w:pPr>
            <w:r>
              <w:rPr>
                <w:sz w:val="20"/>
              </w:rPr>
              <w:t>Совет по социальной защите</w:t>
            </w:r>
          </w:p>
        </w:tc>
        <w:tc>
          <w:tcPr>
            <w:tcW w:w="1247"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60</w:t>
            </w:r>
          </w:p>
        </w:tc>
        <w:tc>
          <w:tcPr>
            <w:tcW w:w="1191"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40</w:t>
            </w:r>
          </w:p>
        </w:tc>
        <w:tc>
          <w:tcPr>
            <w:tcW w:w="1247"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50</w:t>
            </w:r>
          </w:p>
        </w:tc>
        <w:tc>
          <w:tcPr>
            <w:tcW w:w="1191"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50</w:t>
            </w:r>
          </w:p>
        </w:tc>
      </w:tr>
      <w:tr w:rsidR="00000000">
        <w:tblPrEx>
          <w:tblCellMar>
            <w:top w:w="0" w:type="dxa"/>
            <w:bottom w:w="0" w:type="dxa"/>
          </w:tblCellMar>
        </w:tblPrEx>
        <w:trPr>
          <w:jc w:val="center"/>
        </w:trPr>
        <w:tc>
          <w:tcPr>
            <w:tcW w:w="3969" w:type="dxa"/>
            <w:tcBorders>
              <w:top w:val="nil"/>
              <w:bottom w:val="nil"/>
            </w:tcBorders>
          </w:tcPr>
          <w:p w:rsidR="00000000" w:rsidRDefault="00000000">
            <w:pPr>
              <w:pStyle w:val="BodyTextIndent2"/>
              <w:tabs>
                <w:tab w:val="left" w:pos="680"/>
              </w:tabs>
              <w:spacing w:before="60" w:after="40"/>
              <w:ind w:firstLine="0"/>
              <w:rPr>
                <w:sz w:val="20"/>
              </w:rPr>
            </w:pPr>
            <w:r>
              <w:rPr>
                <w:sz w:val="20"/>
              </w:rPr>
              <w:t>Государственный детский благотворительный фонд (ПАНИ)</w:t>
            </w:r>
          </w:p>
        </w:tc>
        <w:tc>
          <w:tcPr>
            <w:tcW w:w="1247"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100</w:t>
            </w:r>
          </w:p>
        </w:tc>
        <w:tc>
          <w:tcPr>
            <w:tcW w:w="1247"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100</w:t>
            </w:r>
          </w:p>
        </w:tc>
      </w:tr>
      <w:tr w:rsidR="00000000">
        <w:tblPrEx>
          <w:tblCellMar>
            <w:top w:w="0" w:type="dxa"/>
            <w:bottom w:w="0" w:type="dxa"/>
          </w:tblCellMar>
        </w:tblPrEx>
        <w:trPr>
          <w:jc w:val="center"/>
        </w:trPr>
        <w:tc>
          <w:tcPr>
            <w:tcW w:w="3969" w:type="dxa"/>
            <w:tcBorders>
              <w:top w:val="nil"/>
              <w:bottom w:val="nil"/>
            </w:tcBorders>
          </w:tcPr>
          <w:p w:rsidR="00000000" w:rsidRDefault="00000000">
            <w:pPr>
              <w:pStyle w:val="BodyTextIndent2"/>
              <w:tabs>
                <w:tab w:val="left" w:pos="680"/>
              </w:tabs>
              <w:spacing w:before="60" w:after="40"/>
              <w:ind w:firstLine="0"/>
              <w:rPr>
                <w:sz w:val="20"/>
              </w:rPr>
            </w:pPr>
            <w:r>
              <w:rPr>
                <w:sz w:val="20"/>
              </w:rPr>
              <w:t>Коста-Риканский нефтеперерабатывающий комплекс (РЕКОПЕ)</w:t>
            </w:r>
          </w:p>
        </w:tc>
        <w:tc>
          <w:tcPr>
            <w:tcW w:w="1247"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71,4</w:t>
            </w:r>
          </w:p>
        </w:tc>
        <w:tc>
          <w:tcPr>
            <w:tcW w:w="1191"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28,6</w:t>
            </w:r>
          </w:p>
        </w:tc>
        <w:tc>
          <w:tcPr>
            <w:tcW w:w="1247"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86</w:t>
            </w:r>
          </w:p>
        </w:tc>
        <w:tc>
          <w:tcPr>
            <w:tcW w:w="1191" w:type="dxa"/>
            <w:tcBorders>
              <w:top w:val="nil"/>
              <w:bottom w:val="nil"/>
            </w:tcBorders>
          </w:tcPr>
          <w:p w:rsidR="00000000" w:rsidRDefault="00000000">
            <w:pPr>
              <w:pStyle w:val="BodyTextIndent2"/>
              <w:tabs>
                <w:tab w:val="left" w:pos="680"/>
              </w:tabs>
              <w:spacing w:before="60" w:after="40"/>
              <w:ind w:firstLine="0"/>
              <w:jc w:val="center"/>
              <w:rPr>
                <w:sz w:val="20"/>
              </w:rPr>
            </w:pPr>
            <w:r>
              <w:rPr>
                <w:sz w:val="20"/>
              </w:rPr>
              <w:t>14</w:t>
            </w:r>
          </w:p>
        </w:tc>
      </w:tr>
      <w:tr w:rsidR="00000000">
        <w:tblPrEx>
          <w:tblCellMar>
            <w:top w:w="0" w:type="dxa"/>
            <w:bottom w:w="0" w:type="dxa"/>
          </w:tblCellMar>
        </w:tblPrEx>
        <w:trPr>
          <w:jc w:val="center"/>
        </w:trPr>
        <w:tc>
          <w:tcPr>
            <w:tcW w:w="3969" w:type="dxa"/>
            <w:tcBorders>
              <w:top w:val="nil"/>
              <w:bottom w:val="nil"/>
            </w:tcBorders>
          </w:tcPr>
          <w:p w:rsidR="00000000" w:rsidRDefault="00000000">
            <w:pPr>
              <w:pStyle w:val="BodyTextIndent2"/>
              <w:tabs>
                <w:tab w:val="left" w:pos="680"/>
              </w:tabs>
              <w:spacing w:before="60" w:after="40"/>
              <w:ind w:firstLine="0"/>
              <w:rPr>
                <w:sz w:val="20"/>
              </w:rPr>
            </w:pPr>
            <w:r>
              <w:rPr>
                <w:sz w:val="20"/>
              </w:rPr>
              <w:t>Национальная служба подземных вод, орашения и дренажа</w:t>
            </w:r>
          </w:p>
        </w:tc>
        <w:tc>
          <w:tcPr>
            <w:tcW w:w="1247" w:type="dxa"/>
            <w:tcBorders>
              <w:top w:val="nil"/>
              <w:bottom w:val="nil"/>
            </w:tcBorders>
          </w:tcPr>
          <w:p w:rsidR="00000000" w:rsidRDefault="00000000">
            <w:pPr>
              <w:pStyle w:val="BodyTextIndent2"/>
              <w:tabs>
                <w:tab w:val="left" w:pos="680"/>
              </w:tabs>
              <w:spacing w:before="60" w:after="40"/>
              <w:ind w:firstLine="0"/>
              <w:jc w:val="center"/>
              <w:rPr>
                <w:sz w:val="20"/>
                <w:lang w:val="en-US"/>
              </w:rPr>
            </w:pPr>
            <w:r>
              <w:rPr>
                <w:sz w:val="20"/>
                <w:lang w:val="en-US"/>
              </w:rPr>
              <w:t>*</w:t>
            </w:r>
          </w:p>
        </w:tc>
        <w:tc>
          <w:tcPr>
            <w:tcW w:w="1191" w:type="dxa"/>
            <w:tcBorders>
              <w:top w:val="nil"/>
              <w:bottom w:val="nil"/>
            </w:tcBorders>
          </w:tcPr>
          <w:p w:rsidR="00000000" w:rsidRDefault="00000000">
            <w:pPr>
              <w:pStyle w:val="BodyTextIndent2"/>
              <w:tabs>
                <w:tab w:val="left" w:pos="680"/>
              </w:tabs>
              <w:spacing w:before="60" w:after="40"/>
              <w:ind w:firstLine="0"/>
              <w:jc w:val="center"/>
              <w:rPr>
                <w:sz w:val="20"/>
                <w:lang w:val="en-US"/>
              </w:rPr>
            </w:pPr>
            <w:r>
              <w:rPr>
                <w:sz w:val="20"/>
                <w:lang w:val="en-US"/>
              </w:rPr>
              <w:t>*</w:t>
            </w:r>
          </w:p>
        </w:tc>
        <w:tc>
          <w:tcPr>
            <w:tcW w:w="1247" w:type="dxa"/>
            <w:tcBorders>
              <w:top w:val="nil"/>
              <w:bottom w:val="nil"/>
            </w:tcBorders>
          </w:tcPr>
          <w:p w:rsidR="00000000" w:rsidRDefault="00000000">
            <w:pPr>
              <w:pStyle w:val="BodyTextIndent2"/>
              <w:tabs>
                <w:tab w:val="left" w:pos="680"/>
              </w:tabs>
              <w:spacing w:before="60" w:after="40"/>
              <w:ind w:firstLine="0"/>
              <w:jc w:val="center"/>
              <w:rPr>
                <w:sz w:val="20"/>
                <w:lang w:val="en-US"/>
              </w:rPr>
            </w:pPr>
            <w:r>
              <w:rPr>
                <w:sz w:val="20"/>
                <w:lang w:val="en-US"/>
              </w:rPr>
              <w:t>100</w:t>
            </w:r>
          </w:p>
        </w:tc>
        <w:tc>
          <w:tcPr>
            <w:tcW w:w="1191" w:type="dxa"/>
            <w:tcBorders>
              <w:top w:val="nil"/>
              <w:bottom w:val="nil"/>
            </w:tcBorders>
          </w:tcPr>
          <w:p w:rsidR="00000000" w:rsidRDefault="00000000">
            <w:pPr>
              <w:pStyle w:val="BodyTextIndent2"/>
              <w:tabs>
                <w:tab w:val="left" w:pos="680"/>
              </w:tabs>
              <w:spacing w:before="60" w:after="40"/>
              <w:ind w:firstLine="0"/>
              <w:jc w:val="center"/>
              <w:rPr>
                <w:sz w:val="20"/>
                <w:lang w:val="en-US"/>
              </w:rPr>
            </w:pPr>
            <w:r>
              <w:rPr>
                <w:sz w:val="20"/>
                <w:lang w:val="en-US"/>
              </w:rPr>
              <w:t>0</w:t>
            </w:r>
          </w:p>
        </w:tc>
      </w:tr>
      <w:tr w:rsidR="00000000">
        <w:tblPrEx>
          <w:tblCellMar>
            <w:top w:w="0" w:type="dxa"/>
            <w:bottom w:w="0" w:type="dxa"/>
          </w:tblCellMar>
        </w:tblPrEx>
        <w:trPr>
          <w:jc w:val="center"/>
        </w:trPr>
        <w:tc>
          <w:tcPr>
            <w:tcW w:w="3969" w:type="dxa"/>
            <w:tcBorders>
              <w:top w:val="nil"/>
            </w:tcBorders>
          </w:tcPr>
          <w:p w:rsidR="00000000" w:rsidRDefault="00000000">
            <w:pPr>
              <w:pStyle w:val="BodyTextIndent2"/>
              <w:tabs>
                <w:tab w:val="left" w:pos="680"/>
              </w:tabs>
              <w:spacing w:before="60" w:after="40"/>
              <w:ind w:firstLine="0"/>
              <w:rPr>
                <w:sz w:val="20"/>
              </w:rPr>
            </w:pPr>
            <w:r>
              <w:rPr>
                <w:sz w:val="20"/>
              </w:rPr>
              <w:t>Национальная система радио- и телевещания (СИНАРТ)</w:t>
            </w:r>
          </w:p>
        </w:tc>
        <w:tc>
          <w:tcPr>
            <w:tcW w:w="1247" w:type="dxa"/>
            <w:tcBorders>
              <w:top w:val="nil"/>
            </w:tcBorders>
          </w:tcPr>
          <w:p w:rsidR="00000000" w:rsidRDefault="00000000">
            <w:pPr>
              <w:pStyle w:val="BodyTextIndent2"/>
              <w:tabs>
                <w:tab w:val="left" w:pos="680"/>
              </w:tabs>
              <w:spacing w:before="60" w:after="40"/>
              <w:ind w:firstLine="0"/>
              <w:jc w:val="center"/>
              <w:rPr>
                <w:sz w:val="20"/>
              </w:rPr>
            </w:pPr>
            <w:r>
              <w:rPr>
                <w:sz w:val="20"/>
              </w:rPr>
              <w:t>*</w:t>
            </w:r>
          </w:p>
        </w:tc>
        <w:tc>
          <w:tcPr>
            <w:tcW w:w="1191" w:type="dxa"/>
            <w:tcBorders>
              <w:top w:val="nil"/>
            </w:tcBorders>
          </w:tcPr>
          <w:p w:rsidR="00000000" w:rsidRDefault="00000000">
            <w:pPr>
              <w:pStyle w:val="BodyTextIndent2"/>
              <w:tabs>
                <w:tab w:val="left" w:pos="680"/>
              </w:tabs>
              <w:spacing w:before="60" w:after="40"/>
              <w:ind w:firstLine="0"/>
              <w:jc w:val="center"/>
              <w:rPr>
                <w:sz w:val="20"/>
                <w:lang w:val="en-US"/>
              </w:rPr>
            </w:pPr>
            <w:r>
              <w:rPr>
                <w:sz w:val="20"/>
                <w:lang w:val="en-US"/>
              </w:rPr>
              <w:t>*</w:t>
            </w:r>
          </w:p>
        </w:tc>
        <w:tc>
          <w:tcPr>
            <w:tcW w:w="1247" w:type="dxa"/>
            <w:tcBorders>
              <w:top w:val="nil"/>
            </w:tcBorders>
          </w:tcPr>
          <w:p w:rsidR="00000000" w:rsidRDefault="00000000">
            <w:pPr>
              <w:pStyle w:val="BodyTextIndent2"/>
              <w:tabs>
                <w:tab w:val="left" w:pos="680"/>
              </w:tabs>
              <w:spacing w:before="60" w:after="40"/>
              <w:ind w:firstLine="0"/>
              <w:jc w:val="center"/>
              <w:rPr>
                <w:sz w:val="20"/>
                <w:lang w:val="en-US"/>
              </w:rPr>
            </w:pPr>
            <w:r>
              <w:rPr>
                <w:sz w:val="20"/>
                <w:lang w:val="en-US"/>
              </w:rPr>
              <w:t>57</w:t>
            </w:r>
          </w:p>
        </w:tc>
        <w:tc>
          <w:tcPr>
            <w:tcW w:w="1191" w:type="dxa"/>
            <w:tcBorders>
              <w:top w:val="nil"/>
            </w:tcBorders>
          </w:tcPr>
          <w:p w:rsidR="00000000" w:rsidRDefault="00000000">
            <w:pPr>
              <w:pStyle w:val="BodyTextIndent2"/>
              <w:tabs>
                <w:tab w:val="left" w:pos="680"/>
              </w:tabs>
              <w:spacing w:before="60" w:after="40"/>
              <w:ind w:firstLine="0"/>
              <w:jc w:val="center"/>
              <w:rPr>
                <w:sz w:val="20"/>
                <w:lang w:val="en-US"/>
              </w:rPr>
            </w:pPr>
            <w:r>
              <w:rPr>
                <w:sz w:val="20"/>
                <w:lang w:val="en-US"/>
              </w:rPr>
              <w:t>43</w:t>
            </w:r>
          </w:p>
        </w:tc>
      </w:tr>
    </w:tbl>
    <w:p w:rsidR="00000000" w:rsidRDefault="00000000">
      <w:pPr>
        <w:pStyle w:val="BodyTextIndent2"/>
        <w:tabs>
          <w:tab w:val="left" w:pos="680"/>
        </w:tabs>
        <w:spacing w:before="120"/>
        <w:ind w:firstLine="0"/>
        <w:jc w:val="both"/>
        <w:rPr>
          <w:sz w:val="20"/>
          <w:lang w:val="en-US"/>
        </w:rPr>
      </w:pPr>
      <w:r>
        <w:rPr>
          <w:b/>
          <w:sz w:val="20"/>
        </w:rPr>
        <w:t>Источники</w:t>
      </w:r>
      <w:r>
        <w:rPr>
          <w:b/>
          <w:sz w:val="20"/>
          <w:lang w:val="en-US"/>
        </w:rPr>
        <w:t>:</w:t>
      </w:r>
      <w:r>
        <w:rPr>
          <w:sz w:val="20"/>
          <w:lang w:val="en-US"/>
        </w:rPr>
        <w:t xml:space="preserve"> Defensoria de los Habitantes, 2000; </w:t>
      </w:r>
      <w:r>
        <w:rPr>
          <w:sz w:val="20"/>
          <w:lang w:val="es-ES"/>
        </w:rPr>
        <w:t>Area</w:t>
      </w:r>
      <w:r>
        <w:rPr>
          <w:sz w:val="20"/>
          <w:lang w:val="en-US"/>
        </w:rPr>
        <w:t xml:space="preserve"> </w:t>
      </w:r>
      <w:r>
        <w:rPr>
          <w:sz w:val="20"/>
          <w:lang w:val="es-ES"/>
        </w:rPr>
        <w:t>de</w:t>
      </w:r>
      <w:r>
        <w:rPr>
          <w:sz w:val="20"/>
          <w:lang w:val="en-US"/>
        </w:rPr>
        <w:t xml:space="preserve"> </w:t>
      </w:r>
      <w:r>
        <w:rPr>
          <w:sz w:val="20"/>
          <w:lang w:val="es-ES"/>
        </w:rPr>
        <w:t>Ciudadania</w:t>
      </w:r>
      <w:r>
        <w:rPr>
          <w:sz w:val="20"/>
          <w:lang w:val="en-US"/>
        </w:rPr>
        <w:t xml:space="preserve"> </w:t>
      </w:r>
      <w:r>
        <w:rPr>
          <w:sz w:val="20"/>
          <w:lang w:val="es-ES"/>
        </w:rPr>
        <w:t>Activa</w:t>
      </w:r>
      <w:r>
        <w:rPr>
          <w:sz w:val="20"/>
          <w:lang w:val="en-US"/>
        </w:rPr>
        <w:t xml:space="preserve">, </w:t>
      </w:r>
      <w:r>
        <w:rPr>
          <w:sz w:val="20"/>
          <w:lang w:val="es-ES"/>
        </w:rPr>
        <w:t>Liderazgo</w:t>
      </w:r>
      <w:r>
        <w:rPr>
          <w:sz w:val="20"/>
          <w:lang w:val="en-US"/>
        </w:rPr>
        <w:t xml:space="preserve"> </w:t>
      </w:r>
      <w:r>
        <w:rPr>
          <w:sz w:val="20"/>
          <w:lang w:val="es-ES"/>
        </w:rPr>
        <w:t>y</w:t>
      </w:r>
      <w:r>
        <w:rPr>
          <w:sz w:val="20"/>
          <w:lang w:val="en-US"/>
        </w:rPr>
        <w:t xml:space="preserve"> </w:t>
      </w:r>
      <w:r>
        <w:rPr>
          <w:sz w:val="20"/>
          <w:lang w:val="es-ES"/>
        </w:rPr>
        <w:t>Gestion</w:t>
      </w:r>
      <w:r>
        <w:rPr>
          <w:sz w:val="20"/>
          <w:lang w:val="en-US"/>
        </w:rPr>
        <w:t xml:space="preserve"> </w:t>
      </w:r>
      <w:r>
        <w:rPr>
          <w:sz w:val="20"/>
          <w:lang w:val="es-ES"/>
        </w:rPr>
        <w:t>Local</w:t>
      </w:r>
      <w:r>
        <w:rPr>
          <w:sz w:val="20"/>
          <w:lang w:val="en-US"/>
        </w:rPr>
        <w:t xml:space="preserve"> – INAMU, 2002.</w:t>
      </w:r>
    </w:p>
    <w:p w:rsidR="00000000" w:rsidRDefault="00000000">
      <w:pPr>
        <w:pStyle w:val="BodyTextIndent2"/>
        <w:tabs>
          <w:tab w:val="left" w:pos="680"/>
        </w:tabs>
        <w:spacing w:before="120"/>
        <w:ind w:firstLine="0"/>
        <w:jc w:val="both"/>
        <w:rPr>
          <w:sz w:val="20"/>
        </w:rPr>
      </w:pPr>
      <w:r>
        <w:rPr>
          <w:sz w:val="20"/>
        </w:rPr>
        <w:t>* Информация недоступна.</w:t>
      </w:r>
    </w:p>
    <w:p w:rsidR="00000000" w:rsidRDefault="00000000">
      <w:pPr>
        <w:pStyle w:val="BodyTextIndent2"/>
        <w:tabs>
          <w:tab w:val="left" w:pos="680"/>
        </w:tabs>
        <w:spacing w:before="240" w:line="260" w:lineRule="exact"/>
        <w:ind w:firstLine="0"/>
        <w:jc w:val="both"/>
        <w:rPr>
          <w:sz w:val="22"/>
        </w:rPr>
      </w:pPr>
      <w:r>
        <w:rPr>
          <w:sz w:val="22"/>
        </w:rPr>
        <w:t>270.</w:t>
      </w:r>
      <w:r>
        <w:rPr>
          <w:sz w:val="22"/>
        </w:rPr>
        <w:tab/>
        <w:t xml:space="preserve">Коллегия адвокатов по защите прав граждан сделала из этих данных вывод о непропорциональной представленности женщин в руководящих советах учреждений, а также о том, что в некоторых учреждениях они не представлены вовсе. Присутствие 34 женщин в руководящих советах нельзя рассматривать как "значительное число женщин", тем более когда имеются такие учреждения, как ККСС, ИКЕ, ИНВУ, КНР, </w:t>
      </w:r>
      <w:r>
        <w:rPr>
          <w:sz w:val="22"/>
          <w:lang w:val="en-US"/>
        </w:rPr>
        <w:t>A</w:t>
      </w:r>
      <w:r>
        <w:rPr>
          <w:sz w:val="22"/>
        </w:rPr>
        <w:t>&amp;</w:t>
      </w:r>
      <w:r>
        <w:rPr>
          <w:sz w:val="22"/>
          <w:lang w:val="en-US"/>
        </w:rPr>
        <w:t>A</w:t>
      </w:r>
      <w:r>
        <w:rPr>
          <w:sz w:val="22"/>
        </w:rPr>
        <w:t xml:space="preserve"> и Национальный банк, в руководящих советах которых женщины не представлены вообще. Такая ситуация свидетельствует о нарушении прав женщин, в том числе их права быть избранными. Исследование, проводившиеся ИНАМУ в 30 учреждениях, показало, что из 215 руководящих должностей только 54 занимают женщины (25,12 процента), в то время как мужчины занимают 161 должность, то есть 74,88 процента должностей.</w:t>
      </w:r>
    </w:p>
    <w:p w:rsidR="00000000" w:rsidRDefault="00000000">
      <w:pPr>
        <w:pStyle w:val="BodyTextIndent2"/>
        <w:tabs>
          <w:tab w:val="left" w:pos="680"/>
        </w:tabs>
        <w:spacing w:before="240" w:line="260" w:lineRule="exact"/>
        <w:ind w:firstLine="0"/>
        <w:jc w:val="both"/>
        <w:rPr>
          <w:sz w:val="22"/>
        </w:rPr>
      </w:pPr>
      <w:r>
        <w:rPr>
          <w:sz w:val="22"/>
        </w:rPr>
        <w:t>271.</w:t>
      </w:r>
      <w:r>
        <w:rPr>
          <w:sz w:val="22"/>
        </w:rPr>
        <w:tab/>
        <w:t>Очевидно, что Закон о содействии социальному равенству женщин неоднозначно и недостаточно четко определяет обязанности государства/правительства в этом отношении. В то же время Конвенция о ликвидации всех форм дискриминации в отношении женщин и принцип недопущения дискриминации женщин требуют от правительства действий, которые обеспечили бы представленность женщин в различных сферах политики на должностях, требующих принятия решений.</w:t>
      </w:r>
    </w:p>
    <w:p w:rsidR="00000000" w:rsidRDefault="00000000">
      <w:pPr>
        <w:pStyle w:val="BodyTextIndent2"/>
        <w:tabs>
          <w:tab w:val="left" w:pos="680"/>
        </w:tabs>
        <w:spacing w:before="240" w:line="260" w:lineRule="exact"/>
        <w:ind w:firstLine="0"/>
        <w:jc w:val="both"/>
        <w:rPr>
          <w:sz w:val="22"/>
        </w:rPr>
      </w:pPr>
      <w:r>
        <w:rPr>
          <w:sz w:val="22"/>
        </w:rPr>
        <w:t>272.</w:t>
      </w:r>
      <w:r>
        <w:rPr>
          <w:sz w:val="22"/>
        </w:rPr>
        <w:tab/>
        <w:t xml:space="preserve">В свое оправдание правительство заявляло, что некоторые из вышеупомянутых учреждений при назначении на руководящие посты должны руководствоваться списками из трех кандидатов, которые им присылают другие организации, имеющие право на представительство в руководящих советах. Несмотря на то что в некоторых случаях действительно работает этот механизм, именно в компетенции правительства или его президиума находится выполнение решения об обязательной квоте для женщин в руководящих органах. По меньшей мере правительство должно направить в организации, представляющие такие списки, напоминание о том, что при их составлении эти организации должны руководствоваться нормами, установленными национальными нормативными актами. </w:t>
      </w:r>
    </w:p>
    <w:p w:rsidR="00000000" w:rsidRDefault="00000000">
      <w:pPr>
        <w:pStyle w:val="BodyTextIndent2"/>
        <w:tabs>
          <w:tab w:val="left" w:pos="680"/>
        </w:tabs>
        <w:spacing w:before="240" w:line="260" w:lineRule="exact"/>
        <w:ind w:firstLine="0"/>
        <w:jc w:val="both"/>
        <w:rPr>
          <w:sz w:val="22"/>
        </w:rPr>
      </w:pPr>
      <w:r>
        <w:rPr>
          <w:sz w:val="22"/>
        </w:rPr>
        <w:t>273.</w:t>
      </w:r>
      <w:r>
        <w:rPr>
          <w:sz w:val="22"/>
        </w:rPr>
        <w:tab/>
        <w:t>Управляющий Канцелярией пояснил, что другим фактором, ограничившим присутствие женщин на должностях, предполагающих принятие решений, в Администрации президента Родригеса (1998–2002 годы), были требования, которые предъявляются к претендентам на такие посты. Коллегия адвокатов по защите прав граждан в ответ заявила, что в большей степени, чем личными качествами женщин, эти ограничения объясняются такими социальными факторами, как та роль, которая традиционно отводится женщинам в семье, время, которое затрачивает женщина на выполнение домашней работы, культурные стереотипы, которые сложились в обществе в отношении участия женщин в тех сферах жизни, которые традиционно отводились мужчинам. Этот вывод совпадает с выводом совещания экспертов Межамериканской комиссии по делам женщин, проведенного в 1987 году, о том, что право быть избранной ограничивается в первую очередь не личными качествами женщины, а совсем другими факторами, в том числе семейными, субъективными и экономическими (</w:t>
      </w:r>
      <w:r>
        <w:rPr>
          <w:sz w:val="22"/>
          <w:lang w:val="en-US"/>
        </w:rPr>
        <w:t>Garcia</w:t>
      </w:r>
      <w:r>
        <w:rPr>
          <w:sz w:val="22"/>
        </w:rPr>
        <w:t xml:space="preserve"> </w:t>
      </w:r>
      <w:r>
        <w:rPr>
          <w:sz w:val="22"/>
          <w:lang w:val="en-US"/>
        </w:rPr>
        <w:t>Prince</w:t>
      </w:r>
      <w:r>
        <w:rPr>
          <w:sz w:val="22"/>
        </w:rPr>
        <w:t>, 2001).</w:t>
      </w:r>
    </w:p>
    <w:p w:rsidR="00000000" w:rsidRDefault="00000000">
      <w:pPr>
        <w:pStyle w:val="BodyTextIndent2"/>
        <w:tabs>
          <w:tab w:val="left" w:pos="680"/>
        </w:tabs>
        <w:spacing w:before="240" w:line="260" w:lineRule="exact"/>
        <w:ind w:firstLine="0"/>
        <w:jc w:val="both"/>
        <w:rPr>
          <w:sz w:val="22"/>
        </w:rPr>
      </w:pPr>
      <w:r>
        <w:rPr>
          <w:sz w:val="22"/>
        </w:rPr>
        <w:t>274.</w:t>
      </w:r>
      <w:r>
        <w:rPr>
          <w:sz w:val="22"/>
        </w:rPr>
        <w:tab/>
        <w:t>Нарушение права женщин быть избранными, которое входит в сложную систему, характеризующую права человека, влечет за собой нарушение и других прав женщин. Не вызывает сомнений, что ограничение участия женщин в политической жизни неизбежно приводит к ослаблению демократии как формы управления, поскольку при принятии решений не учитываются мнения и интересы половины населения страны.</w:t>
      </w:r>
    </w:p>
    <w:p w:rsidR="00000000" w:rsidRDefault="00000000">
      <w:pPr>
        <w:pStyle w:val="BodyTextIndent2"/>
        <w:tabs>
          <w:tab w:val="left" w:pos="680"/>
        </w:tabs>
        <w:spacing w:before="240" w:line="260" w:lineRule="exact"/>
        <w:ind w:firstLine="0"/>
        <w:jc w:val="both"/>
        <w:rPr>
          <w:sz w:val="22"/>
        </w:rPr>
      </w:pPr>
      <w:r>
        <w:rPr>
          <w:sz w:val="22"/>
        </w:rPr>
        <w:t>275.</w:t>
      </w:r>
      <w:r>
        <w:rPr>
          <w:sz w:val="22"/>
        </w:rPr>
        <w:tab/>
        <w:t>В отношении участия женщин в политической жизни Коллегия адвокатов по защите прав граждан отмечает, что, признавая те успехи, которые были достигнуты в этой области, и отмечая ответственную и активную роль, которую сыграло государство в достижении этих успехов, нельзя в то же время закрывать глаза на те препятствия, с которыми встречается женщина при реализации своего права быть избранной или в попытке занять высшие государственные посты. Таким образом, необходимо способствовать активизации участия женщин в общественной, прежде всего политической, жизни. Для того чтобы достичь этой цели, необходимо преодолеть идеологические и социокультурные барьеры, которые определяют неравенство полов на уровне семьи, а также добиться изменения отношения к этой проблеме тех, кто находится у власти, поскольку, не назначая женщин на ответственные должности, они воспроизводят "мужскую систему власти".</w:t>
      </w:r>
    </w:p>
    <w:p w:rsidR="00000000" w:rsidRDefault="00000000">
      <w:pPr>
        <w:pStyle w:val="BodyTextIndent2"/>
        <w:tabs>
          <w:tab w:val="left" w:pos="680"/>
        </w:tabs>
        <w:spacing w:before="240" w:line="260" w:lineRule="exact"/>
        <w:ind w:firstLine="0"/>
        <w:jc w:val="both"/>
        <w:rPr>
          <w:sz w:val="22"/>
        </w:rPr>
      </w:pPr>
      <w:r>
        <w:rPr>
          <w:sz w:val="22"/>
        </w:rPr>
        <w:t>276.</w:t>
      </w:r>
      <w:r>
        <w:rPr>
          <w:sz w:val="22"/>
        </w:rPr>
        <w:tab/>
        <w:t>Существующие международные и национальные нормы по этому вопросу не оказываются ни достаточными, ни четкими при определении ответственности государства, что не позволяет решать эти вопросы в судебном порядке. Ответственность за реализацию права быть избранной нельзя возложить на какую-либо политическую партию, когда эта партия уже находится у власти. Эта ситуация была доведена до сведения общества Конституционной палатой в ее недавней резолюции (2000-4350, в защиту ампаро № 99-7171-0007-СО), в которой указывается:</w:t>
      </w:r>
    </w:p>
    <w:p w:rsidR="00000000" w:rsidRDefault="00000000">
      <w:pPr>
        <w:pStyle w:val="BodyTextIndent2"/>
        <w:tabs>
          <w:tab w:val="left" w:pos="680"/>
        </w:tabs>
        <w:spacing w:before="240" w:line="260" w:lineRule="exact"/>
        <w:ind w:left="680" w:hanging="680"/>
        <w:jc w:val="both"/>
        <w:rPr>
          <w:i/>
          <w:sz w:val="22"/>
        </w:rPr>
      </w:pPr>
      <w:r>
        <w:rPr>
          <w:i/>
          <w:sz w:val="22"/>
        </w:rPr>
        <w:tab/>
        <w:t>"Обсуждаемые договоренности и законные обязательства, с одной стороны, способствуют реализации права женщин на равенство, а с другой – требуют, чтобы органы власти и политические партии приняли меры, способные гарантировать участие женщин в политической жизни; но на основе этих норм невозможно вывести общую правовую норму, гарантирующую в обязательном порядке назначение определенного процента женщин на руководящие должности".</w:t>
      </w:r>
    </w:p>
    <w:p w:rsidR="00000000" w:rsidRDefault="00000000">
      <w:pPr>
        <w:pStyle w:val="BodyTextIndent2"/>
        <w:tabs>
          <w:tab w:val="left" w:pos="680"/>
        </w:tabs>
        <w:spacing w:before="240" w:line="260" w:lineRule="exact"/>
        <w:ind w:firstLine="0"/>
        <w:jc w:val="both"/>
        <w:rPr>
          <w:sz w:val="22"/>
        </w:rPr>
      </w:pPr>
      <w:r>
        <w:rPr>
          <w:sz w:val="22"/>
        </w:rPr>
        <w:t>277.</w:t>
      </w:r>
      <w:r>
        <w:rPr>
          <w:sz w:val="22"/>
        </w:rPr>
        <w:tab/>
        <w:t xml:space="preserve">Все вышесказанное свидетельствует о том, что необходимо продолжать законодательные реформы в этой области. Реализуя свое право на обязательные консультации по этим вопросам с теми комиссиями </w:t>
      </w:r>
      <w:r>
        <w:rPr>
          <w:caps/>
          <w:sz w:val="22"/>
        </w:rPr>
        <w:t>з</w:t>
      </w:r>
      <w:r>
        <w:rPr>
          <w:sz w:val="22"/>
        </w:rPr>
        <w:t>аконодательного собрания, которые изучают проекты законов, ИНАМУ представил комплекс предложений, которые могут дополнить проект закона о реформе Избирательного кодекса (документ № 14268). Эти предложения в настоящее время находятся на рассмотрении в Комиссии по правовым вопросам. Анализ ситуации и предложения направлены на проведение такой реформы, которая решила бы проблемы и заполнила бы лакуны, которые имеются в действующем Кодексе. Ниже представлено краткое изложение этих предложений.</w:t>
      </w:r>
    </w:p>
    <w:p w:rsidR="00000000" w:rsidRDefault="00000000">
      <w:pPr>
        <w:pStyle w:val="BodyTextIndent2"/>
        <w:tabs>
          <w:tab w:val="left" w:pos="680"/>
        </w:tabs>
        <w:spacing w:before="240" w:line="260" w:lineRule="exact"/>
        <w:ind w:firstLine="0"/>
        <w:jc w:val="both"/>
        <w:rPr>
          <w:sz w:val="22"/>
        </w:rPr>
      </w:pPr>
      <w:r>
        <w:rPr>
          <w:sz w:val="22"/>
        </w:rPr>
        <w:t>278.</w:t>
      </w:r>
      <w:r>
        <w:rPr>
          <w:sz w:val="22"/>
        </w:rPr>
        <w:tab/>
        <w:t>Проект реформы предлагает чередовать фамилии мужчин и женщин в избирательных списках, которые политические партии представляют на национальные и местные выборы. Однако механизм чередования кандидатов в зависимости от их пола не гарантирует, что будет достигнуто 40</w:t>
      </w:r>
      <w:r>
        <w:rPr>
          <w:sz w:val="22"/>
        </w:rPr>
        <w:noBreakHyphen/>
        <w:t>процентное представительство женщин, поскольку в связи с существованием предпочтительного голосования (статья 167) список превращается в разблокированный, в котором окончательное распределение мест определяется тем количеством предпочтительных голосов, которые получил тот или иной кандидат (статья 168). В соответствии с вышеупомянутой статьей "кандидаты, набравшие большее количество предпочтительных голосов, займут первые строчки в списке в порядке убывания голосов. Кандидаты, не получившие предпочтительных голосов, будут располагаться ниже первых в том порядке, в котором они были заявлены в избирательном списке". В связи с этим ИНАМУ предложил проводить голосование только по заблокированным спискам.</w:t>
      </w:r>
    </w:p>
    <w:p w:rsidR="00000000" w:rsidRDefault="00000000">
      <w:pPr>
        <w:pStyle w:val="BodyTextIndent2"/>
        <w:tabs>
          <w:tab w:val="left" w:pos="680"/>
        </w:tabs>
        <w:spacing w:before="240" w:line="260" w:lineRule="exact"/>
        <w:ind w:firstLine="0"/>
        <w:jc w:val="both"/>
        <w:rPr>
          <w:sz w:val="22"/>
        </w:rPr>
      </w:pPr>
      <w:r>
        <w:rPr>
          <w:sz w:val="22"/>
        </w:rPr>
        <w:t>279.</w:t>
      </w:r>
      <w:r>
        <w:rPr>
          <w:sz w:val="22"/>
        </w:rPr>
        <w:tab/>
        <w:t>В уставы политических партий (статья 51) должно быть внесено четкое и развернутое положение о соблюдении нормы минимального 40</w:t>
      </w:r>
      <w:r>
        <w:rPr>
          <w:sz w:val="22"/>
        </w:rPr>
        <w:noBreakHyphen/>
        <w:t>процентного представительства женщин и о соответствующем минимальном размере финансирования обучения и подготовки женщин. Вышесказанное основано на Законе о содействии социальному равенству женщин (№ 7142), в статье 6 которого устанавливается, что "политические партии должны выделять определенные средства для активизации участия женщин в политической жизни". Министр по делам женщин полагает, что политические партии должны выделять определенный минимум из тех средств, которые им предоставляет государство, на финансирование обучения и подготовки своих членов, и из этих средств как минимум 30 процентов должно быть направлено на обучение и подготовку женщин.</w:t>
      </w:r>
    </w:p>
    <w:p w:rsidR="00000000" w:rsidRDefault="00000000">
      <w:pPr>
        <w:pStyle w:val="BodyTextIndent2"/>
        <w:tabs>
          <w:tab w:val="left" w:pos="680"/>
        </w:tabs>
        <w:spacing w:before="240" w:line="260" w:lineRule="exact"/>
        <w:ind w:firstLine="0"/>
        <w:jc w:val="both"/>
        <w:rPr>
          <w:sz w:val="22"/>
        </w:rPr>
      </w:pPr>
      <w:r>
        <w:rPr>
          <w:sz w:val="22"/>
        </w:rPr>
        <w:t>280.</w:t>
      </w:r>
      <w:r>
        <w:rPr>
          <w:sz w:val="22"/>
        </w:rPr>
        <w:tab/>
        <w:t>Также было предложено, чтобы во внутренней структуре Высшего избирательного трибунала имелось подразделение, занимающееся проблемами</w:t>
      </w:r>
      <w:r>
        <w:rPr>
          <w:i/>
          <w:sz w:val="22"/>
        </w:rPr>
        <w:t xml:space="preserve"> гендерного равноправия</w:t>
      </w:r>
      <w:r>
        <w:rPr>
          <w:sz w:val="22"/>
        </w:rPr>
        <w:t>, которое стимулировало бы применение стратегий, позволяющих включить гендерный подход в политику, планы и программы, разрабатываемые и реализуемые данным учреждением.</w:t>
      </w:r>
    </w:p>
    <w:p w:rsidR="00000000" w:rsidRDefault="00000000">
      <w:pPr>
        <w:pStyle w:val="BodyTextIndent2"/>
        <w:tabs>
          <w:tab w:val="left" w:pos="680"/>
        </w:tabs>
        <w:spacing w:before="240" w:line="260" w:lineRule="exact"/>
        <w:ind w:firstLine="0"/>
        <w:jc w:val="both"/>
        <w:rPr>
          <w:sz w:val="22"/>
        </w:rPr>
      </w:pPr>
      <w:r>
        <w:rPr>
          <w:sz w:val="22"/>
        </w:rPr>
        <w:t>281.</w:t>
      </w:r>
      <w:r>
        <w:rPr>
          <w:sz w:val="22"/>
        </w:rPr>
        <w:tab/>
        <w:t>Была подчеркнута необходимость в важнейших частях Кодекса использовать такие слова, как избиратель (статья 4), член (статья 8), муниципальный советник (статья 15), президент/вице-президент (статья 20), делегат (глава 4), кандидат, гражданин, как в мужском, так и в женском роде (что вполне допустимо по нормам испанского языка).</w:t>
      </w:r>
    </w:p>
    <w:p w:rsidR="00000000" w:rsidRDefault="00000000">
      <w:pPr>
        <w:pStyle w:val="BodyTextIndent2"/>
        <w:tabs>
          <w:tab w:val="left" w:pos="680"/>
        </w:tabs>
        <w:spacing w:before="240" w:line="260" w:lineRule="exact"/>
        <w:ind w:firstLine="0"/>
        <w:jc w:val="both"/>
        <w:rPr>
          <w:sz w:val="22"/>
        </w:rPr>
      </w:pPr>
      <w:r>
        <w:rPr>
          <w:sz w:val="22"/>
        </w:rPr>
        <w:t>282.</w:t>
      </w:r>
      <w:r>
        <w:rPr>
          <w:sz w:val="22"/>
        </w:rPr>
        <w:tab/>
        <w:t>Вся статистическая информация должна иметь разбивку по полу, включая данные, которые представляет каждая политическая партия, о внутрипартийных, национальных или местных выборах, а также о составе избирательных списков.</w:t>
      </w:r>
    </w:p>
    <w:p w:rsidR="00000000" w:rsidRDefault="00000000">
      <w:pPr>
        <w:pStyle w:val="BodyTextIndent2"/>
        <w:tabs>
          <w:tab w:val="left" w:pos="680"/>
        </w:tabs>
        <w:spacing w:before="240" w:line="260" w:lineRule="exact"/>
        <w:ind w:firstLine="0"/>
        <w:jc w:val="both"/>
        <w:rPr>
          <w:sz w:val="22"/>
        </w:rPr>
      </w:pPr>
      <w:r>
        <w:rPr>
          <w:sz w:val="22"/>
        </w:rPr>
        <w:t>283.</w:t>
      </w:r>
      <w:r>
        <w:rPr>
          <w:sz w:val="22"/>
        </w:rPr>
        <w:tab/>
        <w:t>Предлагается включить новую статью, в которой были бы оговорены необходимые условия, гарантирующие равенство возможностей при назначении делегатов-наблюдателей от Верховного избирательного трибунала. Указывается, что состав делегатов-наблюдателей от Верховного избирательного трибунала будет состоять из мужчин и женщин, которые будут обладать равными возможностями для решения возникающих проблем.</w:t>
      </w:r>
    </w:p>
    <w:p w:rsidR="00000000" w:rsidRDefault="00000000">
      <w:pPr>
        <w:pStyle w:val="BodyTextIndent2"/>
        <w:tabs>
          <w:tab w:val="left" w:pos="680"/>
        </w:tabs>
        <w:spacing w:before="240" w:line="260" w:lineRule="exact"/>
        <w:ind w:firstLine="0"/>
        <w:jc w:val="both"/>
        <w:rPr>
          <w:sz w:val="22"/>
        </w:rPr>
      </w:pPr>
      <w:r>
        <w:rPr>
          <w:sz w:val="22"/>
        </w:rPr>
        <w:t>284.</w:t>
      </w:r>
      <w:r>
        <w:rPr>
          <w:sz w:val="22"/>
        </w:rPr>
        <w:tab/>
        <w:t>В статье 48, в которой речь идет о внутрипартийной организации и демократии, упоминается ряд демократических принципов, которыми должны руководствоваться эти организации в своей повседневной деятельности. Но поскольку в настоящее время принцип равенства только упоминается, ИНАМУ предлагает добавить: "</w:t>
      </w:r>
      <w:r>
        <w:rPr>
          <w:b/>
          <w:sz w:val="22"/>
        </w:rPr>
        <w:t>…принципы равенства и равноправия…"</w:t>
      </w:r>
      <w:r>
        <w:rPr>
          <w:sz w:val="22"/>
        </w:rPr>
        <w:t>.</w:t>
      </w:r>
    </w:p>
    <w:p w:rsidR="00000000" w:rsidRDefault="00000000">
      <w:pPr>
        <w:pStyle w:val="BodyTextIndent2"/>
        <w:tabs>
          <w:tab w:val="left" w:pos="680"/>
        </w:tabs>
        <w:spacing w:before="240" w:line="260" w:lineRule="exact"/>
        <w:ind w:firstLine="0"/>
        <w:jc w:val="both"/>
        <w:rPr>
          <w:sz w:val="22"/>
        </w:rPr>
      </w:pPr>
      <w:r>
        <w:rPr>
          <w:sz w:val="22"/>
        </w:rPr>
        <w:t>285.</w:t>
      </w:r>
      <w:r>
        <w:rPr>
          <w:sz w:val="22"/>
        </w:rPr>
        <w:tab/>
        <w:t>В том же направлении и с целью гарантировать обязательное упоминание женщин во всех частях Кодекса Институт предлагает дополнить права членов политических партий "правом женщин участвовать в принятии решений и занимать ответственные посты в условиях полного равенства и равноправия с мужчинами". В раздел "Обязанности членов политических партий" предлагается внести обязанность "способствовать исключению дискриминации во всех ее формах".</w:t>
      </w:r>
    </w:p>
    <w:p w:rsidR="00000000" w:rsidRDefault="00000000">
      <w:pPr>
        <w:pStyle w:val="BodyTextIndent2"/>
        <w:tabs>
          <w:tab w:val="left" w:pos="680"/>
        </w:tabs>
        <w:spacing w:before="240" w:line="260" w:lineRule="exact"/>
        <w:ind w:firstLine="0"/>
        <w:jc w:val="both"/>
        <w:rPr>
          <w:sz w:val="22"/>
        </w:rPr>
      </w:pPr>
      <w:r>
        <w:rPr>
          <w:sz w:val="22"/>
        </w:rPr>
        <w:t>286.</w:t>
      </w:r>
      <w:r>
        <w:rPr>
          <w:sz w:val="22"/>
        </w:rPr>
        <w:tab/>
        <w:t>ИНАМУ предлагает поддерживать деятельность политических партий и независимых групп, которые распространяют информацию и проводят просветительские кампании, способствующие гражданскому воспитанию общества, стимулирующие участие граждан в общественной и политической жизни, доносящие до сведения общества "</w:t>
      </w:r>
      <w:r>
        <w:rPr>
          <w:b/>
          <w:sz w:val="22"/>
        </w:rPr>
        <w:t>тот вклад, который вносят женщины Коста-Рики в становление политической культуры в стране…</w:t>
      </w:r>
      <w:r>
        <w:rPr>
          <w:sz w:val="22"/>
        </w:rPr>
        <w:t>".</w:t>
      </w:r>
    </w:p>
    <w:p w:rsidR="00000000" w:rsidRDefault="00000000">
      <w:pPr>
        <w:pStyle w:val="BodyTextIndent2"/>
        <w:tabs>
          <w:tab w:val="left" w:pos="680"/>
        </w:tabs>
        <w:spacing w:before="360" w:line="260" w:lineRule="exact"/>
        <w:ind w:firstLine="0"/>
        <w:jc w:val="both"/>
        <w:rPr>
          <w:b/>
          <w:sz w:val="22"/>
        </w:rPr>
      </w:pPr>
      <w:r>
        <w:rPr>
          <w:b/>
          <w:sz w:val="22"/>
        </w:rPr>
        <w:t>Участие женщин в работе судебных органов</w:t>
      </w:r>
    </w:p>
    <w:p w:rsidR="00000000" w:rsidRDefault="00000000">
      <w:pPr>
        <w:pStyle w:val="BodyTextIndent2"/>
        <w:tabs>
          <w:tab w:val="left" w:pos="680"/>
        </w:tabs>
        <w:spacing w:before="240" w:line="260" w:lineRule="exact"/>
        <w:ind w:firstLine="0"/>
        <w:jc w:val="both"/>
        <w:rPr>
          <w:sz w:val="22"/>
        </w:rPr>
      </w:pPr>
      <w:r>
        <w:rPr>
          <w:sz w:val="22"/>
        </w:rPr>
        <w:t>287.</w:t>
      </w:r>
      <w:r>
        <w:rPr>
          <w:sz w:val="22"/>
        </w:rPr>
        <w:tab/>
        <w:t>За период 1994–2000 годов в системе судебных органов было произведено назначение 43 судей, из которых 18 – женщины, что составляет 42 процента. Эти данные свидетельствуют о хотя и довольно медленной, но явной тенденции к расширению участия женщин в отправлении правосудия. Однако следует отметить, что доступ женщин к высшим должностям в этой системе, например к должности Верховного судьи или судьи высшей инстанции, по-прежнему остается крайне затрудненным.</w:t>
      </w:r>
    </w:p>
    <w:p w:rsidR="00000000" w:rsidRDefault="00000000">
      <w:pPr>
        <w:pStyle w:val="BodyTextIndent2"/>
        <w:tabs>
          <w:tab w:val="left" w:pos="680"/>
        </w:tabs>
        <w:spacing w:before="360" w:line="260" w:lineRule="exact"/>
        <w:ind w:firstLine="0"/>
        <w:jc w:val="both"/>
        <w:rPr>
          <w:sz w:val="22"/>
        </w:rPr>
      </w:pPr>
      <w:r>
        <w:rPr>
          <w:b/>
          <w:sz w:val="22"/>
        </w:rPr>
        <w:t>Участие женщин в деятельности Высшего избирательного трибунала</w:t>
      </w:r>
    </w:p>
    <w:p w:rsidR="00000000" w:rsidRDefault="00000000">
      <w:pPr>
        <w:pStyle w:val="BodyTextIndent2"/>
        <w:tabs>
          <w:tab w:val="left" w:pos="680"/>
        </w:tabs>
        <w:spacing w:before="240" w:line="260" w:lineRule="exact"/>
        <w:ind w:firstLine="0"/>
        <w:jc w:val="both"/>
        <w:rPr>
          <w:sz w:val="22"/>
        </w:rPr>
      </w:pPr>
      <w:r>
        <w:rPr>
          <w:sz w:val="22"/>
        </w:rPr>
        <w:t>288.</w:t>
      </w:r>
      <w:r>
        <w:rPr>
          <w:sz w:val="22"/>
        </w:rPr>
        <w:tab/>
        <w:t>Высший избирательный трибунал назначил первую женщину – постоянного судью высшей инстанции в 1998 году. Это явилось важным достижением в обеспечении участия женщин в деятельности судебных органов, поскольку до этого момента Высший избирательный трибунал оставался последним государственным органом, в котором женщины не были представлены. До настоящего времени другие женщины-судьи высшей инстанции не назначались.</w:t>
      </w:r>
    </w:p>
    <w:p w:rsidR="00000000" w:rsidRDefault="00000000">
      <w:pPr>
        <w:pStyle w:val="BodyTextIndent2"/>
        <w:tabs>
          <w:tab w:val="left" w:pos="680"/>
        </w:tabs>
        <w:spacing w:before="360" w:line="260" w:lineRule="exact"/>
        <w:ind w:firstLine="0"/>
        <w:jc w:val="both"/>
        <w:rPr>
          <w:b/>
          <w:sz w:val="22"/>
        </w:rPr>
      </w:pPr>
      <w:r>
        <w:rPr>
          <w:b/>
          <w:sz w:val="22"/>
        </w:rPr>
        <w:t>Достижения женских движений и организаций</w:t>
      </w:r>
    </w:p>
    <w:p w:rsidR="00000000" w:rsidRDefault="00000000">
      <w:pPr>
        <w:tabs>
          <w:tab w:val="left" w:pos="680"/>
        </w:tabs>
        <w:spacing w:before="240" w:line="260" w:lineRule="exact"/>
        <w:jc w:val="both"/>
        <w:rPr>
          <w:sz w:val="22"/>
        </w:rPr>
      </w:pPr>
      <w:r>
        <w:rPr>
          <w:sz w:val="22"/>
        </w:rPr>
        <w:t>289.</w:t>
      </w:r>
      <w:r>
        <w:rPr>
          <w:sz w:val="22"/>
        </w:rPr>
        <w:tab/>
        <w:t xml:space="preserve">В женском движении Коста-Рики участвует большое количество разнообразных организаций и групп, объединенных целью исключить неравенство и дискриминацию по признаку пола и способствовать развитию демократии, в которой социальные и гендерные отношения строились бы на основе равноправия. Это развивающееся общественное движение, уже имеющее как определенные завоевания, так и свои трудности и проблемы, сыграло решающую роль в выполнении Конвенции и обязательств, которые содержатся в Платформе действий, принятой на </w:t>
      </w:r>
      <w:r>
        <w:rPr>
          <w:sz w:val="22"/>
          <w:lang w:val="en-US"/>
        </w:rPr>
        <w:t>IV</w:t>
      </w:r>
      <w:r>
        <w:rPr>
          <w:sz w:val="22"/>
        </w:rPr>
        <w:t xml:space="preserve"> Всемирной конференции по положению женщин.</w:t>
      </w:r>
    </w:p>
    <w:p w:rsidR="00000000" w:rsidRDefault="00000000">
      <w:pPr>
        <w:pStyle w:val="BodyTextIndent2"/>
        <w:tabs>
          <w:tab w:val="left" w:pos="680"/>
        </w:tabs>
        <w:spacing w:before="240" w:line="260" w:lineRule="exact"/>
        <w:ind w:firstLine="0"/>
        <w:jc w:val="both"/>
        <w:rPr>
          <w:sz w:val="22"/>
        </w:rPr>
      </w:pPr>
      <w:r>
        <w:rPr>
          <w:sz w:val="22"/>
        </w:rPr>
        <w:t>290.</w:t>
      </w:r>
      <w:r>
        <w:rPr>
          <w:sz w:val="22"/>
        </w:rPr>
        <w:tab/>
        <w:t>Как говорится в документах Центральноамериканской инициативы по наблюдению за выполнением решений Пекинской конференции (1999 год), в 1990-х годах женское и феминистское движения и неправительственные организации развернули активную деятельность и накопили ценный опыт организации разнообразных мероприятий, действуя как неправительственные организации. Деятельность этих организаций, заставившая усомниться в справедливости сексистской формы управления, сделала эти движения "активными оппонентами государства".</w:t>
      </w:r>
    </w:p>
    <w:p w:rsidR="00000000" w:rsidRDefault="00000000">
      <w:pPr>
        <w:pStyle w:val="BodyTextIndent2"/>
        <w:tabs>
          <w:tab w:val="left" w:pos="680"/>
        </w:tabs>
        <w:spacing w:before="240" w:line="260" w:lineRule="exact"/>
        <w:ind w:firstLine="0"/>
        <w:jc w:val="both"/>
        <w:rPr>
          <w:sz w:val="22"/>
        </w:rPr>
      </w:pPr>
      <w:r>
        <w:rPr>
          <w:sz w:val="22"/>
        </w:rPr>
        <w:t>291.</w:t>
      </w:r>
      <w:r>
        <w:rPr>
          <w:sz w:val="22"/>
        </w:rPr>
        <w:tab/>
        <w:t>Среди основных достижений и завоеваний женского движения за отчетный период можно назвать следующие:</w:t>
      </w:r>
    </w:p>
    <w:p w:rsidR="00000000" w:rsidRDefault="00000000">
      <w:pPr>
        <w:pStyle w:val="BodyTextIndent2"/>
        <w:tabs>
          <w:tab w:val="left" w:pos="680"/>
        </w:tabs>
        <w:spacing w:before="240" w:line="260" w:lineRule="exact"/>
        <w:ind w:firstLine="0"/>
        <w:jc w:val="both"/>
        <w:rPr>
          <w:sz w:val="22"/>
        </w:rPr>
      </w:pPr>
      <w:r>
        <w:rPr>
          <w:sz w:val="22"/>
        </w:rPr>
        <w:t>292.</w:t>
      </w:r>
      <w:r>
        <w:rPr>
          <w:sz w:val="22"/>
        </w:rPr>
        <w:tab/>
        <w:t>Принятие Закона № 7801, в соответствии с которым был создан Национальный институт по делам женщин – организация более независимая и обладающая бóльшим политическим весом, чем ее предшественник – Национальный центр по улучшению положения женщин и семьи. Благодаря инициативе и настойчивости женского движения в руководящий совет этого учреждения удалось ввести представителей неправительственных организаций.</w:t>
      </w:r>
    </w:p>
    <w:p w:rsidR="00000000" w:rsidRDefault="00000000">
      <w:pPr>
        <w:pStyle w:val="BodyTextIndent2"/>
        <w:tabs>
          <w:tab w:val="left" w:pos="680"/>
        </w:tabs>
        <w:spacing w:before="240" w:line="260" w:lineRule="exact"/>
        <w:ind w:firstLine="0"/>
        <w:jc w:val="both"/>
        <w:rPr>
          <w:sz w:val="22"/>
        </w:rPr>
      </w:pPr>
      <w:r>
        <w:rPr>
          <w:sz w:val="22"/>
        </w:rPr>
        <w:t>293.</w:t>
      </w:r>
      <w:r>
        <w:rPr>
          <w:sz w:val="22"/>
        </w:rPr>
        <w:tab/>
        <w:t>Независимый форум женщин, который является координирующим центром разнообразных женских организаций, в сотрудничестве с другими общественными движениями принял участие в Процессе национальной консолидации (1998–1999</w:t>
      </w:r>
      <w:r>
        <w:rPr>
          <w:sz w:val="22"/>
          <w:lang w:val="en-US"/>
        </w:rPr>
        <w:t> </w:t>
      </w:r>
      <w:r>
        <w:rPr>
          <w:sz w:val="22"/>
        </w:rPr>
        <w:t>годы), активно работая в комиссиях по средствам массовой информации, по семейным субсидиям и социальному развитию, по пенсиям, коррупции и развитию сельских районов.</w:t>
      </w:r>
    </w:p>
    <w:p w:rsidR="00000000" w:rsidRDefault="00000000">
      <w:pPr>
        <w:pStyle w:val="BodyTextIndent2"/>
        <w:tabs>
          <w:tab w:val="left" w:pos="680"/>
        </w:tabs>
        <w:spacing w:before="240" w:line="260" w:lineRule="exact"/>
        <w:ind w:firstLine="0"/>
        <w:jc w:val="both"/>
        <w:rPr>
          <w:sz w:val="22"/>
        </w:rPr>
      </w:pPr>
      <w:r>
        <w:rPr>
          <w:sz w:val="22"/>
        </w:rPr>
        <w:t>294.</w:t>
      </w:r>
      <w:r>
        <w:rPr>
          <w:sz w:val="22"/>
        </w:rPr>
        <w:tab/>
        <w:t>В июле 1998 года были внесены изменения в проект правил стерилизации.</w:t>
      </w:r>
    </w:p>
    <w:p w:rsidR="00000000" w:rsidRDefault="00000000">
      <w:pPr>
        <w:pStyle w:val="BodyTextIndent2"/>
        <w:tabs>
          <w:tab w:val="left" w:pos="680"/>
        </w:tabs>
        <w:spacing w:before="240" w:line="260" w:lineRule="exact"/>
        <w:ind w:firstLine="0"/>
        <w:jc w:val="both"/>
        <w:rPr>
          <w:sz w:val="22"/>
        </w:rPr>
      </w:pPr>
      <w:r>
        <w:rPr>
          <w:sz w:val="22"/>
        </w:rPr>
        <w:t>295.</w:t>
      </w:r>
      <w:r>
        <w:rPr>
          <w:sz w:val="22"/>
        </w:rPr>
        <w:tab/>
        <w:t>Проводились разнообразные кампании, целью которых было выполнение требования относительно минимальной 40</w:t>
      </w:r>
      <w:r>
        <w:rPr>
          <w:sz w:val="22"/>
        </w:rPr>
        <w:noBreakHyphen/>
        <w:t>процентной квоте представленности женщин на выборных должностях. Эти мероприятия способствовали тому, что Высший избирательный трибунал в октябре 1999 года вынес положительное заключение по этому вопросу.</w:t>
      </w:r>
    </w:p>
    <w:p w:rsidR="00000000" w:rsidRDefault="00000000">
      <w:pPr>
        <w:pStyle w:val="BodyTextIndent2"/>
        <w:tabs>
          <w:tab w:val="left" w:pos="680"/>
        </w:tabs>
        <w:spacing w:before="240" w:line="260" w:lineRule="exact"/>
        <w:ind w:firstLine="0"/>
        <w:jc w:val="both"/>
        <w:rPr>
          <w:sz w:val="22"/>
        </w:rPr>
      </w:pPr>
      <w:r>
        <w:rPr>
          <w:sz w:val="22"/>
        </w:rPr>
        <w:t>296.</w:t>
      </w:r>
      <w:r>
        <w:rPr>
          <w:sz w:val="22"/>
        </w:rPr>
        <w:tab/>
        <w:t>Впервые во время избирательного процесса (1997–1998 годы) коалиция женских организаций "Политическая повестка дня для женщин", представляющих различные социальные секторы и политические направления, подготовила единый перечень требований, который был представлен всем политическим партиям, участвовавшим в выборах. К выборам 2002 года коалиция "Политическая повестка дня для женщин" при поддержке других организаций смогла составить перечень из 12 пунктов, который был представлен 13 кандидатам на пост президента Республики и был обсужден с 8 из них, с которыми и были подписаны соглашения. "Политическая повестка дня для женщин" является женским движением, ищущим новые организационные формы, которые позволили бы женщинам активно участвовать в политической жизни, отстаивая свои интересы. Основной целью организации являются укрепление женского движения и активизация общественной жизни при соблюдении таких демократических принципов, как права человека, участие в политической жизни и гендерная демократия (Центральноамериканская инициатива по наблюдению за выполнением решений Пекинской конференции, глава, посвященная Коста-Рике, 1999 год).</w:t>
      </w:r>
    </w:p>
    <w:p w:rsidR="00000000" w:rsidRDefault="00000000">
      <w:pPr>
        <w:pStyle w:val="BodyTextIndent2"/>
        <w:tabs>
          <w:tab w:val="left" w:pos="680"/>
        </w:tabs>
        <w:spacing w:before="240" w:line="260" w:lineRule="exact"/>
        <w:ind w:firstLine="0"/>
        <w:jc w:val="both"/>
        <w:rPr>
          <w:sz w:val="22"/>
        </w:rPr>
      </w:pPr>
      <w:r>
        <w:rPr>
          <w:sz w:val="22"/>
        </w:rPr>
        <w:t>297.</w:t>
      </w:r>
      <w:r>
        <w:rPr>
          <w:sz w:val="22"/>
        </w:rPr>
        <w:tab/>
        <w:t>Женское движение явилось инициатором разработки и принятия таких законов, как Закон о борьбе с сексуальными домогательствами на работе и в учебных заведениях (1995 год), Закон о предупреждении насилия в семье (1996 год), Закон о борьбе с сексуальной эксплуатацией несовершеннолетних (1999 год), Закон об ответственном отцовстве (2001 год), а также инициатором и организатором выполнения требований Факультативного протокола к Конвенции о ликвидации всех форм дискриминации в отношении женщин (2001 год).</w:t>
      </w:r>
    </w:p>
    <w:p w:rsidR="00000000" w:rsidRDefault="00000000">
      <w:pPr>
        <w:pStyle w:val="BodyTextIndent2"/>
        <w:tabs>
          <w:tab w:val="left" w:pos="680"/>
        </w:tabs>
        <w:spacing w:before="240" w:line="260" w:lineRule="exact"/>
        <w:ind w:firstLine="0"/>
        <w:jc w:val="both"/>
        <w:rPr>
          <w:sz w:val="22"/>
        </w:rPr>
      </w:pPr>
      <w:r>
        <w:rPr>
          <w:sz w:val="22"/>
        </w:rPr>
        <w:t>298.</w:t>
      </w:r>
      <w:r>
        <w:rPr>
          <w:sz w:val="22"/>
        </w:rPr>
        <w:tab/>
        <w:t xml:space="preserve">Женский форум ИНАМУ как представитель этого сектора женского движения направил в Законодательное собрание проект закона о внесении изменений в Закон о Национальном институте по делам женщин. В данном законопроекте предлагается сделать более демократичной процедуру принятия решений, что означает расширение представленности неправительственных организаций в руководящем совете этого учреждения, а также участие в работе этого совета представителей государственных университетов. Предложенные изменения должны гарантировать подлинную независимость Женского форума как совещательного органа, представляющего гражданское общество. Данный документ в настоящее время находится на рассмотрении в Постоянной комиссии по делам женщин Законодательного собрания. </w:t>
      </w:r>
    </w:p>
    <w:p w:rsidR="00000000" w:rsidRDefault="00000000">
      <w:pPr>
        <w:pStyle w:val="BodyTextIndent2"/>
        <w:tabs>
          <w:tab w:val="left" w:pos="680"/>
        </w:tabs>
        <w:spacing w:before="240" w:line="260" w:lineRule="exact"/>
        <w:ind w:firstLine="0"/>
        <w:jc w:val="both"/>
        <w:rPr>
          <w:sz w:val="22"/>
        </w:rPr>
      </w:pPr>
      <w:r>
        <w:rPr>
          <w:sz w:val="22"/>
        </w:rPr>
        <w:t>299.</w:t>
      </w:r>
      <w:r>
        <w:rPr>
          <w:sz w:val="22"/>
        </w:rPr>
        <w:tab/>
        <w:t xml:space="preserve">Следует также отметить Форум "Пекин + 5 и другие" как организацию, в которой взаимодействуют такие инициативные группы, как "Корни различий", "Региональная инициатива по наблюдению за выполнением решений Пекинской конференции", "Континентальная инициатива индейских женщин", "Инициатива </w:t>
      </w:r>
      <w:r>
        <w:rPr>
          <w:sz w:val="22"/>
          <w:lang w:val="es-ES"/>
        </w:rPr>
        <w:t>Cumbre</w:t>
      </w:r>
      <w:r>
        <w:rPr>
          <w:sz w:val="22"/>
        </w:rPr>
        <w:t xml:space="preserve"> </w:t>
      </w:r>
      <w:r>
        <w:rPr>
          <w:sz w:val="22"/>
          <w:lang w:val="es-ES"/>
        </w:rPr>
        <w:t>Hábitat</w:t>
      </w:r>
      <w:r>
        <w:rPr>
          <w:sz w:val="22"/>
        </w:rPr>
        <w:t xml:space="preserve"> и ее взаимосвязь с решениями Пекинской конференции", а также неправительственные женские организации и просто отдельные женщины. Через эту организацию был налажен контроль со стороны гражданского общества за выполнением решений международных конференций, созываемых Организацией Объединенных Наций, установлены этические границы координации инициатив Института по делам женщин и женского движения, позволившие его представителям участвовать в принятии Институтом решений в целях активизировать участие женщин в политической жизни (Центральноамериканская инициатива по наблюдению за выполнением решений Пекинской конференции, глава, посвященная Коста-Рике, 1999 год)</w:t>
      </w:r>
    </w:p>
    <w:p w:rsidR="00000000" w:rsidRDefault="00000000">
      <w:pPr>
        <w:pStyle w:val="BodyTextIndent2"/>
        <w:tabs>
          <w:tab w:val="left" w:pos="680"/>
        </w:tabs>
        <w:spacing w:before="240" w:line="260" w:lineRule="exact"/>
        <w:ind w:firstLine="0"/>
        <w:jc w:val="both"/>
        <w:rPr>
          <w:sz w:val="22"/>
        </w:rPr>
      </w:pPr>
      <w:r>
        <w:rPr>
          <w:sz w:val="22"/>
        </w:rPr>
        <w:t>300.</w:t>
      </w:r>
      <w:r>
        <w:rPr>
          <w:sz w:val="22"/>
        </w:rPr>
        <w:tab/>
        <w:t>Как "Политическая повестка дня для женщин", так и Форум "Пекин + 5 и другие" и иные инициативные группы стали результатом политической активности женского движения, направленной на поиски методов реализации гражданских прав женщин. Благодаря их деятельности были созданы механизмы, открывающие женщинам доступ к тем уровням власти, на которых принимаются решения, с тем чтобы направления деятельности государства включали меры по реализации прав женщин и учитывали их нужды (Центральноамериканская инициатива по наблюдению за выполнением решений Пекинской конференции, глава, посвященная Коста-Рике, 1999 год).</w:t>
      </w:r>
    </w:p>
    <w:p w:rsidR="00000000" w:rsidRDefault="00000000">
      <w:pPr>
        <w:pStyle w:val="BodyTextIndent2"/>
        <w:tabs>
          <w:tab w:val="left" w:pos="680"/>
        </w:tabs>
        <w:spacing w:before="480" w:line="260" w:lineRule="exact"/>
        <w:ind w:firstLine="0"/>
        <w:jc w:val="center"/>
        <w:rPr>
          <w:b/>
          <w:sz w:val="22"/>
        </w:rPr>
      </w:pPr>
      <w:r>
        <w:rPr>
          <w:b/>
          <w:sz w:val="22"/>
        </w:rPr>
        <w:t xml:space="preserve">Статья 8. Представительство на международном уровне </w:t>
      </w:r>
      <w:r>
        <w:rPr>
          <w:b/>
          <w:sz w:val="22"/>
        </w:rPr>
        <w:br/>
        <w:t>и участие в работе международных организаций</w:t>
      </w:r>
    </w:p>
    <w:p w:rsidR="00000000" w:rsidRDefault="00000000">
      <w:pPr>
        <w:tabs>
          <w:tab w:val="left" w:pos="680"/>
          <w:tab w:val="left" w:pos="1247"/>
        </w:tabs>
        <w:spacing w:before="240" w:line="260" w:lineRule="exact"/>
        <w:ind w:left="1247" w:hanging="1247"/>
        <w:jc w:val="both"/>
        <w:rPr>
          <w:i/>
          <w:sz w:val="22"/>
        </w:rPr>
      </w:pPr>
      <w:r>
        <w:rPr>
          <w:i/>
          <w:sz w:val="22"/>
        </w:rPr>
        <w:t>Статья 8.</w:t>
      </w:r>
      <w:r>
        <w:rPr>
          <w:i/>
          <w:sz w:val="22"/>
        </w:rPr>
        <w:tab/>
        <w:t>Государства-участники принимают все соответствующие меры, чтобы обеспечить женщинам возможность на равных условиях с мужчинами и без какой-либо дискриминации представлять свои правительства на международном уровне и участвовать в работе международных организаций.</w:t>
      </w:r>
    </w:p>
    <w:p w:rsidR="00000000" w:rsidRDefault="00000000">
      <w:pPr>
        <w:pStyle w:val="BodyTextIndent2"/>
        <w:tabs>
          <w:tab w:val="left" w:pos="680"/>
        </w:tabs>
        <w:spacing w:before="360" w:line="260" w:lineRule="exact"/>
        <w:ind w:firstLine="0"/>
        <w:jc w:val="both"/>
        <w:rPr>
          <w:sz w:val="22"/>
        </w:rPr>
      </w:pPr>
      <w:r>
        <w:rPr>
          <w:b/>
          <w:sz w:val="22"/>
        </w:rPr>
        <w:t>Участие женщин в работе дипломатических представительств</w:t>
      </w:r>
    </w:p>
    <w:p w:rsidR="00000000" w:rsidRDefault="00000000">
      <w:pPr>
        <w:pStyle w:val="BodyTextIndent2"/>
        <w:tabs>
          <w:tab w:val="left" w:pos="680"/>
        </w:tabs>
        <w:spacing w:before="240" w:line="260" w:lineRule="exact"/>
        <w:ind w:firstLine="0"/>
        <w:jc w:val="both"/>
        <w:rPr>
          <w:sz w:val="22"/>
        </w:rPr>
      </w:pPr>
      <w:r>
        <w:rPr>
          <w:sz w:val="22"/>
        </w:rPr>
        <w:t>301.</w:t>
      </w:r>
      <w:r>
        <w:rPr>
          <w:sz w:val="22"/>
        </w:rPr>
        <w:tab/>
        <w:t>В последние десять лет постепенно увеличивалось число женщин, работающих в Министерстве иностранных дел и религии. Администрация президента Родригеса впервые назначила женщину заместителем министра. На начало 2002 года 58 процентов персонала Министерства, работающего на территории Коста-Рики, составляли женщины. Не удалось получить точных сведений о занимаемых женщинами должностях в Министерстве (помимо высших должностей), 41 процент которых занимали женщины, а 59 процентов – мужчины. Эти данные отражают значительный рост по сравнению с предыдущим периодом, и если эта тенденция сохранится, через пять лет может быть достигнуто полное равенство.</w:t>
      </w:r>
    </w:p>
    <w:p w:rsidR="00000000" w:rsidRDefault="00000000">
      <w:pPr>
        <w:pStyle w:val="BodyTextIndent2"/>
        <w:tabs>
          <w:tab w:val="left" w:pos="680"/>
        </w:tabs>
        <w:spacing w:before="240" w:line="260" w:lineRule="exact"/>
        <w:ind w:firstLine="0"/>
        <w:jc w:val="both"/>
        <w:rPr>
          <w:sz w:val="22"/>
        </w:rPr>
      </w:pPr>
      <w:r>
        <w:rPr>
          <w:sz w:val="22"/>
        </w:rPr>
        <w:t>302.</w:t>
      </w:r>
      <w:r>
        <w:rPr>
          <w:sz w:val="22"/>
        </w:rPr>
        <w:tab/>
        <w:t>Изучение данных относительно персонала, работающего в представительствах Коста-Рики за рубежом, показало, что в этой сфере продолжает наблюдаться гендерное неравенство, которое выражается в неравных возможностях получения определенных постов. 57 процентов кандидатов для поступления на дипломатическую службу составили женщины: 28 из 49 претендентов. Возраст половины кандидатов-женщин – от 20 до 29 лет, по семейному положению 68 процентов были не замужем, а 32 процента – замужем. Таким образом, молодые и незамужние женщины чаще выражают желание работать за пределами страны, поскольку отсутствие семьи делает их более мобильными. 39 процентов кандидатов работали до этого в частном секторе, 30,6 процента – в государственных учреждениях. Интересно отметить, что 71 процент претендентов не являлись сотрудниками Министерства. 29 процентов претендентов на тот момент работали в Министерстве. Не было выявлено значительных различий в зависимости от пола претендентов.</w:t>
      </w:r>
    </w:p>
    <w:p w:rsidR="00000000" w:rsidRDefault="00000000">
      <w:pPr>
        <w:pStyle w:val="BodyTextIndent2"/>
        <w:tabs>
          <w:tab w:val="left" w:pos="680"/>
        </w:tabs>
        <w:spacing w:before="240" w:line="260" w:lineRule="exact"/>
        <w:ind w:firstLine="0"/>
        <w:jc w:val="both"/>
        <w:rPr>
          <w:sz w:val="22"/>
        </w:rPr>
      </w:pPr>
      <w:r>
        <w:rPr>
          <w:sz w:val="22"/>
        </w:rPr>
        <w:t>303.</w:t>
      </w:r>
      <w:r>
        <w:rPr>
          <w:sz w:val="22"/>
        </w:rPr>
        <w:tab/>
        <w:t>В таблице 7 отражена картина назначений на должности в представительствах Министерства иностранных дел и религии за рубежом, которая сложилась за последние четыре года. Хотя не удалось уточнить число претендентов – мужчин и женщин, отобранных для работы, тем не менее прослеживаются следующие тенденции:</w:t>
      </w:r>
    </w:p>
    <w:p w:rsidR="00000000" w:rsidRDefault="00000000">
      <w:pPr>
        <w:pStyle w:val="BodyTextIndent2"/>
        <w:tabs>
          <w:tab w:val="left" w:pos="340"/>
          <w:tab w:val="left" w:pos="680"/>
        </w:tabs>
        <w:spacing w:before="240" w:line="260" w:lineRule="exact"/>
        <w:ind w:left="340" w:hanging="340"/>
        <w:jc w:val="both"/>
        <w:rPr>
          <w:sz w:val="22"/>
        </w:rPr>
      </w:pPr>
      <w:r>
        <w:rPr>
          <w:sz w:val="22"/>
        </w:rPr>
        <w:t>а.</w:t>
      </w:r>
      <w:r>
        <w:rPr>
          <w:sz w:val="22"/>
        </w:rPr>
        <w:tab/>
        <w:t>Среди претендентов 60 процентов составляли женщины, однако за четыре года было отобрано 60 процентов мужчин. Не установлено, свидетельствует ли это о более низких результатах, продемонстрированных женщинами в процессе отбора, или является следствием сексистского подхода к отбору кандидатов.</w:t>
      </w:r>
    </w:p>
    <w:p w:rsidR="00000000" w:rsidRDefault="00000000">
      <w:pPr>
        <w:pStyle w:val="BodyTextIndent2"/>
        <w:tabs>
          <w:tab w:val="left" w:pos="340"/>
          <w:tab w:val="left" w:pos="680"/>
        </w:tabs>
        <w:spacing w:before="240" w:line="260" w:lineRule="exact"/>
        <w:ind w:left="340" w:hanging="340"/>
        <w:jc w:val="both"/>
        <w:rPr>
          <w:sz w:val="22"/>
        </w:rPr>
      </w:pPr>
      <w:r>
        <w:rPr>
          <w:sz w:val="22"/>
          <w:lang w:val="en-US"/>
        </w:rPr>
        <w:t>b</w:t>
      </w:r>
      <w:r>
        <w:rPr>
          <w:sz w:val="22"/>
        </w:rPr>
        <w:t>.</w:t>
      </w:r>
      <w:r>
        <w:rPr>
          <w:sz w:val="22"/>
        </w:rPr>
        <w:tab/>
        <w:t>Должности посла, консула, почетного консула и советника-посланника, которые являются высшими в иерархии Министерства, в 60 процентах случаев занимают мужчины. Женщины обычно работают делопроизводителями, а также входят в состав технического персонала дипломатических представительств. Это отражает гендерное неравенство в структуре представительств Министерства за рубежом.</w:t>
      </w:r>
    </w:p>
    <w:p w:rsidR="00000000" w:rsidRDefault="00000000">
      <w:pPr>
        <w:pStyle w:val="BodyTextIndent2"/>
        <w:tabs>
          <w:tab w:val="left" w:pos="680"/>
        </w:tabs>
        <w:spacing w:before="240" w:line="260" w:lineRule="exact"/>
        <w:ind w:firstLine="0"/>
        <w:jc w:val="both"/>
        <w:rPr>
          <w:sz w:val="22"/>
        </w:rPr>
      </w:pPr>
    </w:p>
    <w:p w:rsidR="00000000" w:rsidRDefault="00000000">
      <w:pPr>
        <w:pStyle w:val="BodyTextIndent2"/>
        <w:tabs>
          <w:tab w:val="left" w:pos="680"/>
        </w:tabs>
        <w:spacing w:before="240" w:line="260" w:lineRule="exact"/>
        <w:ind w:firstLine="0"/>
        <w:jc w:val="both"/>
        <w:rPr>
          <w:b/>
          <w:sz w:val="22"/>
        </w:rPr>
        <w:sectPr w:rsidR="00000000">
          <w:footerReference w:type="even" r:id="rId20"/>
          <w:footerReference w:type="default" r:id="rId21"/>
          <w:pgSz w:w="12242" w:h="15842" w:code="1"/>
          <w:pgMar w:top="1304" w:right="1701" w:bottom="1701" w:left="1701" w:header="567" w:footer="851" w:gutter="0"/>
          <w:pgNumType w:start="1"/>
          <w:cols w:space="708"/>
          <w:docGrid w:linePitch="360"/>
        </w:sectPr>
      </w:pPr>
    </w:p>
    <w:p w:rsidR="00000000" w:rsidRDefault="00000000">
      <w:pPr>
        <w:pStyle w:val="BodyTextIndent2"/>
        <w:tabs>
          <w:tab w:val="left" w:pos="680"/>
        </w:tabs>
        <w:spacing w:line="260" w:lineRule="exact"/>
        <w:ind w:firstLine="0"/>
        <w:jc w:val="center"/>
        <w:rPr>
          <w:b/>
          <w:sz w:val="22"/>
        </w:rPr>
      </w:pPr>
      <w:r>
        <w:rPr>
          <w:b/>
          <w:sz w:val="22"/>
        </w:rPr>
        <w:t>Таблица 7</w:t>
      </w:r>
    </w:p>
    <w:p w:rsidR="00000000" w:rsidRDefault="00000000">
      <w:pPr>
        <w:pStyle w:val="BodyTextIndent2"/>
        <w:tabs>
          <w:tab w:val="left" w:pos="680"/>
        </w:tabs>
        <w:spacing w:before="120" w:after="120" w:line="260" w:lineRule="exact"/>
        <w:ind w:firstLine="0"/>
        <w:jc w:val="center"/>
        <w:rPr>
          <w:b/>
          <w:sz w:val="22"/>
        </w:rPr>
      </w:pPr>
      <w:r>
        <w:rPr>
          <w:b/>
          <w:sz w:val="22"/>
        </w:rPr>
        <w:t xml:space="preserve">Распределение мужчин и женщин по постам в представительствах </w:t>
      </w:r>
      <w:r>
        <w:rPr>
          <w:b/>
          <w:sz w:val="22"/>
        </w:rPr>
        <w:br/>
        <w:t xml:space="preserve">Министерства иностранных дел и религии за рубежом </w:t>
      </w:r>
      <w:r>
        <w:rPr>
          <w:b/>
          <w:sz w:val="22"/>
        </w:rPr>
        <w:br/>
        <w:t>в 1998–2002 годах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608"/>
        <w:gridCol w:w="1191"/>
        <w:gridCol w:w="1191"/>
        <w:gridCol w:w="1191"/>
        <w:gridCol w:w="1191"/>
        <w:gridCol w:w="1191"/>
        <w:gridCol w:w="1191"/>
        <w:gridCol w:w="1191"/>
        <w:gridCol w:w="1191"/>
        <w:gridCol w:w="1191"/>
        <w:gridCol w:w="1191"/>
      </w:tblGrid>
      <w:tr w:rsidR="00000000">
        <w:tblPrEx>
          <w:tblCellMar>
            <w:top w:w="0" w:type="dxa"/>
            <w:bottom w:w="0" w:type="dxa"/>
          </w:tblCellMar>
        </w:tblPrEx>
        <w:trPr>
          <w:cantSplit/>
          <w:tblHeader/>
          <w:jc w:val="center"/>
        </w:trPr>
        <w:tc>
          <w:tcPr>
            <w:tcW w:w="2608" w:type="dxa"/>
            <w:vMerge w:val="restart"/>
            <w:vAlign w:val="center"/>
          </w:tcPr>
          <w:p w:rsidR="00000000" w:rsidRDefault="00000000">
            <w:pPr>
              <w:pStyle w:val="BodyTextIndent2"/>
              <w:tabs>
                <w:tab w:val="left" w:pos="680"/>
              </w:tabs>
              <w:spacing w:before="80" w:after="80"/>
              <w:ind w:firstLine="0"/>
              <w:jc w:val="center"/>
              <w:rPr>
                <w:sz w:val="20"/>
              </w:rPr>
            </w:pPr>
            <w:r>
              <w:rPr>
                <w:b/>
                <w:sz w:val="20"/>
              </w:rPr>
              <w:t>Должность</w:t>
            </w:r>
          </w:p>
        </w:tc>
        <w:tc>
          <w:tcPr>
            <w:tcW w:w="2382" w:type="dxa"/>
            <w:gridSpan w:val="2"/>
            <w:vAlign w:val="center"/>
          </w:tcPr>
          <w:p w:rsidR="00000000" w:rsidRDefault="00000000">
            <w:pPr>
              <w:pStyle w:val="BodyTextIndent2"/>
              <w:tabs>
                <w:tab w:val="left" w:pos="680"/>
              </w:tabs>
              <w:spacing w:before="80" w:after="80"/>
              <w:ind w:firstLine="0"/>
              <w:jc w:val="center"/>
              <w:rPr>
                <w:sz w:val="20"/>
              </w:rPr>
            </w:pPr>
            <w:r>
              <w:rPr>
                <w:b/>
                <w:sz w:val="20"/>
              </w:rPr>
              <w:t>1998 год</w:t>
            </w:r>
          </w:p>
        </w:tc>
        <w:tc>
          <w:tcPr>
            <w:tcW w:w="2382" w:type="dxa"/>
            <w:gridSpan w:val="2"/>
            <w:vAlign w:val="center"/>
          </w:tcPr>
          <w:p w:rsidR="00000000" w:rsidRDefault="00000000">
            <w:pPr>
              <w:pStyle w:val="BodyTextIndent2"/>
              <w:tabs>
                <w:tab w:val="left" w:pos="680"/>
              </w:tabs>
              <w:spacing w:before="80" w:after="80"/>
              <w:ind w:firstLine="0"/>
              <w:jc w:val="center"/>
              <w:rPr>
                <w:sz w:val="20"/>
              </w:rPr>
            </w:pPr>
            <w:r>
              <w:rPr>
                <w:b/>
                <w:sz w:val="20"/>
              </w:rPr>
              <w:t>1999 год</w:t>
            </w:r>
          </w:p>
        </w:tc>
        <w:tc>
          <w:tcPr>
            <w:tcW w:w="2382" w:type="dxa"/>
            <w:gridSpan w:val="2"/>
            <w:vAlign w:val="center"/>
          </w:tcPr>
          <w:p w:rsidR="00000000" w:rsidRDefault="00000000">
            <w:pPr>
              <w:pStyle w:val="BodyTextIndent2"/>
              <w:tabs>
                <w:tab w:val="left" w:pos="680"/>
              </w:tabs>
              <w:spacing w:before="80" w:after="80"/>
              <w:ind w:firstLine="0"/>
              <w:jc w:val="center"/>
              <w:rPr>
                <w:sz w:val="20"/>
              </w:rPr>
            </w:pPr>
            <w:r>
              <w:rPr>
                <w:b/>
                <w:sz w:val="20"/>
              </w:rPr>
              <w:t>2000 год</w:t>
            </w:r>
          </w:p>
        </w:tc>
        <w:tc>
          <w:tcPr>
            <w:tcW w:w="2382" w:type="dxa"/>
            <w:gridSpan w:val="2"/>
            <w:vAlign w:val="center"/>
          </w:tcPr>
          <w:p w:rsidR="00000000" w:rsidRDefault="00000000">
            <w:pPr>
              <w:pStyle w:val="BodyTextIndent2"/>
              <w:tabs>
                <w:tab w:val="left" w:pos="680"/>
              </w:tabs>
              <w:spacing w:before="80" w:after="80"/>
              <w:ind w:firstLine="0"/>
              <w:jc w:val="center"/>
              <w:rPr>
                <w:sz w:val="20"/>
              </w:rPr>
            </w:pPr>
            <w:r>
              <w:rPr>
                <w:b/>
                <w:sz w:val="20"/>
              </w:rPr>
              <w:t>2001 год</w:t>
            </w:r>
          </w:p>
        </w:tc>
        <w:tc>
          <w:tcPr>
            <w:tcW w:w="2382" w:type="dxa"/>
            <w:gridSpan w:val="2"/>
            <w:vAlign w:val="center"/>
          </w:tcPr>
          <w:p w:rsidR="00000000" w:rsidRDefault="00000000">
            <w:pPr>
              <w:pStyle w:val="BodyTextIndent2"/>
              <w:tabs>
                <w:tab w:val="left" w:pos="680"/>
              </w:tabs>
              <w:spacing w:before="80" w:after="80"/>
              <w:ind w:firstLine="0"/>
              <w:jc w:val="center"/>
              <w:rPr>
                <w:sz w:val="20"/>
              </w:rPr>
            </w:pPr>
            <w:r>
              <w:rPr>
                <w:b/>
                <w:sz w:val="20"/>
              </w:rPr>
              <w:t>2002 год</w:t>
            </w:r>
          </w:p>
        </w:tc>
      </w:tr>
      <w:tr w:rsidR="00000000">
        <w:tblPrEx>
          <w:tblCellMar>
            <w:top w:w="0" w:type="dxa"/>
            <w:bottom w:w="0" w:type="dxa"/>
          </w:tblCellMar>
        </w:tblPrEx>
        <w:trPr>
          <w:cantSplit/>
          <w:tblHeader/>
          <w:jc w:val="center"/>
        </w:trPr>
        <w:tc>
          <w:tcPr>
            <w:tcW w:w="2608" w:type="dxa"/>
            <w:vMerge/>
            <w:vAlign w:val="center"/>
          </w:tcPr>
          <w:p w:rsidR="00000000" w:rsidRDefault="00000000">
            <w:pPr>
              <w:pStyle w:val="BodyTextIndent2"/>
              <w:tabs>
                <w:tab w:val="left" w:pos="680"/>
              </w:tabs>
              <w:spacing w:before="80" w:after="80"/>
              <w:ind w:firstLine="0"/>
              <w:jc w:val="center"/>
              <w:rPr>
                <w:sz w:val="20"/>
              </w:rPr>
            </w:pPr>
          </w:p>
        </w:tc>
        <w:tc>
          <w:tcPr>
            <w:tcW w:w="1191" w:type="dxa"/>
            <w:vAlign w:val="center"/>
          </w:tcPr>
          <w:p w:rsidR="00000000" w:rsidRDefault="00000000">
            <w:pPr>
              <w:pStyle w:val="BodyTextIndent2"/>
              <w:tabs>
                <w:tab w:val="left" w:pos="680"/>
              </w:tabs>
              <w:spacing w:before="80" w:after="80"/>
              <w:ind w:firstLine="0"/>
              <w:jc w:val="center"/>
              <w:rPr>
                <w:b/>
                <w:sz w:val="20"/>
              </w:rPr>
            </w:pPr>
            <w:r>
              <w:rPr>
                <w:b/>
                <w:sz w:val="20"/>
              </w:rPr>
              <w:t>Мужчины</w:t>
            </w:r>
          </w:p>
        </w:tc>
        <w:tc>
          <w:tcPr>
            <w:tcW w:w="1191" w:type="dxa"/>
            <w:vAlign w:val="center"/>
          </w:tcPr>
          <w:p w:rsidR="00000000" w:rsidRDefault="00000000">
            <w:pPr>
              <w:pStyle w:val="BodyTextIndent2"/>
              <w:tabs>
                <w:tab w:val="left" w:pos="680"/>
              </w:tabs>
              <w:spacing w:before="80" w:after="80"/>
              <w:ind w:firstLine="0"/>
              <w:jc w:val="center"/>
              <w:rPr>
                <w:b/>
                <w:sz w:val="20"/>
              </w:rPr>
            </w:pPr>
            <w:r>
              <w:rPr>
                <w:b/>
                <w:sz w:val="20"/>
              </w:rPr>
              <w:t>Женщины</w:t>
            </w:r>
          </w:p>
        </w:tc>
        <w:tc>
          <w:tcPr>
            <w:tcW w:w="1191" w:type="dxa"/>
            <w:vAlign w:val="center"/>
          </w:tcPr>
          <w:p w:rsidR="00000000" w:rsidRDefault="00000000">
            <w:pPr>
              <w:pStyle w:val="BodyTextIndent2"/>
              <w:tabs>
                <w:tab w:val="left" w:pos="680"/>
              </w:tabs>
              <w:spacing w:before="80" w:after="80"/>
              <w:ind w:firstLine="0"/>
              <w:jc w:val="center"/>
              <w:rPr>
                <w:b/>
                <w:sz w:val="20"/>
              </w:rPr>
            </w:pPr>
            <w:r>
              <w:rPr>
                <w:b/>
                <w:sz w:val="20"/>
              </w:rPr>
              <w:t>Мужчины</w:t>
            </w:r>
          </w:p>
        </w:tc>
        <w:tc>
          <w:tcPr>
            <w:tcW w:w="1191" w:type="dxa"/>
            <w:vAlign w:val="center"/>
          </w:tcPr>
          <w:p w:rsidR="00000000" w:rsidRDefault="00000000">
            <w:pPr>
              <w:pStyle w:val="BodyTextIndent2"/>
              <w:tabs>
                <w:tab w:val="left" w:pos="680"/>
              </w:tabs>
              <w:spacing w:before="80" w:after="80"/>
              <w:ind w:firstLine="0"/>
              <w:jc w:val="center"/>
              <w:rPr>
                <w:b/>
                <w:sz w:val="20"/>
              </w:rPr>
            </w:pPr>
            <w:r>
              <w:rPr>
                <w:b/>
                <w:sz w:val="20"/>
              </w:rPr>
              <w:t>Женщины</w:t>
            </w:r>
          </w:p>
        </w:tc>
        <w:tc>
          <w:tcPr>
            <w:tcW w:w="1191" w:type="dxa"/>
            <w:vAlign w:val="center"/>
          </w:tcPr>
          <w:p w:rsidR="00000000" w:rsidRDefault="00000000">
            <w:pPr>
              <w:pStyle w:val="BodyTextIndent2"/>
              <w:tabs>
                <w:tab w:val="left" w:pos="680"/>
              </w:tabs>
              <w:spacing w:before="80" w:after="80"/>
              <w:ind w:firstLine="0"/>
              <w:jc w:val="center"/>
              <w:rPr>
                <w:b/>
                <w:sz w:val="20"/>
              </w:rPr>
            </w:pPr>
            <w:r>
              <w:rPr>
                <w:b/>
                <w:sz w:val="20"/>
              </w:rPr>
              <w:t>Мужчины</w:t>
            </w:r>
          </w:p>
        </w:tc>
        <w:tc>
          <w:tcPr>
            <w:tcW w:w="1191" w:type="dxa"/>
            <w:vAlign w:val="center"/>
          </w:tcPr>
          <w:p w:rsidR="00000000" w:rsidRDefault="00000000">
            <w:pPr>
              <w:pStyle w:val="BodyTextIndent2"/>
              <w:tabs>
                <w:tab w:val="left" w:pos="680"/>
              </w:tabs>
              <w:spacing w:before="80" w:after="80"/>
              <w:ind w:firstLine="0"/>
              <w:jc w:val="center"/>
              <w:rPr>
                <w:b/>
                <w:sz w:val="20"/>
              </w:rPr>
            </w:pPr>
            <w:r>
              <w:rPr>
                <w:b/>
                <w:sz w:val="20"/>
              </w:rPr>
              <w:t>Женщины</w:t>
            </w:r>
          </w:p>
        </w:tc>
        <w:tc>
          <w:tcPr>
            <w:tcW w:w="1191" w:type="dxa"/>
            <w:vAlign w:val="center"/>
          </w:tcPr>
          <w:p w:rsidR="00000000" w:rsidRDefault="00000000">
            <w:pPr>
              <w:pStyle w:val="BodyTextIndent2"/>
              <w:tabs>
                <w:tab w:val="left" w:pos="680"/>
              </w:tabs>
              <w:spacing w:before="80" w:after="80"/>
              <w:ind w:firstLine="0"/>
              <w:jc w:val="center"/>
              <w:rPr>
                <w:b/>
                <w:sz w:val="20"/>
              </w:rPr>
            </w:pPr>
            <w:r>
              <w:rPr>
                <w:b/>
                <w:sz w:val="20"/>
              </w:rPr>
              <w:t>Мужчины</w:t>
            </w:r>
          </w:p>
        </w:tc>
        <w:tc>
          <w:tcPr>
            <w:tcW w:w="1191" w:type="dxa"/>
            <w:vAlign w:val="center"/>
          </w:tcPr>
          <w:p w:rsidR="00000000" w:rsidRDefault="00000000">
            <w:pPr>
              <w:pStyle w:val="BodyTextIndent2"/>
              <w:tabs>
                <w:tab w:val="left" w:pos="680"/>
              </w:tabs>
              <w:spacing w:before="80" w:after="80"/>
              <w:ind w:firstLine="0"/>
              <w:jc w:val="center"/>
              <w:rPr>
                <w:b/>
                <w:sz w:val="20"/>
              </w:rPr>
            </w:pPr>
            <w:r>
              <w:rPr>
                <w:b/>
                <w:sz w:val="20"/>
              </w:rPr>
              <w:t>Женщины</w:t>
            </w:r>
          </w:p>
        </w:tc>
        <w:tc>
          <w:tcPr>
            <w:tcW w:w="1191" w:type="dxa"/>
            <w:vAlign w:val="center"/>
          </w:tcPr>
          <w:p w:rsidR="00000000" w:rsidRDefault="00000000">
            <w:pPr>
              <w:pStyle w:val="BodyTextIndent2"/>
              <w:tabs>
                <w:tab w:val="left" w:pos="680"/>
              </w:tabs>
              <w:spacing w:before="80" w:after="80"/>
              <w:ind w:firstLine="0"/>
              <w:jc w:val="center"/>
              <w:rPr>
                <w:b/>
                <w:sz w:val="20"/>
              </w:rPr>
            </w:pPr>
            <w:r>
              <w:rPr>
                <w:b/>
                <w:sz w:val="20"/>
              </w:rPr>
              <w:t>Мужчины</w:t>
            </w:r>
          </w:p>
        </w:tc>
        <w:tc>
          <w:tcPr>
            <w:tcW w:w="1191" w:type="dxa"/>
            <w:vAlign w:val="center"/>
          </w:tcPr>
          <w:p w:rsidR="00000000" w:rsidRDefault="00000000">
            <w:pPr>
              <w:pStyle w:val="BodyTextIndent2"/>
              <w:tabs>
                <w:tab w:val="left" w:pos="680"/>
              </w:tabs>
              <w:spacing w:before="80" w:after="80"/>
              <w:ind w:firstLine="0"/>
              <w:jc w:val="center"/>
              <w:rPr>
                <w:b/>
                <w:sz w:val="20"/>
              </w:rPr>
            </w:pPr>
            <w:r>
              <w:rPr>
                <w:b/>
                <w:sz w:val="20"/>
              </w:rPr>
              <w:t>Женщины</w:t>
            </w:r>
          </w:p>
        </w:tc>
      </w:tr>
      <w:tr w:rsidR="00000000">
        <w:tblPrEx>
          <w:tblCellMar>
            <w:top w:w="0" w:type="dxa"/>
            <w:bottom w:w="0" w:type="dxa"/>
          </w:tblCellMar>
        </w:tblPrEx>
        <w:trPr>
          <w:jc w:val="center"/>
        </w:trPr>
        <w:tc>
          <w:tcPr>
            <w:tcW w:w="2608" w:type="dxa"/>
            <w:tcBorders>
              <w:bottom w:val="nil"/>
            </w:tcBorders>
          </w:tcPr>
          <w:p w:rsidR="00000000" w:rsidRDefault="00000000">
            <w:pPr>
              <w:pStyle w:val="BodyTextIndent2"/>
              <w:tabs>
                <w:tab w:val="left" w:pos="680"/>
              </w:tabs>
              <w:spacing w:before="40" w:after="40"/>
              <w:ind w:firstLine="0"/>
              <w:jc w:val="center"/>
              <w:rPr>
                <w:sz w:val="20"/>
              </w:rPr>
            </w:pPr>
            <w:r>
              <w:rPr>
                <w:sz w:val="20"/>
              </w:rPr>
              <w:t>Посол</w:t>
            </w:r>
          </w:p>
        </w:tc>
        <w:tc>
          <w:tcPr>
            <w:tcW w:w="1191" w:type="dxa"/>
            <w:tcBorders>
              <w:bottom w:val="nil"/>
            </w:tcBorders>
          </w:tcPr>
          <w:p w:rsidR="00000000" w:rsidRDefault="00000000">
            <w:pPr>
              <w:pStyle w:val="BodyTextIndent2"/>
              <w:tabs>
                <w:tab w:val="left" w:pos="680"/>
              </w:tabs>
              <w:spacing w:before="40" w:after="40"/>
              <w:ind w:firstLine="0"/>
              <w:jc w:val="center"/>
              <w:rPr>
                <w:sz w:val="20"/>
              </w:rPr>
            </w:pPr>
            <w:r>
              <w:rPr>
                <w:sz w:val="20"/>
              </w:rPr>
              <w:t>21</w:t>
            </w:r>
          </w:p>
        </w:tc>
        <w:tc>
          <w:tcPr>
            <w:tcW w:w="1191" w:type="dxa"/>
            <w:tcBorders>
              <w:bottom w:val="nil"/>
            </w:tcBorders>
          </w:tcPr>
          <w:p w:rsidR="00000000" w:rsidRDefault="00000000">
            <w:pPr>
              <w:pStyle w:val="BodyTextIndent2"/>
              <w:tabs>
                <w:tab w:val="left" w:pos="680"/>
              </w:tabs>
              <w:spacing w:before="40" w:after="40"/>
              <w:ind w:firstLine="0"/>
              <w:jc w:val="center"/>
              <w:rPr>
                <w:sz w:val="20"/>
              </w:rPr>
            </w:pPr>
            <w:r>
              <w:rPr>
                <w:sz w:val="20"/>
              </w:rPr>
              <w:t>9</w:t>
            </w:r>
          </w:p>
        </w:tc>
        <w:tc>
          <w:tcPr>
            <w:tcW w:w="1191" w:type="dxa"/>
            <w:tcBorders>
              <w:bottom w:val="nil"/>
            </w:tcBorders>
          </w:tcPr>
          <w:p w:rsidR="00000000" w:rsidRDefault="00000000">
            <w:pPr>
              <w:pStyle w:val="BodyTextIndent2"/>
              <w:tabs>
                <w:tab w:val="left" w:pos="680"/>
              </w:tabs>
              <w:spacing w:before="40" w:after="40"/>
              <w:ind w:firstLine="0"/>
              <w:jc w:val="center"/>
              <w:rPr>
                <w:sz w:val="20"/>
              </w:rPr>
            </w:pPr>
            <w:r>
              <w:rPr>
                <w:sz w:val="20"/>
              </w:rPr>
              <w:t>4</w:t>
            </w:r>
          </w:p>
        </w:tc>
        <w:tc>
          <w:tcPr>
            <w:tcW w:w="1191" w:type="dxa"/>
            <w:tcBorders>
              <w:bottom w:val="nil"/>
            </w:tcBorders>
          </w:tcPr>
          <w:p w:rsidR="00000000" w:rsidRDefault="00000000">
            <w:pPr>
              <w:pStyle w:val="BodyTextIndent2"/>
              <w:tabs>
                <w:tab w:val="left" w:pos="680"/>
              </w:tabs>
              <w:spacing w:before="40" w:after="40"/>
              <w:ind w:firstLine="0"/>
              <w:jc w:val="center"/>
              <w:rPr>
                <w:sz w:val="20"/>
              </w:rPr>
            </w:pPr>
            <w:r>
              <w:rPr>
                <w:sz w:val="20"/>
              </w:rPr>
              <w:t>3</w:t>
            </w:r>
          </w:p>
        </w:tc>
        <w:tc>
          <w:tcPr>
            <w:tcW w:w="1191" w:type="dxa"/>
            <w:tcBorders>
              <w:bottom w:val="nil"/>
            </w:tcBorders>
          </w:tcPr>
          <w:p w:rsidR="00000000" w:rsidRDefault="00000000">
            <w:pPr>
              <w:pStyle w:val="BodyTextIndent2"/>
              <w:tabs>
                <w:tab w:val="left" w:pos="680"/>
              </w:tabs>
              <w:spacing w:before="40" w:after="40"/>
              <w:ind w:firstLine="0"/>
              <w:jc w:val="center"/>
              <w:rPr>
                <w:sz w:val="20"/>
              </w:rPr>
            </w:pPr>
            <w:r>
              <w:rPr>
                <w:sz w:val="20"/>
              </w:rPr>
              <w:t>3</w:t>
            </w:r>
          </w:p>
        </w:tc>
        <w:tc>
          <w:tcPr>
            <w:tcW w:w="1191" w:type="dxa"/>
            <w:tcBorders>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bottom w:val="nil"/>
            </w:tcBorders>
          </w:tcPr>
          <w:p w:rsidR="00000000" w:rsidRDefault="00000000">
            <w:pPr>
              <w:pStyle w:val="BodyTextIndent2"/>
              <w:tabs>
                <w:tab w:val="left" w:pos="680"/>
              </w:tabs>
              <w:spacing w:before="40" w:after="40"/>
              <w:ind w:firstLine="0"/>
              <w:jc w:val="center"/>
              <w:rPr>
                <w:sz w:val="20"/>
              </w:rPr>
            </w:pPr>
            <w:r>
              <w:rPr>
                <w:sz w:val="20"/>
              </w:rPr>
              <w:t>8</w:t>
            </w:r>
          </w:p>
        </w:tc>
        <w:tc>
          <w:tcPr>
            <w:tcW w:w="1191" w:type="dxa"/>
            <w:tcBorders>
              <w:bottom w:val="nil"/>
            </w:tcBorders>
          </w:tcPr>
          <w:p w:rsidR="00000000" w:rsidRDefault="00000000">
            <w:pPr>
              <w:pStyle w:val="BodyTextIndent2"/>
              <w:tabs>
                <w:tab w:val="left" w:pos="680"/>
              </w:tabs>
              <w:spacing w:before="40" w:after="40"/>
              <w:ind w:firstLine="0"/>
              <w:jc w:val="center"/>
              <w:rPr>
                <w:sz w:val="20"/>
              </w:rPr>
            </w:pPr>
            <w:r>
              <w:rPr>
                <w:sz w:val="20"/>
              </w:rPr>
              <w:t>1</w:t>
            </w:r>
          </w:p>
        </w:tc>
        <w:tc>
          <w:tcPr>
            <w:tcW w:w="1191" w:type="dxa"/>
            <w:tcBorders>
              <w:bottom w:val="nil"/>
            </w:tcBorders>
          </w:tcPr>
          <w:p w:rsidR="00000000" w:rsidRDefault="00000000">
            <w:pPr>
              <w:pStyle w:val="BodyTextIndent2"/>
              <w:tabs>
                <w:tab w:val="left" w:pos="680"/>
              </w:tabs>
              <w:spacing w:before="40" w:after="40"/>
              <w:ind w:firstLine="0"/>
              <w:jc w:val="center"/>
              <w:rPr>
                <w:sz w:val="20"/>
              </w:rPr>
            </w:pPr>
            <w:r>
              <w:rPr>
                <w:sz w:val="20"/>
              </w:rPr>
              <w:t>6</w:t>
            </w:r>
          </w:p>
        </w:tc>
        <w:tc>
          <w:tcPr>
            <w:tcW w:w="1191" w:type="dxa"/>
            <w:tcBorders>
              <w:bottom w:val="nil"/>
            </w:tcBorders>
          </w:tcPr>
          <w:p w:rsidR="00000000" w:rsidRDefault="00000000">
            <w:pPr>
              <w:pStyle w:val="BodyTextIndent2"/>
              <w:tabs>
                <w:tab w:val="left" w:pos="680"/>
              </w:tabs>
              <w:spacing w:before="40" w:after="40"/>
              <w:ind w:firstLine="0"/>
              <w:jc w:val="center"/>
              <w:rPr>
                <w:sz w:val="20"/>
              </w:rPr>
            </w:pPr>
            <w:r>
              <w:rPr>
                <w:sz w:val="20"/>
              </w:rPr>
              <w:t>4</w:t>
            </w:r>
          </w:p>
        </w:tc>
      </w:tr>
      <w:tr w:rsidR="00000000">
        <w:tblPrEx>
          <w:tblCellMar>
            <w:top w:w="0" w:type="dxa"/>
            <w:bottom w:w="0" w:type="dxa"/>
          </w:tblCellMar>
        </w:tblPrEx>
        <w:trPr>
          <w:jc w:val="center"/>
        </w:trPr>
        <w:tc>
          <w:tcPr>
            <w:tcW w:w="2608"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Сотрудник административной канцелярии</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1</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6</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5</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3</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5</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4</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1</w:t>
            </w:r>
          </w:p>
        </w:tc>
      </w:tr>
      <w:tr w:rsidR="00000000">
        <w:tblPrEx>
          <w:tblCellMar>
            <w:top w:w="0" w:type="dxa"/>
            <w:bottom w:w="0" w:type="dxa"/>
          </w:tblCellMar>
        </w:tblPrEx>
        <w:trPr>
          <w:jc w:val="center"/>
        </w:trPr>
        <w:tc>
          <w:tcPr>
            <w:tcW w:w="2608"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Советник-посланник</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10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18</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2</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2</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5</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4</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1</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r>
      <w:tr w:rsidR="00000000">
        <w:tblPrEx>
          <w:tblCellMar>
            <w:top w:w="0" w:type="dxa"/>
            <w:bottom w:w="0" w:type="dxa"/>
          </w:tblCellMar>
        </w:tblPrEx>
        <w:trPr>
          <w:jc w:val="center"/>
        </w:trPr>
        <w:tc>
          <w:tcPr>
            <w:tcW w:w="2608"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Почетный консул</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1</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1</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9</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2</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6</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4</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1</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3</w:t>
            </w:r>
          </w:p>
        </w:tc>
      </w:tr>
      <w:tr w:rsidR="00000000">
        <w:tblPrEx>
          <w:tblCellMar>
            <w:top w:w="0" w:type="dxa"/>
            <w:bottom w:w="0" w:type="dxa"/>
          </w:tblCellMar>
        </w:tblPrEx>
        <w:trPr>
          <w:jc w:val="center"/>
        </w:trPr>
        <w:tc>
          <w:tcPr>
            <w:tcW w:w="2608"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Заместитель представителя</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1</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r>
      <w:tr w:rsidR="00000000">
        <w:tblPrEx>
          <w:tblCellMar>
            <w:top w:w="0" w:type="dxa"/>
            <w:bottom w:w="0" w:type="dxa"/>
          </w:tblCellMar>
        </w:tblPrEx>
        <w:trPr>
          <w:jc w:val="center"/>
        </w:trPr>
        <w:tc>
          <w:tcPr>
            <w:tcW w:w="2608"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Административный сотрудник</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1</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1</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1</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r>
      <w:tr w:rsidR="00000000">
        <w:tblPrEx>
          <w:tblCellMar>
            <w:top w:w="0" w:type="dxa"/>
            <w:bottom w:w="0" w:type="dxa"/>
          </w:tblCellMar>
        </w:tblPrEx>
        <w:trPr>
          <w:jc w:val="center"/>
        </w:trPr>
        <w:tc>
          <w:tcPr>
            <w:tcW w:w="2608"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Атташе по культуре</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1</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r>
      <w:tr w:rsidR="00000000">
        <w:tblPrEx>
          <w:tblCellMar>
            <w:top w:w="0" w:type="dxa"/>
            <w:bottom w:w="0" w:type="dxa"/>
          </w:tblCellMar>
        </w:tblPrEx>
        <w:trPr>
          <w:jc w:val="center"/>
        </w:trPr>
        <w:tc>
          <w:tcPr>
            <w:tcW w:w="2608"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Первый секретарь</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1</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4</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1</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1</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1</w:t>
            </w:r>
          </w:p>
        </w:tc>
      </w:tr>
      <w:tr w:rsidR="00000000">
        <w:tblPrEx>
          <w:tblCellMar>
            <w:top w:w="0" w:type="dxa"/>
            <w:bottom w:w="0" w:type="dxa"/>
          </w:tblCellMar>
        </w:tblPrEx>
        <w:trPr>
          <w:jc w:val="center"/>
        </w:trPr>
        <w:tc>
          <w:tcPr>
            <w:tcW w:w="2608"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Советник-посланник и генеральный консул</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11</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7</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2</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2</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2</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3</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1</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1</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1</w:t>
            </w:r>
          </w:p>
        </w:tc>
      </w:tr>
      <w:tr w:rsidR="00000000">
        <w:tblPrEx>
          <w:tblCellMar>
            <w:top w:w="0" w:type="dxa"/>
            <w:bottom w:w="0" w:type="dxa"/>
          </w:tblCellMar>
        </w:tblPrEx>
        <w:trPr>
          <w:jc w:val="center"/>
        </w:trPr>
        <w:tc>
          <w:tcPr>
            <w:tcW w:w="2608"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Водитель</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1</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r>
      <w:tr w:rsidR="00000000">
        <w:tblPrEx>
          <w:tblCellMar>
            <w:top w:w="0" w:type="dxa"/>
            <w:bottom w:w="0" w:type="dxa"/>
          </w:tblCellMar>
        </w:tblPrEx>
        <w:trPr>
          <w:jc w:val="center"/>
        </w:trPr>
        <w:tc>
          <w:tcPr>
            <w:tcW w:w="2608"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Советник</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7</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7</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1</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3</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1</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3</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1</w:t>
            </w:r>
          </w:p>
        </w:tc>
      </w:tr>
      <w:tr w:rsidR="00000000">
        <w:tblPrEx>
          <w:tblCellMar>
            <w:top w:w="0" w:type="dxa"/>
            <w:bottom w:w="0" w:type="dxa"/>
          </w:tblCellMar>
        </w:tblPrEx>
        <w:trPr>
          <w:jc w:val="center"/>
        </w:trPr>
        <w:tc>
          <w:tcPr>
            <w:tcW w:w="2608"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Торговый атташе</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1</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5</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1</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r>
      <w:tr w:rsidR="00000000">
        <w:tblPrEx>
          <w:tblCellMar>
            <w:top w:w="0" w:type="dxa"/>
            <w:bottom w:w="0" w:type="dxa"/>
          </w:tblCellMar>
        </w:tblPrEx>
        <w:trPr>
          <w:jc w:val="center"/>
        </w:trPr>
        <w:tc>
          <w:tcPr>
            <w:tcW w:w="2608"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Генеральный консул</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15</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2</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1</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1</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1</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r>
      <w:tr w:rsidR="00000000">
        <w:tblPrEx>
          <w:tblCellMar>
            <w:top w:w="0" w:type="dxa"/>
            <w:bottom w:w="0" w:type="dxa"/>
          </w:tblCellMar>
        </w:tblPrEx>
        <w:trPr>
          <w:jc w:val="center"/>
        </w:trPr>
        <w:tc>
          <w:tcPr>
            <w:tcW w:w="2608"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Советник и консул</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1</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1</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2</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2</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1</w:t>
            </w:r>
          </w:p>
        </w:tc>
      </w:tr>
      <w:tr w:rsidR="00000000">
        <w:tblPrEx>
          <w:tblCellMar>
            <w:top w:w="0" w:type="dxa"/>
            <w:bottom w:w="0" w:type="dxa"/>
          </w:tblCellMar>
        </w:tblPrEx>
        <w:trPr>
          <w:jc w:val="center"/>
        </w:trPr>
        <w:tc>
          <w:tcPr>
            <w:tcW w:w="2608"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 xml:space="preserve">Первый секретарь </w:t>
            </w:r>
            <w:r>
              <w:rPr>
                <w:sz w:val="20"/>
              </w:rPr>
              <w:br/>
              <w:t>и вице-консул</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1</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2</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r>
      <w:tr w:rsidR="00000000">
        <w:tblPrEx>
          <w:tblCellMar>
            <w:top w:w="0" w:type="dxa"/>
            <w:bottom w:w="0" w:type="dxa"/>
          </w:tblCellMar>
        </w:tblPrEx>
        <w:trPr>
          <w:jc w:val="center"/>
        </w:trPr>
        <w:tc>
          <w:tcPr>
            <w:tcW w:w="2608"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Второй секретарь</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1</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1</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1</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r>
      <w:tr w:rsidR="00000000">
        <w:tblPrEx>
          <w:tblCellMar>
            <w:top w:w="0" w:type="dxa"/>
            <w:bottom w:w="0" w:type="dxa"/>
          </w:tblCellMar>
        </w:tblPrEx>
        <w:trPr>
          <w:jc w:val="center"/>
        </w:trPr>
        <w:tc>
          <w:tcPr>
            <w:tcW w:w="2608"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Вице-консул</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1</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1</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1</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1</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r>
      <w:tr w:rsidR="00000000">
        <w:tblPrEx>
          <w:tblCellMar>
            <w:top w:w="0" w:type="dxa"/>
            <w:bottom w:w="0" w:type="dxa"/>
          </w:tblCellMar>
        </w:tblPrEx>
        <w:trPr>
          <w:jc w:val="center"/>
        </w:trPr>
        <w:tc>
          <w:tcPr>
            <w:tcW w:w="2608"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Почетный вице-консул</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1</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1</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2</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3</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1</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r>
      <w:tr w:rsidR="00000000">
        <w:tblPrEx>
          <w:tblCellMar>
            <w:top w:w="0" w:type="dxa"/>
            <w:bottom w:w="0" w:type="dxa"/>
          </w:tblCellMar>
        </w:tblPrEx>
        <w:trPr>
          <w:jc w:val="center"/>
        </w:trPr>
        <w:tc>
          <w:tcPr>
            <w:tcW w:w="2608" w:type="dxa"/>
            <w:tcBorders>
              <w:top w:val="nil"/>
            </w:tcBorders>
          </w:tcPr>
          <w:p w:rsidR="00000000" w:rsidRDefault="00000000">
            <w:pPr>
              <w:pStyle w:val="BodyTextIndent2"/>
              <w:tabs>
                <w:tab w:val="left" w:pos="680"/>
              </w:tabs>
              <w:spacing w:before="40" w:after="40"/>
              <w:ind w:firstLine="0"/>
              <w:jc w:val="center"/>
              <w:rPr>
                <w:sz w:val="20"/>
              </w:rPr>
            </w:pPr>
            <w:r>
              <w:rPr>
                <w:sz w:val="20"/>
              </w:rPr>
              <w:t>Атташе</w:t>
            </w:r>
          </w:p>
        </w:tc>
        <w:tc>
          <w:tcPr>
            <w:tcW w:w="1191" w:type="dxa"/>
            <w:tcBorders>
              <w:top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tcBorders>
          </w:tcPr>
          <w:p w:rsidR="00000000" w:rsidRDefault="00000000">
            <w:pPr>
              <w:pStyle w:val="BodyTextIndent2"/>
              <w:tabs>
                <w:tab w:val="left" w:pos="680"/>
              </w:tabs>
              <w:spacing w:before="40" w:after="40"/>
              <w:ind w:firstLine="0"/>
              <w:jc w:val="center"/>
              <w:rPr>
                <w:sz w:val="20"/>
              </w:rPr>
            </w:pPr>
            <w:r>
              <w:rPr>
                <w:sz w:val="20"/>
              </w:rPr>
              <w:t>1</w:t>
            </w:r>
          </w:p>
        </w:tc>
        <w:tc>
          <w:tcPr>
            <w:tcW w:w="1191" w:type="dxa"/>
            <w:tcBorders>
              <w:top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tcBorders>
          </w:tcPr>
          <w:p w:rsidR="00000000" w:rsidRDefault="00000000">
            <w:pPr>
              <w:pStyle w:val="BodyTextIndent2"/>
              <w:tabs>
                <w:tab w:val="left" w:pos="680"/>
              </w:tabs>
              <w:spacing w:before="40" w:after="40"/>
              <w:ind w:firstLine="0"/>
              <w:jc w:val="center"/>
              <w:rPr>
                <w:sz w:val="20"/>
              </w:rPr>
            </w:pPr>
            <w:r>
              <w:rPr>
                <w:sz w:val="20"/>
              </w:rPr>
              <w:t>1</w:t>
            </w:r>
          </w:p>
        </w:tc>
        <w:tc>
          <w:tcPr>
            <w:tcW w:w="1191" w:type="dxa"/>
            <w:tcBorders>
              <w:top w:val="nil"/>
            </w:tcBorders>
          </w:tcPr>
          <w:p w:rsidR="00000000" w:rsidRDefault="00000000">
            <w:pPr>
              <w:pStyle w:val="BodyTextIndent2"/>
              <w:tabs>
                <w:tab w:val="left" w:pos="680"/>
              </w:tabs>
              <w:spacing w:before="40" w:after="40"/>
              <w:ind w:firstLine="0"/>
              <w:jc w:val="center"/>
              <w:rPr>
                <w:sz w:val="20"/>
              </w:rPr>
            </w:pPr>
            <w:r>
              <w:rPr>
                <w:sz w:val="20"/>
              </w:rPr>
              <w:t>1</w:t>
            </w:r>
          </w:p>
        </w:tc>
        <w:tc>
          <w:tcPr>
            <w:tcW w:w="1191" w:type="dxa"/>
            <w:tcBorders>
              <w:top w:val="nil"/>
            </w:tcBorders>
          </w:tcPr>
          <w:p w:rsidR="00000000" w:rsidRDefault="00000000">
            <w:pPr>
              <w:pStyle w:val="BodyTextIndent2"/>
              <w:tabs>
                <w:tab w:val="left" w:pos="680"/>
              </w:tabs>
              <w:spacing w:before="40" w:after="40"/>
              <w:ind w:firstLine="0"/>
              <w:jc w:val="center"/>
              <w:rPr>
                <w:sz w:val="20"/>
              </w:rPr>
            </w:pPr>
            <w:r>
              <w:rPr>
                <w:sz w:val="20"/>
              </w:rPr>
              <w:t>1</w:t>
            </w:r>
          </w:p>
        </w:tc>
        <w:tc>
          <w:tcPr>
            <w:tcW w:w="1191" w:type="dxa"/>
            <w:tcBorders>
              <w:top w:val="nil"/>
            </w:tcBorders>
          </w:tcPr>
          <w:p w:rsidR="00000000" w:rsidRDefault="00000000">
            <w:pPr>
              <w:pStyle w:val="BodyTextIndent2"/>
              <w:tabs>
                <w:tab w:val="left" w:pos="680"/>
              </w:tabs>
              <w:spacing w:before="40" w:after="40"/>
              <w:ind w:firstLine="0"/>
              <w:jc w:val="center"/>
              <w:rPr>
                <w:sz w:val="20"/>
              </w:rPr>
            </w:pPr>
            <w:r>
              <w:rPr>
                <w:sz w:val="20"/>
              </w:rPr>
              <w:t>2</w:t>
            </w:r>
          </w:p>
        </w:tc>
        <w:tc>
          <w:tcPr>
            <w:tcW w:w="1191" w:type="dxa"/>
            <w:tcBorders>
              <w:top w:val="nil"/>
            </w:tcBorders>
          </w:tcPr>
          <w:p w:rsidR="00000000" w:rsidRDefault="00000000">
            <w:pPr>
              <w:pStyle w:val="BodyTextIndent2"/>
              <w:tabs>
                <w:tab w:val="left" w:pos="680"/>
              </w:tabs>
              <w:spacing w:before="40" w:after="40"/>
              <w:ind w:firstLine="0"/>
              <w:jc w:val="center"/>
              <w:rPr>
                <w:sz w:val="20"/>
              </w:rPr>
            </w:pPr>
            <w:r>
              <w:rPr>
                <w:sz w:val="20"/>
              </w:rPr>
              <w:t>1</w:t>
            </w:r>
          </w:p>
        </w:tc>
        <w:tc>
          <w:tcPr>
            <w:tcW w:w="1191" w:type="dxa"/>
            <w:tcBorders>
              <w:top w:val="nil"/>
            </w:tcBorders>
          </w:tcPr>
          <w:p w:rsidR="00000000" w:rsidRDefault="00000000">
            <w:pPr>
              <w:pStyle w:val="BodyTextIndent2"/>
              <w:tabs>
                <w:tab w:val="left" w:pos="680"/>
              </w:tabs>
              <w:spacing w:before="40" w:after="40"/>
              <w:ind w:firstLine="0"/>
              <w:jc w:val="center"/>
              <w:rPr>
                <w:sz w:val="20"/>
              </w:rPr>
            </w:pPr>
            <w:r>
              <w:rPr>
                <w:sz w:val="20"/>
              </w:rPr>
              <w:t>1</w:t>
            </w:r>
          </w:p>
        </w:tc>
        <w:tc>
          <w:tcPr>
            <w:tcW w:w="1191" w:type="dxa"/>
            <w:tcBorders>
              <w:top w:val="nil"/>
            </w:tcBorders>
          </w:tcPr>
          <w:p w:rsidR="00000000" w:rsidRDefault="00000000">
            <w:pPr>
              <w:pStyle w:val="BodyTextIndent2"/>
              <w:tabs>
                <w:tab w:val="left" w:pos="680"/>
              </w:tabs>
              <w:spacing w:before="40" w:after="40"/>
              <w:ind w:firstLine="0"/>
              <w:jc w:val="center"/>
              <w:rPr>
                <w:sz w:val="20"/>
              </w:rPr>
            </w:pPr>
            <w:r>
              <w:rPr>
                <w:sz w:val="20"/>
              </w:rPr>
              <w:t>2</w:t>
            </w:r>
          </w:p>
        </w:tc>
      </w:tr>
      <w:tr w:rsidR="00000000">
        <w:tblPrEx>
          <w:tblCellMar>
            <w:top w:w="0" w:type="dxa"/>
            <w:bottom w:w="0" w:type="dxa"/>
          </w:tblCellMar>
        </w:tblPrEx>
        <w:trPr>
          <w:jc w:val="center"/>
        </w:trPr>
        <w:tc>
          <w:tcPr>
            <w:tcW w:w="2608" w:type="dxa"/>
            <w:tcBorders>
              <w:bottom w:val="nil"/>
            </w:tcBorders>
          </w:tcPr>
          <w:p w:rsidR="00000000" w:rsidRDefault="00000000">
            <w:pPr>
              <w:pStyle w:val="BodyTextIndent2"/>
              <w:tabs>
                <w:tab w:val="left" w:pos="680"/>
              </w:tabs>
              <w:spacing w:before="40" w:after="40"/>
              <w:ind w:firstLine="0"/>
              <w:jc w:val="center"/>
              <w:rPr>
                <w:sz w:val="20"/>
              </w:rPr>
            </w:pPr>
            <w:r>
              <w:rPr>
                <w:sz w:val="20"/>
              </w:rPr>
              <w:t xml:space="preserve">Торговый атташе </w:t>
            </w:r>
            <w:r>
              <w:rPr>
                <w:sz w:val="20"/>
              </w:rPr>
              <w:br/>
              <w:t>и вице-консул</w:t>
            </w:r>
          </w:p>
        </w:tc>
        <w:tc>
          <w:tcPr>
            <w:tcW w:w="1191" w:type="dxa"/>
            <w:tcBorders>
              <w:bottom w:val="nil"/>
            </w:tcBorders>
          </w:tcPr>
          <w:p w:rsidR="00000000" w:rsidRDefault="00000000">
            <w:pPr>
              <w:pStyle w:val="BodyTextIndent2"/>
              <w:tabs>
                <w:tab w:val="left" w:pos="680"/>
              </w:tabs>
              <w:spacing w:before="40" w:after="40"/>
              <w:ind w:firstLine="0"/>
              <w:jc w:val="center"/>
              <w:rPr>
                <w:sz w:val="20"/>
              </w:rPr>
            </w:pPr>
            <w:r>
              <w:rPr>
                <w:sz w:val="20"/>
              </w:rPr>
              <w:t>1</w:t>
            </w:r>
          </w:p>
        </w:tc>
        <w:tc>
          <w:tcPr>
            <w:tcW w:w="1191" w:type="dxa"/>
            <w:tcBorders>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bottom w:val="nil"/>
            </w:tcBorders>
          </w:tcPr>
          <w:p w:rsidR="00000000" w:rsidRDefault="00000000">
            <w:pPr>
              <w:pStyle w:val="BodyTextIndent2"/>
              <w:tabs>
                <w:tab w:val="left" w:pos="680"/>
              </w:tabs>
              <w:spacing w:before="40" w:after="40"/>
              <w:ind w:firstLine="0"/>
              <w:jc w:val="center"/>
              <w:rPr>
                <w:sz w:val="20"/>
              </w:rPr>
            </w:pPr>
            <w:r>
              <w:rPr>
                <w:sz w:val="20"/>
              </w:rPr>
              <w:t>0</w:t>
            </w:r>
          </w:p>
        </w:tc>
      </w:tr>
      <w:tr w:rsidR="00000000">
        <w:tblPrEx>
          <w:tblCellMar>
            <w:top w:w="0" w:type="dxa"/>
            <w:bottom w:w="0" w:type="dxa"/>
          </w:tblCellMar>
        </w:tblPrEx>
        <w:trPr>
          <w:jc w:val="center"/>
        </w:trPr>
        <w:tc>
          <w:tcPr>
            <w:tcW w:w="2608"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Консул</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4</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6</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4</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1</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1</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1</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1</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1</w:t>
            </w:r>
          </w:p>
        </w:tc>
      </w:tr>
      <w:tr w:rsidR="00000000">
        <w:tblPrEx>
          <w:tblCellMar>
            <w:top w:w="0" w:type="dxa"/>
            <w:bottom w:w="0" w:type="dxa"/>
          </w:tblCellMar>
        </w:tblPrEx>
        <w:trPr>
          <w:jc w:val="center"/>
        </w:trPr>
        <w:tc>
          <w:tcPr>
            <w:tcW w:w="2608"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Атташе и консул</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1</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r>
      <w:tr w:rsidR="00000000">
        <w:tblPrEx>
          <w:tblCellMar>
            <w:top w:w="0" w:type="dxa"/>
            <w:bottom w:w="0" w:type="dxa"/>
          </w:tblCellMar>
        </w:tblPrEx>
        <w:trPr>
          <w:jc w:val="center"/>
        </w:trPr>
        <w:tc>
          <w:tcPr>
            <w:tcW w:w="2608"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Поверенный в делах</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1</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1</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1</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r>
      <w:tr w:rsidR="00000000">
        <w:tblPrEx>
          <w:tblCellMar>
            <w:top w:w="0" w:type="dxa"/>
            <w:bottom w:w="0" w:type="dxa"/>
          </w:tblCellMar>
        </w:tblPrEx>
        <w:trPr>
          <w:jc w:val="center"/>
        </w:trPr>
        <w:tc>
          <w:tcPr>
            <w:tcW w:w="2608"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Руководитель Почетного консульства</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1</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r>
      <w:tr w:rsidR="00000000">
        <w:tblPrEx>
          <w:tblCellMar>
            <w:top w:w="0" w:type="dxa"/>
            <w:bottom w:w="0" w:type="dxa"/>
          </w:tblCellMar>
        </w:tblPrEx>
        <w:trPr>
          <w:jc w:val="center"/>
        </w:trPr>
        <w:tc>
          <w:tcPr>
            <w:tcW w:w="2608"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Атташе по инвестициям</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1</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r>
      <w:tr w:rsidR="00000000">
        <w:tblPrEx>
          <w:tblCellMar>
            <w:top w:w="0" w:type="dxa"/>
            <w:bottom w:w="0" w:type="dxa"/>
          </w:tblCellMar>
        </w:tblPrEx>
        <w:trPr>
          <w:jc w:val="center"/>
        </w:trPr>
        <w:tc>
          <w:tcPr>
            <w:tcW w:w="2608"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Генеральный почетный консул</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1</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1</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1</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r>
      <w:tr w:rsidR="00000000">
        <w:tblPrEx>
          <w:tblCellMar>
            <w:top w:w="0" w:type="dxa"/>
            <w:bottom w:w="0" w:type="dxa"/>
          </w:tblCellMar>
        </w:tblPrEx>
        <w:trPr>
          <w:jc w:val="center"/>
        </w:trPr>
        <w:tc>
          <w:tcPr>
            <w:tcW w:w="2608"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Советник-посланник</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1</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bottom w:val="nil"/>
            </w:tcBorders>
          </w:tcPr>
          <w:p w:rsidR="00000000" w:rsidRDefault="00000000">
            <w:pPr>
              <w:pStyle w:val="BodyTextIndent2"/>
              <w:tabs>
                <w:tab w:val="left" w:pos="680"/>
              </w:tabs>
              <w:spacing w:before="40" w:after="40"/>
              <w:ind w:firstLine="0"/>
              <w:jc w:val="center"/>
              <w:rPr>
                <w:sz w:val="20"/>
              </w:rPr>
            </w:pPr>
            <w:r>
              <w:rPr>
                <w:sz w:val="20"/>
              </w:rPr>
              <w:t>0</w:t>
            </w:r>
          </w:p>
        </w:tc>
      </w:tr>
      <w:tr w:rsidR="00000000">
        <w:tblPrEx>
          <w:tblCellMar>
            <w:top w:w="0" w:type="dxa"/>
            <w:bottom w:w="0" w:type="dxa"/>
          </w:tblCellMar>
        </w:tblPrEx>
        <w:trPr>
          <w:jc w:val="center"/>
        </w:trPr>
        <w:tc>
          <w:tcPr>
            <w:tcW w:w="2608" w:type="dxa"/>
            <w:tcBorders>
              <w:top w:val="nil"/>
            </w:tcBorders>
          </w:tcPr>
          <w:p w:rsidR="00000000" w:rsidRDefault="00000000">
            <w:pPr>
              <w:pStyle w:val="BodyTextIndent2"/>
              <w:tabs>
                <w:tab w:val="left" w:pos="680"/>
              </w:tabs>
              <w:spacing w:before="40" w:after="40"/>
              <w:ind w:firstLine="0"/>
              <w:jc w:val="center"/>
              <w:rPr>
                <w:sz w:val="20"/>
              </w:rPr>
            </w:pPr>
            <w:r>
              <w:rPr>
                <w:sz w:val="20"/>
              </w:rPr>
              <w:t xml:space="preserve">Советник-посланник </w:t>
            </w:r>
            <w:r>
              <w:rPr>
                <w:sz w:val="20"/>
              </w:rPr>
              <w:br/>
              <w:t>и консул</w:t>
            </w:r>
          </w:p>
        </w:tc>
        <w:tc>
          <w:tcPr>
            <w:tcW w:w="1191" w:type="dxa"/>
            <w:tcBorders>
              <w:top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tcBorders>
          </w:tcPr>
          <w:p w:rsidR="00000000" w:rsidRDefault="00000000">
            <w:pPr>
              <w:pStyle w:val="BodyTextIndent2"/>
              <w:tabs>
                <w:tab w:val="left" w:pos="680"/>
              </w:tabs>
              <w:spacing w:before="40" w:after="40"/>
              <w:ind w:firstLine="0"/>
              <w:jc w:val="center"/>
              <w:rPr>
                <w:sz w:val="20"/>
              </w:rPr>
            </w:pPr>
            <w:r>
              <w:rPr>
                <w:sz w:val="20"/>
              </w:rPr>
              <w:t>1</w:t>
            </w:r>
          </w:p>
        </w:tc>
        <w:tc>
          <w:tcPr>
            <w:tcW w:w="1191" w:type="dxa"/>
            <w:tcBorders>
              <w:top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tcBorders>
          </w:tcPr>
          <w:p w:rsidR="00000000" w:rsidRDefault="00000000">
            <w:pPr>
              <w:pStyle w:val="BodyTextIndent2"/>
              <w:tabs>
                <w:tab w:val="left" w:pos="680"/>
              </w:tabs>
              <w:spacing w:before="40" w:after="40"/>
              <w:ind w:firstLine="0"/>
              <w:jc w:val="center"/>
              <w:rPr>
                <w:sz w:val="20"/>
              </w:rPr>
            </w:pPr>
            <w:r>
              <w:rPr>
                <w:sz w:val="20"/>
              </w:rPr>
              <w:t>0</w:t>
            </w:r>
          </w:p>
        </w:tc>
        <w:tc>
          <w:tcPr>
            <w:tcW w:w="1191" w:type="dxa"/>
            <w:tcBorders>
              <w:top w:val="nil"/>
            </w:tcBorders>
          </w:tcPr>
          <w:p w:rsidR="00000000" w:rsidRDefault="00000000">
            <w:pPr>
              <w:pStyle w:val="BodyTextIndent2"/>
              <w:tabs>
                <w:tab w:val="left" w:pos="680"/>
              </w:tabs>
              <w:spacing w:before="40" w:after="40"/>
              <w:ind w:firstLine="0"/>
              <w:jc w:val="center"/>
              <w:rPr>
                <w:sz w:val="20"/>
              </w:rPr>
            </w:pPr>
            <w:r>
              <w:rPr>
                <w:sz w:val="20"/>
              </w:rPr>
              <w:t>0</w:t>
            </w:r>
          </w:p>
        </w:tc>
      </w:tr>
      <w:tr w:rsidR="00000000">
        <w:tblPrEx>
          <w:tblCellMar>
            <w:top w:w="0" w:type="dxa"/>
            <w:bottom w:w="0" w:type="dxa"/>
          </w:tblCellMar>
        </w:tblPrEx>
        <w:trPr>
          <w:jc w:val="center"/>
        </w:trPr>
        <w:tc>
          <w:tcPr>
            <w:tcW w:w="2608" w:type="dxa"/>
          </w:tcPr>
          <w:p w:rsidR="00000000" w:rsidRDefault="00000000">
            <w:pPr>
              <w:pStyle w:val="BodyTextIndent2"/>
              <w:tabs>
                <w:tab w:val="left" w:pos="680"/>
              </w:tabs>
              <w:spacing w:before="40" w:after="40"/>
              <w:ind w:firstLine="0"/>
              <w:jc w:val="center"/>
              <w:rPr>
                <w:b/>
                <w:sz w:val="20"/>
              </w:rPr>
            </w:pPr>
            <w:r>
              <w:rPr>
                <w:b/>
                <w:sz w:val="20"/>
              </w:rPr>
              <w:t>Всего</w:t>
            </w:r>
          </w:p>
        </w:tc>
        <w:tc>
          <w:tcPr>
            <w:tcW w:w="1191" w:type="dxa"/>
          </w:tcPr>
          <w:p w:rsidR="00000000" w:rsidRDefault="00000000">
            <w:pPr>
              <w:pStyle w:val="BodyTextIndent2"/>
              <w:tabs>
                <w:tab w:val="left" w:pos="680"/>
              </w:tabs>
              <w:spacing w:before="40" w:after="40"/>
              <w:ind w:firstLine="0"/>
              <w:jc w:val="center"/>
              <w:rPr>
                <w:sz w:val="20"/>
              </w:rPr>
            </w:pPr>
            <w:r>
              <w:rPr>
                <w:sz w:val="20"/>
              </w:rPr>
              <w:t>82 (55%)</w:t>
            </w:r>
          </w:p>
        </w:tc>
        <w:tc>
          <w:tcPr>
            <w:tcW w:w="1191" w:type="dxa"/>
          </w:tcPr>
          <w:p w:rsidR="00000000" w:rsidRDefault="00000000">
            <w:pPr>
              <w:pStyle w:val="BodyTextIndent2"/>
              <w:tabs>
                <w:tab w:val="left" w:pos="680"/>
              </w:tabs>
              <w:spacing w:before="40" w:after="40"/>
              <w:ind w:firstLine="0"/>
              <w:jc w:val="center"/>
              <w:rPr>
                <w:sz w:val="20"/>
              </w:rPr>
            </w:pPr>
            <w:r>
              <w:rPr>
                <w:sz w:val="20"/>
              </w:rPr>
              <w:t>66–67 (45%)</w:t>
            </w:r>
          </w:p>
        </w:tc>
        <w:tc>
          <w:tcPr>
            <w:tcW w:w="1191" w:type="dxa"/>
          </w:tcPr>
          <w:p w:rsidR="00000000" w:rsidRDefault="00000000">
            <w:pPr>
              <w:pStyle w:val="BodyTextIndent2"/>
              <w:tabs>
                <w:tab w:val="left" w:pos="680"/>
              </w:tabs>
              <w:spacing w:before="40" w:after="40"/>
              <w:ind w:firstLine="0"/>
              <w:jc w:val="center"/>
              <w:rPr>
                <w:sz w:val="20"/>
              </w:rPr>
            </w:pPr>
            <w:r>
              <w:rPr>
                <w:sz w:val="20"/>
              </w:rPr>
              <w:t>30 (61%)</w:t>
            </w:r>
          </w:p>
        </w:tc>
        <w:tc>
          <w:tcPr>
            <w:tcW w:w="1191" w:type="dxa"/>
          </w:tcPr>
          <w:p w:rsidR="00000000" w:rsidRDefault="00000000">
            <w:pPr>
              <w:pStyle w:val="BodyTextIndent2"/>
              <w:tabs>
                <w:tab w:val="left" w:pos="680"/>
              </w:tabs>
              <w:spacing w:before="40" w:after="40"/>
              <w:ind w:firstLine="0"/>
              <w:jc w:val="center"/>
              <w:rPr>
                <w:sz w:val="20"/>
              </w:rPr>
            </w:pPr>
            <w:r>
              <w:rPr>
                <w:sz w:val="20"/>
              </w:rPr>
              <w:t>19 (38%)</w:t>
            </w:r>
          </w:p>
        </w:tc>
        <w:tc>
          <w:tcPr>
            <w:tcW w:w="1191" w:type="dxa"/>
          </w:tcPr>
          <w:p w:rsidR="00000000" w:rsidRDefault="00000000">
            <w:pPr>
              <w:pStyle w:val="BodyTextIndent2"/>
              <w:tabs>
                <w:tab w:val="left" w:pos="680"/>
              </w:tabs>
              <w:spacing w:before="40" w:after="40"/>
              <w:ind w:firstLine="0"/>
              <w:jc w:val="center"/>
              <w:rPr>
                <w:sz w:val="20"/>
              </w:rPr>
            </w:pPr>
            <w:r>
              <w:rPr>
                <w:sz w:val="20"/>
              </w:rPr>
              <w:t>23 (63%)</w:t>
            </w:r>
          </w:p>
        </w:tc>
        <w:tc>
          <w:tcPr>
            <w:tcW w:w="1191" w:type="dxa"/>
          </w:tcPr>
          <w:p w:rsidR="00000000" w:rsidRDefault="00000000">
            <w:pPr>
              <w:pStyle w:val="BodyTextIndent2"/>
              <w:tabs>
                <w:tab w:val="left" w:pos="680"/>
              </w:tabs>
              <w:spacing w:before="40" w:after="40"/>
              <w:ind w:firstLine="0"/>
              <w:jc w:val="center"/>
              <w:rPr>
                <w:sz w:val="20"/>
              </w:rPr>
            </w:pPr>
            <w:r>
              <w:rPr>
                <w:sz w:val="20"/>
              </w:rPr>
              <w:t>13 (37%)</w:t>
            </w:r>
          </w:p>
        </w:tc>
        <w:tc>
          <w:tcPr>
            <w:tcW w:w="1191" w:type="dxa"/>
          </w:tcPr>
          <w:p w:rsidR="00000000" w:rsidRDefault="00000000">
            <w:pPr>
              <w:pStyle w:val="BodyTextIndent2"/>
              <w:tabs>
                <w:tab w:val="left" w:pos="680"/>
              </w:tabs>
              <w:spacing w:before="40" w:after="40"/>
              <w:ind w:firstLine="0"/>
              <w:jc w:val="center"/>
              <w:rPr>
                <w:sz w:val="20"/>
              </w:rPr>
            </w:pPr>
            <w:r>
              <w:rPr>
                <w:sz w:val="20"/>
              </w:rPr>
              <w:t>31 (62%)</w:t>
            </w:r>
          </w:p>
        </w:tc>
        <w:tc>
          <w:tcPr>
            <w:tcW w:w="1191" w:type="dxa"/>
          </w:tcPr>
          <w:p w:rsidR="00000000" w:rsidRDefault="00000000">
            <w:pPr>
              <w:pStyle w:val="BodyTextIndent2"/>
              <w:tabs>
                <w:tab w:val="left" w:pos="680"/>
              </w:tabs>
              <w:spacing w:before="40" w:after="40"/>
              <w:ind w:firstLine="0"/>
              <w:jc w:val="center"/>
              <w:rPr>
                <w:sz w:val="20"/>
              </w:rPr>
            </w:pPr>
            <w:r>
              <w:rPr>
                <w:sz w:val="20"/>
              </w:rPr>
              <w:t>20 (38%)</w:t>
            </w:r>
          </w:p>
        </w:tc>
        <w:tc>
          <w:tcPr>
            <w:tcW w:w="1191" w:type="dxa"/>
          </w:tcPr>
          <w:p w:rsidR="00000000" w:rsidRDefault="00000000">
            <w:pPr>
              <w:pStyle w:val="BodyTextIndent2"/>
              <w:tabs>
                <w:tab w:val="left" w:pos="680"/>
              </w:tabs>
              <w:spacing w:before="40" w:after="40"/>
              <w:ind w:firstLine="0"/>
              <w:jc w:val="center"/>
              <w:rPr>
                <w:sz w:val="20"/>
              </w:rPr>
            </w:pPr>
            <w:r>
              <w:rPr>
                <w:sz w:val="20"/>
              </w:rPr>
              <w:t>14 (49%)</w:t>
            </w:r>
          </w:p>
        </w:tc>
        <w:tc>
          <w:tcPr>
            <w:tcW w:w="1191" w:type="dxa"/>
          </w:tcPr>
          <w:p w:rsidR="00000000" w:rsidRDefault="00000000">
            <w:pPr>
              <w:pStyle w:val="BodyTextIndent2"/>
              <w:tabs>
                <w:tab w:val="left" w:pos="680"/>
              </w:tabs>
              <w:spacing w:before="40" w:after="40"/>
              <w:ind w:firstLine="0"/>
              <w:jc w:val="center"/>
              <w:rPr>
                <w:sz w:val="20"/>
              </w:rPr>
            </w:pPr>
            <w:r>
              <w:rPr>
                <w:sz w:val="20"/>
              </w:rPr>
              <w:t>15 (51%)</w:t>
            </w:r>
          </w:p>
        </w:tc>
      </w:tr>
    </w:tbl>
    <w:p w:rsidR="00000000" w:rsidRDefault="00000000">
      <w:pPr>
        <w:pStyle w:val="BodyTextIndent2"/>
        <w:tabs>
          <w:tab w:val="left" w:pos="680"/>
        </w:tabs>
        <w:spacing w:before="240" w:line="260" w:lineRule="exact"/>
        <w:ind w:firstLine="0"/>
        <w:jc w:val="both"/>
        <w:rPr>
          <w:sz w:val="20"/>
        </w:rPr>
      </w:pPr>
      <w:r>
        <w:rPr>
          <w:b/>
          <w:sz w:val="20"/>
        </w:rPr>
        <w:t xml:space="preserve">Источник: </w:t>
      </w:r>
      <w:r>
        <w:rPr>
          <w:sz w:val="20"/>
        </w:rPr>
        <w:t>На основе сведений Министерства иностранных дел и религии, 2002 год.</w:t>
      </w:r>
    </w:p>
    <w:p w:rsidR="00000000" w:rsidRDefault="00000000">
      <w:pPr>
        <w:pStyle w:val="BodyTextIndent2"/>
        <w:tabs>
          <w:tab w:val="left" w:pos="680"/>
        </w:tabs>
        <w:spacing w:before="240" w:line="260" w:lineRule="exact"/>
        <w:ind w:firstLine="0"/>
        <w:jc w:val="both"/>
        <w:rPr>
          <w:b/>
          <w:sz w:val="20"/>
        </w:rPr>
      </w:pPr>
    </w:p>
    <w:p w:rsidR="00000000" w:rsidRDefault="00000000">
      <w:pPr>
        <w:pStyle w:val="BodyTextIndent2"/>
        <w:tabs>
          <w:tab w:val="left" w:pos="680"/>
        </w:tabs>
        <w:spacing w:before="240" w:line="260" w:lineRule="exact"/>
        <w:ind w:firstLine="0"/>
        <w:jc w:val="both"/>
        <w:rPr>
          <w:b/>
          <w:sz w:val="22"/>
        </w:rPr>
        <w:sectPr w:rsidR="00000000">
          <w:pgSz w:w="16838" w:h="11906" w:orient="landscape" w:code="9"/>
          <w:pgMar w:top="851" w:right="1134" w:bottom="1701" w:left="1134" w:header="709" w:footer="709" w:gutter="0"/>
          <w:cols w:space="708"/>
          <w:docGrid w:linePitch="360"/>
        </w:sectPr>
      </w:pPr>
    </w:p>
    <w:p w:rsidR="00000000" w:rsidRDefault="00000000">
      <w:pPr>
        <w:pStyle w:val="BodyTextIndent2"/>
        <w:tabs>
          <w:tab w:val="left" w:pos="680"/>
        </w:tabs>
        <w:spacing w:line="260" w:lineRule="exact"/>
        <w:ind w:firstLine="0"/>
        <w:jc w:val="both"/>
        <w:rPr>
          <w:b/>
          <w:sz w:val="22"/>
        </w:rPr>
      </w:pPr>
      <w:r>
        <w:rPr>
          <w:b/>
          <w:sz w:val="22"/>
        </w:rPr>
        <w:t>Гендерное равноправие в сфере внешней политики</w:t>
      </w:r>
    </w:p>
    <w:p w:rsidR="00000000" w:rsidRDefault="00000000">
      <w:pPr>
        <w:pStyle w:val="BodyTextIndent2"/>
        <w:tabs>
          <w:tab w:val="left" w:pos="680"/>
        </w:tabs>
        <w:spacing w:before="240" w:line="260" w:lineRule="exact"/>
        <w:ind w:firstLine="0"/>
        <w:jc w:val="both"/>
        <w:rPr>
          <w:sz w:val="22"/>
        </w:rPr>
      </w:pPr>
      <w:r>
        <w:rPr>
          <w:sz w:val="22"/>
        </w:rPr>
        <w:t>304.</w:t>
      </w:r>
      <w:r>
        <w:rPr>
          <w:sz w:val="22"/>
        </w:rPr>
        <w:tab/>
        <w:t>ИНАМУ во взаимодействии с Министерством иностранных дел осуществил ряд мероприятий, направленных на ликвидацию препятствий на пути к гендерному равенству в области внешней политики, отмеченных в первоначальном докладе. Результатом этих мероприятий стало следующее (ИНАМУ, 2000 год):</w:t>
      </w:r>
    </w:p>
    <w:p w:rsidR="00000000" w:rsidRDefault="00000000">
      <w:pPr>
        <w:pStyle w:val="BodyTextIndent2"/>
        <w:tabs>
          <w:tab w:val="left" w:pos="340"/>
          <w:tab w:val="left" w:pos="680"/>
        </w:tabs>
        <w:spacing w:before="240" w:line="260" w:lineRule="exact"/>
        <w:ind w:left="340" w:hanging="340"/>
        <w:jc w:val="both"/>
        <w:rPr>
          <w:sz w:val="22"/>
        </w:rPr>
      </w:pPr>
      <w:r>
        <w:rPr>
          <w:sz w:val="22"/>
        </w:rPr>
        <w:t>а.</w:t>
      </w:r>
      <w:r>
        <w:rPr>
          <w:sz w:val="22"/>
        </w:rPr>
        <w:tab/>
        <w:t>Все более широкое отражение гендерных аспектов в государственной политике.</w:t>
      </w:r>
    </w:p>
    <w:p w:rsidR="00000000" w:rsidRDefault="00000000">
      <w:pPr>
        <w:pStyle w:val="BodyTextIndent2"/>
        <w:tabs>
          <w:tab w:val="left" w:pos="340"/>
          <w:tab w:val="left" w:pos="680"/>
        </w:tabs>
        <w:spacing w:before="240" w:line="260" w:lineRule="exact"/>
        <w:ind w:left="340" w:hanging="340"/>
        <w:jc w:val="both"/>
        <w:rPr>
          <w:sz w:val="22"/>
        </w:rPr>
      </w:pPr>
      <w:r>
        <w:rPr>
          <w:sz w:val="22"/>
          <w:lang w:val="en-US"/>
        </w:rPr>
        <w:t>b</w:t>
      </w:r>
      <w:r>
        <w:rPr>
          <w:sz w:val="22"/>
        </w:rPr>
        <w:t>.</w:t>
      </w:r>
      <w:r>
        <w:rPr>
          <w:sz w:val="22"/>
        </w:rPr>
        <w:tab/>
        <w:t>Признание Министерством Национального механизма по вопросам улучшения положения женщины руководящим органом в достижении равенства. Этот шаг позволил ИНАМУ консультировать Министерство при выработке позиции по тем вопросам, которые касаются прав женщин.</w:t>
      </w:r>
    </w:p>
    <w:p w:rsidR="00000000" w:rsidRDefault="00000000">
      <w:pPr>
        <w:pStyle w:val="BodyTextIndent2"/>
        <w:tabs>
          <w:tab w:val="left" w:pos="340"/>
          <w:tab w:val="left" w:pos="680"/>
        </w:tabs>
        <w:spacing w:before="240" w:line="260" w:lineRule="exact"/>
        <w:ind w:left="340" w:hanging="340"/>
        <w:jc w:val="both"/>
        <w:rPr>
          <w:sz w:val="22"/>
        </w:rPr>
      </w:pPr>
      <w:r>
        <w:rPr>
          <w:sz w:val="22"/>
        </w:rPr>
        <w:t>с.</w:t>
      </w:r>
      <w:r>
        <w:rPr>
          <w:sz w:val="22"/>
        </w:rPr>
        <w:tab/>
        <w:t>Назначение представителей указанного Национального механизма членами официальных делегаций в ранге руководителей на посвященных проблемам женщин и гендерным проблемам межправительственных встречах, таких как конференции Организации Объединенных Наций, сессии Экономической комиссии для Латинской Америки, встречи министров по делам женщин.</w:t>
      </w:r>
    </w:p>
    <w:p w:rsidR="00000000" w:rsidRDefault="00000000">
      <w:pPr>
        <w:pStyle w:val="BodyTextIndent2"/>
        <w:tabs>
          <w:tab w:val="left" w:pos="680"/>
        </w:tabs>
        <w:spacing w:before="240" w:line="260" w:lineRule="exact"/>
        <w:ind w:firstLine="0"/>
        <w:jc w:val="both"/>
        <w:rPr>
          <w:sz w:val="22"/>
        </w:rPr>
      </w:pPr>
      <w:r>
        <w:rPr>
          <w:sz w:val="22"/>
        </w:rPr>
        <w:t>305.</w:t>
      </w:r>
      <w:r>
        <w:rPr>
          <w:sz w:val="22"/>
        </w:rPr>
        <w:tab/>
        <w:t>Реализация такой политики, сопровождаемая систематическими акциями и поддерживаемая международными проектами, позволила получать из международных источников средства, необходимые для деятельности Национального механизма, которые использовались как для реализации политики гендерного равенства и равноправия, так и для проведения просветительских кампаний, целью которых являлось привлечение внимания общества к этой проблеме. В рамках данной стратегии средства, поступающие из международных источников, были использованы для проведения актуальных мероприятий. Таким образом удалось избежать зависимости от частных инвестиций и обеспечить устойчивость реализации программ.</w:t>
      </w:r>
    </w:p>
    <w:p w:rsidR="00000000" w:rsidRDefault="00000000">
      <w:pPr>
        <w:pStyle w:val="BodyTextIndent2"/>
        <w:tabs>
          <w:tab w:val="left" w:pos="680"/>
        </w:tabs>
        <w:spacing w:before="240" w:line="260" w:lineRule="exact"/>
        <w:ind w:firstLine="0"/>
        <w:jc w:val="both"/>
        <w:rPr>
          <w:sz w:val="22"/>
        </w:rPr>
      </w:pPr>
      <w:r>
        <w:rPr>
          <w:sz w:val="22"/>
        </w:rPr>
        <w:t>306.</w:t>
      </w:r>
      <w:r>
        <w:rPr>
          <w:sz w:val="22"/>
        </w:rPr>
        <w:tab/>
        <w:t>Такая успешная деятельность явилась причиной того, что ИНАМУ стал Генеральным региональным координатором сети государственных органов, или Национального механизма по вопросам улучшения положения женщин Латинской Америки и Карибского бассейна, на период 1996–1999 годов, а затем и на период 1999–2001 годов. На различных региональных, континентальных и латиноамериканских встречах на высшем уровне ИНАМУ удалось добиться принятия документов об оказании политико-административной, финансовой и технической помощи Национальному механизму по вопросам улучшения положения женщин (ИНАМУ, 2000 год).</w:t>
      </w:r>
    </w:p>
    <w:p w:rsidR="00000000" w:rsidRDefault="00000000">
      <w:pPr>
        <w:pStyle w:val="BodyTextIndent2"/>
        <w:tabs>
          <w:tab w:val="left" w:pos="680"/>
        </w:tabs>
        <w:spacing w:before="240" w:line="260" w:lineRule="exact"/>
        <w:ind w:firstLine="0"/>
        <w:jc w:val="both"/>
        <w:rPr>
          <w:sz w:val="22"/>
        </w:rPr>
      </w:pPr>
      <w:r>
        <w:rPr>
          <w:sz w:val="22"/>
        </w:rPr>
        <w:t>307.</w:t>
      </w:r>
      <w:r>
        <w:rPr>
          <w:sz w:val="22"/>
        </w:rPr>
        <w:tab/>
        <w:t>В связи с этим можно отметить предложение о проведении постоянных консультаций Министерства иностранных дел с Национальным механизмом как по вопросам деятельности представительств за границей, так и на международных форумах, а также при определении направлений внешней политики, причем не только по проблемам, непосредственно касающимся гендерного равенства. Министерство должно признать, что все направления внешней политики имеют отношение к проблеме гендерного равенства, поэтому ИНАМУ должен принимать активное участие и в других встречах на высшем уровне, на которых принимаются решения по проблемам, затрагивающим интересы женщин, как, например, сессии Американской ассоциации свободной торговли и других организаций, связанных с внешней торговлей, или недавно закончившаяся Всемирная конференция по борьбе против расизма и расовой дискриминации, которая проходила в Дурбане, Южная Африка.</w:t>
      </w:r>
    </w:p>
    <w:p w:rsidR="00000000" w:rsidRDefault="00000000">
      <w:pPr>
        <w:pStyle w:val="BodyTextIndent2"/>
        <w:tabs>
          <w:tab w:val="left" w:pos="680"/>
        </w:tabs>
        <w:spacing w:line="260" w:lineRule="exact"/>
        <w:ind w:firstLine="0"/>
        <w:jc w:val="both"/>
        <w:rPr>
          <w:sz w:val="22"/>
        </w:rPr>
      </w:pPr>
    </w:p>
    <w:p w:rsidR="00000000" w:rsidRDefault="00000000">
      <w:pPr>
        <w:pStyle w:val="BodyTextIndent2"/>
        <w:tabs>
          <w:tab w:val="left" w:pos="680"/>
        </w:tabs>
        <w:spacing w:before="240" w:line="260" w:lineRule="exact"/>
        <w:ind w:firstLine="0"/>
        <w:rPr>
          <w:b/>
          <w:sz w:val="22"/>
        </w:rPr>
      </w:pPr>
      <w:r>
        <w:rPr>
          <w:b/>
          <w:sz w:val="22"/>
        </w:rPr>
        <w:t xml:space="preserve">Представление отчетов о выполнении международных обязательств </w:t>
      </w:r>
      <w:r>
        <w:rPr>
          <w:b/>
          <w:sz w:val="22"/>
        </w:rPr>
        <w:br/>
        <w:t>в сфере гендерного равенства и равноправия</w:t>
      </w:r>
    </w:p>
    <w:p w:rsidR="00000000" w:rsidRDefault="00000000">
      <w:pPr>
        <w:pStyle w:val="BodyTextIndent2"/>
        <w:tabs>
          <w:tab w:val="left" w:pos="680"/>
        </w:tabs>
        <w:spacing w:before="240" w:line="260" w:lineRule="exact"/>
        <w:ind w:firstLine="0"/>
        <w:jc w:val="both"/>
        <w:rPr>
          <w:sz w:val="22"/>
        </w:rPr>
      </w:pPr>
      <w:r>
        <w:rPr>
          <w:sz w:val="22"/>
        </w:rPr>
        <w:t>308.</w:t>
      </w:r>
      <w:r>
        <w:rPr>
          <w:sz w:val="22"/>
        </w:rPr>
        <w:tab/>
        <w:t>Министерство иностранных дел и религии Коста-Рики в последние четыре года предприняло усилия для представления актуальной информации о стране в докладах специализированным комитетам системы Организации Объединенных Наций и Всеамериканской системе организаций по защите прав человека. В большинстве этих докладов положению женщин не уделено достаточного внимания. Потому необходима более целенаправленная деятельность со стороны Совета правительства, для того чтобы в эти доклады включалась оценка положения по каждой статье каждого договора, а также делались конкретные выводы по этим вопросам.</w:t>
      </w:r>
    </w:p>
    <w:p w:rsidR="00000000" w:rsidRDefault="00000000">
      <w:pPr>
        <w:pStyle w:val="BodyTextIndent2"/>
        <w:tabs>
          <w:tab w:val="left" w:pos="680"/>
        </w:tabs>
        <w:spacing w:before="240" w:line="260" w:lineRule="exact"/>
        <w:ind w:firstLine="0"/>
        <w:jc w:val="both"/>
        <w:rPr>
          <w:sz w:val="22"/>
        </w:rPr>
      </w:pPr>
      <w:r>
        <w:rPr>
          <w:sz w:val="22"/>
        </w:rPr>
        <w:t>309.</w:t>
      </w:r>
      <w:r>
        <w:rPr>
          <w:sz w:val="22"/>
        </w:rPr>
        <w:tab/>
        <w:t xml:space="preserve">Национальный центр по улучшению положения женщин и семьи, предшественник ИНАМУ, а позже Институт реализовали серию мероприятий, для того чтобы участвовать в представлении докладов по проблеме ликвидации всех форм дискриминации в отношении женщин. В качестве части этой работы ИНАМУ составил доклад по инициативе "Пекин + 5", целью которого было налаживание диалога с женскими организациями гражданского общества. Эта деятельность основывается на убеждении, что совместное обсуждение вопросов приводит к появлению новых знаний и способствует взаимному доверию, открывает возможности дальнейшего сотрудничества и позволяет организовать плодотворные переговоры и союзы между разными участниками женского движения. Первым результатом этой работы явилась выработка и подписание документа "Этические рамки диалога и переговоров между Национальным институтом по делам женщин и неправительственными женскими организациями". В этом документе сформулированы принципы, на основе которых будет развиваться деятельность по выработке постоянных механизмов для отслеживания и мониторинга выполнения договоренностей. Это направление деятельности следует признать удачным, и рекомендуется придерживаться его в дальнейшем (ИНАМУ, 2000 год). </w:t>
      </w:r>
    </w:p>
    <w:p w:rsidR="00000000" w:rsidRDefault="00000000">
      <w:pPr>
        <w:pStyle w:val="BodyTextIndent2"/>
        <w:tabs>
          <w:tab w:val="left" w:pos="680"/>
        </w:tabs>
        <w:spacing w:before="240" w:line="260" w:lineRule="exact"/>
        <w:ind w:firstLine="0"/>
        <w:jc w:val="both"/>
        <w:rPr>
          <w:sz w:val="22"/>
        </w:rPr>
      </w:pPr>
    </w:p>
    <w:p w:rsidR="00000000" w:rsidRDefault="00000000">
      <w:pPr>
        <w:pStyle w:val="BodyTextIndent2"/>
        <w:tabs>
          <w:tab w:val="left" w:pos="680"/>
        </w:tabs>
        <w:spacing w:before="360" w:line="260" w:lineRule="exact"/>
        <w:ind w:firstLine="0"/>
        <w:jc w:val="center"/>
        <w:rPr>
          <w:b/>
          <w:sz w:val="22"/>
        </w:rPr>
      </w:pPr>
      <w:r>
        <w:rPr>
          <w:b/>
          <w:sz w:val="22"/>
        </w:rPr>
        <w:t>Статья 9.  Гражданство</w:t>
      </w:r>
    </w:p>
    <w:p w:rsidR="00000000" w:rsidRDefault="00000000">
      <w:pPr>
        <w:pStyle w:val="BodyTextIndent2"/>
        <w:tabs>
          <w:tab w:val="left" w:pos="680"/>
        </w:tabs>
        <w:spacing w:before="240" w:line="260" w:lineRule="exact"/>
        <w:ind w:firstLine="0"/>
        <w:jc w:val="both"/>
        <w:rPr>
          <w:i/>
          <w:sz w:val="22"/>
        </w:rPr>
      </w:pPr>
      <w:r>
        <w:rPr>
          <w:i/>
          <w:sz w:val="22"/>
        </w:rPr>
        <w:t>Статья 9</w:t>
      </w:r>
    </w:p>
    <w:p w:rsidR="00000000" w:rsidRDefault="00000000">
      <w:pPr>
        <w:tabs>
          <w:tab w:val="left" w:pos="340"/>
          <w:tab w:val="left" w:pos="680"/>
        </w:tabs>
        <w:autoSpaceDE w:val="0"/>
        <w:autoSpaceDN w:val="0"/>
        <w:adjustRightInd w:val="0"/>
        <w:spacing w:before="240" w:line="260" w:lineRule="exact"/>
        <w:ind w:left="340" w:hanging="340"/>
        <w:jc w:val="both"/>
        <w:rPr>
          <w:i/>
          <w:sz w:val="22"/>
        </w:rPr>
      </w:pPr>
      <w:r>
        <w:rPr>
          <w:i/>
          <w:color w:val="000000"/>
          <w:sz w:val="22"/>
        </w:rPr>
        <w:t>1.</w:t>
      </w:r>
      <w:r>
        <w:rPr>
          <w:i/>
          <w:color w:val="000000"/>
          <w:sz w:val="22"/>
        </w:rPr>
        <w:tab/>
        <w:t>Государства-участники предоставляют женщинам равные с мужчинами права в отношении приобретения, изменения или сохранения их гражданства. Они, в частности, обеспечивают, что ни вступление в брак с иностранцем, ни изменение гражданства мужа во время брака не влекут за собой автоматического изменения гражданства жены, не превращают ее в лицо без гражданства и не могут заставить ее принять гражданство мужа.</w:t>
      </w:r>
    </w:p>
    <w:p w:rsidR="00000000" w:rsidRDefault="00000000">
      <w:pPr>
        <w:tabs>
          <w:tab w:val="left" w:pos="340"/>
          <w:tab w:val="left" w:pos="680"/>
        </w:tabs>
        <w:autoSpaceDE w:val="0"/>
        <w:autoSpaceDN w:val="0"/>
        <w:adjustRightInd w:val="0"/>
        <w:spacing w:before="240" w:line="260" w:lineRule="exact"/>
        <w:ind w:left="340" w:hanging="340"/>
        <w:jc w:val="both"/>
        <w:rPr>
          <w:color w:val="000000"/>
          <w:sz w:val="22"/>
        </w:rPr>
      </w:pPr>
      <w:r>
        <w:rPr>
          <w:i/>
          <w:color w:val="000000"/>
          <w:sz w:val="22"/>
        </w:rPr>
        <w:t>2.</w:t>
      </w:r>
      <w:r>
        <w:rPr>
          <w:i/>
          <w:color w:val="000000"/>
          <w:sz w:val="22"/>
        </w:rPr>
        <w:tab/>
        <w:t>Государства-участники предоставляют женщинам равные с мужчинами права в отношении гражданства их детей.</w:t>
      </w:r>
    </w:p>
    <w:p w:rsidR="00000000" w:rsidRDefault="00000000">
      <w:pPr>
        <w:pStyle w:val="BodyTextIndent2"/>
        <w:tabs>
          <w:tab w:val="left" w:pos="680"/>
        </w:tabs>
        <w:spacing w:before="360" w:line="260" w:lineRule="exact"/>
        <w:ind w:firstLine="0"/>
        <w:jc w:val="both"/>
        <w:rPr>
          <w:b/>
          <w:sz w:val="22"/>
        </w:rPr>
      </w:pPr>
      <w:r>
        <w:rPr>
          <w:b/>
          <w:sz w:val="22"/>
        </w:rPr>
        <w:t>Новые проблемы в сфере гражданства в связи с миграцией</w:t>
      </w:r>
    </w:p>
    <w:p w:rsidR="00000000" w:rsidRDefault="00000000">
      <w:pPr>
        <w:pStyle w:val="BodyTextIndent2"/>
        <w:tabs>
          <w:tab w:val="left" w:pos="680"/>
        </w:tabs>
        <w:spacing w:before="240" w:line="260" w:lineRule="exact"/>
        <w:ind w:firstLine="0"/>
        <w:jc w:val="both"/>
        <w:rPr>
          <w:sz w:val="22"/>
        </w:rPr>
      </w:pPr>
      <w:r>
        <w:rPr>
          <w:sz w:val="22"/>
        </w:rPr>
        <w:t>310.</w:t>
      </w:r>
      <w:r>
        <w:rPr>
          <w:sz w:val="22"/>
        </w:rPr>
        <w:tab/>
        <w:t>Женщины Коста-Рики за последние десять лет добились решения всех проблем, связанных с неравенством полов, в области гражданства. Сейчас женщины обладают теми же правами, что и мужчины, в том, что касается приобретения, изменения или сохранения гражданства, и государство гарантирует те же права их детям. Однако в настоящий момент дискриминации в этой области подвергаются никарагуанские женщины, проживающие в стране на нелегальном положении.</w:t>
      </w:r>
    </w:p>
    <w:p w:rsidR="00000000" w:rsidRDefault="00000000">
      <w:pPr>
        <w:pStyle w:val="BodyTextIndent2"/>
        <w:tabs>
          <w:tab w:val="left" w:pos="680"/>
        </w:tabs>
        <w:spacing w:before="240" w:line="260" w:lineRule="exact"/>
        <w:ind w:firstLine="0"/>
        <w:jc w:val="both"/>
        <w:rPr>
          <w:sz w:val="22"/>
        </w:rPr>
      </w:pPr>
      <w:r>
        <w:rPr>
          <w:sz w:val="22"/>
        </w:rPr>
        <w:t>311.</w:t>
      </w:r>
      <w:r>
        <w:rPr>
          <w:sz w:val="22"/>
        </w:rPr>
        <w:tab/>
        <w:t>Коста-Рика имеет многолетнюю традицию предоставления убежища иммигрантам. В последние десятилетия в страну въехало значительное число иммигрантов в поисках убежища в результате вооруженных конфликтов и их экономических, социальных и политических последствий. Сначала иммигранты прибывали из Сальвадора. Позже и до настоящего момента 80 процентов иммигрантов прибывают из Никарагуа. Значительная часть никарагуанских иммигрантов прибывают в страну на нелегальной основе, что приводит к их социальной уязвимости и повышению риска нарушения прав человека, и именно женщины, вследствие своего гендерного положения, подвергаются большей дискриминации и эксплуатации.</w:t>
      </w:r>
    </w:p>
    <w:p w:rsidR="00000000" w:rsidRDefault="00000000">
      <w:pPr>
        <w:pStyle w:val="BodyTextIndent2"/>
        <w:tabs>
          <w:tab w:val="left" w:pos="680"/>
        </w:tabs>
        <w:spacing w:line="260" w:lineRule="exact"/>
        <w:ind w:firstLine="0"/>
        <w:jc w:val="both"/>
        <w:rPr>
          <w:sz w:val="22"/>
        </w:rPr>
      </w:pPr>
    </w:p>
    <w:p w:rsidR="00000000" w:rsidRDefault="00000000">
      <w:pPr>
        <w:pStyle w:val="BodyTextIndent2"/>
        <w:tabs>
          <w:tab w:val="left" w:pos="680"/>
        </w:tabs>
        <w:spacing w:before="240" w:line="260" w:lineRule="exact"/>
        <w:ind w:firstLine="0"/>
        <w:jc w:val="both"/>
        <w:rPr>
          <w:b/>
          <w:sz w:val="22"/>
        </w:rPr>
      </w:pPr>
      <w:r>
        <w:rPr>
          <w:b/>
          <w:sz w:val="22"/>
        </w:rPr>
        <w:t>Никарагуанские женщины-иммигранты</w:t>
      </w:r>
    </w:p>
    <w:p w:rsidR="00000000" w:rsidRDefault="00000000">
      <w:pPr>
        <w:pStyle w:val="BodyTextIndent2"/>
        <w:tabs>
          <w:tab w:val="left" w:pos="680"/>
        </w:tabs>
        <w:spacing w:before="240" w:line="260" w:lineRule="exact"/>
        <w:ind w:firstLine="0"/>
        <w:jc w:val="both"/>
        <w:rPr>
          <w:sz w:val="22"/>
        </w:rPr>
      </w:pPr>
      <w:r>
        <w:rPr>
          <w:sz w:val="22"/>
        </w:rPr>
        <w:t>312.</w:t>
      </w:r>
      <w:r>
        <w:rPr>
          <w:sz w:val="22"/>
        </w:rPr>
        <w:tab/>
        <w:t>Массовое присутствие никарагуанских иммигрантов в Коста-Рике имеет экономические, политические и социальные причины, которые неоднократно обсуждались на различном уровне как в Коста-Рике, так и в Никарагуа. Однако положению никарагуанских женщин-иммигрантов в нашей стране и исследованию тех проблем, с которыми они сталкиваются в Коста-Рике, уделяется мало внимания. В то же время Коллегия адвокатов по защите прав граждан уже представляла запросы по поводу отказа государственных учреждений в предоставлении никарагуанским женщинам-иммигрантам и их детям медицинской помощи, в выдаче иммигрантам документов об образовании, поскольку у них нет миграционных документов. Случалось, что женщины – нелегальные иммигранты не могли легализовать свое пребывание в Коста-Рике, поскольку не имели, например, никарагуанского свидетельства о рождении, так как в свое время не получили его в Никарагуа.</w:t>
      </w:r>
    </w:p>
    <w:p w:rsidR="00000000" w:rsidRDefault="00000000">
      <w:pPr>
        <w:pStyle w:val="BodyTextIndent2"/>
        <w:tabs>
          <w:tab w:val="left" w:pos="680"/>
        </w:tabs>
        <w:spacing w:before="240" w:line="260" w:lineRule="exact"/>
        <w:ind w:firstLine="0"/>
        <w:jc w:val="both"/>
        <w:rPr>
          <w:sz w:val="22"/>
        </w:rPr>
      </w:pPr>
      <w:r>
        <w:rPr>
          <w:sz w:val="22"/>
        </w:rPr>
        <w:t>313.</w:t>
      </w:r>
      <w:r>
        <w:rPr>
          <w:sz w:val="22"/>
        </w:rPr>
        <w:tab/>
        <w:t>По данным переписи населения районов трущоб, произведенной при администрации Фигереса, 42 процента семей, проживавших в районах трущоб Центрального кантона Сан-Хосе, составляли никарагуанские семьи. 42 процента этих семей возглавлялись женщинами или были "ненуклеарными", то есть состояли не только из людей, объединенных родственными связями (</w:t>
      </w:r>
      <w:r>
        <w:rPr>
          <w:sz w:val="22"/>
          <w:lang w:val="en-US"/>
        </w:rPr>
        <w:t>Chen</w:t>
      </w:r>
      <w:r>
        <w:rPr>
          <w:sz w:val="22"/>
        </w:rPr>
        <w:t xml:space="preserve"> и другие, 2001).</w:t>
      </w:r>
    </w:p>
    <w:p w:rsidR="00000000" w:rsidRDefault="00000000">
      <w:pPr>
        <w:pStyle w:val="BodyTextIndent2"/>
        <w:tabs>
          <w:tab w:val="left" w:pos="680"/>
        </w:tabs>
        <w:spacing w:before="240" w:line="260" w:lineRule="exact"/>
        <w:ind w:firstLine="0"/>
        <w:jc w:val="both"/>
        <w:rPr>
          <w:sz w:val="22"/>
        </w:rPr>
      </w:pPr>
      <w:r>
        <w:rPr>
          <w:sz w:val="22"/>
        </w:rPr>
        <w:t>314.</w:t>
      </w:r>
      <w:r>
        <w:rPr>
          <w:sz w:val="22"/>
        </w:rPr>
        <w:tab/>
        <w:t>Несмотря на значительное число проживающих в Коста-Рике никарагуанских иммигрантов и на то влияние, которое они могут оказать на реализацию социальной политики, не существует специального законодательства, регулирующего политику по отношению к иммигрантам. На протяжении последнего десятилетия власти пытались создать механизмы, направленные на упорядочение проживания в стране иммигрантов, прежде всего никарагуанских. Режим упрощенного оформления миграционных документов, который применялся администрацией президента Родригеса к выходцам из стран Центральной Америки, проживавшим в стране до ноября 1998 года, и разрешение на сезонную работу являются примерами контроля и вовлечения в трудовую деятельность никарагуанских иммигрантов.</w:t>
      </w:r>
    </w:p>
    <w:p w:rsidR="00000000" w:rsidRDefault="00000000">
      <w:pPr>
        <w:pStyle w:val="BodyTextIndent2"/>
        <w:tabs>
          <w:tab w:val="left" w:pos="680"/>
        </w:tabs>
        <w:spacing w:before="240" w:line="260" w:lineRule="exact"/>
        <w:ind w:firstLine="0"/>
        <w:jc w:val="both"/>
        <w:rPr>
          <w:sz w:val="22"/>
        </w:rPr>
      </w:pPr>
      <w:r>
        <w:rPr>
          <w:sz w:val="22"/>
        </w:rPr>
        <w:t>315.</w:t>
      </w:r>
      <w:r>
        <w:rPr>
          <w:sz w:val="22"/>
        </w:rPr>
        <w:tab/>
        <w:t>Обследование этой группы населения показывает, что женщины находятся в наиболее уязвимом положении. 45 процентов женщин-иммигрантов из Никарагуа, проживающих в Коста-Рике, не имеют начального образования, а 11 процентов из них вообще не имеют никакого образования (</w:t>
      </w:r>
      <w:r>
        <w:rPr>
          <w:sz w:val="22"/>
          <w:lang w:val="en-US"/>
        </w:rPr>
        <w:t>Chen</w:t>
      </w:r>
      <w:r>
        <w:rPr>
          <w:sz w:val="22"/>
        </w:rPr>
        <w:t xml:space="preserve"> и другие, 2001), поэтому их вовлеченность в рынок рабочей силы крайне низка и они занимают низшие уровни пирамиды занятости. 61,6 процента работающих никарагуанских женщин заняты в сфере оказания платных услуг, в основном в качестве домашней прислуги (проект "Состояние нации", 2000 год). Многие из работающих никарагуанских женщин из-за своего нелегального положения или по незнанию соответствующих законов, защищающих их права, не требуют соблюдения их прав в сфере трудовой деятельности.</w:t>
      </w:r>
    </w:p>
    <w:p w:rsidR="00000000" w:rsidRDefault="00000000">
      <w:pPr>
        <w:pStyle w:val="BodyTextIndent2"/>
        <w:tabs>
          <w:tab w:val="left" w:pos="680"/>
        </w:tabs>
        <w:spacing w:before="240" w:line="260" w:lineRule="exact"/>
        <w:ind w:firstLine="0"/>
        <w:jc w:val="both"/>
        <w:rPr>
          <w:sz w:val="22"/>
        </w:rPr>
      </w:pPr>
      <w:r>
        <w:rPr>
          <w:sz w:val="22"/>
        </w:rPr>
        <w:t>316.</w:t>
      </w:r>
      <w:r>
        <w:rPr>
          <w:sz w:val="22"/>
        </w:rPr>
        <w:tab/>
        <w:t>Исследованиями было установлено, что никарагуанскими иммигрантами создана в Коста-Рике разветвленная сеть взаимной поддержки, в деятельности которой женщины играют важную роль: материально помогая никарагуанцам иммигрировать в поисках лучшей доли в Коста-Рику и отсылая деньги в Никарагуа членам семей (</w:t>
      </w:r>
      <w:r>
        <w:rPr>
          <w:sz w:val="22"/>
          <w:lang w:val="en-US"/>
        </w:rPr>
        <w:t>Chen</w:t>
      </w:r>
      <w:r>
        <w:rPr>
          <w:sz w:val="22"/>
        </w:rPr>
        <w:t xml:space="preserve"> и другие, 2001).</w:t>
      </w:r>
    </w:p>
    <w:p w:rsidR="00000000" w:rsidRDefault="00000000">
      <w:pPr>
        <w:pStyle w:val="BodyTextIndent2"/>
        <w:tabs>
          <w:tab w:val="left" w:pos="680"/>
        </w:tabs>
        <w:spacing w:before="240" w:line="260" w:lineRule="exact"/>
        <w:ind w:firstLine="0"/>
        <w:jc w:val="both"/>
        <w:rPr>
          <w:sz w:val="22"/>
        </w:rPr>
      </w:pPr>
      <w:r>
        <w:rPr>
          <w:sz w:val="22"/>
        </w:rPr>
        <w:t>317.</w:t>
      </w:r>
      <w:r>
        <w:rPr>
          <w:sz w:val="22"/>
        </w:rPr>
        <w:tab/>
        <w:t>Некоторые секторы коста-риканского общества воспринимают никарагуанскую иммиграцию как опасность для себя на фоне ухудшающегося социального обслуживания, считая ответственными за это именно никарагуанских женщин. В подтверждение этого мнения приводится аргумент о высоком показателе фертильности, характерной для никарагуанских женщин-иммигрантов: если для коста-риканских женщин этот показатель составляет 2,8, то для никарагуанских женщин-иммигрантов – 3,8 (</w:t>
      </w:r>
      <w:r>
        <w:rPr>
          <w:sz w:val="22"/>
          <w:lang w:val="en-US"/>
        </w:rPr>
        <w:t>Chen</w:t>
      </w:r>
      <w:r>
        <w:rPr>
          <w:sz w:val="22"/>
        </w:rPr>
        <w:t xml:space="preserve"> и другие, 2001). Например, в 1999 году 12,3 процента из всех рождений в Коста-Рике составляли рождения детей никарагуанских иммигрантов.</w:t>
      </w:r>
    </w:p>
    <w:p w:rsidR="00000000" w:rsidRDefault="00000000">
      <w:pPr>
        <w:pStyle w:val="BodyTextIndent2"/>
        <w:tabs>
          <w:tab w:val="left" w:pos="680"/>
        </w:tabs>
        <w:spacing w:before="240" w:line="260" w:lineRule="exact"/>
        <w:ind w:firstLine="0"/>
        <w:jc w:val="both"/>
        <w:rPr>
          <w:sz w:val="22"/>
        </w:rPr>
      </w:pPr>
      <w:r>
        <w:rPr>
          <w:sz w:val="22"/>
        </w:rPr>
        <w:t>318.</w:t>
      </w:r>
      <w:r>
        <w:rPr>
          <w:sz w:val="22"/>
        </w:rPr>
        <w:tab/>
        <w:t>При высоком уровне рождаемости никарагуанских иммигрантов они чаще нуждаются в больницах и школах, что, конечно, осложняет деятельность этих учреждений</w:t>
      </w:r>
      <w:r>
        <w:rPr>
          <w:rStyle w:val="FootnoteReference"/>
          <w:sz w:val="22"/>
        </w:rPr>
        <w:footnoteReference w:id="19"/>
      </w:r>
      <w:r>
        <w:rPr>
          <w:sz w:val="22"/>
        </w:rPr>
        <w:t>. Это объясняет и кампании по распространению противозачаточных средств среди никарагуанских женщин репродуктивного возраста. 70 процентов женщин, имеющих постоянного партнера, получают эти средства, основным распространителем которых является Фонд социального обеспечения Коста-Рики. 84 процентам никарагуанских женщин, рожавшим за последние три года, была оказана такая же помощь, как коста-риканским роженицам, в учреждениях национальной системы здравоохранения (</w:t>
      </w:r>
      <w:r>
        <w:rPr>
          <w:sz w:val="22"/>
          <w:lang w:val="en-US"/>
        </w:rPr>
        <w:t>Chen</w:t>
      </w:r>
      <w:r>
        <w:rPr>
          <w:sz w:val="22"/>
        </w:rPr>
        <w:t xml:space="preserve"> и другие, 2001).</w:t>
      </w:r>
    </w:p>
    <w:p w:rsidR="00000000" w:rsidRDefault="00000000">
      <w:pPr>
        <w:pStyle w:val="BodyTextIndent2"/>
        <w:tabs>
          <w:tab w:val="left" w:pos="680"/>
        </w:tabs>
        <w:spacing w:before="240" w:line="260" w:lineRule="exact"/>
        <w:ind w:firstLine="0"/>
        <w:jc w:val="both"/>
        <w:rPr>
          <w:sz w:val="22"/>
        </w:rPr>
      </w:pPr>
      <w:r>
        <w:rPr>
          <w:sz w:val="22"/>
        </w:rPr>
        <w:t>319.</w:t>
      </w:r>
      <w:r>
        <w:rPr>
          <w:sz w:val="22"/>
        </w:rPr>
        <w:tab/>
        <w:t>Опыт показывает, что бóльшая часть никарагуанских иммигрантов прибывают в Коста-Рику, чтобы остаться здесь навсегда, но их возможности легализовать свое положение или получить вид на жительство или гражданство крайне ограниченны. В большинстве случаев они сталкиваются с финансовыми, культурными или структурными препятствиями, которые не позволяют им получить необходимые документы из Никарагуа, или с бюрократической волокитой коста-риканских чиновников. Осложняют реализацию прав человека этой группе населения следующие факторы:</w:t>
      </w:r>
    </w:p>
    <w:p w:rsidR="00000000" w:rsidRDefault="00000000">
      <w:pPr>
        <w:pStyle w:val="BodyTextIndent2"/>
        <w:tabs>
          <w:tab w:val="left" w:pos="340"/>
          <w:tab w:val="left" w:pos="680"/>
        </w:tabs>
        <w:spacing w:before="200" w:line="260" w:lineRule="exact"/>
        <w:ind w:left="340" w:hanging="340"/>
        <w:jc w:val="both"/>
        <w:rPr>
          <w:sz w:val="22"/>
        </w:rPr>
      </w:pPr>
      <w:r>
        <w:rPr>
          <w:sz w:val="22"/>
        </w:rPr>
        <w:t>а)</w:t>
      </w:r>
      <w:r>
        <w:rPr>
          <w:sz w:val="22"/>
        </w:rPr>
        <w:tab/>
        <w:t>Перенаселенность трущоб Большого столичного округа;</w:t>
      </w:r>
    </w:p>
    <w:p w:rsidR="00000000" w:rsidRDefault="00000000">
      <w:pPr>
        <w:pStyle w:val="BodyTextIndent2"/>
        <w:tabs>
          <w:tab w:val="left" w:pos="340"/>
          <w:tab w:val="left" w:pos="680"/>
        </w:tabs>
        <w:spacing w:before="200" w:line="260" w:lineRule="exact"/>
        <w:ind w:left="340" w:hanging="340"/>
        <w:jc w:val="both"/>
        <w:rPr>
          <w:sz w:val="22"/>
        </w:rPr>
      </w:pPr>
      <w:r>
        <w:rPr>
          <w:sz w:val="22"/>
          <w:lang w:val="en-US"/>
        </w:rPr>
        <w:t>b</w:t>
      </w:r>
      <w:r>
        <w:rPr>
          <w:sz w:val="22"/>
        </w:rPr>
        <w:t>)</w:t>
      </w:r>
      <w:r>
        <w:rPr>
          <w:sz w:val="22"/>
        </w:rPr>
        <w:tab/>
        <w:t>Объединенный институт социальной помощи, организующий специальные программы в поддержку наименее социально защищенных женщин, исключает из числа получателей помощи никарагуанских женщин-иммигрантов;</w:t>
      </w:r>
    </w:p>
    <w:p w:rsidR="00000000" w:rsidRDefault="00000000">
      <w:pPr>
        <w:pStyle w:val="BodyTextIndent2"/>
        <w:tabs>
          <w:tab w:val="left" w:pos="340"/>
          <w:tab w:val="left" w:pos="680"/>
        </w:tabs>
        <w:spacing w:before="200" w:line="260" w:lineRule="exact"/>
        <w:ind w:left="340" w:hanging="340"/>
        <w:jc w:val="both"/>
        <w:rPr>
          <w:sz w:val="22"/>
        </w:rPr>
      </w:pPr>
      <w:r>
        <w:rPr>
          <w:sz w:val="22"/>
          <w:lang w:val="en-US"/>
        </w:rPr>
        <w:t>c</w:t>
      </w:r>
      <w:r>
        <w:rPr>
          <w:sz w:val="22"/>
        </w:rPr>
        <w:t>)</w:t>
      </w:r>
      <w:r>
        <w:rPr>
          <w:sz w:val="22"/>
        </w:rPr>
        <w:tab/>
        <w:t>решение жилищной проблемы в районах трущоб всегда связано с деятельностью посредников, которые часто получают у женщин деньги за уже занятые участки</w:t>
      </w:r>
      <w:r>
        <w:rPr>
          <w:rStyle w:val="FootnoteReference"/>
          <w:sz w:val="22"/>
        </w:rPr>
        <w:footnoteReference w:id="20"/>
      </w:r>
      <w:r>
        <w:rPr>
          <w:sz w:val="22"/>
        </w:rPr>
        <w:t>;</w:t>
      </w:r>
    </w:p>
    <w:p w:rsidR="00000000" w:rsidRDefault="00000000">
      <w:pPr>
        <w:pStyle w:val="BodyTextIndent2"/>
        <w:tabs>
          <w:tab w:val="left" w:pos="340"/>
          <w:tab w:val="left" w:pos="680"/>
        </w:tabs>
        <w:spacing w:before="200" w:line="260" w:lineRule="exact"/>
        <w:ind w:left="340" w:hanging="340"/>
        <w:jc w:val="both"/>
        <w:rPr>
          <w:sz w:val="22"/>
        </w:rPr>
      </w:pPr>
      <w:r>
        <w:rPr>
          <w:sz w:val="22"/>
          <w:lang w:val="en-US"/>
        </w:rPr>
        <w:t>d</w:t>
      </w:r>
      <w:r>
        <w:rPr>
          <w:sz w:val="22"/>
        </w:rPr>
        <w:t>)</w:t>
      </w:r>
      <w:r>
        <w:rPr>
          <w:sz w:val="22"/>
        </w:rPr>
        <w:tab/>
        <w:t>никарагуанские женщины-иммигранты регулярно выселяются с участков, на которых они незаконно проживают; причем проживание без документов рассматривается как двойное нарушение законов, имея ввиду, что они являются незаконными иммигрантами. Многие женщины имеют детей, рожденных уже на территории Коста-Рики, что автоматически превращает их в граждан этой страны, но это обстоятельство далеко не всегда принимается во внимание властями;</w:t>
      </w:r>
    </w:p>
    <w:p w:rsidR="00000000" w:rsidRDefault="00000000">
      <w:pPr>
        <w:pStyle w:val="BodyTextIndent2"/>
        <w:tabs>
          <w:tab w:val="left" w:pos="340"/>
          <w:tab w:val="left" w:pos="680"/>
        </w:tabs>
        <w:spacing w:before="200" w:line="260" w:lineRule="exact"/>
        <w:ind w:left="340" w:hanging="340"/>
        <w:jc w:val="both"/>
        <w:rPr>
          <w:sz w:val="22"/>
        </w:rPr>
      </w:pPr>
      <w:r>
        <w:rPr>
          <w:sz w:val="22"/>
        </w:rPr>
        <w:t>е)</w:t>
      </w:r>
      <w:r>
        <w:rPr>
          <w:sz w:val="22"/>
        </w:rPr>
        <w:tab/>
        <w:t>иммигранты, проживающие в трущобах, должны оплачивать счета за воду и электричество, учитывая каждый имеющийся у них электробытовой прибор. Такая форма оплаты приводит к конфликтам между соседями. Говоря о никарагуанских иммигрантах, следует иметь в виду, что эти проблемы решают обычно женщины, а потому именно они оказываются основными действующими лицами конфликтов, возникающих из-за такой формы оплаты счетов за воду и электричество;</w:t>
      </w:r>
    </w:p>
    <w:p w:rsidR="00000000" w:rsidRDefault="00000000">
      <w:pPr>
        <w:pStyle w:val="BodyTextIndent2"/>
        <w:tabs>
          <w:tab w:val="left" w:pos="340"/>
          <w:tab w:val="left" w:pos="680"/>
        </w:tabs>
        <w:spacing w:before="200" w:line="260" w:lineRule="exact"/>
        <w:ind w:left="340" w:hanging="340"/>
        <w:jc w:val="both"/>
        <w:rPr>
          <w:sz w:val="22"/>
        </w:rPr>
      </w:pPr>
      <w:r>
        <w:rPr>
          <w:sz w:val="22"/>
          <w:lang w:val="en-US"/>
        </w:rPr>
        <w:t>f</w:t>
      </w:r>
      <w:r>
        <w:rPr>
          <w:sz w:val="22"/>
        </w:rPr>
        <w:t>)</w:t>
      </w:r>
      <w:r>
        <w:rPr>
          <w:sz w:val="22"/>
        </w:rPr>
        <w:tab/>
        <w:t>дети, проживающие с матерями – нелегальными иммигрантами, не имеют ни одного документа, необходимого для записи в коста-риканскую школу. Это еще одна проблема, которую вынуждены решать никарагуанские матери;</w:t>
      </w:r>
    </w:p>
    <w:p w:rsidR="00000000" w:rsidRDefault="00000000">
      <w:pPr>
        <w:pStyle w:val="BodyTextIndent2"/>
        <w:tabs>
          <w:tab w:val="left" w:pos="340"/>
          <w:tab w:val="left" w:pos="680"/>
        </w:tabs>
        <w:spacing w:before="200" w:line="260" w:lineRule="exact"/>
        <w:ind w:left="340" w:hanging="340"/>
        <w:jc w:val="both"/>
        <w:rPr>
          <w:sz w:val="22"/>
        </w:rPr>
      </w:pPr>
      <w:r>
        <w:rPr>
          <w:sz w:val="22"/>
          <w:lang w:val="en-US"/>
        </w:rPr>
        <w:t>g</w:t>
      </w:r>
      <w:r>
        <w:rPr>
          <w:sz w:val="22"/>
        </w:rPr>
        <w:t>)</w:t>
      </w:r>
      <w:r>
        <w:rPr>
          <w:sz w:val="22"/>
        </w:rPr>
        <w:tab/>
        <w:t>бóльшая часть никарагуанских женщин-иммигрантов живут в Коста-Рике без семьи, будучи вынужденными оставить своих детей в Никарагуа и работать здесь, чтобы заработать необходимые деньги и отсылать их своим семьям;</w:t>
      </w:r>
    </w:p>
    <w:p w:rsidR="00000000" w:rsidRDefault="00000000">
      <w:pPr>
        <w:pStyle w:val="BodyTextIndent2"/>
        <w:tabs>
          <w:tab w:val="left" w:pos="340"/>
          <w:tab w:val="left" w:pos="680"/>
        </w:tabs>
        <w:spacing w:before="200" w:line="260" w:lineRule="exact"/>
        <w:ind w:left="340" w:hanging="340"/>
        <w:jc w:val="both"/>
        <w:rPr>
          <w:sz w:val="22"/>
        </w:rPr>
      </w:pPr>
      <w:r>
        <w:rPr>
          <w:sz w:val="22"/>
          <w:lang w:val="en-US"/>
        </w:rPr>
        <w:t>h</w:t>
      </w:r>
      <w:r>
        <w:rPr>
          <w:sz w:val="22"/>
        </w:rPr>
        <w:t>)</w:t>
      </w:r>
      <w:r>
        <w:rPr>
          <w:sz w:val="22"/>
        </w:rPr>
        <w:tab/>
        <w:t>Никарагуанские женщины-иммигранты, получившие образование, и даже те, которые имеют техническое или профессиональное образование, могут рассчитывать только на получение малоквалифицированной работы, что делает их социально незащищенными.</w:t>
      </w:r>
    </w:p>
    <w:p w:rsidR="00000000" w:rsidRDefault="00000000">
      <w:pPr>
        <w:pStyle w:val="BodyTextIndent2"/>
        <w:tabs>
          <w:tab w:val="left" w:pos="680"/>
        </w:tabs>
        <w:spacing w:before="240" w:line="260" w:lineRule="exact"/>
        <w:ind w:firstLine="0"/>
        <w:jc w:val="both"/>
        <w:rPr>
          <w:sz w:val="22"/>
        </w:rPr>
      </w:pPr>
      <w:r>
        <w:rPr>
          <w:sz w:val="22"/>
        </w:rPr>
        <w:t>320.</w:t>
      </w:r>
      <w:r>
        <w:rPr>
          <w:sz w:val="22"/>
        </w:rPr>
        <w:tab/>
        <w:t>Коста-риканское законодательство не делает каких-либо различий между гражданами страны и негражданами, проживающими в Коста-Рике на легальной основе. Однако лица, проживающие в стране на нелегальной основе, действительно имеют определенные ограничения в реализации своих прав. Следует отметить, что коста-риканское законодательство распространяется не только на граждан этой страны, но и на всех лиц, проживающих на ее территории легально или нелегально. Это распространяется как на права, так и на обязанности. Даже если определенное лицо находится на территории Коста-Рики на нелегальном положении, оно имеет право на защиту и реализацию таких прав человека, как право на личную неприкосновенность, уважение человеческого достоинства, а также право на получение экстренной медицинской помощи. Однако на практике эти права уважаются не всегда, а сложившаяся ситуация используется для эксплуатации иммигрантов и нарушения их прав.</w:t>
      </w:r>
    </w:p>
    <w:p w:rsidR="00000000" w:rsidRDefault="00000000">
      <w:pPr>
        <w:pStyle w:val="BodyTextIndent2"/>
        <w:tabs>
          <w:tab w:val="left" w:pos="680"/>
        </w:tabs>
        <w:spacing w:before="240" w:line="260" w:lineRule="exact"/>
        <w:ind w:firstLine="0"/>
        <w:jc w:val="both"/>
        <w:rPr>
          <w:sz w:val="22"/>
        </w:rPr>
      </w:pPr>
      <w:r>
        <w:rPr>
          <w:sz w:val="22"/>
        </w:rPr>
        <w:t>321.</w:t>
      </w:r>
      <w:r>
        <w:rPr>
          <w:sz w:val="22"/>
        </w:rPr>
        <w:tab/>
      </w:r>
      <w:r>
        <w:rPr>
          <w:sz w:val="22"/>
          <w:lang w:val="en-US"/>
        </w:rPr>
        <w:t>C</w:t>
      </w:r>
      <w:r>
        <w:rPr>
          <w:sz w:val="22"/>
        </w:rPr>
        <w:t>уществует ряд государственных учреждений, оказывающих помощь иммигрантам. Конституция Коста-Рики гарантирует право на бесплатное образование: независимо от того, является ли человек легальным или нелегальным иммигрантом, он и его дети имеют право учиться. Конституция Коста-Рики провозглашает, что в этой стране не может быть нарушено человеческое достоинство ни одного человека (статья 33, измененная в 1968 году) и никто не может быть подвергнут жестокому и оскорбительному обращению (статья 40). В Конституции также провозглашается, что государство сделает все возможное для обеспечения благосостояния всех жителей страны (статья 50), в первую очередь женщин-матерей и их детей (статьи 51 и 55), и прежде всего в том, что касается обеспечения занятости, образования и здравоохранения (ИНАМУ, 2000 год).</w:t>
      </w:r>
    </w:p>
    <w:p w:rsidR="00000000" w:rsidRDefault="00000000">
      <w:pPr>
        <w:pStyle w:val="BodyTextIndent2"/>
        <w:tabs>
          <w:tab w:val="left" w:pos="680"/>
        </w:tabs>
        <w:spacing w:before="240" w:line="260" w:lineRule="exact"/>
        <w:ind w:firstLine="0"/>
        <w:jc w:val="both"/>
        <w:rPr>
          <w:sz w:val="22"/>
        </w:rPr>
      </w:pPr>
      <w:r>
        <w:rPr>
          <w:sz w:val="22"/>
        </w:rPr>
        <w:t>322.</w:t>
      </w:r>
      <w:r>
        <w:rPr>
          <w:sz w:val="22"/>
        </w:rPr>
        <w:tab/>
        <w:t>Фонд социального обеспечения Коста-Рики в случае необходимости предоставляет медицинскую помощь беременным женщинам. Законы о труде распространяются на всех работающих, даже не имеющих соответствующих миграционных документов. С другой стороны, Декрет № 4 26634-</w:t>
      </w:r>
      <w:r>
        <w:rPr>
          <w:sz w:val="22"/>
          <w:lang w:val="en-US"/>
        </w:rPr>
        <w:t>SP</w:t>
      </w:r>
      <w:r>
        <w:rPr>
          <w:sz w:val="22"/>
        </w:rPr>
        <w:t xml:space="preserve"> от 9 января 1998 года установил скидку на гарантийный денежный взнос для тех женщин-иммигрантов, работающих домашней прислугой, которые запросят вид на жительство. Эта мера была принята для облегчения им получения работы и уменьшения их социальной незащищенности. </w:t>
      </w:r>
    </w:p>
    <w:p w:rsidR="00000000" w:rsidRDefault="00000000">
      <w:pPr>
        <w:pStyle w:val="BodyTextIndent2"/>
        <w:tabs>
          <w:tab w:val="left" w:pos="680"/>
        </w:tabs>
        <w:spacing w:before="240" w:line="260" w:lineRule="exact"/>
        <w:ind w:firstLine="0"/>
        <w:jc w:val="both"/>
        <w:rPr>
          <w:sz w:val="22"/>
        </w:rPr>
      </w:pPr>
      <w:r>
        <w:rPr>
          <w:sz w:val="22"/>
        </w:rPr>
        <w:t>323.</w:t>
      </w:r>
      <w:r>
        <w:rPr>
          <w:sz w:val="22"/>
        </w:rPr>
        <w:tab/>
        <w:t>Права женщин-иммигрантов нарушаются вследствие их гендерного положения. Они подвергаются сексуальным домогательствам, преследованию и насилию со стороны мужчин из той группы иммигрантов, с которой они перемещаются, родственников, чиновников миграционной службы и на рабочих местах. Они подвергаются сверхэксплуатации, так как получают очень низкую заработную плату и трудятся в худших условиях. Многие из них несут материальную ответственность за семью, оставшуюся в стране, из которой они прибыли, или проживающей с ними в принимающей стране, а это заставляет их соглашаться с условиями сверхэксплуатации.</w:t>
      </w:r>
    </w:p>
    <w:p w:rsidR="00000000" w:rsidRDefault="00000000">
      <w:pPr>
        <w:pStyle w:val="BodyTextIndent2"/>
        <w:tabs>
          <w:tab w:val="left" w:pos="680"/>
        </w:tabs>
        <w:spacing w:before="240" w:line="260" w:lineRule="exact"/>
        <w:ind w:firstLine="0"/>
        <w:jc w:val="both"/>
        <w:rPr>
          <w:sz w:val="22"/>
        </w:rPr>
      </w:pPr>
      <w:r>
        <w:rPr>
          <w:sz w:val="22"/>
        </w:rPr>
        <w:t xml:space="preserve">324. </w:t>
      </w:r>
      <w:r>
        <w:rPr>
          <w:sz w:val="22"/>
        </w:rPr>
        <w:tab/>
        <w:t>Данные переписи 2002 года показали, что в стране находится большое число никарагуанских женщин, многие из которых имеет детей, рожденных на территории Коста-Рики. Некоторые из них приехали, чтобы остаться здесь навсегда, и вносят значительный вклад в социально-экономическое развитие страны. Коста-Рика должна сформулировать четкую иммиграционную политику, которая принимала бы во внимание гендерные проблемы никарагуанских женщин и других женщин-иммигрантов, права которых должны быть защищены.</w:t>
      </w:r>
    </w:p>
    <w:p w:rsidR="00000000" w:rsidRDefault="00000000">
      <w:pPr>
        <w:pStyle w:val="BodyTextIndent2"/>
        <w:tabs>
          <w:tab w:val="left" w:pos="680"/>
        </w:tabs>
        <w:spacing w:before="240" w:line="260" w:lineRule="exact"/>
        <w:ind w:firstLine="0"/>
        <w:jc w:val="both"/>
        <w:rPr>
          <w:sz w:val="22"/>
        </w:rPr>
      </w:pPr>
    </w:p>
    <w:p w:rsidR="00000000" w:rsidRDefault="00000000">
      <w:pPr>
        <w:pStyle w:val="BodyTextIndent2"/>
        <w:tabs>
          <w:tab w:val="left" w:pos="680"/>
        </w:tabs>
        <w:spacing w:before="240" w:line="260" w:lineRule="exact"/>
        <w:ind w:firstLine="0"/>
        <w:jc w:val="center"/>
        <w:rPr>
          <w:b/>
          <w:sz w:val="22"/>
        </w:rPr>
      </w:pPr>
      <w:r>
        <w:rPr>
          <w:b/>
          <w:sz w:val="22"/>
        </w:rPr>
        <w:t xml:space="preserve">Статья 10.  Равенство прав в области культуры, образования и </w:t>
      </w:r>
      <w:r>
        <w:rPr>
          <w:b/>
          <w:sz w:val="22"/>
        </w:rPr>
        <w:br/>
        <w:t>профессиональной подготовки</w:t>
      </w:r>
    </w:p>
    <w:p w:rsidR="00000000" w:rsidRDefault="00000000">
      <w:pPr>
        <w:pStyle w:val="BodyTextIndent2"/>
        <w:tabs>
          <w:tab w:val="left" w:pos="680"/>
        </w:tabs>
        <w:spacing w:before="240" w:line="260" w:lineRule="exact"/>
        <w:ind w:firstLine="0"/>
        <w:jc w:val="both"/>
        <w:rPr>
          <w:i/>
          <w:sz w:val="22"/>
        </w:rPr>
      </w:pPr>
      <w:r>
        <w:rPr>
          <w:i/>
          <w:sz w:val="22"/>
        </w:rPr>
        <w:t>Статья 10</w:t>
      </w:r>
    </w:p>
    <w:p w:rsidR="00000000" w:rsidRDefault="00000000">
      <w:pPr>
        <w:shd w:val="clear" w:color="auto" w:fill="FFFFFF"/>
        <w:tabs>
          <w:tab w:val="left" w:pos="680"/>
        </w:tabs>
        <w:autoSpaceDE w:val="0"/>
        <w:autoSpaceDN w:val="0"/>
        <w:adjustRightInd w:val="0"/>
        <w:spacing w:before="240" w:line="260" w:lineRule="exact"/>
        <w:jc w:val="both"/>
        <w:rPr>
          <w:sz w:val="22"/>
        </w:rPr>
      </w:pPr>
      <w:r>
        <w:rPr>
          <w:i/>
          <w:color w:val="000000"/>
          <w:sz w:val="22"/>
        </w:rPr>
        <w:t>Государства-участники принимают все соответствующие меры для того, чтобы ликвидировать дискриминацию в отношении женщин, с тем чтобы обеспечить им равные права с мужчинами в области образования и, в частности, обеспечить на основе равенства мужчин и женщин:</w:t>
      </w:r>
    </w:p>
    <w:p w:rsidR="00000000" w:rsidRDefault="00000000">
      <w:pPr>
        <w:shd w:val="clear" w:color="auto" w:fill="FFFFFF"/>
        <w:tabs>
          <w:tab w:val="left" w:pos="340"/>
          <w:tab w:val="left" w:pos="680"/>
        </w:tabs>
        <w:autoSpaceDE w:val="0"/>
        <w:autoSpaceDN w:val="0"/>
        <w:adjustRightInd w:val="0"/>
        <w:spacing w:before="200" w:line="260" w:lineRule="exact"/>
        <w:ind w:left="680" w:hanging="680"/>
        <w:jc w:val="both"/>
        <w:rPr>
          <w:i/>
          <w:spacing w:val="-4"/>
          <w:sz w:val="22"/>
        </w:rPr>
      </w:pPr>
      <w:r>
        <w:rPr>
          <w:i/>
          <w:color w:val="000000"/>
          <w:sz w:val="22"/>
        </w:rPr>
        <w:tab/>
        <w:t>а)</w:t>
      </w:r>
      <w:r>
        <w:rPr>
          <w:i/>
          <w:color w:val="000000"/>
          <w:sz w:val="22"/>
        </w:rPr>
        <w:tab/>
      </w:r>
      <w:r>
        <w:rPr>
          <w:i/>
          <w:color w:val="000000"/>
          <w:spacing w:val="-4"/>
          <w:sz w:val="22"/>
        </w:rPr>
        <w:t>одинаковые условия для ориентации в выборе профессии или специальности, для доступа к образованию и получению дипломов в учебных заведениях всех категорий как в сельских, так и в городских районах; это равенство обеспечивается в дошкольном, общем, специальном и высшем техническом образовании, а также во всех видах профессиональной подготовки;</w:t>
      </w:r>
    </w:p>
    <w:p w:rsidR="00000000" w:rsidRDefault="00000000">
      <w:pPr>
        <w:shd w:val="clear" w:color="auto" w:fill="FFFFFF"/>
        <w:tabs>
          <w:tab w:val="left" w:pos="340"/>
          <w:tab w:val="left" w:pos="680"/>
        </w:tabs>
        <w:autoSpaceDE w:val="0"/>
        <w:autoSpaceDN w:val="0"/>
        <w:adjustRightInd w:val="0"/>
        <w:spacing w:before="200" w:line="260" w:lineRule="exact"/>
        <w:ind w:left="680" w:hanging="680"/>
        <w:jc w:val="both"/>
        <w:rPr>
          <w:i/>
          <w:sz w:val="22"/>
        </w:rPr>
      </w:pPr>
      <w:r>
        <w:rPr>
          <w:i/>
          <w:color w:val="000000"/>
          <w:sz w:val="22"/>
        </w:rPr>
        <w:tab/>
      </w:r>
      <w:r>
        <w:rPr>
          <w:i/>
          <w:color w:val="000000"/>
          <w:sz w:val="22"/>
          <w:lang w:val="en-US"/>
        </w:rPr>
        <w:t>b</w:t>
      </w:r>
      <w:r>
        <w:rPr>
          <w:i/>
          <w:color w:val="000000"/>
          <w:sz w:val="22"/>
        </w:rPr>
        <w:t>)</w:t>
      </w:r>
      <w:r>
        <w:rPr>
          <w:i/>
          <w:color w:val="000000"/>
          <w:sz w:val="22"/>
        </w:rPr>
        <w:tab/>
        <w:t>доступ к одинаковым программам обучения, одинаковым экзаменам, преподавательскому составу одинаковой квалификации, школьным помещениям и оборудованию равного качества;</w:t>
      </w:r>
    </w:p>
    <w:p w:rsidR="00000000" w:rsidRDefault="00000000">
      <w:pPr>
        <w:shd w:val="clear" w:color="auto" w:fill="FFFFFF"/>
        <w:tabs>
          <w:tab w:val="left" w:pos="340"/>
          <w:tab w:val="left" w:pos="680"/>
        </w:tabs>
        <w:autoSpaceDE w:val="0"/>
        <w:autoSpaceDN w:val="0"/>
        <w:adjustRightInd w:val="0"/>
        <w:spacing w:before="200" w:line="260" w:lineRule="exact"/>
        <w:ind w:left="680" w:hanging="680"/>
        <w:jc w:val="both"/>
        <w:rPr>
          <w:i/>
          <w:spacing w:val="-2"/>
          <w:sz w:val="22"/>
        </w:rPr>
      </w:pPr>
      <w:r>
        <w:rPr>
          <w:i/>
          <w:color w:val="000000"/>
          <w:sz w:val="22"/>
        </w:rPr>
        <w:tab/>
        <w:t>с)</w:t>
      </w:r>
      <w:r>
        <w:rPr>
          <w:i/>
          <w:color w:val="000000"/>
          <w:sz w:val="22"/>
        </w:rPr>
        <w:tab/>
      </w:r>
      <w:r>
        <w:rPr>
          <w:i/>
          <w:color w:val="000000"/>
          <w:spacing w:val="-2"/>
          <w:sz w:val="22"/>
        </w:rPr>
        <w:t>устранение любой стереотипной концепции роли мужчин и женщин на всех уровнях и во всех формах обучения путем поощрения совместного обучения и других видов обучения, которые будут содействовать достижению этой цели, и, в частности, путем пересмотра учебных пособий и школьных программ и адаптации методов обучения;</w:t>
      </w:r>
    </w:p>
    <w:p w:rsidR="00000000" w:rsidRDefault="00000000">
      <w:pPr>
        <w:shd w:val="clear" w:color="auto" w:fill="FFFFFF"/>
        <w:tabs>
          <w:tab w:val="left" w:pos="340"/>
          <w:tab w:val="left" w:pos="680"/>
        </w:tabs>
        <w:autoSpaceDE w:val="0"/>
        <w:autoSpaceDN w:val="0"/>
        <w:adjustRightInd w:val="0"/>
        <w:spacing w:before="200" w:line="260" w:lineRule="exact"/>
        <w:ind w:left="680" w:hanging="680"/>
        <w:jc w:val="both"/>
        <w:rPr>
          <w:i/>
          <w:sz w:val="22"/>
        </w:rPr>
      </w:pPr>
      <w:r>
        <w:rPr>
          <w:i/>
          <w:color w:val="000000"/>
          <w:sz w:val="22"/>
        </w:rPr>
        <w:tab/>
      </w:r>
      <w:r>
        <w:rPr>
          <w:i/>
          <w:color w:val="000000"/>
          <w:sz w:val="22"/>
          <w:lang w:val="en-US"/>
        </w:rPr>
        <w:t>d</w:t>
      </w:r>
      <w:r>
        <w:rPr>
          <w:i/>
          <w:color w:val="000000"/>
          <w:sz w:val="22"/>
        </w:rPr>
        <w:t>)</w:t>
      </w:r>
      <w:r>
        <w:rPr>
          <w:i/>
          <w:color w:val="000000"/>
          <w:sz w:val="22"/>
        </w:rPr>
        <w:tab/>
        <w:t>одинаковые возможности получения стипендий и других пособий на образование;</w:t>
      </w:r>
    </w:p>
    <w:p w:rsidR="00000000" w:rsidRDefault="00000000">
      <w:pPr>
        <w:shd w:val="clear" w:color="auto" w:fill="FFFFFF"/>
        <w:tabs>
          <w:tab w:val="left" w:pos="340"/>
          <w:tab w:val="left" w:pos="680"/>
        </w:tabs>
        <w:autoSpaceDE w:val="0"/>
        <w:autoSpaceDN w:val="0"/>
        <w:adjustRightInd w:val="0"/>
        <w:spacing w:before="200" w:line="260" w:lineRule="exact"/>
        <w:ind w:left="680" w:hanging="680"/>
        <w:jc w:val="both"/>
        <w:rPr>
          <w:i/>
          <w:sz w:val="22"/>
        </w:rPr>
      </w:pPr>
      <w:r>
        <w:rPr>
          <w:i/>
          <w:color w:val="000000"/>
          <w:sz w:val="22"/>
        </w:rPr>
        <w:tab/>
      </w:r>
      <w:r>
        <w:rPr>
          <w:i/>
          <w:color w:val="000000"/>
          <w:sz w:val="22"/>
          <w:lang w:val="en-US"/>
        </w:rPr>
        <w:t>e</w:t>
      </w:r>
      <w:r>
        <w:rPr>
          <w:i/>
          <w:color w:val="000000"/>
          <w:sz w:val="22"/>
        </w:rPr>
        <w:t>)</w:t>
      </w:r>
      <w:r>
        <w:rPr>
          <w:i/>
          <w:color w:val="000000"/>
          <w:sz w:val="22"/>
        </w:rPr>
        <w:tab/>
        <w:t>одинаковые возможности доступа к программам продолжения образования, включая программы распространения грамотности среди взрослых и программы функциональной грамотности, направленные, в частности, на сокращение как можно скорее любого разрыва в знаниях мужчин и женщин;</w:t>
      </w:r>
    </w:p>
    <w:p w:rsidR="00000000" w:rsidRDefault="00000000">
      <w:pPr>
        <w:shd w:val="clear" w:color="auto" w:fill="FFFFFF"/>
        <w:tabs>
          <w:tab w:val="left" w:pos="340"/>
          <w:tab w:val="left" w:pos="680"/>
        </w:tabs>
        <w:autoSpaceDE w:val="0"/>
        <w:autoSpaceDN w:val="0"/>
        <w:adjustRightInd w:val="0"/>
        <w:spacing w:before="200" w:line="260" w:lineRule="exact"/>
        <w:ind w:left="680" w:hanging="680"/>
        <w:jc w:val="both"/>
        <w:rPr>
          <w:i/>
          <w:sz w:val="22"/>
        </w:rPr>
      </w:pPr>
      <w:r>
        <w:rPr>
          <w:i/>
          <w:color w:val="000000"/>
          <w:sz w:val="22"/>
        </w:rPr>
        <w:tab/>
      </w:r>
      <w:r>
        <w:rPr>
          <w:i/>
          <w:color w:val="000000"/>
          <w:sz w:val="22"/>
          <w:lang w:val="en-US"/>
        </w:rPr>
        <w:t>f</w:t>
      </w:r>
      <w:r>
        <w:rPr>
          <w:i/>
          <w:color w:val="000000"/>
          <w:sz w:val="22"/>
        </w:rPr>
        <w:t>)</w:t>
      </w:r>
      <w:r>
        <w:rPr>
          <w:i/>
          <w:color w:val="000000"/>
          <w:sz w:val="22"/>
        </w:rPr>
        <w:tab/>
        <w:t>сокращение числа девушек, не заканчивающих школу, и разработку программ для девушек и женщин, преждевременно покинувших школу;</w:t>
      </w:r>
    </w:p>
    <w:p w:rsidR="00000000" w:rsidRDefault="00000000">
      <w:pPr>
        <w:shd w:val="clear" w:color="auto" w:fill="FFFFFF"/>
        <w:tabs>
          <w:tab w:val="left" w:pos="340"/>
          <w:tab w:val="left" w:pos="680"/>
        </w:tabs>
        <w:autoSpaceDE w:val="0"/>
        <w:autoSpaceDN w:val="0"/>
        <w:adjustRightInd w:val="0"/>
        <w:spacing w:before="200" w:line="260" w:lineRule="exact"/>
        <w:ind w:left="680" w:hanging="680"/>
        <w:jc w:val="both"/>
        <w:rPr>
          <w:i/>
          <w:sz w:val="22"/>
        </w:rPr>
      </w:pPr>
      <w:r>
        <w:rPr>
          <w:i/>
          <w:color w:val="000000"/>
          <w:sz w:val="22"/>
        </w:rPr>
        <w:tab/>
      </w:r>
      <w:r>
        <w:rPr>
          <w:i/>
          <w:color w:val="000000"/>
          <w:sz w:val="22"/>
          <w:lang w:val="en-US"/>
        </w:rPr>
        <w:t>g</w:t>
      </w:r>
      <w:r>
        <w:rPr>
          <w:i/>
          <w:color w:val="000000"/>
          <w:sz w:val="22"/>
        </w:rPr>
        <w:t>)</w:t>
      </w:r>
      <w:r>
        <w:rPr>
          <w:i/>
          <w:color w:val="000000"/>
          <w:sz w:val="22"/>
        </w:rPr>
        <w:tab/>
        <w:t>одинаковые возможности активно участвовать в занятиях спортом и физической подготовкой;</w:t>
      </w:r>
    </w:p>
    <w:p w:rsidR="00000000" w:rsidRDefault="00000000">
      <w:pPr>
        <w:shd w:val="clear" w:color="auto" w:fill="FFFFFF"/>
        <w:tabs>
          <w:tab w:val="left" w:pos="340"/>
          <w:tab w:val="left" w:pos="680"/>
        </w:tabs>
        <w:autoSpaceDE w:val="0"/>
        <w:autoSpaceDN w:val="0"/>
        <w:adjustRightInd w:val="0"/>
        <w:spacing w:before="200" w:line="260" w:lineRule="exact"/>
        <w:ind w:left="680" w:hanging="680"/>
        <w:jc w:val="both"/>
        <w:rPr>
          <w:i/>
          <w:color w:val="000000"/>
          <w:sz w:val="22"/>
        </w:rPr>
      </w:pPr>
      <w:r>
        <w:rPr>
          <w:i/>
          <w:color w:val="000000"/>
          <w:sz w:val="22"/>
        </w:rPr>
        <w:tab/>
        <w:t>h)</w:t>
      </w:r>
      <w:r>
        <w:rPr>
          <w:i/>
          <w:color w:val="000000"/>
          <w:sz w:val="22"/>
        </w:rPr>
        <w:tab/>
        <w:t>доступ к специальной информации образовательного характера в целях содействия обеспечению здоровья и благосостояния семей, включая информацию и консультации о планировании размера семьи.</w:t>
      </w:r>
    </w:p>
    <w:p w:rsidR="00000000" w:rsidRDefault="00000000">
      <w:pPr>
        <w:shd w:val="clear" w:color="auto" w:fill="FFFFFF"/>
        <w:tabs>
          <w:tab w:val="left" w:pos="340"/>
          <w:tab w:val="left" w:pos="680"/>
        </w:tabs>
        <w:autoSpaceDE w:val="0"/>
        <w:autoSpaceDN w:val="0"/>
        <w:adjustRightInd w:val="0"/>
        <w:spacing w:line="260" w:lineRule="exact"/>
        <w:ind w:left="340" w:hanging="340"/>
        <w:jc w:val="both"/>
        <w:rPr>
          <w:sz w:val="22"/>
        </w:rPr>
      </w:pPr>
    </w:p>
    <w:p w:rsidR="00000000" w:rsidRDefault="00000000">
      <w:pPr>
        <w:pStyle w:val="BodyTextIndent2"/>
        <w:tabs>
          <w:tab w:val="left" w:pos="680"/>
        </w:tabs>
        <w:spacing w:before="240" w:line="260" w:lineRule="exact"/>
        <w:ind w:firstLine="0"/>
        <w:jc w:val="both"/>
        <w:rPr>
          <w:b/>
          <w:sz w:val="22"/>
        </w:rPr>
      </w:pPr>
      <w:r>
        <w:rPr>
          <w:b/>
          <w:sz w:val="22"/>
        </w:rPr>
        <w:t>Доступ к получению образования и овладению профессией</w:t>
      </w:r>
    </w:p>
    <w:p w:rsidR="00000000" w:rsidRDefault="00000000">
      <w:pPr>
        <w:pStyle w:val="BodyTextIndent2"/>
        <w:tabs>
          <w:tab w:val="left" w:pos="680"/>
        </w:tabs>
        <w:spacing w:before="240" w:line="260" w:lineRule="exact"/>
        <w:ind w:firstLine="0"/>
        <w:jc w:val="both"/>
        <w:rPr>
          <w:sz w:val="22"/>
        </w:rPr>
      </w:pPr>
      <w:r>
        <w:rPr>
          <w:sz w:val="22"/>
        </w:rPr>
        <w:t>325.</w:t>
      </w:r>
      <w:r>
        <w:rPr>
          <w:sz w:val="22"/>
        </w:rPr>
        <w:tab/>
        <w:t xml:space="preserve">По данным </w:t>
      </w:r>
      <w:r>
        <w:rPr>
          <w:sz w:val="22"/>
          <w:lang w:val="es-ES"/>
        </w:rPr>
        <w:t>VII</w:t>
      </w:r>
      <w:r>
        <w:rPr>
          <w:sz w:val="22"/>
        </w:rPr>
        <w:t xml:space="preserve"> доклада проекта "Состояние нации", с первых лет обучения в начальной школе женщины больше или в той же мере, что и мужчины, охвачены государственным образованием. В реальности мужчины имеют меньший процент посещаемости, меньший уровень охвата школьным образованием и больший процент школьного отсева (проект "Состояние нации", 2001 год). С другой стороны, уровень грамотности, вычисляемый по количеству учебных лет, проведенных человеком в школе, показывает, что не существует значительной разницы между мужчинами и женщинами, а это, без сомнения, указывает на равенство в данной области.</w:t>
      </w:r>
    </w:p>
    <w:p w:rsidR="00000000" w:rsidRDefault="00000000">
      <w:pPr>
        <w:pStyle w:val="FootnoteText"/>
        <w:tabs>
          <w:tab w:val="left" w:pos="680"/>
        </w:tabs>
        <w:spacing w:before="240" w:line="260" w:lineRule="exact"/>
        <w:jc w:val="both"/>
        <w:rPr>
          <w:sz w:val="22"/>
        </w:rPr>
      </w:pPr>
      <w:r>
        <w:rPr>
          <w:sz w:val="22"/>
        </w:rPr>
        <w:t xml:space="preserve">326. </w:t>
      </w:r>
      <w:r>
        <w:rPr>
          <w:sz w:val="22"/>
        </w:rPr>
        <w:tab/>
        <w:t>Как показано в Сводной таблице показателей положения и статуса женщин в Коста-Рике за 1990–2000 годы (Приложение № 1), гендерная разница общего показателя посещаемости средней школы (разница между юношами и девушками в процентах) выше для женщин на 4,6 в 1997 году и на 4,9 в 1999 и 2000 годах. В то же время гендерная разница показателя отсева (разница между юношами и девушками, оставившими школу, в процентах) ниже для девушек. Данные показывают, что за все годы больше юношей, чем девушек, покидали школу на всех трех ступенях образования. Самая большая разница наблюдается во </w:t>
      </w:r>
      <w:r>
        <w:rPr>
          <w:sz w:val="22"/>
          <w:lang w:val="en-US"/>
        </w:rPr>
        <w:t>II</w:t>
      </w:r>
      <w:r>
        <w:rPr>
          <w:sz w:val="22"/>
        </w:rPr>
        <w:t xml:space="preserve"> и </w:t>
      </w:r>
      <w:r>
        <w:rPr>
          <w:sz w:val="22"/>
          <w:lang w:val="en-US"/>
        </w:rPr>
        <w:t>IV</w:t>
      </w:r>
      <w:r>
        <w:rPr>
          <w:sz w:val="22"/>
        </w:rPr>
        <w:t xml:space="preserve"> Академических циклах, где она достигла 2,7 процента в 1999 году.</w:t>
      </w:r>
    </w:p>
    <w:p w:rsidR="00000000" w:rsidRDefault="00000000">
      <w:pPr>
        <w:pStyle w:val="BodyTextIndent2"/>
        <w:tabs>
          <w:tab w:val="left" w:pos="680"/>
        </w:tabs>
        <w:spacing w:before="360" w:line="260" w:lineRule="exact"/>
        <w:ind w:firstLine="0"/>
        <w:jc w:val="both"/>
        <w:rPr>
          <w:sz w:val="22"/>
        </w:rPr>
      </w:pPr>
      <w:r>
        <w:rPr>
          <w:b/>
          <w:sz w:val="22"/>
        </w:rPr>
        <w:t>Женщины в государственных высших учебных заведениях</w:t>
      </w:r>
    </w:p>
    <w:p w:rsidR="00000000" w:rsidRDefault="00000000">
      <w:pPr>
        <w:pStyle w:val="BodyTextIndent2"/>
        <w:tabs>
          <w:tab w:val="left" w:pos="680"/>
        </w:tabs>
        <w:spacing w:before="240" w:line="260" w:lineRule="exact"/>
        <w:ind w:firstLine="0"/>
        <w:jc w:val="both"/>
        <w:rPr>
          <w:sz w:val="22"/>
        </w:rPr>
      </w:pPr>
      <w:r>
        <w:rPr>
          <w:sz w:val="22"/>
        </w:rPr>
        <w:t>327.</w:t>
      </w:r>
      <w:r>
        <w:rPr>
          <w:sz w:val="22"/>
        </w:rPr>
        <w:tab/>
        <w:t>Число женщин, обучающихся в высшей школе, является примером значительных успехов, достигнутых этой сфере. На 12 студенток государственных высших учебных заведений приходится 10 студентов. Несмотря на это, наблюдаются различия в зависимости от учебного заведения и избранной профессии (</w:t>
      </w:r>
      <w:r>
        <w:rPr>
          <w:sz w:val="22"/>
          <w:lang w:val="en-US"/>
        </w:rPr>
        <w:t>KONARE</w:t>
      </w:r>
      <w:r>
        <w:rPr>
          <w:sz w:val="22"/>
        </w:rPr>
        <w:t>, 2000).</w:t>
      </w:r>
    </w:p>
    <w:p w:rsidR="00000000" w:rsidRDefault="00000000">
      <w:pPr>
        <w:pStyle w:val="BodyTextIndent2"/>
        <w:tabs>
          <w:tab w:val="left" w:pos="680"/>
        </w:tabs>
        <w:spacing w:before="240" w:line="260" w:lineRule="exact"/>
        <w:ind w:firstLine="0"/>
        <w:jc w:val="both"/>
        <w:rPr>
          <w:spacing w:val="-4"/>
          <w:sz w:val="22"/>
        </w:rPr>
      </w:pPr>
      <w:r>
        <w:rPr>
          <w:sz w:val="22"/>
        </w:rPr>
        <w:t>328.</w:t>
      </w:r>
      <w:r>
        <w:rPr>
          <w:sz w:val="22"/>
        </w:rPr>
        <w:tab/>
      </w:r>
      <w:r>
        <w:rPr>
          <w:spacing w:val="-4"/>
          <w:sz w:val="22"/>
        </w:rPr>
        <w:t xml:space="preserve">По данным </w:t>
      </w:r>
      <w:r>
        <w:rPr>
          <w:spacing w:val="-4"/>
          <w:sz w:val="22"/>
          <w:lang w:val="es-ES"/>
        </w:rPr>
        <w:t>VII</w:t>
      </w:r>
      <w:r>
        <w:rPr>
          <w:spacing w:val="-4"/>
          <w:sz w:val="22"/>
        </w:rPr>
        <w:t xml:space="preserve"> доклада "Состояние нации" (проект "Состояние нации", 2001 год), в государственных высших учебных заведениях обучается больше женщин, чем мужчин, однако наблюдается определенная сегрегация по специальностям. Эта величина оставалась постоянной в течение 1990-х годов и составляла 15,5 процента. Это невысокий показатель, принимая во внимание, что женщины составляют немногим более 50 процентов всех студентов.</w:t>
      </w:r>
    </w:p>
    <w:p w:rsidR="00000000" w:rsidRDefault="00000000">
      <w:pPr>
        <w:pStyle w:val="BodyTextIndent2"/>
        <w:tabs>
          <w:tab w:val="left" w:pos="680"/>
        </w:tabs>
        <w:spacing w:before="240" w:line="260" w:lineRule="exact"/>
        <w:ind w:firstLine="0"/>
        <w:jc w:val="both"/>
        <w:rPr>
          <w:sz w:val="22"/>
        </w:rPr>
      </w:pPr>
      <w:r>
        <w:rPr>
          <w:sz w:val="22"/>
        </w:rPr>
        <w:t>329.</w:t>
      </w:r>
      <w:r>
        <w:rPr>
          <w:sz w:val="22"/>
        </w:rPr>
        <w:tab/>
        <w:t>По отдельным учебным заведениям наблюдается следующая картина: в Коста-Риканском технологическом институте (ИТКР) преобладают студенты-мужчины: 35 женщин на 100 мужчин, в то время как в Государственном заочном университете (УНЕД) учится больше женщин, их число почти в два раза превышает число мужчин. ИТКР специализируется на научных и технических дисциплинах, а УНЕД – на подготовке кадров для делового администрирования и образования. Такое положение указывает на сегментацию в профессиональной подготовке, а затем и в участии на рынке труда.</w:t>
      </w:r>
    </w:p>
    <w:p w:rsidR="00000000" w:rsidRDefault="00000000">
      <w:pPr>
        <w:pStyle w:val="BodyTextIndent2"/>
        <w:tabs>
          <w:tab w:val="left" w:pos="680"/>
        </w:tabs>
        <w:spacing w:before="240" w:line="260" w:lineRule="exact"/>
        <w:ind w:firstLine="0"/>
        <w:jc w:val="both"/>
        <w:rPr>
          <w:sz w:val="22"/>
        </w:rPr>
      </w:pPr>
      <w:r>
        <w:rPr>
          <w:sz w:val="22"/>
        </w:rPr>
        <w:t>330.</w:t>
      </w:r>
      <w:r>
        <w:rPr>
          <w:sz w:val="22"/>
        </w:rPr>
        <w:tab/>
        <w:t>Технические специальности полностью исключают женщин как среди студентов, так и среди выпускников. Практически все выпускники в области фундаментальных наук – мужчины, но в последнее время наблюдается некоторый рост числа женщин, избирающих эти специальности. Такие области, как искусство, филология и образование, являются традиционно женскими.</w:t>
      </w:r>
    </w:p>
    <w:p w:rsidR="00000000" w:rsidRDefault="00000000">
      <w:pPr>
        <w:pStyle w:val="BodyTextIndent2"/>
        <w:tabs>
          <w:tab w:val="left" w:pos="680"/>
        </w:tabs>
        <w:spacing w:before="240" w:line="260" w:lineRule="exact"/>
        <w:ind w:firstLine="0"/>
        <w:jc w:val="center"/>
        <w:rPr>
          <w:b/>
          <w:sz w:val="22"/>
        </w:rPr>
      </w:pPr>
      <w:r>
        <w:rPr>
          <w:b/>
          <w:sz w:val="22"/>
        </w:rPr>
        <w:t>Таблица 8</w:t>
      </w:r>
    </w:p>
    <w:p w:rsidR="00000000" w:rsidRDefault="00000000">
      <w:pPr>
        <w:pStyle w:val="BodyText"/>
        <w:tabs>
          <w:tab w:val="left" w:pos="680"/>
        </w:tabs>
        <w:spacing w:before="120" w:after="120" w:line="260" w:lineRule="exact"/>
        <w:jc w:val="center"/>
        <w:rPr>
          <w:b/>
          <w:sz w:val="22"/>
        </w:rPr>
      </w:pPr>
      <w:r>
        <w:rPr>
          <w:b/>
          <w:sz w:val="22"/>
        </w:rPr>
        <w:t xml:space="preserve">Соотношение числа женщин и мужчин, </w:t>
      </w:r>
      <w:r>
        <w:rPr>
          <w:b/>
          <w:sz w:val="22"/>
        </w:rPr>
        <w:br/>
        <w:t xml:space="preserve">закончивших государственные университеты, в разбивке по специальностям, </w:t>
      </w:r>
      <w:r>
        <w:rPr>
          <w:b/>
          <w:sz w:val="22"/>
        </w:rPr>
        <w:br/>
        <w:t>1990, 1995, 1996–1999 годы</w:t>
      </w:r>
    </w:p>
    <w:tbl>
      <w:tblPr>
        <w:tblW w:w="0" w:type="auto"/>
        <w:jc w:val="center"/>
        <w:tblLayout w:type="fixed"/>
        <w:tblCellMar>
          <w:left w:w="56" w:type="dxa"/>
          <w:right w:w="56" w:type="dxa"/>
        </w:tblCellMar>
        <w:tblLook w:val="0000" w:firstRow="0" w:lastRow="0" w:firstColumn="0" w:lastColumn="0" w:noHBand="0" w:noVBand="0"/>
      </w:tblPr>
      <w:tblGrid>
        <w:gridCol w:w="2041"/>
        <w:gridCol w:w="1134"/>
        <w:gridCol w:w="1134"/>
        <w:gridCol w:w="1134"/>
        <w:gridCol w:w="1134"/>
        <w:gridCol w:w="1134"/>
        <w:gridCol w:w="1134"/>
      </w:tblGrid>
      <w:tr w:rsidR="00000000">
        <w:tblPrEx>
          <w:tblCellMar>
            <w:top w:w="0" w:type="dxa"/>
            <w:bottom w:w="0" w:type="dxa"/>
          </w:tblCellMar>
        </w:tblPrEx>
        <w:trPr>
          <w:jc w:val="center"/>
        </w:trPr>
        <w:tc>
          <w:tcPr>
            <w:tcW w:w="2041" w:type="dxa"/>
            <w:tcBorders>
              <w:top w:val="single" w:sz="4" w:space="0" w:color="auto"/>
              <w:bottom w:val="single" w:sz="4" w:space="0" w:color="auto"/>
            </w:tcBorders>
          </w:tcPr>
          <w:p w:rsidR="00000000" w:rsidRDefault="00000000">
            <w:pPr>
              <w:pStyle w:val="BodyTextIndent2"/>
              <w:tabs>
                <w:tab w:val="left" w:pos="680"/>
              </w:tabs>
              <w:spacing w:before="40" w:after="40"/>
              <w:ind w:firstLine="0"/>
              <w:rPr>
                <w:b/>
                <w:sz w:val="20"/>
              </w:rPr>
            </w:pPr>
            <w:r>
              <w:rPr>
                <w:b/>
                <w:sz w:val="20"/>
              </w:rPr>
              <w:t>Специальности</w:t>
            </w:r>
          </w:p>
        </w:tc>
        <w:tc>
          <w:tcPr>
            <w:tcW w:w="1134" w:type="dxa"/>
            <w:tcBorders>
              <w:top w:val="single" w:sz="4" w:space="0" w:color="auto"/>
              <w:bottom w:val="single" w:sz="4" w:space="0" w:color="auto"/>
            </w:tcBorders>
          </w:tcPr>
          <w:p w:rsidR="00000000" w:rsidRDefault="00000000">
            <w:pPr>
              <w:pStyle w:val="BodyTextIndent2"/>
              <w:tabs>
                <w:tab w:val="decimal" w:pos="624"/>
              </w:tabs>
              <w:spacing w:before="40" w:after="40"/>
              <w:ind w:firstLine="0"/>
              <w:rPr>
                <w:b/>
                <w:sz w:val="20"/>
              </w:rPr>
            </w:pPr>
            <w:r>
              <w:rPr>
                <w:b/>
                <w:sz w:val="20"/>
              </w:rPr>
              <w:t>1990</w:t>
            </w:r>
          </w:p>
        </w:tc>
        <w:tc>
          <w:tcPr>
            <w:tcW w:w="1134" w:type="dxa"/>
            <w:tcBorders>
              <w:top w:val="single" w:sz="4" w:space="0" w:color="auto"/>
              <w:bottom w:val="single" w:sz="4" w:space="0" w:color="auto"/>
            </w:tcBorders>
          </w:tcPr>
          <w:p w:rsidR="00000000" w:rsidRDefault="00000000">
            <w:pPr>
              <w:pStyle w:val="BodyTextIndent2"/>
              <w:tabs>
                <w:tab w:val="decimal" w:pos="624"/>
              </w:tabs>
              <w:spacing w:before="40" w:after="40"/>
              <w:ind w:firstLine="0"/>
              <w:rPr>
                <w:b/>
                <w:sz w:val="20"/>
              </w:rPr>
            </w:pPr>
            <w:r>
              <w:rPr>
                <w:b/>
                <w:sz w:val="20"/>
              </w:rPr>
              <w:t>1995</w:t>
            </w:r>
          </w:p>
        </w:tc>
        <w:tc>
          <w:tcPr>
            <w:tcW w:w="1134" w:type="dxa"/>
            <w:tcBorders>
              <w:top w:val="single" w:sz="4" w:space="0" w:color="auto"/>
              <w:bottom w:val="single" w:sz="4" w:space="0" w:color="auto"/>
            </w:tcBorders>
          </w:tcPr>
          <w:p w:rsidR="00000000" w:rsidRDefault="00000000">
            <w:pPr>
              <w:pStyle w:val="BodyTextIndent2"/>
              <w:tabs>
                <w:tab w:val="decimal" w:pos="624"/>
              </w:tabs>
              <w:spacing w:before="40" w:after="40"/>
              <w:ind w:firstLine="0"/>
              <w:rPr>
                <w:b/>
                <w:sz w:val="20"/>
              </w:rPr>
            </w:pPr>
            <w:r>
              <w:rPr>
                <w:b/>
                <w:sz w:val="20"/>
              </w:rPr>
              <w:t>1996</w:t>
            </w:r>
          </w:p>
        </w:tc>
        <w:tc>
          <w:tcPr>
            <w:tcW w:w="1134" w:type="dxa"/>
            <w:tcBorders>
              <w:top w:val="single" w:sz="4" w:space="0" w:color="auto"/>
              <w:bottom w:val="single" w:sz="4" w:space="0" w:color="auto"/>
            </w:tcBorders>
          </w:tcPr>
          <w:p w:rsidR="00000000" w:rsidRDefault="00000000">
            <w:pPr>
              <w:pStyle w:val="BodyTextIndent2"/>
              <w:tabs>
                <w:tab w:val="decimal" w:pos="624"/>
              </w:tabs>
              <w:spacing w:before="40" w:after="40"/>
              <w:ind w:firstLine="0"/>
              <w:rPr>
                <w:b/>
                <w:sz w:val="20"/>
              </w:rPr>
            </w:pPr>
            <w:r>
              <w:rPr>
                <w:b/>
                <w:sz w:val="20"/>
              </w:rPr>
              <w:t>1997</w:t>
            </w:r>
          </w:p>
        </w:tc>
        <w:tc>
          <w:tcPr>
            <w:tcW w:w="1134" w:type="dxa"/>
            <w:tcBorders>
              <w:top w:val="single" w:sz="4" w:space="0" w:color="auto"/>
              <w:bottom w:val="single" w:sz="4" w:space="0" w:color="auto"/>
            </w:tcBorders>
          </w:tcPr>
          <w:p w:rsidR="00000000" w:rsidRDefault="00000000">
            <w:pPr>
              <w:pStyle w:val="BodyTextIndent2"/>
              <w:tabs>
                <w:tab w:val="decimal" w:pos="624"/>
              </w:tabs>
              <w:spacing w:before="40" w:after="40"/>
              <w:ind w:firstLine="0"/>
              <w:rPr>
                <w:b/>
                <w:sz w:val="20"/>
              </w:rPr>
            </w:pPr>
            <w:r>
              <w:rPr>
                <w:b/>
                <w:sz w:val="20"/>
              </w:rPr>
              <w:t>1998</w:t>
            </w:r>
          </w:p>
        </w:tc>
        <w:tc>
          <w:tcPr>
            <w:tcW w:w="1134" w:type="dxa"/>
            <w:tcBorders>
              <w:top w:val="single" w:sz="4" w:space="0" w:color="auto"/>
              <w:bottom w:val="single" w:sz="4" w:space="0" w:color="auto"/>
            </w:tcBorders>
          </w:tcPr>
          <w:p w:rsidR="00000000" w:rsidRDefault="00000000">
            <w:pPr>
              <w:pStyle w:val="BodyTextIndent2"/>
              <w:tabs>
                <w:tab w:val="decimal" w:pos="624"/>
              </w:tabs>
              <w:spacing w:before="40" w:after="40"/>
              <w:ind w:firstLine="0"/>
              <w:rPr>
                <w:b/>
                <w:sz w:val="20"/>
              </w:rPr>
            </w:pPr>
            <w:r>
              <w:rPr>
                <w:b/>
                <w:sz w:val="20"/>
              </w:rPr>
              <w:t>1999</w:t>
            </w:r>
          </w:p>
        </w:tc>
      </w:tr>
      <w:tr w:rsidR="00000000">
        <w:tblPrEx>
          <w:tblCellMar>
            <w:top w:w="0" w:type="dxa"/>
            <w:bottom w:w="0" w:type="dxa"/>
          </w:tblCellMar>
        </w:tblPrEx>
        <w:trPr>
          <w:jc w:val="center"/>
        </w:trPr>
        <w:tc>
          <w:tcPr>
            <w:tcW w:w="2041" w:type="dxa"/>
            <w:tcBorders>
              <w:top w:val="single" w:sz="4" w:space="0" w:color="auto"/>
            </w:tcBorders>
          </w:tcPr>
          <w:p w:rsidR="00000000" w:rsidRDefault="00000000">
            <w:pPr>
              <w:pStyle w:val="BodyTextIndent2"/>
              <w:tabs>
                <w:tab w:val="left" w:pos="680"/>
              </w:tabs>
              <w:spacing w:before="40" w:after="40"/>
              <w:ind w:firstLine="0"/>
              <w:rPr>
                <w:sz w:val="20"/>
              </w:rPr>
            </w:pPr>
            <w:r>
              <w:rPr>
                <w:sz w:val="20"/>
              </w:rPr>
              <w:t>Фундаментальные науки</w:t>
            </w:r>
          </w:p>
        </w:tc>
        <w:tc>
          <w:tcPr>
            <w:tcW w:w="1134" w:type="dxa"/>
            <w:tcBorders>
              <w:top w:val="single" w:sz="4" w:space="0" w:color="auto"/>
            </w:tcBorders>
          </w:tcPr>
          <w:p w:rsidR="00000000" w:rsidRDefault="00000000">
            <w:pPr>
              <w:pStyle w:val="BodyTextIndent2"/>
              <w:tabs>
                <w:tab w:val="decimal" w:pos="567"/>
              </w:tabs>
              <w:spacing w:before="40" w:after="40"/>
              <w:ind w:firstLine="0"/>
              <w:jc w:val="both"/>
              <w:rPr>
                <w:sz w:val="20"/>
              </w:rPr>
            </w:pPr>
            <w:r>
              <w:rPr>
                <w:sz w:val="20"/>
              </w:rPr>
              <w:t>42,9</w:t>
            </w:r>
          </w:p>
        </w:tc>
        <w:tc>
          <w:tcPr>
            <w:tcW w:w="1134" w:type="dxa"/>
            <w:tcBorders>
              <w:top w:val="single" w:sz="4" w:space="0" w:color="auto"/>
            </w:tcBorders>
          </w:tcPr>
          <w:p w:rsidR="00000000" w:rsidRDefault="00000000">
            <w:pPr>
              <w:pStyle w:val="BodyTextIndent2"/>
              <w:tabs>
                <w:tab w:val="decimal" w:pos="567"/>
              </w:tabs>
              <w:spacing w:before="40" w:after="40"/>
              <w:ind w:firstLine="0"/>
              <w:jc w:val="both"/>
              <w:rPr>
                <w:sz w:val="20"/>
              </w:rPr>
            </w:pPr>
            <w:r>
              <w:rPr>
                <w:sz w:val="20"/>
              </w:rPr>
              <w:t>55,9</w:t>
            </w:r>
          </w:p>
        </w:tc>
        <w:tc>
          <w:tcPr>
            <w:tcW w:w="1134" w:type="dxa"/>
            <w:tcBorders>
              <w:top w:val="single" w:sz="4" w:space="0" w:color="auto"/>
            </w:tcBorders>
          </w:tcPr>
          <w:p w:rsidR="00000000" w:rsidRDefault="00000000">
            <w:pPr>
              <w:pStyle w:val="BodyTextIndent2"/>
              <w:tabs>
                <w:tab w:val="decimal" w:pos="567"/>
              </w:tabs>
              <w:spacing w:before="40" w:after="40"/>
              <w:ind w:firstLine="0"/>
              <w:jc w:val="both"/>
              <w:rPr>
                <w:sz w:val="20"/>
              </w:rPr>
            </w:pPr>
            <w:r>
              <w:rPr>
                <w:sz w:val="20"/>
              </w:rPr>
              <w:t>49,2</w:t>
            </w:r>
          </w:p>
        </w:tc>
        <w:tc>
          <w:tcPr>
            <w:tcW w:w="1134" w:type="dxa"/>
            <w:tcBorders>
              <w:top w:val="single" w:sz="4" w:space="0" w:color="auto"/>
            </w:tcBorders>
          </w:tcPr>
          <w:p w:rsidR="00000000" w:rsidRDefault="00000000">
            <w:pPr>
              <w:pStyle w:val="BodyTextIndent2"/>
              <w:tabs>
                <w:tab w:val="decimal" w:pos="567"/>
              </w:tabs>
              <w:spacing w:before="40" w:after="40"/>
              <w:ind w:firstLine="0"/>
              <w:jc w:val="both"/>
              <w:rPr>
                <w:sz w:val="20"/>
              </w:rPr>
            </w:pPr>
            <w:r>
              <w:rPr>
                <w:sz w:val="20"/>
              </w:rPr>
              <w:t>57,4</w:t>
            </w:r>
          </w:p>
        </w:tc>
        <w:tc>
          <w:tcPr>
            <w:tcW w:w="1134" w:type="dxa"/>
            <w:tcBorders>
              <w:top w:val="single" w:sz="4" w:space="0" w:color="auto"/>
            </w:tcBorders>
          </w:tcPr>
          <w:p w:rsidR="00000000" w:rsidRDefault="00000000">
            <w:pPr>
              <w:pStyle w:val="BodyTextIndent2"/>
              <w:tabs>
                <w:tab w:val="decimal" w:pos="567"/>
              </w:tabs>
              <w:spacing w:before="40" w:after="40"/>
              <w:ind w:firstLine="0"/>
              <w:jc w:val="both"/>
              <w:rPr>
                <w:sz w:val="20"/>
              </w:rPr>
            </w:pPr>
            <w:r>
              <w:rPr>
                <w:sz w:val="20"/>
              </w:rPr>
              <w:t>57,5</w:t>
            </w:r>
          </w:p>
        </w:tc>
        <w:tc>
          <w:tcPr>
            <w:tcW w:w="1134" w:type="dxa"/>
            <w:tcBorders>
              <w:top w:val="single" w:sz="4" w:space="0" w:color="auto"/>
            </w:tcBorders>
          </w:tcPr>
          <w:p w:rsidR="00000000" w:rsidRDefault="00000000">
            <w:pPr>
              <w:pStyle w:val="BodyTextIndent2"/>
              <w:tabs>
                <w:tab w:val="decimal" w:pos="567"/>
              </w:tabs>
              <w:spacing w:before="40" w:after="40"/>
              <w:ind w:firstLine="0"/>
              <w:jc w:val="both"/>
              <w:rPr>
                <w:sz w:val="20"/>
              </w:rPr>
            </w:pPr>
            <w:r>
              <w:rPr>
                <w:sz w:val="20"/>
              </w:rPr>
              <w:t>55,0</w:t>
            </w:r>
          </w:p>
        </w:tc>
      </w:tr>
      <w:tr w:rsidR="00000000">
        <w:tblPrEx>
          <w:tblCellMar>
            <w:top w:w="0" w:type="dxa"/>
            <w:bottom w:w="0" w:type="dxa"/>
          </w:tblCellMar>
        </w:tblPrEx>
        <w:trPr>
          <w:jc w:val="center"/>
        </w:trPr>
        <w:tc>
          <w:tcPr>
            <w:tcW w:w="2041" w:type="dxa"/>
          </w:tcPr>
          <w:p w:rsidR="00000000" w:rsidRDefault="00000000">
            <w:pPr>
              <w:pStyle w:val="BodyTextIndent2"/>
              <w:tabs>
                <w:tab w:val="left" w:pos="680"/>
              </w:tabs>
              <w:spacing w:before="40" w:after="40"/>
              <w:ind w:firstLine="0"/>
              <w:rPr>
                <w:sz w:val="20"/>
              </w:rPr>
            </w:pPr>
            <w:r>
              <w:rPr>
                <w:sz w:val="20"/>
              </w:rPr>
              <w:t>Социальные науки</w:t>
            </w:r>
          </w:p>
        </w:tc>
        <w:tc>
          <w:tcPr>
            <w:tcW w:w="1134" w:type="dxa"/>
          </w:tcPr>
          <w:p w:rsidR="00000000" w:rsidRDefault="00000000">
            <w:pPr>
              <w:pStyle w:val="BodyTextIndent2"/>
              <w:tabs>
                <w:tab w:val="decimal" w:pos="567"/>
              </w:tabs>
              <w:spacing w:before="40" w:after="40"/>
              <w:ind w:firstLine="0"/>
              <w:jc w:val="both"/>
              <w:rPr>
                <w:sz w:val="20"/>
              </w:rPr>
            </w:pPr>
            <w:r>
              <w:rPr>
                <w:sz w:val="20"/>
              </w:rPr>
              <w:t>108,7</w:t>
            </w:r>
          </w:p>
        </w:tc>
        <w:tc>
          <w:tcPr>
            <w:tcW w:w="1134" w:type="dxa"/>
          </w:tcPr>
          <w:p w:rsidR="00000000" w:rsidRDefault="00000000">
            <w:pPr>
              <w:pStyle w:val="BodyTextIndent2"/>
              <w:tabs>
                <w:tab w:val="decimal" w:pos="567"/>
              </w:tabs>
              <w:spacing w:before="40" w:after="40"/>
              <w:ind w:firstLine="0"/>
              <w:jc w:val="both"/>
              <w:rPr>
                <w:sz w:val="20"/>
              </w:rPr>
            </w:pPr>
            <w:r>
              <w:rPr>
                <w:sz w:val="20"/>
              </w:rPr>
              <w:t>102,5</w:t>
            </w:r>
          </w:p>
        </w:tc>
        <w:tc>
          <w:tcPr>
            <w:tcW w:w="1134" w:type="dxa"/>
          </w:tcPr>
          <w:p w:rsidR="00000000" w:rsidRDefault="00000000">
            <w:pPr>
              <w:pStyle w:val="BodyTextIndent2"/>
              <w:tabs>
                <w:tab w:val="decimal" w:pos="567"/>
              </w:tabs>
              <w:spacing w:before="40" w:after="40"/>
              <w:ind w:firstLine="0"/>
              <w:jc w:val="both"/>
              <w:rPr>
                <w:sz w:val="20"/>
              </w:rPr>
            </w:pPr>
            <w:r>
              <w:rPr>
                <w:sz w:val="20"/>
              </w:rPr>
              <w:t>83,6</w:t>
            </w:r>
          </w:p>
        </w:tc>
        <w:tc>
          <w:tcPr>
            <w:tcW w:w="1134" w:type="dxa"/>
          </w:tcPr>
          <w:p w:rsidR="00000000" w:rsidRDefault="00000000">
            <w:pPr>
              <w:pStyle w:val="BodyTextIndent2"/>
              <w:tabs>
                <w:tab w:val="decimal" w:pos="567"/>
              </w:tabs>
              <w:spacing w:before="40" w:after="40"/>
              <w:ind w:firstLine="0"/>
              <w:jc w:val="both"/>
              <w:rPr>
                <w:sz w:val="20"/>
              </w:rPr>
            </w:pPr>
            <w:r>
              <w:rPr>
                <w:sz w:val="20"/>
              </w:rPr>
              <w:t>85,7</w:t>
            </w:r>
          </w:p>
        </w:tc>
        <w:tc>
          <w:tcPr>
            <w:tcW w:w="1134" w:type="dxa"/>
          </w:tcPr>
          <w:p w:rsidR="00000000" w:rsidRDefault="00000000">
            <w:pPr>
              <w:pStyle w:val="BodyTextIndent2"/>
              <w:tabs>
                <w:tab w:val="decimal" w:pos="567"/>
              </w:tabs>
              <w:spacing w:before="40" w:after="40"/>
              <w:ind w:firstLine="0"/>
              <w:jc w:val="both"/>
              <w:rPr>
                <w:sz w:val="20"/>
              </w:rPr>
            </w:pPr>
            <w:r>
              <w:rPr>
                <w:sz w:val="20"/>
              </w:rPr>
              <w:t>97,6</w:t>
            </w:r>
          </w:p>
        </w:tc>
        <w:tc>
          <w:tcPr>
            <w:tcW w:w="1134" w:type="dxa"/>
          </w:tcPr>
          <w:p w:rsidR="00000000" w:rsidRDefault="00000000">
            <w:pPr>
              <w:pStyle w:val="BodyTextIndent2"/>
              <w:tabs>
                <w:tab w:val="decimal" w:pos="567"/>
              </w:tabs>
              <w:spacing w:before="40" w:after="40"/>
              <w:ind w:firstLine="0"/>
              <w:jc w:val="both"/>
              <w:rPr>
                <w:sz w:val="20"/>
              </w:rPr>
            </w:pPr>
            <w:r>
              <w:rPr>
                <w:sz w:val="20"/>
              </w:rPr>
              <w:t>106,0</w:t>
            </w:r>
          </w:p>
        </w:tc>
      </w:tr>
      <w:tr w:rsidR="00000000">
        <w:tblPrEx>
          <w:tblCellMar>
            <w:top w:w="0" w:type="dxa"/>
            <w:bottom w:w="0" w:type="dxa"/>
          </w:tblCellMar>
        </w:tblPrEx>
        <w:trPr>
          <w:jc w:val="center"/>
        </w:trPr>
        <w:tc>
          <w:tcPr>
            <w:tcW w:w="2041" w:type="dxa"/>
          </w:tcPr>
          <w:p w:rsidR="00000000" w:rsidRDefault="00000000">
            <w:pPr>
              <w:pStyle w:val="BodyTextIndent2"/>
              <w:tabs>
                <w:tab w:val="left" w:pos="680"/>
              </w:tabs>
              <w:spacing w:before="40" w:after="40"/>
              <w:ind w:firstLine="0"/>
              <w:rPr>
                <w:sz w:val="20"/>
              </w:rPr>
            </w:pPr>
            <w:r>
              <w:rPr>
                <w:sz w:val="20"/>
              </w:rPr>
              <w:t>Образование</w:t>
            </w:r>
          </w:p>
        </w:tc>
        <w:tc>
          <w:tcPr>
            <w:tcW w:w="1134" w:type="dxa"/>
          </w:tcPr>
          <w:p w:rsidR="00000000" w:rsidRDefault="00000000">
            <w:pPr>
              <w:pStyle w:val="BodyTextIndent2"/>
              <w:tabs>
                <w:tab w:val="decimal" w:pos="567"/>
              </w:tabs>
              <w:spacing w:before="40" w:after="40"/>
              <w:ind w:firstLine="0"/>
              <w:jc w:val="both"/>
              <w:rPr>
                <w:sz w:val="20"/>
              </w:rPr>
            </w:pPr>
            <w:r>
              <w:rPr>
                <w:sz w:val="20"/>
              </w:rPr>
              <w:t>334,5</w:t>
            </w:r>
          </w:p>
        </w:tc>
        <w:tc>
          <w:tcPr>
            <w:tcW w:w="1134" w:type="dxa"/>
          </w:tcPr>
          <w:p w:rsidR="00000000" w:rsidRDefault="00000000">
            <w:pPr>
              <w:pStyle w:val="BodyTextIndent2"/>
              <w:tabs>
                <w:tab w:val="decimal" w:pos="567"/>
              </w:tabs>
              <w:spacing w:before="40" w:after="40"/>
              <w:ind w:firstLine="0"/>
              <w:jc w:val="both"/>
              <w:rPr>
                <w:sz w:val="20"/>
              </w:rPr>
            </w:pPr>
            <w:r>
              <w:rPr>
                <w:sz w:val="20"/>
              </w:rPr>
              <w:t>329,0</w:t>
            </w:r>
          </w:p>
        </w:tc>
        <w:tc>
          <w:tcPr>
            <w:tcW w:w="1134" w:type="dxa"/>
          </w:tcPr>
          <w:p w:rsidR="00000000" w:rsidRDefault="00000000">
            <w:pPr>
              <w:pStyle w:val="BodyTextIndent2"/>
              <w:tabs>
                <w:tab w:val="decimal" w:pos="567"/>
              </w:tabs>
              <w:spacing w:before="40" w:after="40"/>
              <w:ind w:firstLine="0"/>
              <w:jc w:val="both"/>
              <w:rPr>
                <w:sz w:val="20"/>
              </w:rPr>
            </w:pPr>
            <w:r>
              <w:rPr>
                <w:sz w:val="20"/>
              </w:rPr>
              <w:t>332,5</w:t>
            </w:r>
          </w:p>
        </w:tc>
        <w:tc>
          <w:tcPr>
            <w:tcW w:w="1134" w:type="dxa"/>
          </w:tcPr>
          <w:p w:rsidR="00000000" w:rsidRDefault="00000000">
            <w:pPr>
              <w:pStyle w:val="BodyTextIndent2"/>
              <w:tabs>
                <w:tab w:val="decimal" w:pos="567"/>
              </w:tabs>
              <w:spacing w:before="40" w:after="40"/>
              <w:ind w:firstLine="0"/>
              <w:jc w:val="both"/>
              <w:rPr>
                <w:sz w:val="20"/>
              </w:rPr>
            </w:pPr>
            <w:r>
              <w:rPr>
                <w:sz w:val="20"/>
              </w:rPr>
              <w:t>351,9</w:t>
            </w:r>
          </w:p>
        </w:tc>
        <w:tc>
          <w:tcPr>
            <w:tcW w:w="1134" w:type="dxa"/>
          </w:tcPr>
          <w:p w:rsidR="00000000" w:rsidRDefault="00000000">
            <w:pPr>
              <w:pStyle w:val="BodyTextIndent2"/>
              <w:tabs>
                <w:tab w:val="decimal" w:pos="567"/>
              </w:tabs>
              <w:spacing w:before="40" w:after="40"/>
              <w:ind w:firstLine="0"/>
              <w:jc w:val="both"/>
              <w:rPr>
                <w:sz w:val="20"/>
              </w:rPr>
            </w:pPr>
            <w:r>
              <w:rPr>
                <w:sz w:val="20"/>
              </w:rPr>
              <w:t>386,7</w:t>
            </w:r>
          </w:p>
        </w:tc>
        <w:tc>
          <w:tcPr>
            <w:tcW w:w="1134" w:type="dxa"/>
          </w:tcPr>
          <w:p w:rsidR="00000000" w:rsidRDefault="00000000">
            <w:pPr>
              <w:pStyle w:val="BodyTextIndent2"/>
              <w:tabs>
                <w:tab w:val="decimal" w:pos="567"/>
              </w:tabs>
              <w:spacing w:before="40" w:after="40"/>
              <w:ind w:firstLine="0"/>
              <w:jc w:val="both"/>
              <w:rPr>
                <w:sz w:val="20"/>
              </w:rPr>
            </w:pPr>
            <w:r>
              <w:rPr>
                <w:sz w:val="20"/>
              </w:rPr>
              <w:t>369,0</w:t>
            </w:r>
          </w:p>
        </w:tc>
      </w:tr>
      <w:tr w:rsidR="00000000">
        <w:tblPrEx>
          <w:tblCellMar>
            <w:top w:w="0" w:type="dxa"/>
            <w:bottom w:w="0" w:type="dxa"/>
          </w:tblCellMar>
        </w:tblPrEx>
        <w:trPr>
          <w:jc w:val="center"/>
        </w:trPr>
        <w:tc>
          <w:tcPr>
            <w:tcW w:w="2041" w:type="dxa"/>
          </w:tcPr>
          <w:p w:rsidR="00000000" w:rsidRDefault="00000000">
            <w:pPr>
              <w:pStyle w:val="BodyTextIndent2"/>
              <w:tabs>
                <w:tab w:val="left" w:pos="680"/>
              </w:tabs>
              <w:spacing w:before="40" w:after="40"/>
              <w:ind w:firstLine="0"/>
              <w:rPr>
                <w:sz w:val="20"/>
              </w:rPr>
            </w:pPr>
            <w:r>
              <w:rPr>
                <w:sz w:val="20"/>
              </w:rPr>
              <w:t>Природные ресурсы</w:t>
            </w:r>
          </w:p>
        </w:tc>
        <w:tc>
          <w:tcPr>
            <w:tcW w:w="1134" w:type="dxa"/>
          </w:tcPr>
          <w:p w:rsidR="00000000" w:rsidRDefault="00000000">
            <w:pPr>
              <w:pStyle w:val="BodyTextIndent2"/>
              <w:tabs>
                <w:tab w:val="decimal" w:pos="567"/>
              </w:tabs>
              <w:spacing w:before="40" w:after="40"/>
              <w:ind w:firstLine="0"/>
              <w:jc w:val="both"/>
              <w:rPr>
                <w:sz w:val="20"/>
              </w:rPr>
            </w:pPr>
            <w:r>
              <w:rPr>
                <w:sz w:val="20"/>
              </w:rPr>
              <w:t>30,1</w:t>
            </w:r>
          </w:p>
        </w:tc>
        <w:tc>
          <w:tcPr>
            <w:tcW w:w="1134" w:type="dxa"/>
          </w:tcPr>
          <w:p w:rsidR="00000000" w:rsidRDefault="00000000">
            <w:pPr>
              <w:pStyle w:val="BodyTextIndent2"/>
              <w:tabs>
                <w:tab w:val="decimal" w:pos="567"/>
              </w:tabs>
              <w:spacing w:before="40" w:after="40"/>
              <w:ind w:firstLine="0"/>
              <w:jc w:val="both"/>
              <w:rPr>
                <w:sz w:val="20"/>
              </w:rPr>
            </w:pPr>
            <w:r>
              <w:rPr>
                <w:sz w:val="20"/>
              </w:rPr>
              <w:t>35,1</w:t>
            </w:r>
          </w:p>
        </w:tc>
        <w:tc>
          <w:tcPr>
            <w:tcW w:w="1134" w:type="dxa"/>
          </w:tcPr>
          <w:p w:rsidR="00000000" w:rsidRDefault="00000000">
            <w:pPr>
              <w:pStyle w:val="BodyTextIndent2"/>
              <w:tabs>
                <w:tab w:val="decimal" w:pos="567"/>
              </w:tabs>
              <w:spacing w:before="40" w:after="40"/>
              <w:ind w:firstLine="0"/>
              <w:jc w:val="both"/>
              <w:rPr>
                <w:sz w:val="20"/>
              </w:rPr>
            </w:pPr>
            <w:r>
              <w:rPr>
                <w:sz w:val="20"/>
              </w:rPr>
              <w:t>30,0</w:t>
            </w:r>
          </w:p>
        </w:tc>
        <w:tc>
          <w:tcPr>
            <w:tcW w:w="1134" w:type="dxa"/>
          </w:tcPr>
          <w:p w:rsidR="00000000" w:rsidRDefault="00000000">
            <w:pPr>
              <w:pStyle w:val="BodyTextIndent2"/>
              <w:tabs>
                <w:tab w:val="decimal" w:pos="567"/>
              </w:tabs>
              <w:spacing w:before="40" w:after="40"/>
              <w:ind w:firstLine="0"/>
              <w:jc w:val="both"/>
              <w:rPr>
                <w:sz w:val="20"/>
              </w:rPr>
            </w:pPr>
            <w:r>
              <w:rPr>
                <w:sz w:val="20"/>
              </w:rPr>
              <w:t>23,3</w:t>
            </w:r>
          </w:p>
        </w:tc>
        <w:tc>
          <w:tcPr>
            <w:tcW w:w="1134" w:type="dxa"/>
          </w:tcPr>
          <w:p w:rsidR="00000000" w:rsidRDefault="00000000">
            <w:pPr>
              <w:pStyle w:val="BodyTextIndent2"/>
              <w:tabs>
                <w:tab w:val="decimal" w:pos="567"/>
              </w:tabs>
              <w:spacing w:before="40" w:after="40"/>
              <w:ind w:firstLine="0"/>
              <w:jc w:val="both"/>
              <w:rPr>
                <w:sz w:val="20"/>
              </w:rPr>
            </w:pPr>
            <w:r>
              <w:rPr>
                <w:sz w:val="20"/>
              </w:rPr>
              <w:t>32,9</w:t>
            </w:r>
          </w:p>
        </w:tc>
        <w:tc>
          <w:tcPr>
            <w:tcW w:w="1134" w:type="dxa"/>
          </w:tcPr>
          <w:p w:rsidR="00000000" w:rsidRDefault="00000000">
            <w:pPr>
              <w:pStyle w:val="BodyTextIndent2"/>
              <w:tabs>
                <w:tab w:val="decimal" w:pos="567"/>
              </w:tabs>
              <w:spacing w:before="40" w:after="40"/>
              <w:ind w:firstLine="0"/>
              <w:jc w:val="both"/>
              <w:rPr>
                <w:sz w:val="20"/>
              </w:rPr>
            </w:pPr>
            <w:r>
              <w:rPr>
                <w:sz w:val="20"/>
              </w:rPr>
              <w:t>34,4</w:t>
            </w:r>
          </w:p>
        </w:tc>
      </w:tr>
      <w:tr w:rsidR="00000000">
        <w:tblPrEx>
          <w:tblCellMar>
            <w:top w:w="0" w:type="dxa"/>
            <w:bottom w:w="0" w:type="dxa"/>
          </w:tblCellMar>
        </w:tblPrEx>
        <w:trPr>
          <w:jc w:val="center"/>
        </w:trPr>
        <w:tc>
          <w:tcPr>
            <w:tcW w:w="2041" w:type="dxa"/>
          </w:tcPr>
          <w:p w:rsidR="00000000" w:rsidRDefault="00000000">
            <w:pPr>
              <w:pStyle w:val="BodyTextIndent2"/>
              <w:tabs>
                <w:tab w:val="left" w:pos="680"/>
              </w:tabs>
              <w:spacing w:before="40" w:after="40"/>
              <w:ind w:firstLine="0"/>
              <w:rPr>
                <w:sz w:val="20"/>
              </w:rPr>
            </w:pPr>
            <w:r>
              <w:rPr>
                <w:sz w:val="20"/>
              </w:rPr>
              <w:t xml:space="preserve">Инженерное дело </w:t>
            </w:r>
          </w:p>
        </w:tc>
        <w:tc>
          <w:tcPr>
            <w:tcW w:w="1134" w:type="dxa"/>
          </w:tcPr>
          <w:p w:rsidR="00000000" w:rsidRDefault="00000000">
            <w:pPr>
              <w:pStyle w:val="BodyTextIndent2"/>
              <w:tabs>
                <w:tab w:val="decimal" w:pos="567"/>
              </w:tabs>
              <w:spacing w:before="40" w:after="40"/>
              <w:ind w:firstLine="0"/>
              <w:jc w:val="both"/>
              <w:rPr>
                <w:sz w:val="20"/>
              </w:rPr>
            </w:pPr>
            <w:r>
              <w:rPr>
                <w:sz w:val="20"/>
              </w:rPr>
              <w:t>22,1</w:t>
            </w:r>
          </w:p>
        </w:tc>
        <w:tc>
          <w:tcPr>
            <w:tcW w:w="1134" w:type="dxa"/>
          </w:tcPr>
          <w:p w:rsidR="00000000" w:rsidRDefault="00000000">
            <w:pPr>
              <w:pStyle w:val="BodyTextIndent2"/>
              <w:tabs>
                <w:tab w:val="decimal" w:pos="567"/>
              </w:tabs>
              <w:spacing w:before="40" w:after="40"/>
              <w:ind w:firstLine="0"/>
              <w:jc w:val="both"/>
              <w:rPr>
                <w:sz w:val="20"/>
              </w:rPr>
            </w:pPr>
            <w:r>
              <w:rPr>
                <w:sz w:val="20"/>
              </w:rPr>
              <w:t>22,2</w:t>
            </w:r>
          </w:p>
        </w:tc>
        <w:tc>
          <w:tcPr>
            <w:tcW w:w="1134" w:type="dxa"/>
          </w:tcPr>
          <w:p w:rsidR="00000000" w:rsidRDefault="00000000">
            <w:pPr>
              <w:pStyle w:val="BodyTextIndent2"/>
              <w:tabs>
                <w:tab w:val="decimal" w:pos="567"/>
              </w:tabs>
              <w:spacing w:before="40" w:after="40"/>
              <w:ind w:firstLine="0"/>
              <w:jc w:val="both"/>
              <w:rPr>
                <w:sz w:val="20"/>
              </w:rPr>
            </w:pPr>
            <w:r>
              <w:rPr>
                <w:sz w:val="20"/>
              </w:rPr>
              <w:t>18,1</w:t>
            </w:r>
          </w:p>
        </w:tc>
        <w:tc>
          <w:tcPr>
            <w:tcW w:w="1134" w:type="dxa"/>
          </w:tcPr>
          <w:p w:rsidR="00000000" w:rsidRDefault="00000000">
            <w:pPr>
              <w:pStyle w:val="BodyTextIndent2"/>
              <w:tabs>
                <w:tab w:val="decimal" w:pos="567"/>
              </w:tabs>
              <w:spacing w:before="40" w:after="40"/>
              <w:ind w:firstLine="0"/>
              <w:jc w:val="both"/>
              <w:rPr>
                <w:sz w:val="20"/>
              </w:rPr>
            </w:pPr>
            <w:r>
              <w:rPr>
                <w:sz w:val="20"/>
              </w:rPr>
              <w:t>17,4</w:t>
            </w:r>
          </w:p>
        </w:tc>
        <w:tc>
          <w:tcPr>
            <w:tcW w:w="1134" w:type="dxa"/>
          </w:tcPr>
          <w:p w:rsidR="00000000" w:rsidRDefault="00000000">
            <w:pPr>
              <w:pStyle w:val="BodyTextIndent2"/>
              <w:tabs>
                <w:tab w:val="decimal" w:pos="567"/>
              </w:tabs>
              <w:spacing w:before="40" w:after="40"/>
              <w:ind w:firstLine="0"/>
              <w:jc w:val="both"/>
              <w:rPr>
                <w:sz w:val="20"/>
              </w:rPr>
            </w:pPr>
            <w:r>
              <w:rPr>
                <w:sz w:val="20"/>
              </w:rPr>
              <w:t>16,8</w:t>
            </w:r>
          </w:p>
        </w:tc>
        <w:tc>
          <w:tcPr>
            <w:tcW w:w="1134" w:type="dxa"/>
          </w:tcPr>
          <w:p w:rsidR="00000000" w:rsidRDefault="00000000">
            <w:pPr>
              <w:pStyle w:val="BodyTextIndent2"/>
              <w:tabs>
                <w:tab w:val="decimal" w:pos="567"/>
              </w:tabs>
              <w:spacing w:before="40" w:after="40"/>
              <w:ind w:firstLine="0"/>
              <w:jc w:val="both"/>
              <w:rPr>
                <w:sz w:val="20"/>
              </w:rPr>
            </w:pPr>
            <w:r>
              <w:rPr>
                <w:sz w:val="20"/>
              </w:rPr>
              <w:t>24,4</w:t>
            </w:r>
          </w:p>
        </w:tc>
      </w:tr>
      <w:tr w:rsidR="00000000">
        <w:tblPrEx>
          <w:tblCellMar>
            <w:top w:w="0" w:type="dxa"/>
            <w:bottom w:w="0" w:type="dxa"/>
          </w:tblCellMar>
        </w:tblPrEx>
        <w:trPr>
          <w:jc w:val="center"/>
        </w:trPr>
        <w:tc>
          <w:tcPr>
            <w:tcW w:w="2041" w:type="dxa"/>
          </w:tcPr>
          <w:p w:rsidR="00000000" w:rsidRDefault="00000000">
            <w:pPr>
              <w:pStyle w:val="BodyTextIndent2"/>
              <w:tabs>
                <w:tab w:val="left" w:pos="680"/>
              </w:tabs>
              <w:spacing w:before="40" w:after="40"/>
              <w:ind w:firstLine="0"/>
              <w:rPr>
                <w:sz w:val="20"/>
              </w:rPr>
            </w:pPr>
            <w:r>
              <w:rPr>
                <w:sz w:val="20"/>
              </w:rPr>
              <w:t>Науки, связанные с медициной</w:t>
            </w:r>
          </w:p>
        </w:tc>
        <w:tc>
          <w:tcPr>
            <w:tcW w:w="1134" w:type="dxa"/>
          </w:tcPr>
          <w:p w:rsidR="00000000" w:rsidRDefault="00000000">
            <w:pPr>
              <w:pStyle w:val="BodyTextIndent2"/>
              <w:tabs>
                <w:tab w:val="decimal" w:pos="567"/>
              </w:tabs>
              <w:spacing w:before="40" w:after="40"/>
              <w:ind w:firstLine="0"/>
              <w:jc w:val="both"/>
              <w:rPr>
                <w:sz w:val="20"/>
              </w:rPr>
            </w:pPr>
            <w:r>
              <w:rPr>
                <w:sz w:val="20"/>
              </w:rPr>
              <w:t>165,9</w:t>
            </w:r>
          </w:p>
        </w:tc>
        <w:tc>
          <w:tcPr>
            <w:tcW w:w="1134" w:type="dxa"/>
          </w:tcPr>
          <w:p w:rsidR="00000000" w:rsidRDefault="00000000">
            <w:pPr>
              <w:pStyle w:val="BodyTextIndent2"/>
              <w:tabs>
                <w:tab w:val="decimal" w:pos="567"/>
              </w:tabs>
              <w:spacing w:before="40" w:after="40"/>
              <w:ind w:firstLine="0"/>
              <w:jc w:val="both"/>
              <w:rPr>
                <w:sz w:val="20"/>
              </w:rPr>
            </w:pPr>
            <w:r>
              <w:rPr>
                <w:sz w:val="20"/>
              </w:rPr>
              <w:t>124,7</w:t>
            </w:r>
          </w:p>
        </w:tc>
        <w:tc>
          <w:tcPr>
            <w:tcW w:w="1134" w:type="dxa"/>
          </w:tcPr>
          <w:p w:rsidR="00000000" w:rsidRDefault="00000000">
            <w:pPr>
              <w:pStyle w:val="BodyTextIndent2"/>
              <w:tabs>
                <w:tab w:val="decimal" w:pos="567"/>
              </w:tabs>
              <w:spacing w:before="40" w:after="40"/>
              <w:ind w:firstLine="0"/>
              <w:jc w:val="both"/>
              <w:rPr>
                <w:sz w:val="20"/>
              </w:rPr>
            </w:pPr>
            <w:r>
              <w:rPr>
                <w:sz w:val="20"/>
              </w:rPr>
              <w:t>144,5</w:t>
            </w:r>
          </w:p>
        </w:tc>
        <w:tc>
          <w:tcPr>
            <w:tcW w:w="1134" w:type="dxa"/>
          </w:tcPr>
          <w:p w:rsidR="00000000" w:rsidRDefault="00000000">
            <w:pPr>
              <w:pStyle w:val="BodyTextIndent2"/>
              <w:tabs>
                <w:tab w:val="decimal" w:pos="567"/>
              </w:tabs>
              <w:spacing w:before="40" w:after="40"/>
              <w:ind w:firstLine="0"/>
              <w:jc w:val="both"/>
              <w:rPr>
                <w:sz w:val="20"/>
              </w:rPr>
            </w:pPr>
            <w:r>
              <w:rPr>
                <w:sz w:val="20"/>
              </w:rPr>
              <w:t>138,9</w:t>
            </w:r>
          </w:p>
        </w:tc>
        <w:tc>
          <w:tcPr>
            <w:tcW w:w="1134" w:type="dxa"/>
          </w:tcPr>
          <w:p w:rsidR="00000000" w:rsidRDefault="00000000">
            <w:pPr>
              <w:pStyle w:val="BodyTextIndent2"/>
              <w:tabs>
                <w:tab w:val="decimal" w:pos="567"/>
              </w:tabs>
              <w:spacing w:before="40" w:after="40"/>
              <w:ind w:firstLine="0"/>
              <w:jc w:val="both"/>
              <w:rPr>
                <w:sz w:val="20"/>
              </w:rPr>
            </w:pPr>
            <w:r>
              <w:rPr>
                <w:sz w:val="20"/>
              </w:rPr>
              <w:t>145,8</w:t>
            </w:r>
          </w:p>
        </w:tc>
        <w:tc>
          <w:tcPr>
            <w:tcW w:w="1134" w:type="dxa"/>
          </w:tcPr>
          <w:p w:rsidR="00000000" w:rsidRDefault="00000000">
            <w:pPr>
              <w:pStyle w:val="BodyTextIndent2"/>
              <w:tabs>
                <w:tab w:val="decimal" w:pos="567"/>
              </w:tabs>
              <w:spacing w:before="40" w:after="40"/>
              <w:ind w:firstLine="0"/>
              <w:jc w:val="both"/>
              <w:rPr>
                <w:sz w:val="20"/>
              </w:rPr>
            </w:pPr>
            <w:r>
              <w:rPr>
                <w:sz w:val="20"/>
              </w:rPr>
              <w:t>132,6</w:t>
            </w:r>
          </w:p>
        </w:tc>
      </w:tr>
      <w:tr w:rsidR="00000000">
        <w:tblPrEx>
          <w:tblCellMar>
            <w:top w:w="0" w:type="dxa"/>
            <w:bottom w:w="0" w:type="dxa"/>
          </w:tblCellMar>
        </w:tblPrEx>
        <w:trPr>
          <w:jc w:val="center"/>
        </w:trPr>
        <w:tc>
          <w:tcPr>
            <w:tcW w:w="2041" w:type="dxa"/>
          </w:tcPr>
          <w:p w:rsidR="00000000" w:rsidRDefault="00000000">
            <w:pPr>
              <w:pStyle w:val="BodyTextIndent2"/>
              <w:tabs>
                <w:tab w:val="left" w:pos="680"/>
              </w:tabs>
              <w:spacing w:before="40" w:after="40"/>
              <w:ind w:firstLine="0"/>
              <w:rPr>
                <w:sz w:val="20"/>
              </w:rPr>
            </w:pPr>
            <w:r>
              <w:rPr>
                <w:sz w:val="20"/>
              </w:rPr>
              <w:t>Медицина и ветеринария</w:t>
            </w:r>
          </w:p>
        </w:tc>
        <w:tc>
          <w:tcPr>
            <w:tcW w:w="1134" w:type="dxa"/>
          </w:tcPr>
          <w:p w:rsidR="00000000" w:rsidRDefault="00000000">
            <w:pPr>
              <w:pStyle w:val="BodyTextIndent2"/>
              <w:tabs>
                <w:tab w:val="decimal" w:pos="567"/>
              </w:tabs>
              <w:spacing w:before="40" w:after="40"/>
              <w:ind w:firstLine="0"/>
              <w:jc w:val="both"/>
              <w:rPr>
                <w:sz w:val="20"/>
              </w:rPr>
            </w:pPr>
            <w:r>
              <w:rPr>
                <w:sz w:val="20"/>
              </w:rPr>
              <w:t>87,3</w:t>
            </w:r>
          </w:p>
        </w:tc>
        <w:tc>
          <w:tcPr>
            <w:tcW w:w="1134" w:type="dxa"/>
          </w:tcPr>
          <w:p w:rsidR="00000000" w:rsidRDefault="00000000">
            <w:pPr>
              <w:pStyle w:val="BodyTextIndent2"/>
              <w:tabs>
                <w:tab w:val="decimal" w:pos="567"/>
              </w:tabs>
              <w:spacing w:before="40" w:after="40"/>
              <w:ind w:firstLine="0"/>
              <w:jc w:val="both"/>
              <w:rPr>
                <w:sz w:val="20"/>
              </w:rPr>
            </w:pPr>
            <w:r>
              <w:rPr>
                <w:sz w:val="20"/>
              </w:rPr>
              <w:t>55,4</w:t>
            </w:r>
          </w:p>
        </w:tc>
        <w:tc>
          <w:tcPr>
            <w:tcW w:w="1134" w:type="dxa"/>
          </w:tcPr>
          <w:p w:rsidR="00000000" w:rsidRDefault="00000000">
            <w:pPr>
              <w:pStyle w:val="BodyTextIndent2"/>
              <w:tabs>
                <w:tab w:val="decimal" w:pos="567"/>
              </w:tabs>
              <w:spacing w:before="40" w:after="40"/>
              <w:ind w:firstLine="0"/>
              <w:jc w:val="both"/>
              <w:rPr>
                <w:sz w:val="20"/>
              </w:rPr>
            </w:pPr>
            <w:r>
              <w:rPr>
                <w:sz w:val="20"/>
              </w:rPr>
              <w:t>92,0</w:t>
            </w:r>
          </w:p>
        </w:tc>
        <w:tc>
          <w:tcPr>
            <w:tcW w:w="1134" w:type="dxa"/>
          </w:tcPr>
          <w:p w:rsidR="00000000" w:rsidRDefault="00000000">
            <w:pPr>
              <w:pStyle w:val="BodyTextIndent2"/>
              <w:tabs>
                <w:tab w:val="decimal" w:pos="567"/>
              </w:tabs>
              <w:spacing w:before="40" w:after="40"/>
              <w:ind w:firstLine="0"/>
              <w:jc w:val="both"/>
              <w:rPr>
                <w:sz w:val="20"/>
              </w:rPr>
            </w:pPr>
            <w:r>
              <w:rPr>
                <w:sz w:val="20"/>
              </w:rPr>
              <w:t>74,9</w:t>
            </w:r>
          </w:p>
        </w:tc>
        <w:tc>
          <w:tcPr>
            <w:tcW w:w="1134" w:type="dxa"/>
          </w:tcPr>
          <w:p w:rsidR="00000000" w:rsidRDefault="00000000">
            <w:pPr>
              <w:pStyle w:val="BodyTextIndent2"/>
              <w:tabs>
                <w:tab w:val="decimal" w:pos="567"/>
              </w:tabs>
              <w:spacing w:before="40" w:after="40"/>
              <w:ind w:firstLine="0"/>
              <w:jc w:val="both"/>
              <w:rPr>
                <w:sz w:val="20"/>
              </w:rPr>
            </w:pPr>
            <w:r>
              <w:rPr>
                <w:sz w:val="20"/>
              </w:rPr>
              <w:t>86,7</w:t>
            </w:r>
          </w:p>
        </w:tc>
        <w:tc>
          <w:tcPr>
            <w:tcW w:w="1134" w:type="dxa"/>
          </w:tcPr>
          <w:p w:rsidR="00000000" w:rsidRDefault="00000000">
            <w:pPr>
              <w:pStyle w:val="BodyTextIndent2"/>
              <w:tabs>
                <w:tab w:val="decimal" w:pos="567"/>
              </w:tabs>
              <w:spacing w:before="40" w:after="40"/>
              <w:ind w:firstLine="0"/>
              <w:jc w:val="both"/>
              <w:rPr>
                <w:sz w:val="20"/>
              </w:rPr>
            </w:pPr>
            <w:r>
              <w:rPr>
                <w:sz w:val="20"/>
              </w:rPr>
              <w:t>64,2</w:t>
            </w:r>
          </w:p>
        </w:tc>
      </w:tr>
      <w:tr w:rsidR="00000000">
        <w:tblPrEx>
          <w:tblCellMar>
            <w:top w:w="0" w:type="dxa"/>
            <w:bottom w:w="0" w:type="dxa"/>
          </w:tblCellMar>
        </w:tblPrEx>
        <w:trPr>
          <w:jc w:val="center"/>
        </w:trPr>
        <w:tc>
          <w:tcPr>
            <w:tcW w:w="2041" w:type="dxa"/>
            <w:tcBorders>
              <w:bottom w:val="single" w:sz="4" w:space="0" w:color="auto"/>
            </w:tcBorders>
          </w:tcPr>
          <w:p w:rsidR="00000000" w:rsidRDefault="00000000">
            <w:pPr>
              <w:pStyle w:val="BodyTextIndent2"/>
              <w:tabs>
                <w:tab w:val="left" w:pos="680"/>
              </w:tabs>
              <w:spacing w:before="40" w:after="40"/>
              <w:ind w:firstLine="0"/>
              <w:rPr>
                <w:sz w:val="20"/>
              </w:rPr>
            </w:pPr>
            <w:r>
              <w:rPr>
                <w:sz w:val="20"/>
              </w:rPr>
              <w:t>Другие специальности, связанные с медициной</w:t>
            </w:r>
          </w:p>
        </w:tc>
        <w:tc>
          <w:tcPr>
            <w:tcW w:w="1134" w:type="dxa"/>
            <w:tcBorders>
              <w:bottom w:val="single" w:sz="4" w:space="0" w:color="auto"/>
            </w:tcBorders>
          </w:tcPr>
          <w:p w:rsidR="00000000" w:rsidRDefault="00000000">
            <w:pPr>
              <w:pStyle w:val="BodyTextIndent2"/>
              <w:tabs>
                <w:tab w:val="decimal" w:pos="567"/>
              </w:tabs>
              <w:spacing w:before="40" w:after="40"/>
              <w:ind w:firstLine="0"/>
              <w:jc w:val="both"/>
              <w:rPr>
                <w:sz w:val="20"/>
              </w:rPr>
            </w:pPr>
            <w:r>
              <w:rPr>
                <w:sz w:val="20"/>
              </w:rPr>
              <w:t>298,8</w:t>
            </w:r>
          </w:p>
        </w:tc>
        <w:tc>
          <w:tcPr>
            <w:tcW w:w="1134" w:type="dxa"/>
            <w:tcBorders>
              <w:bottom w:val="single" w:sz="4" w:space="0" w:color="auto"/>
            </w:tcBorders>
          </w:tcPr>
          <w:p w:rsidR="00000000" w:rsidRDefault="00000000">
            <w:pPr>
              <w:pStyle w:val="BodyTextIndent2"/>
              <w:tabs>
                <w:tab w:val="decimal" w:pos="567"/>
              </w:tabs>
              <w:spacing w:before="40" w:after="40"/>
              <w:ind w:firstLine="0"/>
              <w:jc w:val="both"/>
              <w:rPr>
                <w:sz w:val="20"/>
              </w:rPr>
            </w:pPr>
            <w:r>
              <w:rPr>
                <w:sz w:val="20"/>
              </w:rPr>
              <w:t>365,7</w:t>
            </w:r>
          </w:p>
        </w:tc>
        <w:tc>
          <w:tcPr>
            <w:tcW w:w="1134" w:type="dxa"/>
            <w:tcBorders>
              <w:bottom w:val="single" w:sz="4" w:space="0" w:color="auto"/>
            </w:tcBorders>
          </w:tcPr>
          <w:p w:rsidR="00000000" w:rsidRDefault="00000000">
            <w:pPr>
              <w:pStyle w:val="BodyTextIndent2"/>
              <w:tabs>
                <w:tab w:val="decimal" w:pos="567"/>
              </w:tabs>
              <w:spacing w:before="40" w:after="40"/>
              <w:ind w:firstLine="0"/>
              <w:jc w:val="both"/>
              <w:rPr>
                <w:sz w:val="20"/>
              </w:rPr>
            </w:pPr>
            <w:r>
              <w:rPr>
                <w:sz w:val="20"/>
              </w:rPr>
              <w:t>288,0</w:t>
            </w:r>
          </w:p>
        </w:tc>
        <w:tc>
          <w:tcPr>
            <w:tcW w:w="1134" w:type="dxa"/>
            <w:tcBorders>
              <w:bottom w:val="single" w:sz="4" w:space="0" w:color="auto"/>
            </w:tcBorders>
          </w:tcPr>
          <w:p w:rsidR="00000000" w:rsidRDefault="00000000">
            <w:pPr>
              <w:pStyle w:val="BodyTextIndent2"/>
              <w:tabs>
                <w:tab w:val="decimal" w:pos="567"/>
              </w:tabs>
              <w:spacing w:before="40" w:after="40"/>
              <w:ind w:firstLine="0"/>
              <w:jc w:val="both"/>
              <w:rPr>
                <w:sz w:val="20"/>
              </w:rPr>
            </w:pPr>
            <w:r>
              <w:rPr>
                <w:sz w:val="20"/>
              </w:rPr>
              <w:t>303,2</w:t>
            </w:r>
          </w:p>
        </w:tc>
        <w:tc>
          <w:tcPr>
            <w:tcW w:w="1134" w:type="dxa"/>
            <w:tcBorders>
              <w:bottom w:val="single" w:sz="4" w:space="0" w:color="auto"/>
            </w:tcBorders>
          </w:tcPr>
          <w:p w:rsidR="00000000" w:rsidRDefault="00000000">
            <w:pPr>
              <w:pStyle w:val="BodyTextIndent2"/>
              <w:tabs>
                <w:tab w:val="decimal" w:pos="567"/>
              </w:tabs>
              <w:spacing w:before="40" w:after="40"/>
              <w:ind w:firstLine="0"/>
              <w:jc w:val="both"/>
              <w:rPr>
                <w:sz w:val="20"/>
              </w:rPr>
            </w:pPr>
            <w:r>
              <w:rPr>
                <w:sz w:val="20"/>
              </w:rPr>
              <w:t>279,8</w:t>
            </w:r>
          </w:p>
        </w:tc>
        <w:tc>
          <w:tcPr>
            <w:tcW w:w="1134" w:type="dxa"/>
            <w:tcBorders>
              <w:bottom w:val="single" w:sz="4" w:space="0" w:color="auto"/>
            </w:tcBorders>
          </w:tcPr>
          <w:p w:rsidR="00000000" w:rsidRDefault="00000000">
            <w:pPr>
              <w:pStyle w:val="BodyTextIndent2"/>
              <w:tabs>
                <w:tab w:val="decimal" w:pos="567"/>
              </w:tabs>
              <w:spacing w:before="40" w:after="40"/>
              <w:ind w:firstLine="0"/>
              <w:jc w:val="both"/>
              <w:rPr>
                <w:sz w:val="20"/>
              </w:rPr>
            </w:pPr>
            <w:r>
              <w:rPr>
                <w:sz w:val="20"/>
              </w:rPr>
              <w:t>316,5</w:t>
            </w:r>
          </w:p>
        </w:tc>
      </w:tr>
    </w:tbl>
    <w:p w:rsidR="00000000" w:rsidRDefault="00000000">
      <w:pPr>
        <w:pStyle w:val="BodyTextIndent2"/>
        <w:tabs>
          <w:tab w:val="left" w:pos="680"/>
        </w:tabs>
        <w:spacing w:before="120" w:line="240" w:lineRule="exact"/>
        <w:ind w:firstLine="0"/>
        <w:jc w:val="both"/>
        <w:rPr>
          <w:sz w:val="20"/>
        </w:rPr>
      </w:pPr>
      <w:r>
        <w:rPr>
          <w:b/>
          <w:sz w:val="20"/>
        </w:rPr>
        <w:t>Источник:</w:t>
      </w:r>
      <w:r>
        <w:rPr>
          <w:sz w:val="20"/>
        </w:rPr>
        <w:t xml:space="preserve"> ИНЕК–МТСС. Многоцелевой опрос семей. Данные за несколько лет.</w:t>
      </w:r>
    </w:p>
    <w:p w:rsidR="00000000" w:rsidRDefault="00000000">
      <w:pPr>
        <w:pStyle w:val="BodyTextIndent2"/>
        <w:tabs>
          <w:tab w:val="left" w:pos="680"/>
        </w:tabs>
        <w:spacing w:before="240" w:line="260" w:lineRule="exact"/>
        <w:ind w:firstLine="0"/>
        <w:jc w:val="both"/>
        <w:rPr>
          <w:spacing w:val="-2"/>
          <w:sz w:val="22"/>
        </w:rPr>
      </w:pPr>
      <w:r>
        <w:rPr>
          <w:sz w:val="22"/>
        </w:rPr>
        <w:t xml:space="preserve">331. </w:t>
      </w:r>
      <w:r>
        <w:rPr>
          <w:sz w:val="22"/>
        </w:rPr>
        <w:tab/>
      </w:r>
      <w:r>
        <w:rPr>
          <w:spacing w:val="-2"/>
          <w:sz w:val="22"/>
        </w:rPr>
        <w:t>Следует отметить, что нет значительной разницы в процентах среди выпускников-мужчин, избравших "женские" специальности, но отмечается некоторый рост выпускников-женщин, избравших "мужские" профессии: 23 процента в 1990 году и 27,4 процента в 1999 году, что отражает рост числа женщин, избирающих фундаментальные науки (свыше 30 процентов), среди которых такие специальности, как биология, статистика, математика, информатика и др. В 1995 году относительно больший вес "мужских" профессий объясняется тем, что к ним была отнесена медицина, поскольку в этом году выпускники-женщины имели 35-процентный удельный вес, очень близкий к 40 процентам, при которых специальность уже не считается чисто "мужской". В остальные годы эта специальность не считалась "мужской".</w:t>
      </w:r>
    </w:p>
    <w:p w:rsidR="00000000" w:rsidRDefault="00000000">
      <w:pPr>
        <w:pStyle w:val="BodyTextIndent2"/>
        <w:tabs>
          <w:tab w:val="left" w:pos="680"/>
        </w:tabs>
        <w:spacing w:before="240" w:line="260" w:lineRule="exact"/>
        <w:ind w:firstLine="0"/>
        <w:jc w:val="both"/>
        <w:rPr>
          <w:sz w:val="22"/>
        </w:rPr>
      </w:pPr>
      <w:r>
        <w:rPr>
          <w:sz w:val="22"/>
        </w:rPr>
        <w:t xml:space="preserve">332. </w:t>
      </w:r>
      <w:r>
        <w:rPr>
          <w:sz w:val="22"/>
        </w:rPr>
        <w:tab/>
        <w:t>Такие же различия отмечаются в секторе среднего профессионально-технического образования: женщины выбирают профессии, связанные со сферой услуг; пропорционально численность женщин, обучающихся этим специальностям, на 200 процентов превышает численность мужчин; мужчины избирают специальности, связанные с сельским хозяйством и промышленностью, однако в этом случае пропорциональное соотношение достигает только 60 процентов.</w:t>
      </w:r>
    </w:p>
    <w:p w:rsidR="00000000" w:rsidRDefault="00000000">
      <w:pPr>
        <w:pStyle w:val="BodyTextIndent2"/>
        <w:tabs>
          <w:tab w:val="left" w:pos="680"/>
        </w:tabs>
        <w:spacing w:before="240" w:line="260" w:lineRule="exact"/>
        <w:ind w:firstLine="0"/>
        <w:jc w:val="both"/>
        <w:rPr>
          <w:sz w:val="22"/>
        </w:rPr>
      </w:pPr>
      <w:r>
        <w:rPr>
          <w:sz w:val="22"/>
        </w:rPr>
        <w:t>333.</w:t>
      </w:r>
      <w:r>
        <w:rPr>
          <w:sz w:val="22"/>
        </w:rPr>
        <w:tab/>
        <w:t>Во внешкольном профессиональном образовании, по данным об участниках различных программ обучения, реализованных Национальным институтом профессионально-технического обучения (ИНА), отмечается более высокий уровень сегрегации – около 21 процента, при том что удельный вес участия женщин в этих программах составил около 45 процентов (проект "Состояние нации", 2001 год).</w:t>
      </w:r>
    </w:p>
    <w:p w:rsidR="00000000" w:rsidRDefault="00000000">
      <w:pPr>
        <w:pStyle w:val="BodyTextIndent2"/>
        <w:tabs>
          <w:tab w:val="left" w:pos="680"/>
        </w:tabs>
        <w:spacing w:before="240" w:line="260" w:lineRule="exact"/>
        <w:ind w:firstLine="0"/>
        <w:jc w:val="both"/>
        <w:rPr>
          <w:sz w:val="22"/>
        </w:rPr>
      </w:pPr>
      <w:r>
        <w:rPr>
          <w:sz w:val="22"/>
        </w:rPr>
        <w:t xml:space="preserve">334. </w:t>
      </w:r>
      <w:r>
        <w:rPr>
          <w:sz w:val="22"/>
        </w:rPr>
        <w:tab/>
        <w:t>Сегрегация на стадии обучения приводит к тому, что мало женщин работает в области науки. Между 1988 и 1999 годами Национальный совет по науке и технологиям отметил некоторое улучшение ситуации: число женщин, работающих в этой области, возросло на 2,2 процента по сравнению с началом десятилетия. Однако этот рост достигнут при неудовлетворительном абсолютном показателе числа женщин – 34 процента. Следует напомнить, что женщины составляют 47 процентов категории специалистов и техников от всей рабочей силы (проект "Состояние нации, 2001 год).</w:t>
      </w:r>
    </w:p>
    <w:p w:rsidR="00000000" w:rsidRDefault="00000000">
      <w:pPr>
        <w:pStyle w:val="BodyTextIndent2"/>
        <w:tabs>
          <w:tab w:val="left" w:pos="680"/>
        </w:tabs>
        <w:spacing w:line="260" w:lineRule="exact"/>
        <w:ind w:firstLine="0"/>
        <w:jc w:val="both"/>
        <w:rPr>
          <w:sz w:val="22"/>
        </w:rPr>
      </w:pPr>
    </w:p>
    <w:p w:rsidR="00000000" w:rsidRDefault="00000000">
      <w:pPr>
        <w:pStyle w:val="BodyTextIndent2"/>
        <w:tabs>
          <w:tab w:val="left" w:pos="680"/>
        </w:tabs>
        <w:spacing w:before="240" w:line="260" w:lineRule="exact"/>
        <w:ind w:firstLine="0"/>
        <w:jc w:val="both"/>
        <w:rPr>
          <w:b/>
          <w:sz w:val="22"/>
        </w:rPr>
      </w:pPr>
      <w:r>
        <w:rPr>
          <w:b/>
          <w:sz w:val="22"/>
        </w:rPr>
        <w:t xml:space="preserve">Гендерное равенство и равноправие в Университете </w:t>
      </w:r>
      <w:r>
        <w:rPr>
          <w:b/>
          <w:caps/>
          <w:sz w:val="22"/>
        </w:rPr>
        <w:t>к</w:t>
      </w:r>
      <w:r>
        <w:rPr>
          <w:b/>
          <w:sz w:val="22"/>
        </w:rPr>
        <w:t>оста-</w:t>
      </w:r>
      <w:r>
        <w:rPr>
          <w:b/>
          <w:caps/>
          <w:sz w:val="22"/>
        </w:rPr>
        <w:t>р</w:t>
      </w:r>
      <w:r>
        <w:rPr>
          <w:b/>
          <w:sz w:val="22"/>
        </w:rPr>
        <w:t>ики (УКР, 2001 год)</w:t>
      </w:r>
    </w:p>
    <w:p w:rsidR="00000000" w:rsidRDefault="00000000">
      <w:pPr>
        <w:pStyle w:val="BodyTextIndent2"/>
        <w:tabs>
          <w:tab w:val="left" w:pos="680"/>
        </w:tabs>
        <w:spacing w:before="240" w:line="260" w:lineRule="exact"/>
        <w:ind w:firstLine="0"/>
        <w:jc w:val="both"/>
        <w:rPr>
          <w:spacing w:val="-4"/>
          <w:sz w:val="22"/>
        </w:rPr>
      </w:pPr>
      <w:r>
        <w:rPr>
          <w:sz w:val="22"/>
        </w:rPr>
        <w:t>335.</w:t>
      </w:r>
      <w:r>
        <w:rPr>
          <w:sz w:val="22"/>
        </w:rPr>
        <w:tab/>
      </w:r>
      <w:r>
        <w:rPr>
          <w:spacing w:val="-4"/>
          <w:sz w:val="22"/>
        </w:rPr>
        <w:t>На протяжении всей истории Университета Коста-Рики профессии, традиционно считающиеся "женскими", связанные с образованием или здравоохранением, привлекали очень мало мужчин, что являлось отражением предрассудков и социальных традиций, существующих в обществе. Исключение женщин или мужчин из какой-либо области деятельности является выражением гендерной дискриминации. Кроме того, это явление усиливает сегментацию общества на сектора, предназначенные, в соответствии со сложившимися предрассудками и стереотипами, либо для женщин, либо для мужчин, причем одни области деятельности оцениваются выше, чем другие: деятельность в государственном секторе оценивается выше, чем в частном; продуктивная деятельность оценивается выше, чем репродуктивная; традиционно "мужские" занятия ценятся выше, чем традиционно "женские"</w:t>
      </w:r>
      <w:r>
        <w:rPr>
          <w:rStyle w:val="FootnoteReference"/>
          <w:spacing w:val="-4"/>
          <w:sz w:val="22"/>
        </w:rPr>
        <w:footnoteReference w:id="21"/>
      </w:r>
      <w:r>
        <w:rPr>
          <w:spacing w:val="-4"/>
          <w:sz w:val="22"/>
        </w:rPr>
        <w:t>.</w:t>
      </w:r>
    </w:p>
    <w:p w:rsidR="00000000" w:rsidRDefault="00000000">
      <w:pPr>
        <w:pStyle w:val="BodyTextIndent2"/>
        <w:tabs>
          <w:tab w:val="left" w:pos="680"/>
        </w:tabs>
        <w:spacing w:before="240" w:line="260" w:lineRule="exact"/>
        <w:ind w:firstLine="0"/>
        <w:jc w:val="both"/>
        <w:rPr>
          <w:sz w:val="22"/>
        </w:rPr>
      </w:pPr>
      <w:r>
        <w:rPr>
          <w:sz w:val="22"/>
        </w:rPr>
        <w:t>336.</w:t>
      </w:r>
      <w:r>
        <w:rPr>
          <w:sz w:val="22"/>
        </w:rPr>
        <w:tab/>
        <w:t>Университет Коста-Рики на протяжении второй половины ХХ активно содействовал становлению более равноправного в гендерном отношении общества. В настоящее время число студенток в этом высшем учебном заведении несколько превышает число студентов, и нет ни одной специальности, которой не обучались бы женщины. Однако среди 48 подразделений университета</w:t>
      </w:r>
      <w:r>
        <w:rPr>
          <w:rStyle w:val="FootnoteReference"/>
          <w:sz w:val="22"/>
        </w:rPr>
        <w:footnoteReference w:id="22"/>
      </w:r>
      <w:r>
        <w:rPr>
          <w:sz w:val="22"/>
        </w:rPr>
        <w:t xml:space="preserve"> на 20 из них студентки составляют менее 40 процентов от общего числа учащихся. Речь идет о специальностях, которые традиционно считаются "мужскими", в которых превалирует рациональный компонент и большое место уделено изучению математики. С другой стороны, в 15 подразделениях студенты-мужчины составляют менее 40 процентов. Это в основном специальности, связанные со здравоохранением и социальными науками, прежде всего те, которые подразумевают заботу о других или обучение, то есть области деятельности, традиционно ассоциируемые с женскими способностями. Большее равенство наблюдается в распределении стипендий: женщины получают 53 процента всех выделяемых стипендий. </w:t>
      </w:r>
    </w:p>
    <w:p w:rsidR="00000000" w:rsidRDefault="00000000">
      <w:pPr>
        <w:pStyle w:val="BodyTextIndent2"/>
        <w:tabs>
          <w:tab w:val="left" w:pos="680"/>
        </w:tabs>
        <w:spacing w:before="240" w:line="260" w:lineRule="exact"/>
        <w:ind w:firstLine="0"/>
        <w:jc w:val="both"/>
        <w:rPr>
          <w:sz w:val="22"/>
        </w:rPr>
      </w:pPr>
      <w:r>
        <w:rPr>
          <w:sz w:val="22"/>
        </w:rPr>
        <w:t xml:space="preserve">337. </w:t>
      </w:r>
      <w:r>
        <w:rPr>
          <w:sz w:val="22"/>
        </w:rPr>
        <w:tab/>
        <w:t>Среди профессорско-преподавательского состава наблюдаются те же различия по областям знания, но более четко выраженные. В пяти подразделениях мужчины составляют 81 процент профессорско-преподавательского состава, а в четырех подразделениях – преподаватели только женщины, и лишь в 24 подразделениях число тех и других колеблется между 40 и 60 процентами. Подобная ситуация сложилась и в области научно-исследовательской деятельности, хотя женщины и составляют 44 процента от числа членов профессорско-преподавательского состава, участвующих в исследовательской деятельности, но наблюдается то же четкое деление по областям знания. Среди профессорско-преподавательского состава отмечаются и другие примеры неравенства: трое из каждых четырех преподавателей, имеющих докторскую степень, – мужчины, в то время как женщины составляют почти половину имеющих полное высшее образование и 42 процента – имеющих степень магистра. Та же ситуация наблюдается в академической иерархии: трое из четырех преподавателей, имеющих звание профессора, – мужчины. Женщины составляют 43 процента доцентов, 39 процентов старших преподавателей и 31 процент ассистентов. На всех уровнях педагогической иерархии большее число женщин, чем мужчин, являлись выпускниками аспирантуры.</w:t>
      </w:r>
    </w:p>
    <w:p w:rsidR="00000000" w:rsidRDefault="00000000">
      <w:pPr>
        <w:pStyle w:val="BodyTextIndent2"/>
        <w:tabs>
          <w:tab w:val="left" w:pos="680"/>
        </w:tabs>
        <w:spacing w:before="240" w:line="260" w:lineRule="exact"/>
        <w:ind w:firstLine="0"/>
        <w:jc w:val="both"/>
        <w:rPr>
          <w:sz w:val="22"/>
        </w:rPr>
      </w:pPr>
      <w:r>
        <w:rPr>
          <w:sz w:val="22"/>
        </w:rPr>
        <w:t xml:space="preserve">338. </w:t>
      </w:r>
      <w:r>
        <w:rPr>
          <w:sz w:val="22"/>
        </w:rPr>
        <w:tab/>
        <w:t xml:space="preserve">Более сложная ситуация сложилась в административном секторе, в котором женщины составляют 43 процента работников. Из 151 должности, которые представлены в этом секторе, 61 занимают только мужчины, и 12 – только женщины. На 20 должностях наблюдается определенный баланс между теми и другими. 25 процентов мужчин, занятых в этом секторе, занимают должности, на которых женщины не заняты вообще, среди них 48 курьеров, 30 шоферов, 19 буфетчиков, 12 инспекторов движения по территории университета, 59 техников, обслуживающих оборудование, и 69 сельскохозяйственных рабочих. </w:t>
      </w:r>
    </w:p>
    <w:p w:rsidR="00000000" w:rsidRDefault="00000000">
      <w:pPr>
        <w:pStyle w:val="BodyTextIndent2"/>
        <w:tabs>
          <w:tab w:val="left" w:pos="680"/>
        </w:tabs>
        <w:spacing w:before="240" w:line="260" w:lineRule="exact"/>
        <w:ind w:firstLine="0"/>
        <w:jc w:val="both"/>
        <w:rPr>
          <w:sz w:val="22"/>
        </w:rPr>
      </w:pPr>
      <w:r>
        <w:rPr>
          <w:sz w:val="22"/>
        </w:rPr>
        <w:t xml:space="preserve">339. </w:t>
      </w:r>
      <w:r>
        <w:rPr>
          <w:sz w:val="22"/>
        </w:rPr>
        <w:tab/>
        <w:t>Присутствие женщин на постах, требующих принятия решений, составляет 36 процентов, что не достигает желаемого уровня. Наибольшее неравенство наблюдается в руководстве научно-исследовательскими центрами (6 женщин из 22 руководителей), в руководстве Магистратурой (20 из 55), в руководстве администраций (6 из 18) и в Совете Университета (3 женщины из 11 членов), в то время как трое из пяти проректоров – женщины. 40 процентов школ и половина из 12 научно-исследовательских институтов, причем впервые Институт инженерного дела, возглавляются женщинами. Большинство этих руководящих должностей являются выборными. Однако, как уже отмечалось, большее участие женщин было достигнуто на уровне проректора, назначение которых зависит от решения ректора. Это указывает на то, что преодоление гендерного неравенства является делом всего коллектива Университета, а не только его руководителей.</w:t>
      </w:r>
    </w:p>
    <w:p w:rsidR="00000000" w:rsidRDefault="00000000">
      <w:pPr>
        <w:pStyle w:val="BodyTextIndent2"/>
        <w:tabs>
          <w:tab w:val="left" w:pos="680"/>
        </w:tabs>
        <w:spacing w:before="240" w:line="260" w:lineRule="exact"/>
        <w:ind w:firstLine="0"/>
        <w:jc w:val="both"/>
        <w:rPr>
          <w:sz w:val="22"/>
        </w:rPr>
      </w:pPr>
      <w:r>
        <w:rPr>
          <w:sz w:val="22"/>
        </w:rPr>
        <w:t xml:space="preserve">340. </w:t>
      </w:r>
      <w:r>
        <w:rPr>
          <w:sz w:val="22"/>
        </w:rPr>
        <w:tab/>
        <w:t>Успехи, достигнутые Университетом Коста-Рики в борьбе с гендерным неравенством, являются значительными. В настоящее время во всех трех секторах (учащиеся, профессорско-преподавательский состав, администрация) наблюдается более или менее равноправное участие женщин и мужчин. Достигнуто равенство в распределении стипендий, участии в научно-исследовательской работе, в академической иерархии, в учебной нагрузке и количестве рабочих мест, занятых мужчинами и женщинами. Таким образом, уже не существует того неравенства, которое наблюдалось в то время, когда это учебное заведение начинало свою деятельность. Однако более точный анализ показывает, что существуют области знаний и роды деятельности, в которых еще сохранилась гендерная дискриминация, как, например, сфера принятия решений.</w:t>
      </w:r>
    </w:p>
    <w:p w:rsidR="00000000" w:rsidRDefault="00000000">
      <w:pPr>
        <w:pStyle w:val="BodyTextIndent2"/>
        <w:tabs>
          <w:tab w:val="left" w:pos="680"/>
        </w:tabs>
        <w:spacing w:before="240" w:line="260" w:lineRule="exact"/>
        <w:ind w:firstLine="0"/>
        <w:jc w:val="both"/>
        <w:rPr>
          <w:sz w:val="22"/>
        </w:rPr>
      </w:pPr>
      <w:r>
        <w:rPr>
          <w:sz w:val="22"/>
        </w:rPr>
        <w:t xml:space="preserve">341. </w:t>
      </w:r>
      <w:r>
        <w:rPr>
          <w:sz w:val="22"/>
        </w:rPr>
        <w:tab/>
        <w:t>Университет Коста-Рики уделяет большое внимание проблемам женщин, поискам гендерного равенства, он открыт для теоретических исследований в этой области, предпринимает конкретные практические шаги в этом направлении, внимательно прислушивается к требованиям женщин. Деятельность Междисциплинарной программы гендерных исследований (ПРИЕГ), в настоящее время – Научный центр изучения положения женщин (СИЕМ), и Центральноамериканской магистратуры по изучению проблем женщин (УНА/УКР) была определяющей для того, чтобы этот академический центр воспринял и воплотил в жизнь новые стимулирующие идеи, неизвестные в академических кругах еще 15 лет назад.</w:t>
      </w:r>
    </w:p>
    <w:p w:rsidR="00000000" w:rsidRDefault="00000000">
      <w:pPr>
        <w:pStyle w:val="BodyTextIndent2"/>
        <w:tabs>
          <w:tab w:val="left" w:pos="680"/>
        </w:tabs>
        <w:spacing w:before="240" w:line="260" w:lineRule="exact"/>
        <w:ind w:firstLine="0"/>
        <w:jc w:val="both"/>
        <w:rPr>
          <w:spacing w:val="-2"/>
          <w:sz w:val="22"/>
        </w:rPr>
      </w:pPr>
      <w:r>
        <w:rPr>
          <w:sz w:val="22"/>
        </w:rPr>
        <w:t xml:space="preserve">342. </w:t>
      </w:r>
      <w:r>
        <w:rPr>
          <w:sz w:val="22"/>
        </w:rPr>
        <w:tab/>
      </w:r>
      <w:r>
        <w:rPr>
          <w:spacing w:val="-2"/>
          <w:sz w:val="22"/>
        </w:rPr>
        <w:t xml:space="preserve">Университеты представляют собой те учреждения, которые значительно расширяют возможности женщин не только в получении образования и доступе к различным профессиям, но и в возможностях занимать руководящие посты. Примером этого является Национальный университет, единственное высшее учебное заведение в стране, пост ректора которого два срока занимала женщина. В этом университете за последние 15 лет женщины составляют около 40 процентов профессорско-преподавательского состава (УНА, Отдел программ). </w:t>
      </w:r>
    </w:p>
    <w:p w:rsidR="00000000" w:rsidRDefault="00000000">
      <w:pPr>
        <w:pStyle w:val="BodyTextIndent2"/>
        <w:tabs>
          <w:tab w:val="left" w:pos="680"/>
        </w:tabs>
        <w:spacing w:before="240" w:line="260" w:lineRule="exact"/>
        <w:ind w:firstLine="0"/>
        <w:jc w:val="both"/>
        <w:rPr>
          <w:sz w:val="22"/>
        </w:rPr>
      </w:pPr>
      <w:r>
        <w:rPr>
          <w:sz w:val="22"/>
        </w:rPr>
        <w:t xml:space="preserve">343. </w:t>
      </w:r>
      <w:r>
        <w:rPr>
          <w:sz w:val="22"/>
        </w:rPr>
        <w:tab/>
        <w:t>Теоретическое изучение гендерных проблем высшего образования проводится и в Коста-Риканском технологическом институте (ИТКР), лаборатория изучения проблем гендерного равенства которого проводит исследования и консультации для определения возможных гендерных перекосов в области высшего образования. На основе этой работы начался пересмотр набора специальностей, предлагаемых высшей школой (</w:t>
      </w:r>
      <w:r>
        <w:rPr>
          <w:sz w:val="22"/>
          <w:lang w:val="en-US"/>
        </w:rPr>
        <w:t>Ruiz</w:t>
      </w:r>
      <w:r>
        <w:rPr>
          <w:sz w:val="22"/>
        </w:rPr>
        <w:t>, 2001).</w:t>
      </w:r>
    </w:p>
    <w:p w:rsidR="00000000" w:rsidRDefault="00000000">
      <w:pPr>
        <w:pStyle w:val="BodyTextIndent2"/>
        <w:tabs>
          <w:tab w:val="left" w:pos="680"/>
        </w:tabs>
        <w:spacing w:before="240" w:line="260" w:lineRule="exact"/>
        <w:ind w:firstLine="0"/>
        <w:jc w:val="both"/>
        <w:rPr>
          <w:b/>
          <w:sz w:val="22"/>
        </w:rPr>
      </w:pPr>
    </w:p>
    <w:p w:rsidR="00000000" w:rsidRDefault="00000000">
      <w:pPr>
        <w:pStyle w:val="BodyTextIndent2"/>
        <w:tabs>
          <w:tab w:val="left" w:pos="680"/>
        </w:tabs>
        <w:spacing w:before="240" w:line="260" w:lineRule="exact"/>
        <w:ind w:firstLine="0"/>
        <w:jc w:val="center"/>
        <w:rPr>
          <w:b/>
          <w:color w:val="008000"/>
          <w:sz w:val="22"/>
        </w:rPr>
      </w:pPr>
      <w:r>
        <w:rPr>
          <w:b/>
          <w:sz w:val="22"/>
        </w:rPr>
        <w:t>Статья 11. Равный доступ к занятости</w:t>
      </w:r>
    </w:p>
    <w:p w:rsidR="00000000" w:rsidRDefault="00000000">
      <w:pPr>
        <w:pStyle w:val="Heading3"/>
        <w:jc w:val="both"/>
        <w:rPr>
          <w:b w:val="0"/>
          <w:i/>
        </w:rPr>
      </w:pPr>
      <w:r>
        <w:rPr>
          <w:b w:val="0"/>
          <w:i/>
        </w:rPr>
        <w:t>Статья 11</w:t>
      </w:r>
    </w:p>
    <w:p w:rsidR="00000000" w:rsidRDefault="00000000">
      <w:pPr>
        <w:tabs>
          <w:tab w:val="left" w:pos="340"/>
          <w:tab w:val="left" w:pos="680"/>
        </w:tabs>
        <w:overflowPunct w:val="0"/>
        <w:autoSpaceDE w:val="0"/>
        <w:autoSpaceDN w:val="0"/>
        <w:adjustRightInd w:val="0"/>
        <w:spacing w:before="240" w:line="260" w:lineRule="exact"/>
        <w:ind w:left="340" w:hanging="340"/>
        <w:jc w:val="both"/>
        <w:rPr>
          <w:i/>
          <w:sz w:val="22"/>
        </w:rPr>
      </w:pPr>
      <w:r>
        <w:rPr>
          <w:i/>
          <w:sz w:val="22"/>
        </w:rPr>
        <w:t>1.</w:t>
      </w:r>
      <w:r>
        <w:rPr>
          <w:i/>
          <w:sz w:val="22"/>
        </w:rPr>
        <w:tab/>
        <w:t>Государства-участники принимают все соответствующие меры для ликвидации дискриминации в отношении женщин в области занятости, с тем чтобы обеспечить на основе равенства мужчин и женщин равные права, в частности:</w:t>
      </w:r>
    </w:p>
    <w:p w:rsidR="00000000" w:rsidRDefault="00000000">
      <w:pPr>
        <w:tabs>
          <w:tab w:val="left" w:pos="340"/>
          <w:tab w:val="left" w:pos="680"/>
        </w:tabs>
        <w:overflowPunct w:val="0"/>
        <w:autoSpaceDE w:val="0"/>
        <w:autoSpaceDN w:val="0"/>
        <w:adjustRightInd w:val="0"/>
        <w:spacing w:before="240" w:line="260" w:lineRule="exact"/>
        <w:ind w:left="680" w:hanging="680"/>
        <w:jc w:val="both"/>
        <w:rPr>
          <w:i/>
          <w:sz w:val="22"/>
        </w:rPr>
      </w:pPr>
      <w:r>
        <w:rPr>
          <w:i/>
          <w:sz w:val="22"/>
        </w:rPr>
        <w:tab/>
        <w:t>а)</w:t>
      </w:r>
      <w:r>
        <w:rPr>
          <w:i/>
          <w:sz w:val="22"/>
        </w:rPr>
        <w:tab/>
        <w:t>право на труд как неотъемлемое право всех людей;</w:t>
      </w:r>
    </w:p>
    <w:p w:rsidR="00000000" w:rsidRDefault="00000000">
      <w:pPr>
        <w:tabs>
          <w:tab w:val="left" w:pos="340"/>
          <w:tab w:val="left" w:pos="680"/>
        </w:tabs>
        <w:overflowPunct w:val="0"/>
        <w:autoSpaceDE w:val="0"/>
        <w:autoSpaceDN w:val="0"/>
        <w:adjustRightInd w:val="0"/>
        <w:spacing w:before="240" w:line="260" w:lineRule="exact"/>
        <w:ind w:left="680" w:hanging="680"/>
        <w:jc w:val="both"/>
        <w:rPr>
          <w:i/>
          <w:sz w:val="22"/>
        </w:rPr>
      </w:pPr>
      <w:r>
        <w:rPr>
          <w:i/>
          <w:sz w:val="22"/>
        </w:rPr>
        <w:tab/>
        <w:t>b)</w:t>
      </w:r>
      <w:r>
        <w:rPr>
          <w:i/>
          <w:sz w:val="22"/>
        </w:rPr>
        <w:tab/>
        <w:t>право на одинаковые возможности при найме на работу, в том числе применение одинаковых критериев отбора при найме;</w:t>
      </w:r>
    </w:p>
    <w:p w:rsidR="00000000" w:rsidRDefault="00000000">
      <w:pPr>
        <w:tabs>
          <w:tab w:val="left" w:pos="340"/>
          <w:tab w:val="left" w:pos="680"/>
        </w:tabs>
        <w:overflowPunct w:val="0"/>
        <w:autoSpaceDE w:val="0"/>
        <w:autoSpaceDN w:val="0"/>
        <w:adjustRightInd w:val="0"/>
        <w:spacing w:before="240" w:line="260" w:lineRule="exact"/>
        <w:ind w:left="680" w:hanging="680"/>
        <w:jc w:val="both"/>
        <w:rPr>
          <w:i/>
          <w:sz w:val="22"/>
        </w:rPr>
      </w:pPr>
      <w:r>
        <w:rPr>
          <w:i/>
          <w:sz w:val="22"/>
        </w:rPr>
        <w:tab/>
        <w:t>с)</w:t>
      </w:r>
      <w:r>
        <w:rPr>
          <w:i/>
          <w:sz w:val="22"/>
        </w:rPr>
        <w:tab/>
        <w:t xml:space="preserve">право на свободный выбор профессии или рода работы, на продвижение в должности и гарантию занятости, а также на пользование всеми льготами и условиями работы, на получение профессиональной подготовки и переподготовки, включая ученичество, профессиональную подготовку повышенного уровня и регулярную переподготовку; </w:t>
      </w:r>
    </w:p>
    <w:p w:rsidR="00000000" w:rsidRDefault="00000000">
      <w:pPr>
        <w:tabs>
          <w:tab w:val="left" w:pos="340"/>
          <w:tab w:val="left" w:pos="680"/>
        </w:tabs>
        <w:overflowPunct w:val="0"/>
        <w:autoSpaceDE w:val="0"/>
        <w:autoSpaceDN w:val="0"/>
        <w:adjustRightInd w:val="0"/>
        <w:spacing w:before="240" w:line="260" w:lineRule="exact"/>
        <w:ind w:left="680" w:hanging="680"/>
        <w:jc w:val="both"/>
        <w:rPr>
          <w:i/>
          <w:sz w:val="22"/>
        </w:rPr>
      </w:pPr>
      <w:r>
        <w:rPr>
          <w:i/>
          <w:sz w:val="22"/>
        </w:rPr>
        <w:tab/>
        <w:t>d)</w:t>
      </w:r>
      <w:r>
        <w:rPr>
          <w:i/>
          <w:sz w:val="22"/>
        </w:rPr>
        <w:tab/>
        <w:t xml:space="preserve">право на равное вознаграждение, включая получение льгот, на равные условия в отношении труда равной ценности, а также на равный подход к оценке качества работы; </w:t>
      </w:r>
    </w:p>
    <w:p w:rsidR="00000000" w:rsidRDefault="00000000">
      <w:pPr>
        <w:tabs>
          <w:tab w:val="left" w:pos="340"/>
          <w:tab w:val="left" w:pos="680"/>
        </w:tabs>
        <w:overflowPunct w:val="0"/>
        <w:autoSpaceDE w:val="0"/>
        <w:autoSpaceDN w:val="0"/>
        <w:adjustRightInd w:val="0"/>
        <w:spacing w:before="240" w:line="260" w:lineRule="exact"/>
        <w:ind w:left="680" w:hanging="680"/>
        <w:jc w:val="both"/>
        <w:rPr>
          <w:i/>
          <w:sz w:val="22"/>
        </w:rPr>
      </w:pPr>
      <w:r>
        <w:rPr>
          <w:i/>
          <w:sz w:val="22"/>
        </w:rPr>
        <w:tab/>
        <w:t>е)</w:t>
      </w:r>
      <w:r>
        <w:rPr>
          <w:i/>
          <w:sz w:val="22"/>
        </w:rPr>
        <w:tab/>
        <w:t>право на социальное обеспечение, в частности в случае ухода на пенсию, безработицы, болезни, инвалидности, по старости и в других случаях потери трудоспособности, а также право на оплачиваемый отпуск;</w:t>
      </w:r>
    </w:p>
    <w:p w:rsidR="00000000" w:rsidRDefault="00000000">
      <w:pPr>
        <w:tabs>
          <w:tab w:val="left" w:pos="340"/>
          <w:tab w:val="left" w:pos="680"/>
        </w:tabs>
        <w:overflowPunct w:val="0"/>
        <w:autoSpaceDE w:val="0"/>
        <w:autoSpaceDN w:val="0"/>
        <w:adjustRightInd w:val="0"/>
        <w:spacing w:before="240" w:line="260" w:lineRule="exact"/>
        <w:ind w:left="680" w:hanging="680"/>
        <w:jc w:val="both"/>
        <w:rPr>
          <w:i/>
          <w:sz w:val="22"/>
        </w:rPr>
      </w:pPr>
      <w:r>
        <w:rPr>
          <w:i/>
          <w:sz w:val="22"/>
        </w:rPr>
        <w:tab/>
        <w:t>f)</w:t>
      </w:r>
      <w:r>
        <w:rPr>
          <w:i/>
          <w:sz w:val="22"/>
        </w:rPr>
        <w:tab/>
        <w:t>право на охрану здоровья и безопасные условия труда, в том числе по сохранению функции продолжения рода.</w:t>
      </w:r>
    </w:p>
    <w:p w:rsidR="00000000" w:rsidRDefault="00000000">
      <w:pPr>
        <w:tabs>
          <w:tab w:val="left" w:pos="340"/>
          <w:tab w:val="left" w:pos="680"/>
        </w:tabs>
        <w:overflowPunct w:val="0"/>
        <w:autoSpaceDE w:val="0"/>
        <w:autoSpaceDN w:val="0"/>
        <w:adjustRightInd w:val="0"/>
        <w:spacing w:before="240" w:line="260" w:lineRule="exact"/>
        <w:ind w:left="340" w:hanging="340"/>
        <w:jc w:val="both"/>
        <w:rPr>
          <w:i/>
          <w:sz w:val="22"/>
        </w:rPr>
      </w:pPr>
      <w:r>
        <w:rPr>
          <w:i/>
          <w:sz w:val="22"/>
        </w:rPr>
        <w:t>2.</w:t>
      </w:r>
      <w:r>
        <w:rPr>
          <w:i/>
          <w:sz w:val="22"/>
        </w:rPr>
        <w:tab/>
        <w:t xml:space="preserve">Для предупреждения дискриминации в отношении женщин по причине замужества или материнства и гарантирования им эффективного права на труд государства-участники принимают соответствующие меры для того, чтобы: </w:t>
      </w:r>
    </w:p>
    <w:p w:rsidR="00000000" w:rsidRDefault="00000000">
      <w:pPr>
        <w:tabs>
          <w:tab w:val="left" w:pos="340"/>
          <w:tab w:val="left" w:pos="680"/>
        </w:tabs>
        <w:overflowPunct w:val="0"/>
        <w:autoSpaceDE w:val="0"/>
        <w:autoSpaceDN w:val="0"/>
        <w:adjustRightInd w:val="0"/>
        <w:spacing w:before="240" w:line="260" w:lineRule="exact"/>
        <w:ind w:left="680" w:hanging="680"/>
        <w:jc w:val="both"/>
        <w:rPr>
          <w:i/>
          <w:sz w:val="22"/>
        </w:rPr>
      </w:pPr>
      <w:r>
        <w:rPr>
          <w:i/>
          <w:sz w:val="22"/>
        </w:rPr>
        <w:tab/>
        <w:t>а)</w:t>
      </w:r>
      <w:r>
        <w:rPr>
          <w:i/>
          <w:sz w:val="22"/>
        </w:rPr>
        <w:tab/>
        <w:t xml:space="preserve">запретить, под угрозой применения санкций, увольнение с работы на основании беременности или отпуска по беременности и родам или дискриминацию ввиду семейного положения при увольнении; </w:t>
      </w:r>
    </w:p>
    <w:p w:rsidR="00000000" w:rsidRDefault="00000000">
      <w:pPr>
        <w:tabs>
          <w:tab w:val="left" w:pos="340"/>
          <w:tab w:val="left" w:pos="680"/>
        </w:tabs>
        <w:overflowPunct w:val="0"/>
        <w:autoSpaceDE w:val="0"/>
        <w:autoSpaceDN w:val="0"/>
        <w:adjustRightInd w:val="0"/>
        <w:spacing w:before="240" w:line="260" w:lineRule="exact"/>
        <w:ind w:left="680" w:hanging="680"/>
        <w:jc w:val="both"/>
        <w:rPr>
          <w:i/>
          <w:sz w:val="22"/>
        </w:rPr>
      </w:pPr>
      <w:r>
        <w:rPr>
          <w:i/>
          <w:sz w:val="22"/>
        </w:rPr>
        <w:tab/>
        <w:t>b)</w:t>
      </w:r>
      <w:r>
        <w:rPr>
          <w:i/>
          <w:sz w:val="22"/>
        </w:rPr>
        <w:tab/>
        <w:t>ввести оплачиваемые отпуска или отпуска с сопоставимыми социальными пособиями по беременности и родам без утраты прежнего места работы, старшинства или социальных пособий;</w:t>
      </w:r>
    </w:p>
    <w:p w:rsidR="00000000" w:rsidRDefault="00000000">
      <w:pPr>
        <w:tabs>
          <w:tab w:val="left" w:pos="340"/>
          <w:tab w:val="left" w:pos="680"/>
        </w:tabs>
        <w:overflowPunct w:val="0"/>
        <w:autoSpaceDE w:val="0"/>
        <w:autoSpaceDN w:val="0"/>
        <w:adjustRightInd w:val="0"/>
        <w:spacing w:before="240" w:line="260" w:lineRule="exact"/>
        <w:ind w:left="680" w:hanging="680"/>
        <w:jc w:val="both"/>
        <w:rPr>
          <w:i/>
          <w:sz w:val="22"/>
        </w:rPr>
      </w:pPr>
      <w:r>
        <w:rPr>
          <w:i/>
          <w:sz w:val="22"/>
        </w:rPr>
        <w:tab/>
        <w:t>с)</w:t>
      </w:r>
      <w:r>
        <w:rPr>
          <w:i/>
          <w:sz w:val="22"/>
        </w:rPr>
        <w:tab/>
        <w:t>поощрять предоставление необходимых социальных услуг, с тем чтобы позволить родителям совмещать выполнение семейных обязанностей с трудовой деятельностью и участием в общественной жизни, в частности посредством создания и расширения сети учреждений по уходу за детьми;</w:t>
      </w:r>
    </w:p>
    <w:p w:rsidR="00000000" w:rsidRDefault="00000000">
      <w:pPr>
        <w:tabs>
          <w:tab w:val="left" w:pos="340"/>
          <w:tab w:val="left" w:pos="680"/>
        </w:tabs>
        <w:overflowPunct w:val="0"/>
        <w:autoSpaceDE w:val="0"/>
        <w:autoSpaceDN w:val="0"/>
        <w:adjustRightInd w:val="0"/>
        <w:spacing w:before="240" w:line="260" w:lineRule="exact"/>
        <w:ind w:left="680" w:hanging="680"/>
        <w:jc w:val="both"/>
        <w:rPr>
          <w:i/>
          <w:sz w:val="22"/>
        </w:rPr>
      </w:pPr>
      <w:r>
        <w:rPr>
          <w:i/>
          <w:sz w:val="22"/>
        </w:rPr>
        <w:tab/>
        <w:t>d)</w:t>
      </w:r>
      <w:r>
        <w:rPr>
          <w:i/>
          <w:sz w:val="22"/>
        </w:rPr>
        <w:tab/>
        <w:t>обеспечивать женщинам особую защиту в период беременности на тех видах работ, вредность которых для их здоровья доказана.</w:t>
      </w:r>
    </w:p>
    <w:p w:rsidR="00000000" w:rsidRDefault="00000000">
      <w:pPr>
        <w:tabs>
          <w:tab w:val="left" w:pos="340"/>
          <w:tab w:val="left" w:pos="680"/>
        </w:tabs>
        <w:overflowPunct w:val="0"/>
        <w:autoSpaceDE w:val="0"/>
        <w:autoSpaceDN w:val="0"/>
        <w:adjustRightInd w:val="0"/>
        <w:spacing w:before="240" w:line="260" w:lineRule="exact"/>
        <w:ind w:left="340" w:hanging="340"/>
        <w:jc w:val="both"/>
        <w:rPr>
          <w:sz w:val="22"/>
        </w:rPr>
      </w:pPr>
      <w:r>
        <w:rPr>
          <w:i/>
          <w:sz w:val="22"/>
        </w:rPr>
        <w:t>3.</w:t>
      </w:r>
      <w:r>
        <w:rPr>
          <w:i/>
          <w:sz w:val="22"/>
        </w:rPr>
        <w:tab/>
        <w:t>Законодательство, касающееся защиты прав, затрагиваемых в настоящей статье, периодически рассматривается в свете научно-технических знаний, а также пересматривается, отменяется или расширяется, насколько это необходимо.</w:t>
      </w:r>
    </w:p>
    <w:p w:rsidR="00000000" w:rsidRDefault="00000000">
      <w:pPr>
        <w:tabs>
          <w:tab w:val="left" w:pos="680"/>
        </w:tabs>
        <w:spacing w:before="240" w:line="260" w:lineRule="exact"/>
        <w:jc w:val="both"/>
        <w:rPr>
          <w:sz w:val="22"/>
        </w:rPr>
      </w:pPr>
    </w:p>
    <w:p w:rsidR="00000000" w:rsidRDefault="00000000">
      <w:pPr>
        <w:pStyle w:val="BodyTextIndent2"/>
        <w:tabs>
          <w:tab w:val="left" w:pos="680"/>
        </w:tabs>
        <w:spacing w:line="260" w:lineRule="exact"/>
        <w:ind w:firstLine="0"/>
        <w:rPr>
          <w:b/>
          <w:sz w:val="22"/>
        </w:rPr>
      </w:pPr>
      <w:r>
        <w:rPr>
          <w:b/>
          <w:sz w:val="22"/>
        </w:rPr>
        <w:br w:type="page"/>
        <w:t xml:space="preserve">Активизация участия женщин в трудовой деятельности, </w:t>
      </w:r>
      <w:r>
        <w:rPr>
          <w:b/>
          <w:sz w:val="22"/>
        </w:rPr>
        <w:br/>
        <w:t>но на невыгодных условиях</w:t>
      </w:r>
    </w:p>
    <w:p w:rsidR="00000000" w:rsidRDefault="00000000">
      <w:pPr>
        <w:pStyle w:val="BodyTextIndent2"/>
        <w:tabs>
          <w:tab w:val="left" w:pos="680"/>
        </w:tabs>
        <w:spacing w:before="240" w:line="260" w:lineRule="exact"/>
        <w:ind w:firstLine="0"/>
        <w:jc w:val="both"/>
        <w:rPr>
          <w:sz w:val="22"/>
        </w:rPr>
      </w:pPr>
      <w:r>
        <w:rPr>
          <w:sz w:val="22"/>
        </w:rPr>
        <w:t>344.</w:t>
      </w:r>
      <w:r>
        <w:rPr>
          <w:sz w:val="22"/>
        </w:rPr>
        <w:tab/>
        <w:t>В Коста-Рике растет число трудящихся-женщин, и поэтому постоянно увеличивается их удельный вес среди работающих. С 1995 года женское экономически активное население росло быстрее, чем мужское (19,1 против 10,2 процента) и экономически активное население вообще (18,6 против 10,4 процента). Однако это участие приобрело форму открытой безработицы в большей степени, чем у мужчин. Кроме того, женщины больше пострадали от общей неполной занятости, при которой к открытой безработице добавляются неполный рабочий день, не являющийся результатом добровольного выбора (видимая неполная занятость), и недостаточное вознаграждение за труд (скрытая неполная занятость) (проект "Состояние нации", 2001 год).</w:t>
      </w:r>
    </w:p>
    <w:p w:rsidR="00000000" w:rsidRDefault="00000000">
      <w:pPr>
        <w:pStyle w:val="BodyTextIndent2"/>
        <w:tabs>
          <w:tab w:val="left" w:pos="680"/>
        </w:tabs>
        <w:spacing w:before="240" w:line="260" w:lineRule="exact"/>
        <w:ind w:firstLine="0"/>
        <w:jc w:val="both"/>
        <w:rPr>
          <w:sz w:val="22"/>
        </w:rPr>
      </w:pPr>
      <w:r>
        <w:rPr>
          <w:sz w:val="22"/>
        </w:rPr>
        <w:t xml:space="preserve">345. </w:t>
      </w:r>
      <w:r>
        <w:rPr>
          <w:sz w:val="22"/>
        </w:rPr>
        <w:tab/>
        <w:t>Женщины чаще, чем мужчины, не декларируют часть своего труда, значительная часть их труда не учитывается в цифрах занятости, как, например, деятельность по обеспечению самопотребления. Уровень этой скрытой занятости значительно различается по гендерному признаку. Так, в 2000 году для мужчин этот показатель составлял 2,3 процента, а для женщин 5,1 процента от всех женщин трудового возраста (проект "Состояние нации", 2001 год).</w:t>
      </w:r>
    </w:p>
    <w:p w:rsidR="00000000" w:rsidRDefault="00000000">
      <w:pPr>
        <w:pStyle w:val="BodyTextIndent2"/>
        <w:tabs>
          <w:tab w:val="left" w:pos="680"/>
        </w:tabs>
        <w:spacing w:before="240" w:line="260" w:lineRule="exact"/>
        <w:ind w:firstLine="0"/>
        <w:jc w:val="both"/>
        <w:rPr>
          <w:sz w:val="22"/>
        </w:rPr>
      </w:pPr>
      <w:r>
        <w:rPr>
          <w:sz w:val="22"/>
        </w:rPr>
        <w:t>346.</w:t>
      </w:r>
      <w:r>
        <w:rPr>
          <w:sz w:val="22"/>
        </w:rPr>
        <w:tab/>
        <w:t>Женщины могли бы более активно участвовать в рынке труда, если бы им удалось преодолеть гендерные ограничения. Женщины, которые рассматриваются как экономически неактивное население, значительно чаще, чем мужчины (только 2 мужчин на каждые 100 женщин), указывали, что они не могут работать, поскольку вынуждены выполнять семейные обязанности или по личным причинам. Только 2 мужчин на каждые 100 женщин привели эту же причину невозможности присоединения к рынку труда (проект "Состояние нации", 2001 год). Среди работающих 30 мужчин на 100 женщин указали ту же причину для невозможности увеличения своего рабочего дня. Возможно, что для женщин это связано с необходимостью выполнения семейных обязанностей, а для мужчин с такими личными причинами, как, например, учеба.</w:t>
      </w:r>
    </w:p>
    <w:p w:rsidR="00000000" w:rsidRDefault="00000000">
      <w:pPr>
        <w:pStyle w:val="BodyTextIndent2"/>
        <w:tabs>
          <w:tab w:val="left" w:pos="680"/>
        </w:tabs>
        <w:spacing w:line="260" w:lineRule="exact"/>
        <w:ind w:firstLine="0"/>
        <w:jc w:val="both"/>
        <w:rPr>
          <w:b/>
          <w:sz w:val="22"/>
        </w:rPr>
      </w:pPr>
    </w:p>
    <w:p w:rsidR="00000000" w:rsidRDefault="00000000">
      <w:pPr>
        <w:pStyle w:val="BodyTextIndent2"/>
        <w:tabs>
          <w:tab w:val="left" w:pos="680"/>
        </w:tabs>
        <w:spacing w:before="240" w:line="260" w:lineRule="exact"/>
        <w:ind w:firstLine="0"/>
        <w:rPr>
          <w:sz w:val="22"/>
        </w:rPr>
      </w:pPr>
      <w:r>
        <w:rPr>
          <w:b/>
          <w:sz w:val="22"/>
        </w:rPr>
        <w:t xml:space="preserve">Дифференцированное участие женщин в трудовой деятельности </w:t>
      </w:r>
      <w:r>
        <w:rPr>
          <w:b/>
          <w:sz w:val="22"/>
        </w:rPr>
        <w:br/>
        <w:t>по отраслям экономики</w:t>
      </w:r>
    </w:p>
    <w:p w:rsidR="00000000" w:rsidRDefault="00000000">
      <w:pPr>
        <w:tabs>
          <w:tab w:val="left" w:pos="680"/>
        </w:tabs>
        <w:spacing w:before="240" w:line="260" w:lineRule="exact"/>
        <w:jc w:val="both"/>
        <w:rPr>
          <w:sz w:val="22"/>
        </w:rPr>
      </w:pPr>
      <w:r>
        <w:rPr>
          <w:sz w:val="22"/>
        </w:rPr>
        <w:t xml:space="preserve">347. </w:t>
      </w:r>
      <w:r>
        <w:rPr>
          <w:sz w:val="22"/>
        </w:rPr>
        <w:tab/>
        <w:t>Распределение женщин и мужчин по секторам экономики указывает на значительные гендерные различия. В то время как мужчины заняты в основном в производительных отраслях, женщины заняты прежде всего в секторе социальных, коммунальных и индивидуальных услуг, в торговле и гораздо меньше – в производительных отраслях. Мужчины также заняты в торговле и секторе индивидуальных, коммунальных и индивидуальных услуг в более или менее равных количествах, а потому большее число работающих женщин заняты в третьем секторе, как это показано в таблице 9.</w:t>
      </w:r>
    </w:p>
    <w:p w:rsidR="00000000" w:rsidRDefault="00000000">
      <w:pPr>
        <w:tabs>
          <w:tab w:val="left" w:pos="680"/>
        </w:tabs>
        <w:spacing w:before="240" w:line="260" w:lineRule="exact"/>
        <w:jc w:val="both"/>
        <w:rPr>
          <w:sz w:val="22"/>
        </w:rPr>
      </w:pPr>
    </w:p>
    <w:p w:rsidR="00000000" w:rsidRDefault="00000000">
      <w:pPr>
        <w:tabs>
          <w:tab w:val="left" w:pos="680"/>
        </w:tabs>
        <w:spacing w:line="260" w:lineRule="exact"/>
        <w:jc w:val="center"/>
        <w:rPr>
          <w:b/>
          <w:sz w:val="22"/>
        </w:rPr>
      </w:pPr>
      <w:r>
        <w:rPr>
          <w:b/>
          <w:sz w:val="22"/>
        </w:rPr>
        <w:br w:type="page"/>
        <w:t>Таблица 9</w:t>
      </w:r>
    </w:p>
    <w:p w:rsidR="00000000" w:rsidRDefault="00000000">
      <w:pPr>
        <w:tabs>
          <w:tab w:val="left" w:pos="680"/>
        </w:tabs>
        <w:spacing w:before="120" w:after="120" w:line="260" w:lineRule="exact"/>
        <w:jc w:val="center"/>
        <w:rPr>
          <w:b/>
          <w:sz w:val="22"/>
        </w:rPr>
      </w:pPr>
      <w:r>
        <w:rPr>
          <w:b/>
          <w:sz w:val="22"/>
        </w:rPr>
        <w:t xml:space="preserve">Относительное распределение рабочей силы с разбивкой по полу </w:t>
      </w:r>
      <w:r>
        <w:rPr>
          <w:b/>
          <w:sz w:val="22"/>
        </w:rPr>
        <w:br/>
        <w:t>и по отраслям экономики, 1999 год</w:t>
      </w:r>
    </w:p>
    <w:tbl>
      <w:tblPr>
        <w:tblW w:w="0" w:type="auto"/>
        <w:jc w:val="center"/>
        <w:tblLayout w:type="fixed"/>
        <w:tblCellMar>
          <w:left w:w="56" w:type="dxa"/>
          <w:right w:w="56" w:type="dxa"/>
        </w:tblCellMar>
        <w:tblLook w:val="0000" w:firstRow="0" w:lastRow="0" w:firstColumn="0" w:lastColumn="0" w:noHBand="0" w:noVBand="0"/>
      </w:tblPr>
      <w:tblGrid>
        <w:gridCol w:w="5103"/>
        <w:gridCol w:w="1247"/>
        <w:gridCol w:w="1247"/>
        <w:gridCol w:w="1247"/>
      </w:tblGrid>
      <w:tr w:rsidR="00000000">
        <w:tblPrEx>
          <w:tblCellMar>
            <w:top w:w="0" w:type="dxa"/>
            <w:bottom w:w="0" w:type="dxa"/>
          </w:tblCellMar>
        </w:tblPrEx>
        <w:trPr>
          <w:jc w:val="center"/>
        </w:trPr>
        <w:tc>
          <w:tcPr>
            <w:tcW w:w="5103" w:type="dxa"/>
            <w:tcBorders>
              <w:top w:val="single" w:sz="4" w:space="0" w:color="auto"/>
              <w:bottom w:val="single" w:sz="4" w:space="0" w:color="auto"/>
            </w:tcBorders>
          </w:tcPr>
          <w:p w:rsidR="00000000" w:rsidRDefault="00000000">
            <w:pPr>
              <w:pStyle w:val="Header"/>
              <w:tabs>
                <w:tab w:val="clear" w:pos="4677"/>
                <w:tab w:val="clear" w:pos="9355"/>
                <w:tab w:val="left" w:pos="680"/>
              </w:tabs>
              <w:spacing w:before="20" w:after="20"/>
              <w:jc w:val="both"/>
              <w:rPr>
                <w:b/>
                <w:sz w:val="20"/>
              </w:rPr>
            </w:pPr>
            <w:r>
              <w:rPr>
                <w:b/>
                <w:sz w:val="20"/>
              </w:rPr>
              <w:t>Отрасль экономики</w:t>
            </w:r>
          </w:p>
        </w:tc>
        <w:tc>
          <w:tcPr>
            <w:tcW w:w="1247" w:type="dxa"/>
            <w:tcBorders>
              <w:top w:val="single" w:sz="4" w:space="0" w:color="auto"/>
              <w:bottom w:val="single" w:sz="4" w:space="0" w:color="auto"/>
            </w:tcBorders>
          </w:tcPr>
          <w:p w:rsidR="00000000" w:rsidRDefault="00000000">
            <w:pPr>
              <w:tabs>
                <w:tab w:val="left" w:pos="680"/>
              </w:tabs>
              <w:spacing w:before="20" w:after="20"/>
              <w:jc w:val="center"/>
              <w:rPr>
                <w:b/>
                <w:sz w:val="20"/>
              </w:rPr>
            </w:pPr>
            <w:r>
              <w:rPr>
                <w:b/>
                <w:sz w:val="20"/>
              </w:rPr>
              <w:t>Всего</w:t>
            </w:r>
          </w:p>
        </w:tc>
        <w:tc>
          <w:tcPr>
            <w:tcW w:w="1247" w:type="dxa"/>
            <w:tcBorders>
              <w:top w:val="single" w:sz="4" w:space="0" w:color="auto"/>
              <w:bottom w:val="single" w:sz="4" w:space="0" w:color="auto"/>
            </w:tcBorders>
          </w:tcPr>
          <w:p w:rsidR="00000000" w:rsidRDefault="00000000">
            <w:pPr>
              <w:tabs>
                <w:tab w:val="left" w:pos="680"/>
              </w:tabs>
              <w:spacing w:before="20" w:after="20"/>
              <w:jc w:val="center"/>
              <w:rPr>
                <w:b/>
                <w:sz w:val="20"/>
              </w:rPr>
            </w:pPr>
            <w:r>
              <w:rPr>
                <w:b/>
                <w:sz w:val="20"/>
              </w:rPr>
              <w:t>Мужчины</w:t>
            </w:r>
          </w:p>
        </w:tc>
        <w:tc>
          <w:tcPr>
            <w:tcW w:w="1247" w:type="dxa"/>
            <w:tcBorders>
              <w:top w:val="single" w:sz="4" w:space="0" w:color="auto"/>
              <w:bottom w:val="single" w:sz="4" w:space="0" w:color="auto"/>
            </w:tcBorders>
          </w:tcPr>
          <w:p w:rsidR="00000000" w:rsidRDefault="00000000">
            <w:pPr>
              <w:tabs>
                <w:tab w:val="left" w:pos="680"/>
              </w:tabs>
              <w:spacing w:before="20" w:after="20"/>
              <w:jc w:val="center"/>
              <w:rPr>
                <w:b/>
                <w:sz w:val="20"/>
              </w:rPr>
            </w:pPr>
            <w:r>
              <w:rPr>
                <w:b/>
                <w:sz w:val="20"/>
              </w:rPr>
              <w:t>Женщины</w:t>
            </w:r>
          </w:p>
        </w:tc>
      </w:tr>
      <w:tr w:rsidR="00000000">
        <w:tblPrEx>
          <w:tblCellMar>
            <w:top w:w="0" w:type="dxa"/>
            <w:bottom w:w="0" w:type="dxa"/>
          </w:tblCellMar>
        </w:tblPrEx>
        <w:trPr>
          <w:jc w:val="center"/>
        </w:trPr>
        <w:tc>
          <w:tcPr>
            <w:tcW w:w="5103" w:type="dxa"/>
            <w:tcBorders>
              <w:top w:val="single" w:sz="4" w:space="0" w:color="auto"/>
            </w:tcBorders>
          </w:tcPr>
          <w:p w:rsidR="00000000" w:rsidRDefault="00000000">
            <w:pPr>
              <w:tabs>
                <w:tab w:val="left" w:pos="680"/>
              </w:tabs>
              <w:spacing w:before="20" w:after="20"/>
              <w:jc w:val="both"/>
              <w:rPr>
                <w:sz w:val="20"/>
              </w:rPr>
            </w:pPr>
            <w:r>
              <w:rPr>
                <w:sz w:val="20"/>
              </w:rPr>
              <w:t>Всего</w:t>
            </w:r>
          </w:p>
        </w:tc>
        <w:tc>
          <w:tcPr>
            <w:tcW w:w="1247" w:type="dxa"/>
            <w:tcBorders>
              <w:top w:val="single" w:sz="4" w:space="0" w:color="auto"/>
            </w:tcBorders>
          </w:tcPr>
          <w:p w:rsidR="00000000" w:rsidRDefault="00000000">
            <w:pPr>
              <w:tabs>
                <w:tab w:val="decimal" w:pos="624"/>
              </w:tabs>
              <w:spacing w:before="20" w:after="20"/>
              <w:jc w:val="both"/>
              <w:rPr>
                <w:sz w:val="20"/>
              </w:rPr>
            </w:pPr>
            <w:r>
              <w:rPr>
                <w:sz w:val="20"/>
              </w:rPr>
              <w:t>100,0</w:t>
            </w:r>
          </w:p>
        </w:tc>
        <w:tc>
          <w:tcPr>
            <w:tcW w:w="1247" w:type="dxa"/>
            <w:tcBorders>
              <w:top w:val="single" w:sz="4" w:space="0" w:color="auto"/>
            </w:tcBorders>
          </w:tcPr>
          <w:p w:rsidR="00000000" w:rsidRDefault="00000000">
            <w:pPr>
              <w:tabs>
                <w:tab w:val="decimal" w:pos="624"/>
              </w:tabs>
              <w:spacing w:before="20" w:after="20"/>
              <w:jc w:val="both"/>
              <w:rPr>
                <w:sz w:val="20"/>
              </w:rPr>
            </w:pPr>
            <w:r>
              <w:rPr>
                <w:sz w:val="20"/>
              </w:rPr>
              <w:t>100,0</w:t>
            </w:r>
          </w:p>
        </w:tc>
        <w:tc>
          <w:tcPr>
            <w:tcW w:w="1247" w:type="dxa"/>
            <w:tcBorders>
              <w:top w:val="single" w:sz="4" w:space="0" w:color="auto"/>
            </w:tcBorders>
          </w:tcPr>
          <w:p w:rsidR="00000000" w:rsidRDefault="00000000">
            <w:pPr>
              <w:tabs>
                <w:tab w:val="decimal" w:pos="624"/>
              </w:tabs>
              <w:spacing w:before="20" w:after="20"/>
              <w:jc w:val="both"/>
              <w:rPr>
                <w:sz w:val="20"/>
              </w:rPr>
            </w:pPr>
            <w:r>
              <w:rPr>
                <w:sz w:val="20"/>
              </w:rPr>
              <w:t>100,0</w:t>
            </w:r>
          </w:p>
        </w:tc>
      </w:tr>
      <w:tr w:rsidR="00000000">
        <w:tblPrEx>
          <w:tblCellMar>
            <w:top w:w="0" w:type="dxa"/>
            <w:bottom w:w="0" w:type="dxa"/>
          </w:tblCellMar>
        </w:tblPrEx>
        <w:trPr>
          <w:jc w:val="center"/>
        </w:trPr>
        <w:tc>
          <w:tcPr>
            <w:tcW w:w="5103" w:type="dxa"/>
          </w:tcPr>
          <w:p w:rsidR="00000000" w:rsidRDefault="00000000">
            <w:pPr>
              <w:tabs>
                <w:tab w:val="left" w:pos="680"/>
              </w:tabs>
              <w:spacing w:before="20" w:after="20"/>
              <w:jc w:val="both"/>
              <w:rPr>
                <w:sz w:val="20"/>
              </w:rPr>
            </w:pPr>
            <w:r>
              <w:rPr>
                <w:sz w:val="20"/>
              </w:rPr>
              <w:t>Сельское хозяйство</w:t>
            </w:r>
          </w:p>
        </w:tc>
        <w:tc>
          <w:tcPr>
            <w:tcW w:w="1247" w:type="dxa"/>
          </w:tcPr>
          <w:p w:rsidR="00000000" w:rsidRDefault="00000000">
            <w:pPr>
              <w:tabs>
                <w:tab w:val="decimal" w:pos="624"/>
              </w:tabs>
              <w:spacing w:before="20" w:after="20"/>
              <w:jc w:val="both"/>
              <w:rPr>
                <w:sz w:val="20"/>
              </w:rPr>
            </w:pPr>
            <w:r>
              <w:rPr>
                <w:sz w:val="20"/>
              </w:rPr>
              <w:t>19,6</w:t>
            </w:r>
          </w:p>
        </w:tc>
        <w:tc>
          <w:tcPr>
            <w:tcW w:w="1247" w:type="dxa"/>
          </w:tcPr>
          <w:p w:rsidR="00000000" w:rsidRDefault="00000000">
            <w:pPr>
              <w:tabs>
                <w:tab w:val="decimal" w:pos="624"/>
              </w:tabs>
              <w:spacing w:before="20" w:after="20"/>
              <w:jc w:val="both"/>
              <w:rPr>
                <w:sz w:val="20"/>
              </w:rPr>
            </w:pPr>
            <w:r>
              <w:rPr>
                <w:sz w:val="20"/>
              </w:rPr>
              <w:t>26,8</w:t>
            </w:r>
          </w:p>
        </w:tc>
        <w:tc>
          <w:tcPr>
            <w:tcW w:w="1247" w:type="dxa"/>
          </w:tcPr>
          <w:p w:rsidR="00000000" w:rsidRDefault="00000000">
            <w:pPr>
              <w:tabs>
                <w:tab w:val="decimal" w:pos="624"/>
              </w:tabs>
              <w:spacing w:before="20" w:after="20"/>
              <w:jc w:val="both"/>
              <w:rPr>
                <w:sz w:val="20"/>
              </w:rPr>
            </w:pPr>
            <w:r>
              <w:rPr>
                <w:sz w:val="20"/>
              </w:rPr>
              <w:t>4,9</w:t>
            </w:r>
          </w:p>
        </w:tc>
      </w:tr>
      <w:tr w:rsidR="00000000">
        <w:tblPrEx>
          <w:tblCellMar>
            <w:top w:w="0" w:type="dxa"/>
            <w:bottom w:w="0" w:type="dxa"/>
          </w:tblCellMar>
        </w:tblPrEx>
        <w:trPr>
          <w:jc w:val="center"/>
        </w:trPr>
        <w:tc>
          <w:tcPr>
            <w:tcW w:w="5103" w:type="dxa"/>
          </w:tcPr>
          <w:p w:rsidR="00000000" w:rsidRDefault="00000000">
            <w:pPr>
              <w:tabs>
                <w:tab w:val="left" w:pos="680"/>
              </w:tabs>
              <w:spacing w:before="20" w:after="20"/>
              <w:jc w:val="both"/>
              <w:rPr>
                <w:sz w:val="20"/>
              </w:rPr>
            </w:pPr>
            <w:r>
              <w:rPr>
                <w:sz w:val="20"/>
              </w:rPr>
              <w:t>Промышленность, в т. ч. добывающая</w:t>
            </w:r>
          </w:p>
        </w:tc>
        <w:tc>
          <w:tcPr>
            <w:tcW w:w="1247" w:type="dxa"/>
          </w:tcPr>
          <w:p w:rsidR="00000000" w:rsidRDefault="00000000">
            <w:pPr>
              <w:tabs>
                <w:tab w:val="decimal" w:pos="624"/>
              </w:tabs>
              <w:spacing w:before="20" w:after="20"/>
              <w:jc w:val="both"/>
              <w:rPr>
                <w:sz w:val="20"/>
              </w:rPr>
            </w:pPr>
            <w:r>
              <w:rPr>
                <w:sz w:val="20"/>
              </w:rPr>
              <w:t>15,9</w:t>
            </w:r>
          </w:p>
        </w:tc>
        <w:tc>
          <w:tcPr>
            <w:tcW w:w="1247" w:type="dxa"/>
          </w:tcPr>
          <w:p w:rsidR="00000000" w:rsidRDefault="00000000">
            <w:pPr>
              <w:tabs>
                <w:tab w:val="decimal" w:pos="624"/>
              </w:tabs>
              <w:spacing w:before="20" w:after="20"/>
              <w:jc w:val="both"/>
              <w:rPr>
                <w:sz w:val="20"/>
              </w:rPr>
            </w:pPr>
            <w:r>
              <w:rPr>
                <w:sz w:val="20"/>
              </w:rPr>
              <w:t>15,4</w:t>
            </w:r>
          </w:p>
        </w:tc>
        <w:tc>
          <w:tcPr>
            <w:tcW w:w="1247" w:type="dxa"/>
          </w:tcPr>
          <w:p w:rsidR="00000000" w:rsidRDefault="00000000">
            <w:pPr>
              <w:tabs>
                <w:tab w:val="decimal" w:pos="624"/>
              </w:tabs>
              <w:spacing w:before="20" w:after="20"/>
              <w:jc w:val="both"/>
              <w:rPr>
                <w:sz w:val="20"/>
              </w:rPr>
            </w:pPr>
            <w:r>
              <w:rPr>
                <w:sz w:val="20"/>
              </w:rPr>
              <w:t>16,7</w:t>
            </w:r>
          </w:p>
        </w:tc>
      </w:tr>
      <w:tr w:rsidR="00000000">
        <w:tblPrEx>
          <w:tblCellMar>
            <w:top w:w="0" w:type="dxa"/>
            <w:bottom w:w="0" w:type="dxa"/>
          </w:tblCellMar>
        </w:tblPrEx>
        <w:trPr>
          <w:jc w:val="center"/>
        </w:trPr>
        <w:tc>
          <w:tcPr>
            <w:tcW w:w="5103" w:type="dxa"/>
          </w:tcPr>
          <w:p w:rsidR="00000000" w:rsidRDefault="00000000">
            <w:pPr>
              <w:tabs>
                <w:tab w:val="left" w:pos="680"/>
              </w:tabs>
              <w:spacing w:before="20" w:after="20"/>
              <w:jc w:val="both"/>
              <w:rPr>
                <w:sz w:val="20"/>
              </w:rPr>
            </w:pPr>
            <w:r>
              <w:rPr>
                <w:sz w:val="20"/>
              </w:rPr>
              <w:t>Энергетика, газо- и водоснабжение</w:t>
            </w:r>
          </w:p>
        </w:tc>
        <w:tc>
          <w:tcPr>
            <w:tcW w:w="1247" w:type="dxa"/>
          </w:tcPr>
          <w:p w:rsidR="00000000" w:rsidRDefault="00000000">
            <w:pPr>
              <w:tabs>
                <w:tab w:val="decimal" w:pos="624"/>
              </w:tabs>
              <w:spacing w:before="20" w:after="20"/>
              <w:jc w:val="both"/>
              <w:rPr>
                <w:sz w:val="20"/>
              </w:rPr>
            </w:pPr>
            <w:r>
              <w:rPr>
                <w:sz w:val="20"/>
              </w:rPr>
              <w:t>1,0</w:t>
            </w:r>
          </w:p>
        </w:tc>
        <w:tc>
          <w:tcPr>
            <w:tcW w:w="1247" w:type="dxa"/>
          </w:tcPr>
          <w:p w:rsidR="00000000" w:rsidRDefault="00000000">
            <w:pPr>
              <w:tabs>
                <w:tab w:val="decimal" w:pos="624"/>
              </w:tabs>
              <w:spacing w:before="20" w:after="20"/>
              <w:jc w:val="both"/>
              <w:rPr>
                <w:sz w:val="20"/>
              </w:rPr>
            </w:pPr>
            <w:r>
              <w:rPr>
                <w:sz w:val="20"/>
              </w:rPr>
              <w:t>1,3</w:t>
            </w:r>
          </w:p>
        </w:tc>
        <w:tc>
          <w:tcPr>
            <w:tcW w:w="1247" w:type="dxa"/>
          </w:tcPr>
          <w:p w:rsidR="00000000" w:rsidRDefault="00000000">
            <w:pPr>
              <w:tabs>
                <w:tab w:val="decimal" w:pos="624"/>
              </w:tabs>
              <w:spacing w:before="20" w:after="20"/>
              <w:jc w:val="both"/>
              <w:rPr>
                <w:sz w:val="20"/>
              </w:rPr>
            </w:pPr>
            <w:r>
              <w:rPr>
                <w:sz w:val="20"/>
              </w:rPr>
              <w:t>0,3</w:t>
            </w:r>
          </w:p>
        </w:tc>
      </w:tr>
      <w:tr w:rsidR="00000000">
        <w:tblPrEx>
          <w:tblCellMar>
            <w:top w:w="0" w:type="dxa"/>
            <w:bottom w:w="0" w:type="dxa"/>
          </w:tblCellMar>
        </w:tblPrEx>
        <w:trPr>
          <w:jc w:val="center"/>
        </w:trPr>
        <w:tc>
          <w:tcPr>
            <w:tcW w:w="5103" w:type="dxa"/>
          </w:tcPr>
          <w:p w:rsidR="00000000" w:rsidRDefault="00000000">
            <w:pPr>
              <w:tabs>
                <w:tab w:val="left" w:pos="680"/>
              </w:tabs>
              <w:spacing w:before="20" w:after="20"/>
              <w:jc w:val="both"/>
              <w:rPr>
                <w:sz w:val="20"/>
              </w:rPr>
            </w:pPr>
            <w:r>
              <w:rPr>
                <w:sz w:val="20"/>
              </w:rPr>
              <w:t>Строительство</w:t>
            </w:r>
          </w:p>
        </w:tc>
        <w:tc>
          <w:tcPr>
            <w:tcW w:w="1247" w:type="dxa"/>
          </w:tcPr>
          <w:p w:rsidR="00000000" w:rsidRDefault="00000000">
            <w:pPr>
              <w:tabs>
                <w:tab w:val="decimal" w:pos="624"/>
              </w:tabs>
              <w:spacing w:before="20" w:after="20"/>
              <w:jc w:val="both"/>
              <w:rPr>
                <w:sz w:val="20"/>
              </w:rPr>
            </w:pPr>
            <w:r>
              <w:rPr>
                <w:sz w:val="20"/>
              </w:rPr>
              <w:t>6,5</w:t>
            </w:r>
          </w:p>
        </w:tc>
        <w:tc>
          <w:tcPr>
            <w:tcW w:w="1247" w:type="dxa"/>
          </w:tcPr>
          <w:p w:rsidR="00000000" w:rsidRDefault="00000000">
            <w:pPr>
              <w:tabs>
                <w:tab w:val="decimal" w:pos="624"/>
              </w:tabs>
              <w:spacing w:before="20" w:after="20"/>
              <w:jc w:val="both"/>
              <w:rPr>
                <w:sz w:val="20"/>
              </w:rPr>
            </w:pPr>
            <w:r>
              <w:rPr>
                <w:sz w:val="20"/>
              </w:rPr>
              <w:t>9,6</w:t>
            </w:r>
          </w:p>
        </w:tc>
        <w:tc>
          <w:tcPr>
            <w:tcW w:w="1247" w:type="dxa"/>
          </w:tcPr>
          <w:p w:rsidR="00000000" w:rsidRDefault="00000000">
            <w:pPr>
              <w:tabs>
                <w:tab w:val="decimal" w:pos="624"/>
              </w:tabs>
              <w:spacing w:before="20" w:after="20"/>
              <w:jc w:val="both"/>
              <w:rPr>
                <w:sz w:val="20"/>
              </w:rPr>
            </w:pPr>
            <w:r>
              <w:rPr>
                <w:sz w:val="20"/>
              </w:rPr>
              <w:t>0,2</w:t>
            </w:r>
          </w:p>
        </w:tc>
      </w:tr>
      <w:tr w:rsidR="00000000">
        <w:tblPrEx>
          <w:tblCellMar>
            <w:top w:w="0" w:type="dxa"/>
            <w:bottom w:w="0" w:type="dxa"/>
          </w:tblCellMar>
        </w:tblPrEx>
        <w:trPr>
          <w:jc w:val="center"/>
        </w:trPr>
        <w:tc>
          <w:tcPr>
            <w:tcW w:w="5103" w:type="dxa"/>
          </w:tcPr>
          <w:p w:rsidR="00000000" w:rsidRDefault="00000000">
            <w:pPr>
              <w:tabs>
                <w:tab w:val="left" w:pos="680"/>
              </w:tabs>
              <w:spacing w:before="20" w:after="20"/>
              <w:jc w:val="both"/>
              <w:rPr>
                <w:sz w:val="20"/>
              </w:rPr>
            </w:pPr>
            <w:r>
              <w:rPr>
                <w:sz w:val="20"/>
              </w:rPr>
              <w:t>Торговля</w:t>
            </w:r>
          </w:p>
        </w:tc>
        <w:tc>
          <w:tcPr>
            <w:tcW w:w="1247" w:type="dxa"/>
          </w:tcPr>
          <w:p w:rsidR="00000000" w:rsidRDefault="00000000">
            <w:pPr>
              <w:tabs>
                <w:tab w:val="decimal" w:pos="624"/>
              </w:tabs>
              <w:spacing w:before="20" w:after="20"/>
              <w:jc w:val="both"/>
              <w:rPr>
                <w:sz w:val="20"/>
              </w:rPr>
            </w:pPr>
            <w:r>
              <w:rPr>
                <w:sz w:val="20"/>
              </w:rPr>
              <w:t>20,7</w:t>
            </w:r>
          </w:p>
        </w:tc>
        <w:tc>
          <w:tcPr>
            <w:tcW w:w="1247" w:type="dxa"/>
          </w:tcPr>
          <w:p w:rsidR="00000000" w:rsidRDefault="00000000">
            <w:pPr>
              <w:tabs>
                <w:tab w:val="decimal" w:pos="624"/>
              </w:tabs>
              <w:spacing w:before="20" w:after="20"/>
              <w:jc w:val="both"/>
              <w:rPr>
                <w:sz w:val="20"/>
              </w:rPr>
            </w:pPr>
            <w:r>
              <w:rPr>
                <w:sz w:val="20"/>
              </w:rPr>
              <w:t>17,6</w:t>
            </w:r>
          </w:p>
        </w:tc>
        <w:tc>
          <w:tcPr>
            <w:tcW w:w="1247" w:type="dxa"/>
          </w:tcPr>
          <w:p w:rsidR="00000000" w:rsidRDefault="00000000">
            <w:pPr>
              <w:tabs>
                <w:tab w:val="decimal" w:pos="624"/>
              </w:tabs>
              <w:spacing w:before="20" w:after="20"/>
              <w:jc w:val="both"/>
              <w:rPr>
                <w:sz w:val="20"/>
              </w:rPr>
            </w:pPr>
            <w:r>
              <w:rPr>
                <w:sz w:val="20"/>
              </w:rPr>
              <w:t>27,0</w:t>
            </w:r>
          </w:p>
        </w:tc>
      </w:tr>
      <w:tr w:rsidR="00000000">
        <w:tblPrEx>
          <w:tblCellMar>
            <w:top w:w="0" w:type="dxa"/>
            <w:bottom w:w="0" w:type="dxa"/>
          </w:tblCellMar>
        </w:tblPrEx>
        <w:trPr>
          <w:jc w:val="center"/>
        </w:trPr>
        <w:tc>
          <w:tcPr>
            <w:tcW w:w="5103" w:type="dxa"/>
          </w:tcPr>
          <w:p w:rsidR="00000000" w:rsidRDefault="00000000">
            <w:pPr>
              <w:tabs>
                <w:tab w:val="left" w:pos="680"/>
              </w:tabs>
              <w:spacing w:before="20" w:after="20"/>
              <w:jc w:val="both"/>
              <w:rPr>
                <w:sz w:val="20"/>
              </w:rPr>
            </w:pPr>
            <w:r>
              <w:rPr>
                <w:sz w:val="20"/>
              </w:rPr>
              <w:t>Транспорт и связь</w:t>
            </w:r>
          </w:p>
        </w:tc>
        <w:tc>
          <w:tcPr>
            <w:tcW w:w="1247" w:type="dxa"/>
          </w:tcPr>
          <w:p w:rsidR="00000000" w:rsidRDefault="00000000">
            <w:pPr>
              <w:tabs>
                <w:tab w:val="decimal" w:pos="624"/>
              </w:tabs>
              <w:spacing w:before="20" w:after="20"/>
              <w:jc w:val="both"/>
              <w:rPr>
                <w:sz w:val="20"/>
              </w:rPr>
            </w:pPr>
            <w:r>
              <w:rPr>
                <w:sz w:val="20"/>
              </w:rPr>
              <w:t>5,6</w:t>
            </w:r>
          </w:p>
        </w:tc>
        <w:tc>
          <w:tcPr>
            <w:tcW w:w="1247" w:type="dxa"/>
          </w:tcPr>
          <w:p w:rsidR="00000000" w:rsidRDefault="00000000">
            <w:pPr>
              <w:tabs>
                <w:tab w:val="decimal" w:pos="624"/>
              </w:tabs>
              <w:spacing w:before="20" w:after="20"/>
              <w:jc w:val="both"/>
              <w:rPr>
                <w:sz w:val="20"/>
              </w:rPr>
            </w:pPr>
            <w:r>
              <w:rPr>
                <w:sz w:val="20"/>
              </w:rPr>
              <w:t>7,5</w:t>
            </w:r>
          </w:p>
        </w:tc>
        <w:tc>
          <w:tcPr>
            <w:tcW w:w="1247" w:type="dxa"/>
          </w:tcPr>
          <w:p w:rsidR="00000000" w:rsidRDefault="00000000">
            <w:pPr>
              <w:tabs>
                <w:tab w:val="decimal" w:pos="624"/>
              </w:tabs>
              <w:spacing w:before="20" w:after="20"/>
              <w:jc w:val="both"/>
              <w:rPr>
                <w:sz w:val="20"/>
              </w:rPr>
            </w:pPr>
            <w:r>
              <w:rPr>
                <w:sz w:val="20"/>
              </w:rPr>
              <w:t>1,7</w:t>
            </w:r>
          </w:p>
        </w:tc>
      </w:tr>
      <w:tr w:rsidR="00000000">
        <w:tblPrEx>
          <w:tblCellMar>
            <w:top w:w="0" w:type="dxa"/>
            <w:bottom w:w="0" w:type="dxa"/>
          </w:tblCellMar>
        </w:tblPrEx>
        <w:trPr>
          <w:jc w:val="center"/>
        </w:trPr>
        <w:tc>
          <w:tcPr>
            <w:tcW w:w="5103" w:type="dxa"/>
          </w:tcPr>
          <w:p w:rsidR="00000000" w:rsidRDefault="00000000">
            <w:pPr>
              <w:tabs>
                <w:tab w:val="left" w:pos="680"/>
              </w:tabs>
              <w:spacing w:before="20" w:after="20"/>
              <w:jc w:val="both"/>
              <w:rPr>
                <w:sz w:val="20"/>
              </w:rPr>
            </w:pPr>
            <w:r>
              <w:rPr>
                <w:sz w:val="20"/>
              </w:rPr>
              <w:t>Финансовые учреждения</w:t>
            </w:r>
          </w:p>
        </w:tc>
        <w:tc>
          <w:tcPr>
            <w:tcW w:w="1247" w:type="dxa"/>
          </w:tcPr>
          <w:p w:rsidR="00000000" w:rsidRDefault="00000000">
            <w:pPr>
              <w:tabs>
                <w:tab w:val="decimal" w:pos="624"/>
              </w:tabs>
              <w:spacing w:before="20" w:after="20"/>
              <w:jc w:val="both"/>
              <w:rPr>
                <w:sz w:val="20"/>
              </w:rPr>
            </w:pPr>
            <w:r>
              <w:rPr>
                <w:sz w:val="20"/>
              </w:rPr>
              <w:t>5,0</w:t>
            </w:r>
          </w:p>
        </w:tc>
        <w:tc>
          <w:tcPr>
            <w:tcW w:w="1247" w:type="dxa"/>
          </w:tcPr>
          <w:p w:rsidR="00000000" w:rsidRDefault="00000000">
            <w:pPr>
              <w:tabs>
                <w:tab w:val="decimal" w:pos="624"/>
              </w:tabs>
              <w:spacing w:before="20" w:after="20"/>
              <w:jc w:val="both"/>
              <w:rPr>
                <w:sz w:val="20"/>
              </w:rPr>
            </w:pPr>
            <w:r>
              <w:rPr>
                <w:sz w:val="20"/>
              </w:rPr>
              <w:t>5,1</w:t>
            </w:r>
          </w:p>
        </w:tc>
        <w:tc>
          <w:tcPr>
            <w:tcW w:w="1247" w:type="dxa"/>
          </w:tcPr>
          <w:p w:rsidR="00000000" w:rsidRDefault="00000000">
            <w:pPr>
              <w:tabs>
                <w:tab w:val="decimal" w:pos="624"/>
              </w:tabs>
              <w:spacing w:before="20" w:after="20"/>
              <w:jc w:val="both"/>
              <w:rPr>
                <w:sz w:val="20"/>
              </w:rPr>
            </w:pPr>
            <w:r>
              <w:rPr>
                <w:sz w:val="20"/>
              </w:rPr>
              <w:t>4,7</w:t>
            </w:r>
          </w:p>
        </w:tc>
      </w:tr>
      <w:tr w:rsidR="00000000">
        <w:tblPrEx>
          <w:tblCellMar>
            <w:top w:w="0" w:type="dxa"/>
            <w:bottom w:w="0" w:type="dxa"/>
          </w:tblCellMar>
        </w:tblPrEx>
        <w:trPr>
          <w:jc w:val="center"/>
        </w:trPr>
        <w:tc>
          <w:tcPr>
            <w:tcW w:w="5103" w:type="dxa"/>
          </w:tcPr>
          <w:p w:rsidR="00000000" w:rsidRDefault="00000000">
            <w:pPr>
              <w:tabs>
                <w:tab w:val="left" w:pos="680"/>
              </w:tabs>
              <w:spacing w:before="20" w:after="20"/>
              <w:jc w:val="both"/>
              <w:rPr>
                <w:sz w:val="20"/>
              </w:rPr>
            </w:pPr>
            <w:r>
              <w:rPr>
                <w:sz w:val="20"/>
              </w:rPr>
              <w:t>Социальное и коммунальное обслуживание</w:t>
            </w:r>
          </w:p>
        </w:tc>
        <w:tc>
          <w:tcPr>
            <w:tcW w:w="1247" w:type="dxa"/>
          </w:tcPr>
          <w:p w:rsidR="00000000" w:rsidRDefault="00000000">
            <w:pPr>
              <w:tabs>
                <w:tab w:val="decimal" w:pos="624"/>
              </w:tabs>
              <w:spacing w:before="20" w:after="20"/>
              <w:jc w:val="both"/>
              <w:rPr>
                <w:sz w:val="20"/>
              </w:rPr>
            </w:pPr>
            <w:r>
              <w:rPr>
                <w:sz w:val="20"/>
              </w:rPr>
              <w:t>24,5</w:t>
            </w:r>
          </w:p>
        </w:tc>
        <w:tc>
          <w:tcPr>
            <w:tcW w:w="1247" w:type="dxa"/>
          </w:tcPr>
          <w:p w:rsidR="00000000" w:rsidRDefault="00000000">
            <w:pPr>
              <w:tabs>
                <w:tab w:val="decimal" w:pos="624"/>
              </w:tabs>
              <w:spacing w:before="20" w:after="20"/>
              <w:jc w:val="both"/>
              <w:rPr>
                <w:sz w:val="20"/>
              </w:rPr>
            </w:pPr>
            <w:r>
              <w:rPr>
                <w:sz w:val="20"/>
              </w:rPr>
              <w:t>15,6</w:t>
            </w:r>
          </w:p>
        </w:tc>
        <w:tc>
          <w:tcPr>
            <w:tcW w:w="1247" w:type="dxa"/>
          </w:tcPr>
          <w:p w:rsidR="00000000" w:rsidRDefault="00000000">
            <w:pPr>
              <w:tabs>
                <w:tab w:val="decimal" w:pos="624"/>
              </w:tabs>
              <w:spacing w:before="20" w:after="20"/>
              <w:jc w:val="both"/>
              <w:rPr>
                <w:sz w:val="20"/>
              </w:rPr>
            </w:pPr>
            <w:r>
              <w:rPr>
                <w:sz w:val="20"/>
              </w:rPr>
              <w:t>42,4</w:t>
            </w:r>
          </w:p>
        </w:tc>
      </w:tr>
      <w:tr w:rsidR="00000000">
        <w:tblPrEx>
          <w:tblCellMar>
            <w:top w:w="0" w:type="dxa"/>
            <w:bottom w:w="0" w:type="dxa"/>
          </w:tblCellMar>
        </w:tblPrEx>
        <w:trPr>
          <w:jc w:val="center"/>
        </w:trPr>
        <w:tc>
          <w:tcPr>
            <w:tcW w:w="5103" w:type="dxa"/>
          </w:tcPr>
          <w:p w:rsidR="00000000" w:rsidRDefault="00000000">
            <w:pPr>
              <w:tabs>
                <w:tab w:val="left" w:pos="680"/>
              </w:tabs>
              <w:spacing w:before="20" w:after="20"/>
              <w:jc w:val="both"/>
              <w:rPr>
                <w:sz w:val="20"/>
              </w:rPr>
            </w:pPr>
            <w:r>
              <w:rPr>
                <w:sz w:val="20"/>
              </w:rPr>
              <w:t>Не уточнено</w:t>
            </w:r>
          </w:p>
        </w:tc>
        <w:tc>
          <w:tcPr>
            <w:tcW w:w="1247" w:type="dxa"/>
          </w:tcPr>
          <w:p w:rsidR="00000000" w:rsidRDefault="00000000">
            <w:pPr>
              <w:tabs>
                <w:tab w:val="decimal" w:pos="624"/>
              </w:tabs>
              <w:spacing w:before="20" w:after="20"/>
              <w:jc w:val="both"/>
              <w:rPr>
                <w:sz w:val="20"/>
              </w:rPr>
            </w:pPr>
            <w:r>
              <w:rPr>
                <w:sz w:val="20"/>
              </w:rPr>
              <w:t>0,5</w:t>
            </w:r>
          </w:p>
        </w:tc>
        <w:tc>
          <w:tcPr>
            <w:tcW w:w="1247" w:type="dxa"/>
          </w:tcPr>
          <w:p w:rsidR="00000000" w:rsidRDefault="00000000">
            <w:pPr>
              <w:tabs>
                <w:tab w:val="decimal" w:pos="624"/>
              </w:tabs>
              <w:spacing w:before="20" w:after="20"/>
              <w:jc w:val="both"/>
              <w:rPr>
                <w:sz w:val="20"/>
              </w:rPr>
            </w:pPr>
            <w:r>
              <w:rPr>
                <w:sz w:val="20"/>
              </w:rPr>
              <w:t>0,6</w:t>
            </w:r>
          </w:p>
        </w:tc>
        <w:tc>
          <w:tcPr>
            <w:tcW w:w="1247" w:type="dxa"/>
          </w:tcPr>
          <w:p w:rsidR="00000000" w:rsidRDefault="00000000">
            <w:pPr>
              <w:tabs>
                <w:tab w:val="decimal" w:pos="624"/>
              </w:tabs>
              <w:spacing w:before="20" w:after="20"/>
              <w:jc w:val="both"/>
              <w:rPr>
                <w:sz w:val="20"/>
              </w:rPr>
            </w:pPr>
            <w:r>
              <w:rPr>
                <w:sz w:val="20"/>
              </w:rPr>
              <w:t>0,5</w:t>
            </w:r>
          </w:p>
        </w:tc>
      </w:tr>
      <w:tr w:rsidR="00000000">
        <w:tblPrEx>
          <w:tblCellMar>
            <w:top w:w="0" w:type="dxa"/>
            <w:bottom w:w="0" w:type="dxa"/>
          </w:tblCellMar>
        </w:tblPrEx>
        <w:trPr>
          <w:jc w:val="center"/>
        </w:trPr>
        <w:tc>
          <w:tcPr>
            <w:tcW w:w="5103" w:type="dxa"/>
            <w:tcBorders>
              <w:bottom w:val="single" w:sz="4" w:space="0" w:color="auto"/>
            </w:tcBorders>
          </w:tcPr>
          <w:p w:rsidR="00000000" w:rsidRDefault="00000000">
            <w:pPr>
              <w:tabs>
                <w:tab w:val="left" w:pos="680"/>
              </w:tabs>
              <w:spacing w:before="20" w:after="20"/>
              <w:jc w:val="both"/>
              <w:rPr>
                <w:sz w:val="20"/>
              </w:rPr>
            </w:pPr>
            <w:r>
              <w:rPr>
                <w:sz w:val="20"/>
              </w:rPr>
              <w:t>Те, кто впервые ищет работу</w:t>
            </w:r>
          </w:p>
        </w:tc>
        <w:tc>
          <w:tcPr>
            <w:tcW w:w="1247" w:type="dxa"/>
            <w:tcBorders>
              <w:bottom w:val="single" w:sz="4" w:space="0" w:color="auto"/>
            </w:tcBorders>
          </w:tcPr>
          <w:p w:rsidR="00000000" w:rsidRDefault="00000000">
            <w:pPr>
              <w:tabs>
                <w:tab w:val="decimal" w:pos="624"/>
              </w:tabs>
              <w:spacing w:before="20" w:after="20"/>
              <w:jc w:val="both"/>
              <w:rPr>
                <w:sz w:val="20"/>
              </w:rPr>
            </w:pPr>
            <w:r>
              <w:rPr>
                <w:sz w:val="20"/>
              </w:rPr>
              <w:t>0,9</w:t>
            </w:r>
          </w:p>
        </w:tc>
        <w:tc>
          <w:tcPr>
            <w:tcW w:w="1247" w:type="dxa"/>
            <w:tcBorders>
              <w:bottom w:val="single" w:sz="4" w:space="0" w:color="auto"/>
            </w:tcBorders>
          </w:tcPr>
          <w:p w:rsidR="00000000" w:rsidRDefault="00000000">
            <w:pPr>
              <w:tabs>
                <w:tab w:val="decimal" w:pos="624"/>
              </w:tabs>
              <w:spacing w:before="20" w:after="20"/>
              <w:jc w:val="both"/>
              <w:rPr>
                <w:sz w:val="20"/>
              </w:rPr>
            </w:pPr>
            <w:r>
              <w:rPr>
                <w:sz w:val="20"/>
              </w:rPr>
              <w:t>0,6</w:t>
            </w:r>
          </w:p>
        </w:tc>
        <w:tc>
          <w:tcPr>
            <w:tcW w:w="1247" w:type="dxa"/>
            <w:tcBorders>
              <w:bottom w:val="single" w:sz="4" w:space="0" w:color="auto"/>
            </w:tcBorders>
          </w:tcPr>
          <w:p w:rsidR="00000000" w:rsidRDefault="00000000">
            <w:pPr>
              <w:tabs>
                <w:tab w:val="decimal" w:pos="624"/>
              </w:tabs>
              <w:spacing w:before="20" w:after="20"/>
              <w:jc w:val="both"/>
              <w:rPr>
                <w:sz w:val="20"/>
              </w:rPr>
            </w:pPr>
            <w:r>
              <w:rPr>
                <w:sz w:val="20"/>
              </w:rPr>
              <w:t>1,5</w:t>
            </w:r>
          </w:p>
        </w:tc>
      </w:tr>
    </w:tbl>
    <w:p w:rsidR="00000000" w:rsidRDefault="00000000">
      <w:pPr>
        <w:tabs>
          <w:tab w:val="left" w:pos="680"/>
        </w:tabs>
        <w:spacing w:before="120"/>
        <w:jc w:val="both"/>
        <w:rPr>
          <w:sz w:val="20"/>
        </w:rPr>
      </w:pPr>
      <w:r>
        <w:rPr>
          <w:b/>
          <w:sz w:val="20"/>
        </w:rPr>
        <w:t>Источник:</w:t>
      </w:r>
      <w:r>
        <w:rPr>
          <w:sz w:val="20"/>
        </w:rPr>
        <w:t xml:space="preserve"> ИНЕК–МТСС. Многоцелевой опрос семей. Данные за несколько лет.</w:t>
      </w:r>
    </w:p>
    <w:p w:rsidR="00000000" w:rsidRDefault="00000000">
      <w:pPr>
        <w:tabs>
          <w:tab w:val="left" w:pos="680"/>
        </w:tabs>
        <w:spacing w:before="240" w:line="260" w:lineRule="exact"/>
        <w:jc w:val="both"/>
        <w:rPr>
          <w:sz w:val="22"/>
        </w:rPr>
      </w:pPr>
      <w:r>
        <w:rPr>
          <w:sz w:val="22"/>
        </w:rPr>
        <w:t>348.</w:t>
      </w:r>
      <w:r>
        <w:rPr>
          <w:sz w:val="22"/>
        </w:rPr>
        <w:tab/>
        <w:t>Как видно из таблицы, женщины заняты в основном в секторе социальных, коммунальных и индивидуальных услуг (42,4 процента) и в торговле (27 процентов).</w:t>
      </w:r>
    </w:p>
    <w:p w:rsidR="00000000" w:rsidRDefault="00000000">
      <w:pPr>
        <w:tabs>
          <w:tab w:val="left" w:pos="680"/>
        </w:tabs>
        <w:spacing w:before="240" w:line="260" w:lineRule="exact"/>
        <w:jc w:val="both"/>
        <w:rPr>
          <w:sz w:val="22"/>
        </w:rPr>
      </w:pPr>
      <w:r>
        <w:rPr>
          <w:sz w:val="22"/>
        </w:rPr>
        <w:t>349. Известно, что в аграрном секторе большая часть труда женщин принимает форму скрытой занятости, прежде всего из-за того, что деятельность по обеспечению самопотребления не декларируется. Если бы эта деятельность декларировалась, относительное число женщин, занятых в аграрном секторе, могло бы быть выше (</w:t>
      </w:r>
      <w:r>
        <w:rPr>
          <w:sz w:val="22"/>
          <w:lang w:val="en-US"/>
        </w:rPr>
        <w:t>Trejos</w:t>
      </w:r>
      <w:r>
        <w:rPr>
          <w:sz w:val="22"/>
        </w:rPr>
        <w:t>, 2000).</w:t>
      </w:r>
    </w:p>
    <w:p w:rsidR="00000000" w:rsidRDefault="00000000">
      <w:pPr>
        <w:tabs>
          <w:tab w:val="left" w:pos="680"/>
        </w:tabs>
        <w:spacing w:line="260" w:lineRule="exact"/>
        <w:jc w:val="both"/>
        <w:rPr>
          <w:sz w:val="22"/>
        </w:rPr>
      </w:pPr>
    </w:p>
    <w:p w:rsidR="00000000" w:rsidRDefault="00000000">
      <w:pPr>
        <w:pStyle w:val="Heading1"/>
        <w:tabs>
          <w:tab w:val="left" w:pos="680"/>
        </w:tabs>
        <w:spacing w:before="240" w:line="260" w:lineRule="exact"/>
        <w:jc w:val="both"/>
        <w:rPr>
          <w:sz w:val="22"/>
        </w:rPr>
      </w:pPr>
      <w:r>
        <w:rPr>
          <w:sz w:val="22"/>
        </w:rPr>
        <w:t>Сокращение различий в заработной плате мужчин и женщин</w:t>
      </w:r>
    </w:p>
    <w:p w:rsidR="00000000" w:rsidRDefault="00000000">
      <w:pPr>
        <w:tabs>
          <w:tab w:val="left" w:pos="680"/>
        </w:tabs>
        <w:spacing w:before="240" w:line="260" w:lineRule="exact"/>
        <w:jc w:val="both"/>
        <w:rPr>
          <w:sz w:val="22"/>
        </w:rPr>
      </w:pPr>
      <w:r>
        <w:rPr>
          <w:sz w:val="22"/>
        </w:rPr>
        <w:t xml:space="preserve">350. </w:t>
      </w:r>
      <w:r>
        <w:rPr>
          <w:sz w:val="22"/>
        </w:rPr>
        <w:tab/>
        <w:t>Отмечаются различия между мужчинами и женщинами в уровне доходов экономически активного населения. Существующие различия, неблагоприятные для женщин, имеют тенденцию к сокращению для всех работающих, хотя в 1999 году опять было отмечено, что женщины получают меньшую почасовую заработную плату. Общая тенденция к выравниванию заработной платы по-разному проявляла себя для тех, чья рабочая неделя равна различному количеству рабочих часов, для разных групп занятости и на различных уровнях образования (проект "Состояние нации", 2001 год).</w:t>
      </w:r>
    </w:p>
    <w:p w:rsidR="00000000" w:rsidRDefault="00000000">
      <w:pPr>
        <w:tabs>
          <w:tab w:val="left" w:pos="680"/>
        </w:tabs>
        <w:spacing w:before="240" w:line="260" w:lineRule="exact"/>
        <w:jc w:val="both"/>
        <w:rPr>
          <w:sz w:val="22"/>
        </w:rPr>
      </w:pPr>
      <w:r>
        <w:rPr>
          <w:sz w:val="22"/>
        </w:rPr>
        <w:t xml:space="preserve">351. </w:t>
      </w:r>
      <w:r>
        <w:rPr>
          <w:sz w:val="22"/>
        </w:rPr>
        <w:tab/>
        <w:t>Принимая во внимание количество рабочих часов, средняя почасовая заработная плата женщин была ниже почасовой заработной платы мужчин при занятости полную рабочую неделю (48 часов), в то время как почасовая заработная плата женщин была выше при занятости от половины (от 24 до 36 часов) до полной рабочей недели (от 36 до 48 часов). Это объясняется тем, что среди женщин, работающих неполную рабочую неделю, число специалистов и руководящих работников выше, чем среди мужчин на этих должностях, также работающих неполную неделю. В 1999 году 25 процентов женщин, работающих половину рабочей недели, были специалистами или руководителями, в то время как среди мужчин число работающих на таких же условиях достигало только 12,8 процента. Среди занятых полную рабочую неделю женщины составляют 28 процентов специалистов или руководящих работников, а мужчины – 15,7 процента. По уровню образования подобное соотношение наблюдалось среди работающих с высшим образованием.</w:t>
      </w:r>
    </w:p>
    <w:p w:rsidR="00000000" w:rsidRDefault="00000000">
      <w:pPr>
        <w:tabs>
          <w:tab w:val="left" w:pos="680"/>
        </w:tabs>
        <w:spacing w:before="240" w:line="260" w:lineRule="exact"/>
        <w:jc w:val="center"/>
        <w:rPr>
          <w:b/>
          <w:sz w:val="22"/>
        </w:rPr>
      </w:pPr>
      <w:r>
        <w:rPr>
          <w:b/>
          <w:sz w:val="22"/>
        </w:rPr>
        <w:t>Таблица 10</w:t>
      </w:r>
    </w:p>
    <w:p w:rsidR="00000000" w:rsidRDefault="00000000">
      <w:pPr>
        <w:tabs>
          <w:tab w:val="left" w:pos="680"/>
        </w:tabs>
        <w:spacing w:before="120" w:after="120" w:line="260" w:lineRule="exact"/>
        <w:jc w:val="center"/>
        <w:rPr>
          <w:b/>
          <w:sz w:val="22"/>
        </w:rPr>
      </w:pPr>
      <w:r>
        <w:rPr>
          <w:b/>
          <w:sz w:val="22"/>
        </w:rPr>
        <w:t xml:space="preserve">Соотношение средней почасовой заработной платы женщин и мужчин </w:t>
      </w:r>
      <w:r>
        <w:rPr>
          <w:b/>
          <w:sz w:val="22"/>
        </w:rPr>
        <w:br/>
        <w:t>с разбивкой по уровню образования, 1990, 1995, 1996–1999 годы</w:t>
      </w:r>
    </w:p>
    <w:tbl>
      <w:tblPr>
        <w:tblW w:w="0" w:type="auto"/>
        <w:jc w:val="center"/>
        <w:tblLayout w:type="fixed"/>
        <w:tblCellMar>
          <w:left w:w="56" w:type="dxa"/>
          <w:right w:w="56" w:type="dxa"/>
        </w:tblCellMar>
        <w:tblLook w:val="0000" w:firstRow="0" w:lastRow="0" w:firstColumn="0" w:lastColumn="0" w:noHBand="0" w:noVBand="0"/>
      </w:tblPr>
      <w:tblGrid>
        <w:gridCol w:w="3062"/>
        <w:gridCol w:w="964"/>
        <w:gridCol w:w="964"/>
        <w:gridCol w:w="964"/>
        <w:gridCol w:w="964"/>
        <w:gridCol w:w="964"/>
        <w:gridCol w:w="964"/>
      </w:tblGrid>
      <w:tr w:rsidR="00000000">
        <w:tblPrEx>
          <w:tblCellMar>
            <w:top w:w="0" w:type="dxa"/>
            <w:bottom w:w="0" w:type="dxa"/>
          </w:tblCellMar>
        </w:tblPrEx>
        <w:trPr>
          <w:jc w:val="center"/>
        </w:trPr>
        <w:tc>
          <w:tcPr>
            <w:tcW w:w="3062" w:type="dxa"/>
            <w:tcBorders>
              <w:top w:val="single" w:sz="4" w:space="0" w:color="auto"/>
              <w:bottom w:val="single" w:sz="4" w:space="0" w:color="auto"/>
            </w:tcBorders>
          </w:tcPr>
          <w:p w:rsidR="00000000" w:rsidRDefault="00000000">
            <w:pPr>
              <w:tabs>
                <w:tab w:val="left" w:pos="680"/>
              </w:tabs>
              <w:spacing w:before="40" w:after="40"/>
              <w:rPr>
                <w:b/>
                <w:sz w:val="20"/>
              </w:rPr>
            </w:pPr>
            <w:r>
              <w:rPr>
                <w:b/>
                <w:sz w:val="20"/>
              </w:rPr>
              <w:t>Уровень образования</w:t>
            </w:r>
          </w:p>
        </w:tc>
        <w:tc>
          <w:tcPr>
            <w:tcW w:w="964" w:type="dxa"/>
            <w:tcBorders>
              <w:top w:val="single" w:sz="4" w:space="0" w:color="auto"/>
              <w:bottom w:val="single" w:sz="4" w:space="0" w:color="auto"/>
            </w:tcBorders>
          </w:tcPr>
          <w:p w:rsidR="00000000" w:rsidRDefault="00000000">
            <w:pPr>
              <w:tabs>
                <w:tab w:val="left" w:pos="680"/>
              </w:tabs>
              <w:spacing w:before="40" w:after="40"/>
              <w:jc w:val="center"/>
              <w:rPr>
                <w:b/>
                <w:sz w:val="20"/>
              </w:rPr>
            </w:pPr>
            <w:r>
              <w:rPr>
                <w:b/>
                <w:sz w:val="20"/>
              </w:rPr>
              <w:t>1990</w:t>
            </w:r>
          </w:p>
        </w:tc>
        <w:tc>
          <w:tcPr>
            <w:tcW w:w="964" w:type="dxa"/>
            <w:tcBorders>
              <w:top w:val="single" w:sz="4" w:space="0" w:color="auto"/>
              <w:bottom w:val="single" w:sz="4" w:space="0" w:color="auto"/>
            </w:tcBorders>
          </w:tcPr>
          <w:p w:rsidR="00000000" w:rsidRDefault="00000000">
            <w:pPr>
              <w:tabs>
                <w:tab w:val="left" w:pos="680"/>
              </w:tabs>
              <w:spacing w:before="40" w:after="40"/>
              <w:jc w:val="center"/>
              <w:rPr>
                <w:b/>
                <w:sz w:val="20"/>
              </w:rPr>
            </w:pPr>
            <w:r>
              <w:rPr>
                <w:b/>
                <w:sz w:val="20"/>
              </w:rPr>
              <w:t>1995</w:t>
            </w:r>
          </w:p>
        </w:tc>
        <w:tc>
          <w:tcPr>
            <w:tcW w:w="964" w:type="dxa"/>
            <w:tcBorders>
              <w:top w:val="single" w:sz="4" w:space="0" w:color="auto"/>
              <w:bottom w:val="single" w:sz="4" w:space="0" w:color="auto"/>
            </w:tcBorders>
          </w:tcPr>
          <w:p w:rsidR="00000000" w:rsidRDefault="00000000">
            <w:pPr>
              <w:tabs>
                <w:tab w:val="left" w:pos="680"/>
              </w:tabs>
              <w:spacing w:before="40" w:after="40"/>
              <w:jc w:val="center"/>
              <w:rPr>
                <w:b/>
                <w:sz w:val="20"/>
              </w:rPr>
            </w:pPr>
            <w:r>
              <w:rPr>
                <w:b/>
                <w:sz w:val="20"/>
              </w:rPr>
              <w:t>1996</w:t>
            </w:r>
          </w:p>
        </w:tc>
        <w:tc>
          <w:tcPr>
            <w:tcW w:w="964" w:type="dxa"/>
            <w:tcBorders>
              <w:top w:val="single" w:sz="4" w:space="0" w:color="auto"/>
              <w:bottom w:val="single" w:sz="4" w:space="0" w:color="auto"/>
            </w:tcBorders>
          </w:tcPr>
          <w:p w:rsidR="00000000" w:rsidRDefault="00000000">
            <w:pPr>
              <w:tabs>
                <w:tab w:val="left" w:pos="680"/>
              </w:tabs>
              <w:spacing w:before="40" w:after="40"/>
              <w:jc w:val="center"/>
              <w:rPr>
                <w:b/>
                <w:sz w:val="20"/>
              </w:rPr>
            </w:pPr>
            <w:r>
              <w:rPr>
                <w:b/>
                <w:sz w:val="20"/>
              </w:rPr>
              <w:t>1997</w:t>
            </w:r>
          </w:p>
        </w:tc>
        <w:tc>
          <w:tcPr>
            <w:tcW w:w="964" w:type="dxa"/>
            <w:tcBorders>
              <w:top w:val="single" w:sz="4" w:space="0" w:color="auto"/>
              <w:bottom w:val="single" w:sz="4" w:space="0" w:color="auto"/>
            </w:tcBorders>
          </w:tcPr>
          <w:p w:rsidR="00000000" w:rsidRDefault="00000000">
            <w:pPr>
              <w:tabs>
                <w:tab w:val="left" w:pos="680"/>
              </w:tabs>
              <w:spacing w:before="40" w:after="40"/>
              <w:jc w:val="center"/>
              <w:rPr>
                <w:b/>
                <w:sz w:val="20"/>
              </w:rPr>
            </w:pPr>
            <w:r>
              <w:rPr>
                <w:b/>
                <w:sz w:val="20"/>
              </w:rPr>
              <w:t>1998</w:t>
            </w:r>
          </w:p>
        </w:tc>
        <w:tc>
          <w:tcPr>
            <w:tcW w:w="964" w:type="dxa"/>
            <w:tcBorders>
              <w:top w:val="single" w:sz="4" w:space="0" w:color="auto"/>
              <w:bottom w:val="single" w:sz="4" w:space="0" w:color="auto"/>
            </w:tcBorders>
          </w:tcPr>
          <w:p w:rsidR="00000000" w:rsidRDefault="00000000">
            <w:pPr>
              <w:tabs>
                <w:tab w:val="left" w:pos="680"/>
              </w:tabs>
              <w:spacing w:before="40" w:after="40"/>
              <w:jc w:val="center"/>
              <w:rPr>
                <w:b/>
                <w:sz w:val="20"/>
              </w:rPr>
            </w:pPr>
            <w:r>
              <w:rPr>
                <w:b/>
                <w:sz w:val="20"/>
              </w:rPr>
              <w:t>1999</w:t>
            </w:r>
          </w:p>
        </w:tc>
      </w:tr>
      <w:tr w:rsidR="00000000">
        <w:tblPrEx>
          <w:tblCellMar>
            <w:top w:w="0" w:type="dxa"/>
            <w:bottom w:w="0" w:type="dxa"/>
          </w:tblCellMar>
        </w:tblPrEx>
        <w:trPr>
          <w:jc w:val="center"/>
        </w:trPr>
        <w:tc>
          <w:tcPr>
            <w:tcW w:w="3062" w:type="dxa"/>
            <w:tcBorders>
              <w:top w:val="single" w:sz="4" w:space="0" w:color="auto"/>
            </w:tcBorders>
          </w:tcPr>
          <w:p w:rsidR="00000000" w:rsidRDefault="00000000">
            <w:pPr>
              <w:pStyle w:val="Header"/>
              <w:tabs>
                <w:tab w:val="clear" w:pos="4677"/>
                <w:tab w:val="clear" w:pos="9355"/>
                <w:tab w:val="left" w:pos="680"/>
              </w:tabs>
              <w:spacing w:before="40" w:after="40"/>
              <w:rPr>
                <w:sz w:val="20"/>
              </w:rPr>
            </w:pPr>
            <w:r>
              <w:rPr>
                <w:sz w:val="20"/>
              </w:rPr>
              <w:t>Без образования</w:t>
            </w:r>
          </w:p>
        </w:tc>
        <w:tc>
          <w:tcPr>
            <w:tcW w:w="964" w:type="dxa"/>
            <w:tcBorders>
              <w:top w:val="single" w:sz="4" w:space="0" w:color="auto"/>
            </w:tcBorders>
          </w:tcPr>
          <w:p w:rsidR="00000000" w:rsidRDefault="00000000">
            <w:pPr>
              <w:tabs>
                <w:tab w:val="left" w:pos="680"/>
              </w:tabs>
              <w:spacing w:before="40" w:after="40"/>
              <w:jc w:val="center"/>
              <w:rPr>
                <w:sz w:val="20"/>
              </w:rPr>
            </w:pPr>
            <w:r>
              <w:rPr>
                <w:sz w:val="20"/>
              </w:rPr>
              <w:t>67,6</w:t>
            </w:r>
          </w:p>
        </w:tc>
        <w:tc>
          <w:tcPr>
            <w:tcW w:w="964" w:type="dxa"/>
            <w:tcBorders>
              <w:top w:val="single" w:sz="4" w:space="0" w:color="auto"/>
            </w:tcBorders>
          </w:tcPr>
          <w:p w:rsidR="00000000" w:rsidRDefault="00000000">
            <w:pPr>
              <w:tabs>
                <w:tab w:val="left" w:pos="680"/>
              </w:tabs>
              <w:spacing w:before="40" w:after="40"/>
              <w:jc w:val="center"/>
              <w:rPr>
                <w:sz w:val="20"/>
              </w:rPr>
            </w:pPr>
            <w:r>
              <w:rPr>
                <w:sz w:val="20"/>
              </w:rPr>
              <w:t>73,3</w:t>
            </w:r>
          </w:p>
        </w:tc>
        <w:tc>
          <w:tcPr>
            <w:tcW w:w="964" w:type="dxa"/>
            <w:tcBorders>
              <w:top w:val="single" w:sz="4" w:space="0" w:color="auto"/>
            </w:tcBorders>
          </w:tcPr>
          <w:p w:rsidR="00000000" w:rsidRDefault="00000000">
            <w:pPr>
              <w:tabs>
                <w:tab w:val="left" w:pos="680"/>
              </w:tabs>
              <w:spacing w:before="40" w:after="40"/>
              <w:jc w:val="center"/>
              <w:rPr>
                <w:sz w:val="20"/>
              </w:rPr>
            </w:pPr>
            <w:r>
              <w:rPr>
                <w:sz w:val="20"/>
              </w:rPr>
              <w:t>94,1</w:t>
            </w:r>
          </w:p>
        </w:tc>
        <w:tc>
          <w:tcPr>
            <w:tcW w:w="964" w:type="dxa"/>
            <w:tcBorders>
              <w:top w:val="single" w:sz="4" w:space="0" w:color="auto"/>
            </w:tcBorders>
          </w:tcPr>
          <w:p w:rsidR="00000000" w:rsidRDefault="00000000">
            <w:pPr>
              <w:tabs>
                <w:tab w:val="left" w:pos="680"/>
              </w:tabs>
              <w:spacing w:before="40" w:after="40"/>
              <w:jc w:val="center"/>
              <w:rPr>
                <w:sz w:val="20"/>
              </w:rPr>
            </w:pPr>
            <w:r>
              <w:rPr>
                <w:sz w:val="20"/>
              </w:rPr>
              <w:t>92,3</w:t>
            </w:r>
          </w:p>
        </w:tc>
        <w:tc>
          <w:tcPr>
            <w:tcW w:w="964" w:type="dxa"/>
            <w:tcBorders>
              <w:top w:val="single" w:sz="4" w:space="0" w:color="auto"/>
            </w:tcBorders>
          </w:tcPr>
          <w:p w:rsidR="00000000" w:rsidRDefault="00000000">
            <w:pPr>
              <w:tabs>
                <w:tab w:val="left" w:pos="680"/>
              </w:tabs>
              <w:spacing w:before="40" w:after="40"/>
              <w:jc w:val="center"/>
              <w:rPr>
                <w:sz w:val="20"/>
              </w:rPr>
            </w:pPr>
            <w:r>
              <w:rPr>
                <w:sz w:val="20"/>
              </w:rPr>
              <w:t>68,2</w:t>
            </w:r>
          </w:p>
        </w:tc>
        <w:tc>
          <w:tcPr>
            <w:tcW w:w="964" w:type="dxa"/>
            <w:tcBorders>
              <w:top w:val="single" w:sz="4" w:space="0" w:color="auto"/>
            </w:tcBorders>
          </w:tcPr>
          <w:p w:rsidR="00000000" w:rsidRDefault="00000000">
            <w:pPr>
              <w:tabs>
                <w:tab w:val="left" w:pos="680"/>
              </w:tabs>
              <w:spacing w:before="40" w:after="40"/>
              <w:jc w:val="center"/>
              <w:rPr>
                <w:sz w:val="20"/>
              </w:rPr>
            </w:pPr>
            <w:r>
              <w:rPr>
                <w:sz w:val="20"/>
              </w:rPr>
              <w:t>73,7</w:t>
            </w:r>
          </w:p>
        </w:tc>
      </w:tr>
      <w:tr w:rsidR="00000000">
        <w:tblPrEx>
          <w:tblCellMar>
            <w:top w:w="0" w:type="dxa"/>
            <w:bottom w:w="0" w:type="dxa"/>
          </w:tblCellMar>
        </w:tblPrEx>
        <w:trPr>
          <w:jc w:val="center"/>
        </w:trPr>
        <w:tc>
          <w:tcPr>
            <w:tcW w:w="3062" w:type="dxa"/>
          </w:tcPr>
          <w:p w:rsidR="00000000" w:rsidRDefault="00000000">
            <w:pPr>
              <w:tabs>
                <w:tab w:val="left" w:pos="680"/>
              </w:tabs>
              <w:spacing w:before="40" w:after="40"/>
              <w:rPr>
                <w:sz w:val="20"/>
              </w:rPr>
            </w:pPr>
            <w:r>
              <w:rPr>
                <w:sz w:val="20"/>
              </w:rPr>
              <w:t>Неполное начальное</w:t>
            </w:r>
          </w:p>
        </w:tc>
        <w:tc>
          <w:tcPr>
            <w:tcW w:w="964" w:type="dxa"/>
          </w:tcPr>
          <w:p w:rsidR="00000000" w:rsidRDefault="00000000">
            <w:pPr>
              <w:tabs>
                <w:tab w:val="left" w:pos="680"/>
              </w:tabs>
              <w:spacing w:before="40" w:after="40"/>
              <w:jc w:val="center"/>
              <w:rPr>
                <w:sz w:val="20"/>
              </w:rPr>
            </w:pPr>
            <w:r>
              <w:rPr>
                <w:sz w:val="20"/>
              </w:rPr>
              <w:t>71,3</w:t>
            </w:r>
          </w:p>
        </w:tc>
        <w:tc>
          <w:tcPr>
            <w:tcW w:w="964" w:type="dxa"/>
          </w:tcPr>
          <w:p w:rsidR="00000000" w:rsidRDefault="00000000">
            <w:pPr>
              <w:tabs>
                <w:tab w:val="left" w:pos="680"/>
              </w:tabs>
              <w:spacing w:before="40" w:after="40"/>
              <w:jc w:val="center"/>
              <w:rPr>
                <w:sz w:val="20"/>
              </w:rPr>
            </w:pPr>
            <w:r>
              <w:rPr>
                <w:sz w:val="20"/>
              </w:rPr>
              <w:t>79,5</w:t>
            </w:r>
          </w:p>
        </w:tc>
        <w:tc>
          <w:tcPr>
            <w:tcW w:w="964" w:type="dxa"/>
          </w:tcPr>
          <w:p w:rsidR="00000000" w:rsidRDefault="00000000">
            <w:pPr>
              <w:tabs>
                <w:tab w:val="left" w:pos="680"/>
              </w:tabs>
              <w:spacing w:before="40" w:after="40"/>
              <w:jc w:val="center"/>
              <w:rPr>
                <w:sz w:val="20"/>
              </w:rPr>
            </w:pPr>
            <w:r>
              <w:rPr>
                <w:sz w:val="20"/>
              </w:rPr>
              <w:t>79,6</w:t>
            </w:r>
          </w:p>
        </w:tc>
        <w:tc>
          <w:tcPr>
            <w:tcW w:w="964" w:type="dxa"/>
          </w:tcPr>
          <w:p w:rsidR="00000000" w:rsidRDefault="00000000">
            <w:pPr>
              <w:tabs>
                <w:tab w:val="left" w:pos="680"/>
              </w:tabs>
              <w:spacing w:before="40" w:after="40"/>
              <w:jc w:val="center"/>
              <w:rPr>
                <w:sz w:val="20"/>
              </w:rPr>
            </w:pPr>
            <w:r>
              <w:rPr>
                <w:sz w:val="20"/>
              </w:rPr>
              <w:t>77,6</w:t>
            </w:r>
          </w:p>
        </w:tc>
        <w:tc>
          <w:tcPr>
            <w:tcW w:w="964" w:type="dxa"/>
          </w:tcPr>
          <w:p w:rsidR="00000000" w:rsidRDefault="00000000">
            <w:pPr>
              <w:tabs>
                <w:tab w:val="left" w:pos="680"/>
              </w:tabs>
              <w:spacing w:before="40" w:after="40"/>
              <w:jc w:val="center"/>
              <w:rPr>
                <w:sz w:val="20"/>
              </w:rPr>
            </w:pPr>
            <w:r>
              <w:rPr>
                <w:sz w:val="20"/>
              </w:rPr>
              <w:t>80,7</w:t>
            </w:r>
          </w:p>
        </w:tc>
        <w:tc>
          <w:tcPr>
            <w:tcW w:w="964" w:type="dxa"/>
          </w:tcPr>
          <w:p w:rsidR="00000000" w:rsidRDefault="00000000">
            <w:pPr>
              <w:tabs>
                <w:tab w:val="left" w:pos="680"/>
              </w:tabs>
              <w:spacing w:before="40" w:after="40"/>
              <w:jc w:val="center"/>
              <w:rPr>
                <w:sz w:val="20"/>
              </w:rPr>
            </w:pPr>
            <w:r>
              <w:rPr>
                <w:sz w:val="20"/>
              </w:rPr>
              <w:t>82,0</w:t>
            </w:r>
          </w:p>
        </w:tc>
      </w:tr>
      <w:tr w:rsidR="00000000">
        <w:tblPrEx>
          <w:tblCellMar>
            <w:top w:w="0" w:type="dxa"/>
            <w:bottom w:w="0" w:type="dxa"/>
          </w:tblCellMar>
        </w:tblPrEx>
        <w:trPr>
          <w:jc w:val="center"/>
        </w:trPr>
        <w:tc>
          <w:tcPr>
            <w:tcW w:w="3062" w:type="dxa"/>
          </w:tcPr>
          <w:p w:rsidR="00000000" w:rsidRDefault="00000000">
            <w:pPr>
              <w:tabs>
                <w:tab w:val="left" w:pos="680"/>
              </w:tabs>
              <w:spacing w:before="40" w:after="40"/>
              <w:rPr>
                <w:sz w:val="20"/>
              </w:rPr>
            </w:pPr>
            <w:r>
              <w:rPr>
                <w:sz w:val="20"/>
              </w:rPr>
              <w:t>Полное начальное</w:t>
            </w:r>
          </w:p>
        </w:tc>
        <w:tc>
          <w:tcPr>
            <w:tcW w:w="964" w:type="dxa"/>
          </w:tcPr>
          <w:p w:rsidR="00000000" w:rsidRDefault="00000000">
            <w:pPr>
              <w:tabs>
                <w:tab w:val="left" w:pos="680"/>
              </w:tabs>
              <w:spacing w:before="40" w:after="40"/>
              <w:jc w:val="center"/>
              <w:rPr>
                <w:sz w:val="20"/>
              </w:rPr>
            </w:pPr>
            <w:r>
              <w:rPr>
                <w:sz w:val="20"/>
              </w:rPr>
              <w:t>77,1</w:t>
            </w:r>
          </w:p>
        </w:tc>
        <w:tc>
          <w:tcPr>
            <w:tcW w:w="964" w:type="dxa"/>
          </w:tcPr>
          <w:p w:rsidR="00000000" w:rsidRDefault="00000000">
            <w:pPr>
              <w:tabs>
                <w:tab w:val="left" w:pos="680"/>
              </w:tabs>
              <w:spacing w:before="40" w:after="40"/>
              <w:jc w:val="center"/>
              <w:rPr>
                <w:sz w:val="20"/>
              </w:rPr>
            </w:pPr>
            <w:r>
              <w:rPr>
                <w:sz w:val="20"/>
              </w:rPr>
              <w:t>78,1</w:t>
            </w:r>
          </w:p>
        </w:tc>
        <w:tc>
          <w:tcPr>
            <w:tcW w:w="964" w:type="dxa"/>
          </w:tcPr>
          <w:p w:rsidR="00000000" w:rsidRDefault="00000000">
            <w:pPr>
              <w:tabs>
                <w:tab w:val="left" w:pos="680"/>
              </w:tabs>
              <w:spacing w:before="40" w:after="40"/>
              <w:jc w:val="center"/>
              <w:rPr>
                <w:sz w:val="20"/>
              </w:rPr>
            </w:pPr>
            <w:r>
              <w:rPr>
                <w:sz w:val="20"/>
              </w:rPr>
              <w:t>83,5</w:t>
            </w:r>
          </w:p>
        </w:tc>
        <w:tc>
          <w:tcPr>
            <w:tcW w:w="964" w:type="dxa"/>
          </w:tcPr>
          <w:p w:rsidR="00000000" w:rsidRDefault="00000000">
            <w:pPr>
              <w:tabs>
                <w:tab w:val="left" w:pos="680"/>
              </w:tabs>
              <w:spacing w:before="40" w:after="40"/>
              <w:jc w:val="center"/>
              <w:rPr>
                <w:sz w:val="20"/>
              </w:rPr>
            </w:pPr>
            <w:r>
              <w:rPr>
                <w:sz w:val="20"/>
              </w:rPr>
              <w:t>82,0</w:t>
            </w:r>
          </w:p>
        </w:tc>
        <w:tc>
          <w:tcPr>
            <w:tcW w:w="964" w:type="dxa"/>
          </w:tcPr>
          <w:p w:rsidR="00000000" w:rsidRDefault="00000000">
            <w:pPr>
              <w:tabs>
                <w:tab w:val="left" w:pos="680"/>
              </w:tabs>
              <w:spacing w:before="40" w:after="40"/>
              <w:jc w:val="center"/>
              <w:rPr>
                <w:sz w:val="20"/>
              </w:rPr>
            </w:pPr>
            <w:r>
              <w:rPr>
                <w:sz w:val="20"/>
              </w:rPr>
              <w:t>81,8</w:t>
            </w:r>
          </w:p>
        </w:tc>
        <w:tc>
          <w:tcPr>
            <w:tcW w:w="964" w:type="dxa"/>
          </w:tcPr>
          <w:p w:rsidR="00000000" w:rsidRDefault="00000000">
            <w:pPr>
              <w:tabs>
                <w:tab w:val="left" w:pos="680"/>
              </w:tabs>
              <w:spacing w:before="40" w:after="40"/>
              <w:jc w:val="center"/>
              <w:rPr>
                <w:sz w:val="20"/>
              </w:rPr>
            </w:pPr>
            <w:r>
              <w:rPr>
                <w:sz w:val="20"/>
              </w:rPr>
              <w:t>80,4</w:t>
            </w:r>
          </w:p>
        </w:tc>
      </w:tr>
      <w:tr w:rsidR="00000000">
        <w:tblPrEx>
          <w:tblCellMar>
            <w:top w:w="0" w:type="dxa"/>
            <w:bottom w:w="0" w:type="dxa"/>
          </w:tblCellMar>
        </w:tblPrEx>
        <w:trPr>
          <w:jc w:val="center"/>
        </w:trPr>
        <w:tc>
          <w:tcPr>
            <w:tcW w:w="3062" w:type="dxa"/>
          </w:tcPr>
          <w:p w:rsidR="00000000" w:rsidRDefault="00000000">
            <w:pPr>
              <w:tabs>
                <w:tab w:val="left" w:pos="680"/>
              </w:tabs>
              <w:spacing w:before="40" w:after="40"/>
              <w:rPr>
                <w:sz w:val="20"/>
              </w:rPr>
            </w:pPr>
            <w:r>
              <w:rPr>
                <w:sz w:val="20"/>
              </w:rPr>
              <w:t>Незаконченное среднее (академическое и проф.-техн.)</w:t>
            </w:r>
          </w:p>
        </w:tc>
        <w:tc>
          <w:tcPr>
            <w:tcW w:w="964" w:type="dxa"/>
          </w:tcPr>
          <w:p w:rsidR="00000000" w:rsidRDefault="00000000">
            <w:pPr>
              <w:tabs>
                <w:tab w:val="left" w:pos="680"/>
              </w:tabs>
              <w:spacing w:before="40" w:after="40"/>
              <w:jc w:val="center"/>
              <w:rPr>
                <w:sz w:val="20"/>
              </w:rPr>
            </w:pPr>
            <w:r>
              <w:rPr>
                <w:sz w:val="20"/>
              </w:rPr>
              <w:t>74,4</w:t>
            </w:r>
          </w:p>
        </w:tc>
        <w:tc>
          <w:tcPr>
            <w:tcW w:w="964" w:type="dxa"/>
          </w:tcPr>
          <w:p w:rsidR="00000000" w:rsidRDefault="00000000">
            <w:pPr>
              <w:tabs>
                <w:tab w:val="left" w:pos="680"/>
              </w:tabs>
              <w:spacing w:before="40" w:after="40"/>
              <w:jc w:val="center"/>
              <w:rPr>
                <w:sz w:val="20"/>
              </w:rPr>
            </w:pPr>
            <w:r>
              <w:rPr>
                <w:sz w:val="20"/>
              </w:rPr>
              <w:t>78,8</w:t>
            </w:r>
          </w:p>
        </w:tc>
        <w:tc>
          <w:tcPr>
            <w:tcW w:w="964" w:type="dxa"/>
          </w:tcPr>
          <w:p w:rsidR="00000000" w:rsidRDefault="00000000">
            <w:pPr>
              <w:tabs>
                <w:tab w:val="left" w:pos="680"/>
              </w:tabs>
              <w:spacing w:before="40" w:after="40"/>
              <w:jc w:val="center"/>
              <w:rPr>
                <w:sz w:val="20"/>
              </w:rPr>
            </w:pPr>
            <w:r>
              <w:rPr>
                <w:sz w:val="20"/>
              </w:rPr>
              <w:t>86,1</w:t>
            </w:r>
          </w:p>
        </w:tc>
        <w:tc>
          <w:tcPr>
            <w:tcW w:w="964" w:type="dxa"/>
          </w:tcPr>
          <w:p w:rsidR="00000000" w:rsidRDefault="00000000">
            <w:pPr>
              <w:tabs>
                <w:tab w:val="left" w:pos="680"/>
              </w:tabs>
              <w:spacing w:before="40" w:after="40"/>
              <w:jc w:val="center"/>
              <w:rPr>
                <w:sz w:val="20"/>
              </w:rPr>
            </w:pPr>
            <w:r>
              <w:rPr>
                <w:sz w:val="20"/>
              </w:rPr>
              <w:t>87,8</w:t>
            </w:r>
          </w:p>
        </w:tc>
        <w:tc>
          <w:tcPr>
            <w:tcW w:w="964" w:type="dxa"/>
          </w:tcPr>
          <w:p w:rsidR="00000000" w:rsidRDefault="00000000">
            <w:pPr>
              <w:tabs>
                <w:tab w:val="left" w:pos="680"/>
              </w:tabs>
              <w:spacing w:before="40" w:after="40"/>
              <w:jc w:val="center"/>
              <w:rPr>
                <w:sz w:val="20"/>
              </w:rPr>
            </w:pPr>
            <w:r>
              <w:rPr>
                <w:sz w:val="20"/>
              </w:rPr>
              <w:t>87,2</w:t>
            </w:r>
          </w:p>
        </w:tc>
        <w:tc>
          <w:tcPr>
            <w:tcW w:w="964" w:type="dxa"/>
          </w:tcPr>
          <w:p w:rsidR="00000000" w:rsidRDefault="00000000">
            <w:pPr>
              <w:tabs>
                <w:tab w:val="left" w:pos="680"/>
              </w:tabs>
              <w:spacing w:before="40" w:after="40"/>
              <w:jc w:val="center"/>
              <w:rPr>
                <w:sz w:val="20"/>
              </w:rPr>
            </w:pPr>
            <w:r>
              <w:rPr>
                <w:sz w:val="20"/>
              </w:rPr>
              <w:t>81,6</w:t>
            </w:r>
          </w:p>
        </w:tc>
      </w:tr>
      <w:tr w:rsidR="00000000">
        <w:tblPrEx>
          <w:tblCellMar>
            <w:top w:w="0" w:type="dxa"/>
            <w:bottom w:w="0" w:type="dxa"/>
          </w:tblCellMar>
        </w:tblPrEx>
        <w:trPr>
          <w:jc w:val="center"/>
        </w:trPr>
        <w:tc>
          <w:tcPr>
            <w:tcW w:w="3062" w:type="dxa"/>
          </w:tcPr>
          <w:p w:rsidR="00000000" w:rsidRDefault="00000000">
            <w:pPr>
              <w:tabs>
                <w:tab w:val="left" w:pos="680"/>
              </w:tabs>
              <w:spacing w:before="40" w:after="40"/>
              <w:rPr>
                <w:sz w:val="20"/>
              </w:rPr>
            </w:pPr>
            <w:r>
              <w:rPr>
                <w:sz w:val="20"/>
              </w:rPr>
              <w:t>Законченное среднее</w:t>
            </w:r>
          </w:p>
        </w:tc>
        <w:tc>
          <w:tcPr>
            <w:tcW w:w="964" w:type="dxa"/>
          </w:tcPr>
          <w:p w:rsidR="00000000" w:rsidRDefault="00000000">
            <w:pPr>
              <w:tabs>
                <w:tab w:val="left" w:pos="680"/>
              </w:tabs>
              <w:spacing w:before="40" w:after="40"/>
              <w:jc w:val="center"/>
              <w:rPr>
                <w:sz w:val="20"/>
              </w:rPr>
            </w:pPr>
            <w:r>
              <w:rPr>
                <w:sz w:val="20"/>
              </w:rPr>
              <w:t>85,6</w:t>
            </w:r>
          </w:p>
        </w:tc>
        <w:tc>
          <w:tcPr>
            <w:tcW w:w="964" w:type="dxa"/>
          </w:tcPr>
          <w:p w:rsidR="00000000" w:rsidRDefault="00000000">
            <w:pPr>
              <w:tabs>
                <w:tab w:val="left" w:pos="680"/>
              </w:tabs>
              <w:spacing w:before="40" w:after="40"/>
              <w:jc w:val="center"/>
              <w:rPr>
                <w:sz w:val="20"/>
              </w:rPr>
            </w:pPr>
            <w:r>
              <w:rPr>
                <w:sz w:val="20"/>
              </w:rPr>
              <w:t>85,1</w:t>
            </w:r>
          </w:p>
        </w:tc>
        <w:tc>
          <w:tcPr>
            <w:tcW w:w="964" w:type="dxa"/>
          </w:tcPr>
          <w:p w:rsidR="00000000" w:rsidRDefault="00000000">
            <w:pPr>
              <w:tabs>
                <w:tab w:val="left" w:pos="680"/>
              </w:tabs>
              <w:spacing w:before="40" w:after="40"/>
              <w:jc w:val="center"/>
              <w:rPr>
                <w:sz w:val="20"/>
              </w:rPr>
            </w:pPr>
            <w:r>
              <w:rPr>
                <w:sz w:val="20"/>
              </w:rPr>
              <w:t>81,8</w:t>
            </w:r>
          </w:p>
        </w:tc>
        <w:tc>
          <w:tcPr>
            <w:tcW w:w="964" w:type="dxa"/>
          </w:tcPr>
          <w:p w:rsidR="00000000" w:rsidRDefault="00000000">
            <w:pPr>
              <w:tabs>
                <w:tab w:val="left" w:pos="680"/>
              </w:tabs>
              <w:spacing w:before="40" w:after="40"/>
              <w:jc w:val="center"/>
              <w:rPr>
                <w:sz w:val="20"/>
              </w:rPr>
            </w:pPr>
            <w:r>
              <w:rPr>
                <w:sz w:val="20"/>
              </w:rPr>
              <w:t>89,4</w:t>
            </w:r>
          </w:p>
        </w:tc>
        <w:tc>
          <w:tcPr>
            <w:tcW w:w="964" w:type="dxa"/>
          </w:tcPr>
          <w:p w:rsidR="00000000" w:rsidRDefault="00000000">
            <w:pPr>
              <w:tabs>
                <w:tab w:val="left" w:pos="680"/>
              </w:tabs>
              <w:spacing w:before="40" w:after="40"/>
              <w:jc w:val="center"/>
              <w:rPr>
                <w:sz w:val="20"/>
              </w:rPr>
            </w:pPr>
            <w:r>
              <w:rPr>
                <w:sz w:val="20"/>
              </w:rPr>
              <w:t>87,8</w:t>
            </w:r>
          </w:p>
        </w:tc>
        <w:tc>
          <w:tcPr>
            <w:tcW w:w="964" w:type="dxa"/>
          </w:tcPr>
          <w:p w:rsidR="00000000" w:rsidRDefault="00000000">
            <w:pPr>
              <w:tabs>
                <w:tab w:val="left" w:pos="680"/>
              </w:tabs>
              <w:spacing w:before="40" w:after="40"/>
              <w:jc w:val="center"/>
              <w:rPr>
                <w:sz w:val="20"/>
              </w:rPr>
            </w:pPr>
            <w:r>
              <w:rPr>
                <w:sz w:val="20"/>
              </w:rPr>
              <w:t>78,4</w:t>
            </w:r>
          </w:p>
        </w:tc>
      </w:tr>
      <w:tr w:rsidR="00000000">
        <w:tblPrEx>
          <w:tblCellMar>
            <w:top w:w="0" w:type="dxa"/>
            <w:bottom w:w="0" w:type="dxa"/>
          </w:tblCellMar>
        </w:tblPrEx>
        <w:trPr>
          <w:jc w:val="center"/>
        </w:trPr>
        <w:tc>
          <w:tcPr>
            <w:tcW w:w="3062" w:type="dxa"/>
          </w:tcPr>
          <w:p w:rsidR="00000000" w:rsidRDefault="00000000">
            <w:pPr>
              <w:tabs>
                <w:tab w:val="left" w:pos="680"/>
              </w:tabs>
              <w:spacing w:before="40" w:after="40"/>
              <w:rPr>
                <w:sz w:val="20"/>
              </w:rPr>
            </w:pPr>
            <w:r>
              <w:rPr>
                <w:sz w:val="20"/>
              </w:rPr>
              <w:t>Законченное среднее профессионально-техническое</w:t>
            </w:r>
          </w:p>
        </w:tc>
        <w:tc>
          <w:tcPr>
            <w:tcW w:w="964" w:type="dxa"/>
          </w:tcPr>
          <w:p w:rsidR="00000000" w:rsidRDefault="00000000">
            <w:pPr>
              <w:tabs>
                <w:tab w:val="left" w:pos="680"/>
              </w:tabs>
              <w:spacing w:before="40" w:after="40"/>
              <w:jc w:val="center"/>
              <w:rPr>
                <w:sz w:val="20"/>
              </w:rPr>
            </w:pPr>
            <w:r>
              <w:rPr>
                <w:sz w:val="20"/>
              </w:rPr>
              <w:t>91,0</w:t>
            </w:r>
          </w:p>
        </w:tc>
        <w:tc>
          <w:tcPr>
            <w:tcW w:w="964" w:type="dxa"/>
          </w:tcPr>
          <w:p w:rsidR="00000000" w:rsidRDefault="00000000">
            <w:pPr>
              <w:tabs>
                <w:tab w:val="left" w:pos="680"/>
              </w:tabs>
              <w:spacing w:before="40" w:after="40"/>
              <w:jc w:val="center"/>
              <w:rPr>
                <w:sz w:val="20"/>
              </w:rPr>
            </w:pPr>
            <w:r>
              <w:rPr>
                <w:sz w:val="20"/>
              </w:rPr>
              <w:t>82,5</w:t>
            </w:r>
          </w:p>
        </w:tc>
        <w:tc>
          <w:tcPr>
            <w:tcW w:w="964" w:type="dxa"/>
          </w:tcPr>
          <w:p w:rsidR="00000000" w:rsidRDefault="00000000">
            <w:pPr>
              <w:tabs>
                <w:tab w:val="left" w:pos="680"/>
              </w:tabs>
              <w:spacing w:before="40" w:after="40"/>
              <w:jc w:val="center"/>
              <w:rPr>
                <w:sz w:val="20"/>
              </w:rPr>
            </w:pPr>
            <w:r>
              <w:rPr>
                <w:sz w:val="20"/>
              </w:rPr>
              <w:t>91,8</w:t>
            </w:r>
          </w:p>
        </w:tc>
        <w:tc>
          <w:tcPr>
            <w:tcW w:w="964" w:type="dxa"/>
          </w:tcPr>
          <w:p w:rsidR="00000000" w:rsidRDefault="00000000">
            <w:pPr>
              <w:tabs>
                <w:tab w:val="left" w:pos="680"/>
              </w:tabs>
              <w:spacing w:before="40" w:after="40"/>
              <w:jc w:val="center"/>
              <w:rPr>
                <w:sz w:val="20"/>
              </w:rPr>
            </w:pPr>
            <w:r>
              <w:rPr>
                <w:sz w:val="20"/>
              </w:rPr>
              <w:t>107,7</w:t>
            </w:r>
          </w:p>
        </w:tc>
        <w:tc>
          <w:tcPr>
            <w:tcW w:w="964" w:type="dxa"/>
          </w:tcPr>
          <w:p w:rsidR="00000000" w:rsidRDefault="00000000">
            <w:pPr>
              <w:tabs>
                <w:tab w:val="left" w:pos="680"/>
              </w:tabs>
              <w:spacing w:before="40" w:after="40"/>
              <w:jc w:val="center"/>
              <w:rPr>
                <w:sz w:val="20"/>
              </w:rPr>
            </w:pPr>
            <w:r>
              <w:rPr>
                <w:sz w:val="20"/>
              </w:rPr>
              <w:t>100,0</w:t>
            </w:r>
          </w:p>
        </w:tc>
        <w:tc>
          <w:tcPr>
            <w:tcW w:w="964" w:type="dxa"/>
          </w:tcPr>
          <w:p w:rsidR="00000000" w:rsidRDefault="00000000">
            <w:pPr>
              <w:tabs>
                <w:tab w:val="left" w:pos="680"/>
              </w:tabs>
              <w:spacing w:before="40" w:after="40"/>
              <w:jc w:val="center"/>
              <w:rPr>
                <w:sz w:val="20"/>
              </w:rPr>
            </w:pPr>
            <w:r>
              <w:rPr>
                <w:sz w:val="20"/>
              </w:rPr>
              <w:t>87,4</w:t>
            </w:r>
          </w:p>
        </w:tc>
      </w:tr>
      <w:tr w:rsidR="00000000">
        <w:tblPrEx>
          <w:tblCellMar>
            <w:top w:w="0" w:type="dxa"/>
            <w:bottom w:w="0" w:type="dxa"/>
          </w:tblCellMar>
        </w:tblPrEx>
        <w:trPr>
          <w:jc w:val="center"/>
        </w:trPr>
        <w:tc>
          <w:tcPr>
            <w:tcW w:w="3062" w:type="dxa"/>
          </w:tcPr>
          <w:p w:rsidR="00000000" w:rsidRDefault="00000000">
            <w:pPr>
              <w:tabs>
                <w:tab w:val="left" w:pos="680"/>
              </w:tabs>
              <w:spacing w:before="40" w:after="40"/>
              <w:rPr>
                <w:sz w:val="20"/>
              </w:rPr>
            </w:pPr>
            <w:r>
              <w:rPr>
                <w:sz w:val="20"/>
              </w:rPr>
              <w:t>Высшее образование</w:t>
            </w:r>
          </w:p>
        </w:tc>
        <w:tc>
          <w:tcPr>
            <w:tcW w:w="964" w:type="dxa"/>
          </w:tcPr>
          <w:p w:rsidR="00000000" w:rsidRDefault="00000000">
            <w:pPr>
              <w:tabs>
                <w:tab w:val="left" w:pos="680"/>
              </w:tabs>
              <w:spacing w:before="40" w:after="40"/>
              <w:jc w:val="center"/>
              <w:rPr>
                <w:sz w:val="20"/>
              </w:rPr>
            </w:pPr>
            <w:r>
              <w:rPr>
                <w:sz w:val="20"/>
              </w:rPr>
              <w:t>91,2</w:t>
            </w:r>
          </w:p>
        </w:tc>
        <w:tc>
          <w:tcPr>
            <w:tcW w:w="964" w:type="dxa"/>
          </w:tcPr>
          <w:p w:rsidR="00000000" w:rsidRDefault="00000000">
            <w:pPr>
              <w:tabs>
                <w:tab w:val="left" w:pos="680"/>
              </w:tabs>
              <w:spacing w:before="40" w:after="40"/>
              <w:jc w:val="center"/>
              <w:rPr>
                <w:sz w:val="20"/>
              </w:rPr>
            </w:pPr>
            <w:r>
              <w:rPr>
                <w:sz w:val="20"/>
              </w:rPr>
              <w:t>84,6</w:t>
            </w:r>
          </w:p>
        </w:tc>
        <w:tc>
          <w:tcPr>
            <w:tcW w:w="964" w:type="dxa"/>
          </w:tcPr>
          <w:p w:rsidR="00000000" w:rsidRDefault="00000000">
            <w:pPr>
              <w:tabs>
                <w:tab w:val="left" w:pos="680"/>
              </w:tabs>
              <w:spacing w:before="40" w:after="40"/>
              <w:jc w:val="center"/>
              <w:rPr>
                <w:sz w:val="20"/>
              </w:rPr>
            </w:pPr>
            <w:r>
              <w:rPr>
                <w:sz w:val="20"/>
              </w:rPr>
              <w:t>64,9</w:t>
            </w:r>
          </w:p>
        </w:tc>
        <w:tc>
          <w:tcPr>
            <w:tcW w:w="964" w:type="dxa"/>
          </w:tcPr>
          <w:p w:rsidR="00000000" w:rsidRDefault="00000000">
            <w:pPr>
              <w:tabs>
                <w:tab w:val="left" w:pos="680"/>
              </w:tabs>
              <w:spacing w:before="40" w:after="40"/>
              <w:jc w:val="center"/>
              <w:rPr>
                <w:sz w:val="20"/>
              </w:rPr>
            </w:pPr>
            <w:r>
              <w:rPr>
                <w:sz w:val="20"/>
              </w:rPr>
              <w:t>97,4</w:t>
            </w:r>
          </w:p>
        </w:tc>
        <w:tc>
          <w:tcPr>
            <w:tcW w:w="964" w:type="dxa"/>
          </w:tcPr>
          <w:p w:rsidR="00000000" w:rsidRDefault="00000000">
            <w:pPr>
              <w:tabs>
                <w:tab w:val="left" w:pos="680"/>
              </w:tabs>
              <w:spacing w:before="40" w:after="40"/>
              <w:jc w:val="center"/>
              <w:rPr>
                <w:sz w:val="20"/>
              </w:rPr>
            </w:pPr>
            <w:r>
              <w:rPr>
                <w:sz w:val="20"/>
              </w:rPr>
              <w:t>86,6</w:t>
            </w:r>
          </w:p>
        </w:tc>
        <w:tc>
          <w:tcPr>
            <w:tcW w:w="964" w:type="dxa"/>
          </w:tcPr>
          <w:p w:rsidR="00000000" w:rsidRDefault="00000000">
            <w:pPr>
              <w:tabs>
                <w:tab w:val="left" w:pos="680"/>
              </w:tabs>
              <w:spacing w:before="40" w:after="40"/>
              <w:jc w:val="center"/>
              <w:rPr>
                <w:sz w:val="20"/>
              </w:rPr>
            </w:pPr>
            <w:r>
              <w:rPr>
                <w:sz w:val="20"/>
              </w:rPr>
              <w:t>77,1</w:t>
            </w:r>
          </w:p>
        </w:tc>
      </w:tr>
      <w:tr w:rsidR="00000000">
        <w:tblPrEx>
          <w:tblCellMar>
            <w:top w:w="0" w:type="dxa"/>
            <w:bottom w:w="0" w:type="dxa"/>
          </w:tblCellMar>
        </w:tblPrEx>
        <w:trPr>
          <w:jc w:val="center"/>
        </w:trPr>
        <w:tc>
          <w:tcPr>
            <w:tcW w:w="3062" w:type="dxa"/>
            <w:tcBorders>
              <w:bottom w:val="single" w:sz="4" w:space="0" w:color="auto"/>
            </w:tcBorders>
          </w:tcPr>
          <w:p w:rsidR="00000000" w:rsidRDefault="00000000">
            <w:pPr>
              <w:tabs>
                <w:tab w:val="left" w:pos="680"/>
              </w:tabs>
              <w:spacing w:before="40" w:after="40"/>
              <w:rPr>
                <w:sz w:val="20"/>
              </w:rPr>
            </w:pPr>
            <w:r>
              <w:rPr>
                <w:sz w:val="20"/>
              </w:rPr>
              <w:t>Высшее университетское образование</w:t>
            </w:r>
          </w:p>
        </w:tc>
        <w:tc>
          <w:tcPr>
            <w:tcW w:w="964" w:type="dxa"/>
            <w:tcBorders>
              <w:bottom w:val="single" w:sz="4" w:space="0" w:color="auto"/>
            </w:tcBorders>
          </w:tcPr>
          <w:p w:rsidR="00000000" w:rsidRDefault="00000000">
            <w:pPr>
              <w:tabs>
                <w:tab w:val="left" w:pos="680"/>
              </w:tabs>
              <w:spacing w:before="40" w:after="40"/>
              <w:jc w:val="center"/>
              <w:rPr>
                <w:sz w:val="20"/>
              </w:rPr>
            </w:pPr>
            <w:r>
              <w:rPr>
                <w:sz w:val="20"/>
              </w:rPr>
              <w:t>76,4</w:t>
            </w:r>
          </w:p>
        </w:tc>
        <w:tc>
          <w:tcPr>
            <w:tcW w:w="964" w:type="dxa"/>
            <w:tcBorders>
              <w:bottom w:val="single" w:sz="4" w:space="0" w:color="auto"/>
            </w:tcBorders>
          </w:tcPr>
          <w:p w:rsidR="00000000" w:rsidRDefault="00000000">
            <w:pPr>
              <w:tabs>
                <w:tab w:val="left" w:pos="680"/>
              </w:tabs>
              <w:spacing w:before="40" w:after="40"/>
              <w:jc w:val="center"/>
              <w:rPr>
                <w:sz w:val="20"/>
              </w:rPr>
            </w:pPr>
            <w:r>
              <w:rPr>
                <w:sz w:val="20"/>
              </w:rPr>
              <w:t>84,5</w:t>
            </w:r>
          </w:p>
        </w:tc>
        <w:tc>
          <w:tcPr>
            <w:tcW w:w="964" w:type="dxa"/>
            <w:tcBorders>
              <w:bottom w:val="single" w:sz="4" w:space="0" w:color="auto"/>
            </w:tcBorders>
          </w:tcPr>
          <w:p w:rsidR="00000000" w:rsidRDefault="00000000">
            <w:pPr>
              <w:tabs>
                <w:tab w:val="left" w:pos="680"/>
              </w:tabs>
              <w:spacing w:before="40" w:after="40"/>
              <w:jc w:val="center"/>
              <w:rPr>
                <w:sz w:val="20"/>
              </w:rPr>
            </w:pPr>
            <w:r>
              <w:rPr>
                <w:sz w:val="20"/>
              </w:rPr>
              <w:t>81,4</w:t>
            </w:r>
          </w:p>
        </w:tc>
        <w:tc>
          <w:tcPr>
            <w:tcW w:w="964" w:type="dxa"/>
            <w:tcBorders>
              <w:bottom w:val="single" w:sz="4" w:space="0" w:color="auto"/>
            </w:tcBorders>
          </w:tcPr>
          <w:p w:rsidR="00000000" w:rsidRDefault="00000000">
            <w:pPr>
              <w:tabs>
                <w:tab w:val="left" w:pos="680"/>
              </w:tabs>
              <w:spacing w:before="40" w:after="40"/>
              <w:jc w:val="center"/>
              <w:rPr>
                <w:sz w:val="20"/>
              </w:rPr>
            </w:pPr>
            <w:r>
              <w:rPr>
                <w:sz w:val="20"/>
              </w:rPr>
              <w:t>91,7</w:t>
            </w:r>
          </w:p>
        </w:tc>
        <w:tc>
          <w:tcPr>
            <w:tcW w:w="964" w:type="dxa"/>
            <w:tcBorders>
              <w:bottom w:val="single" w:sz="4" w:space="0" w:color="auto"/>
            </w:tcBorders>
          </w:tcPr>
          <w:p w:rsidR="00000000" w:rsidRDefault="00000000">
            <w:pPr>
              <w:tabs>
                <w:tab w:val="left" w:pos="680"/>
              </w:tabs>
              <w:spacing w:before="40" w:after="40"/>
              <w:jc w:val="center"/>
              <w:rPr>
                <w:sz w:val="20"/>
              </w:rPr>
            </w:pPr>
            <w:r>
              <w:rPr>
                <w:sz w:val="20"/>
              </w:rPr>
              <w:t>91,3</w:t>
            </w:r>
          </w:p>
        </w:tc>
        <w:tc>
          <w:tcPr>
            <w:tcW w:w="964" w:type="dxa"/>
            <w:tcBorders>
              <w:bottom w:val="single" w:sz="4" w:space="0" w:color="auto"/>
            </w:tcBorders>
          </w:tcPr>
          <w:p w:rsidR="00000000" w:rsidRDefault="00000000">
            <w:pPr>
              <w:tabs>
                <w:tab w:val="left" w:pos="680"/>
              </w:tabs>
              <w:spacing w:before="40" w:after="40"/>
              <w:jc w:val="center"/>
              <w:rPr>
                <w:sz w:val="20"/>
              </w:rPr>
            </w:pPr>
            <w:r>
              <w:rPr>
                <w:sz w:val="20"/>
              </w:rPr>
              <w:t>85,4</w:t>
            </w:r>
          </w:p>
        </w:tc>
      </w:tr>
    </w:tbl>
    <w:p w:rsidR="00000000" w:rsidRDefault="00000000">
      <w:pPr>
        <w:tabs>
          <w:tab w:val="left" w:pos="680"/>
        </w:tabs>
        <w:spacing w:before="120"/>
        <w:jc w:val="both"/>
        <w:rPr>
          <w:color w:val="008000"/>
          <w:sz w:val="20"/>
        </w:rPr>
      </w:pPr>
      <w:r>
        <w:rPr>
          <w:b/>
          <w:sz w:val="20"/>
        </w:rPr>
        <w:t>Источник:</w:t>
      </w:r>
      <w:r>
        <w:rPr>
          <w:sz w:val="20"/>
        </w:rPr>
        <w:t xml:space="preserve"> ИНЕК–МТСС. Многоцелевой опрос семей. Данные за несколько лет</w:t>
      </w:r>
      <w:r>
        <w:rPr>
          <w:color w:val="008000"/>
          <w:sz w:val="20"/>
        </w:rPr>
        <w:t>.</w:t>
      </w:r>
    </w:p>
    <w:p w:rsidR="00000000" w:rsidRDefault="00000000">
      <w:pPr>
        <w:tabs>
          <w:tab w:val="left" w:pos="680"/>
        </w:tabs>
        <w:spacing w:before="240" w:line="260" w:lineRule="exact"/>
        <w:jc w:val="both"/>
        <w:rPr>
          <w:sz w:val="22"/>
        </w:rPr>
      </w:pPr>
      <w:r>
        <w:rPr>
          <w:sz w:val="22"/>
        </w:rPr>
        <w:t>352.</w:t>
      </w:r>
      <w:r>
        <w:rPr>
          <w:sz w:val="22"/>
        </w:rPr>
        <w:tab/>
        <w:t>Лучшая профессиональная подготовка, полученная женщинами, не полностью уравняла их с мужчинами по размеру средней почасовой заработной платы на тех же уровнях образования, но позволила им сократить этот разрыв. В 1999 году для женщин с высшим образованием это соотношение составило 85 процентов, в то время как в 1990 году оно составляло 76 процентов. Дополнительно следует отметить, что в 1997 и 1998 годах средняя почасовая заработная плата женщин, имеющих среднее законченное профессионально-техническое образование, превысила заработную плату мужчин, имеющих такой же уровень подготовки.</w:t>
      </w:r>
    </w:p>
    <w:p w:rsidR="00000000" w:rsidRDefault="00000000">
      <w:pPr>
        <w:tabs>
          <w:tab w:val="left" w:pos="680"/>
        </w:tabs>
        <w:spacing w:before="240" w:line="260" w:lineRule="exact"/>
        <w:jc w:val="both"/>
        <w:rPr>
          <w:sz w:val="22"/>
        </w:rPr>
      </w:pPr>
      <w:r>
        <w:rPr>
          <w:sz w:val="22"/>
        </w:rPr>
        <w:t xml:space="preserve">353. </w:t>
      </w:r>
      <w:r>
        <w:rPr>
          <w:sz w:val="22"/>
        </w:rPr>
        <w:tab/>
        <w:t>В группе руководящих работников соотношение почасовой заработной платы достигло 95 процентов, что является достижением по сравнению с началом десятилетия, когда оно составляло 80 процентов. В 1998 году это соотношение превысило 100 процентов. В группе специалистов с высшим и профессионально-техническим образованием в 1997 и 1998 годах соотношение почасовой заработной платы мужчин и женщин также превысило 100 процентов, но в 1999 году снизилось до 87,3 процента, что, тем не менее, превышает уровень 1990 года. Приведенные данные свидетельствуют о существовании тенденции к сокращению неравенства в сфере оплаты труда.</w:t>
      </w:r>
    </w:p>
    <w:p w:rsidR="00000000" w:rsidRDefault="00000000">
      <w:pPr>
        <w:tabs>
          <w:tab w:val="left" w:pos="680"/>
        </w:tabs>
        <w:spacing w:before="240" w:line="260" w:lineRule="exact"/>
        <w:jc w:val="both"/>
        <w:rPr>
          <w:sz w:val="22"/>
        </w:rPr>
      </w:pPr>
      <w:r>
        <w:rPr>
          <w:sz w:val="22"/>
        </w:rPr>
        <w:t xml:space="preserve">354. </w:t>
      </w:r>
      <w:r>
        <w:rPr>
          <w:sz w:val="22"/>
        </w:rPr>
        <w:tab/>
        <w:t>Во всех других группах занятости, кроме административных работников, пропорция заработной платы женщин по отношению к заработной плате мужчин демонстрировала в той или иной степени тенденцию к росту. В административном секторе тенденция была противоположной, поскольку это соотношение сократилось с 99 процентов в 1990 году до 88 процентов 1999 году.</w:t>
      </w:r>
    </w:p>
    <w:p w:rsidR="00000000" w:rsidRDefault="00000000">
      <w:pPr>
        <w:tabs>
          <w:tab w:val="left" w:pos="680"/>
        </w:tabs>
        <w:spacing w:before="240" w:line="260" w:lineRule="exact"/>
        <w:jc w:val="both"/>
        <w:rPr>
          <w:sz w:val="22"/>
        </w:rPr>
      </w:pPr>
      <w:r>
        <w:rPr>
          <w:sz w:val="22"/>
        </w:rPr>
        <w:t xml:space="preserve">355. </w:t>
      </w:r>
      <w:r>
        <w:rPr>
          <w:sz w:val="22"/>
        </w:rPr>
        <w:tab/>
        <w:t>Следует отметить, что, несмотря на общую тенденцию к сокращению разницы в заработной плате, большое число женщин получают меньшую заработную плату за свой труд, так как самые низкие пропорции характеризуют как раз секторы торговли и социальных и индивидуальных услуг, а именно в этих секторах сконцентрирована женская рабочая сила. В этих секторах самая низкая заработная плата и наименьшая защищенность в области реализации трудовых прав (</w:t>
      </w:r>
      <w:r>
        <w:rPr>
          <w:sz w:val="22"/>
          <w:lang w:val="en-US"/>
        </w:rPr>
        <w:t>Fernandez</w:t>
      </w:r>
      <w:r>
        <w:rPr>
          <w:sz w:val="22"/>
        </w:rPr>
        <w:t>, 2001).</w:t>
      </w:r>
    </w:p>
    <w:p w:rsidR="00000000" w:rsidRDefault="00000000">
      <w:pPr>
        <w:tabs>
          <w:tab w:val="left" w:pos="680"/>
        </w:tabs>
        <w:spacing w:line="260" w:lineRule="exact"/>
        <w:jc w:val="both"/>
        <w:rPr>
          <w:sz w:val="22"/>
        </w:rPr>
      </w:pPr>
    </w:p>
    <w:p w:rsidR="00000000" w:rsidRDefault="00000000">
      <w:pPr>
        <w:pStyle w:val="Heading1"/>
        <w:tabs>
          <w:tab w:val="left" w:pos="680"/>
        </w:tabs>
        <w:spacing w:before="240" w:line="260" w:lineRule="exact"/>
        <w:jc w:val="both"/>
        <w:rPr>
          <w:sz w:val="22"/>
        </w:rPr>
      </w:pPr>
      <w:r>
        <w:rPr>
          <w:sz w:val="22"/>
        </w:rPr>
        <w:t>Гендерная сегрегеция с разбивкой по профессиям</w:t>
      </w:r>
    </w:p>
    <w:p w:rsidR="00000000" w:rsidRDefault="00000000">
      <w:pPr>
        <w:tabs>
          <w:tab w:val="left" w:pos="680"/>
        </w:tabs>
        <w:spacing w:before="240" w:line="260" w:lineRule="exact"/>
        <w:jc w:val="both"/>
        <w:rPr>
          <w:sz w:val="22"/>
        </w:rPr>
      </w:pPr>
      <w:r>
        <w:rPr>
          <w:sz w:val="22"/>
        </w:rPr>
        <w:t xml:space="preserve">356. </w:t>
      </w:r>
      <w:r>
        <w:rPr>
          <w:sz w:val="22"/>
        </w:rPr>
        <w:tab/>
        <w:t>Рынок труда сегментирован по гендерному признаку на типично "женские" и типично "мужские" профессии. Однако больше мужчин занимается "женскими" профессиями, чем женщин – "мужскими". В то время как 19 процентов мужчин занимаются "женскими" профессиями, только 12,7 процента женщин занимаются "мужскими" (проект "Состояние нации", 2001 год).</w:t>
      </w:r>
    </w:p>
    <w:p w:rsidR="00000000" w:rsidRDefault="00000000">
      <w:pPr>
        <w:tabs>
          <w:tab w:val="left" w:pos="680"/>
        </w:tabs>
        <w:spacing w:before="240" w:line="260" w:lineRule="exact"/>
        <w:jc w:val="both"/>
        <w:rPr>
          <w:sz w:val="22"/>
        </w:rPr>
      </w:pPr>
      <w:r>
        <w:rPr>
          <w:sz w:val="22"/>
        </w:rPr>
        <w:t>357.</w:t>
      </w:r>
      <w:r>
        <w:rPr>
          <w:sz w:val="22"/>
        </w:rPr>
        <w:tab/>
        <w:t>По группам занятости в течение 1990-х годов показатель сегрегации достиг 25 процентов, что следует признать высоким показателем, поскольку с 1998 года женщины составляют 32 процента от всех работающих. Это означает, что для достижения паритетной структуры занятости практически все женщины должны были бы поменять род занятий (проект "Состояние нации", 2001 год).</w:t>
      </w:r>
    </w:p>
    <w:p w:rsidR="00000000" w:rsidRDefault="00000000">
      <w:pPr>
        <w:tabs>
          <w:tab w:val="left" w:pos="680"/>
        </w:tabs>
        <w:spacing w:before="240" w:line="260" w:lineRule="exact"/>
        <w:jc w:val="both"/>
        <w:rPr>
          <w:sz w:val="22"/>
        </w:rPr>
      </w:pPr>
      <w:r>
        <w:rPr>
          <w:sz w:val="22"/>
        </w:rPr>
        <w:t xml:space="preserve">358. </w:t>
      </w:r>
      <w:r>
        <w:rPr>
          <w:sz w:val="22"/>
        </w:rPr>
        <w:tab/>
        <w:t>Желательно, чтобы в процессе движения к гендерному равенству количество профессий, в которых работают как женщины, так и мужчины, росло. Наблюдается хотя и медленная, но прогрессивная тенденция в этом направлении: так, если в 1990 году отмечалось четыре группы профессий, в которых соблюдался гендерный паритет, то в 2000 году таких групп стало уже девять. В то же время деятельность, связанная с такими сферами, как архитектура, инженерное дело, разработка природных ресурсов, коммерция в области оптовой торговли, энергетика и изобразительное искусство, является практически недоступной для женщин, а потому на эти области должно быть обращено специальное внимание (проект "Состояние нации", 2001 год).</w:t>
      </w:r>
    </w:p>
    <w:p w:rsidR="00000000" w:rsidRDefault="00000000">
      <w:pPr>
        <w:tabs>
          <w:tab w:val="left" w:pos="680"/>
        </w:tabs>
        <w:spacing w:before="240" w:line="260" w:lineRule="exact"/>
        <w:jc w:val="both"/>
        <w:rPr>
          <w:sz w:val="22"/>
        </w:rPr>
      </w:pPr>
      <w:r>
        <w:rPr>
          <w:sz w:val="22"/>
        </w:rPr>
        <w:t>359.</w:t>
      </w:r>
      <w:r>
        <w:rPr>
          <w:sz w:val="22"/>
        </w:rPr>
        <w:tab/>
        <w:t>Данные, полученные в ходе переписи 2000 года, отражают существование гендерной сегрегации и неравенства в структуре занятости Коста-Рики. Из 107 групп профессий, изученных Пилар Рамос (</w:t>
      </w:r>
      <w:r>
        <w:rPr>
          <w:sz w:val="22"/>
          <w:lang w:val="en-US"/>
        </w:rPr>
        <w:t>Pilar</w:t>
      </w:r>
      <w:r>
        <w:rPr>
          <w:sz w:val="22"/>
        </w:rPr>
        <w:t xml:space="preserve"> </w:t>
      </w:r>
      <w:r>
        <w:rPr>
          <w:sz w:val="22"/>
          <w:lang w:val="en-US"/>
        </w:rPr>
        <w:t>Ramos</w:t>
      </w:r>
      <w:r>
        <w:rPr>
          <w:sz w:val="22"/>
        </w:rPr>
        <w:t>, 2002), только 38 являются "женскими" и 9 – "допускающими" работу женщин.</w:t>
      </w:r>
    </w:p>
    <w:p w:rsidR="00000000" w:rsidRDefault="00000000">
      <w:pPr>
        <w:tabs>
          <w:tab w:val="left" w:pos="680"/>
        </w:tabs>
        <w:spacing w:line="260" w:lineRule="exact"/>
        <w:jc w:val="both"/>
        <w:rPr>
          <w:sz w:val="22"/>
        </w:rPr>
      </w:pPr>
    </w:p>
    <w:p w:rsidR="00000000" w:rsidRDefault="00000000">
      <w:pPr>
        <w:tabs>
          <w:tab w:val="left" w:pos="680"/>
        </w:tabs>
        <w:spacing w:before="240" w:line="260" w:lineRule="exact"/>
        <w:rPr>
          <w:sz w:val="22"/>
        </w:rPr>
      </w:pPr>
      <w:r>
        <w:rPr>
          <w:b/>
          <w:sz w:val="22"/>
        </w:rPr>
        <w:t xml:space="preserve">Женщины занимают значительное количество должностей, </w:t>
      </w:r>
      <w:r>
        <w:rPr>
          <w:b/>
          <w:sz w:val="22"/>
        </w:rPr>
        <w:br/>
        <w:t>требующих специальной подготовки</w:t>
      </w:r>
    </w:p>
    <w:p w:rsidR="00000000" w:rsidRDefault="00000000">
      <w:pPr>
        <w:tabs>
          <w:tab w:val="left" w:pos="680"/>
        </w:tabs>
        <w:spacing w:before="240" w:line="260" w:lineRule="exact"/>
        <w:jc w:val="both"/>
        <w:rPr>
          <w:sz w:val="22"/>
        </w:rPr>
      </w:pPr>
      <w:r>
        <w:rPr>
          <w:sz w:val="22"/>
        </w:rPr>
        <w:t xml:space="preserve">360. </w:t>
      </w:r>
      <w:r>
        <w:rPr>
          <w:sz w:val="22"/>
        </w:rPr>
        <w:tab/>
        <w:t>Несмотря на то что к "мужским" профессиям доступ женщин затруднен, женщины занимают большое количество должностей, требующих специальной подготовки, то есть специалистов, техников и руководящих работников. Они занимают почти половину должностей специалистов и техников, прежде всего в государственном секторе (проект "Состояние нации", 2001 год).</w:t>
      </w:r>
    </w:p>
    <w:p w:rsidR="00000000" w:rsidRDefault="00000000">
      <w:pPr>
        <w:tabs>
          <w:tab w:val="left" w:pos="680"/>
        </w:tabs>
        <w:spacing w:before="240" w:line="260" w:lineRule="exact"/>
        <w:jc w:val="both"/>
        <w:rPr>
          <w:sz w:val="22"/>
        </w:rPr>
      </w:pPr>
    </w:p>
    <w:p w:rsidR="00000000" w:rsidRDefault="00000000">
      <w:pPr>
        <w:tabs>
          <w:tab w:val="left" w:pos="680"/>
        </w:tabs>
        <w:spacing w:before="240"/>
        <w:jc w:val="center"/>
        <w:rPr>
          <w:sz w:val="22"/>
        </w:rPr>
      </w:pPr>
      <w:r>
        <w:rPr>
          <w:sz w:val="22"/>
        </w:rPr>
        <w:object w:dxaOrig="8292" w:dyaOrig="4404">
          <v:shape id="_x0000_i1026" type="#_x0000_t75" style="width:414.75pt;height:220.5pt" o:ole="">
            <v:imagedata r:id="rId22" o:title=""/>
          </v:shape>
          <o:OLEObject Type="Embed" ProgID="MSGraph.Chart.8" ShapeID="_x0000_i1026" DrawAspect="Content" ObjectID="_1394547692" r:id="rId23">
            <o:FieldCodes>\s</o:FieldCodes>
          </o:OLEObject>
        </w:object>
      </w:r>
    </w:p>
    <w:p w:rsidR="00000000" w:rsidRDefault="00000000">
      <w:pPr>
        <w:tabs>
          <w:tab w:val="left" w:pos="680"/>
        </w:tabs>
        <w:spacing w:before="240" w:line="260" w:lineRule="exact"/>
        <w:jc w:val="both"/>
        <w:rPr>
          <w:sz w:val="20"/>
        </w:rPr>
      </w:pPr>
      <w:r>
        <w:rPr>
          <w:b/>
          <w:sz w:val="20"/>
        </w:rPr>
        <w:t>Источник:</w:t>
      </w:r>
      <w:r>
        <w:rPr>
          <w:sz w:val="20"/>
        </w:rPr>
        <w:t xml:space="preserve"> ИНЕК–МТСС. Многоцелевой опрос семей. Данные за несколько лет.</w:t>
      </w:r>
    </w:p>
    <w:p w:rsidR="00000000" w:rsidRDefault="00000000">
      <w:pPr>
        <w:tabs>
          <w:tab w:val="left" w:pos="680"/>
        </w:tabs>
        <w:spacing w:before="240" w:line="260" w:lineRule="exact"/>
        <w:jc w:val="both"/>
        <w:rPr>
          <w:sz w:val="22"/>
        </w:rPr>
      </w:pPr>
      <w:r>
        <w:rPr>
          <w:sz w:val="22"/>
        </w:rPr>
        <w:t>361.</w:t>
      </w:r>
      <w:r>
        <w:rPr>
          <w:sz w:val="22"/>
        </w:rPr>
        <w:tab/>
        <w:t>Возможно, тот факт, что на руководящих должностях в государственном секторе занято много женщин, объясняется тем, что высокая ответственность и сравнительно невысокая заработная плата – это те условия, на которые соглашаются женщины и не соглашаются мужчины, поскольку женщин привлекают социальные гарантии и строго ограниченное рабочее время, что позволяет им выполнять другие социальные роли, например роль матери. Мужчин больше привлекает высокая заработная плата, которую предлагает частный сектор, хотя при этом остается меньше времени на личную и семейную жизнь.</w:t>
      </w:r>
    </w:p>
    <w:p w:rsidR="00000000" w:rsidRDefault="00000000">
      <w:pPr>
        <w:tabs>
          <w:tab w:val="left" w:pos="680"/>
        </w:tabs>
        <w:spacing w:before="240" w:line="260" w:lineRule="exact"/>
        <w:jc w:val="both"/>
        <w:rPr>
          <w:sz w:val="22"/>
        </w:rPr>
      </w:pPr>
      <w:r>
        <w:rPr>
          <w:sz w:val="22"/>
        </w:rPr>
        <w:t>362.</w:t>
      </w:r>
      <w:r>
        <w:rPr>
          <w:sz w:val="22"/>
        </w:rPr>
        <w:tab/>
        <w:t>Число женщин на руководящих должностях достигло почти трети как в государственном, так и в частном секторе. Это свидетельствует о том, что даже когда имеется достаточное число хорошо подготовленных женщин-профессионалов, руководящие должности чаще доверяют мужчинам.</w:t>
      </w:r>
    </w:p>
    <w:p w:rsidR="00000000" w:rsidRDefault="00000000">
      <w:pPr>
        <w:tabs>
          <w:tab w:val="left" w:pos="680"/>
        </w:tabs>
        <w:spacing w:before="240" w:line="260" w:lineRule="exact"/>
        <w:jc w:val="both"/>
        <w:rPr>
          <w:sz w:val="22"/>
        </w:rPr>
      </w:pPr>
      <w:r>
        <w:rPr>
          <w:sz w:val="22"/>
        </w:rPr>
        <w:t xml:space="preserve">363. </w:t>
      </w:r>
      <w:r>
        <w:rPr>
          <w:sz w:val="22"/>
        </w:rPr>
        <w:tab/>
        <w:t>Хотя все больше женщин работают на должностях, требующих специальной подготовки, и даже занимают большое количество руководящих должностей в государственном секторе, остается без изменений неравенство в таких учреждениях, как Министерство общественной безопасности, и в системе исправительных учреждений, в которых мужчины преобладают не только в количественном отношении, но и сама организационная структура которых построена таким образом, что учитываются только интересы и потребности мужчин.</w:t>
      </w:r>
    </w:p>
    <w:p w:rsidR="00000000" w:rsidRDefault="00000000">
      <w:pPr>
        <w:tabs>
          <w:tab w:val="left" w:pos="680"/>
        </w:tabs>
        <w:spacing w:line="260" w:lineRule="exact"/>
        <w:jc w:val="both"/>
        <w:rPr>
          <w:sz w:val="22"/>
        </w:rPr>
      </w:pPr>
    </w:p>
    <w:p w:rsidR="00000000" w:rsidRDefault="00000000">
      <w:pPr>
        <w:pStyle w:val="Heading1"/>
        <w:tabs>
          <w:tab w:val="left" w:pos="680"/>
        </w:tabs>
        <w:spacing w:before="240" w:line="260" w:lineRule="exact"/>
        <w:jc w:val="both"/>
        <w:rPr>
          <w:sz w:val="22"/>
        </w:rPr>
      </w:pPr>
      <w:r>
        <w:rPr>
          <w:sz w:val="22"/>
        </w:rPr>
        <w:t>Женщины – владельцы предприятий</w:t>
      </w:r>
    </w:p>
    <w:p w:rsidR="00000000" w:rsidRDefault="00000000">
      <w:pPr>
        <w:tabs>
          <w:tab w:val="left" w:pos="680"/>
        </w:tabs>
        <w:spacing w:before="240" w:line="260" w:lineRule="exact"/>
        <w:jc w:val="both"/>
        <w:rPr>
          <w:sz w:val="22"/>
        </w:rPr>
      </w:pPr>
      <w:r>
        <w:rPr>
          <w:sz w:val="22"/>
        </w:rPr>
        <w:t xml:space="preserve">364. </w:t>
      </w:r>
      <w:r>
        <w:rPr>
          <w:sz w:val="22"/>
        </w:rPr>
        <w:tab/>
        <w:t xml:space="preserve">Доступ к капиталу, измеренный по соотношению женщин и мужчин – владельцев предприятий с наемными работниками от одного до девяти человек, затруднен для женщин. Однако этот показатель в течение десятилетия демонстрировал тенденцию к росту: </w:t>
      </w:r>
      <w:r>
        <w:rPr>
          <w:sz w:val="22"/>
        </w:rPr>
        <w:br/>
        <w:t>с 9,6 процента в 1990 году до 17,7 процента в 1999 году. Особенно значителен рост числа женщин, владеющих предприятиями, в сельской местности (проект "Состояние нации", 2001 год).</w:t>
      </w:r>
    </w:p>
    <w:p w:rsidR="00000000" w:rsidRDefault="00000000">
      <w:pPr>
        <w:tabs>
          <w:tab w:val="left" w:pos="680"/>
        </w:tabs>
        <w:spacing w:before="240" w:line="260" w:lineRule="exact"/>
        <w:jc w:val="both"/>
        <w:rPr>
          <w:sz w:val="22"/>
        </w:rPr>
      </w:pPr>
      <w:r>
        <w:rPr>
          <w:sz w:val="22"/>
        </w:rPr>
        <w:t xml:space="preserve">365. </w:t>
      </w:r>
      <w:r>
        <w:rPr>
          <w:sz w:val="22"/>
        </w:rPr>
        <w:tab/>
        <w:t>Деятельность этих предприятий не связана с сельским хозяйством, это в основном производственные предприятия с наемными работниками от одного до четырех и от пяти до десяти человек и торговые предприятия с числом работников от одного до четырех человек. Это указывает на то, что возникли новые возможности предпринимательской деятельности, не связанные с основным видом деятельности сельского населения.</w:t>
      </w:r>
    </w:p>
    <w:p w:rsidR="00000000" w:rsidRDefault="00000000">
      <w:pPr>
        <w:tabs>
          <w:tab w:val="left" w:pos="680"/>
        </w:tabs>
        <w:spacing w:before="240" w:after="120" w:line="260" w:lineRule="exact"/>
        <w:jc w:val="center"/>
        <w:rPr>
          <w:b/>
          <w:sz w:val="22"/>
        </w:rPr>
      </w:pPr>
      <w:r>
        <w:rPr>
          <w:b/>
          <w:sz w:val="22"/>
        </w:rPr>
        <w:t>Диаграмма 3</w:t>
      </w:r>
      <w:r>
        <w:rPr>
          <w:b/>
          <w:sz w:val="22"/>
        </w:rPr>
        <w:br/>
        <w:t xml:space="preserve">Изменение числа женщин – владельцев предприятий </w:t>
      </w:r>
      <w:r>
        <w:rPr>
          <w:b/>
          <w:sz w:val="22"/>
        </w:rPr>
        <w:br/>
        <w:t xml:space="preserve">по секторам экономической деятельности, 1990–1999 годы </w:t>
      </w:r>
      <w:r>
        <w:rPr>
          <w:b/>
          <w:sz w:val="22"/>
        </w:rPr>
        <w:br/>
      </w:r>
      <w:r>
        <w:rPr>
          <w:sz w:val="22"/>
        </w:rPr>
        <w:t>(в процентах)</w:t>
      </w:r>
    </w:p>
    <w:p w:rsidR="00000000" w:rsidRDefault="00000000">
      <w:pPr>
        <w:tabs>
          <w:tab w:val="left" w:pos="680"/>
        </w:tabs>
        <w:jc w:val="center"/>
        <w:rPr>
          <w:sz w:val="22"/>
        </w:rPr>
      </w:pPr>
      <w:r>
        <w:rPr>
          <w:sz w:val="22"/>
        </w:rPr>
        <w:pict>
          <v:shape id="_x0000_i1027" type="#_x0000_t75" style="width:306pt;height:192pt">
            <v:imagedata r:id="rId24" o:title="F_3"/>
          </v:shape>
        </w:pict>
      </w:r>
    </w:p>
    <w:p w:rsidR="00000000" w:rsidRDefault="00000000">
      <w:pPr>
        <w:tabs>
          <w:tab w:val="left" w:pos="680"/>
        </w:tabs>
        <w:spacing w:line="260" w:lineRule="exact"/>
        <w:jc w:val="both"/>
        <w:rPr>
          <w:sz w:val="20"/>
        </w:rPr>
      </w:pPr>
      <w:r>
        <w:rPr>
          <w:b/>
          <w:sz w:val="20"/>
        </w:rPr>
        <w:t>Источник:</w:t>
      </w:r>
      <w:r>
        <w:rPr>
          <w:sz w:val="20"/>
        </w:rPr>
        <w:t xml:space="preserve"> ИНЕК–МТСС. Многоцелевой опрос семей. Данные за несколько лет.</w:t>
      </w:r>
    </w:p>
    <w:p w:rsidR="00000000" w:rsidRDefault="00000000">
      <w:pPr>
        <w:tabs>
          <w:tab w:val="left" w:pos="680"/>
        </w:tabs>
        <w:spacing w:before="240" w:line="260" w:lineRule="exact"/>
        <w:jc w:val="both"/>
        <w:rPr>
          <w:sz w:val="22"/>
        </w:rPr>
      </w:pPr>
      <w:r>
        <w:rPr>
          <w:sz w:val="22"/>
        </w:rPr>
        <w:t>366.</w:t>
      </w:r>
      <w:r>
        <w:rPr>
          <w:sz w:val="22"/>
        </w:rPr>
        <w:tab/>
        <w:t>Увеличилось количество рабочих мест на предприятиях с числом наемных работников от одного до девяти человек, созданных женщинами, по сравнению с предприятиями, созданными мужчинами. Пропорция созданных женщинами рабочих мест увеличилась за десятилетие с 10 до 21 процента, прежде всего в торговле и промышленном производстве. Таким образом, увеличилось не только число женщин – владельцев предприятий, но и количество создаваемых ими рабочих мест (проект "Состояние нации", 2001 год). По зонам проживания эта пропорция выше для женщин-владельцев, проживающих в городах, но рост пропорции отмечен и для сельской местности.</w:t>
      </w:r>
    </w:p>
    <w:p w:rsidR="00000000" w:rsidRDefault="00000000">
      <w:pPr>
        <w:tabs>
          <w:tab w:val="left" w:pos="680"/>
        </w:tabs>
        <w:spacing w:before="240" w:line="260" w:lineRule="exact"/>
        <w:jc w:val="both"/>
        <w:rPr>
          <w:sz w:val="22"/>
        </w:rPr>
      </w:pPr>
      <w:r>
        <w:rPr>
          <w:sz w:val="22"/>
        </w:rPr>
        <w:t xml:space="preserve">367. </w:t>
      </w:r>
      <w:r>
        <w:rPr>
          <w:sz w:val="22"/>
        </w:rPr>
        <w:tab/>
        <w:t>Эта возможность роста активности женщин-предпринимателей должна быть поддержана государством: прежде всего должны получить поддержку женщины-предприниматели, принадлежащие к бедным слоям населения; такая поддержка явится одной из форм повышения эффективности борьбы с бедностью. Отмечается, что, несмотря на достигнутые результаты, самыми бедными по-прежнему являются семьи, возглавляемые женщинами. Женщины – владельцы наиболее процветающих предприятий происходят в основном из высшего или среднего класса, в то время как женщины из низших классов заняты деятельностью по самообеспечению и маргинальными видами деятельности (</w:t>
      </w:r>
      <w:r>
        <w:rPr>
          <w:sz w:val="22"/>
          <w:lang w:val="en-US"/>
        </w:rPr>
        <w:t>Trejos</w:t>
      </w:r>
      <w:r>
        <w:rPr>
          <w:sz w:val="22"/>
        </w:rPr>
        <w:t>, 2000). Более высокий экономический уровень первых позволил им вложить значительные инвестиции в свои предприятия. Таким образом, следует отметить, что при соответствующей финансовой и технической поддержке женщины-предприниматели из бедных слоев смогут увеличить производительность своих предприятий и повысить уровень своего благосостояния.</w:t>
      </w:r>
    </w:p>
    <w:p w:rsidR="00000000" w:rsidRDefault="00000000">
      <w:pPr>
        <w:tabs>
          <w:tab w:val="left" w:pos="680"/>
        </w:tabs>
        <w:spacing w:line="260" w:lineRule="exact"/>
        <w:jc w:val="both"/>
        <w:rPr>
          <w:sz w:val="22"/>
        </w:rPr>
      </w:pPr>
    </w:p>
    <w:p w:rsidR="00000000" w:rsidRDefault="00000000">
      <w:pPr>
        <w:pStyle w:val="Heading1"/>
        <w:tabs>
          <w:tab w:val="left" w:pos="680"/>
        </w:tabs>
        <w:spacing w:before="240" w:line="260" w:lineRule="exact"/>
        <w:jc w:val="both"/>
        <w:rPr>
          <w:sz w:val="22"/>
        </w:rPr>
      </w:pPr>
      <w:r>
        <w:rPr>
          <w:sz w:val="22"/>
        </w:rPr>
        <w:t>Женщины, работающие в неформальном секторе</w:t>
      </w:r>
    </w:p>
    <w:p w:rsidR="00000000" w:rsidRDefault="00000000">
      <w:pPr>
        <w:tabs>
          <w:tab w:val="left" w:pos="680"/>
        </w:tabs>
        <w:spacing w:before="240" w:line="260" w:lineRule="exact"/>
        <w:jc w:val="both"/>
        <w:rPr>
          <w:sz w:val="22"/>
        </w:rPr>
      </w:pPr>
      <w:r>
        <w:rPr>
          <w:sz w:val="22"/>
        </w:rPr>
        <w:t>368.</w:t>
      </w:r>
      <w:r>
        <w:rPr>
          <w:sz w:val="22"/>
        </w:rPr>
        <w:tab/>
        <w:t xml:space="preserve">Среди населения, занятого в малопродуктивных секторах экономики, женщин больше, чем мужчин. По уровню доходов мужчины находятся на уровне "простого накопления" и "расширенного накопления", то есть, несмотря на то что их деятельность малопродуктивна, они имеют возможность накапливать средства и создавать в дальнейшем малые производственные предприятия, в то время как доходы женщины могут только обеспечить уровень выживания; бóльшая часть женщин заняты надомным трудом (проект "Состояние нации", 2001 год).  </w:t>
      </w:r>
    </w:p>
    <w:p w:rsidR="00000000" w:rsidRDefault="00000000">
      <w:pPr>
        <w:tabs>
          <w:tab w:val="left" w:pos="680"/>
        </w:tabs>
        <w:spacing w:before="240" w:line="260" w:lineRule="exact"/>
        <w:jc w:val="center"/>
        <w:rPr>
          <w:b/>
          <w:sz w:val="22"/>
        </w:rPr>
      </w:pPr>
      <w:r>
        <w:rPr>
          <w:b/>
          <w:sz w:val="22"/>
        </w:rPr>
        <w:t>Таблица 11</w:t>
      </w:r>
    </w:p>
    <w:p w:rsidR="00000000" w:rsidRDefault="00000000">
      <w:pPr>
        <w:tabs>
          <w:tab w:val="left" w:pos="680"/>
        </w:tabs>
        <w:spacing w:before="120" w:after="120" w:line="260" w:lineRule="exact"/>
        <w:jc w:val="center"/>
        <w:rPr>
          <w:sz w:val="22"/>
        </w:rPr>
      </w:pPr>
      <w:r>
        <w:rPr>
          <w:b/>
          <w:sz w:val="22"/>
        </w:rPr>
        <w:t xml:space="preserve">Процент населения, занятого в малопродуктивных секторах экономики, </w:t>
      </w:r>
      <w:r>
        <w:rPr>
          <w:b/>
          <w:sz w:val="22"/>
        </w:rPr>
        <w:br/>
        <w:t>с разбивкой по уровню сектора и по полу, Коста-Рика, 2000 год</w:t>
      </w:r>
    </w:p>
    <w:tbl>
      <w:tblPr>
        <w:tblW w:w="0" w:type="auto"/>
        <w:jc w:val="center"/>
        <w:tblLayout w:type="fixed"/>
        <w:tblCellMar>
          <w:left w:w="56" w:type="dxa"/>
          <w:right w:w="56" w:type="dxa"/>
        </w:tblCellMar>
        <w:tblLook w:val="0000" w:firstRow="0" w:lastRow="0" w:firstColumn="0" w:lastColumn="0" w:noHBand="0" w:noVBand="0"/>
      </w:tblPr>
      <w:tblGrid>
        <w:gridCol w:w="2552"/>
        <w:gridCol w:w="1134"/>
        <w:gridCol w:w="1134"/>
        <w:gridCol w:w="1134"/>
      </w:tblGrid>
      <w:tr w:rsidR="00000000">
        <w:tblPrEx>
          <w:tblCellMar>
            <w:top w:w="0" w:type="dxa"/>
            <w:bottom w:w="0" w:type="dxa"/>
          </w:tblCellMar>
        </w:tblPrEx>
        <w:trPr>
          <w:jc w:val="center"/>
        </w:trPr>
        <w:tc>
          <w:tcPr>
            <w:tcW w:w="2552" w:type="dxa"/>
            <w:tcBorders>
              <w:top w:val="single" w:sz="4" w:space="0" w:color="auto"/>
              <w:bottom w:val="single" w:sz="4" w:space="0" w:color="auto"/>
            </w:tcBorders>
          </w:tcPr>
          <w:p w:rsidR="00000000" w:rsidRDefault="00000000">
            <w:pPr>
              <w:tabs>
                <w:tab w:val="left" w:pos="680"/>
              </w:tabs>
              <w:spacing w:before="80" w:after="80"/>
              <w:jc w:val="both"/>
              <w:rPr>
                <w:b/>
                <w:sz w:val="20"/>
              </w:rPr>
            </w:pPr>
            <w:r>
              <w:rPr>
                <w:b/>
                <w:sz w:val="20"/>
              </w:rPr>
              <w:t xml:space="preserve">Уровень </w:t>
            </w:r>
          </w:p>
        </w:tc>
        <w:tc>
          <w:tcPr>
            <w:tcW w:w="1134" w:type="dxa"/>
            <w:tcBorders>
              <w:top w:val="single" w:sz="4" w:space="0" w:color="auto"/>
              <w:bottom w:val="single" w:sz="4" w:space="0" w:color="auto"/>
            </w:tcBorders>
          </w:tcPr>
          <w:p w:rsidR="00000000" w:rsidRDefault="00000000">
            <w:pPr>
              <w:tabs>
                <w:tab w:val="left" w:pos="680"/>
              </w:tabs>
              <w:spacing w:before="80" w:after="80"/>
              <w:jc w:val="center"/>
              <w:rPr>
                <w:b/>
                <w:sz w:val="20"/>
              </w:rPr>
            </w:pPr>
            <w:r>
              <w:rPr>
                <w:b/>
                <w:sz w:val="20"/>
              </w:rPr>
              <w:t>Мужчины</w:t>
            </w:r>
          </w:p>
        </w:tc>
        <w:tc>
          <w:tcPr>
            <w:tcW w:w="1134" w:type="dxa"/>
            <w:tcBorders>
              <w:top w:val="single" w:sz="4" w:space="0" w:color="auto"/>
              <w:bottom w:val="single" w:sz="4" w:space="0" w:color="auto"/>
            </w:tcBorders>
          </w:tcPr>
          <w:p w:rsidR="00000000" w:rsidRDefault="00000000">
            <w:pPr>
              <w:tabs>
                <w:tab w:val="left" w:pos="680"/>
              </w:tabs>
              <w:spacing w:before="80" w:after="80"/>
              <w:jc w:val="center"/>
              <w:rPr>
                <w:b/>
                <w:sz w:val="20"/>
              </w:rPr>
            </w:pPr>
            <w:r>
              <w:rPr>
                <w:b/>
                <w:sz w:val="20"/>
              </w:rPr>
              <w:t>Женщины</w:t>
            </w:r>
          </w:p>
        </w:tc>
        <w:tc>
          <w:tcPr>
            <w:tcW w:w="1134" w:type="dxa"/>
            <w:tcBorders>
              <w:top w:val="single" w:sz="4" w:space="0" w:color="auto"/>
              <w:bottom w:val="single" w:sz="4" w:space="0" w:color="auto"/>
            </w:tcBorders>
          </w:tcPr>
          <w:p w:rsidR="00000000" w:rsidRDefault="00000000">
            <w:pPr>
              <w:tabs>
                <w:tab w:val="left" w:pos="680"/>
              </w:tabs>
              <w:spacing w:before="80" w:after="80"/>
              <w:jc w:val="center"/>
              <w:rPr>
                <w:b/>
                <w:sz w:val="20"/>
              </w:rPr>
            </w:pPr>
            <w:r>
              <w:rPr>
                <w:b/>
                <w:sz w:val="20"/>
              </w:rPr>
              <w:t>Разница</w:t>
            </w:r>
          </w:p>
        </w:tc>
      </w:tr>
      <w:tr w:rsidR="00000000">
        <w:tblPrEx>
          <w:tblCellMar>
            <w:top w:w="0" w:type="dxa"/>
            <w:bottom w:w="0" w:type="dxa"/>
          </w:tblCellMar>
        </w:tblPrEx>
        <w:trPr>
          <w:jc w:val="center"/>
        </w:trPr>
        <w:tc>
          <w:tcPr>
            <w:tcW w:w="2552" w:type="dxa"/>
            <w:tcBorders>
              <w:top w:val="single" w:sz="4" w:space="0" w:color="auto"/>
            </w:tcBorders>
          </w:tcPr>
          <w:p w:rsidR="00000000" w:rsidRDefault="00000000">
            <w:pPr>
              <w:pStyle w:val="Heading5"/>
              <w:tabs>
                <w:tab w:val="left" w:pos="680"/>
              </w:tabs>
              <w:spacing w:before="40" w:after="40" w:line="240" w:lineRule="auto"/>
              <w:rPr>
                <w:b w:val="0"/>
              </w:rPr>
            </w:pPr>
            <w:r>
              <w:rPr>
                <w:b w:val="0"/>
              </w:rPr>
              <w:t>Всего</w:t>
            </w:r>
          </w:p>
        </w:tc>
        <w:tc>
          <w:tcPr>
            <w:tcW w:w="1134" w:type="dxa"/>
            <w:tcBorders>
              <w:top w:val="single" w:sz="4" w:space="0" w:color="auto"/>
            </w:tcBorders>
          </w:tcPr>
          <w:p w:rsidR="00000000" w:rsidRDefault="00000000">
            <w:pPr>
              <w:tabs>
                <w:tab w:val="decimal" w:pos="454"/>
              </w:tabs>
              <w:spacing w:before="40" w:after="40"/>
              <w:jc w:val="both"/>
              <w:rPr>
                <w:sz w:val="20"/>
              </w:rPr>
            </w:pPr>
            <w:r>
              <w:rPr>
                <w:sz w:val="20"/>
              </w:rPr>
              <w:t>25,4</w:t>
            </w:r>
          </w:p>
        </w:tc>
        <w:tc>
          <w:tcPr>
            <w:tcW w:w="1134" w:type="dxa"/>
            <w:tcBorders>
              <w:top w:val="single" w:sz="4" w:space="0" w:color="auto"/>
            </w:tcBorders>
          </w:tcPr>
          <w:p w:rsidR="00000000" w:rsidRDefault="00000000">
            <w:pPr>
              <w:tabs>
                <w:tab w:val="decimal" w:pos="454"/>
              </w:tabs>
              <w:spacing w:before="40" w:after="40"/>
              <w:jc w:val="both"/>
              <w:rPr>
                <w:sz w:val="20"/>
              </w:rPr>
            </w:pPr>
            <w:r>
              <w:rPr>
                <w:sz w:val="20"/>
              </w:rPr>
              <w:t>41,0</w:t>
            </w:r>
          </w:p>
        </w:tc>
        <w:tc>
          <w:tcPr>
            <w:tcW w:w="1134" w:type="dxa"/>
            <w:tcBorders>
              <w:top w:val="single" w:sz="4" w:space="0" w:color="auto"/>
            </w:tcBorders>
          </w:tcPr>
          <w:p w:rsidR="00000000" w:rsidRDefault="00000000">
            <w:pPr>
              <w:tabs>
                <w:tab w:val="decimal" w:pos="454"/>
              </w:tabs>
              <w:spacing w:before="40" w:after="40"/>
              <w:jc w:val="both"/>
              <w:rPr>
                <w:sz w:val="20"/>
              </w:rPr>
            </w:pPr>
            <w:r>
              <w:rPr>
                <w:sz w:val="20"/>
              </w:rPr>
              <w:t>–15,5</w:t>
            </w:r>
          </w:p>
        </w:tc>
      </w:tr>
      <w:tr w:rsidR="00000000">
        <w:tblPrEx>
          <w:tblCellMar>
            <w:top w:w="0" w:type="dxa"/>
            <w:bottom w:w="0" w:type="dxa"/>
          </w:tblCellMar>
        </w:tblPrEx>
        <w:trPr>
          <w:jc w:val="center"/>
        </w:trPr>
        <w:tc>
          <w:tcPr>
            <w:tcW w:w="2552" w:type="dxa"/>
          </w:tcPr>
          <w:p w:rsidR="00000000" w:rsidRDefault="00000000">
            <w:pPr>
              <w:tabs>
                <w:tab w:val="left" w:pos="680"/>
              </w:tabs>
              <w:spacing w:before="40" w:after="40"/>
              <w:jc w:val="both"/>
              <w:rPr>
                <w:sz w:val="20"/>
              </w:rPr>
            </w:pPr>
            <w:r>
              <w:rPr>
                <w:sz w:val="20"/>
              </w:rPr>
              <w:t>Расширенное накопление</w:t>
            </w:r>
          </w:p>
        </w:tc>
        <w:tc>
          <w:tcPr>
            <w:tcW w:w="1134" w:type="dxa"/>
          </w:tcPr>
          <w:p w:rsidR="00000000" w:rsidRDefault="00000000">
            <w:pPr>
              <w:tabs>
                <w:tab w:val="decimal" w:pos="454"/>
              </w:tabs>
              <w:spacing w:before="40" w:after="40"/>
              <w:jc w:val="both"/>
              <w:rPr>
                <w:sz w:val="20"/>
              </w:rPr>
            </w:pPr>
            <w:r>
              <w:rPr>
                <w:sz w:val="20"/>
              </w:rPr>
              <w:t>5,5</w:t>
            </w:r>
          </w:p>
        </w:tc>
        <w:tc>
          <w:tcPr>
            <w:tcW w:w="1134" w:type="dxa"/>
          </w:tcPr>
          <w:p w:rsidR="00000000" w:rsidRDefault="00000000">
            <w:pPr>
              <w:tabs>
                <w:tab w:val="decimal" w:pos="454"/>
              </w:tabs>
              <w:spacing w:before="40" w:after="40"/>
              <w:jc w:val="both"/>
              <w:rPr>
                <w:sz w:val="20"/>
              </w:rPr>
            </w:pPr>
            <w:r>
              <w:rPr>
                <w:sz w:val="20"/>
              </w:rPr>
              <w:t>3,9</w:t>
            </w:r>
          </w:p>
        </w:tc>
        <w:tc>
          <w:tcPr>
            <w:tcW w:w="1134" w:type="dxa"/>
          </w:tcPr>
          <w:p w:rsidR="00000000" w:rsidRDefault="00000000">
            <w:pPr>
              <w:tabs>
                <w:tab w:val="decimal" w:pos="454"/>
              </w:tabs>
              <w:spacing w:before="40" w:after="40"/>
              <w:jc w:val="both"/>
              <w:rPr>
                <w:sz w:val="20"/>
              </w:rPr>
            </w:pPr>
            <w:r>
              <w:rPr>
                <w:sz w:val="20"/>
              </w:rPr>
              <w:t>1,6</w:t>
            </w:r>
          </w:p>
        </w:tc>
      </w:tr>
      <w:tr w:rsidR="00000000">
        <w:tblPrEx>
          <w:tblCellMar>
            <w:top w:w="0" w:type="dxa"/>
            <w:bottom w:w="0" w:type="dxa"/>
          </w:tblCellMar>
        </w:tblPrEx>
        <w:trPr>
          <w:jc w:val="center"/>
        </w:trPr>
        <w:tc>
          <w:tcPr>
            <w:tcW w:w="2552" w:type="dxa"/>
          </w:tcPr>
          <w:p w:rsidR="00000000" w:rsidRDefault="00000000">
            <w:pPr>
              <w:tabs>
                <w:tab w:val="left" w:pos="680"/>
              </w:tabs>
              <w:spacing w:before="40" w:after="40"/>
              <w:jc w:val="both"/>
              <w:rPr>
                <w:sz w:val="20"/>
              </w:rPr>
            </w:pPr>
            <w:r>
              <w:rPr>
                <w:sz w:val="20"/>
              </w:rPr>
              <w:t>Простое накопление</w:t>
            </w:r>
          </w:p>
        </w:tc>
        <w:tc>
          <w:tcPr>
            <w:tcW w:w="1134" w:type="dxa"/>
          </w:tcPr>
          <w:p w:rsidR="00000000" w:rsidRDefault="00000000">
            <w:pPr>
              <w:tabs>
                <w:tab w:val="decimal" w:pos="454"/>
              </w:tabs>
              <w:spacing w:before="40" w:after="40"/>
              <w:jc w:val="both"/>
              <w:rPr>
                <w:sz w:val="20"/>
              </w:rPr>
            </w:pPr>
            <w:r>
              <w:rPr>
                <w:sz w:val="20"/>
              </w:rPr>
              <w:t>13,1</w:t>
            </w:r>
          </w:p>
        </w:tc>
        <w:tc>
          <w:tcPr>
            <w:tcW w:w="1134" w:type="dxa"/>
          </w:tcPr>
          <w:p w:rsidR="00000000" w:rsidRDefault="00000000">
            <w:pPr>
              <w:tabs>
                <w:tab w:val="decimal" w:pos="454"/>
              </w:tabs>
              <w:spacing w:before="40" w:after="40"/>
              <w:jc w:val="both"/>
              <w:rPr>
                <w:sz w:val="20"/>
              </w:rPr>
            </w:pPr>
            <w:r>
              <w:rPr>
                <w:sz w:val="20"/>
              </w:rPr>
              <w:t>9,8</w:t>
            </w:r>
          </w:p>
        </w:tc>
        <w:tc>
          <w:tcPr>
            <w:tcW w:w="1134" w:type="dxa"/>
          </w:tcPr>
          <w:p w:rsidR="00000000" w:rsidRDefault="00000000">
            <w:pPr>
              <w:tabs>
                <w:tab w:val="decimal" w:pos="454"/>
              </w:tabs>
              <w:spacing w:before="40" w:after="40"/>
              <w:jc w:val="both"/>
              <w:rPr>
                <w:sz w:val="20"/>
              </w:rPr>
            </w:pPr>
            <w:r>
              <w:rPr>
                <w:sz w:val="20"/>
              </w:rPr>
              <w:t>3,3</w:t>
            </w:r>
          </w:p>
        </w:tc>
      </w:tr>
      <w:tr w:rsidR="00000000">
        <w:tblPrEx>
          <w:tblCellMar>
            <w:top w:w="0" w:type="dxa"/>
            <w:bottom w:w="0" w:type="dxa"/>
          </w:tblCellMar>
        </w:tblPrEx>
        <w:trPr>
          <w:jc w:val="center"/>
        </w:trPr>
        <w:tc>
          <w:tcPr>
            <w:tcW w:w="2552" w:type="dxa"/>
          </w:tcPr>
          <w:p w:rsidR="00000000" w:rsidRDefault="00000000">
            <w:pPr>
              <w:tabs>
                <w:tab w:val="left" w:pos="680"/>
              </w:tabs>
              <w:spacing w:before="40" w:after="40"/>
              <w:jc w:val="both"/>
              <w:rPr>
                <w:sz w:val="20"/>
              </w:rPr>
            </w:pPr>
            <w:r>
              <w:rPr>
                <w:sz w:val="20"/>
              </w:rPr>
              <w:t>Уровень выживания</w:t>
            </w:r>
          </w:p>
        </w:tc>
        <w:tc>
          <w:tcPr>
            <w:tcW w:w="1134" w:type="dxa"/>
          </w:tcPr>
          <w:p w:rsidR="00000000" w:rsidRDefault="00000000">
            <w:pPr>
              <w:tabs>
                <w:tab w:val="decimal" w:pos="454"/>
              </w:tabs>
              <w:spacing w:before="40" w:after="40"/>
              <w:jc w:val="both"/>
              <w:rPr>
                <w:sz w:val="20"/>
              </w:rPr>
            </w:pPr>
            <w:r>
              <w:rPr>
                <w:sz w:val="20"/>
              </w:rPr>
              <w:t>6,5</w:t>
            </w:r>
          </w:p>
        </w:tc>
        <w:tc>
          <w:tcPr>
            <w:tcW w:w="1134" w:type="dxa"/>
          </w:tcPr>
          <w:p w:rsidR="00000000" w:rsidRDefault="00000000">
            <w:pPr>
              <w:tabs>
                <w:tab w:val="decimal" w:pos="454"/>
              </w:tabs>
              <w:spacing w:before="40" w:after="40"/>
              <w:jc w:val="both"/>
              <w:rPr>
                <w:sz w:val="20"/>
              </w:rPr>
            </w:pPr>
            <w:r>
              <w:rPr>
                <w:sz w:val="20"/>
              </w:rPr>
              <w:t>12,8</w:t>
            </w:r>
          </w:p>
        </w:tc>
        <w:tc>
          <w:tcPr>
            <w:tcW w:w="1134" w:type="dxa"/>
          </w:tcPr>
          <w:p w:rsidR="00000000" w:rsidRDefault="00000000">
            <w:pPr>
              <w:tabs>
                <w:tab w:val="decimal" w:pos="454"/>
              </w:tabs>
              <w:spacing w:before="40" w:after="40"/>
              <w:jc w:val="both"/>
              <w:rPr>
                <w:sz w:val="20"/>
              </w:rPr>
            </w:pPr>
            <w:r>
              <w:rPr>
                <w:sz w:val="20"/>
              </w:rPr>
              <w:t>–6,3</w:t>
            </w:r>
          </w:p>
        </w:tc>
      </w:tr>
      <w:tr w:rsidR="00000000">
        <w:tblPrEx>
          <w:tblCellMar>
            <w:top w:w="0" w:type="dxa"/>
            <w:bottom w:w="0" w:type="dxa"/>
          </w:tblCellMar>
        </w:tblPrEx>
        <w:trPr>
          <w:jc w:val="center"/>
        </w:trPr>
        <w:tc>
          <w:tcPr>
            <w:tcW w:w="2552" w:type="dxa"/>
            <w:tcBorders>
              <w:bottom w:val="single" w:sz="4" w:space="0" w:color="auto"/>
            </w:tcBorders>
          </w:tcPr>
          <w:p w:rsidR="00000000" w:rsidRDefault="00000000">
            <w:pPr>
              <w:tabs>
                <w:tab w:val="left" w:pos="680"/>
              </w:tabs>
              <w:spacing w:before="40" w:after="40"/>
              <w:jc w:val="both"/>
              <w:rPr>
                <w:sz w:val="20"/>
              </w:rPr>
            </w:pPr>
            <w:r>
              <w:rPr>
                <w:sz w:val="20"/>
              </w:rPr>
              <w:t>Домашний труд</w:t>
            </w:r>
          </w:p>
        </w:tc>
        <w:tc>
          <w:tcPr>
            <w:tcW w:w="1134" w:type="dxa"/>
            <w:tcBorders>
              <w:bottom w:val="single" w:sz="4" w:space="0" w:color="auto"/>
            </w:tcBorders>
          </w:tcPr>
          <w:p w:rsidR="00000000" w:rsidRDefault="00000000">
            <w:pPr>
              <w:tabs>
                <w:tab w:val="decimal" w:pos="454"/>
              </w:tabs>
              <w:spacing w:before="40" w:after="40"/>
              <w:jc w:val="both"/>
              <w:rPr>
                <w:sz w:val="20"/>
              </w:rPr>
            </w:pPr>
            <w:r>
              <w:rPr>
                <w:sz w:val="20"/>
              </w:rPr>
              <w:t>0,4</w:t>
            </w:r>
          </w:p>
        </w:tc>
        <w:tc>
          <w:tcPr>
            <w:tcW w:w="1134" w:type="dxa"/>
            <w:tcBorders>
              <w:bottom w:val="single" w:sz="4" w:space="0" w:color="auto"/>
            </w:tcBorders>
          </w:tcPr>
          <w:p w:rsidR="00000000" w:rsidRDefault="00000000">
            <w:pPr>
              <w:tabs>
                <w:tab w:val="decimal" w:pos="454"/>
              </w:tabs>
              <w:spacing w:before="40" w:after="40"/>
              <w:jc w:val="both"/>
              <w:rPr>
                <w:sz w:val="20"/>
              </w:rPr>
            </w:pPr>
            <w:r>
              <w:rPr>
                <w:sz w:val="20"/>
              </w:rPr>
              <w:t>14,5</w:t>
            </w:r>
          </w:p>
        </w:tc>
        <w:tc>
          <w:tcPr>
            <w:tcW w:w="1134" w:type="dxa"/>
            <w:tcBorders>
              <w:bottom w:val="single" w:sz="4" w:space="0" w:color="auto"/>
            </w:tcBorders>
          </w:tcPr>
          <w:p w:rsidR="00000000" w:rsidRDefault="00000000">
            <w:pPr>
              <w:tabs>
                <w:tab w:val="decimal" w:pos="454"/>
              </w:tabs>
              <w:spacing w:before="40" w:after="40"/>
              <w:jc w:val="both"/>
              <w:rPr>
                <w:sz w:val="20"/>
              </w:rPr>
            </w:pPr>
            <w:r>
              <w:rPr>
                <w:sz w:val="20"/>
              </w:rPr>
              <w:t>–14,1</w:t>
            </w:r>
          </w:p>
        </w:tc>
      </w:tr>
    </w:tbl>
    <w:p w:rsidR="00000000" w:rsidRDefault="00000000">
      <w:pPr>
        <w:tabs>
          <w:tab w:val="left" w:pos="1418"/>
        </w:tabs>
        <w:spacing w:before="120" w:line="260" w:lineRule="exact"/>
        <w:jc w:val="both"/>
        <w:rPr>
          <w:sz w:val="20"/>
        </w:rPr>
      </w:pPr>
      <w:r>
        <w:rPr>
          <w:b/>
          <w:sz w:val="20"/>
        </w:rPr>
        <w:tab/>
        <w:t>Источник:</w:t>
      </w:r>
      <w:r>
        <w:rPr>
          <w:sz w:val="20"/>
        </w:rPr>
        <w:t xml:space="preserve"> Проект "Состояние нации", 2001 год.</w:t>
      </w:r>
    </w:p>
    <w:p w:rsidR="00000000" w:rsidRDefault="00000000">
      <w:pPr>
        <w:tabs>
          <w:tab w:val="left" w:pos="680"/>
        </w:tabs>
        <w:spacing w:before="240" w:line="260" w:lineRule="exact"/>
        <w:jc w:val="both"/>
        <w:rPr>
          <w:sz w:val="22"/>
        </w:rPr>
      </w:pPr>
      <w:r>
        <w:rPr>
          <w:sz w:val="22"/>
        </w:rPr>
        <w:t>369.</w:t>
      </w:r>
      <w:r>
        <w:rPr>
          <w:sz w:val="22"/>
        </w:rPr>
        <w:tab/>
        <w:t>Связанный с процессом глобализации и открытости экономики постоянный рост числа женщин, занятых на временных и непостоянных работах, таких как самозанятость, мелкий и сверхмелкий бизнес, является, по мнению женских организаций, одной из причин ухудшения качества жизни женщин и нарушения их трудовых прав.</w:t>
      </w:r>
    </w:p>
    <w:p w:rsidR="00000000" w:rsidRDefault="00000000">
      <w:pPr>
        <w:pStyle w:val="Heading1"/>
        <w:tabs>
          <w:tab w:val="left" w:pos="680"/>
        </w:tabs>
        <w:spacing w:line="260" w:lineRule="exact"/>
        <w:jc w:val="both"/>
        <w:rPr>
          <w:sz w:val="22"/>
        </w:rPr>
      </w:pPr>
    </w:p>
    <w:p w:rsidR="00000000" w:rsidRDefault="00000000">
      <w:pPr>
        <w:pStyle w:val="Heading1"/>
        <w:tabs>
          <w:tab w:val="left" w:pos="680"/>
        </w:tabs>
        <w:spacing w:before="240" w:line="260" w:lineRule="exact"/>
        <w:jc w:val="both"/>
        <w:rPr>
          <w:sz w:val="22"/>
        </w:rPr>
      </w:pPr>
      <w:r>
        <w:rPr>
          <w:sz w:val="22"/>
        </w:rPr>
        <w:t>Неоплачиваемый домашний труд</w:t>
      </w:r>
    </w:p>
    <w:p w:rsidR="00000000" w:rsidRDefault="00000000">
      <w:pPr>
        <w:tabs>
          <w:tab w:val="left" w:pos="680"/>
        </w:tabs>
        <w:spacing w:before="240" w:line="260" w:lineRule="exact"/>
        <w:jc w:val="both"/>
        <w:rPr>
          <w:sz w:val="22"/>
        </w:rPr>
      </w:pPr>
      <w:r>
        <w:rPr>
          <w:sz w:val="22"/>
        </w:rPr>
        <w:t xml:space="preserve">370. </w:t>
      </w:r>
      <w:r>
        <w:rPr>
          <w:sz w:val="22"/>
        </w:rPr>
        <w:tab/>
        <w:t xml:space="preserve">Труд по воспроизводству населения, которым в основном заняты женщины, не учитывается в Системе национальных счетов. В рамках проекта "Состояние нации" с 1996 года делались попытки подсчитать, какой вклад вносит этот труд в валовой внутренний продукт в денежном выражении. Невозможность подсчитать, сколько времени уделяют женщины домашнему труду, поскольку в стране не проводится опрос об использовании времени, не позволяет установить этот показатель с большей точностью. Однако, несмотря на все вышесказанное и на несовершенство методики подсчетов (см. проект "Состояние нации", 1998 год, четвертый доклад), эти подсчеты, тем не менее, достаточно точны для того, чтобы опровергнуть традиционное убеждение, что вклад женщин, занятых домашним трудом, равняется нулю. </w:t>
      </w:r>
    </w:p>
    <w:p w:rsidR="00000000" w:rsidRDefault="00000000">
      <w:pPr>
        <w:tabs>
          <w:tab w:val="left" w:pos="680"/>
        </w:tabs>
        <w:spacing w:before="240" w:line="260" w:lineRule="exact"/>
        <w:jc w:val="both"/>
        <w:rPr>
          <w:sz w:val="22"/>
        </w:rPr>
      </w:pPr>
    </w:p>
    <w:p w:rsidR="00000000" w:rsidRDefault="00000000">
      <w:pPr>
        <w:tabs>
          <w:tab w:val="left" w:pos="680"/>
        </w:tabs>
        <w:spacing w:line="260" w:lineRule="exact"/>
        <w:jc w:val="center"/>
        <w:rPr>
          <w:b/>
          <w:sz w:val="22"/>
        </w:rPr>
      </w:pPr>
      <w:r>
        <w:rPr>
          <w:b/>
          <w:sz w:val="22"/>
        </w:rPr>
        <w:br w:type="page"/>
        <w:t>Таблица 12</w:t>
      </w:r>
    </w:p>
    <w:p w:rsidR="00000000" w:rsidRDefault="00000000">
      <w:pPr>
        <w:tabs>
          <w:tab w:val="left" w:pos="680"/>
        </w:tabs>
        <w:spacing w:before="120" w:after="120" w:line="260" w:lineRule="exact"/>
        <w:jc w:val="center"/>
        <w:rPr>
          <w:b/>
          <w:sz w:val="22"/>
        </w:rPr>
      </w:pPr>
      <w:r>
        <w:rPr>
          <w:b/>
          <w:sz w:val="22"/>
        </w:rPr>
        <w:t xml:space="preserve">Стоимость неоплачиваемого домашнего труда в процентах от валового </w:t>
      </w:r>
      <w:r>
        <w:rPr>
          <w:b/>
          <w:sz w:val="22"/>
        </w:rPr>
        <w:br/>
        <w:t>внутреннего продукта на душу населения, 1995–1997 годы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5670"/>
        <w:gridCol w:w="851"/>
        <w:gridCol w:w="851"/>
        <w:gridCol w:w="851"/>
      </w:tblGrid>
      <w:tr w:rsidR="00000000">
        <w:tblPrEx>
          <w:tblCellMar>
            <w:top w:w="0" w:type="dxa"/>
            <w:bottom w:w="0" w:type="dxa"/>
          </w:tblCellMar>
        </w:tblPrEx>
        <w:trPr>
          <w:jc w:val="center"/>
        </w:trPr>
        <w:tc>
          <w:tcPr>
            <w:tcW w:w="5670" w:type="dxa"/>
            <w:tcBorders>
              <w:bottom w:val="single" w:sz="4" w:space="0" w:color="auto"/>
              <w:right w:val="nil"/>
            </w:tcBorders>
          </w:tcPr>
          <w:p w:rsidR="00000000" w:rsidRDefault="00000000">
            <w:pPr>
              <w:pStyle w:val="FootnoteText"/>
              <w:tabs>
                <w:tab w:val="left" w:pos="680"/>
              </w:tabs>
              <w:spacing w:before="60" w:after="60"/>
            </w:pPr>
            <w:r>
              <w:t xml:space="preserve">Стоимость домашнего труда в процентах от валового внутреннего продукта </w:t>
            </w:r>
          </w:p>
        </w:tc>
        <w:tc>
          <w:tcPr>
            <w:tcW w:w="851" w:type="dxa"/>
            <w:tcBorders>
              <w:left w:val="nil"/>
              <w:bottom w:val="single" w:sz="4" w:space="0" w:color="auto"/>
              <w:right w:val="nil"/>
            </w:tcBorders>
          </w:tcPr>
          <w:p w:rsidR="00000000" w:rsidRDefault="00000000">
            <w:pPr>
              <w:tabs>
                <w:tab w:val="left" w:pos="680"/>
              </w:tabs>
              <w:spacing w:before="60" w:after="60"/>
              <w:jc w:val="center"/>
              <w:rPr>
                <w:sz w:val="20"/>
                <w:lang w:val="es-ES"/>
              </w:rPr>
            </w:pPr>
          </w:p>
        </w:tc>
        <w:tc>
          <w:tcPr>
            <w:tcW w:w="851" w:type="dxa"/>
            <w:tcBorders>
              <w:left w:val="nil"/>
              <w:bottom w:val="single" w:sz="4" w:space="0" w:color="auto"/>
              <w:right w:val="nil"/>
            </w:tcBorders>
          </w:tcPr>
          <w:p w:rsidR="00000000" w:rsidRDefault="00000000">
            <w:pPr>
              <w:tabs>
                <w:tab w:val="left" w:pos="680"/>
              </w:tabs>
              <w:spacing w:before="60" w:after="60"/>
              <w:jc w:val="center"/>
              <w:rPr>
                <w:sz w:val="20"/>
                <w:lang w:val="es-ES"/>
              </w:rPr>
            </w:pPr>
          </w:p>
        </w:tc>
        <w:tc>
          <w:tcPr>
            <w:tcW w:w="851" w:type="dxa"/>
            <w:tcBorders>
              <w:left w:val="nil"/>
              <w:bottom w:val="single" w:sz="4" w:space="0" w:color="auto"/>
            </w:tcBorders>
          </w:tcPr>
          <w:p w:rsidR="00000000" w:rsidRDefault="00000000">
            <w:pPr>
              <w:tabs>
                <w:tab w:val="left" w:pos="680"/>
              </w:tabs>
              <w:spacing w:before="60" w:after="60"/>
              <w:jc w:val="center"/>
              <w:rPr>
                <w:sz w:val="20"/>
                <w:lang w:val="es-ES"/>
              </w:rPr>
            </w:pPr>
          </w:p>
        </w:tc>
      </w:tr>
      <w:tr w:rsidR="00000000">
        <w:tblPrEx>
          <w:tblCellMar>
            <w:top w:w="0" w:type="dxa"/>
            <w:bottom w:w="0" w:type="dxa"/>
          </w:tblCellMar>
        </w:tblPrEx>
        <w:trPr>
          <w:jc w:val="center"/>
        </w:trPr>
        <w:tc>
          <w:tcPr>
            <w:tcW w:w="5670" w:type="dxa"/>
            <w:tcBorders>
              <w:top w:val="single" w:sz="4" w:space="0" w:color="auto"/>
              <w:bottom w:val="nil"/>
            </w:tcBorders>
          </w:tcPr>
          <w:p w:rsidR="00000000" w:rsidRDefault="00000000">
            <w:pPr>
              <w:tabs>
                <w:tab w:val="left" w:pos="680"/>
              </w:tabs>
              <w:spacing w:before="60" w:after="60"/>
              <w:rPr>
                <w:sz w:val="20"/>
              </w:rPr>
            </w:pPr>
            <w:r>
              <w:rPr>
                <w:sz w:val="20"/>
              </w:rPr>
              <w:t>Новые национальные счета</w:t>
            </w:r>
          </w:p>
        </w:tc>
        <w:tc>
          <w:tcPr>
            <w:tcW w:w="851" w:type="dxa"/>
            <w:tcBorders>
              <w:top w:val="single" w:sz="4" w:space="0" w:color="auto"/>
              <w:bottom w:val="nil"/>
            </w:tcBorders>
          </w:tcPr>
          <w:p w:rsidR="00000000" w:rsidRDefault="00000000">
            <w:pPr>
              <w:tabs>
                <w:tab w:val="decimal" w:pos="397"/>
              </w:tabs>
              <w:spacing w:before="60" w:after="60"/>
              <w:jc w:val="both"/>
              <w:rPr>
                <w:sz w:val="20"/>
              </w:rPr>
            </w:pPr>
            <w:r>
              <w:rPr>
                <w:sz w:val="20"/>
              </w:rPr>
              <w:t>9,4</w:t>
            </w:r>
          </w:p>
        </w:tc>
        <w:tc>
          <w:tcPr>
            <w:tcW w:w="851" w:type="dxa"/>
            <w:tcBorders>
              <w:top w:val="single" w:sz="4" w:space="0" w:color="auto"/>
              <w:bottom w:val="nil"/>
            </w:tcBorders>
          </w:tcPr>
          <w:p w:rsidR="00000000" w:rsidRDefault="00000000">
            <w:pPr>
              <w:tabs>
                <w:tab w:val="decimal" w:pos="397"/>
              </w:tabs>
              <w:spacing w:before="60" w:after="60"/>
              <w:jc w:val="both"/>
              <w:rPr>
                <w:sz w:val="20"/>
              </w:rPr>
            </w:pPr>
            <w:r>
              <w:rPr>
                <w:sz w:val="20"/>
              </w:rPr>
              <w:t>10,6</w:t>
            </w:r>
          </w:p>
        </w:tc>
        <w:tc>
          <w:tcPr>
            <w:tcW w:w="851" w:type="dxa"/>
            <w:tcBorders>
              <w:top w:val="single" w:sz="4" w:space="0" w:color="auto"/>
              <w:bottom w:val="nil"/>
            </w:tcBorders>
          </w:tcPr>
          <w:p w:rsidR="00000000" w:rsidRDefault="00000000">
            <w:pPr>
              <w:tabs>
                <w:tab w:val="decimal" w:pos="397"/>
              </w:tabs>
              <w:spacing w:before="60" w:after="60"/>
              <w:jc w:val="both"/>
              <w:rPr>
                <w:sz w:val="20"/>
              </w:rPr>
            </w:pPr>
            <w:r>
              <w:rPr>
                <w:sz w:val="20"/>
              </w:rPr>
              <w:t>10,5</w:t>
            </w:r>
          </w:p>
        </w:tc>
      </w:tr>
      <w:tr w:rsidR="00000000">
        <w:tblPrEx>
          <w:tblCellMar>
            <w:top w:w="0" w:type="dxa"/>
            <w:bottom w:w="0" w:type="dxa"/>
          </w:tblCellMar>
        </w:tblPrEx>
        <w:trPr>
          <w:jc w:val="center"/>
        </w:trPr>
        <w:tc>
          <w:tcPr>
            <w:tcW w:w="5670" w:type="dxa"/>
            <w:tcBorders>
              <w:top w:val="nil"/>
            </w:tcBorders>
          </w:tcPr>
          <w:p w:rsidR="00000000" w:rsidRDefault="00000000">
            <w:pPr>
              <w:tabs>
                <w:tab w:val="left" w:pos="680"/>
              </w:tabs>
              <w:spacing w:before="60" w:after="60"/>
              <w:rPr>
                <w:sz w:val="20"/>
              </w:rPr>
            </w:pPr>
            <w:r>
              <w:rPr>
                <w:sz w:val="20"/>
              </w:rPr>
              <w:t>ВВП без корректировки (оригинальная методика подсчетов)</w:t>
            </w:r>
          </w:p>
        </w:tc>
        <w:tc>
          <w:tcPr>
            <w:tcW w:w="851" w:type="dxa"/>
            <w:tcBorders>
              <w:top w:val="nil"/>
            </w:tcBorders>
          </w:tcPr>
          <w:p w:rsidR="00000000" w:rsidRDefault="00000000">
            <w:pPr>
              <w:tabs>
                <w:tab w:val="decimal" w:pos="397"/>
              </w:tabs>
              <w:spacing w:before="60" w:after="60"/>
              <w:jc w:val="both"/>
              <w:rPr>
                <w:sz w:val="20"/>
              </w:rPr>
            </w:pPr>
            <w:r>
              <w:rPr>
                <w:sz w:val="20"/>
              </w:rPr>
              <w:t>12,13</w:t>
            </w:r>
          </w:p>
        </w:tc>
        <w:tc>
          <w:tcPr>
            <w:tcW w:w="851" w:type="dxa"/>
            <w:tcBorders>
              <w:top w:val="nil"/>
            </w:tcBorders>
          </w:tcPr>
          <w:p w:rsidR="00000000" w:rsidRDefault="00000000">
            <w:pPr>
              <w:tabs>
                <w:tab w:val="decimal" w:pos="397"/>
              </w:tabs>
              <w:spacing w:before="60" w:after="60"/>
              <w:jc w:val="both"/>
              <w:rPr>
                <w:sz w:val="20"/>
              </w:rPr>
            </w:pPr>
            <w:r>
              <w:rPr>
                <w:sz w:val="20"/>
              </w:rPr>
              <w:t>13,77</w:t>
            </w:r>
          </w:p>
        </w:tc>
        <w:tc>
          <w:tcPr>
            <w:tcW w:w="851" w:type="dxa"/>
            <w:tcBorders>
              <w:top w:val="nil"/>
            </w:tcBorders>
          </w:tcPr>
          <w:p w:rsidR="00000000" w:rsidRDefault="00000000">
            <w:pPr>
              <w:tabs>
                <w:tab w:val="decimal" w:pos="397"/>
              </w:tabs>
              <w:spacing w:before="60" w:after="60"/>
              <w:jc w:val="both"/>
              <w:rPr>
                <w:sz w:val="20"/>
              </w:rPr>
            </w:pPr>
            <w:r>
              <w:rPr>
                <w:sz w:val="20"/>
              </w:rPr>
              <w:t>14,07</w:t>
            </w:r>
          </w:p>
        </w:tc>
      </w:tr>
    </w:tbl>
    <w:p w:rsidR="00000000" w:rsidRDefault="00000000">
      <w:pPr>
        <w:tabs>
          <w:tab w:val="left" w:pos="284"/>
        </w:tabs>
        <w:spacing w:before="120"/>
        <w:jc w:val="both"/>
        <w:rPr>
          <w:sz w:val="20"/>
        </w:rPr>
      </w:pPr>
      <w:r>
        <w:rPr>
          <w:b/>
          <w:sz w:val="20"/>
        </w:rPr>
        <w:tab/>
        <w:t xml:space="preserve">Источник: </w:t>
      </w:r>
      <w:r>
        <w:rPr>
          <w:sz w:val="20"/>
          <w:lang w:val="en-US"/>
        </w:rPr>
        <w:t>S</w:t>
      </w:r>
      <w:r>
        <w:rPr>
          <w:sz w:val="20"/>
        </w:rPr>
        <w:t>á</w:t>
      </w:r>
      <w:r>
        <w:rPr>
          <w:sz w:val="20"/>
          <w:lang w:val="en-US"/>
        </w:rPr>
        <w:t>nchez</w:t>
      </w:r>
      <w:r>
        <w:rPr>
          <w:sz w:val="20"/>
        </w:rPr>
        <w:t xml:space="preserve"> </w:t>
      </w:r>
      <w:r>
        <w:rPr>
          <w:sz w:val="20"/>
          <w:lang w:val="en-US"/>
        </w:rPr>
        <w:t>E</w:t>
      </w:r>
      <w:r>
        <w:rPr>
          <w:sz w:val="20"/>
        </w:rPr>
        <w:t>. Проект "Состояние нации", 2002 год.</w:t>
      </w:r>
    </w:p>
    <w:p w:rsidR="00000000" w:rsidRDefault="00000000">
      <w:pPr>
        <w:tabs>
          <w:tab w:val="left" w:pos="680"/>
        </w:tabs>
        <w:spacing w:before="240" w:line="260" w:lineRule="exact"/>
        <w:jc w:val="both"/>
        <w:rPr>
          <w:sz w:val="22"/>
        </w:rPr>
      </w:pPr>
      <w:r>
        <w:rPr>
          <w:sz w:val="22"/>
        </w:rPr>
        <w:t>371.</w:t>
      </w:r>
      <w:r>
        <w:rPr>
          <w:sz w:val="22"/>
        </w:rPr>
        <w:tab/>
        <w:t>Для тех лет, когда подсчитывался этот показатель (см. Приложение № 1), он колебался между 12 и 14 процентами от ВВП на душу населения. В связи с пересчетом показателей национальных счетов, произведенным Центральным банком в 2000 году, все показатели, соотносимые с валовым внутренним продуктом на душу населения, уменьшаются, поскольку сам валовой продут на душу населения в результате этого пересчета сократился почти на 30 процентов. Таким образом, показатель стоимости домашнего труда составил 9–10 процентов от ВВП на душу населения. Стоит отметить, что Министерство труда совместно с ИНАМУ в 1999 году взяли инициативу на себя и предложили улучшенную методику подсчетов, решив пересчитать этот показатель.</w:t>
      </w:r>
    </w:p>
    <w:p w:rsidR="00000000" w:rsidRDefault="00000000">
      <w:pPr>
        <w:tabs>
          <w:tab w:val="left" w:pos="680"/>
        </w:tabs>
        <w:spacing w:line="260" w:lineRule="exact"/>
        <w:jc w:val="both"/>
        <w:rPr>
          <w:sz w:val="22"/>
        </w:rPr>
      </w:pPr>
    </w:p>
    <w:p w:rsidR="00000000" w:rsidRDefault="00000000">
      <w:pPr>
        <w:pStyle w:val="BodyText"/>
        <w:tabs>
          <w:tab w:val="left" w:pos="680"/>
        </w:tabs>
        <w:spacing w:before="240" w:line="260" w:lineRule="exact"/>
        <w:jc w:val="left"/>
        <w:rPr>
          <w:b/>
          <w:sz w:val="22"/>
        </w:rPr>
      </w:pPr>
      <w:r>
        <w:rPr>
          <w:b/>
          <w:sz w:val="22"/>
        </w:rPr>
        <w:t>Оплачиваемый домашний труд: диапазон домашних обязанностей женщин</w:t>
      </w:r>
    </w:p>
    <w:p w:rsidR="00000000" w:rsidRDefault="00000000">
      <w:pPr>
        <w:tabs>
          <w:tab w:val="left" w:pos="680"/>
        </w:tabs>
        <w:spacing w:before="240" w:line="260" w:lineRule="exact"/>
        <w:jc w:val="both"/>
        <w:rPr>
          <w:sz w:val="22"/>
        </w:rPr>
      </w:pPr>
      <w:r>
        <w:rPr>
          <w:sz w:val="22"/>
        </w:rPr>
        <w:t>372.</w:t>
      </w:r>
      <w:r>
        <w:rPr>
          <w:sz w:val="22"/>
        </w:rPr>
        <w:tab/>
      </w:r>
      <w:r>
        <w:rPr>
          <w:spacing w:val="-4"/>
          <w:sz w:val="22"/>
        </w:rPr>
        <w:t>Существует определенная недооценка домашнего оплачиваемого труда как вида продуктивной деятельности, которым заняты почти исключительно женщины. Домашние работницы пользуются урезанными по сравнению с другими работниками трудовыми правами. Этот исключительный и дискриминационный режим характеризуется двенадцатичасовым рабочим днем, сокращенными наполовину отпуском и праздничными днями, одним днем отдыха в неделю, который может совпадать или не совпадать с воскресеньем (глава 8 Трудового кодекса). Эта деятельность имеет самую низкую минимальную заработную плату, установленную для частного сектора: в настоящее время она равна 47 963 колона (143,6 долл. США) в месяц (проект "Состояние нации", 2001 год).</w:t>
      </w:r>
    </w:p>
    <w:p w:rsidR="00000000" w:rsidRDefault="00000000">
      <w:pPr>
        <w:tabs>
          <w:tab w:val="left" w:pos="680"/>
        </w:tabs>
        <w:spacing w:before="240" w:line="260" w:lineRule="exact"/>
        <w:jc w:val="both"/>
        <w:rPr>
          <w:sz w:val="22"/>
        </w:rPr>
      </w:pPr>
      <w:r>
        <w:rPr>
          <w:sz w:val="22"/>
        </w:rPr>
        <w:t>373.</w:t>
      </w:r>
      <w:r>
        <w:rPr>
          <w:sz w:val="22"/>
        </w:rPr>
        <w:tab/>
        <w:t>Женщины, занятые этим видом деятельности, обычно не имеют права на медицинское обслуживание и на пенсию, поскольку информация о них не предоставляется в государственные системы социальной помощи и защиты, так же как и в системы страхования на случай профессиональных рисков, инвалидности, старости и смерти. Системой страхования на случай инвалидности, старости и смерти в декабре 2000 года было охвачено только 7514 домашних работниц. Эта цифра указывает на некоторое уменьшение по сравнению с ноябрем и октябрем, когда подсчетом было охвачено, соответственно, 7617 и 7607 человек, которые платили взносы. Это, хотя и незначительное, понижение не находится в логической связи с состоянием рынка рабочей силы в этом секторе (Статистика по хозяевам, трудящимся и заработной плате, КССС, 2000 год). Число работниц, охваченных страхованием, достигло менее 10 процентов от числа, запланированного Национальной ассоциацией домашних работниц (АСТРАДОМЕС) на 2000 год, которое составляло 80 тыс. человек. Что касается страхования на случай профессиональных рисков, то исследование, проведенное АСТРАДОМЕС, показало, что этим видом страхования охвачено в среднем 200 человек в год (Коллегия адвокатов по защите прав граждан, без указания даты).</w:t>
      </w:r>
    </w:p>
    <w:p w:rsidR="00000000" w:rsidRDefault="00000000">
      <w:pPr>
        <w:tabs>
          <w:tab w:val="left" w:pos="680"/>
        </w:tabs>
        <w:spacing w:before="240" w:line="260" w:lineRule="exact"/>
        <w:jc w:val="both"/>
        <w:rPr>
          <w:sz w:val="22"/>
        </w:rPr>
      </w:pPr>
      <w:r>
        <w:rPr>
          <w:sz w:val="22"/>
        </w:rPr>
        <w:t>374.</w:t>
      </w:r>
      <w:r>
        <w:rPr>
          <w:sz w:val="22"/>
        </w:rPr>
        <w:tab/>
        <w:t xml:space="preserve">Неблагоприятные условия работы в этом секторе становятся еще более тяжелыми в случае, когда речь идет о никарагуанских женщинах-иммигрантах, которые в своем большинстве работают именно в этом секторе, поскольку их нелегальное положение и незнание своих трудовых прав способствуют тому, что их наниматели не выполняют требований трудового законодательства. </w:t>
      </w:r>
    </w:p>
    <w:p w:rsidR="00000000" w:rsidRDefault="00000000">
      <w:pPr>
        <w:tabs>
          <w:tab w:val="left" w:pos="680"/>
        </w:tabs>
        <w:spacing w:before="240" w:line="260" w:lineRule="exact"/>
        <w:jc w:val="both"/>
        <w:rPr>
          <w:sz w:val="22"/>
        </w:rPr>
      </w:pPr>
      <w:r>
        <w:rPr>
          <w:sz w:val="22"/>
        </w:rPr>
        <w:t xml:space="preserve">375. </w:t>
      </w:r>
      <w:r>
        <w:rPr>
          <w:sz w:val="22"/>
        </w:rPr>
        <w:tab/>
        <w:t>Несоблюдение установленного законодательством порядка в таком широком секторе экономики влияет и на недостаточный сбор налогов из-за уклонения от налогов нанимателей. В 1999 году, по подсчетам Коллегии адвокатов по защите прав граждан, сумма неуплаченных налогов в этом секторе достигла 5 200 000 000 колонов (при подсчете использовались следующие цифры: минимальная заработная плата в 37 000 колонов в месяц, 51 232 случая незаявления нанимателей, взнос нанимателей 0,23) (Коллегия адвокатов по защите прав граждан, без указания даты).</w:t>
      </w:r>
    </w:p>
    <w:p w:rsidR="00000000" w:rsidRDefault="00000000">
      <w:pPr>
        <w:tabs>
          <w:tab w:val="left" w:pos="680"/>
        </w:tabs>
        <w:spacing w:before="240" w:line="260" w:lineRule="exact"/>
        <w:jc w:val="both"/>
        <w:rPr>
          <w:sz w:val="22"/>
        </w:rPr>
      </w:pPr>
      <w:r>
        <w:rPr>
          <w:sz w:val="22"/>
        </w:rPr>
        <w:t xml:space="preserve">376. </w:t>
      </w:r>
      <w:r>
        <w:rPr>
          <w:sz w:val="22"/>
        </w:rPr>
        <w:tab/>
        <w:t>Было начато дело о несоответствии Конституции статей трудового законодательства, регулирующих трудовые отношения в секторе оплачиваемого домашнего труда, и статей, регулирующих трудовые отношения в других секторах экономики, поскольку эти отличия противоречат принципу равенства. Протест был представлен без конкретной причины на основании того, что речь идет о специальном режиме работы (Конституционная палата, решение № 327-91). Перед Законодательным собранием был поставлен вопрос о внесении изменений в этот закон, и изменения были внесены в 1997 году решением № 7680. Внесенные изменения приблизили рабочий режим домашних работниц к минимальным требованиям общего трудового законодательства, но, поскольку тем же решением были внесены изменения в закон о режиме работы несовершеннолетних, причем минимальный возраст для начала работы был установлен в 12 лет, что противоречит Конвенции о правах ребенка, президент Республики по требованию Коллегии адвокатов по защите прав граждан 24 июля 1997 года наложил вето на этот закон.</w:t>
      </w:r>
    </w:p>
    <w:p w:rsidR="00000000" w:rsidRDefault="00000000">
      <w:pPr>
        <w:pStyle w:val="Heading1"/>
        <w:tabs>
          <w:tab w:val="left" w:pos="680"/>
        </w:tabs>
        <w:spacing w:line="260" w:lineRule="exact"/>
        <w:jc w:val="both"/>
        <w:rPr>
          <w:sz w:val="22"/>
        </w:rPr>
      </w:pPr>
    </w:p>
    <w:p w:rsidR="00000000" w:rsidRDefault="00000000">
      <w:pPr>
        <w:pStyle w:val="Heading1"/>
        <w:tabs>
          <w:tab w:val="left" w:pos="680"/>
        </w:tabs>
        <w:spacing w:before="240" w:line="260" w:lineRule="exact"/>
        <w:jc w:val="both"/>
        <w:rPr>
          <w:sz w:val="22"/>
        </w:rPr>
      </w:pPr>
      <w:r>
        <w:rPr>
          <w:sz w:val="22"/>
        </w:rPr>
        <w:t>Права в сфере трудовой деятельности</w:t>
      </w:r>
    </w:p>
    <w:p w:rsidR="00000000" w:rsidRDefault="00000000">
      <w:pPr>
        <w:tabs>
          <w:tab w:val="left" w:pos="680"/>
        </w:tabs>
        <w:spacing w:before="240" w:line="260" w:lineRule="exact"/>
        <w:jc w:val="both"/>
        <w:rPr>
          <w:sz w:val="22"/>
        </w:rPr>
      </w:pPr>
      <w:r>
        <w:rPr>
          <w:sz w:val="22"/>
        </w:rPr>
        <w:t xml:space="preserve">377. </w:t>
      </w:r>
      <w:r>
        <w:rPr>
          <w:sz w:val="22"/>
        </w:rPr>
        <w:tab/>
        <w:t>Государственный сектор отличается стабильностью в области трудовых отношений для большинства работающего населения. Однако Коллегия адвокатов по защите прав граждан отмечает, что не все категории трудящихся пользуются этими возможностями в равной степени. Одной из наиболее незащищенных групп являются беременные женщины, хотя именно они должны быть более защищенными и застрахованными в период беременности, родов и ухода за ребенком ради как их собственного здоровья, так и здоровья их детей (Коллегия адвокатов по защите прав граждан, Отчет о работе, 2000–2001 годы).</w:t>
      </w:r>
    </w:p>
    <w:p w:rsidR="00000000" w:rsidRDefault="00000000">
      <w:pPr>
        <w:tabs>
          <w:tab w:val="left" w:pos="680"/>
        </w:tabs>
        <w:spacing w:before="240" w:line="260" w:lineRule="exact"/>
        <w:jc w:val="both"/>
        <w:rPr>
          <w:sz w:val="22"/>
        </w:rPr>
      </w:pPr>
      <w:r>
        <w:rPr>
          <w:sz w:val="22"/>
        </w:rPr>
        <w:t xml:space="preserve">378. </w:t>
      </w:r>
      <w:r>
        <w:rPr>
          <w:sz w:val="22"/>
        </w:rPr>
        <w:tab/>
        <w:t>Коллегия адвокатов по защите прав граждан считает, что отстранение от работы беременных женщин или непродление контракта с ними по этой причине является абсолютным противоречием между проповедью важности и почетности материнства и повседневной практикой. Хотя это редко признается публично, существует мнение, что беременная женщина – это лишние расходы для того, кто нанимает ее на работу, причем это мнение распространено и в государственных учреждениях.</w:t>
      </w:r>
    </w:p>
    <w:p w:rsidR="00000000" w:rsidRDefault="00000000">
      <w:pPr>
        <w:tabs>
          <w:tab w:val="left" w:pos="680"/>
        </w:tabs>
        <w:spacing w:before="240" w:line="260" w:lineRule="exact"/>
        <w:jc w:val="both"/>
        <w:rPr>
          <w:sz w:val="22"/>
        </w:rPr>
      </w:pPr>
      <w:r>
        <w:rPr>
          <w:sz w:val="22"/>
        </w:rPr>
        <w:t xml:space="preserve">379. </w:t>
      </w:r>
      <w:r>
        <w:rPr>
          <w:sz w:val="22"/>
        </w:rPr>
        <w:tab/>
        <w:t>Коллегия адвокатов по защите прав граждан проводит постоянные консультации о трудовых правах беременных женщин, а также принимает жалобы временно работающих беременных женщин, для увольнения которых используются самые различные механизмы. Коллегия адвокатов по защите прав граждан констатировала многочисленные случаи, когда женщины постоянно работали на временных должностях, но в случае их беременности контракты не возобновлялись. Другими словами, административный механизм действует таким образом, что, если штатный работник находится в отпуске, отпуске по собственному желанию или нетрудоспособен по болезни, беременные женщины исключаются из числа претендентов на временное занятие места такого работника.</w:t>
      </w:r>
    </w:p>
    <w:p w:rsidR="00000000" w:rsidRDefault="00000000">
      <w:pPr>
        <w:tabs>
          <w:tab w:val="left" w:pos="680"/>
        </w:tabs>
        <w:spacing w:before="240" w:line="260" w:lineRule="exact"/>
        <w:jc w:val="both"/>
        <w:rPr>
          <w:sz w:val="22"/>
        </w:rPr>
      </w:pPr>
      <w:r>
        <w:rPr>
          <w:sz w:val="22"/>
        </w:rPr>
        <w:t xml:space="preserve">380. </w:t>
      </w:r>
      <w:r>
        <w:rPr>
          <w:sz w:val="22"/>
        </w:rPr>
        <w:tab/>
        <w:t>Понятно, что учреждение не заинтересовано заменять временно отсутствующего штатного работника работником, который также имеет законное право уйти в отпуск. Также ясно, что причиной отказа является беременность, поскольку в других условиях женщина могла бы продолжать работать на временной основе. Но, несмотря на это, реальные возможности расследования подобных ситуаций связаны с различными ограничениями, поскольку учреждения могут заявить Коллегии адвокатов по защите прав граждан, как это делалось до сих пор, что у него нет другого рабочего места, чтобы предоставить его уволенной беременной женщине. Также если установлено, что назначение на такую должность является исключительным правом администрации, Коллегии адвокатов по защите прав граждан как контролирующему органу сложно определить, какие ситуации находятся в рамках закона, а какие нет.</w:t>
      </w:r>
    </w:p>
    <w:p w:rsidR="00000000" w:rsidRDefault="00000000">
      <w:pPr>
        <w:tabs>
          <w:tab w:val="left" w:pos="680"/>
        </w:tabs>
        <w:spacing w:before="240" w:line="260" w:lineRule="exact"/>
        <w:jc w:val="both"/>
        <w:rPr>
          <w:spacing w:val="-2"/>
          <w:sz w:val="22"/>
        </w:rPr>
      </w:pPr>
      <w:r>
        <w:rPr>
          <w:sz w:val="22"/>
        </w:rPr>
        <w:t xml:space="preserve">381. </w:t>
      </w:r>
      <w:r>
        <w:rPr>
          <w:sz w:val="22"/>
        </w:rPr>
        <w:tab/>
      </w:r>
      <w:r>
        <w:rPr>
          <w:spacing w:val="-2"/>
          <w:sz w:val="22"/>
        </w:rPr>
        <w:t xml:space="preserve">В тех случаях, когда невозможно доказать, что есть свободная должность, которую временно может занять беременная женщина, Коллегия адвокатов по защите прав граждан не может заставить администрацию совершить это назначение, однако она может добиться, чтобы администрация в случае, когда истекает срок временной работы беременной женщины и ей не хотят или не могут продлить контракт, а и если эта женщина уже находится в том периоде беременности, когда ей полагается отпуск в связи с рождением ребенка, нашла статью расходов, по которой такой женщине будет выплачен взнос нанимателя, соответствующий отпуску в связи с рождением ребенка. Эта мера гарантирует, хотя бы в смысле денежного содержания, исполнение Закона о защите трудящихся беременных женщин. </w:t>
      </w:r>
    </w:p>
    <w:p w:rsidR="00000000" w:rsidRDefault="00000000">
      <w:pPr>
        <w:tabs>
          <w:tab w:val="left" w:pos="680"/>
        </w:tabs>
        <w:spacing w:before="240" w:line="260" w:lineRule="exact"/>
        <w:jc w:val="both"/>
        <w:rPr>
          <w:sz w:val="22"/>
        </w:rPr>
      </w:pPr>
      <w:r>
        <w:rPr>
          <w:sz w:val="22"/>
        </w:rPr>
        <w:t>382.</w:t>
      </w:r>
      <w:r>
        <w:rPr>
          <w:sz w:val="22"/>
        </w:rPr>
        <w:tab/>
        <w:t>Трудовые права беременных женщин закреплены на конституционном и законодательном уровне Режимом соблюдения прав беременных женщин, который подразумевает, что нераспространение его действия на женщин, занимающих временные или нестабильные должности, является проявлением гендерной дискриминации. Такая дискриминация является общепринятой в обществе с мужским доминированием, наносит вред понятиям труда и материнства, рассматривая их как концепции дихотомические и исключительные.</w:t>
      </w:r>
    </w:p>
    <w:p w:rsidR="00000000" w:rsidRDefault="00000000">
      <w:pPr>
        <w:pStyle w:val="BodyText"/>
        <w:tabs>
          <w:tab w:val="left" w:pos="680"/>
        </w:tabs>
        <w:spacing w:before="240" w:line="260" w:lineRule="exact"/>
        <w:rPr>
          <w:sz w:val="22"/>
        </w:rPr>
      </w:pPr>
      <w:r>
        <w:rPr>
          <w:sz w:val="22"/>
        </w:rPr>
        <w:t>383.</w:t>
      </w:r>
      <w:r>
        <w:rPr>
          <w:sz w:val="22"/>
        </w:rPr>
        <w:tab/>
        <w:t xml:space="preserve">Также известны случаи, когда не было достаточной ясности, где проходит граница между отпуском в связи с рождением ребенка и отпуском по болезни. Конкретно речь идет о случаях непроизвольного выкидыша на шестом, седьмом или восьмом месяце беременности. В этой ситуации возникают сомнения в том, какой отпуск должен быть предоставлен женщине. В соответствии с одним мнением это должен быть восьмидневный отпуск по болезни, который может быть продлен; в соответствии с другим это должен быть отпуск в связи с рождением ребенка, сокращенный наполовину, то есть полтора месяца. Этот вопрос, без сомнения, является одним их первоочередных в законотворческой деятельности в сфере защиты прав женщин. </w:t>
      </w:r>
    </w:p>
    <w:p w:rsidR="00000000" w:rsidRDefault="00000000">
      <w:pPr>
        <w:pStyle w:val="BodyText"/>
        <w:tabs>
          <w:tab w:val="left" w:pos="680"/>
        </w:tabs>
        <w:spacing w:before="240" w:line="260" w:lineRule="exact"/>
        <w:rPr>
          <w:sz w:val="22"/>
        </w:rPr>
      </w:pPr>
      <w:r>
        <w:rPr>
          <w:sz w:val="22"/>
        </w:rPr>
        <w:t>384.</w:t>
      </w:r>
      <w:r>
        <w:rPr>
          <w:sz w:val="22"/>
        </w:rPr>
        <w:tab/>
        <w:t xml:space="preserve">Другая тема в области трудовой деятельности, к которой неоднократно возвращалась Коллегия адвокатов по защите прав граждан, – это соблюдение прав женщин, которые работают в учреждениях, традиционно являющихся чисто "мужскими", как, например, полиция. Были рассмотрены жалобы на дискриминацию в таких вопросах, как распределение обязанностей, режим работы, повышения по службе, направление на повышение квалификации, сексуальные домогательства и др. (Коллегия адвокатов по защите прав граждан, Доклад о проделанной работе, 2000–2001 годы). Коллегия адвокатов по защите прав граждан считает, что конкретные жалобы не могут рассматриваться вне контекста тех учреждений, которые создавались как чисто "мужские", она отмечает, что до настоящего времени не существует государственной политики, которая принимала бы во внимание, что в таких учреждениях теперь работают и женщины. Пока такой политики не существует, ответы Министерства общественной безопасности на запросы Коллегии адвокатов по защите прав граждан будут носить формальный и индивидуальный характер, что нанесет вред самой системе, поскольку постоянно увеличивается число работающих в ней женщин. В настоящее время в полиции работает около 400 женщин. </w:t>
      </w:r>
    </w:p>
    <w:p w:rsidR="00000000" w:rsidRDefault="00000000">
      <w:pPr>
        <w:pStyle w:val="BodyText"/>
        <w:tabs>
          <w:tab w:val="left" w:pos="680"/>
        </w:tabs>
        <w:spacing w:before="240" w:line="260" w:lineRule="exact"/>
        <w:rPr>
          <w:sz w:val="22"/>
        </w:rPr>
      </w:pPr>
      <w:r>
        <w:rPr>
          <w:sz w:val="22"/>
        </w:rPr>
        <w:t>385.</w:t>
      </w:r>
      <w:r>
        <w:rPr>
          <w:sz w:val="22"/>
        </w:rPr>
        <w:tab/>
        <w:t>Интегрированная политика при принятии решений должна учитывать гендерные различия, существующие между мужчинами и женщинами, разумно интерпретируя принцип равенства, на что не раз указывала в своих решениях Конституционная палата. Например, в решении № 1770-94 указывается:</w:t>
      </w:r>
    </w:p>
    <w:p w:rsidR="00000000" w:rsidRDefault="00000000">
      <w:pPr>
        <w:pStyle w:val="BodyText"/>
        <w:tabs>
          <w:tab w:val="left" w:pos="680"/>
        </w:tabs>
        <w:spacing w:before="240" w:line="260" w:lineRule="exact"/>
        <w:ind w:left="680" w:hanging="680"/>
        <w:rPr>
          <w:i/>
          <w:sz w:val="22"/>
        </w:rPr>
      </w:pPr>
      <w:r>
        <w:rPr>
          <w:b/>
          <w:i/>
          <w:sz w:val="22"/>
        </w:rPr>
        <w:tab/>
      </w:r>
      <w:r>
        <w:rPr>
          <w:i/>
          <w:sz w:val="22"/>
        </w:rPr>
        <w:t>"Принцип равенства, который провозглашается в статье 33 Политической конституции, не подразумевает, что во всех случаях отношение будет одинаковым, что не будут приниматься во внимание определенные различительные юридические аспекты, которые могут иметь место… Равенство, как было сказано в решениях Палаты, нарушается только в тех случаях, когда неравенство не имеет объективного и разумного оправдания…".</w:t>
      </w:r>
    </w:p>
    <w:p w:rsidR="00000000" w:rsidRDefault="00000000">
      <w:pPr>
        <w:pStyle w:val="BodyText"/>
        <w:tabs>
          <w:tab w:val="left" w:pos="680"/>
        </w:tabs>
        <w:spacing w:before="240" w:line="260" w:lineRule="exact"/>
        <w:rPr>
          <w:sz w:val="22"/>
        </w:rPr>
      </w:pPr>
      <w:r>
        <w:rPr>
          <w:sz w:val="22"/>
        </w:rPr>
        <w:t xml:space="preserve">386. </w:t>
      </w:r>
      <w:r>
        <w:rPr>
          <w:sz w:val="22"/>
        </w:rPr>
        <w:tab/>
        <w:t>Общим правилом является равенство обязанностей и прав, установленных в юридических документах, которые регулируют деятельность полиции; однако настоящим воплощением принципа равенства является подход, при котором учитывались бы объективные различия между мужчинами и женщинами. При таком подходе могут быть выработаны необходимые меры для того, чтобы из деятельности полиции были исключены любые формы дискриминации. Подобные меры могут быть разработаны на основе изучения особенностей работы женщин-полицейских, а затем быть приняты во внимание при формулировании и применении указанного подхода.</w:t>
      </w:r>
    </w:p>
    <w:p w:rsidR="00000000" w:rsidRDefault="00000000">
      <w:pPr>
        <w:pStyle w:val="BodyText"/>
        <w:tabs>
          <w:tab w:val="left" w:pos="680"/>
        </w:tabs>
        <w:spacing w:before="240" w:line="260" w:lineRule="exact"/>
        <w:rPr>
          <w:i/>
          <w:sz w:val="22"/>
        </w:rPr>
      </w:pPr>
      <w:r>
        <w:rPr>
          <w:sz w:val="22"/>
        </w:rPr>
        <w:t xml:space="preserve">387. </w:t>
      </w:r>
      <w:r>
        <w:rPr>
          <w:sz w:val="22"/>
        </w:rPr>
        <w:tab/>
        <w:t xml:space="preserve">Так, например, при определении режима работы может быть принято во внимание, что речь идет о женщине – главе семьи с несовершеннолетними детьми, не имеющей дополнительных средств для оплаты услуг человека, осуществляющего ночной или постоянный уход за ее детьми. Такие обстоятельства должны учитываться при принятии административных решений. Следует напомнить высказывание Альды Фасио (1992 год): </w:t>
      </w:r>
      <w:r>
        <w:rPr>
          <w:i/>
          <w:sz w:val="22"/>
        </w:rPr>
        <w:t>"Если мы действительно понимаем, что женщины и мужчины одинаково различны, мы не будем считать, что такие явления, как беременность, роды, менструация, климакс и тому подобное, заставляют женщин вести себя не так, как мужчины, поведение которых воспринимается как модель человеческого поведения вообще, а потому поведение, отличное от этой модели, является проблемой женщин; мы поймем, что это проблема общества, которое не принимает во внимание то, что мы, женщины и мужчины, имеем различные нужды и эти нужды одинаково значимы. Тогда, например, мы сможем понять, что проблема заключается не в том, что женщина, работающая вне дома, оказывается беременной, а в том, что оплачиваемая работа вообще была задумана и организована для людей, которые не могут быть беременными в принципе".</w:t>
      </w:r>
    </w:p>
    <w:p w:rsidR="00000000" w:rsidRDefault="00000000">
      <w:pPr>
        <w:pStyle w:val="BodyText"/>
        <w:tabs>
          <w:tab w:val="left" w:pos="680"/>
        </w:tabs>
        <w:spacing w:before="240" w:line="260" w:lineRule="exact"/>
        <w:rPr>
          <w:sz w:val="22"/>
        </w:rPr>
      </w:pPr>
      <w:r>
        <w:rPr>
          <w:sz w:val="22"/>
        </w:rPr>
        <w:t xml:space="preserve">388. </w:t>
      </w:r>
      <w:r>
        <w:rPr>
          <w:sz w:val="22"/>
        </w:rPr>
        <w:tab/>
        <w:t>Некоторые ситуации, с которыми сталкиваются в процессе своей трудовой деятельности женщины-полицейские, требуют особого внимания при формулировании политики в этом государственном учреждении. Начинать следует с уяснения и выработки нового подхода к таким явлениям, как:</w:t>
      </w:r>
    </w:p>
    <w:p w:rsidR="00000000" w:rsidRDefault="00000000">
      <w:pPr>
        <w:pStyle w:val="BodyText"/>
        <w:numPr>
          <w:ilvl w:val="0"/>
          <w:numId w:val="45"/>
        </w:numPr>
        <w:tabs>
          <w:tab w:val="clear" w:pos="720"/>
          <w:tab w:val="left" w:pos="340"/>
          <w:tab w:val="left" w:pos="680"/>
        </w:tabs>
        <w:spacing w:before="240" w:line="260" w:lineRule="exact"/>
        <w:ind w:left="340" w:hanging="340"/>
        <w:rPr>
          <w:sz w:val="22"/>
        </w:rPr>
      </w:pPr>
      <w:r>
        <w:rPr>
          <w:sz w:val="22"/>
        </w:rPr>
        <w:t>обязанности, которые возлагаются на женщин, поскольку в настоящее время отмечается тенденция возлагать на них те обязанности, которые женщины обычно выполняют дома;</w:t>
      </w:r>
    </w:p>
    <w:p w:rsidR="00000000" w:rsidRDefault="00000000">
      <w:pPr>
        <w:pStyle w:val="BodyText"/>
        <w:numPr>
          <w:ilvl w:val="0"/>
          <w:numId w:val="45"/>
        </w:numPr>
        <w:tabs>
          <w:tab w:val="clear" w:pos="720"/>
          <w:tab w:val="left" w:pos="340"/>
          <w:tab w:val="left" w:pos="680"/>
        </w:tabs>
        <w:spacing w:before="240" w:line="260" w:lineRule="exact"/>
        <w:ind w:left="0" w:firstLine="0"/>
        <w:rPr>
          <w:sz w:val="22"/>
        </w:rPr>
      </w:pPr>
      <w:r>
        <w:rPr>
          <w:sz w:val="22"/>
        </w:rPr>
        <w:t>отсутствие инфраструктуры, которая учитывала бы наличие женщин;</w:t>
      </w:r>
    </w:p>
    <w:p w:rsidR="00000000" w:rsidRDefault="00000000">
      <w:pPr>
        <w:pStyle w:val="BodyText"/>
        <w:numPr>
          <w:ilvl w:val="0"/>
          <w:numId w:val="45"/>
        </w:numPr>
        <w:tabs>
          <w:tab w:val="clear" w:pos="720"/>
          <w:tab w:val="left" w:pos="340"/>
          <w:tab w:val="left" w:pos="680"/>
        </w:tabs>
        <w:spacing w:before="240" w:line="260" w:lineRule="exact"/>
        <w:ind w:left="340" w:hanging="340"/>
        <w:rPr>
          <w:sz w:val="22"/>
        </w:rPr>
      </w:pPr>
      <w:r>
        <w:rPr>
          <w:sz w:val="22"/>
        </w:rPr>
        <w:t>различное отношение к полицейским – мужчинам и женщинам – в том, что касается повышения по службе, присвоения очередных званий, направления на учебу и повышения квалификации;</w:t>
      </w:r>
    </w:p>
    <w:p w:rsidR="00000000" w:rsidRDefault="00000000">
      <w:pPr>
        <w:pStyle w:val="BodyText"/>
        <w:numPr>
          <w:ilvl w:val="0"/>
          <w:numId w:val="45"/>
        </w:numPr>
        <w:tabs>
          <w:tab w:val="clear" w:pos="720"/>
          <w:tab w:val="left" w:pos="340"/>
          <w:tab w:val="left" w:pos="680"/>
        </w:tabs>
        <w:spacing w:before="240" w:line="260" w:lineRule="exact"/>
        <w:ind w:left="0" w:firstLine="0"/>
        <w:rPr>
          <w:sz w:val="22"/>
        </w:rPr>
      </w:pPr>
      <w:r>
        <w:rPr>
          <w:sz w:val="22"/>
        </w:rPr>
        <w:t>сексуальные домогательства на работе.</w:t>
      </w:r>
    </w:p>
    <w:p w:rsidR="00000000" w:rsidRDefault="00000000">
      <w:pPr>
        <w:pStyle w:val="BodyText"/>
        <w:tabs>
          <w:tab w:val="left" w:pos="680"/>
        </w:tabs>
        <w:spacing w:before="240" w:line="260" w:lineRule="exact"/>
        <w:rPr>
          <w:sz w:val="22"/>
        </w:rPr>
      </w:pPr>
      <w:r>
        <w:rPr>
          <w:sz w:val="22"/>
        </w:rPr>
        <w:t xml:space="preserve">389. </w:t>
      </w:r>
      <w:r>
        <w:rPr>
          <w:sz w:val="22"/>
        </w:rPr>
        <w:tab/>
        <w:t>Коллегия адвокатов по защите прав граждан рекомендовала заместителю министра общественной безопасности, обязанности которого в настоящее время возложены на женщину, и руководству полиции выработать политику, которая принимала бы во внимание особенности работы женщин-полицейских, что позволит сформулировать четкие и ясные правила, которыми следует руководствоваться при принятии административных решений в этой сфере. Эти рекомендации были приняты к исполнению, были назначены советник руководства полицейскими силами и контролер служб Министерства, перед которыми была поставлена задача по созданию проекта административной политики по отношению к женщинам-полицейским. Коллегия адвокатов по защите прав граждан будет оказывать техническое содействие разработке этого проекта, поскольку его реализация и конкретизация в программах и практических действиях окажут значительное влияние на гарантию соблюдения прав женщин, работающих в полиции.</w:t>
      </w:r>
    </w:p>
    <w:p w:rsidR="00000000" w:rsidRDefault="00000000">
      <w:pPr>
        <w:pStyle w:val="BodyText"/>
        <w:tabs>
          <w:tab w:val="left" w:pos="680"/>
        </w:tabs>
        <w:spacing w:line="260" w:lineRule="exact"/>
        <w:rPr>
          <w:b/>
          <w:sz w:val="22"/>
        </w:rPr>
      </w:pPr>
    </w:p>
    <w:p w:rsidR="00000000" w:rsidRDefault="00000000">
      <w:pPr>
        <w:pStyle w:val="BodyText"/>
        <w:tabs>
          <w:tab w:val="left" w:pos="680"/>
        </w:tabs>
        <w:spacing w:before="240" w:line="260" w:lineRule="exact"/>
        <w:jc w:val="left"/>
        <w:rPr>
          <w:b/>
          <w:sz w:val="22"/>
        </w:rPr>
      </w:pPr>
      <w:r>
        <w:rPr>
          <w:b/>
          <w:sz w:val="22"/>
        </w:rPr>
        <w:t>Межведомственная комиссия по соблюдению трудовых прав женщин</w:t>
      </w:r>
    </w:p>
    <w:p w:rsidR="00000000" w:rsidRDefault="00000000">
      <w:pPr>
        <w:pStyle w:val="BodyText"/>
        <w:tabs>
          <w:tab w:val="left" w:pos="680"/>
        </w:tabs>
        <w:spacing w:before="240" w:line="260" w:lineRule="exact"/>
        <w:rPr>
          <w:sz w:val="22"/>
        </w:rPr>
      </w:pPr>
      <w:r>
        <w:rPr>
          <w:sz w:val="22"/>
        </w:rPr>
        <w:t xml:space="preserve">390. </w:t>
      </w:r>
      <w:r>
        <w:rPr>
          <w:sz w:val="22"/>
        </w:rPr>
        <w:tab/>
        <w:t xml:space="preserve">Различные формы неравенства и дискриминации в трудовой сфере, воспроизведение условий труда, которые отрицательно сказываются на качестве жизни женщин вообще, сексуальные домогательства, существование законодательных норм, которые предусматривают различное отношение к работающим женщинам и мужчинам, отсутствие законодательных норм, которые регулировали бы трудовые отношения в тех сферах деятельности, где заняты только женщины, и существование особых трудовых режимов, как, например, режим работы домашних работниц, который не соответствует тем нормам, которыми руководствуются работающие в других сферах, обусловили необходимость создания и очертили круг деятельности Межведомственной комиссии по соблюдению трудовых прав женщин. Комиссию образовали Коллегия адвокатов по защите прав граждан, ИНАМУ, Министерство труда, Международная организация труда, Латиноамериканский институт Организации Объединенных Наций по предупреждению преступности и обращению с правонарушителями; в состав Комиссии вошли представители неправительственных организаций. Планируется развернуть совместную работу по анализу условий труда в тех секторах экономики, в которых занято значительное число женщин, изучить влияние их трудовой деятельности на качество жизни, выработать законодательные инициативы в этой области, разработать основные направления государственной политики в области соблюдения трудовых прав женщин и сформировать механизмы контроля, которые гарантировали бы соблюдение прав человека в трудовой сфере. </w:t>
      </w:r>
    </w:p>
    <w:p w:rsidR="00000000" w:rsidRDefault="00000000">
      <w:pPr>
        <w:pStyle w:val="BodyText"/>
        <w:tabs>
          <w:tab w:val="left" w:pos="680"/>
        </w:tabs>
        <w:spacing w:before="240" w:line="260" w:lineRule="exact"/>
        <w:rPr>
          <w:sz w:val="22"/>
        </w:rPr>
      </w:pPr>
      <w:r>
        <w:rPr>
          <w:sz w:val="22"/>
        </w:rPr>
        <w:t>391.</w:t>
      </w:r>
      <w:r>
        <w:rPr>
          <w:sz w:val="22"/>
        </w:rPr>
        <w:tab/>
        <w:t>Цели Комиссии носят среднесрочный и долгосрочный характер, поскольку предполагают глубокие изменения идеологического, экономического и законодательного порядка. В то же время некоторые законодательные предложения потребуют сложной работы по убеждению депутатов Законодательного собрания и трудных переговоров с ними, как это произошло при обсуждении проектов внесения изменений в главу 8 Трудового кодекса, которая касается условий труда домашних работниц, и изменений Закона о борьбе с сексуальными домогательствами на работе и в учебных заведениях. Оба проекта еще не одобрены. Одобрение этих законопроектов должно стать одной из первых целей деятельности Комиссии.</w:t>
      </w:r>
    </w:p>
    <w:p w:rsidR="00000000" w:rsidRDefault="00000000">
      <w:pPr>
        <w:pStyle w:val="BodyText"/>
        <w:tabs>
          <w:tab w:val="left" w:pos="680"/>
        </w:tabs>
        <w:spacing w:before="240" w:line="260" w:lineRule="exact"/>
        <w:rPr>
          <w:sz w:val="22"/>
        </w:rPr>
      </w:pPr>
      <w:r>
        <w:rPr>
          <w:sz w:val="22"/>
        </w:rPr>
        <w:t xml:space="preserve">392. </w:t>
      </w:r>
      <w:r>
        <w:rPr>
          <w:sz w:val="22"/>
        </w:rPr>
        <w:tab/>
        <w:t xml:space="preserve">В течение последнего года внимание Комиссии было сосредоточено на деятельности тех организаций и учреждений, ее составляющих, которые непосредственно занимаются контролем за соблюдением трудовых прав. Предполагается, что в текущем году будут достигнуты более заметные результаты в реализации проектов, которые касаются работы в ночное время, работы в секторе мини-предпринимательства, работы с разрешения родителей и работы сельских производительниц. </w:t>
      </w:r>
    </w:p>
    <w:p w:rsidR="00000000" w:rsidRDefault="00000000">
      <w:pPr>
        <w:pStyle w:val="BodyText"/>
        <w:tabs>
          <w:tab w:val="left" w:pos="680"/>
        </w:tabs>
        <w:spacing w:line="260" w:lineRule="exact"/>
        <w:rPr>
          <w:b/>
          <w:sz w:val="22"/>
        </w:rPr>
      </w:pPr>
    </w:p>
    <w:p w:rsidR="00000000" w:rsidRDefault="00000000">
      <w:pPr>
        <w:pStyle w:val="BodyText"/>
        <w:tabs>
          <w:tab w:val="left" w:pos="680"/>
        </w:tabs>
        <w:spacing w:before="240" w:line="260" w:lineRule="exact"/>
        <w:jc w:val="left"/>
        <w:rPr>
          <w:b/>
          <w:sz w:val="22"/>
        </w:rPr>
      </w:pPr>
      <w:r>
        <w:rPr>
          <w:b/>
          <w:sz w:val="22"/>
        </w:rPr>
        <w:t>Женщины, живущие в бедности</w:t>
      </w:r>
    </w:p>
    <w:p w:rsidR="00000000" w:rsidRDefault="00000000">
      <w:pPr>
        <w:tabs>
          <w:tab w:val="left" w:pos="680"/>
        </w:tabs>
        <w:spacing w:before="240" w:line="260" w:lineRule="exact"/>
        <w:jc w:val="both"/>
        <w:rPr>
          <w:sz w:val="22"/>
        </w:rPr>
      </w:pPr>
      <w:r>
        <w:rPr>
          <w:sz w:val="22"/>
        </w:rPr>
        <w:t xml:space="preserve">393. </w:t>
      </w:r>
      <w:r>
        <w:rPr>
          <w:sz w:val="22"/>
        </w:rPr>
        <w:tab/>
        <w:t>Несмотря на то что профессиональная занятость женщин (имеется в виду официальное участие в экономике) дает возможность преодолеть черту бедности, Коста-Рика сталкивается с проблемой растущей "феминизации бедности". Данное обстоятельство указывает на тот факт, что женщины больше страдают от бедности в формах, не свойственных мужчинам. Это указывает на то, что:</w:t>
      </w:r>
    </w:p>
    <w:p w:rsidR="00000000" w:rsidRDefault="00000000">
      <w:pPr>
        <w:numPr>
          <w:ilvl w:val="0"/>
          <w:numId w:val="46"/>
        </w:numPr>
        <w:tabs>
          <w:tab w:val="left" w:pos="340"/>
          <w:tab w:val="left" w:pos="680"/>
        </w:tabs>
        <w:spacing w:before="240" w:line="260" w:lineRule="exact"/>
        <w:ind w:left="340" w:hanging="340"/>
        <w:jc w:val="both"/>
        <w:rPr>
          <w:sz w:val="22"/>
        </w:rPr>
      </w:pPr>
      <w:r>
        <w:rPr>
          <w:sz w:val="22"/>
        </w:rPr>
        <w:t>Число женщин, живущих за чертой бедности, в процентном соотношении превышает число мужчин, как следует из первой части данного доклада.</w:t>
      </w:r>
    </w:p>
    <w:p w:rsidR="00000000" w:rsidRDefault="00000000">
      <w:pPr>
        <w:numPr>
          <w:ilvl w:val="0"/>
          <w:numId w:val="46"/>
        </w:numPr>
        <w:tabs>
          <w:tab w:val="left" w:pos="340"/>
          <w:tab w:val="left" w:pos="680"/>
        </w:tabs>
        <w:spacing w:before="240" w:line="260" w:lineRule="exact"/>
        <w:ind w:left="340" w:hanging="340"/>
        <w:jc w:val="both"/>
        <w:rPr>
          <w:sz w:val="22"/>
        </w:rPr>
      </w:pPr>
      <w:r>
        <w:rPr>
          <w:sz w:val="22"/>
        </w:rPr>
        <w:t>Число женщин, живущих за чертой бедности, непрерывно растет; феминизация бедности – это процесс, а не только положение вещей в данной исторической ситуации.</w:t>
      </w:r>
    </w:p>
    <w:p w:rsidR="00000000" w:rsidRDefault="00000000">
      <w:pPr>
        <w:numPr>
          <w:ilvl w:val="0"/>
          <w:numId w:val="46"/>
        </w:numPr>
        <w:tabs>
          <w:tab w:val="left" w:pos="340"/>
          <w:tab w:val="left" w:pos="680"/>
        </w:tabs>
        <w:spacing w:before="240" w:line="260" w:lineRule="exact"/>
        <w:ind w:left="340" w:hanging="340"/>
        <w:jc w:val="both"/>
        <w:rPr>
          <w:sz w:val="22"/>
        </w:rPr>
      </w:pPr>
      <w:r>
        <w:rPr>
          <w:sz w:val="22"/>
        </w:rPr>
        <w:t>Не существует единой формулы благополучия, которая могла бы быть применена в отношении членов любой семьи. "Отдельно взятый член семьи может быть более или менее бедным, чем другой, во многих аспектах: он (или она) получает меньше еды, состояние его здоровья хуже, он (она) получает меньше услуг со стороны системы образования и здравоохранения, носит более дешевую одежду, у нее (него) меньше свободного времени, а также возможности развлечений, он (она) обладает меньшим правом контроля над покупками на деньги из семейного бюджета" (</w:t>
      </w:r>
      <w:r>
        <w:rPr>
          <w:sz w:val="22"/>
          <w:lang w:val="en-US"/>
        </w:rPr>
        <w:t>Anderson</w:t>
      </w:r>
      <w:r>
        <w:rPr>
          <w:sz w:val="22"/>
        </w:rPr>
        <w:t>, 1994:15).</w:t>
      </w:r>
    </w:p>
    <w:p w:rsidR="00000000" w:rsidRDefault="00000000">
      <w:pPr>
        <w:tabs>
          <w:tab w:val="left" w:pos="680"/>
        </w:tabs>
        <w:spacing w:before="240" w:line="260" w:lineRule="exact"/>
        <w:jc w:val="both"/>
        <w:rPr>
          <w:sz w:val="22"/>
        </w:rPr>
      </w:pPr>
      <w:r>
        <w:rPr>
          <w:sz w:val="22"/>
        </w:rPr>
        <w:t>394.</w:t>
      </w:r>
      <w:r>
        <w:rPr>
          <w:sz w:val="22"/>
        </w:rPr>
        <w:tab/>
        <w:t>Феминизация бедности является фактором, ограничивающим развитие личности, а следовательно, и равенство возможностей между мужчинами и женщинами. Основные ограничения, с которыми приходится сталкиваться при изучении бедности женщин, – это, с одной стороны, множество существующих методик оценки и источников информации и, с другой стороны, тот факт, что данные о бедности женщин отсутствуют во многих из этих источников (ИНАМУ, 2000 год).</w:t>
      </w:r>
    </w:p>
    <w:p w:rsidR="00000000" w:rsidRDefault="00000000">
      <w:pPr>
        <w:tabs>
          <w:tab w:val="left" w:pos="680"/>
        </w:tabs>
        <w:spacing w:before="240" w:line="260" w:lineRule="exact"/>
        <w:jc w:val="both"/>
        <w:rPr>
          <w:sz w:val="22"/>
        </w:rPr>
      </w:pPr>
      <w:r>
        <w:rPr>
          <w:sz w:val="22"/>
        </w:rPr>
        <w:t xml:space="preserve">395. </w:t>
      </w:r>
      <w:r>
        <w:rPr>
          <w:sz w:val="22"/>
        </w:rPr>
        <w:tab/>
        <w:t>Данные, полученные при проведении Многоцелевого опроса семей, подтверждают всеобщее беспокойство в связи с тем, что при анализе различных групп населения семьи, где главой семьи является женщина, чаще живут за чертой бедности, чем те, где главой семьи является мужчина. Эта разница устойчиво прослеживается на протяжении 1990-х годов. Процентное соотношение бедных семей в зависимости от пола главы семьи увеличилось в 3 раза по сравнению с показателями на начало 1990-х годов, что главным образом обусловлено значительным ростом процента семей, где женщина являлась главой семьи в 1999 году. Данное обстоятельство породило самый большой скачок десятилетия, который составил почти 10 процентов (проект "Состояние нации", 2001 год).</w:t>
      </w:r>
    </w:p>
    <w:p w:rsidR="00000000" w:rsidRDefault="00000000">
      <w:pPr>
        <w:tabs>
          <w:tab w:val="left" w:pos="680"/>
        </w:tabs>
        <w:spacing w:before="240" w:line="260" w:lineRule="exact"/>
        <w:jc w:val="both"/>
        <w:rPr>
          <w:sz w:val="22"/>
        </w:rPr>
      </w:pPr>
      <w:r>
        <w:rPr>
          <w:sz w:val="22"/>
        </w:rPr>
        <w:t>396. Следует сделать некоторые оговорки, прежде чем перейти к анализу. Когда мы рассматриваем данное явление через призму статистики, касающейся пола главы семьи в бедных семьях, мы рискуем сделать вывод, что сам факт, что женщина является главой семьи, является причиной женской бедности. Принадлежность главы семьи к женскому полу прямо не приводит к бедности, а скорее увеличивает риск обнищания.</w:t>
      </w:r>
    </w:p>
    <w:p w:rsidR="00000000" w:rsidRDefault="00000000">
      <w:pPr>
        <w:pStyle w:val="BodyText3"/>
        <w:tabs>
          <w:tab w:val="left" w:pos="680"/>
        </w:tabs>
        <w:spacing w:before="360" w:line="260" w:lineRule="exact"/>
        <w:jc w:val="center"/>
        <w:rPr>
          <w:b w:val="0"/>
          <w:sz w:val="22"/>
        </w:rPr>
      </w:pPr>
      <w:r>
        <w:rPr>
          <w:sz w:val="22"/>
        </w:rPr>
        <w:t>Диаграмма 4</w:t>
      </w:r>
      <w:r>
        <w:rPr>
          <w:sz w:val="22"/>
        </w:rPr>
        <w:br/>
        <w:t xml:space="preserve">Процент бедных семей с разбивкой по полу главы семьи, 1990–1999 годы </w:t>
      </w:r>
      <w:r>
        <w:rPr>
          <w:sz w:val="22"/>
        </w:rPr>
        <w:br/>
      </w:r>
      <w:r>
        <w:rPr>
          <w:b w:val="0"/>
          <w:sz w:val="22"/>
        </w:rPr>
        <w:t>(в процентах от всех семей)</w:t>
      </w:r>
    </w:p>
    <w:p w:rsidR="00000000" w:rsidRDefault="00000000">
      <w:pPr>
        <w:numPr>
          <w:ilvl w:val="12"/>
          <w:numId w:val="0"/>
        </w:numPr>
        <w:tabs>
          <w:tab w:val="left" w:pos="680"/>
        </w:tabs>
        <w:spacing w:before="240"/>
        <w:jc w:val="center"/>
        <w:rPr>
          <w:sz w:val="22"/>
        </w:rPr>
      </w:pPr>
      <w:r>
        <w:rPr>
          <w:sz w:val="22"/>
        </w:rPr>
        <w:pict>
          <v:shape id="_x0000_i1028" type="#_x0000_t75" style="width:327pt;height:167.25pt">
            <v:imagedata r:id="rId25" o:title="F_4"/>
          </v:shape>
        </w:pict>
      </w:r>
    </w:p>
    <w:p w:rsidR="00000000" w:rsidRDefault="00000000">
      <w:pPr>
        <w:numPr>
          <w:ilvl w:val="12"/>
          <w:numId w:val="0"/>
        </w:numPr>
        <w:tabs>
          <w:tab w:val="left" w:pos="680"/>
          <w:tab w:val="left" w:pos="1418"/>
        </w:tabs>
        <w:spacing w:before="240" w:line="260" w:lineRule="exact"/>
        <w:jc w:val="both"/>
        <w:rPr>
          <w:sz w:val="20"/>
        </w:rPr>
      </w:pPr>
      <w:r>
        <w:rPr>
          <w:b/>
          <w:sz w:val="20"/>
        </w:rPr>
        <w:t xml:space="preserve">Источник: </w:t>
      </w:r>
      <w:r>
        <w:rPr>
          <w:sz w:val="20"/>
        </w:rPr>
        <w:t>ИНЕК–МТСС. Многоцелевой опрос семей. Данные за несколько лет.</w:t>
      </w:r>
    </w:p>
    <w:p w:rsidR="00000000" w:rsidRDefault="00000000">
      <w:pPr>
        <w:tabs>
          <w:tab w:val="left" w:pos="680"/>
        </w:tabs>
        <w:spacing w:before="240" w:line="260" w:lineRule="exact"/>
        <w:jc w:val="both"/>
        <w:rPr>
          <w:sz w:val="22"/>
        </w:rPr>
      </w:pPr>
      <w:r>
        <w:rPr>
          <w:sz w:val="22"/>
        </w:rPr>
        <w:t xml:space="preserve">397. </w:t>
      </w:r>
      <w:r>
        <w:rPr>
          <w:sz w:val="22"/>
        </w:rPr>
        <w:tab/>
        <w:t>Следует отметить, что в 1999 году результаты Многоцелевого опроса семей (МОС) претерпели изменения благодаря использованию новых рамок проведения опроса, полученных при уточнении картографических данных к моменту проведения переписи 2000 года. Это привело к более высоким показателям бедных семей по сравнению с тем, который мог быть получен с использованием старой методики во время предыдущих опросов (проект "Состояние нации", 2001 год). Однако следует подчеркнуть, что именно семьи, где главой является женщина, дают высокие показатели, в то время как семьи, возглавляемые мужчиной, дают стабильные показатели. Это обстоятельство указывает на то, что новые данные отражают рост районов, заселенных бедными семьями, в особенности в черте города, где наблюдается рост числа семей, возглавляемых женщинами. Даже не учитывая цифры 1999 года и основываясь лишь на данных 1990-х годов, можно утверждать, что "у бедности в нашей стране женское лицо".</w:t>
      </w:r>
    </w:p>
    <w:p w:rsidR="00000000" w:rsidRDefault="00000000">
      <w:pPr>
        <w:tabs>
          <w:tab w:val="left" w:pos="680"/>
        </w:tabs>
        <w:spacing w:before="240" w:line="260" w:lineRule="exact"/>
        <w:jc w:val="both"/>
        <w:rPr>
          <w:sz w:val="22"/>
        </w:rPr>
      </w:pPr>
      <w:r>
        <w:rPr>
          <w:sz w:val="22"/>
        </w:rPr>
        <w:t xml:space="preserve">398. </w:t>
      </w:r>
      <w:r>
        <w:rPr>
          <w:sz w:val="22"/>
        </w:rPr>
        <w:tab/>
        <w:t>Анализ возрастных групп указывает на то, что женщины – главы семей (в возрасте 34 и менее лет) являются наиболее уязвимыми, в том числе перед нищетой. Эта возрастная группа демонстрирует наибольшую пропасть между семьями, где главой семьи является женщина, с одной стороны, и семьями, где главой является мужчина, с другой стороны. Данный факт должен привлечь наше внимание, если учитывать, что именно на эти семьи приходится больше всего детей дошкольного и младшего школьного возраста, чьи жизненные потребности не удовлетворены полностью, а возможности улучшения качества жизни в будущем находятся под вопросом, в особенности в тех случаях, когда отсутствие одного из родителей приводит к невыполнению его отцовских обязанностей (</w:t>
      </w:r>
      <w:r>
        <w:rPr>
          <w:sz w:val="22"/>
          <w:lang w:val="en-US"/>
        </w:rPr>
        <w:t>Ramos</w:t>
      </w:r>
      <w:r>
        <w:rPr>
          <w:sz w:val="22"/>
        </w:rPr>
        <w:t>, 2001).</w:t>
      </w:r>
    </w:p>
    <w:p w:rsidR="00000000" w:rsidRDefault="00000000">
      <w:pPr>
        <w:tabs>
          <w:tab w:val="left" w:pos="680"/>
        </w:tabs>
        <w:spacing w:before="240" w:line="260" w:lineRule="exact"/>
        <w:jc w:val="both"/>
        <w:rPr>
          <w:sz w:val="22"/>
        </w:rPr>
      </w:pPr>
      <w:r>
        <w:rPr>
          <w:sz w:val="22"/>
        </w:rPr>
        <w:t>399.</w:t>
      </w:r>
      <w:r>
        <w:rPr>
          <w:sz w:val="22"/>
        </w:rPr>
        <w:tab/>
        <w:t>Одинокие женщины и матери-одиночки чаще других страдают от бедности. В 1999 году семьи, состоящие из одиноких женщин, а также матери-одиночки больше всего пострадали от бедности (29 и 25 процентов, соответственно). Кроме того, именно в такого рода семьях была зарегистрирована наибольшая</w:t>
      </w:r>
      <w:r>
        <w:rPr>
          <w:color w:val="008000"/>
          <w:sz w:val="22"/>
        </w:rPr>
        <w:t xml:space="preserve"> </w:t>
      </w:r>
      <w:r>
        <w:rPr>
          <w:sz w:val="22"/>
        </w:rPr>
        <w:t xml:space="preserve">разница по сравнению с семьями, где главой является мужчина. </w:t>
      </w:r>
    </w:p>
    <w:p w:rsidR="00000000" w:rsidRDefault="00000000">
      <w:pPr>
        <w:tabs>
          <w:tab w:val="left" w:pos="680"/>
        </w:tabs>
        <w:spacing w:before="240" w:line="260" w:lineRule="exact"/>
        <w:jc w:val="both"/>
        <w:rPr>
          <w:b/>
          <w:sz w:val="22"/>
        </w:rPr>
      </w:pPr>
      <w:r>
        <w:rPr>
          <w:sz w:val="22"/>
        </w:rPr>
        <w:t>400.</w:t>
      </w:r>
      <w:r>
        <w:rPr>
          <w:sz w:val="22"/>
        </w:rPr>
        <w:tab/>
        <w:t>Помимо этого, из результатов анализа видно, что существует значительный перевес не в пользу матерей-одиночек по показателям крайней бедности. Этот результат превышает средние показатели по стране на 8 процентов (</w:t>
      </w:r>
      <w:r>
        <w:rPr>
          <w:sz w:val="22"/>
          <w:lang w:val="en-US"/>
        </w:rPr>
        <w:t>Ramos</w:t>
      </w:r>
      <w:r>
        <w:rPr>
          <w:sz w:val="22"/>
        </w:rPr>
        <w:t>, 2000). Как вытекает из таблицы 13, бедность в большей степени затрагивает сельские районы, а также районы за пределами Центральной долины, что касается как средних данных по стране в целом, так и данных по семьям, где главой является женщина (проект "Состояние нации", 2001 год).</w:t>
      </w:r>
    </w:p>
    <w:p w:rsidR="00000000" w:rsidRDefault="00000000">
      <w:pPr>
        <w:tabs>
          <w:tab w:val="left" w:pos="680"/>
        </w:tabs>
        <w:spacing w:before="240" w:line="260" w:lineRule="exact"/>
        <w:jc w:val="both"/>
        <w:rPr>
          <w:b/>
          <w:sz w:val="22"/>
        </w:rPr>
      </w:pPr>
    </w:p>
    <w:p w:rsidR="00000000" w:rsidRDefault="00000000">
      <w:pPr>
        <w:tabs>
          <w:tab w:val="left" w:pos="680"/>
        </w:tabs>
        <w:spacing w:before="240" w:line="260" w:lineRule="exact"/>
        <w:jc w:val="center"/>
        <w:rPr>
          <w:b/>
          <w:sz w:val="22"/>
        </w:rPr>
      </w:pPr>
      <w:r>
        <w:rPr>
          <w:b/>
          <w:sz w:val="22"/>
        </w:rPr>
        <w:t xml:space="preserve">Таблица 13 </w:t>
      </w:r>
    </w:p>
    <w:p w:rsidR="00000000" w:rsidRDefault="00000000">
      <w:pPr>
        <w:tabs>
          <w:tab w:val="left" w:pos="680"/>
        </w:tabs>
        <w:spacing w:before="120" w:after="120" w:line="260" w:lineRule="exact"/>
        <w:jc w:val="center"/>
        <w:rPr>
          <w:sz w:val="22"/>
        </w:rPr>
      </w:pPr>
      <w:r>
        <w:rPr>
          <w:b/>
          <w:sz w:val="22"/>
        </w:rPr>
        <w:t xml:space="preserve">Изменение количества семей, живущих в бедности, с разбивкой по полу главы семьи и месту проживания, 1989–1997 годы </w:t>
      </w:r>
      <w:r>
        <w:rPr>
          <w:b/>
          <w:sz w:val="22"/>
        </w:rPr>
        <w:br/>
      </w:r>
      <w:r>
        <w:rPr>
          <w:sz w:val="22"/>
        </w:rPr>
        <w:t>(в абсолютных и относительных цифрах)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696"/>
        <w:gridCol w:w="842"/>
        <w:gridCol w:w="563"/>
        <w:gridCol w:w="1410"/>
        <w:gridCol w:w="1412"/>
        <w:gridCol w:w="1179"/>
        <w:gridCol w:w="675"/>
        <w:gridCol w:w="1127"/>
      </w:tblGrid>
      <w:tr w:rsidR="00000000">
        <w:tblPrEx>
          <w:tblCellMar>
            <w:top w:w="0" w:type="dxa"/>
            <w:bottom w:w="0" w:type="dxa"/>
          </w:tblCellMar>
        </w:tblPrEx>
        <w:trPr>
          <w:cantSplit/>
          <w:tblHeader/>
          <w:jc w:val="center"/>
        </w:trPr>
        <w:tc>
          <w:tcPr>
            <w:tcW w:w="1696" w:type="dxa"/>
            <w:vMerge w:val="restart"/>
            <w:vAlign w:val="center"/>
          </w:tcPr>
          <w:p w:rsidR="00000000" w:rsidRDefault="00000000">
            <w:pPr>
              <w:tabs>
                <w:tab w:val="left" w:pos="680"/>
              </w:tabs>
              <w:rPr>
                <w:b/>
                <w:sz w:val="20"/>
              </w:rPr>
            </w:pPr>
            <w:r>
              <w:rPr>
                <w:b/>
                <w:sz w:val="20"/>
              </w:rPr>
              <w:t>Показатель</w:t>
            </w:r>
          </w:p>
        </w:tc>
        <w:tc>
          <w:tcPr>
            <w:tcW w:w="1405" w:type="dxa"/>
            <w:gridSpan w:val="2"/>
            <w:vAlign w:val="center"/>
          </w:tcPr>
          <w:p w:rsidR="00000000" w:rsidRDefault="00000000">
            <w:pPr>
              <w:tabs>
                <w:tab w:val="left" w:pos="680"/>
              </w:tabs>
              <w:jc w:val="center"/>
              <w:rPr>
                <w:b/>
                <w:sz w:val="20"/>
              </w:rPr>
            </w:pPr>
            <w:r>
              <w:rPr>
                <w:b/>
                <w:sz w:val="20"/>
              </w:rPr>
              <w:t>Бедные семьи</w:t>
            </w:r>
          </w:p>
        </w:tc>
        <w:tc>
          <w:tcPr>
            <w:tcW w:w="2822" w:type="dxa"/>
            <w:gridSpan w:val="2"/>
            <w:vAlign w:val="center"/>
          </w:tcPr>
          <w:p w:rsidR="00000000" w:rsidRDefault="00000000">
            <w:pPr>
              <w:tabs>
                <w:tab w:val="left" w:pos="680"/>
              </w:tabs>
              <w:jc w:val="center"/>
              <w:rPr>
                <w:b/>
                <w:sz w:val="20"/>
              </w:rPr>
            </w:pPr>
            <w:r>
              <w:rPr>
                <w:b/>
                <w:caps/>
                <w:sz w:val="20"/>
              </w:rPr>
              <w:t>и</w:t>
            </w:r>
            <w:r>
              <w:rPr>
                <w:b/>
                <w:sz w:val="20"/>
              </w:rPr>
              <w:t xml:space="preserve">зменения в период </w:t>
            </w:r>
            <w:r>
              <w:rPr>
                <w:b/>
                <w:sz w:val="20"/>
              </w:rPr>
              <w:br/>
              <w:t>с 1989 по 1997 год</w:t>
            </w:r>
          </w:p>
        </w:tc>
        <w:tc>
          <w:tcPr>
            <w:tcW w:w="2981" w:type="dxa"/>
            <w:gridSpan w:val="3"/>
            <w:vAlign w:val="center"/>
          </w:tcPr>
          <w:p w:rsidR="00000000" w:rsidRDefault="00000000">
            <w:pPr>
              <w:tabs>
                <w:tab w:val="left" w:pos="680"/>
              </w:tabs>
              <w:jc w:val="center"/>
              <w:rPr>
                <w:b/>
                <w:sz w:val="20"/>
              </w:rPr>
            </w:pPr>
            <w:r>
              <w:rPr>
                <w:b/>
                <w:caps/>
                <w:sz w:val="20"/>
              </w:rPr>
              <w:t>п</w:t>
            </w:r>
            <w:r>
              <w:rPr>
                <w:b/>
                <w:sz w:val="20"/>
              </w:rPr>
              <w:t>оказатели бедности</w:t>
            </w:r>
          </w:p>
        </w:tc>
      </w:tr>
      <w:tr w:rsidR="00000000">
        <w:tblPrEx>
          <w:tblCellMar>
            <w:top w:w="0" w:type="dxa"/>
            <w:bottom w:w="0" w:type="dxa"/>
          </w:tblCellMar>
        </w:tblPrEx>
        <w:trPr>
          <w:cantSplit/>
          <w:tblHeader/>
          <w:jc w:val="center"/>
        </w:trPr>
        <w:tc>
          <w:tcPr>
            <w:tcW w:w="1696" w:type="dxa"/>
            <w:vMerge/>
          </w:tcPr>
          <w:p w:rsidR="00000000" w:rsidRDefault="00000000">
            <w:pPr>
              <w:tabs>
                <w:tab w:val="left" w:pos="680"/>
              </w:tabs>
              <w:rPr>
                <w:b/>
                <w:sz w:val="20"/>
              </w:rPr>
            </w:pPr>
          </w:p>
        </w:tc>
        <w:tc>
          <w:tcPr>
            <w:tcW w:w="842" w:type="dxa"/>
            <w:vAlign w:val="center"/>
          </w:tcPr>
          <w:p w:rsidR="00000000" w:rsidRDefault="00000000">
            <w:pPr>
              <w:tabs>
                <w:tab w:val="left" w:pos="680"/>
              </w:tabs>
              <w:jc w:val="center"/>
              <w:rPr>
                <w:b/>
                <w:sz w:val="20"/>
              </w:rPr>
            </w:pPr>
            <w:r>
              <w:rPr>
                <w:sz w:val="20"/>
              </w:rPr>
              <w:t>1989</w:t>
            </w:r>
          </w:p>
        </w:tc>
        <w:tc>
          <w:tcPr>
            <w:tcW w:w="563" w:type="dxa"/>
            <w:vAlign w:val="center"/>
          </w:tcPr>
          <w:p w:rsidR="00000000" w:rsidRDefault="00000000">
            <w:pPr>
              <w:tabs>
                <w:tab w:val="left" w:pos="680"/>
              </w:tabs>
              <w:jc w:val="center"/>
              <w:rPr>
                <w:b/>
                <w:sz w:val="20"/>
              </w:rPr>
            </w:pPr>
            <w:r>
              <w:rPr>
                <w:sz w:val="20"/>
              </w:rPr>
              <w:t>1997</w:t>
            </w:r>
          </w:p>
        </w:tc>
        <w:tc>
          <w:tcPr>
            <w:tcW w:w="1410" w:type="dxa"/>
            <w:vAlign w:val="center"/>
          </w:tcPr>
          <w:p w:rsidR="00000000" w:rsidRDefault="00000000">
            <w:pPr>
              <w:tabs>
                <w:tab w:val="left" w:pos="680"/>
              </w:tabs>
              <w:jc w:val="center"/>
              <w:rPr>
                <w:b/>
                <w:sz w:val="20"/>
              </w:rPr>
            </w:pPr>
            <w:r>
              <w:rPr>
                <w:sz w:val="20"/>
              </w:rPr>
              <w:t>абсолютные</w:t>
            </w:r>
          </w:p>
        </w:tc>
        <w:tc>
          <w:tcPr>
            <w:tcW w:w="1412" w:type="dxa"/>
            <w:vAlign w:val="center"/>
          </w:tcPr>
          <w:p w:rsidR="00000000" w:rsidRDefault="00000000">
            <w:pPr>
              <w:tabs>
                <w:tab w:val="left" w:pos="680"/>
              </w:tabs>
              <w:jc w:val="center"/>
              <w:rPr>
                <w:b/>
                <w:sz w:val="20"/>
              </w:rPr>
            </w:pPr>
            <w:r>
              <w:rPr>
                <w:sz w:val="20"/>
              </w:rPr>
              <w:t>относительные</w:t>
            </w:r>
          </w:p>
        </w:tc>
        <w:tc>
          <w:tcPr>
            <w:tcW w:w="1179" w:type="dxa"/>
            <w:vAlign w:val="center"/>
          </w:tcPr>
          <w:p w:rsidR="00000000" w:rsidRDefault="00000000">
            <w:pPr>
              <w:tabs>
                <w:tab w:val="left" w:pos="680"/>
              </w:tabs>
              <w:jc w:val="center"/>
              <w:rPr>
                <w:b/>
                <w:sz w:val="20"/>
              </w:rPr>
            </w:pPr>
            <w:r>
              <w:rPr>
                <w:sz w:val="20"/>
              </w:rPr>
              <w:t>1989</w:t>
            </w:r>
          </w:p>
        </w:tc>
        <w:tc>
          <w:tcPr>
            <w:tcW w:w="675" w:type="dxa"/>
            <w:vAlign w:val="center"/>
          </w:tcPr>
          <w:p w:rsidR="00000000" w:rsidRDefault="00000000">
            <w:pPr>
              <w:tabs>
                <w:tab w:val="left" w:pos="680"/>
              </w:tabs>
              <w:jc w:val="center"/>
              <w:rPr>
                <w:b/>
                <w:sz w:val="20"/>
              </w:rPr>
            </w:pPr>
            <w:r>
              <w:rPr>
                <w:sz w:val="20"/>
              </w:rPr>
              <w:t>1997</w:t>
            </w:r>
          </w:p>
        </w:tc>
        <w:tc>
          <w:tcPr>
            <w:tcW w:w="1127" w:type="dxa"/>
            <w:vAlign w:val="center"/>
          </w:tcPr>
          <w:p w:rsidR="00000000" w:rsidRDefault="00000000">
            <w:pPr>
              <w:tabs>
                <w:tab w:val="left" w:pos="680"/>
              </w:tabs>
              <w:jc w:val="center"/>
              <w:rPr>
                <w:b/>
                <w:sz w:val="20"/>
              </w:rPr>
            </w:pPr>
            <w:r>
              <w:rPr>
                <w:sz w:val="20"/>
              </w:rPr>
              <w:t>динамика изменений</w:t>
            </w:r>
          </w:p>
        </w:tc>
      </w:tr>
      <w:tr w:rsidR="00000000">
        <w:tblPrEx>
          <w:tblCellMar>
            <w:top w:w="0" w:type="dxa"/>
            <w:bottom w:w="0" w:type="dxa"/>
          </w:tblCellMar>
        </w:tblPrEx>
        <w:trPr>
          <w:jc w:val="center"/>
        </w:trPr>
        <w:tc>
          <w:tcPr>
            <w:tcW w:w="1696" w:type="dxa"/>
            <w:tcBorders>
              <w:bottom w:val="nil"/>
            </w:tcBorders>
          </w:tcPr>
          <w:p w:rsidR="00000000" w:rsidRDefault="00000000">
            <w:pPr>
              <w:tabs>
                <w:tab w:val="left" w:pos="680"/>
              </w:tabs>
              <w:rPr>
                <w:b/>
                <w:sz w:val="20"/>
              </w:rPr>
            </w:pPr>
            <w:r>
              <w:rPr>
                <w:b/>
                <w:sz w:val="20"/>
              </w:rPr>
              <w:t xml:space="preserve">Всего </w:t>
            </w:r>
            <w:r>
              <w:rPr>
                <w:b/>
                <w:sz w:val="20"/>
              </w:rPr>
              <w:br/>
            </w:r>
            <w:r>
              <w:rPr>
                <w:sz w:val="20"/>
              </w:rPr>
              <w:t>(в тысячах)</w:t>
            </w:r>
          </w:p>
        </w:tc>
        <w:tc>
          <w:tcPr>
            <w:tcW w:w="842" w:type="dxa"/>
            <w:tcBorders>
              <w:bottom w:val="nil"/>
            </w:tcBorders>
          </w:tcPr>
          <w:p w:rsidR="00000000" w:rsidRDefault="00000000">
            <w:pPr>
              <w:tabs>
                <w:tab w:val="left" w:pos="680"/>
              </w:tabs>
              <w:jc w:val="center"/>
              <w:rPr>
                <w:b/>
                <w:sz w:val="20"/>
              </w:rPr>
            </w:pPr>
            <w:r>
              <w:rPr>
                <w:sz w:val="20"/>
              </w:rPr>
              <w:t>243,5</w:t>
            </w:r>
          </w:p>
        </w:tc>
        <w:tc>
          <w:tcPr>
            <w:tcW w:w="563" w:type="dxa"/>
            <w:tcBorders>
              <w:bottom w:val="nil"/>
            </w:tcBorders>
          </w:tcPr>
          <w:p w:rsidR="00000000" w:rsidRDefault="00000000">
            <w:pPr>
              <w:tabs>
                <w:tab w:val="left" w:pos="680"/>
              </w:tabs>
              <w:jc w:val="center"/>
              <w:rPr>
                <w:b/>
                <w:sz w:val="20"/>
              </w:rPr>
            </w:pPr>
            <w:r>
              <w:rPr>
                <w:sz w:val="20"/>
              </w:rPr>
              <w:t>310,8</w:t>
            </w:r>
          </w:p>
        </w:tc>
        <w:tc>
          <w:tcPr>
            <w:tcW w:w="1410" w:type="dxa"/>
            <w:tcBorders>
              <w:bottom w:val="nil"/>
            </w:tcBorders>
          </w:tcPr>
          <w:p w:rsidR="00000000" w:rsidRDefault="00000000">
            <w:pPr>
              <w:tabs>
                <w:tab w:val="left" w:pos="680"/>
              </w:tabs>
              <w:jc w:val="center"/>
              <w:rPr>
                <w:b/>
                <w:sz w:val="20"/>
              </w:rPr>
            </w:pPr>
            <w:r>
              <w:rPr>
                <w:sz w:val="20"/>
              </w:rPr>
              <w:t>67, 4</w:t>
            </w:r>
          </w:p>
        </w:tc>
        <w:tc>
          <w:tcPr>
            <w:tcW w:w="1412" w:type="dxa"/>
            <w:tcBorders>
              <w:bottom w:val="nil"/>
            </w:tcBorders>
          </w:tcPr>
          <w:p w:rsidR="00000000" w:rsidRDefault="00000000">
            <w:pPr>
              <w:tabs>
                <w:tab w:val="left" w:pos="680"/>
              </w:tabs>
              <w:jc w:val="center"/>
              <w:rPr>
                <w:b/>
                <w:sz w:val="20"/>
              </w:rPr>
            </w:pPr>
          </w:p>
        </w:tc>
        <w:tc>
          <w:tcPr>
            <w:tcW w:w="1179" w:type="dxa"/>
            <w:tcBorders>
              <w:bottom w:val="nil"/>
            </w:tcBorders>
          </w:tcPr>
          <w:p w:rsidR="00000000" w:rsidRDefault="00000000">
            <w:pPr>
              <w:tabs>
                <w:tab w:val="left" w:pos="680"/>
              </w:tabs>
              <w:jc w:val="center"/>
              <w:rPr>
                <w:b/>
                <w:sz w:val="20"/>
              </w:rPr>
            </w:pPr>
          </w:p>
        </w:tc>
        <w:tc>
          <w:tcPr>
            <w:tcW w:w="675" w:type="dxa"/>
            <w:tcBorders>
              <w:bottom w:val="nil"/>
            </w:tcBorders>
          </w:tcPr>
          <w:p w:rsidR="00000000" w:rsidRDefault="00000000">
            <w:pPr>
              <w:tabs>
                <w:tab w:val="left" w:pos="680"/>
              </w:tabs>
              <w:jc w:val="center"/>
              <w:rPr>
                <w:b/>
                <w:sz w:val="20"/>
              </w:rPr>
            </w:pPr>
          </w:p>
        </w:tc>
        <w:tc>
          <w:tcPr>
            <w:tcW w:w="1127" w:type="dxa"/>
            <w:tcBorders>
              <w:bottom w:val="nil"/>
            </w:tcBorders>
          </w:tcPr>
          <w:p w:rsidR="00000000" w:rsidRDefault="00000000">
            <w:pPr>
              <w:tabs>
                <w:tab w:val="left" w:pos="680"/>
              </w:tabs>
              <w:jc w:val="center"/>
              <w:rPr>
                <w:b/>
                <w:sz w:val="20"/>
              </w:rPr>
            </w:pPr>
          </w:p>
        </w:tc>
      </w:tr>
      <w:tr w:rsidR="00000000">
        <w:tblPrEx>
          <w:tblCellMar>
            <w:top w:w="0" w:type="dxa"/>
            <w:bottom w:w="0" w:type="dxa"/>
          </w:tblCellMar>
        </w:tblPrEx>
        <w:trPr>
          <w:jc w:val="center"/>
        </w:trPr>
        <w:tc>
          <w:tcPr>
            <w:tcW w:w="1696" w:type="dxa"/>
            <w:tcBorders>
              <w:top w:val="nil"/>
              <w:bottom w:val="nil"/>
            </w:tcBorders>
          </w:tcPr>
          <w:p w:rsidR="00000000" w:rsidRDefault="00000000">
            <w:pPr>
              <w:tabs>
                <w:tab w:val="left" w:pos="680"/>
              </w:tabs>
              <w:rPr>
                <w:b/>
                <w:sz w:val="20"/>
              </w:rPr>
            </w:pPr>
            <w:r>
              <w:rPr>
                <w:sz w:val="20"/>
              </w:rPr>
              <w:t>Всего</w:t>
            </w:r>
            <w:r>
              <w:rPr>
                <w:b/>
                <w:sz w:val="20"/>
              </w:rPr>
              <w:t xml:space="preserve"> </w:t>
            </w:r>
            <w:r>
              <w:rPr>
                <w:sz w:val="20"/>
              </w:rPr>
              <w:t>в относительных цифрах</w:t>
            </w:r>
          </w:p>
        </w:tc>
        <w:tc>
          <w:tcPr>
            <w:tcW w:w="842" w:type="dxa"/>
            <w:tcBorders>
              <w:top w:val="nil"/>
              <w:bottom w:val="nil"/>
            </w:tcBorders>
          </w:tcPr>
          <w:p w:rsidR="00000000" w:rsidRDefault="00000000">
            <w:pPr>
              <w:tabs>
                <w:tab w:val="left" w:pos="680"/>
              </w:tabs>
              <w:jc w:val="center"/>
              <w:rPr>
                <w:sz w:val="20"/>
              </w:rPr>
            </w:pPr>
            <w:r>
              <w:rPr>
                <w:sz w:val="20"/>
              </w:rPr>
              <w:t>100,0</w:t>
            </w:r>
          </w:p>
        </w:tc>
        <w:tc>
          <w:tcPr>
            <w:tcW w:w="563" w:type="dxa"/>
            <w:tcBorders>
              <w:top w:val="nil"/>
              <w:bottom w:val="nil"/>
            </w:tcBorders>
          </w:tcPr>
          <w:p w:rsidR="00000000" w:rsidRDefault="00000000">
            <w:pPr>
              <w:tabs>
                <w:tab w:val="left" w:pos="680"/>
              </w:tabs>
              <w:jc w:val="center"/>
              <w:rPr>
                <w:sz w:val="20"/>
              </w:rPr>
            </w:pPr>
            <w:r>
              <w:rPr>
                <w:sz w:val="20"/>
              </w:rPr>
              <w:t>100,0</w:t>
            </w:r>
          </w:p>
        </w:tc>
        <w:tc>
          <w:tcPr>
            <w:tcW w:w="1410" w:type="dxa"/>
            <w:tcBorders>
              <w:top w:val="nil"/>
              <w:bottom w:val="nil"/>
            </w:tcBorders>
          </w:tcPr>
          <w:p w:rsidR="00000000" w:rsidRDefault="00000000">
            <w:pPr>
              <w:tabs>
                <w:tab w:val="left" w:pos="680"/>
              </w:tabs>
              <w:jc w:val="center"/>
              <w:rPr>
                <w:sz w:val="20"/>
              </w:rPr>
            </w:pPr>
            <w:r>
              <w:rPr>
                <w:sz w:val="20"/>
              </w:rPr>
              <w:t>100,0</w:t>
            </w:r>
          </w:p>
        </w:tc>
        <w:tc>
          <w:tcPr>
            <w:tcW w:w="1412" w:type="dxa"/>
            <w:tcBorders>
              <w:top w:val="nil"/>
              <w:bottom w:val="nil"/>
            </w:tcBorders>
          </w:tcPr>
          <w:p w:rsidR="00000000" w:rsidRDefault="00000000">
            <w:pPr>
              <w:tabs>
                <w:tab w:val="left" w:pos="680"/>
              </w:tabs>
              <w:jc w:val="center"/>
              <w:rPr>
                <w:sz w:val="20"/>
              </w:rPr>
            </w:pPr>
            <w:r>
              <w:rPr>
                <w:sz w:val="20"/>
              </w:rPr>
              <w:t>3,1</w:t>
            </w:r>
          </w:p>
        </w:tc>
        <w:tc>
          <w:tcPr>
            <w:tcW w:w="1179" w:type="dxa"/>
            <w:tcBorders>
              <w:top w:val="nil"/>
              <w:bottom w:val="nil"/>
            </w:tcBorders>
          </w:tcPr>
          <w:p w:rsidR="00000000" w:rsidRDefault="00000000">
            <w:pPr>
              <w:tabs>
                <w:tab w:val="left" w:pos="680"/>
              </w:tabs>
              <w:jc w:val="center"/>
              <w:rPr>
                <w:sz w:val="20"/>
              </w:rPr>
            </w:pPr>
            <w:r>
              <w:rPr>
                <w:sz w:val="20"/>
              </w:rPr>
              <w:t>53,7</w:t>
            </w:r>
          </w:p>
        </w:tc>
        <w:tc>
          <w:tcPr>
            <w:tcW w:w="675" w:type="dxa"/>
            <w:tcBorders>
              <w:top w:val="nil"/>
              <w:bottom w:val="nil"/>
            </w:tcBorders>
          </w:tcPr>
          <w:p w:rsidR="00000000" w:rsidRDefault="00000000">
            <w:pPr>
              <w:tabs>
                <w:tab w:val="left" w:pos="680"/>
              </w:tabs>
              <w:jc w:val="center"/>
              <w:rPr>
                <w:sz w:val="20"/>
              </w:rPr>
            </w:pPr>
            <w:r>
              <w:rPr>
                <w:sz w:val="20"/>
              </w:rPr>
              <w:t>46,4</w:t>
            </w:r>
          </w:p>
        </w:tc>
        <w:tc>
          <w:tcPr>
            <w:tcW w:w="1127" w:type="dxa"/>
            <w:tcBorders>
              <w:top w:val="nil"/>
              <w:bottom w:val="nil"/>
            </w:tcBorders>
          </w:tcPr>
          <w:p w:rsidR="00000000" w:rsidRDefault="00000000">
            <w:pPr>
              <w:tabs>
                <w:tab w:val="left" w:pos="680"/>
              </w:tabs>
              <w:jc w:val="center"/>
              <w:rPr>
                <w:sz w:val="20"/>
              </w:rPr>
            </w:pPr>
            <w:r>
              <w:rPr>
                <w:sz w:val="20"/>
              </w:rPr>
              <w:t>–7,3</w:t>
            </w:r>
          </w:p>
        </w:tc>
      </w:tr>
      <w:tr w:rsidR="00000000">
        <w:tblPrEx>
          <w:tblCellMar>
            <w:top w:w="0" w:type="dxa"/>
            <w:bottom w:w="0" w:type="dxa"/>
          </w:tblCellMar>
        </w:tblPrEx>
        <w:trPr>
          <w:jc w:val="center"/>
        </w:trPr>
        <w:tc>
          <w:tcPr>
            <w:tcW w:w="1696" w:type="dxa"/>
            <w:tcBorders>
              <w:top w:val="nil"/>
              <w:bottom w:val="nil"/>
            </w:tcBorders>
          </w:tcPr>
          <w:p w:rsidR="00000000" w:rsidRDefault="00000000">
            <w:pPr>
              <w:tabs>
                <w:tab w:val="left" w:pos="680"/>
              </w:tabs>
              <w:rPr>
                <w:b/>
                <w:sz w:val="20"/>
              </w:rPr>
            </w:pPr>
            <w:r>
              <w:rPr>
                <w:b/>
                <w:sz w:val="20"/>
              </w:rPr>
              <w:t>Пол</w:t>
            </w:r>
            <w:r>
              <w:rPr>
                <w:sz w:val="20"/>
              </w:rPr>
              <w:t xml:space="preserve"> </w:t>
            </w:r>
            <w:r>
              <w:rPr>
                <w:b/>
                <w:sz w:val="20"/>
              </w:rPr>
              <w:t>главы семьи</w:t>
            </w:r>
          </w:p>
        </w:tc>
        <w:tc>
          <w:tcPr>
            <w:tcW w:w="842" w:type="dxa"/>
            <w:tcBorders>
              <w:top w:val="nil"/>
              <w:bottom w:val="nil"/>
            </w:tcBorders>
          </w:tcPr>
          <w:p w:rsidR="00000000" w:rsidRDefault="00000000">
            <w:pPr>
              <w:tabs>
                <w:tab w:val="left" w:pos="680"/>
              </w:tabs>
              <w:jc w:val="center"/>
              <w:rPr>
                <w:sz w:val="20"/>
              </w:rPr>
            </w:pPr>
            <w:r>
              <w:rPr>
                <w:sz w:val="20"/>
              </w:rPr>
              <w:t>100,0</w:t>
            </w:r>
          </w:p>
        </w:tc>
        <w:tc>
          <w:tcPr>
            <w:tcW w:w="563" w:type="dxa"/>
            <w:tcBorders>
              <w:top w:val="nil"/>
              <w:bottom w:val="nil"/>
            </w:tcBorders>
          </w:tcPr>
          <w:p w:rsidR="00000000" w:rsidRDefault="00000000">
            <w:pPr>
              <w:tabs>
                <w:tab w:val="left" w:pos="680"/>
              </w:tabs>
              <w:jc w:val="center"/>
              <w:rPr>
                <w:sz w:val="20"/>
              </w:rPr>
            </w:pPr>
            <w:r>
              <w:rPr>
                <w:sz w:val="20"/>
              </w:rPr>
              <w:t>100,0</w:t>
            </w:r>
          </w:p>
        </w:tc>
        <w:tc>
          <w:tcPr>
            <w:tcW w:w="1410" w:type="dxa"/>
            <w:tcBorders>
              <w:top w:val="nil"/>
              <w:bottom w:val="nil"/>
            </w:tcBorders>
          </w:tcPr>
          <w:p w:rsidR="00000000" w:rsidRDefault="00000000">
            <w:pPr>
              <w:tabs>
                <w:tab w:val="left" w:pos="680"/>
              </w:tabs>
              <w:jc w:val="center"/>
              <w:rPr>
                <w:sz w:val="20"/>
              </w:rPr>
            </w:pPr>
            <w:r>
              <w:rPr>
                <w:sz w:val="20"/>
              </w:rPr>
              <w:t>100,0</w:t>
            </w:r>
          </w:p>
        </w:tc>
        <w:tc>
          <w:tcPr>
            <w:tcW w:w="1412" w:type="dxa"/>
            <w:tcBorders>
              <w:top w:val="nil"/>
              <w:bottom w:val="nil"/>
            </w:tcBorders>
          </w:tcPr>
          <w:p w:rsidR="00000000" w:rsidRDefault="00000000">
            <w:pPr>
              <w:tabs>
                <w:tab w:val="left" w:pos="680"/>
              </w:tabs>
              <w:jc w:val="center"/>
              <w:rPr>
                <w:sz w:val="20"/>
              </w:rPr>
            </w:pPr>
            <w:r>
              <w:rPr>
                <w:sz w:val="20"/>
              </w:rPr>
              <w:t>3,1</w:t>
            </w:r>
          </w:p>
        </w:tc>
        <w:tc>
          <w:tcPr>
            <w:tcW w:w="1179" w:type="dxa"/>
            <w:tcBorders>
              <w:top w:val="nil"/>
              <w:bottom w:val="nil"/>
            </w:tcBorders>
          </w:tcPr>
          <w:p w:rsidR="00000000" w:rsidRDefault="00000000">
            <w:pPr>
              <w:tabs>
                <w:tab w:val="left" w:pos="680"/>
              </w:tabs>
              <w:jc w:val="center"/>
              <w:rPr>
                <w:sz w:val="20"/>
              </w:rPr>
            </w:pPr>
            <w:r>
              <w:rPr>
                <w:sz w:val="20"/>
              </w:rPr>
              <w:t>53,7</w:t>
            </w:r>
          </w:p>
        </w:tc>
        <w:tc>
          <w:tcPr>
            <w:tcW w:w="675" w:type="dxa"/>
            <w:tcBorders>
              <w:top w:val="nil"/>
              <w:bottom w:val="nil"/>
            </w:tcBorders>
          </w:tcPr>
          <w:p w:rsidR="00000000" w:rsidRDefault="00000000">
            <w:pPr>
              <w:tabs>
                <w:tab w:val="left" w:pos="680"/>
              </w:tabs>
              <w:jc w:val="center"/>
              <w:rPr>
                <w:sz w:val="20"/>
              </w:rPr>
            </w:pPr>
            <w:r>
              <w:rPr>
                <w:sz w:val="20"/>
              </w:rPr>
              <w:t>46,4</w:t>
            </w:r>
          </w:p>
        </w:tc>
        <w:tc>
          <w:tcPr>
            <w:tcW w:w="1127" w:type="dxa"/>
            <w:tcBorders>
              <w:top w:val="nil"/>
              <w:bottom w:val="nil"/>
            </w:tcBorders>
          </w:tcPr>
          <w:p w:rsidR="00000000" w:rsidRDefault="00000000">
            <w:pPr>
              <w:tabs>
                <w:tab w:val="left" w:pos="680"/>
              </w:tabs>
              <w:jc w:val="center"/>
              <w:rPr>
                <w:sz w:val="20"/>
              </w:rPr>
            </w:pPr>
            <w:r>
              <w:rPr>
                <w:sz w:val="20"/>
              </w:rPr>
              <w:t>–7,3</w:t>
            </w:r>
          </w:p>
        </w:tc>
      </w:tr>
      <w:tr w:rsidR="00000000">
        <w:tblPrEx>
          <w:tblCellMar>
            <w:top w:w="0" w:type="dxa"/>
            <w:bottom w:w="0" w:type="dxa"/>
          </w:tblCellMar>
        </w:tblPrEx>
        <w:trPr>
          <w:jc w:val="center"/>
        </w:trPr>
        <w:tc>
          <w:tcPr>
            <w:tcW w:w="1696" w:type="dxa"/>
            <w:tcBorders>
              <w:top w:val="nil"/>
              <w:bottom w:val="nil"/>
            </w:tcBorders>
          </w:tcPr>
          <w:p w:rsidR="00000000" w:rsidRDefault="00000000">
            <w:pPr>
              <w:tabs>
                <w:tab w:val="left" w:pos="680"/>
              </w:tabs>
              <w:rPr>
                <w:sz w:val="20"/>
              </w:rPr>
            </w:pPr>
            <w:r>
              <w:rPr>
                <w:sz w:val="20"/>
              </w:rPr>
              <w:t>Мужчина</w:t>
            </w:r>
          </w:p>
        </w:tc>
        <w:tc>
          <w:tcPr>
            <w:tcW w:w="842" w:type="dxa"/>
            <w:tcBorders>
              <w:top w:val="nil"/>
              <w:bottom w:val="nil"/>
            </w:tcBorders>
          </w:tcPr>
          <w:p w:rsidR="00000000" w:rsidRDefault="00000000">
            <w:pPr>
              <w:tabs>
                <w:tab w:val="left" w:pos="680"/>
              </w:tabs>
              <w:jc w:val="center"/>
              <w:rPr>
                <w:sz w:val="20"/>
              </w:rPr>
            </w:pPr>
            <w:r>
              <w:rPr>
                <w:sz w:val="20"/>
              </w:rPr>
              <w:t>81,5</w:t>
            </w:r>
          </w:p>
        </w:tc>
        <w:tc>
          <w:tcPr>
            <w:tcW w:w="563" w:type="dxa"/>
            <w:tcBorders>
              <w:top w:val="nil"/>
              <w:bottom w:val="nil"/>
            </w:tcBorders>
          </w:tcPr>
          <w:p w:rsidR="00000000" w:rsidRDefault="00000000">
            <w:pPr>
              <w:tabs>
                <w:tab w:val="left" w:pos="680"/>
              </w:tabs>
              <w:jc w:val="center"/>
              <w:rPr>
                <w:sz w:val="20"/>
              </w:rPr>
            </w:pPr>
            <w:r>
              <w:rPr>
                <w:sz w:val="20"/>
              </w:rPr>
              <w:t>78,0</w:t>
            </w:r>
          </w:p>
        </w:tc>
        <w:tc>
          <w:tcPr>
            <w:tcW w:w="1410" w:type="dxa"/>
            <w:tcBorders>
              <w:top w:val="nil"/>
              <w:bottom w:val="nil"/>
            </w:tcBorders>
          </w:tcPr>
          <w:p w:rsidR="00000000" w:rsidRDefault="00000000">
            <w:pPr>
              <w:tabs>
                <w:tab w:val="left" w:pos="680"/>
              </w:tabs>
              <w:jc w:val="center"/>
              <w:rPr>
                <w:sz w:val="20"/>
              </w:rPr>
            </w:pPr>
            <w:r>
              <w:rPr>
                <w:sz w:val="20"/>
              </w:rPr>
              <w:t>65,7</w:t>
            </w:r>
          </w:p>
        </w:tc>
        <w:tc>
          <w:tcPr>
            <w:tcW w:w="1412" w:type="dxa"/>
            <w:tcBorders>
              <w:top w:val="nil"/>
              <w:bottom w:val="nil"/>
            </w:tcBorders>
          </w:tcPr>
          <w:p w:rsidR="00000000" w:rsidRDefault="00000000">
            <w:pPr>
              <w:tabs>
                <w:tab w:val="left" w:pos="680"/>
              </w:tabs>
              <w:jc w:val="center"/>
              <w:rPr>
                <w:sz w:val="20"/>
              </w:rPr>
            </w:pPr>
            <w:r>
              <w:rPr>
                <w:sz w:val="20"/>
              </w:rPr>
              <w:t>2,6</w:t>
            </w:r>
          </w:p>
        </w:tc>
        <w:tc>
          <w:tcPr>
            <w:tcW w:w="1179" w:type="dxa"/>
            <w:tcBorders>
              <w:top w:val="nil"/>
              <w:bottom w:val="nil"/>
            </w:tcBorders>
          </w:tcPr>
          <w:p w:rsidR="00000000" w:rsidRDefault="00000000">
            <w:pPr>
              <w:tabs>
                <w:tab w:val="left" w:pos="680"/>
              </w:tabs>
              <w:jc w:val="center"/>
              <w:rPr>
                <w:sz w:val="20"/>
              </w:rPr>
            </w:pPr>
            <w:r>
              <w:rPr>
                <w:sz w:val="20"/>
              </w:rPr>
              <w:t>53,0</w:t>
            </w:r>
          </w:p>
        </w:tc>
        <w:tc>
          <w:tcPr>
            <w:tcW w:w="675" w:type="dxa"/>
            <w:tcBorders>
              <w:top w:val="nil"/>
              <w:bottom w:val="nil"/>
            </w:tcBorders>
          </w:tcPr>
          <w:p w:rsidR="00000000" w:rsidRDefault="00000000">
            <w:pPr>
              <w:tabs>
                <w:tab w:val="left" w:pos="680"/>
              </w:tabs>
              <w:jc w:val="center"/>
              <w:rPr>
                <w:sz w:val="20"/>
              </w:rPr>
            </w:pPr>
            <w:r>
              <w:rPr>
                <w:sz w:val="20"/>
              </w:rPr>
              <w:t>45,6</w:t>
            </w:r>
          </w:p>
        </w:tc>
        <w:tc>
          <w:tcPr>
            <w:tcW w:w="1127" w:type="dxa"/>
            <w:tcBorders>
              <w:top w:val="nil"/>
              <w:bottom w:val="nil"/>
            </w:tcBorders>
          </w:tcPr>
          <w:p w:rsidR="00000000" w:rsidRDefault="00000000">
            <w:pPr>
              <w:tabs>
                <w:tab w:val="left" w:pos="680"/>
              </w:tabs>
              <w:jc w:val="center"/>
              <w:rPr>
                <w:sz w:val="20"/>
              </w:rPr>
            </w:pPr>
            <w:r>
              <w:rPr>
                <w:sz w:val="20"/>
              </w:rPr>
              <w:t>–7,4</w:t>
            </w:r>
          </w:p>
        </w:tc>
      </w:tr>
      <w:tr w:rsidR="00000000">
        <w:tblPrEx>
          <w:tblCellMar>
            <w:top w:w="0" w:type="dxa"/>
            <w:bottom w:w="0" w:type="dxa"/>
          </w:tblCellMar>
        </w:tblPrEx>
        <w:trPr>
          <w:jc w:val="center"/>
        </w:trPr>
        <w:tc>
          <w:tcPr>
            <w:tcW w:w="1696" w:type="dxa"/>
            <w:tcBorders>
              <w:top w:val="nil"/>
              <w:bottom w:val="nil"/>
            </w:tcBorders>
          </w:tcPr>
          <w:p w:rsidR="00000000" w:rsidRDefault="00000000">
            <w:pPr>
              <w:tabs>
                <w:tab w:val="left" w:pos="680"/>
              </w:tabs>
              <w:rPr>
                <w:sz w:val="20"/>
              </w:rPr>
            </w:pPr>
            <w:r>
              <w:rPr>
                <w:sz w:val="20"/>
              </w:rPr>
              <w:t>Женщина</w:t>
            </w:r>
          </w:p>
        </w:tc>
        <w:tc>
          <w:tcPr>
            <w:tcW w:w="842" w:type="dxa"/>
            <w:tcBorders>
              <w:top w:val="nil"/>
              <w:bottom w:val="nil"/>
            </w:tcBorders>
          </w:tcPr>
          <w:p w:rsidR="00000000" w:rsidRDefault="00000000">
            <w:pPr>
              <w:tabs>
                <w:tab w:val="left" w:pos="680"/>
              </w:tabs>
              <w:jc w:val="center"/>
              <w:rPr>
                <w:sz w:val="20"/>
              </w:rPr>
            </w:pPr>
            <w:r>
              <w:rPr>
                <w:sz w:val="20"/>
              </w:rPr>
              <w:t>18,5</w:t>
            </w:r>
          </w:p>
        </w:tc>
        <w:tc>
          <w:tcPr>
            <w:tcW w:w="563" w:type="dxa"/>
            <w:tcBorders>
              <w:top w:val="nil"/>
              <w:bottom w:val="nil"/>
            </w:tcBorders>
          </w:tcPr>
          <w:p w:rsidR="00000000" w:rsidRDefault="00000000">
            <w:pPr>
              <w:tabs>
                <w:tab w:val="left" w:pos="680"/>
              </w:tabs>
              <w:jc w:val="center"/>
              <w:rPr>
                <w:sz w:val="20"/>
              </w:rPr>
            </w:pPr>
            <w:r>
              <w:rPr>
                <w:sz w:val="20"/>
              </w:rPr>
              <w:t>22,0</w:t>
            </w:r>
          </w:p>
        </w:tc>
        <w:tc>
          <w:tcPr>
            <w:tcW w:w="1410" w:type="dxa"/>
            <w:tcBorders>
              <w:top w:val="nil"/>
              <w:bottom w:val="nil"/>
            </w:tcBorders>
          </w:tcPr>
          <w:p w:rsidR="00000000" w:rsidRDefault="00000000">
            <w:pPr>
              <w:tabs>
                <w:tab w:val="left" w:pos="680"/>
              </w:tabs>
              <w:jc w:val="center"/>
              <w:rPr>
                <w:sz w:val="20"/>
              </w:rPr>
            </w:pPr>
            <w:r>
              <w:rPr>
                <w:sz w:val="20"/>
              </w:rPr>
              <w:t>34,3</w:t>
            </w:r>
          </w:p>
        </w:tc>
        <w:tc>
          <w:tcPr>
            <w:tcW w:w="1412" w:type="dxa"/>
            <w:tcBorders>
              <w:top w:val="nil"/>
              <w:bottom w:val="nil"/>
            </w:tcBorders>
          </w:tcPr>
          <w:p w:rsidR="00000000" w:rsidRDefault="00000000">
            <w:pPr>
              <w:tabs>
                <w:tab w:val="left" w:pos="680"/>
              </w:tabs>
              <w:jc w:val="center"/>
              <w:rPr>
                <w:sz w:val="20"/>
              </w:rPr>
            </w:pPr>
            <w:r>
              <w:rPr>
                <w:sz w:val="20"/>
              </w:rPr>
              <w:t>5,3</w:t>
            </w:r>
          </w:p>
        </w:tc>
        <w:tc>
          <w:tcPr>
            <w:tcW w:w="1179" w:type="dxa"/>
            <w:tcBorders>
              <w:top w:val="nil"/>
              <w:bottom w:val="nil"/>
            </w:tcBorders>
          </w:tcPr>
          <w:p w:rsidR="00000000" w:rsidRDefault="00000000">
            <w:pPr>
              <w:tabs>
                <w:tab w:val="left" w:pos="680"/>
              </w:tabs>
              <w:jc w:val="center"/>
              <w:rPr>
                <w:sz w:val="20"/>
              </w:rPr>
            </w:pPr>
            <w:r>
              <w:rPr>
                <w:sz w:val="20"/>
              </w:rPr>
              <w:t>56,5</w:t>
            </w:r>
          </w:p>
        </w:tc>
        <w:tc>
          <w:tcPr>
            <w:tcW w:w="675" w:type="dxa"/>
            <w:tcBorders>
              <w:top w:val="nil"/>
              <w:bottom w:val="nil"/>
            </w:tcBorders>
          </w:tcPr>
          <w:p w:rsidR="00000000" w:rsidRDefault="00000000">
            <w:pPr>
              <w:tabs>
                <w:tab w:val="left" w:pos="680"/>
              </w:tabs>
              <w:jc w:val="center"/>
              <w:rPr>
                <w:sz w:val="20"/>
              </w:rPr>
            </w:pPr>
            <w:r>
              <w:rPr>
                <w:sz w:val="20"/>
              </w:rPr>
              <w:t>49,2</w:t>
            </w:r>
          </w:p>
        </w:tc>
        <w:tc>
          <w:tcPr>
            <w:tcW w:w="1127" w:type="dxa"/>
            <w:tcBorders>
              <w:top w:val="nil"/>
              <w:bottom w:val="nil"/>
            </w:tcBorders>
          </w:tcPr>
          <w:p w:rsidR="00000000" w:rsidRDefault="00000000">
            <w:pPr>
              <w:tabs>
                <w:tab w:val="left" w:pos="680"/>
              </w:tabs>
              <w:jc w:val="center"/>
              <w:rPr>
                <w:sz w:val="20"/>
              </w:rPr>
            </w:pPr>
            <w:r>
              <w:rPr>
                <w:sz w:val="20"/>
              </w:rPr>
              <w:t>–7,3</w:t>
            </w:r>
          </w:p>
        </w:tc>
      </w:tr>
      <w:tr w:rsidR="00000000">
        <w:tblPrEx>
          <w:tblCellMar>
            <w:top w:w="0" w:type="dxa"/>
            <w:bottom w:w="0" w:type="dxa"/>
          </w:tblCellMar>
        </w:tblPrEx>
        <w:trPr>
          <w:jc w:val="center"/>
        </w:trPr>
        <w:tc>
          <w:tcPr>
            <w:tcW w:w="1696" w:type="dxa"/>
            <w:tcBorders>
              <w:top w:val="nil"/>
              <w:bottom w:val="nil"/>
            </w:tcBorders>
          </w:tcPr>
          <w:p w:rsidR="00000000" w:rsidRDefault="00000000">
            <w:pPr>
              <w:tabs>
                <w:tab w:val="left" w:pos="680"/>
              </w:tabs>
              <w:rPr>
                <w:b/>
                <w:sz w:val="20"/>
              </w:rPr>
            </w:pPr>
            <w:r>
              <w:rPr>
                <w:b/>
                <w:sz w:val="20"/>
              </w:rPr>
              <w:t>Место проживания</w:t>
            </w:r>
          </w:p>
        </w:tc>
        <w:tc>
          <w:tcPr>
            <w:tcW w:w="842" w:type="dxa"/>
            <w:tcBorders>
              <w:top w:val="nil"/>
              <w:bottom w:val="nil"/>
            </w:tcBorders>
          </w:tcPr>
          <w:p w:rsidR="00000000" w:rsidRDefault="00000000">
            <w:pPr>
              <w:tabs>
                <w:tab w:val="left" w:pos="680"/>
              </w:tabs>
              <w:jc w:val="center"/>
              <w:rPr>
                <w:sz w:val="20"/>
              </w:rPr>
            </w:pPr>
            <w:r>
              <w:rPr>
                <w:sz w:val="20"/>
              </w:rPr>
              <w:t>100,0</w:t>
            </w:r>
          </w:p>
        </w:tc>
        <w:tc>
          <w:tcPr>
            <w:tcW w:w="563" w:type="dxa"/>
            <w:tcBorders>
              <w:top w:val="nil"/>
              <w:bottom w:val="nil"/>
            </w:tcBorders>
          </w:tcPr>
          <w:p w:rsidR="00000000" w:rsidRDefault="00000000">
            <w:pPr>
              <w:tabs>
                <w:tab w:val="left" w:pos="680"/>
              </w:tabs>
              <w:jc w:val="center"/>
              <w:rPr>
                <w:sz w:val="20"/>
              </w:rPr>
            </w:pPr>
            <w:r>
              <w:rPr>
                <w:sz w:val="20"/>
              </w:rPr>
              <w:t>100,0</w:t>
            </w:r>
          </w:p>
        </w:tc>
        <w:tc>
          <w:tcPr>
            <w:tcW w:w="1410" w:type="dxa"/>
            <w:tcBorders>
              <w:top w:val="nil"/>
              <w:bottom w:val="nil"/>
            </w:tcBorders>
          </w:tcPr>
          <w:p w:rsidR="00000000" w:rsidRDefault="00000000">
            <w:pPr>
              <w:tabs>
                <w:tab w:val="left" w:pos="680"/>
              </w:tabs>
              <w:jc w:val="center"/>
              <w:rPr>
                <w:sz w:val="20"/>
              </w:rPr>
            </w:pPr>
            <w:r>
              <w:rPr>
                <w:sz w:val="20"/>
              </w:rPr>
              <w:t>100,0</w:t>
            </w:r>
          </w:p>
        </w:tc>
        <w:tc>
          <w:tcPr>
            <w:tcW w:w="1412" w:type="dxa"/>
            <w:tcBorders>
              <w:top w:val="nil"/>
              <w:bottom w:val="nil"/>
            </w:tcBorders>
          </w:tcPr>
          <w:p w:rsidR="00000000" w:rsidRDefault="00000000">
            <w:pPr>
              <w:tabs>
                <w:tab w:val="left" w:pos="680"/>
              </w:tabs>
              <w:jc w:val="center"/>
              <w:rPr>
                <w:sz w:val="20"/>
              </w:rPr>
            </w:pPr>
            <w:r>
              <w:rPr>
                <w:sz w:val="20"/>
              </w:rPr>
              <w:t>3,1</w:t>
            </w:r>
          </w:p>
        </w:tc>
        <w:tc>
          <w:tcPr>
            <w:tcW w:w="1179" w:type="dxa"/>
            <w:tcBorders>
              <w:top w:val="nil"/>
              <w:bottom w:val="nil"/>
            </w:tcBorders>
          </w:tcPr>
          <w:p w:rsidR="00000000" w:rsidRDefault="00000000">
            <w:pPr>
              <w:tabs>
                <w:tab w:val="left" w:pos="680"/>
              </w:tabs>
              <w:jc w:val="center"/>
              <w:rPr>
                <w:sz w:val="20"/>
              </w:rPr>
            </w:pPr>
            <w:r>
              <w:rPr>
                <w:sz w:val="20"/>
              </w:rPr>
              <w:t>53,7</w:t>
            </w:r>
          </w:p>
        </w:tc>
        <w:tc>
          <w:tcPr>
            <w:tcW w:w="675" w:type="dxa"/>
            <w:tcBorders>
              <w:top w:val="nil"/>
              <w:bottom w:val="nil"/>
            </w:tcBorders>
          </w:tcPr>
          <w:p w:rsidR="00000000" w:rsidRDefault="00000000">
            <w:pPr>
              <w:tabs>
                <w:tab w:val="left" w:pos="680"/>
              </w:tabs>
              <w:jc w:val="center"/>
              <w:rPr>
                <w:sz w:val="20"/>
              </w:rPr>
            </w:pPr>
            <w:r>
              <w:rPr>
                <w:sz w:val="20"/>
              </w:rPr>
              <w:t>48,4</w:t>
            </w:r>
          </w:p>
        </w:tc>
        <w:tc>
          <w:tcPr>
            <w:tcW w:w="1127" w:type="dxa"/>
            <w:tcBorders>
              <w:top w:val="nil"/>
              <w:bottom w:val="nil"/>
            </w:tcBorders>
          </w:tcPr>
          <w:p w:rsidR="00000000" w:rsidRDefault="00000000">
            <w:pPr>
              <w:tabs>
                <w:tab w:val="left" w:pos="680"/>
              </w:tabs>
              <w:jc w:val="center"/>
              <w:rPr>
                <w:sz w:val="20"/>
              </w:rPr>
            </w:pPr>
            <w:r>
              <w:rPr>
                <w:sz w:val="20"/>
              </w:rPr>
              <w:t>–7,3</w:t>
            </w:r>
          </w:p>
        </w:tc>
      </w:tr>
      <w:tr w:rsidR="00000000">
        <w:tblPrEx>
          <w:tblCellMar>
            <w:top w:w="0" w:type="dxa"/>
            <w:bottom w:w="0" w:type="dxa"/>
          </w:tblCellMar>
        </w:tblPrEx>
        <w:trPr>
          <w:jc w:val="center"/>
        </w:trPr>
        <w:tc>
          <w:tcPr>
            <w:tcW w:w="1696" w:type="dxa"/>
            <w:tcBorders>
              <w:top w:val="nil"/>
              <w:bottom w:val="nil"/>
            </w:tcBorders>
          </w:tcPr>
          <w:p w:rsidR="00000000" w:rsidRDefault="00000000">
            <w:pPr>
              <w:tabs>
                <w:tab w:val="left" w:pos="680"/>
              </w:tabs>
              <w:rPr>
                <w:sz w:val="20"/>
              </w:rPr>
            </w:pPr>
            <w:r>
              <w:rPr>
                <w:sz w:val="20"/>
              </w:rPr>
              <w:t>Город</w:t>
            </w:r>
          </w:p>
        </w:tc>
        <w:tc>
          <w:tcPr>
            <w:tcW w:w="842" w:type="dxa"/>
            <w:tcBorders>
              <w:top w:val="nil"/>
              <w:bottom w:val="nil"/>
            </w:tcBorders>
          </w:tcPr>
          <w:p w:rsidR="00000000" w:rsidRDefault="00000000">
            <w:pPr>
              <w:tabs>
                <w:tab w:val="left" w:pos="680"/>
              </w:tabs>
              <w:jc w:val="center"/>
              <w:rPr>
                <w:sz w:val="20"/>
              </w:rPr>
            </w:pPr>
            <w:r>
              <w:rPr>
                <w:sz w:val="20"/>
              </w:rPr>
              <w:t>35,5</w:t>
            </w:r>
          </w:p>
        </w:tc>
        <w:tc>
          <w:tcPr>
            <w:tcW w:w="563" w:type="dxa"/>
            <w:tcBorders>
              <w:top w:val="nil"/>
              <w:bottom w:val="nil"/>
            </w:tcBorders>
          </w:tcPr>
          <w:p w:rsidR="00000000" w:rsidRDefault="00000000">
            <w:pPr>
              <w:tabs>
                <w:tab w:val="left" w:pos="680"/>
              </w:tabs>
              <w:jc w:val="center"/>
              <w:rPr>
                <w:sz w:val="20"/>
              </w:rPr>
            </w:pPr>
            <w:r>
              <w:rPr>
                <w:sz w:val="20"/>
              </w:rPr>
              <w:t>31,6</w:t>
            </w:r>
          </w:p>
        </w:tc>
        <w:tc>
          <w:tcPr>
            <w:tcW w:w="1410" w:type="dxa"/>
            <w:tcBorders>
              <w:top w:val="nil"/>
              <w:bottom w:val="nil"/>
            </w:tcBorders>
          </w:tcPr>
          <w:p w:rsidR="00000000" w:rsidRDefault="00000000">
            <w:pPr>
              <w:tabs>
                <w:tab w:val="left" w:pos="680"/>
              </w:tabs>
              <w:jc w:val="center"/>
              <w:rPr>
                <w:sz w:val="20"/>
              </w:rPr>
            </w:pPr>
            <w:r>
              <w:rPr>
                <w:sz w:val="20"/>
              </w:rPr>
              <w:t>17,5</w:t>
            </w:r>
          </w:p>
        </w:tc>
        <w:tc>
          <w:tcPr>
            <w:tcW w:w="1412" w:type="dxa"/>
            <w:tcBorders>
              <w:top w:val="nil"/>
              <w:bottom w:val="nil"/>
            </w:tcBorders>
          </w:tcPr>
          <w:p w:rsidR="00000000" w:rsidRDefault="00000000">
            <w:pPr>
              <w:tabs>
                <w:tab w:val="left" w:pos="680"/>
              </w:tabs>
              <w:jc w:val="center"/>
              <w:rPr>
                <w:sz w:val="20"/>
              </w:rPr>
            </w:pPr>
            <w:r>
              <w:rPr>
                <w:sz w:val="20"/>
              </w:rPr>
              <w:t>1,6</w:t>
            </w:r>
          </w:p>
        </w:tc>
        <w:tc>
          <w:tcPr>
            <w:tcW w:w="1179" w:type="dxa"/>
            <w:tcBorders>
              <w:top w:val="nil"/>
              <w:bottom w:val="nil"/>
            </w:tcBorders>
          </w:tcPr>
          <w:p w:rsidR="00000000" w:rsidRDefault="00000000">
            <w:pPr>
              <w:tabs>
                <w:tab w:val="left" w:pos="680"/>
              </w:tabs>
              <w:jc w:val="center"/>
              <w:rPr>
                <w:sz w:val="20"/>
              </w:rPr>
            </w:pPr>
            <w:r>
              <w:rPr>
                <w:sz w:val="20"/>
              </w:rPr>
              <w:t>41,9</w:t>
            </w:r>
          </w:p>
        </w:tc>
        <w:tc>
          <w:tcPr>
            <w:tcW w:w="675" w:type="dxa"/>
            <w:tcBorders>
              <w:top w:val="nil"/>
              <w:bottom w:val="nil"/>
            </w:tcBorders>
          </w:tcPr>
          <w:p w:rsidR="00000000" w:rsidRDefault="00000000">
            <w:pPr>
              <w:tabs>
                <w:tab w:val="left" w:pos="680"/>
              </w:tabs>
              <w:jc w:val="center"/>
              <w:rPr>
                <w:sz w:val="20"/>
              </w:rPr>
            </w:pPr>
            <w:r>
              <w:rPr>
                <w:sz w:val="20"/>
              </w:rPr>
              <w:t>33,4</w:t>
            </w:r>
          </w:p>
        </w:tc>
        <w:tc>
          <w:tcPr>
            <w:tcW w:w="1127" w:type="dxa"/>
            <w:tcBorders>
              <w:top w:val="nil"/>
              <w:bottom w:val="nil"/>
            </w:tcBorders>
          </w:tcPr>
          <w:p w:rsidR="00000000" w:rsidRDefault="00000000">
            <w:pPr>
              <w:tabs>
                <w:tab w:val="left" w:pos="680"/>
              </w:tabs>
              <w:jc w:val="center"/>
              <w:rPr>
                <w:sz w:val="20"/>
              </w:rPr>
            </w:pPr>
            <w:r>
              <w:rPr>
                <w:sz w:val="20"/>
              </w:rPr>
              <w:t>–8,5</w:t>
            </w:r>
          </w:p>
        </w:tc>
      </w:tr>
      <w:tr w:rsidR="00000000">
        <w:tblPrEx>
          <w:tblCellMar>
            <w:top w:w="0" w:type="dxa"/>
            <w:bottom w:w="0" w:type="dxa"/>
          </w:tblCellMar>
        </w:tblPrEx>
        <w:trPr>
          <w:jc w:val="center"/>
        </w:trPr>
        <w:tc>
          <w:tcPr>
            <w:tcW w:w="1696" w:type="dxa"/>
            <w:tcBorders>
              <w:top w:val="nil"/>
              <w:bottom w:val="single" w:sz="4" w:space="0" w:color="auto"/>
            </w:tcBorders>
          </w:tcPr>
          <w:p w:rsidR="00000000" w:rsidRDefault="00000000">
            <w:pPr>
              <w:tabs>
                <w:tab w:val="left" w:pos="680"/>
              </w:tabs>
              <w:rPr>
                <w:sz w:val="20"/>
              </w:rPr>
            </w:pPr>
            <w:r>
              <w:rPr>
                <w:sz w:val="20"/>
              </w:rPr>
              <w:t>Сельская местность</w:t>
            </w:r>
          </w:p>
        </w:tc>
        <w:tc>
          <w:tcPr>
            <w:tcW w:w="842" w:type="dxa"/>
            <w:tcBorders>
              <w:top w:val="nil"/>
              <w:bottom w:val="single" w:sz="4" w:space="0" w:color="auto"/>
            </w:tcBorders>
          </w:tcPr>
          <w:p w:rsidR="00000000" w:rsidRDefault="00000000">
            <w:pPr>
              <w:tabs>
                <w:tab w:val="left" w:pos="680"/>
              </w:tabs>
              <w:jc w:val="center"/>
              <w:rPr>
                <w:sz w:val="20"/>
              </w:rPr>
            </w:pPr>
            <w:r>
              <w:rPr>
                <w:sz w:val="20"/>
              </w:rPr>
              <w:t>64,5</w:t>
            </w:r>
          </w:p>
        </w:tc>
        <w:tc>
          <w:tcPr>
            <w:tcW w:w="563" w:type="dxa"/>
            <w:tcBorders>
              <w:top w:val="nil"/>
              <w:bottom w:val="single" w:sz="4" w:space="0" w:color="auto"/>
            </w:tcBorders>
          </w:tcPr>
          <w:p w:rsidR="00000000" w:rsidRDefault="00000000">
            <w:pPr>
              <w:tabs>
                <w:tab w:val="left" w:pos="680"/>
              </w:tabs>
              <w:jc w:val="center"/>
              <w:rPr>
                <w:sz w:val="20"/>
              </w:rPr>
            </w:pPr>
            <w:r>
              <w:rPr>
                <w:sz w:val="20"/>
              </w:rPr>
              <w:t>68,4</w:t>
            </w:r>
          </w:p>
        </w:tc>
        <w:tc>
          <w:tcPr>
            <w:tcW w:w="1410" w:type="dxa"/>
            <w:tcBorders>
              <w:top w:val="nil"/>
              <w:bottom w:val="single" w:sz="4" w:space="0" w:color="auto"/>
            </w:tcBorders>
          </w:tcPr>
          <w:p w:rsidR="00000000" w:rsidRDefault="00000000">
            <w:pPr>
              <w:tabs>
                <w:tab w:val="left" w:pos="680"/>
              </w:tabs>
              <w:jc w:val="center"/>
              <w:rPr>
                <w:sz w:val="20"/>
              </w:rPr>
            </w:pPr>
            <w:r>
              <w:rPr>
                <w:sz w:val="20"/>
              </w:rPr>
              <w:t>82,5</w:t>
            </w:r>
          </w:p>
        </w:tc>
        <w:tc>
          <w:tcPr>
            <w:tcW w:w="1412" w:type="dxa"/>
            <w:tcBorders>
              <w:top w:val="nil"/>
              <w:bottom w:val="single" w:sz="4" w:space="0" w:color="auto"/>
            </w:tcBorders>
          </w:tcPr>
          <w:p w:rsidR="00000000" w:rsidRDefault="00000000">
            <w:pPr>
              <w:tabs>
                <w:tab w:val="left" w:pos="680"/>
              </w:tabs>
              <w:jc w:val="center"/>
              <w:rPr>
                <w:sz w:val="20"/>
              </w:rPr>
            </w:pPr>
            <w:r>
              <w:rPr>
                <w:sz w:val="20"/>
              </w:rPr>
              <w:t>3,9</w:t>
            </w:r>
          </w:p>
        </w:tc>
        <w:tc>
          <w:tcPr>
            <w:tcW w:w="1179" w:type="dxa"/>
            <w:tcBorders>
              <w:top w:val="nil"/>
              <w:bottom w:val="single" w:sz="4" w:space="0" w:color="auto"/>
            </w:tcBorders>
          </w:tcPr>
          <w:p w:rsidR="00000000" w:rsidRDefault="00000000">
            <w:pPr>
              <w:tabs>
                <w:tab w:val="left" w:pos="680"/>
              </w:tabs>
              <w:jc w:val="center"/>
              <w:rPr>
                <w:sz w:val="20"/>
              </w:rPr>
            </w:pPr>
            <w:r>
              <w:rPr>
                <w:sz w:val="20"/>
              </w:rPr>
              <w:t>63,5</w:t>
            </w:r>
          </w:p>
        </w:tc>
        <w:tc>
          <w:tcPr>
            <w:tcW w:w="675" w:type="dxa"/>
            <w:tcBorders>
              <w:top w:val="nil"/>
              <w:bottom w:val="single" w:sz="4" w:space="0" w:color="auto"/>
            </w:tcBorders>
          </w:tcPr>
          <w:p w:rsidR="00000000" w:rsidRDefault="00000000">
            <w:pPr>
              <w:tabs>
                <w:tab w:val="left" w:pos="680"/>
              </w:tabs>
              <w:jc w:val="center"/>
              <w:rPr>
                <w:sz w:val="20"/>
              </w:rPr>
            </w:pPr>
            <w:r>
              <w:rPr>
                <w:sz w:val="20"/>
              </w:rPr>
              <w:t>66,5</w:t>
            </w:r>
          </w:p>
        </w:tc>
        <w:tc>
          <w:tcPr>
            <w:tcW w:w="1127" w:type="dxa"/>
            <w:tcBorders>
              <w:top w:val="nil"/>
              <w:bottom w:val="single" w:sz="4" w:space="0" w:color="auto"/>
            </w:tcBorders>
          </w:tcPr>
          <w:p w:rsidR="00000000" w:rsidRDefault="00000000">
            <w:pPr>
              <w:tabs>
                <w:tab w:val="left" w:pos="680"/>
              </w:tabs>
              <w:jc w:val="center"/>
              <w:rPr>
                <w:sz w:val="20"/>
              </w:rPr>
            </w:pPr>
            <w:r>
              <w:rPr>
                <w:sz w:val="20"/>
              </w:rPr>
              <w:t>–7,0</w:t>
            </w:r>
          </w:p>
        </w:tc>
      </w:tr>
      <w:tr w:rsidR="00000000">
        <w:tblPrEx>
          <w:tblCellMar>
            <w:top w:w="0" w:type="dxa"/>
            <w:bottom w:w="0" w:type="dxa"/>
          </w:tblCellMar>
        </w:tblPrEx>
        <w:trPr>
          <w:jc w:val="center"/>
        </w:trPr>
        <w:tc>
          <w:tcPr>
            <w:tcW w:w="1696" w:type="dxa"/>
            <w:tcBorders>
              <w:top w:val="single" w:sz="4" w:space="0" w:color="auto"/>
              <w:bottom w:val="nil"/>
            </w:tcBorders>
          </w:tcPr>
          <w:p w:rsidR="00000000" w:rsidRDefault="00000000">
            <w:pPr>
              <w:tabs>
                <w:tab w:val="left" w:pos="680"/>
              </w:tabs>
              <w:spacing w:before="20" w:after="20"/>
              <w:rPr>
                <w:b/>
                <w:sz w:val="20"/>
              </w:rPr>
            </w:pPr>
            <w:r>
              <w:rPr>
                <w:b/>
                <w:sz w:val="20"/>
              </w:rPr>
              <w:t>Область</w:t>
            </w:r>
          </w:p>
        </w:tc>
        <w:tc>
          <w:tcPr>
            <w:tcW w:w="842" w:type="dxa"/>
            <w:tcBorders>
              <w:top w:val="single" w:sz="4" w:space="0" w:color="auto"/>
              <w:bottom w:val="nil"/>
            </w:tcBorders>
          </w:tcPr>
          <w:p w:rsidR="00000000" w:rsidRDefault="00000000">
            <w:pPr>
              <w:tabs>
                <w:tab w:val="left" w:pos="680"/>
              </w:tabs>
              <w:spacing w:before="20" w:after="20"/>
              <w:jc w:val="center"/>
              <w:rPr>
                <w:sz w:val="20"/>
              </w:rPr>
            </w:pPr>
            <w:r>
              <w:rPr>
                <w:sz w:val="20"/>
              </w:rPr>
              <w:t>100,0</w:t>
            </w:r>
          </w:p>
        </w:tc>
        <w:tc>
          <w:tcPr>
            <w:tcW w:w="563" w:type="dxa"/>
            <w:tcBorders>
              <w:top w:val="single" w:sz="4" w:space="0" w:color="auto"/>
              <w:bottom w:val="nil"/>
            </w:tcBorders>
          </w:tcPr>
          <w:p w:rsidR="00000000" w:rsidRDefault="00000000">
            <w:pPr>
              <w:tabs>
                <w:tab w:val="left" w:pos="680"/>
              </w:tabs>
              <w:spacing w:before="20" w:after="20"/>
              <w:jc w:val="center"/>
              <w:rPr>
                <w:sz w:val="20"/>
              </w:rPr>
            </w:pPr>
            <w:r>
              <w:rPr>
                <w:sz w:val="20"/>
              </w:rPr>
              <w:t>100,0</w:t>
            </w:r>
          </w:p>
        </w:tc>
        <w:tc>
          <w:tcPr>
            <w:tcW w:w="1410" w:type="dxa"/>
            <w:tcBorders>
              <w:top w:val="single" w:sz="4" w:space="0" w:color="auto"/>
              <w:bottom w:val="nil"/>
            </w:tcBorders>
          </w:tcPr>
          <w:p w:rsidR="00000000" w:rsidRDefault="00000000">
            <w:pPr>
              <w:tabs>
                <w:tab w:val="left" w:pos="680"/>
              </w:tabs>
              <w:spacing w:before="20" w:after="20"/>
              <w:jc w:val="center"/>
              <w:rPr>
                <w:sz w:val="20"/>
              </w:rPr>
            </w:pPr>
            <w:r>
              <w:rPr>
                <w:sz w:val="20"/>
              </w:rPr>
              <w:t>100,0</w:t>
            </w:r>
          </w:p>
        </w:tc>
        <w:tc>
          <w:tcPr>
            <w:tcW w:w="1412" w:type="dxa"/>
            <w:tcBorders>
              <w:top w:val="single" w:sz="4" w:space="0" w:color="auto"/>
              <w:bottom w:val="nil"/>
            </w:tcBorders>
          </w:tcPr>
          <w:p w:rsidR="00000000" w:rsidRDefault="00000000">
            <w:pPr>
              <w:tabs>
                <w:tab w:val="left" w:pos="680"/>
              </w:tabs>
              <w:spacing w:before="20" w:after="20"/>
              <w:jc w:val="center"/>
              <w:rPr>
                <w:sz w:val="20"/>
              </w:rPr>
            </w:pPr>
            <w:r>
              <w:rPr>
                <w:sz w:val="20"/>
              </w:rPr>
              <w:t>3,1</w:t>
            </w:r>
          </w:p>
        </w:tc>
        <w:tc>
          <w:tcPr>
            <w:tcW w:w="1179" w:type="dxa"/>
            <w:tcBorders>
              <w:top w:val="single" w:sz="4" w:space="0" w:color="auto"/>
              <w:bottom w:val="nil"/>
            </w:tcBorders>
          </w:tcPr>
          <w:p w:rsidR="00000000" w:rsidRDefault="00000000">
            <w:pPr>
              <w:tabs>
                <w:tab w:val="left" w:pos="680"/>
              </w:tabs>
              <w:spacing w:before="20" w:after="20"/>
              <w:jc w:val="center"/>
              <w:rPr>
                <w:sz w:val="20"/>
              </w:rPr>
            </w:pPr>
            <w:r>
              <w:rPr>
                <w:sz w:val="20"/>
              </w:rPr>
              <w:t>53,7</w:t>
            </w:r>
          </w:p>
        </w:tc>
        <w:tc>
          <w:tcPr>
            <w:tcW w:w="675" w:type="dxa"/>
            <w:tcBorders>
              <w:top w:val="single" w:sz="4" w:space="0" w:color="auto"/>
              <w:bottom w:val="nil"/>
            </w:tcBorders>
          </w:tcPr>
          <w:p w:rsidR="00000000" w:rsidRDefault="00000000">
            <w:pPr>
              <w:tabs>
                <w:tab w:val="left" w:pos="680"/>
              </w:tabs>
              <w:spacing w:before="20" w:after="20"/>
              <w:jc w:val="center"/>
              <w:rPr>
                <w:sz w:val="20"/>
              </w:rPr>
            </w:pPr>
            <w:r>
              <w:rPr>
                <w:sz w:val="20"/>
              </w:rPr>
              <w:t>46,4</w:t>
            </w:r>
          </w:p>
        </w:tc>
        <w:tc>
          <w:tcPr>
            <w:tcW w:w="1127" w:type="dxa"/>
            <w:tcBorders>
              <w:top w:val="single" w:sz="4" w:space="0" w:color="auto"/>
              <w:bottom w:val="nil"/>
            </w:tcBorders>
          </w:tcPr>
          <w:p w:rsidR="00000000" w:rsidRDefault="00000000">
            <w:pPr>
              <w:tabs>
                <w:tab w:val="left" w:pos="680"/>
              </w:tabs>
              <w:spacing w:before="20" w:after="20"/>
              <w:jc w:val="center"/>
              <w:rPr>
                <w:sz w:val="20"/>
              </w:rPr>
            </w:pPr>
            <w:r>
              <w:rPr>
                <w:sz w:val="20"/>
              </w:rPr>
              <w:t>–7,3</w:t>
            </w:r>
          </w:p>
        </w:tc>
      </w:tr>
      <w:tr w:rsidR="00000000">
        <w:tblPrEx>
          <w:tblCellMar>
            <w:top w:w="0" w:type="dxa"/>
            <w:bottom w:w="0" w:type="dxa"/>
          </w:tblCellMar>
        </w:tblPrEx>
        <w:trPr>
          <w:jc w:val="center"/>
        </w:trPr>
        <w:tc>
          <w:tcPr>
            <w:tcW w:w="1696" w:type="dxa"/>
            <w:tcBorders>
              <w:top w:val="nil"/>
              <w:bottom w:val="nil"/>
            </w:tcBorders>
          </w:tcPr>
          <w:p w:rsidR="00000000" w:rsidRDefault="00000000">
            <w:pPr>
              <w:tabs>
                <w:tab w:val="left" w:pos="680"/>
              </w:tabs>
              <w:spacing w:before="20" w:after="20"/>
              <w:rPr>
                <w:b/>
                <w:sz w:val="20"/>
              </w:rPr>
            </w:pPr>
            <w:r>
              <w:rPr>
                <w:sz w:val="20"/>
              </w:rPr>
              <w:t>Центральный регион</w:t>
            </w:r>
          </w:p>
        </w:tc>
        <w:tc>
          <w:tcPr>
            <w:tcW w:w="842" w:type="dxa"/>
            <w:tcBorders>
              <w:top w:val="nil"/>
              <w:bottom w:val="nil"/>
            </w:tcBorders>
          </w:tcPr>
          <w:p w:rsidR="00000000" w:rsidRDefault="00000000">
            <w:pPr>
              <w:tabs>
                <w:tab w:val="left" w:pos="680"/>
              </w:tabs>
              <w:spacing w:before="20" w:after="20"/>
              <w:jc w:val="center"/>
              <w:rPr>
                <w:sz w:val="20"/>
              </w:rPr>
            </w:pPr>
            <w:r>
              <w:rPr>
                <w:sz w:val="20"/>
              </w:rPr>
              <w:t>62,6</w:t>
            </w:r>
          </w:p>
        </w:tc>
        <w:tc>
          <w:tcPr>
            <w:tcW w:w="563" w:type="dxa"/>
            <w:tcBorders>
              <w:top w:val="nil"/>
              <w:bottom w:val="nil"/>
            </w:tcBorders>
          </w:tcPr>
          <w:p w:rsidR="00000000" w:rsidRDefault="00000000">
            <w:pPr>
              <w:tabs>
                <w:tab w:val="left" w:pos="680"/>
              </w:tabs>
              <w:spacing w:before="20" w:after="20"/>
              <w:jc w:val="center"/>
              <w:rPr>
                <w:sz w:val="20"/>
              </w:rPr>
            </w:pPr>
            <w:r>
              <w:rPr>
                <w:sz w:val="20"/>
              </w:rPr>
              <w:t>49,9</w:t>
            </w:r>
          </w:p>
        </w:tc>
        <w:tc>
          <w:tcPr>
            <w:tcW w:w="1410" w:type="dxa"/>
            <w:tcBorders>
              <w:top w:val="nil"/>
              <w:bottom w:val="nil"/>
            </w:tcBorders>
          </w:tcPr>
          <w:p w:rsidR="00000000" w:rsidRDefault="00000000">
            <w:pPr>
              <w:tabs>
                <w:tab w:val="left" w:pos="680"/>
              </w:tabs>
              <w:spacing w:before="20" w:after="20"/>
              <w:jc w:val="center"/>
              <w:rPr>
                <w:sz w:val="20"/>
              </w:rPr>
            </w:pPr>
            <w:r>
              <w:rPr>
                <w:sz w:val="20"/>
              </w:rPr>
              <w:t>40,1</w:t>
            </w:r>
          </w:p>
        </w:tc>
        <w:tc>
          <w:tcPr>
            <w:tcW w:w="1412" w:type="dxa"/>
            <w:tcBorders>
              <w:top w:val="nil"/>
              <w:bottom w:val="nil"/>
            </w:tcBorders>
          </w:tcPr>
          <w:p w:rsidR="00000000" w:rsidRDefault="00000000">
            <w:pPr>
              <w:tabs>
                <w:tab w:val="left" w:pos="680"/>
              </w:tabs>
              <w:spacing w:before="20" w:after="20"/>
              <w:jc w:val="center"/>
              <w:rPr>
                <w:sz w:val="20"/>
              </w:rPr>
            </w:pPr>
            <w:r>
              <w:rPr>
                <w:sz w:val="20"/>
              </w:rPr>
              <w:t>2,4</w:t>
            </w:r>
          </w:p>
        </w:tc>
        <w:tc>
          <w:tcPr>
            <w:tcW w:w="1179" w:type="dxa"/>
            <w:tcBorders>
              <w:top w:val="nil"/>
              <w:bottom w:val="nil"/>
            </w:tcBorders>
          </w:tcPr>
          <w:p w:rsidR="00000000" w:rsidRDefault="00000000">
            <w:pPr>
              <w:tabs>
                <w:tab w:val="left" w:pos="680"/>
              </w:tabs>
              <w:spacing w:before="20" w:after="20"/>
              <w:jc w:val="center"/>
              <w:rPr>
                <w:sz w:val="20"/>
              </w:rPr>
            </w:pPr>
            <w:r>
              <w:rPr>
                <w:sz w:val="20"/>
              </w:rPr>
              <w:t>45,2</w:t>
            </w:r>
          </w:p>
        </w:tc>
        <w:tc>
          <w:tcPr>
            <w:tcW w:w="675" w:type="dxa"/>
            <w:tcBorders>
              <w:top w:val="nil"/>
              <w:bottom w:val="nil"/>
            </w:tcBorders>
          </w:tcPr>
          <w:p w:rsidR="00000000" w:rsidRDefault="00000000">
            <w:pPr>
              <w:tabs>
                <w:tab w:val="left" w:pos="680"/>
              </w:tabs>
              <w:spacing w:before="20" w:after="20"/>
              <w:jc w:val="center"/>
              <w:rPr>
                <w:sz w:val="20"/>
              </w:rPr>
            </w:pPr>
            <w:r>
              <w:rPr>
                <w:sz w:val="20"/>
              </w:rPr>
              <w:t>37,0</w:t>
            </w:r>
          </w:p>
        </w:tc>
        <w:tc>
          <w:tcPr>
            <w:tcW w:w="1127" w:type="dxa"/>
            <w:tcBorders>
              <w:top w:val="nil"/>
              <w:bottom w:val="nil"/>
            </w:tcBorders>
          </w:tcPr>
          <w:p w:rsidR="00000000" w:rsidRDefault="00000000">
            <w:pPr>
              <w:tabs>
                <w:tab w:val="left" w:pos="680"/>
              </w:tabs>
              <w:spacing w:before="20" w:after="20"/>
              <w:jc w:val="center"/>
              <w:rPr>
                <w:sz w:val="20"/>
              </w:rPr>
            </w:pPr>
            <w:r>
              <w:rPr>
                <w:sz w:val="20"/>
              </w:rPr>
              <w:t>–8,3</w:t>
            </w:r>
          </w:p>
        </w:tc>
      </w:tr>
      <w:tr w:rsidR="00000000">
        <w:tblPrEx>
          <w:tblCellMar>
            <w:top w:w="0" w:type="dxa"/>
            <w:bottom w:w="0" w:type="dxa"/>
          </w:tblCellMar>
        </w:tblPrEx>
        <w:trPr>
          <w:jc w:val="center"/>
        </w:trPr>
        <w:tc>
          <w:tcPr>
            <w:tcW w:w="1696" w:type="dxa"/>
            <w:tcBorders>
              <w:top w:val="nil"/>
              <w:bottom w:val="nil"/>
            </w:tcBorders>
          </w:tcPr>
          <w:p w:rsidR="00000000" w:rsidRDefault="00000000">
            <w:pPr>
              <w:tabs>
                <w:tab w:val="left" w:pos="680"/>
              </w:tabs>
              <w:spacing w:before="20" w:after="20"/>
              <w:rPr>
                <w:sz w:val="20"/>
              </w:rPr>
            </w:pPr>
            <w:r>
              <w:rPr>
                <w:sz w:val="20"/>
              </w:rPr>
              <w:t>Столичный округ</w:t>
            </w:r>
          </w:p>
        </w:tc>
        <w:tc>
          <w:tcPr>
            <w:tcW w:w="842" w:type="dxa"/>
            <w:tcBorders>
              <w:top w:val="nil"/>
              <w:bottom w:val="nil"/>
            </w:tcBorders>
          </w:tcPr>
          <w:p w:rsidR="00000000" w:rsidRDefault="00000000">
            <w:pPr>
              <w:tabs>
                <w:tab w:val="left" w:pos="680"/>
              </w:tabs>
              <w:spacing w:before="20" w:after="20"/>
              <w:jc w:val="center"/>
              <w:rPr>
                <w:sz w:val="20"/>
              </w:rPr>
            </w:pPr>
            <w:r>
              <w:rPr>
                <w:sz w:val="20"/>
              </w:rPr>
              <w:t>18,5</w:t>
            </w:r>
          </w:p>
        </w:tc>
        <w:tc>
          <w:tcPr>
            <w:tcW w:w="563" w:type="dxa"/>
            <w:tcBorders>
              <w:top w:val="nil"/>
              <w:bottom w:val="nil"/>
            </w:tcBorders>
          </w:tcPr>
          <w:p w:rsidR="00000000" w:rsidRDefault="00000000">
            <w:pPr>
              <w:tabs>
                <w:tab w:val="left" w:pos="680"/>
              </w:tabs>
              <w:spacing w:before="20" w:after="20"/>
              <w:jc w:val="center"/>
              <w:rPr>
                <w:sz w:val="20"/>
              </w:rPr>
            </w:pPr>
            <w:r>
              <w:rPr>
                <w:sz w:val="20"/>
              </w:rPr>
              <w:t>20,7</w:t>
            </w:r>
          </w:p>
        </w:tc>
        <w:tc>
          <w:tcPr>
            <w:tcW w:w="1410" w:type="dxa"/>
            <w:tcBorders>
              <w:top w:val="nil"/>
              <w:bottom w:val="nil"/>
            </w:tcBorders>
          </w:tcPr>
          <w:p w:rsidR="00000000" w:rsidRDefault="00000000">
            <w:pPr>
              <w:tabs>
                <w:tab w:val="left" w:pos="680"/>
              </w:tabs>
              <w:spacing w:before="20" w:after="20"/>
              <w:jc w:val="center"/>
              <w:rPr>
                <w:sz w:val="20"/>
              </w:rPr>
            </w:pPr>
            <w:r>
              <w:rPr>
                <w:sz w:val="20"/>
              </w:rPr>
              <w:t>28,9</w:t>
            </w:r>
          </w:p>
        </w:tc>
        <w:tc>
          <w:tcPr>
            <w:tcW w:w="1412" w:type="dxa"/>
            <w:tcBorders>
              <w:top w:val="nil"/>
              <w:bottom w:val="nil"/>
            </w:tcBorders>
          </w:tcPr>
          <w:p w:rsidR="00000000" w:rsidRDefault="00000000">
            <w:pPr>
              <w:tabs>
                <w:tab w:val="left" w:pos="680"/>
              </w:tabs>
              <w:spacing w:before="20" w:after="20"/>
              <w:jc w:val="center"/>
              <w:rPr>
                <w:sz w:val="20"/>
              </w:rPr>
            </w:pPr>
            <w:r>
              <w:rPr>
                <w:sz w:val="20"/>
              </w:rPr>
              <w:t>4,6</w:t>
            </w:r>
          </w:p>
        </w:tc>
        <w:tc>
          <w:tcPr>
            <w:tcW w:w="1179" w:type="dxa"/>
            <w:tcBorders>
              <w:top w:val="nil"/>
              <w:bottom w:val="nil"/>
            </w:tcBorders>
          </w:tcPr>
          <w:p w:rsidR="00000000" w:rsidRDefault="00000000">
            <w:pPr>
              <w:tabs>
                <w:tab w:val="left" w:pos="680"/>
              </w:tabs>
              <w:spacing w:before="20" w:after="20"/>
              <w:jc w:val="center"/>
              <w:rPr>
                <w:sz w:val="20"/>
              </w:rPr>
            </w:pPr>
            <w:r>
              <w:rPr>
                <w:sz w:val="20"/>
              </w:rPr>
              <w:t>38,3</w:t>
            </w:r>
          </w:p>
        </w:tc>
        <w:tc>
          <w:tcPr>
            <w:tcW w:w="675" w:type="dxa"/>
            <w:tcBorders>
              <w:top w:val="nil"/>
              <w:bottom w:val="nil"/>
            </w:tcBorders>
          </w:tcPr>
          <w:p w:rsidR="00000000" w:rsidRDefault="00000000">
            <w:pPr>
              <w:tabs>
                <w:tab w:val="left" w:pos="680"/>
              </w:tabs>
              <w:spacing w:before="20" w:after="20"/>
              <w:jc w:val="center"/>
              <w:rPr>
                <w:sz w:val="20"/>
              </w:rPr>
            </w:pPr>
            <w:r>
              <w:rPr>
                <w:sz w:val="20"/>
              </w:rPr>
              <w:t>32,7</w:t>
            </w:r>
          </w:p>
        </w:tc>
        <w:tc>
          <w:tcPr>
            <w:tcW w:w="1127" w:type="dxa"/>
            <w:tcBorders>
              <w:top w:val="nil"/>
              <w:bottom w:val="nil"/>
            </w:tcBorders>
          </w:tcPr>
          <w:p w:rsidR="00000000" w:rsidRDefault="00000000">
            <w:pPr>
              <w:tabs>
                <w:tab w:val="left" w:pos="680"/>
              </w:tabs>
              <w:spacing w:before="20" w:after="20"/>
              <w:jc w:val="center"/>
              <w:rPr>
                <w:sz w:val="20"/>
              </w:rPr>
            </w:pPr>
            <w:r>
              <w:rPr>
                <w:sz w:val="20"/>
              </w:rPr>
              <w:t>–5,6</w:t>
            </w:r>
          </w:p>
        </w:tc>
      </w:tr>
      <w:tr w:rsidR="00000000">
        <w:tblPrEx>
          <w:tblCellMar>
            <w:top w:w="0" w:type="dxa"/>
            <w:bottom w:w="0" w:type="dxa"/>
          </w:tblCellMar>
        </w:tblPrEx>
        <w:trPr>
          <w:jc w:val="center"/>
        </w:trPr>
        <w:tc>
          <w:tcPr>
            <w:tcW w:w="1696" w:type="dxa"/>
            <w:tcBorders>
              <w:top w:val="nil"/>
              <w:bottom w:val="nil"/>
            </w:tcBorders>
          </w:tcPr>
          <w:p w:rsidR="00000000" w:rsidRDefault="00000000">
            <w:pPr>
              <w:tabs>
                <w:tab w:val="left" w:pos="680"/>
              </w:tabs>
              <w:spacing w:before="20" w:after="20"/>
              <w:rPr>
                <w:sz w:val="20"/>
              </w:rPr>
            </w:pPr>
            <w:r>
              <w:rPr>
                <w:sz w:val="20"/>
              </w:rPr>
              <w:t>Столичная область</w:t>
            </w:r>
          </w:p>
        </w:tc>
        <w:tc>
          <w:tcPr>
            <w:tcW w:w="842" w:type="dxa"/>
            <w:tcBorders>
              <w:top w:val="nil"/>
              <w:bottom w:val="nil"/>
            </w:tcBorders>
          </w:tcPr>
          <w:p w:rsidR="00000000" w:rsidRDefault="00000000">
            <w:pPr>
              <w:tabs>
                <w:tab w:val="left" w:pos="680"/>
              </w:tabs>
              <w:spacing w:before="20" w:after="20"/>
              <w:jc w:val="center"/>
              <w:rPr>
                <w:sz w:val="20"/>
              </w:rPr>
            </w:pPr>
            <w:r>
              <w:rPr>
                <w:sz w:val="20"/>
              </w:rPr>
              <w:t>34,2</w:t>
            </w:r>
          </w:p>
        </w:tc>
        <w:tc>
          <w:tcPr>
            <w:tcW w:w="563" w:type="dxa"/>
            <w:tcBorders>
              <w:top w:val="nil"/>
              <w:bottom w:val="nil"/>
            </w:tcBorders>
          </w:tcPr>
          <w:p w:rsidR="00000000" w:rsidRDefault="00000000">
            <w:pPr>
              <w:tabs>
                <w:tab w:val="left" w:pos="680"/>
              </w:tabs>
              <w:spacing w:before="20" w:after="20"/>
              <w:jc w:val="center"/>
              <w:rPr>
                <w:sz w:val="20"/>
              </w:rPr>
            </w:pPr>
            <w:r>
              <w:rPr>
                <w:sz w:val="20"/>
              </w:rPr>
              <w:t>29,2</w:t>
            </w:r>
          </w:p>
        </w:tc>
        <w:tc>
          <w:tcPr>
            <w:tcW w:w="1410" w:type="dxa"/>
            <w:tcBorders>
              <w:top w:val="nil"/>
              <w:bottom w:val="nil"/>
            </w:tcBorders>
          </w:tcPr>
          <w:p w:rsidR="00000000" w:rsidRDefault="00000000">
            <w:pPr>
              <w:tabs>
                <w:tab w:val="left" w:pos="680"/>
              </w:tabs>
              <w:spacing w:before="20" w:after="20"/>
              <w:jc w:val="center"/>
              <w:rPr>
                <w:sz w:val="20"/>
              </w:rPr>
            </w:pPr>
            <w:r>
              <w:rPr>
                <w:sz w:val="20"/>
              </w:rPr>
              <w:t>11,3</w:t>
            </w:r>
          </w:p>
        </w:tc>
        <w:tc>
          <w:tcPr>
            <w:tcW w:w="1412" w:type="dxa"/>
            <w:tcBorders>
              <w:top w:val="nil"/>
              <w:bottom w:val="nil"/>
            </w:tcBorders>
          </w:tcPr>
          <w:p w:rsidR="00000000" w:rsidRDefault="00000000">
            <w:pPr>
              <w:tabs>
                <w:tab w:val="left" w:pos="680"/>
              </w:tabs>
              <w:spacing w:before="20" w:after="20"/>
              <w:jc w:val="center"/>
              <w:rPr>
                <w:sz w:val="20"/>
              </w:rPr>
            </w:pPr>
            <w:r>
              <w:rPr>
                <w:sz w:val="20"/>
              </w:rPr>
              <w:t>1,1</w:t>
            </w:r>
          </w:p>
        </w:tc>
        <w:tc>
          <w:tcPr>
            <w:tcW w:w="1179" w:type="dxa"/>
            <w:tcBorders>
              <w:top w:val="nil"/>
              <w:bottom w:val="nil"/>
            </w:tcBorders>
          </w:tcPr>
          <w:p w:rsidR="00000000" w:rsidRDefault="00000000">
            <w:pPr>
              <w:tabs>
                <w:tab w:val="left" w:pos="680"/>
              </w:tabs>
              <w:spacing w:before="20" w:after="20"/>
              <w:jc w:val="center"/>
              <w:rPr>
                <w:sz w:val="20"/>
              </w:rPr>
            </w:pPr>
            <w:r>
              <w:rPr>
                <w:sz w:val="20"/>
              </w:rPr>
              <w:t>60,1</w:t>
            </w:r>
          </w:p>
        </w:tc>
        <w:tc>
          <w:tcPr>
            <w:tcW w:w="675" w:type="dxa"/>
            <w:tcBorders>
              <w:top w:val="nil"/>
              <w:bottom w:val="nil"/>
            </w:tcBorders>
          </w:tcPr>
          <w:p w:rsidR="00000000" w:rsidRDefault="00000000">
            <w:pPr>
              <w:tabs>
                <w:tab w:val="left" w:pos="680"/>
              </w:tabs>
              <w:spacing w:before="20" w:after="20"/>
              <w:jc w:val="center"/>
              <w:rPr>
                <w:sz w:val="20"/>
              </w:rPr>
            </w:pPr>
            <w:r>
              <w:rPr>
                <w:sz w:val="20"/>
              </w:rPr>
              <w:t>40,7</w:t>
            </w:r>
          </w:p>
        </w:tc>
        <w:tc>
          <w:tcPr>
            <w:tcW w:w="1127" w:type="dxa"/>
            <w:tcBorders>
              <w:top w:val="nil"/>
              <w:bottom w:val="nil"/>
            </w:tcBorders>
          </w:tcPr>
          <w:p w:rsidR="00000000" w:rsidRDefault="00000000">
            <w:pPr>
              <w:tabs>
                <w:tab w:val="left" w:pos="680"/>
              </w:tabs>
              <w:spacing w:before="20" w:after="20"/>
              <w:jc w:val="center"/>
              <w:rPr>
                <w:sz w:val="20"/>
              </w:rPr>
            </w:pPr>
            <w:r>
              <w:rPr>
                <w:sz w:val="20"/>
              </w:rPr>
              <w:t>–9,4</w:t>
            </w:r>
          </w:p>
        </w:tc>
      </w:tr>
      <w:tr w:rsidR="00000000">
        <w:tblPrEx>
          <w:tblCellMar>
            <w:top w:w="0" w:type="dxa"/>
            <w:bottom w:w="0" w:type="dxa"/>
          </w:tblCellMar>
        </w:tblPrEx>
        <w:trPr>
          <w:jc w:val="center"/>
        </w:trPr>
        <w:tc>
          <w:tcPr>
            <w:tcW w:w="1696" w:type="dxa"/>
            <w:tcBorders>
              <w:top w:val="nil"/>
              <w:bottom w:val="nil"/>
            </w:tcBorders>
          </w:tcPr>
          <w:p w:rsidR="00000000" w:rsidRDefault="00000000">
            <w:pPr>
              <w:tabs>
                <w:tab w:val="left" w:pos="680"/>
              </w:tabs>
              <w:spacing w:before="20" w:after="20"/>
              <w:rPr>
                <w:sz w:val="20"/>
              </w:rPr>
            </w:pPr>
            <w:r>
              <w:rPr>
                <w:sz w:val="20"/>
              </w:rPr>
              <w:t>Чоротега</w:t>
            </w:r>
          </w:p>
        </w:tc>
        <w:tc>
          <w:tcPr>
            <w:tcW w:w="842" w:type="dxa"/>
            <w:tcBorders>
              <w:top w:val="nil"/>
              <w:bottom w:val="nil"/>
            </w:tcBorders>
          </w:tcPr>
          <w:p w:rsidR="00000000" w:rsidRDefault="00000000">
            <w:pPr>
              <w:tabs>
                <w:tab w:val="left" w:pos="680"/>
              </w:tabs>
              <w:spacing w:before="20" w:after="20"/>
              <w:jc w:val="center"/>
              <w:rPr>
                <w:sz w:val="20"/>
              </w:rPr>
            </w:pPr>
            <w:r>
              <w:rPr>
                <w:sz w:val="20"/>
              </w:rPr>
              <w:t>11,4</w:t>
            </w:r>
          </w:p>
        </w:tc>
        <w:tc>
          <w:tcPr>
            <w:tcW w:w="563" w:type="dxa"/>
            <w:tcBorders>
              <w:top w:val="nil"/>
              <w:bottom w:val="nil"/>
            </w:tcBorders>
          </w:tcPr>
          <w:p w:rsidR="00000000" w:rsidRDefault="00000000">
            <w:pPr>
              <w:tabs>
                <w:tab w:val="left" w:pos="680"/>
              </w:tabs>
              <w:spacing w:before="20" w:after="20"/>
              <w:jc w:val="center"/>
              <w:rPr>
                <w:sz w:val="20"/>
              </w:rPr>
            </w:pPr>
            <w:r>
              <w:rPr>
                <w:sz w:val="20"/>
              </w:rPr>
              <w:t>10,2</w:t>
            </w:r>
          </w:p>
        </w:tc>
        <w:tc>
          <w:tcPr>
            <w:tcW w:w="1410" w:type="dxa"/>
            <w:tcBorders>
              <w:top w:val="nil"/>
              <w:bottom w:val="nil"/>
            </w:tcBorders>
          </w:tcPr>
          <w:p w:rsidR="00000000" w:rsidRDefault="00000000">
            <w:pPr>
              <w:tabs>
                <w:tab w:val="left" w:pos="680"/>
              </w:tabs>
              <w:spacing w:before="20" w:after="20"/>
              <w:jc w:val="center"/>
              <w:rPr>
                <w:sz w:val="20"/>
              </w:rPr>
            </w:pPr>
            <w:r>
              <w:rPr>
                <w:sz w:val="20"/>
              </w:rPr>
              <w:t>6,1</w:t>
            </w:r>
          </w:p>
        </w:tc>
        <w:tc>
          <w:tcPr>
            <w:tcW w:w="1412" w:type="dxa"/>
            <w:tcBorders>
              <w:top w:val="nil"/>
              <w:bottom w:val="nil"/>
            </w:tcBorders>
          </w:tcPr>
          <w:p w:rsidR="00000000" w:rsidRDefault="00000000">
            <w:pPr>
              <w:tabs>
                <w:tab w:val="left" w:pos="680"/>
              </w:tabs>
              <w:spacing w:before="20" w:after="20"/>
              <w:jc w:val="center"/>
              <w:rPr>
                <w:sz w:val="20"/>
              </w:rPr>
            </w:pPr>
            <w:r>
              <w:rPr>
                <w:sz w:val="20"/>
              </w:rPr>
              <w:t>1,8</w:t>
            </w:r>
          </w:p>
        </w:tc>
        <w:tc>
          <w:tcPr>
            <w:tcW w:w="1179" w:type="dxa"/>
            <w:tcBorders>
              <w:top w:val="nil"/>
              <w:bottom w:val="nil"/>
            </w:tcBorders>
          </w:tcPr>
          <w:p w:rsidR="00000000" w:rsidRDefault="00000000">
            <w:pPr>
              <w:tabs>
                <w:tab w:val="left" w:pos="680"/>
              </w:tabs>
              <w:spacing w:before="20" w:after="20"/>
              <w:jc w:val="center"/>
              <w:rPr>
                <w:sz w:val="20"/>
              </w:rPr>
            </w:pPr>
            <w:r>
              <w:rPr>
                <w:sz w:val="20"/>
              </w:rPr>
              <w:t>70,1</w:t>
            </w:r>
          </w:p>
        </w:tc>
        <w:tc>
          <w:tcPr>
            <w:tcW w:w="675" w:type="dxa"/>
            <w:tcBorders>
              <w:top w:val="nil"/>
              <w:bottom w:val="nil"/>
            </w:tcBorders>
          </w:tcPr>
          <w:p w:rsidR="00000000" w:rsidRDefault="00000000">
            <w:pPr>
              <w:tabs>
                <w:tab w:val="left" w:pos="680"/>
              </w:tabs>
              <w:spacing w:before="20" w:after="20"/>
              <w:jc w:val="center"/>
              <w:rPr>
                <w:sz w:val="20"/>
              </w:rPr>
            </w:pPr>
            <w:r>
              <w:rPr>
                <w:sz w:val="20"/>
              </w:rPr>
              <w:t>64,0</w:t>
            </w:r>
          </w:p>
        </w:tc>
        <w:tc>
          <w:tcPr>
            <w:tcW w:w="1127" w:type="dxa"/>
            <w:tcBorders>
              <w:top w:val="nil"/>
              <w:bottom w:val="nil"/>
            </w:tcBorders>
          </w:tcPr>
          <w:p w:rsidR="00000000" w:rsidRDefault="00000000">
            <w:pPr>
              <w:tabs>
                <w:tab w:val="left" w:pos="680"/>
              </w:tabs>
              <w:spacing w:before="20" w:after="20"/>
              <w:jc w:val="center"/>
              <w:rPr>
                <w:sz w:val="20"/>
              </w:rPr>
            </w:pPr>
            <w:r>
              <w:rPr>
                <w:sz w:val="20"/>
              </w:rPr>
              <w:t>–6,1</w:t>
            </w:r>
          </w:p>
        </w:tc>
      </w:tr>
      <w:tr w:rsidR="00000000">
        <w:tblPrEx>
          <w:tblCellMar>
            <w:top w:w="0" w:type="dxa"/>
            <w:bottom w:w="0" w:type="dxa"/>
          </w:tblCellMar>
        </w:tblPrEx>
        <w:trPr>
          <w:jc w:val="center"/>
        </w:trPr>
        <w:tc>
          <w:tcPr>
            <w:tcW w:w="1696" w:type="dxa"/>
            <w:tcBorders>
              <w:top w:val="nil"/>
              <w:bottom w:val="nil"/>
            </w:tcBorders>
          </w:tcPr>
          <w:p w:rsidR="00000000" w:rsidRDefault="00000000">
            <w:pPr>
              <w:tabs>
                <w:tab w:val="left" w:pos="680"/>
              </w:tabs>
              <w:spacing w:before="20" w:after="20"/>
              <w:rPr>
                <w:sz w:val="20"/>
              </w:rPr>
            </w:pPr>
            <w:r>
              <w:rPr>
                <w:sz w:val="20"/>
              </w:rPr>
              <w:t>Центральный Тихоокеанский регион</w:t>
            </w:r>
          </w:p>
        </w:tc>
        <w:tc>
          <w:tcPr>
            <w:tcW w:w="842" w:type="dxa"/>
            <w:tcBorders>
              <w:top w:val="nil"/>
              <w:bottom w:val="nil"/>
            </w:tcBorders>
          </w:tcPr>
          <w:p w:rsidR="00000000" w:rsidRDefault="00000000">
            <w:pPr>
              <w:tabs>
                <w:tab w:val="left" w:pos="680"/>
              </w:tabs>
              <w:spacing w:before="20" w:after="20"/>
              <w:jc w:val="center"/>
              <w:rPr>
                <w:sz w:val="20"/>
              </w:rPr>
            </w:pPr>
            <w:r>
              <w:rPr>
                <w:sz w:val="20"/>
              </w:rPr>
              <w:t>7,3</w:t>
            </w:r>
          </w:p>
        </w:tc>
        <w:tc>
          <w:tcPr>
            <w:tcW w:w="563" w:type="dxa"/>
            <w:tcBorders>
              <w:top w:val="nil"/>
              <w:bottom w:val="nil"/>
            </w:tcBorders>
          </w:tcPr>
          <w:p w:rsidR="00000000" w:rsidRDefault="00000000">
            <w:pPr>
              <w:tabs>
                <w:tab w:val="left" w:pos="680"/>
              </w:tabs>
              <w:spacing w:before="20" w:after="20"/>
              <w:jc w:val="center"/>
              <w:rPr>
                <w:sz w:val="20"/>
              </w:rPr>
            </w:pPr>
            <w:r>
              <w:rPr>
                <w:sz w:val="20"/>
              </w:rPr>
              <w:t>6,8</w:t>
            </w:r>
          </w:p>
        </w:tc>
        <w:tc>
          <w:tcPr>
            <w:tcW w:w="1410" w:type="dxa"/>
            <w:tcBorders>
              <w:top w:val="nil"/>
              <w:bottom w:val="nil"/>
            </w:tcBorders>
          </w:tcPr>
          <w:p w:rsidR="00000000" w:rsidRDefault="00000000">
            <w:pPr>
              <w:tabs>
                <w:tab w:val="left" w:pos="680"/>
              </w:tabs>
              <w:spacing w:before="20" w:after="20"/>
              <w:jc w:val="center"/>
              <w:rPr>
                <w:sz w:val="20"/>
              </w:rPr>
            </w:pPr>
            <w:r>
              <w:rPr>
                <w:sz w:val="20"/>
              </w:rPr>
              <w:t>5,6</w:t>
            </w:r>
          </w:p>
        </w:tc>
        <w:tc>
          <w:tcPr>
            <w:tcW w:w="1412" w:type="dxa"/>
            <w:tcBorders>
              <w:top w:val="nil"/>
              <w:bottom w:val="nil"/>
            </w:tcBorders>
          </w:tcPr>
          <w:p w:rsidR="00000000" w:rsidRDefault="00000000">
            <w:pPr>
              <w:tabs>
                <w:tab w:val="left" w:pos="680"/>
              </w:tabs>
              <w:spacing w:before="20" w:after="20"/>
              <w:jc w:val="center"/>
              <w:rPr>
                <w:sz w:val="20"/>
              </w:rPr>
            </w:pPr>
            <w:r>
              <w:rPr>
                <w:sz w:val="20"/>
              </w:rPr>
              <w:t>2,4</w:t>
            </w:r>
          </w:p>
        </w:tc>
        <w:tc>
          <w:tcPr>
            <w:tcW w:w="1179" w:type="dxa"/>
            <w:tcBorders>
              <w:top w:val="nil"/>
              <w:bottom w:val="nil"/>
            </w:tcBorders>
          </w:tcPr>
          <w:p w:rsidR="00000000" w:rsidRDefault="00000000">
            <w:pPr>
              <w:tabs>
                <w:tab w:val="left" w:pos="680"/>
              </w:tabs>
              <w:spacing w:before="20" w:after="20"/>
              <w:jc w:val="center"/>
              <w:rPr>
                <w:sz w:val="20"/>
              </w:rPr>
            </w:pPr>
            <w:r>
              <w:rPr>
                <w:sz w:val="20"/>
              </w:rPr>
              <w:t>63,3</w:t>
            </w:r>
          </w:p>
        </w:tc>
        <w:tc>
          <w:tcPr>
            <w:tcW w:w="675" w:type="dxa"/>
            <w:tcBorders>
              <w:top w:val="nil"/>
              <w:bottom w:val="nil"/>
            </w:tcBorders>
          </w:tcPr>
          <w:p w:rsidR="00000000" w:rsidRDefault="00000000">
            <w:pPr>
              <w:tabs>
                <w:tab w:val="left" w:pos="680"/>
              </w:tabs>
              <w:spacing w:before="20" w:after="20"/>
              <w:jc w:val="center"/>
              <w:rPr>
                <w:sz w:val="20"/>
              </w:rPr>
            </w:pPr>
            <w:r>
              <w:rPr>
                <w:sz w:val="20"/>
              </w:rPr>
              <w:t>57,2</w:t>
            </w:r>
          </w:p>
        </w:tc>
        <w:tc>
          <w:tcPr>
            <w:tcW w:w="1127" w:type="dxa"/>
            <w:tcBorders>
              <w:top w:val="nil"/>
              <w:bottom w:val="nil"/>
            </w:tcBorders>
          </w:tcPr>
          <w:p w:rsidR="00000000" w:rsidRDefault="00000000">
            <w:pPr>
              <w:tabs>
                <w:tab w:val="left" w:pos="680"/>
              </w:tabs>
              <w:spacing w:before="20" w:after="20"/>
              <w:jc w:val="center"/>
              <w:rPr>
                <w:sz w:val="20"/>
              </w:rPr>
            </w:pPr>
            <w:r>
              <w:rPr>
                <w:sz w:val="20"/>
              </w:rPr>
              <w:t>–6,1</w:t>
            </w:r>
          </w:p>
        </w:tc>
      </w:tr>
      <w:tr w:rsidR="00000000">
        <w:tblPrEx>
          <w:tblCellMar>
            <w:top w:w="0" w:type="dxa"/>
            <w:bottom w:w="0" w:type="dxa"/>
          </w:tblCellMar>
        </w:tblPrEx>
        <w:trPr>
          <w:jc w:val="center"/>
        </w:trPr>
        <w:tc>
          <w:tcPr>
            <w:tcW w:w="1696" w:type="dxa"/>
            <w:tcBorders>
              <w:top w:val="nil"/>
              <w:bottom w:val="nil"/>
            </w:tcBorders>
          </w:tcPr>
          <w:p w:rsidR="00000000" w:rsidRDefault="00000000">
            <w:pPr>
              <w:tabs>
                <w:tab w:val="left" w:pos="680"/>
              </w:tabs>
              <w:spacing w:before="20" w:after="20"/>
              <w:rPr>
                <w:sz w:val="20"/>
              </w:rPr>
            </w:pPr>
            <w:r>
              <w:rPr>
                <w:sz w:val="20"/>
              </w:rPr>
              <w:t>Брунка</w:t>
            </w:r>
          </w:p>
        </w:tc>
        <w:tc>
          <w:tcPr>
            <w:tcW w:w="842" w:type="dxa"/>
            <w:tcBorders>
              <w:top w:val="nil"/>
              <w:bottom w:val="nil"/>
            </w:tcBorders>
          </w:tcPr>
          <w:p w:rsidR="00000000" w:rsidRDefault="00000000">
            <w:pPr>
              <w:tabs>
                <w:tab w:val="left" w:pos="680"/>
              </w:tabs>
              <w:spacing w:before="20" w:after="20"/>
              <w:jc w:val="center"/>
              <w:rPr>
                <w:sz w:val="20"/>
              </w:rPr>
            </w:pPr>
            <w:r>
              <w:rPr>
                <w:sz w:val="20"/>
              </w:rPr>
              <w:t>13,5</w:t>
            </w:r>
          </w:p>
        </w:tc>
        <w:tc>
          <w:tcPr>
            <w:tcW w:w="563" w:type="dxa"/>
            <w:tcBorders>
              <w:top w:val="nil"/>
              <w:bottom w:val="nil"/>
            </w:tcBorders>
          </w:tcPr>
          <w:p w:rsidR="00000000" w:rsidRDefault="00000000">
            <w:pPr>
              <w:tabs>
                <w:tab w:val="left" w:pos="680"/>
              </w:tabs>
              <w:spacing w:before="20" w:after="20"/>
              <w:jc w:val="center"/>
              <w:rPr>
                <w:sz w:val="20"/>
              </w:rPr>
            </w:pPr>
            <w:r>
              <w:rPr>
                <w:sz w:val="20"/>
              </w:rPr>
              <w:t>13,7</w:t>
            </w:r>
          </w:p>
        </w:tc>
        <w:tc>
          <w:tcPr>
            <w:tcW w:w="1410" w:type="dxa"/>
            <w:tcBorders>
              <w:top w:val="nil"/>
              <w:bottom w:val="nil"/>
            </w:tcBorders>
          </w:tcPr>
          <w:p w:rsidR="00000000" w:rsidRDefault="00000000">
            <w:pPr>
              <w:tabs>
                <w:tab w:val="left" w:pos="680"/>
              </w:tabs>
              <w:spacing w:before="20" w:after="20"/>
              <w:jc w:val="center"/>
              <w:rPr>
                <w:sz w:val="20"/>
              </w:rPr>
            </w:pPr>
            <w:r>
              <w:rPr>
                <w:sz w:val="20"/>
              </w:rPr>
              <w:t>14,4</w:t>
            </w:r>
          </w:p>
        </w:tc>
        <w:tc>
          <w:tcPr>
            <w:tcW w:w="1412" w:type="dxa"/>
            <w:tcBorders>
              <w:top w:val="nil"/>
              <w:bottom w:val="nil"/>
            </w:tcBorders>
          </w:tcPr>
          <w:p w:rsidR="00000000" w:rsidRDefault="00000000">
            <w:pPr>
              <w:tabs>
                <w:tab w:val="left" w:pos="680"/>
              </w:tabs>
              <w:spacing w:before="20" w:after="20"/>
              <w:jc w:val="center"/>
              <w:rPr>
                <w:sz w:val="20"/>
              </w:rPr>
            </w:pPr>
            <w:r>
              <w:rPr>
                <w:sz w:val="20"/>
              </w:rPr>
              <w:t>3,3</w:t>
            </w:r>
          </w:p>
        </w:tc>
        <w:tc>
          <w:tcPr>
            <w:tcW w:w="1179" w:type="dxa"/>
            <w:tcBorders>
              <w:top w:val="nil"/>
              <w:bottom w:val="nil"/>
            </w:tcBorders>
          </w:tcPr>
          <w:p w:rsidR="00000000" w:rsidRDefault="00000000">
            <w:pPr>
              <w:tabs>
                <w:tab w:val="left" w:pos="680"/>
              </w:tabs>
              <w:spacing w:before="20" w:after="20"/>
              <w:jc w:val="center"/>
              <w:rPr>
                <w:sz w:val="20"/>
              </w:rPr>
            </w:pPr>
            <w:r>
              <w:rPr>
                <w:sz w:val="20"/>
              </w:rPr>
              <w:t>73,2</w:t>
            </w:r>
          </w:p>
        </w:tc>
        <w:tc>
          <w:tcPr>
            <w:tcW w:w="675" w:type="dxa"/>
            <w:tcBorders>
              <w:top w:val="nil"/>
              <w:bottom w:val="nil"/>
            </w:tcBorders>
          </w:tcPr>
          <w:p w:rsidR="00000000" w:rsidRDefault="00000000">
            <w:pPr>
              <w:tabs>
                <w:tab w:val="left" w:pos="680"/>
              </w:tabs>
              <w:spacing w:before="20" w:after="20"/>
              <w:jc w:val="center"/>
              <w:rPr>
                <w:sz w:val="20"/>
              </w:rPr>
            </w:pPr>
            <w:r>
              <w:rPr>
                <w:sz w:val="20"/>
              </w:rPr>
              <w:t>65,0</w:t>
            </w:r>
          </w:p>
        </w:tc>
        <w:tc>
          <w:tcPr>
            <w:tcW w:w="1127" w:type="dxa"/>
            <w:tcBorders>
              <w:top w:val="nil"/>
              <w:bottom w:val="nil"/>
            </w:tcBorders>
          </w:tcPr>
          <w:p w:rsidR="00000000" w:rsidRDefault="00000000">
            <w:pPr>
              <w:tabs>
                <w:tab w:val="left" w:pos="680"/>
              </w:tabs>
              <w:spacing w:before="20" w:after="20"/>
              <w:jc w:val="center"/>
              <w:rPr>
                <w:sz w:val="20"/>
              </w:rPr>
            </w:pPr>
            <w:r>
              <w:rPr>
                <w:sz w:val="20"/>
              </w:rPr>
              <w:t>–8,2</w:t>
            </w:r>
          </w:p>
          <w:p w:rsidR="00000000" w:rsidRDefault="00000000">
            <w:pPr>
              <w:tabs>
                <w:tab w:val="left" w:pos="680"/>
              </w:tabs>
              <w:spacing w:before="20" w:after="20"/>
              <w:jc w:val="center"/>
              <w:rPr>
                <w:sz w:val="20"/>
              </w:rPr>
            </w:pPr>
          </w:p>
        </w:tc>
      </w:tr>
      <w:tr w:rsidR="00000000">
        <w:tblPrEx>
          <w:tblCellMar>
            <w:top w:w="0" w:type="dxa"/>
            <w:bottom w:w="0" w:type="dxa"/>
          </w:tblCellMar>
        </w:tblPrEx>
        <w:trPr>
          <w:jc w:val="center"/>
        </w:trPr>
        <w:tc>
          <w:tcPr>
            <w:tcW w:w="1696" w:type="dxa"/>
            <w:tcBorders>
              <w:top w:val="nil"/>
              <w:bottom w:val="nil"/>
            </w:tcBorders>
          </w:tcPr>
          <w:p w:rsidR="00000000" w:rsidRDefault="00000000">
            <w:pPr>
              <w:tabs>
                <w:tab w:val="left" w:pos="680"/>
              </w:tabs>
              <w:spacing w:before="20" w:after="20"/>
              <w:rPr>
                <w:sz w:val="20"/>
              </w:rPr>
            </w:pPr>
            <w:r>
              <w:rPr>
                <w:sz w:val="20"/>
              </w:rPr>
              <w:t>Уэтар Атлантическ.</w:t>
            </w:r>
          </w:p>
        </w:tc>
        <w:tc>
          <w:tcPr>
            <w:tcW w:w="842" w:type="dxa"/>
            <w:tcBorders>
              <w:top w:val="nil"/>
              <w:bottom w:val="nil"/>
            </w:tcBorders>
          </w:tcPr>
          <w:p w:rsidR="00000000" w:rsidRDefault="00000000">
            <w:pPr>
              <w:tabs>
                <w:tab w:val="left" w:pos="680"/>
              </w:tabs>
              <w:spacing w:before="20" w:after="20"/>
              <w:jc w:val="center"/>
              <w:rPr>
                <w:sz w:val="20"/>
              </w:rPr>
            </w:pPr>
            <w:r>
              <w:rPr>
                <w:sz w:val="20"/>
              </w:rPr>
              <w:t>10,6</w:t>
            </w:r>
          </w:p>
        </w:tc>
        <w:tc>
          <w:tcPr>
            <w:tcW w:w="563" w:type="dxa"/>
            <w:tcBorders>
              <w:top w:val="nil"/>
              <w:bottom w:val="nil"/>
            </w:tcBorders>
          </w:tcPr>
          <w:p w:rsidR="00000000" w:rsidRDefault="00000000">
            <w:pPr>
              <w:tabs>
                <w:tab w:val="left" w:pos="680"/>
              </w:tabs>
              <w:spacing w:before="20" w:after="20"/>
              <w:jc w:val="center"/>
              <w:rPr>
                <w:sz w:val="20"/>
              </w:rPr>
            </w:pPr>
            <w:r>
              <w:rPr>
                <w:sz w:val="20"/>
              </w:rPr>
              <w:t>13,1</w:t>
            </w:r>
          </w:p>
        </w:tc>
        <w:tc>
          <w:tcPr>
            <w:tcW w:w="1410" w:type="dxa"/>
            <w:tcBorders>
              <w:top w:val="nil"/>
              <w:bottom w:val="nil"/>
            </w:tcBorders>
          </w:tcPr>
          <w:p w:rsidR="00000000" w:rsidRDefault="00000000">
            <w:pPr>
              <w:tabs>
                <w:tab w:val="left" w:pos="680"/>
              </w:tabs>
              <w:spacing w:before="20" w:after="20"/>
              <w:jc w:val="center"/>
              <w:rPr>
                <w:sz w:val="20"/>
              </w:rPr>
            </w:pPr>
            <w:r>
              <w:rPr>
                <w:sz w:val="20"/>
              </w:rPr>
              <w:t>22,1</w:t>
            </w:r>
          </w:p>
        </w:tc>
        <w:tc>
          <w:tcPr>
            <w:tcW w:w="1412" w:type="dxa"/>
            <w:tcBorders>
              <w:top w:val="nil"/>
              <w:bottom w:val="nil"/>
            </w:tcBorders>
          </w:tcPr>
          <w:p w:rsidR="00000000" w:rsidRDefault="00000000">
            <w:pPr>
              <w:tabs>
                <w:tab w:val="left" w:pos="680"/>
              </w:tabs>
              <w:spacing w:before="20" w:after="20"/>
              <w:jc w:val="center"/>
              <w:rPr>
                <w:sz w:val="20"/>
              </w:rPr>
            </w:pPr>
            <w:r>
              <w:rPr>
                <w:sz w:val="20"/>
              </w:rPr>
              <w:t>5,9</w:t>
            </w:r>
          </w:p>
        </w:tc>
        <w:tc>
          <w:tcPr>
            <w:tcW w:w="1179" w:type="dxa"/>
            <w:tcBorders>
              <w:top w:val="nil"/>
              <w:bottom w:val="nil"/>
            </w:tcBorders>
          </w:tcPr>
          <w:p w:rsidR="00000000" w:rsidRDefault="00000000">
            <w:pPr>
              <w:tabs>
                <w:tab w:val="left" w:pos="680"/>
              </w:tabs>
              <w:spacing w:before="20" w:after="20"/>
              <w:jc w:val="center"/>
              <w:rPr>
                <w:sz w:val="20"/>
              </w:rPr>
            </w:pPr>
            <w:r>
              <w:rPr>
                <w:sz w:val="20"/>
              </w:rPr>
              <w:t>61,3</w:t>
            </w:r>
          </w:p>
        </w:tc>
        <w:tc>
          <w:tcPr>
            <w:tcW w:w="675" w:type="dxa"/>
            <w:tcBorders>
              <w:top w:val="nil"/>
              <w:bottom w:val="nil"/>
            </w:tcBorders>
          </w:tcPr>
          <w:p w:rsidR="00000000" w:rsidRDefault="00000000">
            <w:pPr>
              <w:tabs>
                <w:tab w:val="left" w:pos="680"/>
              </w:tabs>
              <w:spacing w:before="20" w:after="20"/>
              <w:jc w:val="center"/>
              <w:rPr>
                <w:sz w:val="20"/>
              </w:rPr>
            </w:pPr>
            <w:r>
              <w:rPr>
                <w:sz w:val="20"/>
              </w:rPr>
              <w:t>61,2</w:t>
            </w:r>
          </w:p>
        </w:tc>
        <w:tc>
          <w:tcPr>
            <w:tcW w:w="1127" w:type="dxa"/>
            <w:tcBorders>
              <w:top w:val="nil"/>
              <w:bottom w:val="nil"/>
            </w:tcBorders>
          </w:tcPr>
          <w:p w:rsidR="00000000" w:rsidRDefault="00000000">
            <w:pPr>
              <w:tabs>
                <w:tab w:val="left" w:pos="680"/>
              </w:tabs>
              <w:spacing w:before="20" w:after="20"/>
              <w:jc w:val="center"/>
              <w:rPr>
                <w:sz w:val="20"/>
              </w:rPr>
            </w:pPr>
            <w:r>
              <w:rPr>
                <w:sz w:val="20"/>
              </w:rPr>
              <w:t>–0,2</w:t>
            </w:r>
          </w:p>
        </w:tc>
      </w:tr>
      <w:tr w:rsidR="00000000">
        <w:tblPrEx>
          <w:tblCellMar>
            <w:top w:w="0" w:type="dxa"/>
            <w:bottom w:w="0" w:type="dxa"/>
          </w:tblCellMar>
        </w:tblPrEx>
        <w:trPr>
          <w:jc w:val="center"/>
        </w:trPr>
        <w:tc>
          <w:tcPr>
            <w:tcW w:w="1696" w:type="dxa"/>
            <w:tcBorders>
              <w:top w:val="nil"/>
            </w:tcBorders>
          </w:tcPr>
          <w:p w:rsidR="00000000" w:rsidRDefault="00000000">
            <w:pPr>
              <w:tabs>
                <w:tab w:val="left" w:pos="680"/>
              </w:tabs>
              <w:spacing w:before="20" w:after="20"/>
              <w:rPr>
                <w:sz w:val="20"/>
              </w:rPr>
            </w:pPr>
            <w:r>
              <w:rPr>
                <w:sz w:val="20"/>
              </w:rPr>
              <w:t>Уэтар Северн.</w:t>
            </w:r>
          </w:p>
        </w:tc>
        <w:tc>
          <w:tcPr>
            <w:tcW w:w="842" w:type="dxa"/>
            <w:tcBorders>
              <w:top w:val="nil"/>
            </w:tcBorders>
          </w:tcPr>
          <w:p w:rsidR="00000000" w:rsidRDefault="00000000">
            <w:pPr>
              <w:tabs>
                <w:tab w:val="left" w:pos="680"/>
              </w:tabs>
              <w:spacing w:before="20" w:after="20"/>
              <w:jc w:val="center"/>
              <w:rPr>
                <w:sz w:val="20"/>
              </w:rPr>
            </w:pPr>
            <w:r>
              <w:rPr>
                <w:sz w:val="20"/>
              </w:rPr>
              <w:t>4,6</w:t>
            </w:r>
          </w:p>
        </w:tc>
        <w:tc>
          <w:tcPr>
            <w:tcW w:w="563" w:type="dxa"/>
            <w:tcBorders>
              <w:top w:val="nil"/>
            </w:tcBorders>
          </w:tcPr>
          <w:p w:rsidR="00000000" w:rsidRDefault="00000000">
            <w:pPr>
              <w:tabs>
                <w:tab w:val="left" w:pos="680"/>
              </w:tabs>
              <w:spacing w:before="20" w:after="20"/>
              <w:jc w:val="center"/>
              <w:rPr>
                <w:sz w:val="20"/>
              </w:rPr>
            </w:pPr>
            <w:r>
              <w:rPr>
                <w:sz w:val="20"/>
              </w:rPr>
              <w:t>8,2</w:t>
            </w:r>
          </w:p>
        </w:tc>
        <w:tc>
          <w:tcPr>
            <w:tcW w:w="1410" w:type="dxa"/>
            <w:tcBorders>
              <w:top w:val="nil"/>
            </w:tcBorders>
          </w:tcPr>
          <w:p w:rsidR="00000000" w:rsidRDefault="00000000">
            <w:pPr>
              <w:tabs>
                <w:tab w:val="left" w:pos="680"/>
              </w:tabs>
              <w:spacing w:before="20" w:after="20"/>
              <w:jc w:val="center"/>
              <w:rPr>
                <w:sz w:val="20"/>
              </w:rPr>
            </w:pPr>
            <w:r>
              <w:rPr>
                <w:sz w:val="20"/>
              </w:rPr>
              <w:t>11,7</w:t>
            </w:r>
          </w:p>
        </w:tc>
        <w:tc>
          <w:tcPr>
            <w:tcW w:w="1412" w:type="dxa"/>
            <w:tcBorders>
              <w:top w:val="nil"/>
            </w:tcBorders>
          </w:tcPr>
          <w:p w:rsidR="00000000" w:rsidRDefault="00000000">
            <w:pPr>
              <w:tabs>
                <w:tab w:val="left" w:pos="680"/>
              </w:tabs>
              <w:spacing w:before="20" w:after="20"/>
              <w:jc w:val="center"/>
              <w:rPr>
                <w:sz w:val="20"/>
              </w:rPr>
            </w:pPr>
            <w:r>
              <w:rPr>
                <w:sz w:val="20"/>
              </w:rPr>
              <w:t>6,9</w:t>
            </w:r>
          </w:p>
        </w:tc>
        <w:tc>
          <w:tcPr>
            <w:tcW w:w="1179" w:type="dxa"/>
            <w:tcBorders>
              <w:top w:val="nil"/>
            </w:tcBorders>
          </w:tcPr>
          <w:p w:rsidR="00000000" w:rsidRDefault="00000000">
            <w:pPr>
              <w:tabs>
                <w:tab w:val="left" w:pos="680"/>
              </w:tabs>
              <w:spacing w:before="20" w:after="20"/>
              <w:jc w:val="center"/>
              <w:rPr>
                <w:sz w:val="20"/>
              </w:rPr>
            </w:pPr>
            <w:r>
              <w:rPr>
                <w:sz w:val="20"/>
              </w:rPr>
              <w:t>70,7</w:t>
            </w:r>
          </w:p>
        </w:tc>
        <w:tc>
          <w:tcPr>
            <w:tcW w:w="675" w:type="dxa"/>
            <w:tcBorders>
              <w:top w:val="nil"/>
            </w:tcBorders>
          </w:tcPr>
          <w:p w:rsidR="00000000" w:rsidRDefault="00000000">
            <w:pPr>
              <w:tabs>
                <w:tab w:val="left" w:pos="680"/>
              </w:tabs>
              <w:spacing w:before="20" w:after="20"/>
              <w:jc w:val="center"/>
              <w:rPr>
                <w:sz w:val="20"/>
              </w:rPr>
            </w:pPr>
            <w:r>
              <w:rPr>
                <w:sz w:val="20"/>
              </w:rPr>
              <w:t>60,8</w:t>
            </w:r>
          </w:p>
        </w:tc>
        <w:tc>
          <w:tcPr>
            <w:tcW w:w="1127" w:type="dxa"/>
            <w:tcBorders>
              <w:top w:val="nil"/>
            </w:tcBorders>
          </w:tcPr>
          <w:p w:rsidR="00000000" w:rsidRDefault="00000000">
            <w:pPr>
              <w:tabs>
                <w:tab w:val="left" w:pos="680"/>
              </w:tabs>
              <w:spacing w:before="20" w:after="20"/>
              <w:jc w:val="center"/>
              <w:rPr>
                <w:sz w:val="20"/>
              </w:rPr>
            </w:pPr>
            <w:r>
              <w:rPr>
                <w:sz w:val="20"/>
              </w:rPr>
              <w:t>–9,9</w:t>
            </w:r>
          </w:p>
        </w:tc>
      </w:tr>
    </w:tbl>
    <w:p w:rsidR="00000000" w:rsidRDefault="00000000">
      <w:pPr>
        <w:tabs>
          <w:tab w:val="left" w:pos="680"/>
        </w:tabs>
        <w:spacing w:before="240" w:line="260" w:lineRule="exact"/>
        <w:jc w:val="both"/>
        <w:rPr>
          <w:sz w:val="20"/>
        </w:rPr>
      </w:pPr>
      <w:r>
        <w:rPr>
          <w:b/>
          <w:sz w:val="20"/>
        </w:rPr>
        <w:t>Источники:</w:t>
      </w:r>
      <w:r>
        <w:rPr>
          <w:sz w:val="20"/>
        </w:rPr>
        <w:t xml:space="preserve"> </w:t>
      </w:r>
      <w:r>
        <w:rPr>
          <w:sz w:val="20"/>
          <w:lang w:val="en-US"/>
        </w:rPr>
        <w:t>Trejos</w:t>
      </w:r>
      <w:r>
        <w:rPr>
          <w:sz w:val="20"/>
        </w:rPr>
        <w:t xml:space="preserve"> (2000); Многоцелевой опрос семей, проведенный Национальным институтом статистики и переписей, 2000 год.</w:t>
      </w:r>
    </w:p>
    <w:p w:rsidR="00000000" w:rsidRDefault="00000000">
      <w:pPr>
        <w:tabs>
          <w:tab w:val="left" w:pos="680"/>
        </w:tabs>
        <w:spacing w:line="260" w:lineRule="exact"/>
        <w:jc w:val="both"/>
        <w:rPr>
          <w:b/>
          <w:sz w:val="22"/>
        </w:rPr>
      </w:pPr>
    </w:p>
    <w:p w:rsidR="00000000" w:rsidRDefault="00000000">
      <w:pPr>
        <w:tabs>
          <w:tab w:val="left" w:pos="680"/>
        </w:tabs>
        <w:spacing w:before="240" w:line="260" w:lineRule="exact"/>
        <w:rPr>
          <w:b/>
          <w:sz w:val="22"/>
        </w:rPr>
      </w:pPr>
      <w:r>
        <w:rPr>
          <w:b/>
          <w:sz w:val="22"/>
        </w:rPr>
        <w:t>Помощь, предоставляемая живущим в бедности женщинам</w:t>
      </w:r>
    </w:p>
    <w:p w:rsidR="00000000" w:rsidRDefault="00000000">
      <w:pPr>
        <w:pStyle w:val="BodyTextIndent2"/>
        <w:tabs>
          <w:tab w:val="left" w:pos="680"/>
        </w:tabs>
        <w:spacing w:before="240" w:line="260" w:lineRule="exact"/>
        <w:ind w:firstLine="0"/>
        <w:jc w:val="both"/>
        <w:rPr>
          <w:sz w:val="22"/>
        </w:rPr>
      </w:pPr>
      <w:r>
        <w:rPr>
          <w:sz w:val="22"/>
        </w:rPr>
        <w:t>401.</w:t>
      </w:r>
      <w:r>
        <w:rPr>
          <w:sz w:val="22"/>
        </w:rPr>
        <w:tab/>
        <w:t>В стране проводится политика помощи бедным женщинам, которая, по мнению отдельных наблюдателей (Центральноамериканская инициатива по наблюдению за выполнением решений Пекинской конференции, 1999 год, глава, посвященная Коста-Рике), ориентирована на критерии социальных выплат и затрат в ущерб социальным инвестициям, а также создание благоприятных социально-экономических условий для интеграции женщин в общество. Прямая помощь, субсидии на жилье, предоставление мини-кредитов для организации собственного бизнеса, традиционное повышение квалификации, малое количество технических нововведений, отсутствие вертикальной и горизонтальной интеграции в экономике в качестве движущей силы, стимулирующей быстрое и эффективное развитие рынка, принимаются во внимание при формулировании политики, имеющей своей целью усилить возможности рынка для бедных женщин как стратегии борьбы с бедностью.</w:t>
      </w:r>
    </w:p>
    <w:p w:rsidR="00000000" w:rsidRDefault="00000000">
      <w:pPr>
        <w:pStyle w:val="BodyTextIndent2"/>
        <w:tabs>
          <w:tab w:val="left" w:pos="680"/>
        </w:tabs>
        <w:spacing w:before="240" w:line="260" w:lineRule="exact"/>
        <w:ind w:firstLine="0"/>
        <w:jc w:val="both"/>
        <w:rPr>
          <w:sz w:val="22"/>
        </w:rPr>
      </w:pPr>
      <w:r>
        <w:rPr>
          <w:sz w:val="22"/>
        </w:rPr>
        <w:t xml:space="preserve">402. </w:t>
      </w:r>
      <w:r>
        <w:rPr>
          <w:sz w:val="22"/>
        </w:rPr>
        <w:tab/>
        <w:t>Признаются имеющиеся достижения со стороны государственных учреждений по вопросам оказания помощи женщинам в связи с введением программы по их защите (программы оказания помощи малоимущим женщинам), а также стимулирование личной ответственности в качестве ключа к активизации самостоятельной деятельности женщин. Однако в том случае, если реализуемый процесс не сопровождается согласованными межведомственными действиями, придающими материальную и экономическую устойчивость данной деятельности, все действия в этом направлении окажутся безусловно недостаточными (Центральноамериканская инициатива по наблюдению за выполнением решений Пекинской конференции, 1999 год, глава, посвященная Коста-Рике).</w:t>
      </w:r>
    </w:p>
    <w:p w:rsidR="00000000" w:rsidRDefault="00000000">
      <w:pPr>
        <w:pStyle w:val="BodyTextIndent2"/>
        <w:tabs>
          <w:tab w:val="left" w:pos="680"/>
        </w:tabs>
        <w:spacing w:before="240" w:line="260" w:lineRule="exact"/>
        <w:ind w:firstLine="0"/>
        <w:jc w:val="both"/>
        <w:rPr>
          <w:sz w:val="22"/>
        </w:rPr>
      </w:pPr>
      <w:r>
        <w:rPr>
          <w:sz w:val="22"/>
        </w:rPr>
        <w:t xml:space="preserve">403. </w:t>
      </w:r>
      <w:r>
        <w:rPr>
          <w:sz w:val="22"/>
        </w:rPr>
        <w:tab/>
        <w:t>Под руководством ИНАМУ, в частности Отдела активного гражданства, лидерства и местного управления,</w:t>
      </w:r>
      <w:r>
        <w:rPr>
          <w:color w:val="008000"/>
          <w:sz w:val="22"/>
        </w:rPr>
        <w:t xml:space="preserve"> </w:t>
      </w:r>
      <w:r>
        <w:rPr>
          <w:sz w:val="22"/>
        </w:rPr>
        <w:t>была проведена работа, направленная на дальнейшее восстановление авторитета женщин как в личностном плане, так и в плане коллективном. Предполагается, что при реаизации своих гражданских прав женщины будут владеть, контролировать и иметь доступ к экономическим, социальным, культурным и политическим ресурсам на региональном, локальном и муниципальном уровнях в условиях равноправия и равных возможностей с мужчинами (</w:t>
      </w:r>
      <w:r>
        <w:rPr>
          <w:sz w:val="22"/>
          <w:lang w:val="en-US"/>
        </w:rPr>
        <w:t>Pedra</w:t>
      </w:r>
      <w:r>
        <w:rPr>
          <w:sz w:val="22"/>
        </w:rPr>
        <w:t>, 2001).</w:t>
      </w:r>
    </w:p>
    <w:p w:rsidR="00000000" w:rsidRDefault="00000000">
      <w:pPr>
        <w:tabs>
          <w:tab w:val="left" w:pos="680"/>
        </w:tabs>
        <w:spacing w:before="240" w:line="260" w:lineRule="exact"/>
        <w:jc w:val="both"/>
        <w:rPr>
          <w:sz w:val="22"/>
        </w:rPr>
      </w:pPr>
      <w:r>
        <w:rPr>
          <w:sz w:val="22"/>
        </w:rPr>
        <w:t xml:space="preserve">404. </w:t>
      </w:r>
      <w:r>
        <w:rPr>
          <w:sz w:val="22"/>
        </w:rPr>
        <w:tab/>
        <w:t>В основе работы по внедрению и укреплению лидерства и гражданского участия женщин для более полного осуществления использования своих прав человека лежит Программа "Растем вместе". Эта программа является одним из национальных документов, который лег в основу Закона об оказании помощи женщинам, живущим в бедности. В ней приняли участие 4500 женщин в 1999 году и около 4 тыс. женщин в 2000 и 2001 годах (</w:t>
      </w:r>
      <w:r>
        <w:rPr>
          <w:sz w:val="22"/>
          <w:lang w:val="en-US"/>
        </w:rPr>
        <w:t>Pedra</w:t>
      </w:r>
      <w:r>
        <w:rPr>
          <w:sz w:val="22"/>
        </w:rPr>
        <w:t>, 2001). Программа состоит из нескольких частей:</w:t>
      </w:r>
    </w:p>
    <w:p w:rsidR="00000000" w:rsidRDefault="00000000">
      <w:pPr>
        <w:numPr>
          <w:ilvl w:val="0"/>
          <w:numId w:val="46"/>
        </w:numPr>
        <w:tabs>
          <w:tab w:val="left" w:pos="340"/>
          <w:tab w:val="left" w:pos="680"/>
        </w:tabs>
        <w:spacing w:before="240" w:line="260" w:lineRule="exact"/>
        <w:ind w:left="340" w:hanging="340"/>
        <w:jc w:val="both"/>
        <w:rPr>
          <w:sz w:val="22"/>
        </w:rPr>
      </w:pPr>
      <w:r>
        <w:rPr>
          <w:sz w:val="22"/>
        </w:rPr>
        <w:t>Усиление личностной и коллективной роли женщин путем осуществления образовательных программ для малоимущих женщин в помощь выработки и осознания ими как на чувственном, так и на интеллектуальном уровне личностных и коллективных изменений, ориентированных на принятие решений в различных сферах жизни с дальнейшим выходом из бедности.</w:t>
      </w:r>
    </w:p>
    <w:p w:rsidR="00000000" w:rsidRDefault="00000000">
      <w:pPr>
        <w:numPr>
          <w:ilvl w:val="0"/>
          <w:numId w:val="46"/>
        </w:numPr>
        <w:tabs>
          <w:tab w:val="left" w:pos="340"/>
          <w:tab w:val="left" w:pos="680"/>
        </w:tabs>
        <w:spacing w:before="240" w:line="260" w:lineRule="exact"/>
        <w:ind w:left="340" w:hanging="340"/>
        <w:jc w:val="both"/>
        <w:rPr>
          <w:sz w:val="22"/>
        </w:rPr>
      </w:pPr>
      <w:r>
        <w:rPr>
          <w:sz w:val="22"/>
        </w:rPr>
        <w:t>Профессионально-техническая подготовка под эгидой ИНА, целью которой являются развитие обучения на базе высоких технологий и достижение конкретной цели в жизни с учетом интересов, потребностей и способностей женщин.</w:t>
      </w:r>
    </w:p>
    <w:p w:rsidR="00000000" w:rsidRDefault="00000000">
      <w:pPr>
        <w:numPr>
          <w:ilvl w:val="0"/>
          <w:numId w:val="46"/>
        </w:numPr>
        <w:tabs>
          <w:tab w:val="left" w:pos="340"/>
          <w:tab w:val="left" w:pos="680"/>
        </w:tabs>
        <w:spacing w:before="240" w:line="260" w:lineRule="exact"/>
        <w:ind w:left="340" w:hanging="340"/>
        <w:jc w:val="both"/>
        <w:rPr>
          <w:sz w:val="22"/>
        </w:rPr>
      </w:pPr>
      <w:r>
        <w:rPr>
          <w:sz w:val="22"/>
        </w:rPr>
        <w:t>Участие в деятельности под эгидой МТСС, направленной на поддержку инициатив женщин и создание самостоятельно действующих, индивидуальных и коллективных производственных единиц; поддержка уже существующих мелких предприятий.</w:t>
      </w:r>
    </w:p>
    <w:p w:rsidR="00000000" w:rsidRDefault="00000000">
      <w:pPr>
        <w:numPr>
          <w:ilvl w:val="0"/>
          <w:numId w:val="46"/>
        </w:numPr>
        <w:tabs>
          <w:tab w:val="left" w:pos="340"/>
          <w:tab w:val="left" w:pos="680"/>
        </w:tabs>
        <w:spacing w:before="240" w:line="260" w:lineRule="exact"/>
        <w:ind w:left="340" w:hanging="340"/>
        <w:jc w:val="both"/>
        <w:rPr>
          <w:spacing w:val="-4"/>
          <w:sz w:val="22"/>
        </w:rPr>
      </w:pPr>
      <w:r>
        <w:rPr>
          <w:spacing w:val="-4"/>
          <w:sz w:val="22"/>
        </w:rPr>
        <w:t>Экономическое стимулирование под эгидой Объединенного института социальной помощи (ИМАС), предусматривающее выплату женщинам в качестве поощрения денежного пособия с целью предоставления им возможности увидеть новые горизонты на их жизненном пути. Одновременно это является поддержкой в условиях бедности или нищеты. ИМАС выплачивает денежное пособие (в размере 15 000 колонов в месяц, что составляет 45 долл. США) в течение шести месяцев для оплаты проезда, питания в общественных столовых и ухода за детьми. Помимо этого выплачивается дополнительное единовременное пособие (18 000 колонов, что составляет 46 долл. США) для оплаты необходимых учебных пособий.</w:t>
      </w:r>
    </w:p>
    <w:p w:rsidR="00000000" w:rsidRDefault="00000000">
      <w:pPr>
        <w:numPr>
          <w:ilvl w:val="0"/>
          <w:numId w:val="46"/>
        </w:numPr>
        <w:tabs>
          <w:tab w:val="left" w:pos="340"/>
          <w:tab w:val="left" w:pos="680"/>
        </w:tabs>
        <w:spacing w:before="240" w:line="260" w:lineRule="exact"/>
        <w:ind w:left="340" w:hanging="340"/>
        <w:jc w:val="both"/>
        <w:rPr>
          <w:sz w:val="22"/>
        </w:rPr>
      </w:pPr>
      <w:r>
        <w:rPr>
          <w:sz w:val="22"/>
        </w:rPr>
        <w:t>Доступ к жилью под эгидой Министерства жилищного хозяйства и поселений (МИВАН). В соответствии с этой программой предполагается составлять для МИВАН каждые шесть месяцев списки женщин, живущих в бедности, для внеочередного учета при выдачи пособия на жилье в соответствии с существующим законодательством.</w:t>
      </w:r>
    </w:p>
    <w:p w:rsidR="00000000" w:rsidRDefault="00000000">
      <w:pPr>
        <w:tabs>
          <w:tab w:val="left" w:pos="680"/>
        </w:tabs>
        <w:spacing w:line="260" w:lineRule="exact"/>
        <w:jc w:val="both"/>
        <w:rPr>
          <w:sz w:val="22"/>
        </w:rPr>
      </w:pPr>
    </w:p>
    <w:p w:rsidR="00000000" w:rsidRDefault="00000000">
      <w:pPr>
        <w:tabs>
          <w:tab w:val="left" w:pos="680"/>
        </w:tabs>
        <w:spacing w:before="240" w:line="260" w:lineRule="exact"/>
        <w:rPr>
          <w:b/>
          <w:sz w:val="22"/>
        </w:rPr>
      </w:pPr>
      <w:r>
        <w:rPr>
          <w:b/>
          <w:sz w:val="22"/>
        </w:rPr>
        <w:t>Национальная политика в отношении женщин в области труда и занятости</w:t>
      </w:r>
    </w:p>
    <w:p w:rsidR="00000000" w:rsidRDefault="00000000">
      <w:pPr>
        <w:numPr>
          <w:ilvl w:val="0"/>
          <w:numId w:val="51"/>
        </w:numPr>
        <w:tabs>
          <w:tab w:val="left" w:pos="680"/>
        </w:tabs>
        <w:spacing w:before="240" w:line="260" w:lineRule="exact"/>
        <w:jc w:val="both"/>
        <w:rPr>
          <w:sz w:val="22"/>
        </w:rPr>
      </w:pPr>
      <w:r>
        <w:rPr>
          <w:sz w:val="22"/>
        </w:rPr>
        <w:t>Начиная с марта 1999 года совместно с Министерством труда и социального обеспечения Национальный институт по делам женщин (ИНАМУ) стал проводить практические консультации для женщин всех регионов страны в рамках осуществления Национальной политики в отношении женщин в области труда и занятости. Расширение концептуального подхода к проведению консультаций позволило включить возрастающий масштаб работы в формулирование политики как части стратегии, направленной на достижение необходимого общественного признания труда женщин (ИНАМУ, 2000 год). Помимо координационных усилий со стороны межведомственных организаций эти практические консультации стали первым опытом учета и систематизации точки зрения женщин, обеспечивая влияние участниц консультаций на выработку государственной политики. Большим шагом вперед в этой области стало достигнутое соглашение о Национальной политике в отношении женщин в области труда и занятости, которая зиждется на пяти основных положениях (ИНАМУ, 2000 год):</w:t>
      </w:r>
    </w:p>
    <w:p w:rsidR="00000000" w:rsidRDefault="00000000">
      <w:pPr>
        <w:numPr>
          <w:ilvl w:val="0"/>
          <w:numId w:val="46"/>
        </w:numPr>
        <w:tabs>
          <w:tab w:val="left" w:pos="340"/>
          <w:tab w:val="left" w:pos="680"/>
        </w:tabs>
        <w:spacing w:before="220" w:line="260" w:lineRule="exact"/>
        <w:ind w:left="340" w:hanging="340"/>
        <w:jc w:val="both"/>
        <w:rPr>
          <w:b/>
          <w:sz w:val="22"/>
        </w:rPr>
      </w:pPr>
      <w:r>
        <w:rPr>
          <w:sz w:val="22"/>
        </w:rPr>
        <w:t>Активизация участия женщин</w:t>
      </w:r>
      <w:r>
        <w:rPr>
          <w:b/>
          <w:sz w:val="22"/>
        </w:rPr>
        <w:t xml:space="preserve"> </w:t>
      </w:r>
      <w:r>
        <w:rPr>
          <w:sz w:val="22"/>
        </w:rPr>
        <w:t>в развивающихся секторах национальной экономики.</w:t>
      </w:r>
    </w:p>
    <w:p w:rsidR="00000000" w:rsidRDefault="00000000">
      <w:pPr>
        <w:numPr>
          <w:ilvl w:val="0"/>
          <w:numId w:val="46"/>
        </w:numPr>
        <w:tabs>
          <w:tab w:val="left" w:pos="340"/>
          <w:tab w:val="left" w:pos="680"/>
        </w:tabs>
        <w:spacing w:before="220" w:line="260" w:lineRule="exact"/>
        <w:ind w:left="340" w:hanging="340"/>
        <w:jc w:val="both"/>
        <w:rPr>
          <w:b/>
          <w:sz w:val="22"/>
        </w:rPr>
      </w:pPr>
      <w:r>
        <w:rPr>
          <w:sz w:val="22"/>
        </w:rPr>
        <w:t>Учет экономической деятельности женщин.</w:t>
      </w:r>
    </w:p>
    <w:p w:rsidR="00000000" w:rsidRDefault="00000000">
      <w:pPr>
        <w:numPr>
          <w:ilvl w:val="0"/>
          <w:numId w:val="46"/>
        </w:numPr>
        <w:tabs>
          <w:tab w:val="left" w:pos="340"/>
          <w:tab w:val="left" w:pos="680"/>
        </w:tabs>
        <w:spacing w:before="220" w:line="260" w:lineRule="exact"/>
        <w:ind w:left="340" w:hanging="340"/>
        <w:jc w:val="both"/>
        <w:rPr>
          <w:b/>
          <w:sz w:val="22"/>
        </w:rPr>
      </w:pPr>
      <w:r>
        <w:rPr>
          <w:sz w:val="22"/>
        </w:rPr>
        <w:t>Увеличение покрытия социального обеспечения для женщин.</w:t>
      </w:r>
    </w:p>
    <w:p w:rsidR="00000000" w:rsidRDefault="00000000">
      <w:pPr>
        <w:numPr>
          <w:ilvl w:val="0"/>
          <w:numId w:val="46"/>
        </w:numPr>
        <w:tabs>
          <w:tab w:val="left" w:pos="340"/>
          <w:tab w:val="left" w:pos="680"/>
        </w:tabs>
        <w:spacing w:before="220" w:line="260" w:lineRule="exact"/>
        <w:ind w:left="340" w:hanging="340"/>
        <w:jc w:val="both"/>
        <w:rPr>
          <w:b/>
          <w:sz w:val="22"/>
        </w:rPr>
      </w:pPr>
      <w:r>
        <w:rPr>
          <w:sz w:val="22"/>
        </w:rPr>
        <w:t>Укрепление трудовой организации женщин.</w:t>
      </w:r>
    </w:p>
    <w:p w:rsidR="00000000" w:rsidRDefault="00000000">
      <w:pPr>
        <w:numPr>
          <w:ilvl w:val="0"/>
          <w:numId w:val="46"/>
        </w:numPr>
        <w:tabs>
          <w:tab w:val="left" w:pos="340"/>
          <w:tab w:val="left" w:pos="680"/>
        </w:tabs>
        <w:spacing w:before="220" w:line="260" w:lineRule="exact"/>
        <w:ind w:left="340" w:hanging="340"/>
        <w:jc w:val="both"/>
        <w:rPr>
          <w:b/>
          <w:sz w:val="22"/>
        </w:rPr>
      </w:pPr>
      <w:r>
        <w:rPr>
          <w:sz w:val="22"/>
        </w:rPr>
        <w:t>Развитие государственного сектора как источник гендерного равенства в сфере труда.</w:t>
      </w:r>
    </w:p>
    <w:p w:rsidR="00000000" w:rsidRDefault="00000000">
      <w:pPr>
        <w:numPr>
          <w:ilvl w:val="0"/>
          <w:numId w:val="52"/>
        </w:numPr>
        <w:tabs>
          <w:tab w:val="left" w:pos="680"/>
        </w:tabs>
        <w:spacing w:before="240" w:line="260" w:lineRule="exact"/>
        <w:jc w:val="both"/>
        <w:rPr>
          <w:sz w:val="22"/>
        </w:rPr>
      </w:pPr>
      <w:r>
        <w:rPr>
          <w:sz w:val="22"/>
        </w:rPr>
        <w:t>В рамках Договора между ИНАМУ, с одной стороны, и Министерством труда и социального обеспечения (</w:t>
      </w:r>
      <w:r>
        <w:rPr>
          <w:sz w:val="22"/>
          <w:lang w:val="en-US"/>
        </w:rPr>
        <w:t>MT</w:t>
      </w:r>
      <w:r>
        <w:rPr>
          <w:sz w:val="22"/>
        </w:rPr>
        <w:t>СС), с другой стороны, в декабре 2000 года был одобрен План действий по достижению равноправия и гендерного равенства (2000–2002 годы), а также на основании исполнительного декрета в Министерстве было создано подразделение по проблемам гендерного равенства. В настоящее время уже выработаны пять направлений его деятельности:</w:t>
      </w:r>
    </w:p>
    <w:p w:rsidR="00000000" w:rsidRDefault="00000000">
      <w:pPr>
        <w:numPr>
          <w:ilvl w:val="0"/>
          <w:numId w:val="46"/>
        </w:numPr>
        <w:tabs>
          <w:tab w:val="left" w:pos="340"/>
          <w:tab w:val="left" w:pos="680"/>
        </w:tabs>
        <w:spacing w:before="200" w:line="260" w:lineRule="exact"/>
        <w:ind w:left="340" w:hanging="340"/>
        <w:jc w:val="both"/>
        <w:rPr>
          <w:spacing w:val="-4"/>
          <w:sz w:val="22"/>
        </w:rPr>
      </w:pPr>
      <w:r>
        <w:rPr>
          <w:spacing w:val="-4"/>
          <w:sz w:val="22"/>
        </w:rPr>
        <w:t>Подготовка персонала, отвечающего за соблюдение трудовых прав женщин. Начиная с сентября 2000 года Министерством труда и социального обеспечения при технической поддержке ИНАМУ, Международной организации труда, а также при финансировании Департамента труда Соединенных Штатов было положено начало развитию мероприятий, направленных на выполнение стратегической линии по контролю за соблюдением трудовых прав женщин. В рамках этого начинания в ноябре 2000 года были подготовлены 84 женщины из руководящего состава, которые в настоящее время занимаются разъяснением трудовых прав женщин в четырех основных сферах: беременность и вскармливание ребенка, сексуальные домогательства, трудовая дискриминация (касающаяся допуска к работе и продвижения по службе), а также защита здоровья на работе. Подготовку прошли в том числе 15 инспекторов Министерства, курирующих трудовые вопросы. Во время поведения практических занятий по трудовым правам женщин руководящими работницами, прошедшими обучение, в 2001 году были подготовлены, в свою очередь, около 1500 работниц в различных провинциях страны; занятия сопровождались активным участием технического персонала Министерства труда и социального обеспечения, а также Муниципальных бюро по делам женщин (ОФИМ). В ноябре 2001 года были организованы трехдневные практические занятия для проведения оценки данного процесса. Занятия посетили 32 руководящие работницы, которые предварительно участвовали в занятиях по трудовому праву, и 25 новых работниц. Всего участвовали со всей страны 57 руководящих работниц, которые разработали 8 региональных планов, касающихся реализации трудовых прав женщин в течение 2002 года.</w:t>
      </w:r>
    </w:p>
    <w:p w:rsidR="00000000" w:rsidRDefault="00000000">
      <w:pPr>
        <w:numPr>
          <w:ilvl w:val="0"/>
          <w:numId w:val="46"/>
        </w:numPr>
        <w:tabs>
          <w:tab w:val="left" w:pos="340"/>
          <w:tab w:val="left" w:pos="680"/>
        </w:tabs>
        <w:spacing w:before="240" w:line="260" w:lineRule="exact"/>
        <w:ind w:left="340" w:hanging="340"/>
        <w:jc w:val="both"/>
        <w:rPr>
          <w:sz w:val="22"/>
        </w:rPr>
      </w:pPr>
      <w:r>
        <w:rPr>
          <w:sz w:val="22"/>
        </w:rPr>
        <w:t>Кампания по соблюдению прав женщин в области труда. С марта по октябрь 2001 года в средствах массовой информации была развернута разъяснительная кампания по вопросам трудовых прав женщин. Кампания была проведена при финансовой поддержке Департамента труда Соединенных Штатов, дополнила работу средств массовой информации в области прав человека и позволила создать у населения уважительное отношение к соблюдению прав женщин в области труда. Во время кампании передавались четыре объявления по радио и четыре объявления по телевидению.</w:t>
      </w:r>
    </w:p>
    <w:p w:rsidR="00000000" w:rsidRDefault="00000000">
      <w:pPr>
        <w:numPr>
          <w:ilvl w:val="0"/>
          <w:numId w:val="46"/>
        </w:numPr>
        <w:tabs>
          <w:tab w:val="left" w:pos="340"/>
          <w:tab w:val="left" w:pos="680"/>
        </w:tabs>
        <w:spacing w:before="240" w:line="260" w:lineRule="exact"/>
        <w:ind w:left="340" w:hanging="340"/>
        <w:jc w:val="both"/>
        <w:rPr>
          <w:spacing w:val="-2"/>
          <w:sz w:val="22"/>
        </w:rPr>
      </w:pPr>
      <w:r>
        <w:rPr>
          <w:spacing w:val="-2"/>
          <w:sz w:val="22"/>
        </w:rPr>
        <w:t>Телефонная горячая линия "800-трудовые споры". По тому же адресу в марте 2001 года была открыта телефонная горячая линия "800 – трудовые споры" в качестве канала по приему жалоб от работниц, страдающих от нарушения их трудовых прав, для того чтобы они могли направлять жалобы и обращаться за консультативной помощью по вопросам трудовых прав в Министерство труда и социального обеспечения. Данная линия установлена в Управлении трудовых отношений Министерства труда и социального обеспечения, и ее обслуживанием занимается подготовленный персонал. Эта служба совместно с рекламной кампанией призвана вдохновить женщин на то, чтобы при реализации своих гражданских прав они могли прибегнуть к возможностям, предоставляемым им государством для обеспечения их равноправия. Среди таких возможностей – обращение в Министерство труда, в Трудовые трибуналы, в Коллегию адвокатов по защите прав граждан и в Конституционную палату. Идея проведения этой кампании по трудовому праву женщин такова: не отказывайтесь от своих прав, а подавайте жалобы.</w:t>
      </w:r>
    </w:p>
    <w:p w:rsidR="00000000" w:rsidRDefault="00000000">
      <w:pPr>
        <w:numPr>
          <w:ilvl w:val="0"/>
          <w:numId w:val="46"/>
        </w:numPr>
        <w:tabs>
          <w:tab w:val="left" w:pos="340"/>
          <w:tab w:val="left" w:pos="680"/>
        </w:tabs>
        <w:spacing w:before="240" w:line="260" w:lineRule="exact"/>
        <w:ind w:left="340" w:hanging="340"/>
        <w:jc w:val="both"/>
        <w:rPr>
          <w:sz w:val="22"/>
        </w:rPr>
      </w:pPr>
      <w:r>
        <w:rPr>
          <w:sz w:val="22"/>
        </w:rPr>
        <w:t xml:space="preserve">Подготовка служащих Министерства труда, как мужчин, так и женщин. Сначала проводился обмен опытом инспекторов по трудовым вопросам и ответственных работниц муниципальных служб с целью установления взаимосвязи, а также анализа ситуации в области трудовых вопросов женщин. Позже, в декабре, были проведены два практических занятия по три дня каждое на тему "Трудовые права и пол", в которых участвовали 45 человек. В этих мероприятиях приняли участие </w:t>
      </w:r>
      <w:r>
        <w:rPr>
          <w:sz w:val="22"/>
          <w:lang w:val="en-US"/>
        </w:rPr>
        <w:t>MT</w:t>
      </w:r>
      <w:r>
        <w:rPr>
          <w:sz w:val="22"/>
        </w:rPr>
        <w:t>СС, ИНАМУ, МОТ, а в двух последних – Латиноамериканский институт Организации Объединенных Наций по предупреждению преступности и обращению с правонарушителями.</w:t>
      </w:r>
    </w:p>
    <w:p w:rsidR="00000000" w:rsidRDefault="00000000">
      <w:pPr>
        <w:numPr>
          <w:ilvl w:val="0"/>
          <w:numId w:val="46"/>
        </w:numPr>
        <w:tabs>
          <w:tab w:val="left" w:pos="340"/>
          <w:tab w:val="left" w:pos="680"/>
        </w:tabs>
        <w:spacing w:before="240" w:line="260" w:lineRule="exact"/>
        <w:ind w:left="340" w:hanging="340"/>
        <w:jc w:val="both"/>
        <w:rPr>
          <w:sz w:val="22"/>
        </w:rPr>
      </w:pPr>
      <w:r>
        <w:rPr>
          <w:sz w:val="22"/>
        </w:rPr>
        <w:t xml:space="preserve">Справочник положительного опыта в области трудовых вопросов для достижения гендерного равенства. В течение 2001 года было начато проведение подготовительных работ по вопросу о положительном опыте в области трудовых вопросов для достижения гендерного равенства. Это послужило отправной точкой для проекта, связанного с присвоением предприятиям Знака гендерного равенства, если эти предприятия пожелают участвовать в сертификации. Были проведены встречи и опросы начальников отделов кадров, а также владельцев 37 предприятий по стране. Эта акция закончилась презентацией "Справочника положительного опыта в области трудовых вопросов для достижения гендерного равенства", которая состоялась 7 марта 2002 года в присутствии 80 человек, работающих в производственном секторе экономики. Были отпечатаны 7 тыс. экземпляров, которые были разосланы по предприятиям, входящим в различные предпринимательские союзы, а также региональные представительства Министерства труда и социального обеспечения. Для технического наблюдения за этим процессом была создана межведомственная комиссия, в которую вошли представители ИНАМУ, </w:t>
      </w:r>
      <w:r>
        <w:rPr>
          <w:sz w:val="22"/>
          <w:lang w:val="en-US"/>
        </w:rPr>
        <w:t>MT</w:t>
      </w:r>
      <w:r>
        <w:rPr>
          <w:sz w:val="22"/>
        </w:rPr>
        <w:t>СС и МОТ. Акция прошла при финансовой поддержке Департамента труда Соединенных Штатов.</w:t>
      </w:r>
    </w:p>
    <w:p w:rsidR="00000000" w:rsidRDefault="00000000">
      <w:pPr>
        <w:tabs>
          <w:tab w:val="left" w:pos="340"/>
          <w:tab w:val="left" w:pos="680"/>
        </w:tabs>
        <w:spacing w:before="240" w:line="260" w:lineRule="exact"/>
        <w:jc w:val="both"/>
        <w:rPr>
          <w:sz w:val="22"/>
        </w:rPr>
      </w:pPr>
    </w:p>
    <w:p w:rsidR="00000000" w:rsidRDefault="00000000">
      <w:pPr>
        <w:numPr>
          <w:ilvl w:val="0"/>
          <w:numId w:val="52"/>
        </w:numPr>
        <w:tabs>
          <w:tab w:val="clear" w:pos="360"/>
          <w:tab w:val="left" w:pos="680"/>
        </w:tabs>
        <w:spacing w:before="240" w:line="260" w:lineRule="exact"/>
        <w:jc w:val="both"/>
        <w:rPr>
          <w:sz w:val="22"/>
        </w:rPr>
      </w:pPr>
      <w:r>
        <w:rPr>
          <w:sz w:val="22"/>
        </w:rPr>
        <w:t>Помимо этого ИНАМУ были предложены следующие направления работы:</w:t>
      </w:r>
    </w:p>
    <w:p w:rsidR="00000000" w:rsidRDefault="00000000">
      <w:pPr>
        <w:numPr>
          <w:ilvl w:val="0"/>
          <w:numId w:val="46"/>
        </w:numPr>
        <w:tabs>
          <w:tab w:val="left" w:pos="340"/>
          <w:tab w:val="left" w:pos="680"/>
        </w:tabs>
        <w:spacing w:before="200" w:line="260" w:lineRule="exact"/>
        <w:ind w:left="340" w:hanging="340"/>
        <w:jc w:val="both"/>
        <w:rPr>
          <w:spacing w:val="-2"/>
          <w:sz w:val="22"/>
        </w:rPr>
      </w:pPr>
      <w:r>
        <w:rPr>
          <w:spacing w:val="-2"/>
          <w:sz w:val="22"/>
        </w:rPr>
        <w:t xml:space="preserve">Проект Знака гендерного равенства. 15 февраля 2002 года был подписан проект под названием "Создание механизма оценки достижений в области гендерного равенства посредством создания Знака гендерного равенства для производственного сектора экономики Коста-Рики". Проект подписали ИНАМУ, Коста-Риканская инициатива для достижения международной конкурентоспособности (Проект </w:t>
      </w:r>
      <w:r>
        <w:rPr>
          <w:spacing w:val="-2"/>
          <w:sz w:val="22"/>
          <w:lang w:val="es-ES_tradnl"/>
        </w:rPr>
        <w:t>ICCI</w:t>
      </w:r>
      <w:r>
        <w:rPr>
          <w:spacing w:val="-2"/>
          <w:sz w:val="22"/>
        </w:rPr>
        <w:t>-2). Цель проекта заключается в создании механизма на национальном и международном уровнях для содействия изменению отношения и политики предприятий, а также частных и государственных организаций Коста-Рики в пользу увеличения инвестиций в людские и общественные ресурсы страны на условиях равноправия и гендерного равенства.</w:t>
      </w:r>
    </w:p>
    <w:p w:rsidR="00000000" w:rsidRDefault="00000000">
      <w:pPr>
        <w:numPr>
          <w:ilvl w:val="0"/>
          <w:numId w:val="46"/>
        </w:numPr>
        <w:tabs>
          <w:tab w:val="left" w:pos="340"/>
          <w:tab w:val="left" w:pos="680"/>
        </w:tabs>
        <w:spacing w:before="200" w:line="260" w:lineRule="exact"/>
        <w:ind w:left="340" w:hanging="340"/>
        <w:jc w:val="both"/>
        <w:rPr>
          <w:sz w:val="22"/>
        </w:rPr>
      </w:pPr>
      <w:r>
        <w:rPr>
          <w:sz w:val="22"/>
        </w:rPr>
        <w:t>Учет домашнего труда. С помощью кропотливой и скрупулезной работы Министерство труда и социального обеспечения провело расчеты по оценке домашнего труда, в соответствии с которыми домашняя работа женщин имеет рыночную стоимость, равную 17 процентам ВВП, в то время как стоимость домашней работы мужчин составляет 1,2 процента. Для совершенствования расчетов и учета женского домашнего труда, основываясь не только на информации, исходящей от самих женщин, на базе ИНАМУ была создана межведомственная комиссия, задачей которой являются разработка и проведение опросов по использованию личного времени, а также параллельная подготовка информации об участии женщин в процессе развития в помощь Национальному статистическому управлению. Эта комиссия работала, кроме того, над проверкой данных переписи домохозяйств, принимая во внимание гендерные аспекты.</w:t>
      </w:r>
    </w:p>
    <w:p w:rsidR="00000000" w:rsidRDefault="00000000">
      <w:pPr>
        <w:numPr>
          <w:ilvl w:val="0"/>
          <w:numId w:val="46"/>
        </w:numPr>
        <w:tabs>
          <w:tab w:val="left" w:pos="340"/>
          <w:tab w:val="left" w:pos="680"/>
        </w:tabs>
        <w:spacing w:before="200" w:line="260" w:lineRule="exact"/>
        <w:ind w:left="340" w:hanging="340"/>
        <w:jc w:val="both"/>
        <w:rPr>
          <w:spacing w:val="-2"/>
          <w:sz w:val="22"/>
        </w:rPr>
      </w:pPr>
      <w:r>
        <w:rPr>
          <w:spacing w:val="-2"/>
          <w:sz w:val="22"/>
        </w:rPr>
        <w:t>Информация, помощь и посредничество в работе. В соответствии с Декретом № 29219-</w:t>
      </w:r>
      <w:r>
        <w:rPr>
          <w:spacing w:val="-2"/>
          <w:sz w:val="22"/>
          <w:lang w:val="en-US"/>
        </w:rPr>
        <w:t>MT</w:t>
      </w:r>
      <w:r>
        <w:rPr>
          <w:spacing w:val="-2"/>
          <w:sz w:val="22"/>
        </w:rPr>
        <w:t xml:space="preserve">СС была создана Национальная система информации, помощи и посредничества в работе, которая ставит перед собой одноименные задачи. Данную систему составляют следующие органы: </w:t>
      </w:r>
      <w:r>
        <w:rPr>
          <w:spacing w:val="-2"/>
          <w:sz w:val="22"/>
          <w:lang w:val="en-US"/>
        </w:rPr>
        <w:t>MT</w:t>
      </w:r>
      <w:r>
        <w:rPr>
          <w:spacing w:val="-2"/>
          <w:sz w:val="22"/>
        </w:rPr>
        <w:t>СС (головная организация), ИНАМУ, МЕП, ИНА, Национальный совет по ссудам на образование, Коста-Риканский союз объединений и ассоциаций частных предпринимателей, профсоюзы, парауниверситеты, Научно-исследовательский центр совершенствования профессионально-технического обучения, гражданские службы, Национальный совет по реабилитации, муниципальные органы и государственные университеты. ИНАМУ участвовал в различных рабочих комиссиях, наблюдая за тем, чтобы аспект гендерного равенства был включен во все мероприятия и методики.</w:t>
      </w:r>
    </w:p>
    <w:p w:rsidR="00000000" w:rsidRDefault="00000000">
      <w:pPr>
        <w:numPr>
          <w:ilvl w:val="0"/>
          <w:numId w:val="52"/>
        </w:numPr>
        <w:tabs>
          <w:tab w:val="clear" w:pos="360"/>
          <w:tab w:val="left" w:pos="680"/>
        </w:tabs>
        <w:spacing w:before="240" w:line="260" w:lineRule="exact"/>
        <w:jc w:val="both"/>
        <w:rPr>
          <w:sz w:val="22"/>
        </w:rPr>
      </w:pPr>
      <w:r>
        <w:rPr>
          <w:sz w:val="22"/>
        </w:rPr>
        <w:t>С другой стороны, основываясь на формулировках и идеях министра по делам женщин и исполнительного президента ИНАМУ, было уделено особое внимание выдаче кредитов женщинам в соответствии с указом Правительственного совета, для того чтобы государственные банки выделяли деньги на развитие малых и сверхмалых предприятий, на увеличение производственных мощностей (ИНАМУ, Отчет.., 2000 год). Кроме того, ИНАМУ напряженно работает в двух направлениях: как развить традиционные источники кредитов, чтобы сделать их доступными для женщин, и создать доверительный фонд для специального обслуживания кредитных потребностей женщин, а также их участия в трудовой деятельности (ИНАМУ, Отчет.., 2000 год).</w:t>
      </w:r>
    </w:p>
    <w:p w:rsidR="00000000" w:rsidRDefault="00000000">
      <w:pPr>
        <w:numPr>
          <w:ilvl w:val="0"/>
          <w:numId w:val="52"/>
        </w:numPr>
        <w:tabs>
          <w:tab w:val="clear" w:pos="360"/>
          <w:tab w:val="left" w:pos="680"/>
        </w:tabs>
        <w:spacing w:before="240" w:line="260" w:lineRule="exact"/>
        <w:jc w:val="both"/>
        <w:rPr>
          <w:sz w:val="22"/>
        </w:rPr>
      </w:pPr>
      <w:r>
        <w:rPr>
          <w:sz w:val="22"/>
        </w:rPr>
        <w:t>С целью уменьшения различий в вопросах выбора работы и оплаты труда необходимо срочно разработать политику в сфере занятости, что будет способствовать привлечению женщин в формальный сектор экономики. Параллельно и в рамках этой политики следует стимулировать предприятия к тому, чтобы они принимали на работу и брали в штат все большее число работниц и одновременно продвигали женщин по служебной лестнице на более высокооплачиваемые должности, предлагали им более интересные возможности по обучению, повышению своей квалификации с перспективой занятия ими более высоких постов на данных предприятиях.</w:t>
      </w:r>
    </w:p>
    <w:p w:rsidR="00000000" w:rsidRDefault="00000000">
      <w:pPr>
        <w:numPr>
          <w:ilvl w:val="0"/>
          <w:numId w:val="52"/>
        </w:numPr>
        <w:tabs>
          <w:tab w:val="clear" w:pos="360"/>
          <w:tab w:val="left" w:pos="680"/>
        </w:tabs>
        <w:spacing w:before="240" w:line="260" w:lineRule="exact"/>
        <w:jc w:val="both"/>
        <w:rPr>
          <w:sz w:val="22"/>
        </w:rPr>
      </w:pPr>
      <w:r>
        <w:rPr>
          <w:sz w:val="22"/>
        </w:rPr>
        <w:t>Ниже речь пойдет о женских организациях, которые по призыву ИНАМУ участвовали в Консультационном форуме с целью ознакомления с данным докладом. Они подчеркнули достигнутые успехи в области законодательства, касающегося трудовых прав женщин, хотя на практике они не всегда приводят к их защите. В Коста-Рике, несмотря на существование большого количества протекционистских законов для женщин, происходит явление, подобное бумерангу. Предприниматели или владельцы предприятий нередко полагают, основываясь на решениях Конституционной палаты, что такое количество протекционистских законов дезориентирует женщин на рынке труда. На практике все еще имеется множество форм гендерной дискриминации в области трудовых прав, что заставляет задуматься о том, как разбудить сознательность среди предпринимателей и владельцев предприятий и заставить их понять социальную и экономическую необходимость уважения трудовых прав женщин; как создать механизм распределения – между государством и частным предприятием – затрат, связанных с полным выполнением требований существующего законодательства.</w:t>
      </w:r>
    </w:p>
    <w:p w:rsidR="00000000" w:rsidRDefault="00000000">
      <w:pPr>
        <w:numPr>
          <w:ilvl w:val="0"/>
          <w:numId w:val="52"/>
        </w:numPr>
        <w:tabs>
          <w:tab w:val="clear" w:pos="360"/>
          <w:tab w:val="left" w:pos="680"/>
        </w:tabs>
        <w:spacing w:before="240" w:line="260" w:lineRule="exact"/>
        <w:jc w:val="both"/>
        <w:rPr>
          <w:sz w:val="22"/>
        </w:rPr>
      </w:pPr>
      <w:r>
        <w:rPr>
          <w:sz w:val="22"/>
        </w:rPr>
        <w:t>Для гарантированного создания новых и качественных возможностей женской занятости, способных расширить возможности доступа на рынок труда с более равноценными условиями, необходимо принять безотлагательные меры для улучшения существующего положения. Среди прочего, повысить набор женщин на обучение конкурентоспособным специальностям и профессиям на рынке труда, а именно в профессионально-технические училища, в ИНА, а также в государственные и частные университеты. В то же время необходимо задействовать программу "Новые специальности для женщин", уделяя особое внимание проблеме поступления в профессионально-технические училища, а также колледжи для получения определенной специальности, ИНА и университеты, где, в свою очередь, должны быть поставлены цели увеличения приема женщин на обучение традиционно "мужским" специальностям.</w:t>
      </w:r>
    </w:p>
    <w:p w:rsidR="00000000" w:rsidRDefault="00000000">
      <w:pPr>
        <w:numPr>
          <w:ilvl w:val="0"/>
          <w:numId w:val="52"/>
        </w:numPr>
        <w:tabs>
          <w:tab w:val="clear" w:pos="360"/>
          <w:tab w:val="left" w:pos="680"/>
        </w:tabs>
        <w:spacing w:before="240" w:line="260" w:lineRule="exact"/>
        <w:jc w:val="both"/>
        <w:rPr>
          <w:spacing w:val="-2"/>
          <w:sz w:val="22"/>
        </w:rPr>
      </w:pPr>
      <w:r>
        <w:rPr>
          <w:spacing w:val="-2"/>
          <w:sz w:val="22"/>
        </w:rPr>
        <w:t xml:space="preserve">Кроме того, необходимо создать стимулирующие механизмы, обеспечивающие постоянный приток женщин на эти специальности: стипендии, службы оказания помощи и др. </w:t>
      </w:r>
    </w:p>
    <w:p w:rsidR="00000000" w:rsidRDefault="00000000">
      <w:pPr>
        <w:tabs>
          <w:tab w:val="left" w:pos="680"/>
        </w:tabs>
        <w:spacing w:before="480" w:line="260" w:lineRule="exact"/>
        <w:jc w:val="center"/>
        <w:rPr>
          <w:b/>
          <w:sz w:val="22"/>
        </w:rPr>
      </w:pPr>
      <w:r>
        <w:rPr>
          <w:b/>
          <w:sz w:val="22"/>
        </w:rPr>
        <w:t>Статья 12. Равный доступ к медицинскому обслуживанию</w:t>
      </w:r>
    </w:p>
    <w:p w:rsidR="00000000" w:rsidRDefault="00000000">
      <w:pPr>
        <w:pStyle w:val="Heading3"/>
        <w:jc w:val="both"/>
        <w:rPr>
          <w:b w:val="0"/>
          <w:i/>
        </w:rPr>
      </w:pPr>
      <w:r>
        <w:rPr>
          <w:b w:val="0"/>
          <w:i/>
        </w:rPr>
        <w:t>Статья 12</w:t>
      </w:r>
    </w:p>
    <w:p w:rsidR="00000000" w:rsidRDefault="00000000">
      <w:pPr>
        <w:tabs>
          <w:tab w:val="left" w:pos="340"/>
          <w:tab w:val="left" w:pos="680"/>
        </w:tabs>
        <w:spacing w:before="240" w:line="260" w:lineRule="exact"/>
        <w:ind w:left="340" w:hanging="340"/>
        <w:jc w:val="both"/>
        <w:rPr>
          <w:i/>
          <w:sz w:val="22"/>
        </w:rPr>
      </w:pPr>
      <w:r>
        <w:rPr>
          <w:i/>
          <w:color w:val="000000"/>
          <w:sz w:val="22"/>
        </w:rPr>
        <w:t>1.</w:t>
      </w:r>
      <w:r>
        <w:rPr>
          <w:i/>
          <w:color w:val="000000"/>
          <w:sz w:val="22"/>
        </w:rPr>
        <w:tab/>
        <w:t>Государства-участники принимают все соответствующие меры для ликвидации дискриминации в отношении женщин в области здравоохранения, с тем чтобы обеспечить на основе равенства мужчин и женщин доступ к медицинскому обслуживанию, в частности в том, что касается планирования размера семьи.</w:t>
      </w:r>
    </w:p>
    <w:p w:rsidR="00000000" w:rsidRDefault="00000000">
      <w:pPr>
        <w:tabs>
          <w:tab w:val="left" w:pos="340"/>
          <w:tab w:val="left" w:pos="680"/>
        </w:tabs>
        <w:spacing w:before="240" w:line="260" w:lineRule="exact"/>
        <w:ind w:left="340" w:hanging="340"/>
        <w:jc w:val="both"/>
        <w:rPr>
          <w:i/>
          <w:color w:val="000000"/>
          <w:sz w:val="22"/>
        </w:rPr>
      </w:pPr>
      <w:r>
        <w:rPr>
          <w:i/>
          <w:color w:val="000000"/>
          <w:sz w:val="22"/>
        </w:rPr>
        <w:t>2.</w:t>
      </w:r>
      <w:r>
        <w:rPr>
          <w:i/>
          <w:color w:val="000000"/>
          <w:sz w:val="22"/>
        </w:rPr>
        <w:tab/>
        <w:t>Независимо от положений пункта 1 настоящей статьи, государства-участники обеспечивают женщинам соответствующее обслуживание в период беременности, родов и послеродовой период, предоставляя, когда это необходимо, бесплатные услуги, а также соответствующее питание в период беременности и кормления.</w:t>
      </w:r>
    </w:p>
    <w:p w:rsidR="00000000" w:rsidRDefault="00000000">
      <w:pPr>
        <w:tabs>
          <w:tab w:val="left" w:pos="340"/>
          <w:tab w:val="left" w:pos="680"/>
        </w:tabs>
        <w:spacing w:before="240" w:line="260" w:lineRule="exact"/>
        <w:ind w:left="340" w:hanging="340"/>
        <w:jc w:val="both"/>
        <w:rPr>
          <w:color w:val="000000"/>
          <w:sz w:val="22"/>
        </w:rPr>
      </w:pPr>
    </w:p>
    <w:p w:rsidR="00000000" w:rsidRDefault="00000000">
      <w:pPr>
        <w:tabs>
          <w:tab w:val="left" w:pos="680"/>
        </w:tabs>
        <w:spacing w:before="360" w:line="260" w:lineRule="exact"/>
        <w:jc w:val="both"/>
        <w:rPr>
          <w:b/>
          <w:sz w:val="22"/>
        </w:rPr>
      </w:pPr>
      <w:r>
        <w:rPr>
          <w:b/>
          <w:sz w:val="22"/>
        </w:rPr>
        <w:t>Равный доступ к медицинскому обслуживанию</w:t>
      </w:r>
    </w:p>
    <w:p w:rsidR="00000000" w:rsidRDefault="00000000">
      <w:pPr>
        <w:tabs>
          <w:tab w:val="left" w:pos="680"/>
        </w:tabs>
        <w:spacing w:before="240" w:line="260" w:lineRule="exact"/>
        <w:jc w:val="both"/>
        <w:rPr>
          <w:sz w:val="22"/>
        </w:rPr>
      </w:pPr>
      <w:r>
        <w:rPr>
          <w:sz w:val="22"/>
        </w:rPr>
        <w:t>413.</w:t>
      </w:r>
      <w:r>
        <w:rPr>
          <w:sz w:val="22"/>
        </w:rPr>
        <w:tab/>
        <w:t>Коста-Рика достигла больших успехов в области предоставления женщинам медицинского обслуживания. Показатели детской смертности составляют 10,2 процента на каждую тысячу живорождений, что дает цифру продолжительности жизни при рождении, идентичную данной цифре в развитых странах. В действительности показатели по женщинам превышают показатели у мужчин. Так, например, разница в этом показателе увеличилась за десять лет и к 2000 году достигла 5,4 года (продолжительность жизни при рождении у женщин составила 80,24 года) (проект "Состояние нации", 2001 год).</w:t>
      </w:r>
    </w:p>
    <w:p w:rsidR="00000000" w:rsidRDefault="00000000">
      <w:pPr>
        <w:tabs>
          <w:tab w:val="left" w:pos="680"/>
        </w:tabs>
        <w:spacing w:before="240" w:line="260" w:lineRule="exact"/>
        <w:jc w:val="both"/>
        <w:rPr>
          <w:b/>
          <w:sz w:val="22"/>
        </w:rPr>
      </w:pPr>
      <w:r>
        <w:rPr>
          <w:sz w:val="22"/>
        </w:rPr>
        <w:t>414.</w:t>
      </w:r>
      <w:r>
        <w:rPr>
          <w:sz w:val="22"/>
        </w:rPr>
        <w:tab/>
        <w:t>Кроме того, смертность женщин была более низкой, чем у мужчин. Так, например, в 2000 году на 134 случаев смерти у мужчин приходилось 100 случаев смерти у женщин. Для обоих полов основной причиной смерти были проблемы сердечно-сосудистой системы, на втором месте – раковые заболевания, в особенности желудка. В 2000 году смертность от рака желудка составила 17,6 на каждые 100 000 мужчин и 10,7 на каждые 100 000 женщин (проект "Состояние нации", 2001 год).</w:t>
      </w:r>
    </w:p>
    <w:p w:rsidR="00000000" w:rsidRDefault="00000000">
      <w:pPr>
        <w:tabs>
          <w:tab w:val="left" w:pos="680"/>
        </w:tabs>
        <w:spacing w:before="240" w:line="260" w:lineRule="exact"/>
        <w:jc w:val="both"/>
        <w:rPr>
          <w:b/>
          <w:sz w:val="22"/>
        </w:rPr>
      </w:pPr>
      <w:r>
        <w:rPr>
          <w:sz w:val="22"/>
        </w:rPr>
        <w:t>415.</w:t>
      </w:r>
      <w:r>
        <w:rPr>
          <w:sz w:val="22"/>
        </w:rPr>
        <w:tab/>
        <w:t>Для обоих полов основными причинами смерти стали ишемическая болезнь сердца, а также сердечно-сосудистые заболевания (Министерство здравоохранения, 2001 год). Но, однако, если заболевания, связанные с нарушением системы кровообращения, как причины смерти в целом незначительно возросли за последние годы, то среди женщин отмечалось некоторое понижение смертности (111 случаев на 100 000 заболевших в 1992 году по сравнению со 103 случаями в 1997 году). Сахарный диабет также явился одной из основных причин смерти среди мужчин и женщин, но в особенности среди женского населения. Показатель смертности от сахарного диабета вырос с 10,56 на каждые 100 000, страдающих этим заболеванием, в 1990 году до 15,29 в 1997 году. С другой стороны, увеличился процент женщин, которые наблюдаются у врачей по поводу диабета, – с 2,28 процента в 1987 году до 3,81 процента в 1997 году (ККСС, 1999 год). Это увеличение можно объяснить факторами, вытекающими из условий жизни женщин (нерегулярное питание, подвижность, участие в трудовой деятельности).</w:t>
      </w:r>
    </w:p>
    <w:p w:rsidR="00000000" w:rsidRDefault="00000000">
      <w:pPr>
        <w:tabs>
          <w:tab w:val="left" w:pos="680"/>
        </w:tabs>
        <w:spacing w:before="240" w:line="260" w:lineRule="exact"/>
        <w:jc w:val="both"/>
        <w:rPr>
          <w:b/>
          <w:sz w:val="22"/>
        </w:rPr>
      </w:pPr>
      <w:r>
        <w:rPr>
          <w:sz w:val="22"/>
        </w:rPr>
        <w:t>416.</w:t>
      </w:r>
      <w:r>
        <w:rPr>
          <w:sz w:val="22"/>
        </w:rPr>
        <w:tab/>
        <w:t>Среди раковых опухолей наибольшую угрозу жизни как мужчин, так и женщин представляет рак желудка. В 1999 году он стал причиной смерти 17,6 больных на каждые 100 000 умерших. Показатель смертности от рака шейки матки (главная причина смерти женщин) составил в 1999 году 9,3 случая смерти на 100 000 женщин.</w:t>
      </w:r>
    </w:p>
    <w:p w:rsidR="00000000" w:rsidRDefault="00000000">
      <w:pPr>
        <w:tabs>
          <w:tab w:val="left" w:pos="680"/>
        </w:tabs>
        <w:spacing w:before="240" w:line="260" w:lineRule="exact"/>
        <w:jc w:val="both"/>
        <w:rPr>
          <w:b/>
          <w:sz w:val="22"/>
        </w:rPr>
      </w:pPr>
      <w:r>
        <w:rPr>
          <w:sz w:val="22"/>
        </w:rPr>
        <w:t>417.</w:t>
      </w:r>
      <w:r>
        <w:rPr>
          <w:sz w:val="22"/>
        </w:rPr>
        <w:tab/>
        <w:t>Согласно опросу, проведенному Национальным институтом питания, проблемы ожирения среди женщин увеличиваются пропорционально их возрасту. Ожирение в возрастной группе от 20 до 59 лет возросло с 39,7 процента в 1982 году до 45,9 процента в 1996 году. В возрастной группе от 20 до 44 лет эти показатели изменились с 34,6 до 45,9 процента, а в возрастной группе от 45 до 59 лет, соответственно, с 55,6 до 75 процентов. Этот рост показателей наблюдался среди как городского, так и сельского населения, причем в городе темп роста был более высоким. В соответствии с данными Министерства здравоохранения с 1996 по 2000 год был зарегистрирован рост с 50,6 до 56,6 процента среди городских жителей, а с 1996 по 1999 год был зарегистрирован рост с 44,8 до 56,4 процента в сельской местности (Министерство здравоохранения, 2001 год). Среди детей дошкольного возраста показатели питания указывают на то, что женщины меньше страдают от недоедания, но чаще имеют избыточный вес или риск ожирения, что, вероятно, связано с меньшей физической активностью и бóльшим потреблением углеводов. В целом существует ярко выраженная разница в показателях здоровья в зависимости от места проживания и культурно-образовательного уровня: так, например, городские женщины с более высоким культурно-образовательным уровнем дают наиболее позитивные показатели (проект "Состояние нации", 2001 год).</w:t>
      </w:r>
    </w:p>
    <w:p w:rsidR="00000000" w:rsidRDefault="00000000">
      <w:pPr>
        <w:tabs>
          <w:tab w:val="left" w:pos="680"/>
        </w:tabs>
        <w:spacing w:before="240" w:line="260" w:lineRule="exact"/>
        <w:jc w:val="both"/>
        <w:rPr>
          <w:sz w:val="22"/>
        </w:rPr>
      </w:pPr>
      <w:r>
        <w:rPr>
          <w:sz w:val="22"/>
        </w:rPr>
        <w:t>418.</w:t>
      </w:r>
      <w:r>
        <w:rPr>
          <w:sz w:val="22"/>
        </w:rPr>
        <w:tab/>
        <w:t>Еще одно достижение – это охват медицинским обслуживанием. Национальный опрос по репродуктивному здоровью</w:t>
      </w:r>
      <w:r>
        <w:rPr>
          <w:rStyle w:val="FootnoteReference"/>
          <w:sz w:val="22"/>
        </w:rPr>
        <w:footnoteReference w:id="23"/>
      </w:r>
      <w:r>
        <w:rPr>
          <w:sz w:val="22"/>
        </w:rPr>
        <w:t xml:space="preserve"> обнаружил значительный охват женщин медицинским обслуживанием: 97 процентов из них указывают, что обращались к врачу в последние пять лет. Наблюдается разница в показателях, вытекающая из культурно-образовательного уровня. Так, например, за последний год к врачу обращались 74 процента женщин с неполным начальным образованием по сравнению с 85 процентами женщин, имеющих образование на уровне среднего и выше. Наиболее важными проблемами в 1999 году были те же, что и в 1992 году, хотя в процентном отношении цифры уменьшаются. Варикозное расширение вен стало наиболее частой патологией, затем –маточные инфекции и высокое артериальное давление. Сохранялись показатели по опухолям или кистам матки, а также по проблемам бесплодия. Самые высокие показатели для большинства патологий отмечаются у женщин более старшего возраста (от 30 до 44 лет).</w:t>
      </w:r>
    </w:p>
    <w:p w:rsidR="00000000" w:rsidRDefault="00000000">
      <w:pPr>
        <w:tabs>
          <w:tab w:val="left" w:pos="680"/>
        </w:tabs>
        <w:spacing w:before="120" w:line="260" w:lineRule="exact"/>
        <w:jc w:val="both"/>
        <w:rPr>
          <w:sz w:val="22"/>
        </w:rPr>
      </w:pPr>
    </w:p>
    <w:p w:rsidR="00000000" w:rsidRDefault="00000000">
      <w:pPr>
        <w:tabs>
          <w:tab w:val="left" w:pos="680"/>
        </w:tabs>
        <w:spacing w:before="240" w:line="260" w:lineRule="exact"/>
        <w:rPr>
          <w:b/>
          <w:sz w:val="22"/>
        </w:rPr>
      </w:pPr>
      <w:r>
        <w:rPr>
          <w:b/>
          <w:sz w:val="22"/>
        </w:rPr>
        <w:t>Нормы и стандарты в сфере сексуального и репродуктивного здоровья женщин</w:t>
      </w:r>
    </w:p>
    <w:p w:rsidR="00000000" w:rsidRDefault="00000000">
      <w:pPr>
        <w:tabs>
          <w:tab w:val="left" w:pos="680"/>
        </w:tabs>
        <w:spacing w:before="240" w:line="260" w:lineRule="exact"/>
        <w:jc w:val="both"/>
        <w:rPr>
          <w:sz w:val="22"/>
        </w:rPr>
      </w:pPr>
      <w:r>
        <w:rPr>
          <w:sz w:val="22"/>
        </w:rPr>
        <w:t>419.</w:t>
      </w:r>
      <w:r>
        <w:rPr>
          <w:sz w:val="22"/>
        </w:rPr>
        <w:tab/>
        <w:t>Коста-Риканский фонд социального обеспечения (ККСС) разработал нормативный документ по оказанию медицинской помощи женщинам, в частности в сфере сексуального и репродуктивного здоровья. Данные нормы главным образом ориентированы на вопросы, относящиеся к биологическому процессу репродукции. Нормы подразумевают направления, связанные с контролем рождаемости, дородовым медицинским обслуживанием, родами, послеродовым периодом, планированием размера семьи и содержат показатели частотности проведения цитологических обследований (</w:t>
      </w:r>
      <w:r>
        <w:rPr>
          <w:sz w:val="22"/>
          <w:lang w:val="en-US"/>
        </w:rPr>
        <w:t>papanicolau</w:t>
      </w:r>
      <w:r>
        <w:rPr>
          <w:sz w:val="22"/>
        </w:rPr>
        <w:t>)</w:t>
      </w:r>
      <w:r>
        <w:rPr>
          <w:sz w:val="22"/>
          <w:lang w:val="de-DE"/>
        </w:rPr>
        <w:t xml:space="preserve"> </w:t>
      </w:r>
      <w:r>
        <w:rPr>
          <w:sz w:val="22"/>
        </w:rPr>
        <w:t>и обследования грудных желез (</w:t>
      </w:r>
      <w:r>
        <w:rPr>
          <w:sz w:val="22"/>
          <w:lang w:val="en-US"/>
        </w:rPr>
        <w:t>Goldenberg</w:t>
      </w:r>
      <w:r>
        <w:rPr>
          <w:sz w:val="22"/>
        </w:rPr>
        <w:t>, 2001).</w:t>
      </w:r>
    </w:p>
    <w:p w:rsidR="00000000" w:rsidRDefault="00000000">
      <w:pPr>
        <w:tabs>
          <w:tab w:val="left" w:pos="680"/>
        </w:tabs>
        <w:spacing w:before="240" w:line="260" w:lineRule="exact"/>
        <w:jc w:val="both"/>
        <w:rPr>
          <w:b/>
          <w:sz w:val="22"/>
        </w:rPr>
      </w:pPr>
      <w:r>
        <w:rPr>
          <w:sz w:val="22"/>
        </w:rPr>
        <w:t>420.</w:t>
      </w:r>
      <w:r>
        <w:rPr>
          <w:sz w:val="22"/>
        </w:rPr>
        <w:tab/>
        <w:t>В 1999 году в соответствии с Исполнительным декретом № 27913-</w:t>
      </w:r>
      <w:r>
        <w:rPr>
          <w:sz w:val="22"/>
          <w:lang w:val="en-US"/>
        </w:rPr>
        <w:t>S</w:t>
      </w:r>
      <w:r>
        <w:rPr>
          <w:sz w:val="22"/>
        </w:rPr>
        <w:t xml:space="preserve"> от 14 мая была создана Межведомственная комиссия по репродуктивным и сексуальным правам. Правительство обосновало свое решение следующими доводами:</w:t>
      </w:r>
    </w:p>
    <w:p w:rsidR="00000000" w:rsidRDefault="00000000">
      <w:pPr>
        <w:tabs>
          <w:tab w:val="left" w:pos="680"/>
        </w:tabs>
        <w:spacing w:before="240" w:line="260" w:lineRule="exact"/>
        <w:ind w:left="680" w:hanging="680"/>
        <w:jc w:val="both"/>
        <w:rPr>
          <w:i/>
          <w:sz w:val="22"/>
        </w:rPr>
      </w:pPr>
      <w:r>
        <w:rPr>
          <w:sz w:val="22"/>
        </w:rPr>
        <w:tab/>
      </w:r>
      <w:r>
        <w:rPr>
          <w:i/>
          <w:sz w:val="22"/>
        </w:rPr>
        <w:t>"Неотъемлемой обязанностью государства является обеспечение сексуального и репродуктивного здоровья населения, а также соблюдение и выполнение международных обязательств в данной области, признающих право всех людей контролировать все аспекты своего здоровья, в частности свою репродуктивную функцию".</w:t>
      </w:r>
    </w:p>
    <w:p w:rsidR="00000000" w:rsidRDefault="00000000">
      <w:pPr>
        <w:tabs>
          <w:tab w:val="left" w:pos="680"/>
        </w:tabs>
        <w:spacing w:before="240" w:line="260" w:lineRule="exact"/>
        <w:jc w:val="both"/>
        <w:rPr>
          <w:sz w:val="22"/>
        </w:rPr>
      </w:pPr>
      <w:r>
        <w:rPr>
          <w:sz w:val="22"/>
        </w:rPr>
        <w:t>421.</w:t>
      </w:r>
      <w:r>
        <w:rPr>
          <w:sz w:val="22"/>
        </w:rPr>
        <w:tab/>
        <w:t>Согласно статье 4 того же декрета, была создана Консультационная служба по вопросам здоровья и репродуктивных и сексуальных прав, которая должна работать на всех уровнях оказания медицинской помощи в государственных и частных учреждениях, работающих в сфере репродуктивного и сексуального здоровья. В состав этой Консультационной службы должны войти, по мере возможности, квалифицированные специалисты разных специальностей обоих полов, подготовленные по данной тематике. В статье 5 данного декрета сформулированы функции Консультационной службы, среди которых указаны следующие:</w:t>
      </w:r>
    </w:p>
    <w:p w:rsidR="00000000" w:rsidRDefault="00000000">
      <w:pPr>
        <w:numPr>
          <w:ilvl w:val="0"/>
          <w:numId w:val="46"/>
        </w:numPr>
        <w:tabs>
          <w:tab w:val="left" w:pos="340"/>
          <w:tab w:val="left" w:pos="680"/>
        </w:tabs>
        <w:spacing w:before="240" w:line="260" w:lineRule="exact"/>
        <w:ind w:left="340" w:hanging="340"/>
        <w:jc w:val="both"/>
        <w:rPr>
          <w:b/>
          <w:sz w:val="22"/>
        </w:rPr>
      </w:pPr>
      <w:r>
        <w:rPr>
          <w:sz w:val="22"/>
        </w:rPr>
        <w:t>Подготовка и проведение образовательных и просветительских кампаний по правам в области репродуктивного и сексуального здоровья.</w:t>
      </w:r>
      <w:r>
        <w:rPr>
          <w:b/>
          <w:sz w:val="22"/>
        </w:rPr>
        <w:t xml:space="preserve"> </w:t>
      </w:r>
    </w:p>
    <w:p w:rsidR="00000000" w:rsidRDefault="00000000">
      <w:pPr>
        <w:numPr>
          <w:ilvl w:val="0"/>
          <w:numId w:val="46"/>
        </w:numPr>
        <w:tabs>
          <w:tab w:val="left" w:pos="340"/>
          <w:tab w:val="left" w:pos="680"/>
        </w:tabs>
        <w:spacing w:before="240" w:line="260" w:lineRule="exact"/>
        <w:ind w:left="340" w:hanging="340"/>
        <w:jc w:val="both"/>
        <w:rPr>
          <w:sz w:val="22"/>
        </w:rPr>
      </w:pPr>
      <w:r>
        <w:rPr>
          <w:sz w:val="22"/>
        </w:rPr>
        <w:t>Организация и проведение</w:t>
      </w:r>
      <w:r>
        <w:rPr>
          <w:b/>
          <w:sz w:val="22"/>
        </w:rPr>
        <w:t xml:space="preserve"> </w:t>
      </w:r>
      <w:r>
        <w:rPr>
          <w:sz w:val="22"/>
        </w:rPr>
        <w:t>переподготовки и обучения медицинского персонала.</w:t>
      </w:r>
    </w:p>
    <w:p w:rsidR="00000000" w:rsidRDefault="00000000">
      <w:pPr>
        <w:numPr>
          <w:ilvl w:val="0"/>
          <w:numId w:val="46"/>
        </w:numPr>
        <w:tabs>
          <w:tab w:val="left" w:pos="340"/>
          <w:tab w:val="left" w:pos="680"/>
        </w:tabs>
        <w:spacing w:before="240" w:line="260" w:lineRule="exact"/>
        <w:ind w:left="340" w:hanging="340"/>
        <w:jc w:val="both"/>
        <w:rPr>
          <w:sz w:val="22"/>
        </w:rPr>
      </w:pPr>
      <w:r>
        <w:rPr>
          <w:sz w:val="22"/>
        </w:rPr>
        <w:t>"Подготовка информации и оказание как индивидуальной, так и коллективной помощи лицам, пользующимся медицинским обслуживанием в данном медицинском учреждении, в вопросах о преимуществах, недостатках и противопоказаниях тех или иных методов (временного и постоянного) контроля над рождаемостью, оказание помощи в выборе наиболее подходящего метода в каждом конкретном случае с учетом мнения самого пациента (пациентки)".</w:t>
      </w:r>
    </w:p>
    <w:p w:rsidR="00000000" w:rsidRDefault="00000000">
      <w:pPr>
        <w:tabs>
          <w:tab w:val="left" w:pos="680"/>
        </w:tabs>
        <w:spacing w:before="240" w:line="260" w:lineRule="exact"/>
        <w:jc w:val="both"/>
        <w:rPr>
          <w:sz w:val="22"/>
        </w:rPr>
      </w:pPr>
      <w:r>
        <w:rPr>
          <w:sz w:val="22"/>
        </w:rPr>
        <w:t>422.</w:t>
      </w:r>
      <w:r>
        <w:rPr>
          <w:sz w:val="22"/>
        </w:rPr>
        <w:tab/>
        <w:t>С другой стороны, в 1999 году в целях выполнения положений, касающихся сексуального и репродуктивного здоровья, принятых на конференциях в Каире и Пекине, в стране была создана трехсторонняя комиссия, в состав которой вошли представители государства, гражданского общества и сотрудничающих организаций. Трехсторонняя комиссия и Национальная комиссия по сексуальному и репродуктивному здоровью работают совместно и согласованно, и многие из участников входят одновременно в каждую из них.</w:t>
      </w:r>
    </w:p>
    <w:p w:rsidR="00000000" w:rsidRDefault="00000000">
      <w:pPr>
        <w:tabs>
          <w:tab w:val="left" w:pos="680"/>
        </w:tabs>
        <w:spacing w:before="240" w:line="260" w:lineRule="exact"/>
        <w:jc w:val="both"/>
        <w:rPr>
          <w:sz w:val="22"/>
        </w:rPr>
      </w:pPr>
      <w:r>
        <w:rPr>
          <w:sz w:val="22"/>
        </w:rPr>
        <w:t>423.</w:t>
      </w:r>
      <w:r>
        <w:rPr>
          <w:sz w:val="22"/>
        </w:rPr>
        <w:tab/>
        <w:t>Создание Межведомственной комиссии по вопросам сексуального и репродуктивного здоровья внушает большой оптимизм, поскольку персонал, представляющий каждое ведомство в отдельности, был назначен в соответствии с личным опытом и заинтересованностью в рамках полномочий Комиссии. Это объясняет тот факт, что Комиссия хорошо информирована и ее деятельность открыта для общественности. Комиссия участвует в разработке других проектов, таких как создание Национальной женской больницы, но не в силу своих прямых обязанностей, а благодаря личному участию каждого члена. Работа Комиссии связана напрямую с генеральной политикой, включающей медицинское обслуживание в дородовой и послеродовой период, сексуальное здоровье, репродуктивное здоровье и т. д., и с определением участков работы и разносторонних подходов, которые позволяют различным учреждениям, оказывающим медицинскую помощь, исполнять и развивать свои функции. В настоящее время Комиссия считает необходимым создать общие рамки, которые могли бы гарантировать прочную и качественную основу для оказания медицинской помощи, а также для осуществления сексуальных и репродуктивных прав. Это и есть то, что мы называем сейчас "направлением действия" (</w:t>
      </w:r>
      <w:r>
        <w:rPr>
          <w:sz w:val="22"/>
          <w:lang w:val="en-US"/>
        </w:rPr>
        <w:t>Goldenberg</w:t>
      </w:r>
      <w:r>
        <w:rPr>
          <w:sz w:val="22"/>
        </w:rPr>
        <w:t>, 2001).</w:t>
      </w:r>
    </w:p>
    <w:p w:rsidR="00000000" w:rsidRDefault="00000000">
      <w:pPr>
        <w:tabs>
          <w:tab w:val="left" w:pos="680"/>
        </w:tabs>
        <w:spacing w:before="240" w:line="260" w:lineRule="exact"/>
        <w:jc w:val="both"/>
        <w:rPr>
          <w:sz w:val="22"/>
        </w:rPr>
      </w:pPr>
      <w:r>
        <w:rPr>
          <w:sz w:val="22"/>
        </w:rPr>
        <w:t>424.</w:t>
      </w:r>
      <w:r>
        <w:rPr>
          <w:sz w:val="22"/>
        </w:rPr>
        <w:tab/>
        <w:t>Комиссия провела исследование по оценке достижений и недостатков в деятельности консультативных служб. В нем отразились существующие сложности по введению нового подхода, вызванные зачастую доводами, которые идеологически вытекают из положений исполнительного декрета от июня 1999 года. Аргументы, содержащиеся в исследовании, могут быть различными, например от рассуждений и убеждений врача по поводу отказа от добровольной стерилизации до определения условий, которым должно соответствовать медицинское учреждение, для выполнения подобной операции. Кроме того, может идти речь об обязательном присутствии сопровождающего лица, ухаживающего за пациенткой в послеоперационный период, из-за отсутствия среднего медицинского персонала для этих целей или о том, что, хотя операция может быть достаточно сложной, однако пациентка, прооперированная утром, должна покинуть медицинский центр во второй половине этого же дня (</w:t>
      </w:r>
      <w:r>
        <w:rPr>
          <w:sz w:val="22"/>
          <w:lang w:val="en-US"/>
        </w:rPr>
        <w:t>Goldenberg</w:t>
      </w:r>
      <w:r>
        <w:rPr>
          <w:sz w:val="22"/>
        </w:rPr>
        <w:t>, 2001).</w:t>
      </w:r>
    </w:p>
    <w:p w:rsidR="00000000" w:rsidRDefault="00000000">
      <w:pPr>
        <w:tabs>
          <w:tab w:val="left" w:pos="680"/>
        </w:tabs>
        <w:spacing w:line="260" w:lineRule="exact"/>
        <w:jc w:val="both"/>
        <w:rPr>
          <w:b/>
          <w:sz w:val="22"/>
        </w:rPr>
      </w:pPr>
    </w:p>
    <w:p w:rsidR="00000000" w:rsidRDefault="00000000">
      <w:pPr>
        <w:tabs>
          <w:tab w:val="left" w:pos="680"/>
        </w:tabs>
        <w:spacing w:before="240" w:line="260" w:lineRule="exact"/>
        <w:rPr>
          <w:b/>
          <w:sz w:val="22"/>
        </w:rPr>
      </w:pPr>
      <w:r>
        <w:rPr>
          <w:b/>
          <w:sz w:val="22"/>
        </w:rPr>
        <w:t xml:space="preserve">Значение консультационной деятельности в сфере сексуального и </w:t>
      </w:r>
      <w:r>
        <w:rPr>
          <w:b/>
          <w:sz w:val="22"/>
        </w:rPr>
        <w:br/>
        <w:t>репродуктивного здоровья и прав женщин</w:t>
      </w:r>
    </w:p>
    <w:p w:rsidR="00000000" w:rsidRDefault="00000000">
      <w:pPr>
        <w:tabs>
          <w:tab w:val="left" w:pos="680"/>
        </w:tabs>
        <w:spacing w:before="200" w:line="260" w:lineRule="exact"/>
        <w:jc w:val="both"/>
        <w:rPr>
          <w:sz w:val="22"/>
        </w:rPr>
      </w:pPr>
      <w:r>
        <w:rPr>
          <w:sz w:val="22"/>
        </w:rPr>
        <w:t xml:space="preserve">425. </w:t>
      </w:r>
      <w:r>
        <w:rPr>
          <w:sz w:val="22"/>
        </w:rPr>
        <w:tab/>
      </w:r>
      <w:r>
        <w:rPr>
          <w:spacing w:val="-2"/>
          <w:sz w:val="22"/>
        </w:rPr>
        <w:t>В настоящее время Коллегия адвокатов по защите прав граждан совместно с органами социального обеспечения Коста-Рики осуществляет деятельность, направленную на поддержку Консультационной службы. Речь идет о подтверждении значимости данной службы. Вопрос касается необходимости подготовки не только медицинского персонала мужского и женского пола, но и социальных работников, а также психологов, акушерок и других специалистов в этой сфере. Уровень профессиональной подготовки указанных специалистов гарантирует их восприимчивость к пониманию роли консультационной службы, которая в своей деятельности не должна опираться на субъективные представления о половых проблемах, на положительную или отрицательную их трактовку или пропаганду возраста начала половой жизни, а также на вопросы регистрации брака (Отделение по делам женщин при</w:t>
      </w:r>
      <w:r>
        <w:rPr>
          <w:sz w:val="22"/>
        </w:rPr>
        <w:t xml:space="preserve"> Коллегии адвокатов по защите прав граждан, цитируется по: </w:t>
      </w:r>
      <w:r>
        <w:rPr>
          <w:sz w:val="22"/>
          <w:lang w:val="en-US"/>
        </w:rPr>
        <w:t>Goldenberg</w:t>
      </w:r>
      <w:r>
        <w:rPr>
          <w:sz w:val="22"/>
        </w:rPr>
        <w:t>, 2001).</w:t>
      </w:r>
    </w:p>
    <w:p w:rsidR="00000000" w:rsidRDefault="00000000">
      <w:pPr>
        <w:tabs>
          <w:tab w:val="left" w:pos="680"/>
        </w:tabs>
        <w:spacing w:before="200" w:line="260" w:lineRule="exact"/>
        <w:jc w:val="both"/>
        <w:rPr>
          <w:spacing w:val="-2"/>
          <w:sz w:val="22"/>
        </w:rPr>
      </w:pPr>
      <w:r>
        <w:rPr>
          <w:sz w:val="22"/>
        </w:rPr>
        <w:t xml:space="preserve">426. </w:t>
      </w:r>
      <w:r>
        <w:rPr>
          <w:sz w:val="22"/>
        </w:rPr>
        <w:tab/>
      </w:r>
      <w:r>
        <w:rPr>
          <w:spacing w:val="-2"/>
          <w:sz w:val="22"/>
        </w:rPr>
        <w:t>Необходимо отметить роль и ответственность органов социального обеспечения, и прежде всего ККСС как учреждения, несущего ответственность за оказание медицинских услуг населению. Особая роль отводится мероприятиям, осуществляемым Секцией по вопросам охраны женского здоровья и направленным на претворение в жизнь исполнительного Декрета №  27913-</w:t>
      </w:r>
      <w:r>
        <w:rPr>
          <w:spacing w:val="-2"/>
          <w:sz w:val="22"/>
          <w:lang w:val="es-ES"/>
        </w:rPr>
        <w:t>S</w:t>
      </w:r>
      <w:r>
        <w:rPr>
          <w:spacing w:val="-2"/>
          <w:sz w:val="22"/>
        </w:rPr>
        <w:t xml:space="preserve"> в части подготовки медицинского персонала к консультационной деятельности, методов данной деятельности, а также утверждению данного постановления в ведомственной сфере, в особенности в части устранения препятствий юридического характера. Дело в том, что указанные препятствия использовались некоторыми врачами для оправдания собственных моральных, религиозных, культурных и других принципов, которые препятствовали ведению консультационной деятельности (Отделение по делам женщин при Коллегии адвокатов по защите прав граждан, цитируется по: </w:t>
      </w:r>
      <w:r>
        <w:rPr>
          <w:sz w:val="22"/>
          <w:lang w:val="en-US"/>
        </w:rPr>
        <w:t>Goldenberg</w:t>
      </w:r>
      <w:r>
        <w:rPr>
          <w:spacing w:val="-2"/>
          <w:sz w:val="22"/>
        </w:rPr>
        <w:t xml:space="preserve">, 2001). </w:t>
      </w:r>
    </w:p>
    <w:p w:rsidR="00000000" w:rsidRDefault="00000000">
      <w:pPr>
        <w:tabs>
          <w:tab w:val="left" w:pos="680"/>
        </w:tabs>
        <w:spacing w:before="200" w:line="260" w:lineRule="exact"/>
        <w:jc w:val="both"/>
        <w:rPr>
          <w:sz w:val="22"/>
        </w:rPr>
      </w:pPr>
      <w:r>
        <w:rPr>
          <w:sz w:val="22"/>
        </w:rPr>
        <w:t xml:space="preserve">427. </w:t>
      </w:r>
      <w:r>
        <w:rPr>
          <w:sz w:val="22"/>
        </w:rPr>
        <w:tab/>
        <w:t xml:space="preserve">Консультационная деятельность в основном представляла собой беседы, которые проводились несколько раз в неделю в больницах; во время бесед обсуждались вопросы репродуктивного здоровья, различные формы контроля рождаемости, включая стерилизацию. Хотя такие беседы и не были признаны оптимальным методом, а также формой изложения таких интимных проблем, как сексуальные, они превратились в единственный механизм ведения указанной работы. Считаем, что данный вид деятельности должен быть расширен за счет иных видов помощи, которую призвана оказывать указанная служба широкому кругу потребителей (Отделение по делам женщин при Коллегии адвокатов по защите прав граждан, цитируется по: </w:t>
      </w:r>
      <w:r>
        <w:rPr>
          <w:sz w:val="22"/>
          <w:lang w:val="en-US"/>
        </w:rPr>
        <w:t>Goldenberg</w:t>
      </w:r>
      <w:r>
        <w:rPr>
          <w:sz w:val="22"/>
        </w:rPr>
        <w:t>, 2001).</w:t>
      </w:r>
    </w:p>
    <w:p w:rsidR="00000000" w:rsidRDefault="00000000">
      <w:pPr>
        <w:tabs>
          <w:tab w:val="left" w:pos="680"/>
        </w:tabs>
        <w:spacing w:before="200" w:line="260" w:lineRule="exact"/>
        <w:jc w:val="both"/>
        <w:rPr>
          <w:sz w:val="22"/>
        </w:rPr>
      </w:pPr>
      <w:r>
        <w:rPr>
          <w:sz w:val="22"/>
        </w:rPr>
        <w:t xml:space="preserve">428. </w:t>
      </w:r>
      <w:r>
        <w:rPr>
          <w:sz w:val="22"/>
        </w:rPr>
        <w:tab/>
        <w:t xml:space="preserve">Несмотря на то что Министерство народного образования провело ряд мероприятий, остаются неосвещенными ряд вопросов, касающихся сексуального здоровья и сексуальных прав населения, а в системе образования существуют значительные трудности с точки зрения полноценного охвата данных вопросов. Ввиду указанных ограничений необходимо направить всемерные усилия на расширение вклада системы здравоохранения в сексуальное воспитание общества, на разъяснение того факта, что речь идет о правах, о понимании этих прав, об их реализации, а также о праве на защиту в случае нарушений в данной сфере (Отделение по делам женщин при Коллегии адвокатов по защите прав граждан, цитируется по: </w:t>
      </w:r>
      <w:r>
        <w:rPr>
          <w:sz w:val="22"/>
          <w:lang w:val="en-US"/>
        </w:rPr>
        <w:t>Goldenberg</w:t>
      </w:r>
      <w:r>
        <w:rPr>
          <w:sz w:val="22"/>
        </w:rPr>
        <w:t xml:space="preserve">, 2001). </w:t>
      </w:r>
    </w:p>
    <w:p w:rsidR="00000000" w:rsidRDefault="00000000">
      <w:pPr>
        <w:tabs>
          <w:tab w:val="left" w:pos="680"/>
        </w:tabs>
        <w:spacing w:before="240" w:line="260" w:lineRule="exact"/>
        <w:jc w:val="both"/>
        <w:rPr>
          <w:sz w:val="22"/>
        </w:rPr>
      </w:pPr>
      <w:r>
        <w:rPr>
          <w:sz w:val="22"/>
        </w:rPr>
        <w:t xml:space="preserve">429. </w:t>
      </w:r>
      <w:r>
        <w:rPr>
          <w:sz w:val="22"/>
        </w:rPr>
        <w:tab/>
        <w:t xml:space="preserve">В вопросе о стерилизации необходимо приложить особые усилия по информированию и подготовке, особенно в случае женщин с различной мотивацией (Отделение по делам женщин при Коллегии адвокатов по защите прав граждан, цитируется по: </w:t>
      </w:r>
      <w:r>
        <w:rPr>
          <w:sz w:val="22"/>
          <w:lang w:val="en-US"/>
        </w:rPr>
        <w:t>Goldenberg</w:t>
      </w:r>
      <w:r>
        <w:rPr>
          <w:sz w:val="22"/>
        </w:rPr>
        <w:t xml:space="preserve">, 2001): </w:t>
      </w:r>
    </w:p>
    <w:p w:rsidR="00000000" w:rsidRDefault="00000000">
      <w:pPr>
        <w:numPr>
          <w:ilvl w:val="0"/>
          <w:numId w:val="66"/>
        </w:numPr>
        <w:tabs>
          <w:tab w:val="clear" w:pos="360"/>
          <w:tab w:val="left" w:pos="340"/>
          <w:tab w:val="left" w:pos="680"/>
        </w:tabs>
        <w:spacing w:before="240" w:line="260" w:lineRule="exact"/>
        <w:ind w:left="340" w:hanging="340"/>
        <w:jc w:val="both"/>
        <w:rPr>
          <w:sz w:val="22"/>
        </w:rPr>
      </w:pPr>
      <w:r>
        <w:rPr>
          <w:sz w:val="22"/>
        </w:rPr>
        <w:t>"Необходимо информировать женщин о том, что стерилизация представляет собой хирургическое вмешательство с почти необратимыми последствиями (практически 100 процентов женщин, перенесших операцию по стерилизации, не смогут в будущем иметь детей). Необходимо давать четкие и ясные разъяснения женщинам, в особенности молодым, так как мы живем в стране, где лица, достигшие 18 лет, имеют право прибегнуть к стерилизации".</w:t>
      </w:r>
    </w:p>
    <w:p w:rsidR="00000000" w:rsidRDefault="00000000">
      <w:pPr>
        <w:numPr>
          <w:ilvl w:val="0"/>
          <w:numId w:val="66"/>
        </w:numPr>
        <w:tabs>
          <w:tab w:val="clear" w:pos="360"/>
          <w:tab w:val="left" w:pos="340"/>
          <w:tab w:val="left" w:pos="680"/>
        </w:tabs>
        <w:spacing w:before="240" w:line="260" w:lineRule="exact"/>
        <w:ind w:left="340" w:hanging="340"/>
        <w:jc w:val="both"/>
        <w:rPr>
          <w:spacing w:val="-2"/>
          <w:sz w:val="22"/>
        </w:rPr>
      </w:pPr>
      <w:r>
        <w:rPr>
          <w:sz w:val="22"/>
        </w:rPr>
        <w:t>"</w:t>
      </w:r>
      <w:r>
        <w:rPr>
          <w:spacing w:val="-2"/>
          <w:sz w:val="22"/>
        </w:rPr>
        <w:t>Стерилизация представляет собой хирургическое вмешательство в тело женщины посредством инструментов, медикаментов и т. д. По этой причине ни Комиссия, ни какие-либо из учреждений или организаций, входящих в ее состав, не являются защитниками стерилизации, а также не считают, что она является универсальным "методом". Тем не менее указанная альтернатива рассматривается многими женщинами как одна из самых эффективных и доступных. В 1992 году было устранено важное препятствие к проведению стерилизации, которое заключалось в необходимости подтверждения согласия мужа на ее проведение. Декрет утвердил право любого мужчины или женщины на принятие решения о стерилизации независимо от мнения другого супруга или лица, с которым они совместно проживают. Указанное положение декрета расширяет права и свободы женщин, которые, например, отказываются от применения химических средств контроля рождаемости или которые знают, что их сексуальный партнер отказывается от использования презерватива, или других женщин, состоящих в браке и ставших жертвами сексуального насилия со стороны супруга, но не готовых к разводу. Метод стерилизации дает этим женщинам чувство полной уверенности в том, что они не забеременеют".</w:t>
      </w:r>
    </w:p>
    <w:p w:rsidR="00000000" w:rsidRDefault="00000000">
      <w:pPr>
        <w:tabs>
          <w:tab w:val="left" w:pos="680"/>
        </w:tabs>
        <w:spacing w:before="240" w:line="260" w:lineRule="exact"/>
        <w:jc w:val="both"/>
        <w:rPr>
          <w:sz w:val="22"/>
        </w:rPr>
      </w:pPr>
      <w:r>
        <w:rPr>
          <w:sz w:val="22"/>
        </w:rPr>
        <w:t xml:space="preserve">430. </w:t>
      </w:r>
      <w:r>
        <w:rPr>
          <w:sz w:val="22"/>
        </w:rPr>
        <w:tab/>
        <w:t xml:space="preserve">Документальное согласие на проведение стерилизации заключается в предоставлении письменного подтверждения женщиной того, что она уведомлена о последствиях, то есть понимает и осознает характер последствий принятого ею решения. "Согласие на стерилизацию означает, что женщины не имеют права предъявлять судебные претензии к медицинским специалистам или больницам в случае осознания ими ошибочности принятого решения или возникновения желания снова иметь возможность рожать детей. Однако это не означает отказа от ответственности врачей за совершение медицинской ошибки. При проведении стерилизации специалисты-медики должны применять все свое профессиональное мастерство. Это является важным принципом и гуманитарным правом, которое имеют потребители обоих полов в данной сфере получения услуг" (Отделение по делам женщин при Коллегии адвокатов по защите прав граждан, цитируется по: </w:t>
      </w:r>
      <w:r>
        <w:rPr>
          <w:sz w:val="22"/>
          <w:lang w:val="en-US"/>
        </w:rPr>
        <w:t>Goldenberg</w:t>
      </w:r>
      <w:r>
        <w:rPr>
          <w:sz w:val="22"/>
        </w:rPr>
        <w:t>, 2001).</w:t>
      </w:r>
    </w:p>
    <w:p w:rsidR="00000000" w:rsidRDefault="00000000">
      <w:pPr>
        <w:tabs>
          <w:tab w:val="left" w:pos="680"/>
        </w:tabs>
        <w:spacing w:before="240" w:line="260" w:lineRule="exact"/>
        <w:jc w:val="both"/>
        <w:rPr>
          <w:spacing w:val="-2"/>
          <w:sz w:val="22"/>
        </w:rPr>
      </w:pPr>
      <w:r>
        <w:rPr>
          <w:sz w:val="22"/>
        </w:rPr>
        <w:t xml:space="preserve">431. </w:t>
      </w:r>
      <w:r>
        <w:rPr>
          <w:sz w:val="22"/>
        </w:rPr>
        <w:tab/>
      </w:r>
      <w:r>
        <w:rPr>
          <w:spacing w:val="-2"/>
          <w:sz w:val="22"/>
        </w:rPr>
        <w:t xml:space="preserve">Что касается вазектомии (стерилизации мужчин), то до настоящего времени очень небольшое число мужчин выбрали данный метод, что является фактом, вызывающим беспокойство. Кроме того, "исходя из концепции ответственности женщин за контроль над рождаемостью и за все, что связано с репродуктивной функцией, совершенно не принимается в расчет тот факт, что от одного мужчины в течение года сразу может забеременеть множество женщин, в то время как маловероятно, чтобы женщина имела более одной беременности в год. Тем не менее все репродуктивные программы, а также программы контроля над рождаемостью ориентированы на женщин, которые вынуждены нести полную ответственность за беременность или прибегать к иным методам, чтобы избежать рождения нежелательных детей" (Отделение по делам женщин при Коллегии адвокатов по защите прав граждан, цитируется по: </w:t>
      </w:r>
      <w:r>
        <w:rPr>
          <w:sz w:val="22"/>
          <w:lang w:val="en-US"/>
        </w:rPr>
        <w:t>Goldenberg</w:t>
      </w:r>
      <w:r>
        <w:rPr>
          <w:spacing w:val="-2"/>
          <w:sz w:val="22"/>
        </w:rPr>
        <w:t xml:space="preserve">, 2001). </w:t>
      </w:r>
    </w:p>
    <w:p w:rsidR="00000000" w:rsidRDefault="00000000">
      <w:pPr>
        <w:tabs>
          <w:tab w:val="left" w:pos="680"/>
        </w:tabs>
        <w:spacing w:before="240" w:line="260" w:lineRule="exact"/>
        <w:jc w:val="both"/>
        <w:rPr>
          <w:sz w:val="22"/>
        </w:rPr>
      </w:pPr>
      <w:r>
        <w:rPr>
          <w:sz w:val="22"/>
        </w:rPr>
        <w:t>432.</w:t>
      </w:r>
      <w:r>
        <w:rPr>
          <w:sz w:val="22"/>
        </w:rPr>
        <w:tab/>
        <w:t xml:space="preserve">Указанная проблема послужила поводом для предложения, выдвинутого Национальной комиссией по вопросам сексуального и репродуктивного здоровья, по проведению пропагандистской кампании среди мужчин, направленной на разъяснение их ответственности в вопросах права на сексуальное и репродуктивное здоровье. Метод стерилизации мужчин в сравнении со стерилизацией женщин гораздо менее рискован, он проводится в амбулаторных условиях и является менее затратным для системы здравоохранения. "Таким образом, для системы с экономической точки зрения более выгодно финансировать кампанию и призывать мужчин к ответственности через проведение стерилизации, конечно, при условии применения всех необходимых мер предосторожности" (Отделение по делам женщин при Коллегии адвокатов по защите прав граждан, цитируется по: </w:t>
      </w:r>
      <w:r>
        <w:rPr>
          <w:sz w:val="22"/>
          <w:lang w:val="en-US"/>
        </w:rPr>
        <w:t>Goldenberg</w:t>
      </w:r>
      <w:r>
        <w:rPr>
          <w:sz w:val="22"/>
        </w:rPr>
        <w:t>, 2001).</w:t>
      </w:r>
    </w:p>
    <w:p w:rsidR="00000000" w:rsidRDefault="00000000">
      <w:pPr>
        <w:tabs>
          <w:tab w:val="left" w:pos="680"/>
        </w:tabs>
        <w:spacing w:before="240" w:line="260" w:lineRule="exact"/>
        <w:jc w:val="both"/>
        <w:rPr>
          <w:sz w:val="22"/>
        </w:rPr>
      </w:pPr>
      <w:r>
        <w:rPr>
          <w:sz w:val="22"/>
        </w:rPr>
        <w:t xml:space="preserve">433. </w:t>
      </w:r>
      <w:r>
        <w:rPr>
          <w:sz w:val="22"/>
        </w:rPr>
        <w:tab/>
        <w:t>Отдел женского здоровья Департамента профилактической медицины при ККСС провел ряд мероприятий с целью разъяснения сущности хирургических вмешательств. Проводились консультации по юридическим, техническим и морально-этическим вопросам. В 2000 и 2001 годах Управлением больниц и клиник были приняты директивы, в которых была обозначена роль консультационной службы в проведении хирургической стерилизации, а также содержалось требование распустить комитеты по стерилизации в тех медицинских учреждениях, в которых они существовали на тот момент, а взамен комитетов образовать консультационные группы и внедрить их на всех уровнях медицинского обслуживания. Кроме того, требовалось обеспечить равноправные условия доступа мужчин и женщин в консультационную службу, а также к методам хирургической контрацепции как временного, так и постоянного характера, устранить все требования, противоречащие положениям Декрета № 27913-</w:t>
      </w:r>
      <w:r>
        <w:rPr>
          <w:sz w:val="22"/>
          <w:lang w:val="es-ES"/>
        </w:rPr>
        <w:t>S</w:t>
      </w:r>
      <w:r>
        <w:rPr>
          <w:sz w:val="22"/>
        </w:rPr>
        <w:t xml:space="preserve">, с целью предупреждения дискриминационной практики. Кроме того, указывалось на необходимость располагать специальным органом для подачи жалоб, предложений, мнений и рекомендаций в отношении указанной службы, которые должны учитываться и находить эффективное применение на практике (Отделение по делам женщин при Коллегии адвокатов по защите прав граждан, цитируется по: </w:t>
      </w:r>
      <w:r>
        <w:rPr>
          <w:sz w:val="22"/>
          <w:lang w:val="en-US"/>
        </w:rPr>
        <w:t>Goldenberg</w:t>
      </w:r>
      <w:r>
        <w:rPr>
          <w:sz w:val="22"/>
        </w:rPr>
        <w:t>, 2001).</w:t>
      </w:r>
    </w:p>
    <w:p w:rsidR="00000000" w:rsidRDefault="00000000">
      <w:pPr>
        <w:tabs>
          <w:tab w:val="left" w:pos="680"/>
        </w:tabs>
        <w:spacing w:before="240" w:line="260" w:lineRule="exact"/>
        <w:jc w:val="both"/>
        <w:rPr>
          <w:sz w:val="22"/>
        </w:rPr>
      </w:pPr>
      <w:r>
        <w:rPr>
          <w:sz w:val="22"/>
        </w:rPr>
        <w:t>434.</w:t>
      </w:r>
      <w:r>
        <w:rPr>
          <w:sz w:val="22"/>
        </w:rPr>
        <w:tab/>
        <w:t xml:space="preserve">По мнению женских организаций, опрошенных в ходе подготовки данного доклада, процесс внедрения консультационных служб сталкивается со значительными трудностями. Кроме того, существуют препятствия культурного и идеологического характера. В сознании специалистов, занятых в системе здравоохранения, все еще присутствуют определенные предрассудки и мифы, касающиеся материнства и женского организма. </w:t>
      </w:r>
    </w:p>
    <w:p w:rsidR="00000000" w:rsidRDefault="00000000">
      <w:pPr>
        <w:pStyle w:val="BodyText"/>
        <w:tabs>
          <w:tab w:val="left" w:pos="680"/>
        </w:tabs>
        <w:spacing w:line="260" w:lineRule="exact"/>
        <w:rPr>
          <w:sz w:val="22"/>
        </w:rPr>
      </w:pPr>
    </w:p>
    <w:p w:rsidR="00000000" w:rsidRDefault="00000000">
      <w:pPr>
        <w:pStyle w:val="BodyText"/>
        <w:tabs>
          <w:tab w:val="left" w:pos="680"/>
        </w:tabs>
        <w:spacing w:before="240" w:line="260" w:lineRule="exact"/>
        <w:jc w:val="left"/>
        <w:rPr>
          <w:b/>
          <w:sz w:val="22"/>
        </w:rPr>
      </w:pPr>
      <w:r>
        <w:rPr>
          <w:b/>
          <w:sz w:val="22"/>
        </w:rPr>
        <w:t xml:space="preserve">Приведение норм и стандартов в сфере сексуального и репродуктивного здоровья </w:t>
      </w:r>
      <w:r>
        <w:rPr>
          <w:b/>
          <w:sz w:val="22"/>
        </w:rPr>
        <w:br/>
        <w:t>в соответствие с требованиями сегодняшнего дня</w:t>
      </w:r>
    </w:p>
    <w:p w:rsidR="00000000" w:rsidRDefault="00000000">
      <w:pPr>
        <w:tabs>
          <w:tab w:val="left" w:pos="680"/>
        </w:tabs>
        <w:spacing w:before="240" w:line="260" w:lineRule="exact"/>
        <w:jc w:val="both"/>
        <w:rPr>
          <w:spacing w:val="-2"/>
          <w:sz w:val="22"/>
        </w:rPr>
      </w:pPr>
      <w:r>
        <w:rPr>
          <w:sz w:val="22"/>
        </w:rPr>
        <w:t>435.</w:t>
      </w:r>
      <w:r>
        <w:rPr>
          <w:sz w:val="22"/>
        </w:rPr>
        <w:tab/>
      </w:r>
      <w:r>
        <w:rPr>
          <w:spacing w:val="-2"/>
          <w:sz w:val="22"/>
        </w:rPr>
        <w:t xml:space="preserve">В сфере репродуктивного и сексуального здоровья существуют определенные нормы и стандарты. Ввиду того что служба здравоохранения базируется на биологической модели, вопрос сексуального и репродуктивного здоровья до сегодняшнего дня ограничивался проблемами оказания помощи в сфере биологической репродукции. Все существующие нормы были нацелены на указанные процессы. Однако технические нормы и стандарты должны соответствовать интегрированной концепции сексуального здоровья, сексуальных прав, репродуктивного здоровья и репродуктивных прав. Общие направления, по которым осуществляет свою деятельность Комиссия, должны в итоге привести к формулированию технических норм, а затем к их практическому претворению. Данный процесс имеет огромное значение, так как в итоге именно практическая деятельность будет определять качество медицинских услуг, а перемены на этом уровне обычно бывают дорогостоящими и требуют длительного времени. Текущий анализ показывает, что практическая деятельность по внедрению новых стандартов и норм носит ограниченный характер, поскольку, как мы уже указывали, система в течение длительного времени соответствовала биологической модели. </w:t>
      </w:r>
    </w:p>
    <w:p w:rsidR="00000000" w:rsidRDefault="00000000">
      <w:pPr>
        <w:tabs>
          <w:tab w:val="left" w:pos="680"/>
        </w:tabs>
        <w:spacing w:before="240" w:line="260" w:lineRule="exact"/>
        <w:jc w:val="both"/>
        <w:rPr>
          <w:sz w:val="22"/>
        </w:rPr>
      </w:pPr>
      <w:r>
        <w:rPr>
          <w:sz w:val="22"/>
        </w:rPr>
        <w:t xml:space="preserve">436. </w:t>
      </w:r>
      <w:r>
        <w:rPr>
          <w:sz w:val="22"/>
        </w:rPr>
        <w:tab/>
        <w:t xml:space="preserve">Новый подход к нормам призван сыграть важную роль в определении проблематики сексуального здоровья и сексуальных и репродуктивных прав и быть направлен на реформирование практики. В новых нормах будут учтены новые задачи или проблемы качественного осуществления уже запланированных задач. В отдельных случаях не так важна задача, как способ и качество ее осуществления. С большой уверенностью можно сказать, что изменения приведут к возрастанию активности потребителей услуг, к формированию у них коллективного и организованного подхода. </w:t>
      </w:r>
    </w:p>
    <w:p w:rsidR="00000000" w:rsidRDefault="00000000">
      <w:pPr>
        <w:tabs>
          <w:tab w:val="left" w:pos="680"/>
        </w:tabs>
        <w:spacing w:before="240" w:line="260" w:lineRule="exact"/>
        <w:jc w:val="both"/>
        <w:rPr>
          <w:sz w:val="22"/>
        </w:rPr>
      </w:pPr>
      <w:r>
        <w:rPr>
          <w:sz w:val="22"/>
        </w:rPr>
        <w:t xml:space="preserve">437. </w:t>
      </w:r>
      <w:r>
        <w:rPr>
          <w:sz w:val="22"/>
        </w:rPr>
        <w:tab/>
        <w:t xml:space="preserve">Необходимо иметь в виду, что существующие нормы в настоящее время нередко противоречат формулировкам управленческих инструкций в сфере здравоохранения и по этой причине являются недейственными. Наблюдается тенденция придания приоритетного значения управленческим инструкциям, согласованным с организациями, отвечающими за финансирование, в ущерб имеющимся нормам, которые не всегда включаются в управленческие инструкции. Такая схема приводит к изменениям правил игры, даже в рамках господствующей биологической модели. </w:t>
      </w:r>
    </w:p>
    <w:p w:rsidR="00000000" w:rsidRDefault="00000000">
      <w:pPr>
        <w:tabs>
          <w:tab w:val="left" w:pos="680"/>
        </w:tabs>
        <w:spacing w:before="240" w:line="260" w:lineRule="exact"/>
        <w:jc w:val="both"/>
        <w:rPr>
          <w:sz w:val="22"/>
        </w:rPr>
      </w:pPr>
      <w:r>
        <w:rPr>
          <w:sz w:val="22"/>
        </w:rPr>
        <w:t xml:space="preserve">438. </w:t>
      </w:r>
      <w:r>
        <w:rPr>
          <w:sz w:val="22"/>
        </w:rPr>
        <w:tab/>
        <w:t>На основании опыта Женской клинической больницы и других учреждений была сделана попытка пересмотра управленческих инструкций. Эта деятельность развивалась в двух направлениях. С одной стороны, с целью внедрения модели комплексного подхода к охране здоровья женщин были разработаны управленческие параметры на 2003 год. Из предложенных параметров были приняты пять, направленных на совершенствование управления учреждениями системы здравоохранения, развитие комплексных программ, обеспечение реального участия женщин в разработке программ и проектов и принятии решений, повышение качества медицинского обслуживания и развитие гуманитарного ресурса с точки зрения гуманитарных и гендерных прав. С другой стороны, было внесено предложение об учреждении Межведомственной комиссии, целью деятельности которой должен стать систематический пересмотр таких параметров и ориентиров, как нормы, регламенты, методы и способы сбора информации и др.</w:t>
      </w:r>
    </w:p>
    <w:p w:rsidR="00000000" w:rsidRDefault="00000000">
      <w:pPr>
        <w:tabs>
          <w:tab w:val="left" w:pos="680"/>
        </w:tabs>
        <w:spacing w:line="260" w:lineRule="exact"/>
        <w:jc w:val="both"/>
        <w:rPr>
          <w:sz w:val="22"/>
        </w:rPr>
      </w:pPr>
    </w:p>
    <w:p w:rsidR="00000000" w:rsidRDefault="00000000">
      <w:pPr>
        <w:pStyle w:val="Heading1"/>
        <w:tabs>
          <w:tab w:val="left" w:pos="680"/>
        </w:tabs>
        <w:spacing w:before="240" w:line="260" w:lineRule="exact"/>
        <w:jc w:val="both"/>
        <w:rPr>
          <w:sz w:val="22"/>
        </w:rPr>
      </w:pPr>
      <w:r>
        <w:rPr>
          <w:sz w:val="22"/>
        </w:rPr>
        <w:t>Онкологические заболевания у женщин</w:t>
      </w:r>
    </w:p>
    <w:p w:rsidR="00000000" w:rsidRDefault="00000000">
      <w:pPr>
        <w:tabs>
          <w:tab w:val="left" w:pos="680"/>
        </w:tabs>
        <w:spacing w:before="240" w:line="260" w:lineRule="exact"/>
        <w:jc w:val="both"/>
        <w:rPr>
          <w:sz w:val="22"/>
        </w:rPr>
      </w:pPr>
      <w:r>
        <w:rPr>
          <w:sz w:val="22"/>
        </w:rPr>
        <w:t xml:space="preserve">439. </w:t>
      </w:r>
      <w:r>
        <w:rPr>
          <w:sz w:val="22"/>
        </w:rPr>
        <w:tab/>
        <w:t>Онкологические заболевания получили значительное распространение среди населения Коста-Рики, как и среди населения мира в целом. Некоторые специалисты утверждают, что речь идет об эпидемии. Основными формами онкологических заболеваний, распространенных среди коста-риканских женщин, являются следующие: рак матки, рак молочной железы и рак желудка.</w:t>
      </w:r>
    </w:p>
    <w:p w:rsidR="00000000" w:rsidRDefault="00000000">
      <w:pPr>
        <w:tabs>
          <w:tab w:val="left" w:pos="680"/>
        </w:tabs>
        <w:spacing w:before="240" w:line="260" w:lineRule="exact"/>
        <w:jc w:val="both"/>
        <w:rPr>
          <w:spacing w:val="-2"/>
          <w:sz w:val="22"/>
        </w:rPr>
      </w:pPr>
      <w:r>
        <w:rPr>
          <w:sz w:val="22"/>
        </w:rPr>
        <w:t xml:space="preserve">440. </w:t>
      </w:r>
      <w:r>
        <w:rPr>
          <w:sz w:val="22"/>
        </w:rPr>
        <w:tab/>
      </w:r>
      <w:r>
        <w:rPr>
          <w:spacing w:val="-2"/>
          <w:sz w:val="22"/>
        </w:rPr>
        <w:t xml:space="preserve">Что касается заболеваемости раком шейки матки и раком молочной железы, то в результате целенаправленной деятельности, развернутой в первой половине 1990-х годов, с 1995 по 2000 год наметилась тенденция к снижению уровня заболеваемости этими формами рака. Так, показатели заболевания раком молочной железы снизились с 9 на каждые 100 000 женщин до 6,4. С начала 1990-х годов рак молочной железы стал второй по распространенности причиной женской смертности в результате онкологических заболеваний. Наметившиеся тенденции стали результатом усилий государства, направленных на улучшение качества профилактики указанного заболевания. Согласно данным, полученным в ходе проведения Национального опроса по вопросам репродуктивного здоровья, в Коста-Рике имеются значительные достижения в сфере профилактики заболеваний женщин репродуктивного возраста (от 18 до 44 лет). Практическим проявлением достигнутых успехов является рост числа женщин, прошедших обследования по методике </w:t>
      </w:r>
      <w:r>
        <w:rPr>
          <w:spacing w:val="-2"/>
          <w:sz w:val="22"/>
          <w:lang w:val="es-ES"/>
        </w:rPr>
        <w:t>Papanicolau</w:t>
      </w:r>
      <w:r>
        <w:rPr>
          <w:spacing w:val="-2"/>
          <w:sz w:val="22"/>
        </w:rPr>
        <w:t>, само обследование молочной железы (хотя и в меньшей степени), а также рост количества прививок против столбняка (число привитых женщин увеличилось с 58 процентов в 1992 году до 74 процентов в 1999 году).</w:t>
      </w:r>
    </w:p>
    <w:p w:rsidR="00000000" w:rsidRDefault="00000000">
      <w:pPr>
        <w:tabs>
          <w:tab w:val="left" w:pos="680"/>
        </w:tabs>
        <w:spacing w:before="240" w:line="260" w:lineRule="exact"/>
        <w:jc w:val="both"/>
        <w:rPr>
          <w:sz w:val="22"/>
        </w:rPr>
      </w:pPr>
      <w:r>
        <w:rPr>
          <w:sz w:val="22"/>
        </w:rPr>
        <w:t xml:space="preserve">441. </w:t>
      </w:r>
      <w:r>
        <w:rPr>
          <w:sz w:val="22"/>
        </w:rPr>
        <w:tab/>
        <w:t xml:space="preserve">С целью борьбы с онкологическими заболеваниями была учреждена Национальная программа предупреждения и лечения рака шейки матки и рака молочной железы и оказания медицинской помощи заболевшим женщинам. Координация данной программы осуществляется Канцелярией первой дамы при участии ККСС, Министерства здравоохранения и Национального института по делам женщин. Благодаря мероприятиям, проводимым в рамках данной программы, удалось повысить до 60 процентов от общего количества число женщин, прошедших цитологические обследования. При помощи таких форм, как беседы, публичные мероприятия, встречи, были достигнуты значительные успехи в пропаганде необходимости ведения борьбы против этих страшных заболеваний, уносящих жизни женщин. Осуществление проекта было направлено главным образом на район Атлантического побережья и Центра Коста-Рики. </w:t>
      </w:r>
    </w:p>
    <w:p w:rsidR="00000000" w:rsidRDefault="00000000">
      <w:pPr>
        <w:tabs>
          <w:tab w:val="left" w:pos="680"/>
        </w:tabs>
        <w:spacing w:before="240" w:line="260" w:lineRule="exact"/>
        <w:jc w:val="both"/>
        <w:rPr>
          <w:spacing w:val="-2"/>
          <w:sz w:val="22"/>
        </w:rPr>
      </w:pPr>
      <w:r>
        <w:rPr>
          <w:sz w:val="22"/>
        </w:rPr>
        <w:t>442.</w:t>
      </w:r>
      <w:r>
        <w:rPr>
          <w:sz w:val="22"/>
        </w:rPr>
        <w:tab/>
      </w:r>
      <w:r>
        <w:rPr>
          <w:spacing w:val="-2"/>
          <w:sz w:val="22"/>
        </w:rPr>
        <w:t xml:space="preserve">В ведущих клинических больницах страны осуществляются программы по раннему выявлению и лечению онкологических заболеваний. Исследование по методике </w:t>
      </w:r>
      <w:r>
        <w:rPr>
          <w:spacing w:val="-2"/>
          <w:sz w:val="22"/>
          <w:lang w:val="es-ES"/>
        </w:rPr>
        <w:t>Papanicolau</w:t>
      </w:r>
      <w:r>
        <w:rPr>
          <w:spacing w:val="-2"/>
          <w:sz w:val="22"/>
        </w:rPr>
        <w:t>, так же как маммография, представляет собой эффективную форму борьбы с онкологическими заболеваниями среди женщин группы повышенного риска. Необходимо отметить, что в настоящее время не все больницы и клиники располагают оборудованием для проведения маммографии. Пропаганда необходимости диагностики онкологических заболеваний на ранних этапах привела к значительным успехам в формировании осознанной необходимости прохождения указанных обследований. Однако складывается впечатление, что существующая система здравоохранения не способна полностью удовлетворить данную потребность.</w:t>
      </w:r>
    </w:p>
    <w:p w:rsidR="00000000" w:rsidRDefault="00000000">
      <w:pPr>
        <w:tabs>
          <w:tab w:val="left" w:pos="680"/>
        </w:tabs>
        <w:spacing w:before="240" w:line="260" w:lineRule="exact"/>
        <w:jc w:val="both"/>
        <w:rPr>
          <w:sz w:val="22"/>
        </w:rPr>
      </w:pPr>
      <w:r>
        <w:rPr>
          <w:sz w:val="22"/>
        </w:rPr>
        <w:t xml:space="preserve">443. </w:t>
      </w:r>
      <w:r>
        <w:rPr>
          <w:sz w:val="22"/>
        </w:rPr>
        <w:tab/>
        <w:t xml:space="preserve">Под руководством Женской клинической больницы был проведен ряд мероприятий, направленных на внедрение Программы комплексного подхода в системе здравоохранения к заболеваниям раком молочной железы и шейки матки. Данная работа проводилась совместно с органами здравоохранения Акосты, Асерри и Десампарадоса. В мероприятиях приняла участие группа в составе 60 женщин-лидеров из указанных регионов, а также межведомственная группа в составе врача, медсестры, социального работника, психолога и административного работника. В настоящее время программа кроме оказания медицинской помощи направлена на усиление роли профилактической деятельности и создание женских групп взаимопомощи. Благодаря осуществлению программы наряду с открытием стационарного медицинского обслуживания по месту жительства, проведением планирования и финансирования годовых программ деятельности всех служб, принимающих участие в реализации данной программы, а также координации деятельности 1-й и </w:t>
      </w:r>
      <w:r>
        <w:rPr>
          <w:sz w:val="22"/>
        </w:rPr>
        <w:br/>
        <w:t xml:space="preserve">2-й ступеней системы здравоохранения была создана 3-я ступень. </w:t>
      </w:r>
    </w:p>
    <w:p w:rsidR="00000000" w:rsidRDefault="00000000">
      <w:pPr>
        <w:tabs>
          <w:tab w:val="left" w:pos="680"/>
        </w:tabs>
        <w:spacing w:before="240" w:line="260" w:lineRule="exact"/>
        <w:jc w:val="both"/>
        <w:rPr>
          <w:sz w:val="22"/>
        </w:rPr>
      </w:pPr>
      <w:r>
        <w:rPr>
          <w:sz w:val="22"/>
        </w:rPr>
        <w:t xml:space="preserve">444. </w:t>
      </w:r>
      <w:r>
        <w:rPr>
          <w:sz w:val="22"/>
        </w:rPr>
        <w:tab/>
        <w:t xml:space="preserve">Огромное число женщин обратилось с просьбой провести маммографию в Национальный фонд солидарности в борьбе с раком (ФУНДЕСО), который оказывает медицинскую помощь на безвозмездной основе. Причиной обращений явился тот факт, что в больнице Сан-Хуан де Диос необходимо дожидаться очереди на обследование в течение года. Это указывает на существование огромной потребности в проведении медицинского обследования. Кроме того, ФУНДЕСО занимается предоставлением женщинам, перенесшим операцию по удалению молочной железы, протезов железы, а также специальных бюстгальтеров. По мнению Марлен Кастро, волонтера ФУНДЕСО, больница Сан-Хуан де Диос приобретает наибольшее количество протезов для женщин. Однако в Коста-Рике есть больницы, которые вообще их не приобретают. В течение отчетного периода организация обеспечила протезами 90 процентов обратившихся женщин, перенесших операцию по удалению молочной железы. </w:t>
      </w:r>
    </w:p>
    <w:p w:rsidR="00000000" w:rsidRDefault="00000000">
      <w:pPr>
        <w:numPr>
          <w:ilvl w:val="0"/>
          <w:numId w:val="60"/>
        </w:numPr>
        <w:tabs>
          <w:tab w:val="clear" w:pos="1230"/>
          <w:tab w:val="left" w:pos="680"/>
        </w:tabs>
        <w:spacing w:before="240" w:line="260" w:lineRule="exact"/>
        <w:ind w:left="0" w:firstLine="0"/>
        <w:jc w:val="both"/>
        <w:rPr>
          <w:spacing w:val="-4"/>
          <w:sz w:val="22"/>
        </w:rPr>
      </w:pPr>
      <w:r>
        <w:rPr>
          <w:spacing w:val="-4"/>
          <w:sz w:val="22"/>
        </w:rPr>
        <w:t>В этом году ФУНДЕСО принял 5400 женщин, которые обратились за помощью или консультацией, включая женщин, страдающих раком. ФУНДЕСО в своей работе опирался на помощь групп поддержки. Однако, как отмечает Кастро, за отчетный период востребованность групп поддержки снизилась, так как сами женщины организовываются и сплачиваются вокруг проблемы защиты здоровья и борьбы с раком. Ярким примером может послужить деятельность группы КАМЕС ("Рак, Любовь и Надежда") из Трес Риос, которую основали женщины, излечившиеся от рака, а также женщины, им страдающие. Такая деятельность имеет большое значение, так как показывает, что женщины выходят из зоны умолчания и освобождаются от замкнутости, к которой всегда приводило данное заболевание. Женщины находят поддержку и помощь, начинают анализировать возможные причины данного заболевания. Группа "Женщины против рака" из Алахуэлиты была создана по совместной инициативе Кармен Муньос, которая родилась в этом городе, а также ассоциации "Женщины и защита здоровья" (</w:t>
      </w:r>
      <w:r>
        <w:rPr>
          <w:spacing w:val="-4"/>
          <w:sz w:val="22"/>
          <w:lang w:val="es-ES"/>
        </w:rPr>
        <w:t>AME</w:t>
      </w:r>
      <w:r>
        <w:rPr>
          <w:spacing w:val="-4"/>
          <w:sz w:val="22"/>
        </w:rPr>
        <w:t>С). В указанное объединение входят женщины из группы повышенного риска, бабушки и матери которых умерли от рака. Женщины хотят исключить эту болезнь из своих жизней, они пытаются идентифицировать элементы риска, обнаружить критические фазы развития рака. Ожидается, что каждая женщина сможет добиться значительных перемен в характере своего питания, образе жизни, сексуальных отношениях и материнстве, противостоя и борясь с "неизбежной" генетической наследственностью этой жестокой болезни.</w:t>
      </w:r>
    </w:p>
    <w:p w:rsidR="00000000" w:rsidRDefault="00000000">
      <w:pPr>
        <w:tabs>
          <w:tab w:val="left" w:pos="680"/>
        </w:tabs>
        <w:spacing w:line="260" w:lineRule="exact"/>
        <w:jc w:val="both"/>
        <w:rPr>
          <w:sz w:val="22"/>
        </w:rPr>
      </w:pPr>
    </w:p>
    <w:p w:rsidR="00000000" w:rsidRDefault="00000000">
      <w:pPr>
        <w:pStyle w:val="Heading2"/>
        <w:tabs>
          <w:tab w:val="left" w:pos="680"/>
        </w:tabs>
        <w:spacing w:before="240" w:line="260" w:lineRule="exact"/>
        <w:jc w:val="both"/>
        <w:rPr>
          <w:sz w:val="22"/>
        </w:rPr>
      </w:pPr>
      <w:r>
        <w:rPr>
          <w:smallCaps w:val="0"/>
          <w:sz w:val="22"/>
        </w:rPr>
        <w:t xml:space="preserve">Заболевания </w:t>
      </w:r>
      <w:r>
        <w:rPr>
          <w:sz w:val="22"/>
        </w:rPr>
        <w:t>ВИЧ/</w:t>
      </w:r>
      <w:r>
        <w:rPr>
          <w:caps/>
          <w:smallCaps w:val="0"/>
          <w:sz w:val="22"/>
        </w:rPr>
        <w:t>спид</w:t>
      </w:r>
      <w:r>
        <w:rPr>
          <w:smallCaps w:val="0"/>
          <w:sz w:val="22"/>
        </w:rPr>
        <w:t>ом</w:t>
      </w:r>
      <w:r>
        <w:rPr>
          <w:sz w:val="22"/>
        </w:rPr>
        <w:t xml:space="preserve"> </w:t>
      </w:r>
      <w:r>
        <w:rPr>
          <w:smallCaps w:val="0"/>
          <w:sz w:val="22"/>
        </w:rPr>
        <w:t>среди женщин</w:t>
      </w:r>
    </w:p>
    <w:p w:rsidR="00000000" w:rsidRDefault="00000000">
      <w:pPr>
        <w:tabs>
          <w:tab w:val="left" w:pos="680"/>
        </w:tabs>
        <w:spacing w:before="240" w:line="260" w:lineRule="exact"/>
        <w:jc w:val="both"/>
        <w:rPr>
          <w:sz w:val="22"/>
        </w:rPr>
      </w:pPr>
      <w:r>
        <w:rPr>
          <w:sz w:val="22"/>
        </w:rPr>
        <w:t xml:space="preserve">446. </w:t>
      </w:r>
      <w:r>
        <w:rPr>
          <w:sz w:val="22"/>
        </w:rPr>
        <w:tab/>
        <w:t>Заболеваемость СПИДом получает все большее распространение среди женщин, чаще молодых и из бедных семей (</w:t>
      </w:r>
      <w:r>
        <w:rPr>
          <w:sz w:val="22"/>
          <w:lang w:val="en-US"/>
        </w:rPr>
        <w:t>Arroba</w:t>
      </w:r>
      <w:r>
        <w:rPr>
          <w:sz w:val="22"/>
        </w:rPr>
        <w:t xml:space="preserve">, 2001; </w:t>
      </w:r>
      <w:r>
        <w:rPr>
          <w:sz w:val="22"/>
          <w:lang w:val="en-US"/>
        </w:rPr>
        <w:t>Guzm</w:t>
      </w:r>
      <w:r>
        <w:rPr>
          <w:sz w:val="22"/>
        </w:rPr>
        <w:t>á</w:t>
      </w:r>
      <w:r>
        <w:rPr>
          <w:sz w:val="22"/>
          <w:lang w:val="en-US"/>
        </w:rPr>
        <w:t>n</w:t>
      </w:r>
      <w:r>
        <w:rPr>
          <w:sz w:val="22"/>
        </w:rPr>
        <w:t xml:space="preserve">, 2001). </w:t>
      </w:r>
    </w:p>
    <w:p w:rsidR="00000000" w:rsidRDefault="00000000">
      <w:pPr>
        <w:tabs>
          <w:tab w:val="left" w:pos="680"/>
        </w:tabs>
        <w:spacing w:before="240" w:line="260" w:lineRule="exact"/>
        <w:jc w:val="both"/>
        <w:rPr>
          <w:sz w:val="22"/>
        </w:rPr>
      </w:pPr>
      <w:r>
        <w:rPr>
          <w:sz w:val="22"/>
        </w:rPr>
        <w:t>447.</w:t>
      </w:r>
      <w:r>
        <w:rPr>
          <w:sz w:val="22"/>
        </w:rPr>
        <w:tab/>
        <w:t xml:space="preserve">Среди женского населения Коста-Рики первый случай СПИДа был зарегистрирован в 1986 году, а среди мужчин – в 1983 году. К 1990 году заболеваемость СПИДом среди женщин достигла 21 случая. В период 1991–1995 годов было зарегистрировано 65 новых случаев, а в 1996–2000 годах их количество достигло 153. Начиная с 1998 года наметилась тенденция к снижению заболеваемости СПИДом, в то время как до указанного года число заболевших постоянно возрастало. Количество новых случаев заболеваний СПИДом среди представителей обоих полов в 1999 году (173) и в 2000 году (125) указывает на значительное снижение темпов роста по сравнению с данными за 1998 год (270 случаев). Среди общего числа заболевших СПИДом начиная с 1983 года женщины составляют 12 процентов (Национальный совет по комплексной борьбе с ВИЧ/СПИДом, 2001 год). </w:t>
      </w:r>
    </w:p>
    <w:p w:rsidR="00000000" w:rsidRDefault="00000000">
      <w:pPr>
        <w:tabs>
          <w:tab w:val="left" w:pos="680"/>
        </w:tabs>
        <w:spacing w:before="240" w:line="260" w:lineRule="exact"/>
        <w:jc w:val="both"/>
        <w:rPr>
          <w:spacing w:val="-2"/>
          <w:sz w:val="22"/>
        </w:rPr>
      </w:pPr>
      <w:r>
        <w:rPr>
          <w:sz w:val="22"/>
        </w:rPr>
        <w:t xml:space="preserve">448. </w:t>
      </w:r>
      <w:r>
        <w:rPr>
          <w:sz w:val="22"/>
        </w:rPr>
        <w:tab/>
      </w:r>
      <w:r>
        <w:rPr>
          <w:spacing w:val="-2"/>
          <w:sz w:val="22"/>
        </w:rPr>
        <w:t>Начиная с 1985 года системой здравоохранения (Министерство здравоохранения и Фонд социального обеспечения Коста-Рики) была проведена значительная работа по предотвращению распространения данного заболевания. Была создана Национальная комиссия по борьбе со СПИДом. В результате принятия в 1998 году Закона о ВИЧ/СПИДе № 7771 Комиссия была преобразована в Совет по комплексной борьбе с ВИЧ/СПИДом, в состав которого вошли представители органов здравоохранения, образования, юстиции, неправительственных организаций, а также носителей ВИЧ-инфекции</w:t>
      </w:r>
      <w:r>
        <w:rPr>
          <w:rStyle w:val="FootnoteReference"/>
          <w:spacing w:val="-2"/>
          <w:sz w:val="22"/>
        </w:rPr>
        <w:footnoteReference w:id="24"/>
      </w:r>
      <w:r>
        <w:rPr>
          <w:spacing w:val="-2"/>
          <w:sz w:val="22"/>
        </w:rPr>
        <w:t>. Закон и Регламент его исполнения предусматривают индивидуальную и коллективную защиту прав ВИЧ-инфицированных, а также соответствующую юридическую ответственность. В Протоколах о лечении ретровирусных инфекций, об оказании медицинской помощи инфицированным беременным женщинам, а также о контроле за распространением инфекции в стоматологических клиниках предусмотрены меры по медицинскому обслуживанию инфицированных и лиц с подозрением на ВИЧ-инфекцию. Внедрение гендерного подхода к решению стратегических задач в этой области является перспективной целью.</w:t>
      </w:r>
    </w:p>
    <w:p w:rsidR="00000000" w:rsidRDefault="00000000">
      <w:pPr>
        <w:tabs>
          <w:tab w:val="left" w:pos="680"/>
        </w:tabs>
        <w:spacing w:before="240" w:line="260" w:lineRule="exact"/>
        <w:jc w:val="both"/>
        <w:rPr>
          <w:sz w:val="22"/>
        </w:rPr>
      </w:pPr>
      <w:r>
        <w:rPr>
          <w:sz w:val="22"/>
        </w:rPr>
        <w:t xml:space="preserve">449. </w:t>
      </w:r>
      <w:r>
        <w:rPr>
          <w:sz w:val="22"/>
        </w:rPr>
        <w:tab/>
        <w:t xml:space="preserve">По мнению лиценциата Кристины Гарита, директора Фонда ВИДА ("Жизнь"), в Коста-Рике прослеживается следующая тенденция. Согласно данным Министерства здравоохранения, на 15 февраля 1999 года в стране было зарегистрировано 337 случаев заболевания ВИЧ/СПИДом среди женщин, возраст большинства которых колеблется от 20 до 39 лет (197 случаев, или 58 процентов). Подавляющее большинство заболевших женщин состоят в зарегистрированном (64 случая) или в незарегистрированном (74 случая) браке, что составляет 40 процентов от числа инфицированных. Речь идет о женщинах, имеющих устойчивые отношения с мужчинами, большинство из них являются домашними хозяйками. По расчетам Кристины Гарита, к указанному числу ВИЧ-инфицированных в Коста-Рике необходимо добавить еще 12 000 носителей ВИЧ-инфекции. Несмотря на деятельность Национального совета по комплексной борьбе с ВИЧ/СПИДом и принятие Закона о ВИЧ/СПИДе, предусматривающего право ВИЧ-инфицированных на получение антивирусных препаратов, с 1995 года не проводилось общенациональных кампаний по противодействию распространению СПИДа. Специалисты указывают на возможность существования дополнительного реестра ВИЧ-инфицированных. </w:t>
      </w:r>
    </w:p>
    <w:p w:rsidR="00000000" w:rsidRDefault="00000000">
      <w:pPr>
        <w:tabs>
          <w:tab w:val="left" w:pos="680"/>
        </w:tabs>
        <w:spacing w:before="240" w:line="260" w:lineRule="exact"/>
        <w:jc w:val="both"/>
        <w:rPr>
          <w:sz w:val="22"/>
        </w:rPr>
      </w:pPr>
      <w:r>
        <w:rPr>
          <w:sz w:val="22"/>
        </w:rPr>
        <w:t>450.</w:t>
      </w:r>
      <w:r>
        <w:rPr>
          <w:sz w:val="22"/>
        </w:rPr>
        <w:tab/>
        <w:t>Закон о ВИЧ/СПИДЕ № 7771 от 29 апреля 1998 года был разработан под руководством Совета по комплексной борьбе с ВИЧ/СПИДом. Совет занимается разработкой рекомендаций в сфере политики, а также программ и мероприятий для населения, контролирует оказание медицинской помощи носителям инфекции в медицинских учреждениях, обеспечение их противовирусными препаратами, а также занимается подготовкой регулярных отчетов об использовании указанных препаратов. Кроме того, Совет занимается разработкой механизмов, гарантирующих конфиденциальность информации, содержащейся в медицинских картах, а также разработкой стратегии профилактики ВИЧ и просветительской деятельностью. Указанная стратегическая программа будет осуществляться в тесном сотрудничестве с Министерством образования во всех государственных и частных школах, колледжах и университетах Коста-Рики. Министерство здравоохранения совместно с органами системы социального обеспечения должно разработать план проведения общенациональных кампаний по профилактике ВИЧ/СПИДа и использованию презервативов. Неправительственные организации в сотрудничестве с группами и организациями Католической церкви сыграли важную роль в осуществлении мероприятий просветительского и воспитательного характера.</w:t>
      </w:r>
    </w:p>
    <w:p w:rsidR="00000000" w:rsidRDefault="00000000">
      <w:pPr>
        <w:tabs>
          <w:tab w:val="left" w:pos="680"/>
        </w:tabs>
        <w:spacing w:before="240" w:line="260" w:lineRule="exact"/>
        <w:jc w:val="both"/>
        <w:rPr>
          <w:sz w:val="22"/>
        </w:rPr>
      </w:pPr>
      <w:r>
        <w:rPr>
          <w:sz w:val="22"/>
        </w:rPr>
        <w:t xml:space="preserve">451. </w:t>
      </w:r>
      <w:r>
        <w:rPr>
          <w:sz w:val="22"/>
        </w:rPr>
        <w:tab/>
        <w:t xml:space="preserve">Совет отвечает за разработку системы мер, направленных на устранение дискриминации ВИЧ-инфицированных в сферах труда и образования, а также в административной и многих других областях. Программа по борьбе со СПИДом уже разработана, однако не хватает средств для ее финансирования. Существует мнение, что государство вместе с органами социального обеспечения призвано играть более активную роль в деле борьбы с ВИЧ/СПИДом, поскольку на сегодняшний день вся профилактическая работа проводится неправительственными организациями. </w:t>
      </w:r>
    </w:p>
    <w:p w:rsidR="00000000" w:rsidRDefault="00000000">
      <w:pPr>
        <w:tabs>
          <w:tab w:val="left" w:pos="680"/>
        </w:tabs>
        <w:spacing w:before="240" w:line="260" w:lineRule="exact"/>
        <w:jc w:val="both"/>
        <w:rPr>
          <w:sz w:val="22"/>
        </w:rPr>
      </w:pPr>
      <w:r>
        <w:rPr>
          <w:sz w:val="22"/>
        </w:rPr>
        <w:t xml:space="preserve">452. </w:t>
      </w:r>
      <w:r>
        <w:rPr>
          <w:sz w:val="22"/>
        </w:rPr>
        <w:tab/>
        <w:t>Первые кампании борьбы с распространением ВИЧ/СПИДа проводились среди гомосексуалистов и проституток. Начиная с 1993 года Латиноамериканский институт профилактики и просвещения в области здравоохранения (ИЛПЕС) концентрирует свои усилия на работе среди маргинальных групп мужского населения: гомосексуалистов, заключенных и трансвеститов. Эта организация сделала попытку разработать программу работы среди женщин, однако в настоящий момент указанная организация прекратила свою деятельность. Фонд "Вида" ("Жизнь"), существующий более 10 лет, помогает женщинам – носителям ВИЧ/СПИДа. Деятельность Фонда нацелена на оказание помощи и поддержки женщинам. Среди прочих осуществляют свою деятельность по борьбе с распространением СПИДа в Коста-Рике такие неправительственные организации, как АПАВИЧ, АСОВИЧ/СИДА, Комитет по борьбе со СПИДом при коллегии медсестер Коста-Рики, Фонд "Сегодня за тебя" (</w:t>
      </w:r>
      <w:r>
        <w:rPr>
          <w:sz w:val="22"/>
          <w:lang w:val="es-ES"/>
        </w:rPr>
        <w:t>Hoy</w:t>
      </w:r>
      <w:r>
        <w:rPr>
          <w:sz w:val="22"/>
        </w:rPr>
        <w:t xml:space="preserve"> </w:t>
      </w:r>
      <w:r>
        <w:rPr>
          <w:sz w:val="22"/>
          <w:lang w:val="es-ES"/>
        </w:rPr>
        <w:t>por</w:t>
      </w:r>
      <w:r>
        <w:rPr>
          <w:sz w:val="22"/>
        </w:rPr>
        <w:t xml:space="preserve"> </w:t>
      </w:r>
      <w:r>
        <w:rPr>
          <w:sz w:val="22"/>
          <w:lang w:val="es-ES"/>
        </w:rPr>
        <w:t>ti</w:t>
      </w:r>
      <w:r>
        <w:rPr>
          <w:sz w:val="22"/>
        </w:rPr>
        <w:t>), ассоциация "Милосердие сегодня" (</w:t>
      </w:r>
      <w:r>
        <w:rPr>
          <w:sz w:val="22"/>
          <w:lang w:val="es-ES"/>
        </w:rPr>
        <w:t>Misericordia</w:t>
      </w:r>
      <w:r>
        <w:rPr>
          <w:sz w:val="22"/>
        </w:rPr>
        <w:t xml:space="preserve"> </w:t>
      </w:r>
      <w:r>
        <w:rPr>
          <w:sz w:val="22"/>
          <w:lang w:val="es-ES"/>
        </w:rPr>
        <w:t>hoy</w:t>
      </w:r>
      <w:r>
        <w:rPr>
          <w:sz w:val="22"/>
        </w:rPr>
        <w:t>), СИПАК, ассоциация "Добрая вода" (</w:t>
      </w:r>
      <w:r>
        <w:rPr>
          <w:sz w:val="22"/>
          <w:lang w:val="es-ES"/>
        </w:rPr>
        <w:t>Agua</w:t>
      </w:r>
      <w:r>
        <w:rPr>
          <w:sz w:val="22"/>
        </w:rPr>
        <w:t xml:space="preserve"> </w:t>
      </w:r>
      <w:r>
        <w:rPr>
          <w:sz w:val="22"/>
          <w:lang w:val="es-ES"/>
        </w:rPr>
        <w:t>buena</w:t>
      </w:r>
      <w:r>
        <w:rPr>
          <w:sz w:val="22"/>
        </w:rPr>
        <w:t>), "Дом надежды" (</w:t>
      </w:r>
      <w:r>
        <w:rPr>
          <w:sz w:val="22"/>
          <w:lang w:val="es-ES"/>
        </w:rPr>
        <w:t>Hogar</w:t>
      </w:r>
      <w:r>
        <w:rPr>
          <w:sz w:val="22"/>
        </w:rPr>
        <w:t xml:space="preserve"> </w:t>
      </w:r>
      <w:r>
        <w:rPr>
          <w:sz w:val="22"/>
          <w:lang w:val="es-ES"/>
        </w:rPr>
        <w:t>de</w:t>
      </w:r>
      <w:r>
        <w:rPr>
          <w:sz w:val="22"/>
        </w:rPr>
        <w:t xml:space="preserve"> </w:t>
      </w:r>
      <w:r>
        <w:rPr>
          <w:sz w:val="22"/>
          <w:lang w:val="es-ES"/>
        </w:rPr>
        <w:t>la</w:t>
      </w:r>
      <w:r>
        <w:rPr>
          <w:sz w:val="22"/>
        </w:rPr>
        <w:t xml:space="preserve"> </w:t>
      </w:r>
      <w:r>
        <w:rPr>
          <w:sz w:val="22"/>
          <w:lang w:val="es-ES"/>
        </w:rPr>
        <w:t>esperanza</w:t>
      </w:r>
      <w:r>
        <w:rPr>
          <w:sz w:val="22"/>
        </w:rPr>
        <w:t>), Алиадас, Ф</w:t>
      </w:r>
      <w:r>
        <w:rPr>
          <w:caps/>
          <w:sz w:val="22"/>
        </w:rPr>
        <w:t>ундесида</w:t>
      </w:r>
      <w:r>
        <w:rPr>
          <w:sz w:val="22"/>
        </w:rPr>
        <w:t xml:space="preserve"> и др. </w:t>
      </w:r>
    </w:p>
    <w:p w:rsidR="00000000" w:rsidRDefault="00000000">
      <w:pPr>
        <w:tabs>
          <w:tab w:val="left" w:pos="680"/>
        </w:tabs>
        <w:spacing w:line="260" w:lineRule="exact"/>
        <w:jc w:val="both"/>
        <w:rPr>
          <w:sz w:val="22"/>
        </w:rPr>
      </w:pPr>
    </w:p>
    <w:p w:rsidR="00000000" w:rsidRDefault="00000000">
      <w:pPr>
        <w:pStyle w:val="Heading1"/>
        <w:tabs>
          <w:tab w:val="left" w:pos="680"/>
        </w:tabs>
        <w:spacing w:before="240" w:line="260" w:lineRule="exact"/>
        <w:rPr>
          <w:sz w:val="22"/>
        </w:rPr>
      </w:pPr>
      <w:r>
        <w:rPr>
          <w:sz w:val="22"/>
        </w:rPr>
        <w:t>Психическое здоровье женщин</w:t>
      </w:r>
    </w:p>
    <w:p w:rsidR="00000000" w:rsidRDefault="00000000">
      <w:pPr>
        <w:tabs>
          <w:tab w:val="left" w:pos="680"/>
        </w:tabs>
        <w:spacing w:before="240" w:line="260" w:lineRule="exact"/>
        <w:jc w:val="both"/>
        <w:rPr>
          <w:spacing w:val="-2"/>
          <w:sz w:val="22"/>
        </w:rPr>
      </w:pPr>
      <w:r>
        <w:rPr>
          <w:sz w:val="22"/>
        </w:rPr>
        <w:t>453.</w:t>
      </w:r>
      <w:r>
        <w:rPr>
          <w:sz w:val="22"/>
        </w:rPr>
        <w:tab/>
      </w:r>
      <w:r>
        <w:rPr>
          <w:spacing w:val="-2"/>
          <w:sz w:val="22"/>
        </w:rPr>
        <w:t>Одна из критических проблем в жизни женщин отражается в медикаментозном лечении тех, кому медики поставили диагноз "депрессия", а также в том, как женская тоска и эмоциональное неблагополучие превращаются в психическое заболевание. По мнению доктора Марии Елены Лопес из Службы охраны здоровья при Министерстве здравоохранения, в Коста-Рике отсутствует служба психического здоровья. Указанное утверждение поддержала Лиценциат Эдда Кирос, которая выступила с критикой существующего положения, хотя и отметила, что есть специалисты, пытающиеся его изменить в лучшую сторону. Женщинам прописывают таблетки, антидепрессанты, транквилизаторы. "Речь идет не о том, чтобы найти причины угнетенного эмоционального состояния женщины, а о том, чтобы определить факторы, которые вызвали у нее депрессию. Существуют ли факторы органического характера? Да, возможно, существуют. Однако в результате избыточного употребления медикаментозных средств многие женщины становятся инвалидами, перестают быть полноценными личностями", – отмечает доктор Лопес. По данным 1996 года, почти 70 процентов случаев временной потери трудоспособности вследствие психических расстройств пришлось на женщин. Среднее количество дней потери трудоспособности женщинами (16,89) превышает средние показатели мужчин (11,79). В текущем году среди общих показателей женской заболеваемости расстройства психического здоровья составили 9 процентов (</w:t>
      </w:r>
      <w:r>
        <w:rPr>
          <w:spacing w:val="-2"/>
          <w:sz w:val="22"/>
          <w:lang w:val="en-US"/>
        </w:rPr>
        <w:t>Morice</w:t>
      </w:r>
      <w:r>
        <w:rPr>
          <w:spacing w:val="-2"/>
          <w:sz w:val="22"/>
        </w:rPr>
        <w:t xml:space="preserve">, </w:t>
      </w:r>
      <w:r>
        <w:rPr>
          <w:spacing w:val="-2"/>
          <w:sz w:val="22"/>
          <w:lang w:val="en-US"/>
        </w:rPr>
        <w:t>Solis</w:t>
      </w:r>
      <w:r>
        <w:rPr>
          <w:spacing w:val="-2"/>
          <w:sz w:val="22"/>
        </w:rPr>
        <w:t>, 1998).</w:t>
      </w:r>
    </w:p>
    <w:p w:rsidR="00000000" w:rsidRDefault="00000000">
      <w:pPr>
        <w:tabs>
          <w:tab w:val="left" w:pos="680"/>
        </w:tabs>
        <w:spacing w:before="240" w:line="260" w:lineRule="exact"/>
        <w:jc w:val="both"/>
        <w:rPr>
          <w:sz w:val="22"/>
        </w:rPr>
      </w:pPr>
      <w:r>
        <w:rPr>
          <w:sz w:val="22"/>
        </w:rPr>
        <w:t xml:space="preserve">454. </w:t>
      </w:r>
      <w:r>
        <w:rPr>
          <w:sz w:val="22"/>
        </w:rPr>
        <w:tab/>
        <w:t>В период с 1985 по 1997 год с 14 до 26 (среди которых 4 случая самоубийств иностранок) увеличилось количество самоубийств женщин, что составляет 16 и 19,6 процента, соответственно, от общего количества самоубийств. Количество самоубийств женщин в возрасте до 20 лет увеличилось с 6 в 1985 году до 12 в 1997 году (</w:t>
      </w:r>
      <w:r>
        <w:rPr>
          <w:sz w:val="22"/>
          <w:lang w:val="en-US"/>
        </w:rPr>
        <w:t>Miranda</w:t>
      </w:r>
      <w:r>
        <w:rPr>
          <w:sz w:val="22"/>
        </w:rPr>
        <w:t xml:space="preserve">, </w:t>
      </w:r>
      <w:r>
        <w:rPr>
          <w:sz w:val="22"/>
          <w:lang w:val="en-US"/>
        </w:rPr>
        <w:t>Del</w:t>
      </w:r>
      <w:r>
        <w:rPr>
          <w:sz w:val="22"/>
        </w:rPr>
        <w:t xml:space="preserve"> </w:t>
      </w:r>
      <w:r>
        <w:rPr>
          <w:sz w:val="22"/>
          <w:lang w:val="en-US"/>
        </w:rPr>
        <w:t>Valle</w:t>
      </w:r>
      <w:r>
        <w:rPr>
          <w:sz w:val="22"/>
        </w:rPr>
        <w:t xml:space="preserve">, 2002). </w:t>
      </w:r>
    </w:p>
    <w:p w:rsidR="00000000" w:rsidRDefault="00000000">
      <w:pPr>
        <w:tabs>
          <w:tab w:val="left" w:pos="680"/>
        </w:tabs>
        <w:spacing w:before="240" w:line="260" w:lineRule="exact"/>
        <w:jc w:val="both"/>
        <w:rPr>
          <w:sz w:val="22"/>
        </w:rPr>
      </w:pPr>
      <w:r>
        <w:rPr>
          <w:sz w:val="22"/>
        </w:rPr>
        <w:t xml:space="preserve">455. </w:t>
      </w:r>
      <w:r>
        <w:rPr>
          <w:sz w:val="22"/>
        </w:rPr>
        <w:tab/>
        <w:t>В свете вышеизложенного необходимо срочно приступить к разработке Комплексной программы по охране психического здоровья женщин, которая охватывала бы все возрастные циклы жизни женщины. Данный подход к проблеме позволяет трактовать психическое здоровье как благополучие личности внутри ее самой и в отношении окружающего ее мира. Это является существенным компонентом для достижения оптимального состояния здоровья, а также предпосылкой отказа от избыточного потребления медикаментов. В качестве возможных путей решения данной проблемы можно назвать занятия спортом, отдых, групповую терапию, проводимую вне стационара.</w:t>
      </w:r>
    </w:p>
    <w:p w:rsidR="00000000" w:rsidRDefault="00000000">
      <w:pPr>
        <w:tabs>
          <w:tab w:val="left" w:pos="680"/>
        </w:tabs>
        <w:spacing w:line="260" w:lineRule="exact"/>
        <w:jc w:val="both"/>
        <w:rPr>
          <w:sz w:val="22"/>
        </w:rPr>
      </w:pPr>
    </w:p>
    <w:p w:rsidR="00000000" w:rsidRDefault="00000000">
      <w:pPr>
        <w:pStyle w:val="BodyText2"/>
        <w:tabs>
          <w:tab w:val="left" w:pos="680"/>
        </w:tabs>
        <w:spacing w:before="240" w:line="260" w:lineRule="exact"/>
        <w:jc w:val="left"/>
        <w:rPr>
          <w:b/>
          <w:sz w:val="22"/>
        </w:rPr>
      </w:pPr>
      <w:r>
        <w:rPr>
          <w:b/>
          <w:sz w:val="22"/>
        </w:rPr>
        <w:t xml:space="preserve">Отсутствие специализированных программ по оказанию медицинских услуг </w:t>
      </w:r>
      <w:r>
        <w:rPr>
          <w:b/>
          <w:sz w:val="22"/>
        </w:rPr>
        <w:br/>
        <w:t>женщинам преклонного возраста</w:t>
      </w:r>
    </w:p>
    <w:p w:rsidR="00000000" w:rsidRDefault="00000000">
      <w:pPr>
        <w:tabs>
          <w:tab w:val="left" w:pos="680"/>
        </w:tabs>
        <w:spacing w:before="240" w:line="260" w:lineRule="exact"/>
        <w:jc w:val="both"/>
        <w:rPr>
          <w:sz w:val="22"/>
        </w:rPr>
      </w:pPr>
      <w:r>
        <w:rPr>
          <w:sz w:val="22"/>
        </w:rPr>
        <w:t xml:space="preserve">456. </w:t>
      </w:r>
      <w:r>
        <w:rPr>
          <w:sz w:val="22"/>
        </w:rPr>
        <w:tab/>
        <w:t>В Коста-Рике Больница имени Бланко Сервантеса является единственным специализированным государственным медицинским учреждением, которое отвечает за оказание медицинской помощи людям преклонного возраста. В течение последних двух лет были приняты юридические документы, направленные на защиту прав указанной группы населения. Однако гендерная перспектива не была включена ни в один из документов (Goldenberg, 2001).</w:t>
      </w:r>
    </w:p>
    <w:p w:rsidR="00000000" w:rsidRDefault="00000000">
      <w:pPr>
        <w:tabs>
          <w:tab w:val="left" w:pos="680"/>
        </w:tabs>
        <w:spacing w:before="240" w:line="260" w:lineRule="exact"/>
        <w:jc w:val="both"/>
        <w:rPr>
          <w:sz w:val="22"/>
        </w:rPr>
      </w:pPr>
      <w:r>
        <w:rPr>
          <w:sz w:val="22"/>
        </w:rPr>
        <w:t>457.</w:t>
      </w:r>
      <w:r>
        <w:rPr>
          <w:sz w:val="22"/>
        </w:rPr>
        <w:tab/>
        <w:t>Закон о комплексной защите пожилых людей № 7935, опубликованный в официальном органе правительства "Ла Гасета" (№ 221 от 15 ноября 1999 года), предусматривает создание Национального совета по вопросам защиты пожилых людей как руководящего органа, который призван контролировать процесс оказания комплексной помощи указанной группе населения. Данным законом признаются и предусматриваются ряд прав, призванных способствовать улучшению качества жизни пожилых людей. В разделе 3 главы 2 закона дается определение обязанностей государства, а также выделяется ряд функций, входящих в компетенцию Министерства здравоохранения, по оказанию медицинской помощи лицам преклонного возраста через проведение специальных программ по профилактике, медицинской помощи и реабилитации. Однако указанный закон не предусматривает каких-либо видов гендерной специализации в вопросах оказания медицинской помощи пожилым людям.</w:t>
      </w:r>
    </w:p>
    <w:p w:rsidR="00000000" w:rsidRDefault="00000000">
      <w:pPr>
        <w:tabs>
          <w:tab w:val="left" w:pos="680"/>
        </w:tabs>
        <w:spacing w:before="240" w:line="260" w:lineRule="exact"/>
        <w:jc w:val="both"/>
        <w:rPr>
          <w:sz w:val="22"/>
        </w:rPr>
      </w:pPr>
      <w:r>
        <w:rPr>
          <w:sz w:val="22"/>
        </w:rPr>
        <w:t xml:space="preserve">458. </w:t>
      </w:r>
      <w:r>
        <w:rPr>
          <w:sz w:val="22"/>
        </w:rPr>
        <w:tab/>
        <w:t>Тем не менее, если не касаться вопроса гендерной специализации, Государственная больница гериатрии и геронтологии имени доктора Бланко Сервантеса может служить примером оказания медицинской помощи пожилым людям, который должен быть распространен на все пожилое население Коста-Рики. Статья 20 главы 3 Закона о комплексной защите пожилых людей гласит:</w:t>
      </w:r>
    </w:p>
    <w:p w:rsidR="00000000" w:rsidRDefault="00000000">
      <w:pPr>
        <w:tabs>
          <w:tab w:val="left" w:pos="680"/>
        </w:tabs>
        <w:spacing w:before="240" w:line="260" w:lineRule="exact"/>
        <w:ind w:left="680" w:hanging="680"/>
        <w:jc w:val="both"/>
        <w:rPr>
          <w:i/>
          <w:spacing w:val="-4"/>
          <w:sz w:val="22"/>
        </w:rPr>
      </w:pPr>
      <w:r>
        <w:rPr>
          <w:i/>
          <w:sz w:val="22"/>
        </w:rPr>
        <w:tab/>
        <w:t>"</w:t>
      </w:r>
      <w:r>
        <w:rPr>
          <w:i/>
          <w:spacing w:val="-4"/>
          <w:sz w:val="22"/>
        </w:rPr>
        <w:t>Государство будет способствовать разработке образовательных программ по гериатрии и геронтологии на всех ступенях медицинского обслуживания населения, а также программ для медицинского персонала среднего звена, направленных на оказание медицинской помощи пожилым людям. Эти образовательные программы будут осуществляться на базе Государственной больницы гериатрии и геронтологии имени доктора Бланко Сервантеса и в других специализированных медицинских учреждениях. Национальный совет по вопросам образования осуществляет контроль за включением предмета гериатрии в учебные программы по медицине и геронтологии университетов, во все медицинские специализации и социальные науки. Предмет будет преподаваться на базе специализированных медицинских учреждений".</w:t>
      </w:r>
    </w:p>
    <w:p w:rsidR="00000000" w:rsidRDefault="00000000">
      <w:pPr>
        <w:tabs>
          <w:tab w:val="left" w:pos="680"/>
        </w:tabs>
        <w:spacing w:before="240" w:line="260" w:lineRule="exact"/>
        <w:jc w:val="both"/>
        <w:rPr>
          <w:sz w:val="22"/>
        </w:rPr>
      </w:pPr>
      <w:r>
        <w:rPr>
          <w:sz w:val="22"/>
        </w:rPr>
        <w:t xml:space="preserve">459. </w:t>
      </w:r>
      <w:r>
        <w:rPr>
          <w:sz w:val="22"/>
        </w:rPr>
        <w:tab/>
        <w:t xml:space="preserve">Однако необходимо отметить, что в документах, регулирующих создание и функционирование пансионов и домов для престарелых, а также иных учреждений для их проживания, не содержится каких-либо форм гендерной специфики. </w:t>
      </w:r>
    </w:p>
    <w:p w:rsidR="00000000" w:rsidRDefault="00000000">
      <w:pPr>
        <w:tabs>
          <w:tab w:val="left" w:pos="680"/>
        </w:tabs>
        <w:spacing w:before="240" w:line="260" w:lineRule="exact"/>
        <w:jc w:val="both"/>
        <w:rPr>
          <w:spacing w:val="-2"/>
          <w:sz w:val="22"/>
        </w:rPr>
      </w:pPr>
      <w:r>
        <w:rPr>
          <w:sz w:val="22"/>
        </w:rPr>
        <w:t xml:space="preserve">460. </w:t>
      </w:r>
      <w:r>
        <w:rPr>
          <w:sz w:val="22"/>
        </w:rPr>
        <w:tab/>
        <w:t xml:space="preserve">В вопросе оказания медицинской помощи престарелым людям особое внимание </w:t>
      </w:r>
      <w:r>
        <w:rPr>
          <w:spacing w:val="-2"/>
          <w:sz w:val="22"/>
        </w:rPr>
        <w:t xml:space="preserve">уделяется вопросам проявления агрессии, жестокого обращения, злоупотреблений, жертвами которых могут стать пожилые люди. Закон о комплексном подходе к оказанию помощи престарелым лицам предусматривает уголовную ответственность за случаи физической, сексуальной, психологической или имущественной агрессии в отношении пожилых людей. Однако в части механизмов защиты на государственном уровне от проявлений указанных видов агрессии можно рассчитывать исключительно на положения платформы Национального плана оказания помощи и предотвращения насилия в семье (ПЛАНОВИ), предлагающие решения по защите престарелых женщин. С этой целью при Государственной больнице гериатрии и геронтологии имени доктора Бланко Сервантеса был создан Комитет по защите пожилых людей, подвергшихся агрессии, задачей которого являются идентификация и анализ возможных проявлений агрессии и защита от них в рамках семьи. Если принятые на этом уровне меры окажутся неэффективными, Комитет возбуждает судебные дела. Между Комитетом и рядом семей были подписаны соглашения доброй воли о предоставлении указанными семьями крова пожилым людям, ставшим жертвами плохого обращения, в особенности это касается пожилых мужчин, для которых не существует иной альтернативы. </w:t>
      </w:r>
    </w:p>
    <w:p w:rsidR="00000000" w:rsidRDefault="00000000">
      <w:pPr>
        <w:tabs>
          <w:tab w:val="left" w:pos="680"/>
        </w:tabs>
        <w:spacing w:before="240" w:line="260" w:lineRule="exact"/>
        <w:jc w:val="both"/>
        <w:rPr>
          <w:sz w:val="22"/>
        </w:rPr>
      </w:pPr>
      <w:r>
        <w:rPr>
          <w:sz w:val="22"/>
        </w:rPr>
        <w:t xml:space="preserve">461. </w:t>
      </w:r>
      <w:r>
        <w:rPr>
          <w:sz w:val="22"/>
        </w:rPr>
        <w:tab/>
        <w:t xml:space="preserve">С другой стороны, данным законом было установлено, что все государственные и частные учреждения и организации в перечне оказываемых ими услуг должны обязательно предусматривать оказание услуг и преимущественное право на их получение для пожилых мужчин и женщин. В данном контексте Управление по распределению пенсий при Фонде социального обеспечения Коста-Рики и Управление социальной службы в июле 1997 года приступили к выполнению программы "Гражданин золотого возраста", которой предусматривается организация работы с лицами старше 65 лет. </w:t>
      </w:r>
    </w:p>
    <w:p w:rsidR="00000000" w:rsidRDefault="00000000">
      <w:pPr>
        <w:tabs>
          <w:tab w:val="left" w:pos="680"/>
        </w:tabs>
        <w:spacing w:before="240" w:line="260" w:lineRule="exact"/>
        <w:jc w:val="both"/>
        <w:rPr>
          <w:sz w:val="22"/>
        </w:rPr>
      </w:pPr>
      <w:r>
        <w:rPr>
          <w:sz w:val="22"/>
        </w:rPr>
        <w:t xml:space="preserve">462. </w:t>
      </w:r>
      <w:r>
        <w:rPr>
          <w:sz w:val="22"/>
        </w:rPr>
        <w:tab/>
        <w:t>Указанная программа, в свою очередь, является составной частью более широкой социальной программы, целями которой являются развитие культуры общения и уважения к престарелым людям, выдвижение этой группы населения на привилегированные позиции посредством создания специальных льгот и улучшения качества их жизни через укрепление физического, психического и социального благополучия. Программа направлена на координацию усилий и создание стратегических союзов между социальными органами, занимающимися охраной здоровья, помощью инвалидам, престарелым людям, а также похоронными услугами. Предполагается также расширение участия в решении указанных проблем других государственных, автономных, полуавтономных учреждений, неправительственных организаций и частного сектора.</w:t>
      </w:r>
    </w:p>
    <w:p w:rsidR="00000000" w:rsidRDefault="00000000">
      <w:pPr>
        <w:tabs>
          <w:tab w:val="left" w:pos="680"/>
        </w:tabs>
        <w:spacing w:before="240" w:line="260" w:lineRule="exact"/>
        <w:jc w:val="both"/>
        <w:rPr>
          <w:sz w:val="22"/>
        </w:rPr>
      </w:pPr>
      <w:r>
        <w:rPr>
          <w:sz w:val="22"/>
        </w:rPr>
        <w:t xml:space="preserve">463. </w:t>
      </w:r>
      <w:r>
        <w:rPr>
          <w:sz w:val="22"/>
        </w:rPr>
        <w:tab/>
        <w:t xml:space="preserve">Программа без каких-либо проявлений дифференцированного подхода предусматривает для всех лиц старше 65 лет предоставление серии льгот, направленных на улучшение качества их жизни. С этой целью в течение отчетного периода в рамках реализации программы пожилым людям были предоставлены ряд торговых скидок, льготы на приобретение билетов на зрелищные мероприятия, в культурные учреждения, доступ к курсам отдыха и здоровья, а также преференции по оказанию медицинской помощи в учреждениях системы социального обеспечения и в иных государственных, частных, негосударственных и полугосударственных учреждениях и организациях Коста-Рики. </w:t>
      </w:r>
    </w:p>
    <w:p w:rsidR="00000000" w:rsidRDefault="00000000">
      <w:pPr>
        <w:tabs>
          <w:tab w:val="left" w:pos="680"/>
        </w:tabs>
        <w:spacing w:line="260" w:lineRule="exact"/>
        <w:jc w:val="both"/>
        <w:rPr>
          <w:b/>
          <w:sz w:val="22"/>
        </w:rPr>
      </w:pPr>
    </w:p>
    <w:p w:rsidR="00000000" w:rsidRDefault="00000000">
      <w:pPr>
        <w:pStyle w:val="Title"/>
        <w:tabs>
          <w:tab w:val="left" w:pos="680"/>
        </w:tabs>
        <w:spacing w:before="240" w:line="260" w:lineRule="exact"/>
        <w:jc w:val="both"/>
        <w:rPr>
          <w:sz w:val="22"/>
        </w:rPr>
      </w:pPr>
      <w:r>
        <w:rPr>
          <w:sz w:val="22"/>
        </w:rPr>
        <w:t>Доступ к системе социального обеспечения в Коста-Рике</w:t>
      </w:r>
    </w:p>
    <w:p w:rsidR="00000000" w:rsidRDefault="00000000">
      <w:pPr>
        <w:pStyle w:val="Title"/>
        <w:tabs>
          <w:tab w:val="left" w:pos="680"/>
        </w:tabs>
        <w:spacing w:before="240" w:line="260" w:lineRule="exact"/>
        <w:jc w:val="both"/>
        <w:rPr>
          <w:b w:val="0"/>
          <w:spacing w:val="-2"/>
          <w:sz w:val="22"/>
        </w:rPr>
      </w:pPr>
      <w:r>
        <w:rPr>
          <w:b w:val="0"/>
          <w:sz w:val="22"/>
        </w:rPr>
        <w:t>464.</w:t>
      </w:r>
      <w:r>
        <w:rPr>
          <w:b w:val="0"/>
          <w:sz w:val="22"/>
        </w:rPr>
        <w:tab/>
      </w:r>
      <w:r>
        <w:rPr>
          <w:b w:val="0"/>
          <w:spacing w:val="-2"/>
          <w:sz w:val="22"/>
        </w:rPr>
        <w:t xml:space="preserve">Система социального обеспечения, ныне действующая в Коста-Рике, была создана во время так называемой "второй волны реформ", прошедшей по Латинской Америке в 40-е годы </w:t>
      </w:r>
      <w:r>
        <w:rPr>
          <w:b w:val="0"/>
          <w:spacing w:val="-2"/>
          <w:sz w:val="22"/>
          <w:lang w:val="en-US"/>
        </w:rPr>
        <w:t>XX</w:t>
      </w:r>
      <w:r>
        <w:rPr>
          <w:b w:val="0"/>
          <w:spacing w:val="-2"/>
          <w:sz w:val="22"/>
        </w:rPr>
        <w:t xml:space="preserve"> века. В основе этой системы лежат принципы обязательности, универсальности и всеобщности. Она носит преимущественно единый характер и охватывает широкие слои населения, среди которого лишь относительно небольшая часть обслуживается в рамках специальных систем социального обеспечения с незначительной разницей в получаемых социальных благах по сравнению с остальной частью населения страны. В начале 1990-х годов и в последующий период существующая система претерпела ряд серьезных изменений в своей программной направленности и функционировании своих институтов, при этом преобразования затронули как область здравоохранения, так и пенсионное обеспечение населения. Реформирование системы проходило поэтапно и было направлено в основном на изменение механизмов социального обеспечения, а следовательно, не носило радикального характера и практически не затронуло базовые принципы социального обеспечения.</w:t>
      </w:r>
    </w:p>
    <w:p w:rsidR="00000000" w:rsidRDefault="00000000">
      <w:pPr>
        <w:pStyle w:val="Title"/>
        <w:tabs>
          <w:tab w:val="left" w:pos="680"/>
        </w:tabs>
        <w:spacing w:before="240" w:line="260" w:lineRule="exact"/>
        <w:jc w:val="both"/>
        <w:rPr>
          <w:b w:val="0"/>
          <w:sz w:val="22"/>
        </w:rPr>
      </w:pPr>
      <w:r>
        <w:rPr>
          <w:b w:val="0"/>
          <w:sz w:val="22"/>
        </w:rPr>
        <w:t>465.</w:t>
      </w:r>
      <w:r>
        <w:rPr>
          <w:b w:val="0"/>
          <w:sz w:val="22"/>
        </w:rPr>
        <w:tab/>
        <w:t>Как и в других странах Латинской Америки, система социального обеспечения в Коста-Рике изначально создавалась исходя из преобладания на рынке труда населения, занятого на оплачиваемой работе по найму, и наличия среднестатистической семьи, состоящей из одного кормильца (мужчины) и нескольких иждивенцев (супруги и детей). Последующие реформы позволили расширить охват системы, например за счет включения в нее трудящихся, занимающихся самостоятельной трудовой деятельностью, малоимущего населения и за счет расширения прав основных бенефициаров системы (например, оплата отпуска по беременности и родам женщинам, работающим по найму) (Martinez, 2002).</w:t>
      </w:r>
    </w:p>
    <w:p w:rsidR="00000000" w:rsidRDefault="00000000">
      <w:pPr>
        <w:pStyle w:val="Title"/>
        <w:tabs>
          <w:tab w:val="left" w:pos="680"/>
        </w:tabs>
        <w:spacing w:before="240" w:line="260" w:lineRule="exact"/>
        <w:jc w:val="both"/>
        <w:rPr>
          <w:b w:val="0"/>
          <w:sz w:val="22"/>
        </w:rPr>
      </w:pPr>
      <w:r>
        <w:rPr>
          <w:b w:val="0"/>
          <w:sz w:val="22"/>
        </w:rPr>
        <w:t>466.</w:t>
      </w:r>
      <w:r>
        <w:rPr>
          <w:b w:val="0"/>
          <w:sz w:val="22"/>
        </w:rPr>
        <w:tab/>
        <w:t>Однако в том, что касается базовых принципов системы, она сохраняет основные характеристики, присущие ей с момента создания (в частности, ориентированность на общество, в котором доминируют формальные трудовые отношения, предусматривающие наем на работу). Вместе с тем в ней нашли отражение новые трудности, связанные с доступом к благам системы социального обеспечения, которые обусловлены изменениями, происшедшими на рынке труда (такими, как расширение участия женщин в трудовой деятельности и развитие неформальных трудовых отношений). В связи с этим можно выделить два основных вида препятствий, затрудняющих женщинам доступ к системе социального обеспечения (Martinez, 2000):</w:t>
      </w:r>
    </w:p>
    <w:p w:rsidR="00000000" w:rsidRDefault="00000000">
      <w:pPr>
        <w:pStyle w:val="Title"/>
        <w:numPr>
          <w:ilvl w:val="0"/>
          <w:numId w:val="72"/>
        </w:numPr>
        <w:tabs>
          <w:tab w:val="clear" w:pos="360"/>
          <w:tab w:val="left" w:pos="340"/>
          <w:tab w:val="left" w:pos="680"/>
        </w:tabs>
        <w:spacing w:before="240" w:line="260" w:lineRule="exact"/>
        <w:ind w:left="340" w:hanging="340"/>
        <w:jc w:val="both"/>
        <w:rPr>
          <w:b w:val="0"/>
          <w:sz w:val="22"/>
        </w:rPr>
      </w:pPr>
      <w:r>
        <w:rPr>
          <w:b w:val="0"/>
          <w:sz w:val="22"/>
        </w:rPr>
        <w:t>препятствия, связанные с разделением труда по гендерному признаку. Они проявляются в разнице между ролями мужчин и женщин при выполнении неоплачиваемой работы по дому и внутри семьи, а также в различном уровне участия мужчин и женщин на рынке труда (эти различия видны, к примеру, в процентном соотношении участия женщин и мужчин в экономически активном населении, уровне занятости женщин – в зависимости от сектора экономики и от того, занимаются ли они самостоятельной трудовой деятельностью или работают по найму, – и в оплате труда женщин). Указанные различия приводят к тому, что женщины не обладают равными с мужчинами правами доступа к системе социального обеспечения;</w:t>
      </w:r>
    </w:p>
    <w:p w:rsidR="00000000" w:rsidRDefault="00000000">
      <w:pPr>
        <w:pStyle w:val="Title"/>
        <w:numPr>
          <w:ilvl w:val="0"/>
          <w:numId w:val="72"/>
        </w:numPr>
        <w:tabs>
          <w:tab w:val="clear" w:pos="360"/>
          <w:tab w:val="left" w:pos="340"/>
          <w:tab w:val="left" w:pos="680"/>
        </w:tabs>
        <w:spacing w:before="240" w:line="260" w:lineRule="exact"/>
        <w:ind w:left="340" w:hanging="340"/>
        <w:jc w:val="both"/>
        <w:rPr>
          <w:b w:val="0"/>
          <w:sz w:val="22"/>
        </w:rPr>
      </w:pPr>
      <w:r>
        <w:rPr>
          <w:b w:val="0"/>
          <w:sz w:val="22"/>
        </w:rPr>
        <w:t>препятствия, возникающие в результате того, что действующие системы социального страхования воспроизводят или компенсируют неравенство, обусловленное разделением труда и рынка труда по гендерному признаку.</w:t>
      </w:r>
    </w:p>
    <w:p w:rsidR="00000000" w:rsidRDefault="00000000">
      <w:pPr>
        <w:pStyle w:val="Title"/>
        <w:tabs>
          <w:tab w:val="left" w:pos="680"/>
        </w:tabs>
        <w:spacing w:before="240" w:line="260" w:lineRule="exact"/>
        <w:jc w:val="both"/>
        <w:rPr>
          <w:b w:val="0"/>
          <w:sz w:val="22"/>
        </w:rPr>
      </w:pPr>
      <w:r>
        <w:rPr>
          <w:b w:val="0"/>
          <w:sz w:val="22"/>
        </w:rPr>
        <w:t>467.</w:t>
      </w:r>
      <w:r>
        <w:rPr>
          <w:b w:val="0"/>
          <w:sz w:val="22"/>
        </w:rPr>
        <w:tab/>
        <w:t>В Коста-Рике система социального обеспечения не охватывает все женское население: часть женщин совсем не охвачена системой, а какая-то часть охвачена не как полноправный бенефициар, а как косвенный получатель социальных благ, то есть имеет доступ к системе через своего супруга, сожителя, детей. Очевидно, что подобное положение ограничивает для женщин возможность на условиях равенства пользоваться благами, предоставляемыми системой, особенно в том, что касается права на получение пенсии, субсидий в связи с временной или постоянной нетрудоспособностью, социальной помощи в виде бесплатных протезов, очков, качественного стоматологического обслуживания и права на оплачиваемый отпуск по беременности и родам, среди прочего. Все указанные различия в доступе к системе социального обеспечения ставят женщин в положение граждан второго сорта (Martinez, 2002).</w:t>
      </w:r>
    </w:p>
    <w:p w:rsidR="00000000" w:rsidRDefault="00000000">
      <w:pPr>
        <w:pStyle w:val="Title"/>
        <w:tabs>
          <w:tab w:val="left" w:pos="680"/>
        </w:tabs>
        <w:spacing w:before="240" w:line="260" w:lineRule="exact"/>
        <w:jc w:val="both"/>
        <w:rPr>
          <w:b w:val="0"/>
          <w:spacing w:val="-2"/>
          <w:sz w:val="22"/>
        </w:rPr>
      </w:pPr>
      <w:r>
        <w:rPr>
          <w:b w:val="0"/>
          <w:sz w:val="22"/>
        </w:rPr>
        <w:t>468.</w:t>
      </w:r>
      <w:r>
        <w:rPr>
          <w:b w:val="0"/>
          <w:sz w:val="22"/>
        </w:rPr>
        <w:tab/>
      </w:r>
      <w:r>
        <w:rPr>
          <w:b w:val="0"/>
          <w:spacing w:val="-2"/>
          <w:sz w:val="22"/>
        </w:rPr>
        <w:t>Следует отметить, что раздел Уголовного кодекса Коста-Рики, который посвящен защите прав трудящихся на рабочем месте, устарел и не отвечает современным нормам права, поскольку не гарантирует защиту от многих профессиональных рисков трудящимся вообще и женщинам, занятым на современном производстве, в частности. В трудовом законодательстве не защищены должным образом права домохозяек, в особенности домохозяек-инвалидов, а также тех, у которых имеются недееспособные дети; женщин – сельскохозяйственных производителей, работающих не по найму; женщин, занимающихся мелким предпринимательством, большинство из которых не имеют страховки; и многих женщин – глав семей, принадлежащих к малоимущим слоям населения. Безусловно, перечисленные категории населения должны быть охвачены системой социального обеспечения. Особенно важно предоставить им право на получение пенсии по старости или инвалидности и тем самым обеспечить надлежащие условия жизни с точки зрения социальной справедливости и принципа справедливого распределения национального богатства, изменив подход к оказанию социальной помощи в области здравоохранения и пенсионного обеспечения, которая в настоящее время зависит от типа страхования: прямого (требующего выплаты регулярных взносов) или непрямого (семейного) (Martinez, 2002).</w:t>
      </w:r>
    </w:p>
    <w:p w:rsidR="00000000" w:rsidRDefault="00000000">
      <w:pPr>
        <w:pStyle w:val="Title"/>
        <w:tabs>
          <w:tab w:val="left" w:pos="680"/>
        </w:tabs>
        <w:spacing w:before="240" w:line="260" w:lineRule="exact"/>
        <w:jc w:val="both"/>
        <w:rPr>
          <w:b w:val="0"/>
          <w:sz w:val="22"/>
        </w:rPr>
      </w:pPr>
      <w:r>
        <w:rPr>
          <w:b w:val="0"/>
          <w:sz w:val="22"/>
        </w:rPr>
        <w:t>469.</w:t>
      </w:r>
      <w:r>
        <w:rPr>
          <w:b w:val="0"/>
          <w:sz w:val="22"/>
        </w:rPr>
        <w:tab/>
        <w:t>Речь идет о проблеме, которая затрагивает прежде всего женщин, так как, несмотря на то что общее число женщин, имеющих страховку, превышает число застрахованных мужчин, для женщин наиболее распространенной формой страхования является семейное страхование, а не прямое, как для основной части мужчин. В настоящее время только 24 процента женщин имеют прямую медицинскую страховку и 30 процентов – пенсионную страховку, и, следовательно, почти 15</w:t>
      </w:r>
      <w:r>
        <w:rPr>
          <w:b w:val="0"/>
          <w:sz w:val="22"/>
          <w:lang w:val="en-US"/>
        </w:rPr>
        <w:t> </w:t>
      </w:r>
      <w:r>
        <w:rPr>
          <w:b w:val="0"/>
          <w:sz w:val="22"/>
        </w:rPr>
        <w:t>процентов женщин, работающих по найму, и 48 процентов женщин, занимающихся самостоятельной трудовой деятельностью, имеют семейную страховку вместо прямой индивидуальной (Martinez, 2002).</w:t>
      </w:r>
    </w:p>
    <w:p w:rsidR="00000000" w:rsidRDefault="00000000">
      <w:pPr>
        <w:pStyle w:val="Title"/>
        <w:tabs>
          <w:tab w:val="left" w:pos="680"/>
        </w:tabs>
        <w:spacing w:before="240" w:line="260" w:lineRule="exact"/>
        <w:jc w:val="both"/>
        <w:rPr>
          <w:b w:val="0"/>
          <w:sz w:val="22"/>
        </w:rPr>
      </w:pPr>
      <w:r>
        <w:rPr>
          <w:b w:val="0"/>
          <w:sz w:val="22"/>
        </w:rPr>
        <w:t>470.</w:t>
      </w:r>
      <w:r>
        <w:rPr>
          <w:b w:val="0"/>
          <w:sz w:val="22"/>
        </w:rPr>
        <w:tab/>
        <w:t>Если к этим данным добавить данные о доступе к социальному страхованию несовершеннолетнего населения в возрасте от 12 лет до 21 года, то можно заключить, что приблизительно 21,5 процента всего населения страны не имеют страховки. Что касается положения несовершеннолетних женщин, то 45,4 процента от их общего числа не имеют страховки, и наименее защищенными в этом отношении являются молодые женщины в возрасте от 18 лет до 21 года (51 процент не имеют страховки). Однако среди женщин данной группы 76 процентов имеют семейную страховку, 9,4 процента застрахованы за счет государства, и только 7 процентов застрахованы как трудящиеся, работающие по найму и получающие зарплату (Martinez, 2002).</w:t>
      </w:r>
    </w:p>
    <w:p w:rsidR="00000000" w:rsidRDefault="00000000">
      <w:pPr>
        <w:pStyle w:val="Title"/>
        <w:tabs>
          <w:tab w:val="left" w:pos="680"/>
        </w:tabs>
        <w:spacing w:before="240" w:line="260" w:lineRule="exact"/>
        <w:jc w:val="both"/>
        <w:rPr>
          <w:b w:val="0"/>
          <w:sz w:val="22"/>
        </w:rPr>
      </w:pPr>
      <w:r>
        <w:rPr>
          <w:b w:val="0"/>
          <w:sz w:val="22"/>
        </w:rPr>
        <w:t>471.</w:t>
      </w:r>
      <w:r>
        <w:rPr>
          <w:b w:val="0"/>
          <w:sz w:val="22"/>
        </w:rPr>
        <w:tab/>
        <w:t>Помимо того что семейное страхование ставит женщину в зависимость от регулярности отчисления взносов другим лицом, данный вид страхования ограничивает женщинам доступ к некоторым социальным благам (Martinez, 2002), поскольку:</w:t>
      </w:r>
    </w:p>
    <w:p w:rsidR="00000000" w:rsidRDefault="00000000">
      <w:pPr>
        <w:pStyle w:val="Title"/>
        <w:numPr>
          <w:ilvl w:val="0"/>
          <w:numId w:val="73"/>
        </w:numPr>
        <w:tabs>
          <w:tab w:val="clear" w:pos="360"/>
          <w:tab w:val="left" w:pos="340"/>
          <w:tab w:val="left" w:pos="680"/>
        </w:tabs>
        <w:spacing w:before="240" w:line="260" w:lineRule="exact"/>
        <w:ind w:left="340" w:hanging="340"/>
        <w:jc w:val="both"/>
        <w:rPr>
          <w:b w:val="0"/>
          <w:sz w:val="22"/>
        </w:rPr>
      </w:pPr>
      <w:r>
        <w:rPr>
          <w:b w:val="0"/>
          <w:sz w:val="22"/>
        </w:rPr>
        <w:t>во-первых, не дает женщинам права получать денежные выплаты по медицинской страховке (включая оплату больничных листов и отпуска по беременности и родам);</w:t>
      </w:r>
    </w:p>
    <w:p w:rsidR="00000000" w:rsidRDefault="00000000">
      <w:pPr>
        <w:pStyle w:val="Title"/>
        <w:numPr>
          <w:ilvl w:val="0"/>
          <w:numId w:val="73"/>
        </w:numPr>
        <w:tabs>
          <w:tab w:val="clear" w:pos="360"/>
          <w:tab w:val="left" w:pos="340"/>
          <w:tab w:val="left" w:pos="680"/>
        </w:tabs>
        <w:spacing w:before="240" w:line="260" w:lineRule="exact"/>
        <w:ind w:left="340" w:hanging="340"/>
        <w:jc w:val="both"/>
        <w:rPr>
          <w:b w:val="0"/>
          <w:sz w:val="22"/>
        </w:rPr>
      </w:pPr>
      <w:r>
        <w:rPr>
          <w:b w:val="0"/>
          <w:sz w:val="22"/>
        </w:rPr>
        <w:t>во-вторых, женщины не могут получать никаких видов пенсий, кроме пенсии по инвалидности или по случаю смерти супруга или сожителя, при условии что им удастся доказать свою экономическую зависимость от него.</w:t>
      </w:r>
    </w:p>
    <w:p w:rsidR="00000000" w:rsidRDefault="00000000">
      <w:pPr>
        <w:pStyle w:val="Title"/>
        <w:tabs>
          <w:tab w:val="left" w:pos="680"/>
        </w:tabs>
        <w:spacing w:before="240" w:line="260" w:lineRule="exact"/>
        <w:jc w:val="both"/>
        <w:rPr>
          <w:b w:val="0"/>
          <w:sz w:val="22"/>
        </w:rPr>
      </w:pPr>
      <w:r>
        <w:rPr>
          <w:b w:val="0"/>
          <w:sz w:val="22"/>
        </w:rPr>
        <w:t>472.</w:t>
      </w:r>
      <w:r>
        <w:rPr>
          <w:b w:val="0"/>
          <w:sz w:val="22"/>
        </w:rPr>
        <w:tab/>
        <w:t>Учитывая подобную ситуацию, важной задачей государства является содействие расширению охвата системой прямого страхования женщин, занятых на оплачиваемой работе (трудящихся по найму или занимающихся самостоятельной трудовой деятельностью). Для реализации этой цели необходимо провести информационную кампанию по ознакомлению женщин с возможностями, которые предоставляет прямое страхование, и ограничениями, которые содержит непрямое страхование.</w:t>
      </w:r>
    </w:p>
    <w:p w:rsidR="00000000" w:rsidRDefault="00000000">
      <w:pPr>
        <w:pStyle w:val="Title"/>
        <w:tabs>
          <w:tab w:val="left" w:pos="680"/>
        </w:tabs>
        <w:spacing w:before="240" w:line="260" w:lineRule="exact"/>
        <w:jc w:val="both"/>
        <w:rPr>
          <w:b w:val="0"/>
          <w:sz w:val="22"/>
        </w:rPr>
      </w:pPr>
      <w:r>
        <w:rPr>
          <w:b w:val="0"/>
          <w:sz w:val="22"/>
        </w:rPr>
        <w:t>473.</w:t>
      </w:r>
      <w:r>
        <w:rPr>
          <w:b w:val="0"/>
          <w:sz w:val="22"/>
        </w:rPr>
        <w:tab/>
        <w:t>В том что касается существующей разницы в предоставляемой социальной помощи в зависимости от типа прямого страхования, следует учитывать, что подобные различия нарушают принцип всеобщности, который конституционно закреплен за системой медицинского страхования (Martinez, 2002). Это подтверждают следующие данные:</w:t>
      </w:r>
    </w:p>
    <w:p w:rsidR="00000000" w:rsidRDefault="00000000">
      <w:pPr>
        <w:pStyle w:val="Title"/>
        <w:numPr>
          <w:ilvl w:val="0"/>
          <w:numId w:val="74"/>
        </w:numPr>
        <w:tabs>
          <w:tab w:val="clear" w:pos="360"/>
          <w:tab w:val="left" w:pos="340"/>
          <w:tab w:val="left" w:pos="680"/>
        </w:tabs>
        <w:spacing w:before="240" w:line="260" w:lineRule="exact"/>
        <w:ind w:left="340" w:hanging="340"/>
        <w:jc w:val="both"/>
        <w:rPr>
          <w:b w:val="0"/>
          <w:sz w:val="22"/>
        </w:rPr>
      </w:pPr>
      <w:r>
        <w:rPr>
          <w:b w:val="0"/>
          <w:sz w:val="22"/>
        </w:rPr>
        <w:t>Трудящиеся-женщины, которые работают по найму и застрахованы прямым страхованием, получают медицинскую помощь и денежные пособия (в связи с нетрудоспособностью по болезни и отпуском по беременности и родам).</w:t>
      </w:r>
    </w:p>
    <w:p w:rsidR="00000000" w:rsidRDefault="00000000">
      <w:pPr>
        <w:pStyle w:val="Title"/>
        <w:numPr>
          <w:ilvl w:val="0"/>
          <w:numId w:val="74"/>
        </w:numPr>
        <w:tabs>
          <w:tab w:val="clear" w:pos="360"/>
          <w:tab w:val="left" w:pos="340"/>
          <w:tab w:val="left" w:pos="680"/>
        </w:tabs>
        <w:spacing w:before="240" w:line="260" w:lineRule="exact"/>
        <w:ind w:left="340" w:hanging="340"/>
        <w:jc w:val="both"/>
        <w:rPr>
          <w:b w:val="0"/>
          <w:sz w:val="22"/>
        </w:rPr>
      </w:pPr>
      <w:r>
        <w:rPr>
          <w:b w:val="0"/>
          <w:sz w:val="22"/>
        </w:rPr>
        <w:t>Женщины, занимающиеся самостоятельной трудовой деятельностью и застрахованные прямым страхованием, помимо медицинской помощи получают пособия, однако в меньших размерах, чем женщины, работающие по найму.</w:t>
      </w:r>
    </w:p>
    <w:p w:rsidR="00000000" w:rsidRDefault="00000000">
      <w:pPr>
        <w:pStyle w:val="Title"/>
        <w:numPr>
          <w:ilvl w:val="0"/>
          <w:numId w:val="74"/>
        </w:numPr>
        <w:tabs>
          <w:tab w:val="clear" w:pos="360"/>
          <w:tab w:val="left" w:pos="340"/>
          <w:tab w:val="left" w:pos="680"/>
        </w:tabs>
        <w:spacing w:before="240" w:line="260" w:lineRule="exact"/>
        <w:ind w:left="340" w:hanging="340"/>
        <w:jc w:val="both"/>
        <w:rPr>
          <w:b w:val="0"/>
          <w:sz w:val="22"/>
        </w:rPr>
      </w:pPr>
      <w:r>
        <w:rPr>
          <w:b w:val="0"/>
          <w:sz w:val="22"/>
        </w:rPr>
        <w:t>Женщины, застрахованные прямым добровольным страхованием, которые не находятся на оплачиваемой работе, например домохозяйки и студентки, получают медицинскую помощь, но не денежные пособия; хотя для этой категории женщин предусмотрен более высокий размер взносов, чем для застрахованных прямым добровольным страхованием женщин, занимающихся самостоятельной трудовой деятельностью.</w:t>
      </w:r>
    </w:p>
    <w:p w:rsidR="00000000" w:rsidRDefault="00000000">
      <w:pPr>
        <w:pStyle w:val="Title"/>
        <w:tabs>
          <w:tab w:val="left" w:pos="680"/>
        </w:tabs>
        <w:spacing w:before="240" w:line="260" w:lineRule="exact"/>
        <w:jc w:val="both"/>
        <w:rPr>
          <w:b w:val="0"/>
          <w:sz w:val="22"/>
        </w:rPr>
      </w:pPr>
      <w:r>
        <w:rPr>
          <w:b w:val="0"/>
          <w:sz w:val="22"/>
        </w:rPr>
        <w:t>474.</w:t>
      </w:r>
      <w:r>
        <w:rPr>
          <w:b w:val="0"/>
          <w:sz w:val="22"/>
        </w:rPr>
        <w:tab/>
        <w:t>Различия в объеме и размерах получаемой социальной помощи затрагивают интересы прежде всего женщин, поскольку именно они нуждаются в отпуске по беременности и родам, а также выполняют основную работу по дому и уходу за членами семьи, которая никак не оплачивается. Таким образом, женщины, оформляя добровольную страховку, потенциально относятся к категории лиц, не имеющих постоянного дохода.</w:t>
      </w:r>
    </w:p>
    <w:p w:rsidR="00000000" w:rsidRDefault="00000000">
      <w:pPr>
        <w:pStyle w:val="Title"/>
        <w:tabs>
          <w:tab w:val="left" w:pos="680"/>
        </w:tabs>
        <w:spacing w:before="240" w:line="260" w:lineRule="exact"/>
        <w:jc w:val="both"/>
        <w:rPr>
          <w:b w:val="0"/>
          <w:sz w:val="22"/>
        </w:rPr>
      </w:pPr>
      <w:r>
        <w:rPr>
          <w:b w:val="0"/>
          <w:sz w:val="22"/>
        </w:rPr>
        <w:t>475.</w:t>
      </w:r>
      <w:r>
        <w:rPr>
          <w:b w:val="0"/>
          <w:sz w:val="22"/>
        </w:rPr>
        <w:tab/>
        <w:t>Что касается отпуска в связи с рождением ребенка, в настоящее время женщины в период отпуска получают заработную плату в полном объеме в течение четырех месяцев, то есть в течение всего предусмотренного законом срока отпуска. При этом все расходы по начислению заработной платы и оплате социальных льгот, получаемых трудящейся женщиной, в период отпуска делят между собой работодатели и ККСС (Коста-Риканский фонд социального обеспечения). Обязанность работодателя нести такие расходы, подобно эффекту "бумеранга", приводит к увольнениям беременных работниц и заставляет предпринимателей избегать найма на работу женщин вообще. Учитывая тот факт, что функция материнства всячески поощряется обществом, которому она необходима для собственного воспроизводства, задачей государства является способствовать перераспределению связанных с оплатой отпуска по беременности и родам финансовых нагрузок таким образом, чтобы работодатель выплачивал "премиум" (страховую премию, то есть страховку) за каждого трудящегося, и это освобождало бы нанимателя от обязанности оплачивать отпуск своих работниц в случае их беременности (Martinez, 2002).</w:t>
      </w:r>
    </w:p>
    <w:p w:rsidR="00000000" w:rsidRDefault="00000000">
      <w:pPr>
        <w:pStyle w:val="Title"/>
        <w:tabs>
          <w:tab w:val="left" w:pos="680"/>
        </w:tabs>
        <w:spacing w:before="240" w:line="260" w:lineRule="exact"/>
        <w:jc w:val="both"/>
        <w:rPr>
          <w:b w:val="0"/>
          <w:sz w:val="22"/>
        </w:rPr>
      </w:pPr>
      <w:r>
        <w:rPr>
          <w:b w:val="0"/>
          <w:sz w:val="22"/>
        </w:rPr>
        <w:t>476.</w:t>
      </w:r>
      <w:r>
        <w:rPr>
          <w:b w:val="0"/>
          <w:sz w:val="22"/>
        </w:rPr>
        <w:tab/>
        <w:t>Такой подход позволил бы добиться следующего:</w:t>
      </w:r>
    </w:p>
    <w:p w:rsidR="00000000" w:rsidRDefault="00000000">
      <w:pPr>
        <w:pStyle w:val="Title"/>
        <w:numPr>
          <w:ilvl w:val="0"/>
          <w:numId w:val="75"/>
        </w:numPr>
        <w:tabs>
          <w:tab w:val="clear" w:pos="360"/>
          <w:tab w:val="left" w:pos="340"/>
          <w:tab w:val="left" w:pos="680"/>
        </w:tabs>
        <w:spacing w:before="240" w:line="260" w:lineRule="exact"/>
        <w:ind w:left="340" w:hanging="340"/>
        <w:jc w:val="both"/>
        <w:rPr>
          <w:b w:val="0"/>
          <w:sz w:val="22"/>
        </w:rPr>
      </w:pPr>
      <w:r>
        <w:rPr>
          <w:b w:val="0"/>
          <w:sz w:val="22"/>
        </w:rPr>
        <w:t>Финансировать оплату отпусков по беременности женщин, работающих по найму, не увеличивая расходы работодателя.</w:t>
      </w:r>
    </w:p>
    <w:p w:rsidR="00000000" w:rsidRDefault="00000000">
      <w:pPr>
        <w:pStyle w:val="Title"/>
        <w:numPr>
          <w:ilvl w:val="0"/>
          <w:numId w:val="75"/>
        </w:numPr>
        <w:tabs>
          <w:tab w:val="clear" w:pos="360"/>
          <w:tab w:val="left" w:pos="340"/>
          <w:tab w:val="left" w:pos="680"/>
        </w:tabs>
        <w:spacing w:before="240" w:line="260" w:lineRule="exact"/>
        <w:ind w:left="340" w:hanging="340"/>
        <w:jc w:val="both"/>
        <w:rPr>
          <w:b w:val="0"/>
          <w:sz w:val="22"/>
        </w:rPr>
      </w:pPr>
      <w:r>
        <w:rPr>
          <w:b w:val="0"/>
          <w:sz w:val="22"/>
        </w:rPr>
        <w:t>Обеспечить одинаковые условия предоставления отпуска для женщин, занимающихся самостоятельной трудовой деятельностью, и женщин, работающих по найму. Подобная мера позволила бы уменьшить различия в уровне предоставляемых социальных льгот в рамках систем медицинского и пенсионного обеспечения.</w:t>
      </w:r>
    </w:p>
    <w:p w:rsidR="00000000" w:rsidRDefault="00000000">
      <w:pPr>
        <w:pStyle w:val="Title"/>
        <w:numPr>
          <w:ilvl w:val="0"/>
          <w:numId w:val="75"/>
        </w:numPr>
        <w:tabs>
          <w:tab w:val="clear" w:pos="360"/>
          <w:tab w:val="left" w:pos="340"/>
          <w:tab w:val="left" w:pos="680"/>
        </w:tabs>
        <w:spacing w:before="240" w:line="260" w:lineRule="exact"/>
        <w:ind w:left="340" w:hanging="340"/>
        <w:jc w:val="both"/>
        <w:rPr>
          <w:b w:val="0"/>
          <w:sz w:val="22"/>
        </w:rPr>
      </w:pPr>
      <w:r>
        <w:rPr>
          <w:b w:val="0"/>
          <w:sz w:val="22"/>
        </w:rPr>
        <w:t>Произвести необходимые страховые расчеты и приступить к рассмотрению вопроса о возможности принятия мер, которые позволили бы финансировать оплату отпусков по рождению ребенка женщинам, не получающим вознаграждения за свой труд, с учетом того, что многие из них застрахованы добровольным страхованием.</w:t>
      </w:r>
    </w:p>
    <w:p w:rsidR="00000000" w:rsidRDefault="00000000">
      <w:pPr>
        <w:pStyle w:val="Title"/>
        <w:tabs>
          <w:tab w:val="left" w:pos="680"/>
        </w:tabs>
        <w:spacing w:before="240" w:line="260" w:lineRule="exact"/>
        <w:jc w:val="both"/>
        <w:rPr>
          <w:b w:val="0"/>
          <w:sz w:val="22"/>
        </w:rPr>
      </w:pPr>
      <w:r>
        <w:rPr>
          <w:b w:val="0"/>
          <w:sz w:val="22"/>
        </w:rPr>
        <w:t>477.</w:t>
      </w:r>
      <w:r>
        <w:rPr>
          <w:b w:val="0"/>
          <w:sz w:val="22"/>
        </w:rPr>
        <w:tab/>
        <w:t>В отношении страховых расчетов пенсий второй системы в настоящее время расчет пенсий в рамках системы индивидуальной капитализации ущемляет права женщин, чья продолжительность предстоящей жизни выше, чем у мужчин (Martinez, 2002). В связи с этим следует учитывать, по крайней мере, два следующих аргумента:</w:t>
      </w:r>
    </w:p>
    <w:p w:rsidR="00000000" w:rsidRDefault="00000000">
      <w:pPr>
        <w:pStyle w:val="Title"/>
        <w:numPr>
          <w:ilvl w:val="0"/>
          <w:numId w:val="82"/>
        </w:numPr>
        <w:tabs>
          <w:tab w:val="left" w:pos="680"/>
        </w:tabs>
        <w:spacing w:before="240" w:line="260" w:lineRule="exact"/>
        <w:jc w:val="both"/>
        <w:rPr>
          <w:b w:val="0"/>
          <w:sz w:val="22"/>
        </w:rPr>
      </w:pPr>
      <w:r>
        <w:rPr>
          <w:b w:val="0"/>
          <w:sz w:val="22"/>
        </w:rPr>
        <w:t>В то время как в нашем обществе идет борьба за увеличение продолжительности жизни мужчин и женщин, не представляется оправданным тот факт, что система пенсионного обеспечения ущемляет права тех, чья продолжительность предстоящей жизни выше, то есть женщин, особенно если учесть, что они получают только 70 процентов от оплаты труда мужчин за одинаковую с ними работу, и потому размер их пенсий ниже, чем у мужчин. Другими словами, для того чтобы получать равную с мужчинами пенсию за одинаковую работу, женщина должна выплачивать из своей зарплаты существенно б</w:t>
      </w:r>
      <w:r>
        <w:rPr>
          <w:b w:val="0"/>
          <w:sz w:val="22"/>
          <w:lang w:val="es-ES"/>
        </w:rPr>
        <w:t>ó</w:t>
      </w:r>
      <w:r>
        <w:rPr>
          <w:b w:val="0"/>
          <w:sz w:val="22"/>
        </w:rPr>
        <w:t>льшую сумму взносов.</w:t>
      </w:r>
    </w:p>
    <w:p w:rsidR="00000000" w:rsidRDefault="00000000">
      <w:pPr>
        <w:pStyle w:val="Title"/>
        <w:numPr>
          <w:ilvl w:val="0"/>
          <w:numId w:val="82"/>
        </w:numPr>
        <w:tabs>
          <w:tab w:val="left" w:pos="680"/>
        </w:tabs>
        <w:spacing w:before="240" w:line="260" w:lineRule="exact"/>
        <w:jc w:val="both"/>
        <w:rPr>
          <w:b w:val="0"/>
          <w:sz w:val="22"/>
        </w:rPr>
      </w:pPr>
      <w:r>
        <w:rPr>
          <w:b w:val="0"/>
          <w:sz w:val="22"/>
        </w:rPr>
        <w:t>До тех пор, пока не изменятся культурные стереотипы и механизмы предоставления социальной помощи, женщина на протяжении всей своей жизни будет вынуждена выполнять работу по дому и уходу за членами семьи, не получая за свой труд вознаграждения, поскольку он не признается ни рынком труда, ни системой пенсионного обеспечения.</w:t>
      </w:r>
    </w:p>
    <w:p w:rsidR="00000000" w:rsidRDefault="00000000">
      <w:pPr>
        <w:pStyle w:val="Title"/>
        <w:tabs>
          <w:tab w:val="left" w:pos="680"/>
        </w:tabs>
        <w:spacing w:before="240" w:line="260" w:lineRule="exact"/>
        <w:jc w:val="both"/>
        <w:rPr>
          <w:b w:val="0"/>
          <w:sz w:val="22"/>
        </w:rPr>
      </w:pPr>
      <w:r>
        <w:rPr>
          <w:b w:val="0"/>
          <w:sz w:val="22"/>
        </w:rPr>
        <w:t>478.</w:t>
      </w:r>
      <w:r>
        <w:rPr>
          <w:b w:val="0"/>
          <w:sz w:val="22"/>
        </w:rPr>
        <w:tab/>
        <w:t>Принимая во внимание все вышесказанное, следует сделать вывод о том, что ущемление системой индивидуальной капитализации прав женщин, имеющих бóльшую продолжительность предстоящей жизни по сравнению с мужчинами, не соответствует основным принципам коста-риканской системы социального обеспечения. Техническое решение данной проблемы не представляет трудностей и заключается в том, чтобы внести изменения в расчеты страховых взносов, производимые действующими пенсионными фондами. Для ведения политического диалога с пенсионными фондами, в результате которого стали бы возможными такие изменения, необходимо создать благоприятное общественное мнение и обеспечить как можно более широкое сотрудничество всех задействованных сторон.</w:t>
      </w:r>
    </w:p>
    <w:p w:rsidR="00000000" w:rsidRDefault="00000000">
      <w:pPr>
        <w:pStyle w:val="Title"/>
        <w:tabs>
          <w:tab w:val="left" w:pos="680"/>
        </w:tabs>
        <w:spacing w:before="240" w:line="260" w:lineRule="exact"/>
        <w:jc w:val="both"/>
        <w:rPr>
          <w:b w:val="0"/>
          <w:sz w:val="22"/>
        </w:rPr>
      </w:pPr>
      <w:r>
        <w:rPr>
          <w:b w:val="0"/>
          <w:sz w:val="22"/>
        </w:rPr>
        <w:t>479.</w:t>
      </w:r>
      <w:r>
        <w:rPr>
          <w:b w:val="0"/>
          <w:sz w:val="22"/>
        </w:rPr>
        <w:tab/>
        <w:t>В том что касается рисков, квалифицируемых как профессиональные, в существующей в настоящее время таблице наиболее распространенных рисков, где определен уровень потенциальной нетрудоспособности, соответствующий каждому из рисков, содержатся два вида ограничений для женщин (Martinez, 2002), а именно:</w:t>
      </w:r>
    </w:p>
    <w:p w:rsidR="00000000" w:rsidRDefault="00000000">
      <w:pPr>
        <w:pStyle w:val="Title"/>
        <w:numPr>
          <w:ilvl w:val="0"/>
          <w:numId w:val="83"/>
        </w:numPr>
        <w:tabs>
          <w:tab w:val="clear" w:pos="360"/>
          <w:tab w:val="left" w:pos="340"/>
          <w:tab w:val="left" w:pos="680"/>
        </w:tabs>
        <w:spacing w:before="240" w:line="260" w:lineRule="exact"/>
        <w:ind w:left="340" w:hanging="340"/>
        <w:jc w:val="both"/>
        <w:rPr>
          <w:b w:val="0"/>
          <w:sz w:val="22"/>
        </w:rPr>
      </w:pPr>
      <w:r>
        <w:rPr>
          <w:b w:val="0"/>
          <w:sz w:val="22"/>
        </w:rPr>
        <w:t>Существует целый ряд рисков, сопряженных с женским трудом, которые не квалифицируются как таковые. Это такие распространенные среди женщин риски, как: дисфония, карпальный туннельный синдром, нарушения эргономики, связанные с неправильным положением тела, например у женщин, занятых в добывающей промышленности.</w:t>
      </w:r>
    </w:p>
    <w:p w:rsidR="00000000" w:rsidRDefault="00000000">
      <w:pPr>
        <w:pStyle w:val="Title"/>
        <w:numPr>
          <w:ilvl w:val="0"/>
          <w:numId w:val="83"/>
        </w:numPr>
        <w:tabs>
          <w:tab w:val="clear" w:pos="360"/>
          <w:tab w:val="left" w:pos="340"/>
          <w:tab w:val="left" w:pos="680"/>
        </w:tabs>
        <w:spacing w:before="240" w:line="260" w:lineRule="exact"/>
        <w:ind w:left="340" w:hanging="340"/>
        <w:jc w:val="both"/>
        <w:rPr>
          <w:b w:val="0"/>
          <w:sz w:val="22"/>
        </w:rPr>
      </w:pPr>
      <w:r>
        <w:rPr>
          <w:b w:val="0"/>
          <w:sz w:val="22"/>
        </w:rPr>
        <w:t>Следует отметить, что таблица Национального института страхования отражает прежде всего производственные травмы. Однако существуют последствия трудовой деятельности физического и эмоционального характера, с которыми особенно часто сталкиваются женщины, так как связаны со случаями сексуальных домогательств на работе, в настоящее время тоже не рассматриваемыми как профессиональные риски. Таким образом, если женщине необходимо получить отпуск в связи с временной нетрудоспособностью, которую вызвал стресс, полученный вследствие сексуального домогательства, она должна обратиться в ККСС, а не в Национальный институт страхования. В случае постоянной нетрудоспособности, вызванной теми же причинами, пострадавшая женщина в настоящий момент не имеет права на получение помощи от системы компенсации профессиональных рисков ни в виде денежных пособий, ни – тем более – в виде прохождения курса эмоциональной или психологической реабилитации.</w:t>
      </w:r>
    </w:p>
    <w:p w:rsidR="00000000" w:rsidRDefault="00000000">
      <w:pPr>
        <w:pStyle w:val="Title"/>
        <w:tabs>
          <w:tab w:val="left" w:pos="680"/>
        </w:tabs>
        <w:spacing w:line="260" w:lineRule="exact"/>
        <w:jc w:val="both"/>
        <w:rPr>
          <w:b w:val="0"/>
          <w:sz w:val="22"/>
        </w:rPr>
      </w:pPr>
    </w:p>
    <w:p w:rsidR="00000000" w:rsidRDefault="00000000">
      <w:pPr>
        <w:pStyle w:val="Subtitle"/>
        <w:tabs>
          <w:tab w:val="left" w:pos="680"/>
        </w:tabs>
        <w:spacing w:before="240" w:line="260" w:lineRule="exact"/>
        <w:ind w:right="0"/>
        <w:jc w:val="both"/>
        <w:rPr>
          <w:sz w:val="22"/>
        </w:rPr>
      </w:pPr>
      <w:r>
        <w:rPr>
          <w:sz w:val="22"/>
        </w:rPr>
        <w:t>Женская больница имени доктора Адольфо Карита "Ева"</w:t>
      </w:r>
    </w:p>
    <w:p w:rsidR="00000000" w:rsidRDefault="00000000">
      <w:pPr>
        <w:tabs>
          <w:tab w:val="left" w:pos="680"/>
        </w:tabs>
        <w:spacing w:before="240" w:line="260" w:lineRule="exact"/>
        <w:jc w:val="both"/>
        <w:rPr>
          <w:sz w:val="22"/>
        </w:rPr>
      </w:pPr>
      <w:r>
        <w:rPr>
          <w:sz w:val="22"/>
        </w:rPr>
        <w:t>480.</w:t>
      </w:r>
      <w:r>
        <w:rPr>
          <w:sz w:val="22"/>
        </w:rPr>
        <w:tab/>
        <w:t>15 августа 1999 года, в День Матери, известный родильный дом имени доктора Карита был преобразован в экспериментальную Женскую больницу. Данное событие стало важной вехой в истории охраны здоровья женщин Коста-Рики и национальной системы здравоохранения вообще. В больнице планировалось провести эксперимент по разработке и претворению в жизнь новой модели оказания комплексной медицинской помощи женщинам, в результате которого станут возможными существенные изменения в подходах к проблемам здравоохранения с учетом потребностей женщин в данной области. Эти изменения должны отразиться не только на работе медицинского персонала, но и на повышении уровня медицинских услуг для населения, которое ими пользуется: для семей, общин и других заинтересованных социальных групп и слоев населения.</w:t>
      </w:r>
    </w:p>
    <w:p w:rsidR="00000000" w:rsidRDefault="00000000">
      <w:pPr>
        <w:tabs>
          <w:tab w:val="left" w:pos="680"/>
        </w:tabs>
        <w:spacing w:before="240" w:line="260" w:lineRule="exact"/>
        <w:jc w:val="both"/>
        <w:rPr>
          <w:spacing w:val="-2"/>
          <w:sz w:val="22"/>
        </w:rPr>
      </w:pPr>
      <w:r>
        <w:rPr>
          <w:sz w:val="22"/>
        </w:rPr>
        <w:t>481.</w:t>
      </w:r>
      <w:r>
        <w:rPr>
          <w:sz w:val="22"/>
        </w:rPr>
        <w:tab/>
      </w:r>
      <w:r>
        <w:rPr>
          <w:spacing w:val="-2"/>
          <w:sz w:val="22"/>
        </w:rPr>
        <w:t>В соответствии с текстом документа о внедрении новой модели, подготовленного Межведомственной технической комиссией, она создавалась с целью привлечь женщин и мужчин к активному участию в процессе изучения комплекса проблем, связанных с охраной здоровья, а также пересмотра подходов к этим проблемам в целях улучшения положения женщин, чьи интересы и потребности должны учитываться при формировании государственной политики в данной области. Одной из поставленных задач является обеспечение реального участия граждан в процессе разработки, выполнения и оценки соответствующих стратегий и программ, при этом следует опираться на принятие взвешенных решений, основанных на достоверной информации. Подобное участие станет возможным при изменении общественного сознания и отношения к вопросам здравоохранения всего населения, включая женщин, мужчин, детей, подростков и пожилых людей. Таким образом, внедрение модели имеет целью способствовать осознанию гражданами того факта, что право на охрану здоровья является их важным и неотъемлемым правом.</w:t>
      </w:r>
    </w:p>
    <w:p w:rsidR="00000000" w:rsidRDefault="00000000">
      <w:pPr>
        <w:tabs>
          <w:tab w:val="left" w:pos="680"/>
        </w:tabs>
        <w:spacing w:before="240" w:line="260" w:lineRule="exact"/>
        <w:jc w:val="both"/>
        <w:rPr>
          <w:sz w:val="22"/>
        </w:rPr>
      </w:pPr>
      <w:r>
        <w:rPr>
          <w:sz w:val="22"/>
        </w:rPr>
        <w:t>482.</w:t>
      </w:r>
      <w:r>
        <w:rPr>
          <w:sz w:val="22"/>
        </w:rPr>
        <w:tab/>
        <w:t>Инициатива по внедрению новой модели является составной частью процесса реформирования сектора здравоохранения и модернизации его учреждений, который в настоящее время осуществляется в Коста-Рике. При проведении преобразований государство исходит из рассмотрения системы здравоохранения как некоего социального производства, в котором принимаются во внимание все социальные составляющие и условия, определяющие жизнь каждого конкретного человека. Таким образом, в основе реформы лежит комплексный подход к вопросам охраны здоровья, и в ее осуществлении участвуют различные междисциплинарные и межотраслевые учреждения, действующие в тесном сотрудничестве с широкими слоями общества. Главной целью внедрения модели является гарантировать женщинам доступ к получению высококачественной комплексной медицинской помощи с учетом гендерных аспектов. Для выполнения этой цели необходимо обеспечить участие общества, соответствующую профессионально-техническую подготовку, расширить возможности женщин, в частности их доступ к руководящим должностям, и принять любые другие меры, способные позитивно повлиять на улучшение системы здравоохранения для женщин. Всем учреждениям и организациям, предоставляющим социальные услуги, даны полномочия для внедрения подобных моделей в разных учреждениях (Межведомственная техническая комиссия, 2000 год).</w:t>
      </w:r>
    </w:p>
    <w:p w:rsidR="00000000" w:rsidRDefault="00000000">
      <w:pPr>
        <w:pStyle w:val="BodyText"/>
        <w:tabs>
          <w:tab w:val="left" w:pos="680"/>
        </w:tabs>
        <w:spacing w:before="240" w:line="260" w:lineRule="exact"/>
        <w:rPr>
          <w:sz w:val="22"/>
        </w:rPr>
      </w:pPr>
      <w:r>
        <w:rPr>
          <w:sz w:val="22"/>
        </w:rPr>
        <w:t>483.</w:t>
      </w:r>
      <w:r>
        <w:rPr>
          <w:sz w:val="22"/>
        </w:rPr>
        <w:tab/>
        <w:t>Были определены следующие девять приоритетных направлений применения новой модели (с учетом степени их важности для жизни общества в целом, а также его отдельных представителей, семей и общин): сексуальное и репродуктивное здоровье; психическое здоровье; насилие в отношении противоположного пола; курение и употребление наркотиков и алкоголя; беременность несовершеннолетних; заболевания, передаваемые половым путем, и СПИД; климактерический период, менопауза и последующий период; рак шейки матки и груди; здоровье общества в связи с вопросами охраны окружающей среды.</w:t>
      </w:r>
    </w:p>
    <w:p w:rsidR="00000000" w:rsidRDefault="00000000">
      <w:pPr>
        <w:tabs>
          <w:tab w:val="left" w:pos="680"/>
        </w:tabs>
        <w:spacing w:before="240" w:line="260" w:lineRule="exact"/>
        <w:jc w:val="both"/>
        <w:rPr>
          <w:sz w:val="22"/>
        </w:rPr>
      </w:pPr>
      <w:r>
        <w:rPr>
          <w:sz w:val="22"/>
        </w:rPr>
        <w:t>484.</w:t>
      </w:r>
      <w:r>
        <w:rPr>
          <w:sz w:val="22"/>
        </w:rPr>
        <w:tab/>
        <w:t>Этот проект был поддержан на политическом уровне, в частности его осуществлению оказывает финансовую помощь Канада. Кроме того, эксперты, привлеченные к созданию проекта, а также сотрудники других учреждений, таких как, например, ИНАМУ, повысили свою профессиональную подготовку у опытных специалистов, работающих в Канаде в учреждениях по охране женского здоровья, получив от них консультации по вопросам стратегии, планирования и содержания задач в области здравоохранения для женщин.</w:t>
      </w:r>
    </w:p>
    <w:p w:rsidR="00000000" w:rsidRDefault="00000000">
      <w:pPr>
        <w:tabs>
          <w:tab w:val="left" w:pos="680"/>
        </w:tabs>
        <w:spacing w:before="240" w:line="260" w:lineRule="exact"/>
        <w:jc w:val="both"/>
        <w:rPr>
          <w:sz w:val="22"/>
        </w:rPr>
      </w:pPr>
      <w:r>
        <w:rPr>
          <w:sz w:val="22"/>
        </w:rPr>
        <w:t>485.</w:t>
      </w:r>
      <w:r>
        <w:rPr>
          <w:sz w:val="22"/>
        </w:rPr>
        <w:tab/>
        <w:t>Несмотря на то что внедрение модели оказания комплексной медицинской помощи женщинам является крайне перспективным, эта инициатива не может быть реализована без наличия политической воли и необходимых средств для ее осуществления и обеспечения применения аналогичных моделей во всей национальной системе здравоохранения.</w:t>
      </w:r>
    </w:p>
    <w:p w:rsidR="00000000" w:rsidRDefault="00000000">
      <w:pPr>
        <w:tabs>
          <w:tab w:val="left" w:pos="680"/>
        </w:tabs>
        <w:spacing w:before="240" w:line="260" w:lineRule="exact"/>
        <w:jc w:val="both"/>
        <w:rPr>
          <w:sz w:val="22"/>
        </w:rPr>
      </w:pPr>
      <w:r>
        <w:rPr>
          <w:sz w:val="22"/>
        </w:rPr>
        <w:t>486.</w:t>
      </w:r>
      <w:r>
        <w:rPr>
          <w:sz w:val="22"/>
        </w:rPr>
        <w:tab/>
        <w:t>В качестве успехов, достигнутых в ходе реализации модели, можно назвать следующие:</w:t>
      </w:r>
    </w:p>
    <w:p w:rsidR="00000000" w:rsidRDefault="00000000">
      <w:pPr>
        <w:numPr>
          <w:ilvl w:val="0"/>
          <w:numId w:val="84"/>
        </w:numPr>
        <w:tabs>
          <w:tab w:val="left" w:pos="680"/>
        </w:tabs>
        <w:spacing w:before="240" w:line="260" w:lineRule="exact"/>
        <w:jc w:val="both"/>
        <w:rPr>
          <w:sz w:val="22"/>
        </w:rPr>
      </w:pPr>
      <w:r>
        <w:rPr>
          <w:sz w:val="22"/>
        </w:rPr>
        <w:t>Модель экспериментально применялась при участии общин в кантонах Асерри, Акоста, Десампарадос, в клинике имени Карлоса Дурана.</w:t>
      </w:r>
    </w:p>
    <w:p w:rsidR="00000000" w:rsidRDefault="00000000">
      <w:pPr>
        <w:numPr>
          <w:ilvl w:val="0"/>
          <w:numId w:val="84"/>
        </w:numPr>
        <w:tabs>
          <w:tab w:val="left" w:pos="680"/>
        </w:tabs>
        <w:spacing w:before="240" w:line="260" w:lineRule="exact"/>
        <w:jc w:val="both"/>
        <w:rPr>
          <w:sz w:val="22"/>
        </w:rPr>
      </w:pPr>
      <w:r>
        <w:rPr>
          <w:sz w:val="22"/>
        </w:rPr>
        <w:t>Исполнительный директор ККСС приняла решение о необходимости обеспечить продолжение реализации проекта. В связи с этим было принято решение о выделении в 2003 году средств на обеспечение последовательного внедрения модели и завершение ее экспериментального этапа.</w:t>
      </w:r>
    </w:p>
    <w:p w:rsidR="00000000" w:rsidRDefault="00000000">
      <w:pPr>
        <w:numPr>
          <w:ilvl w:val="0"/>
          <w:numId w:val="84"/>
        </w:numPr>
        <w:tabs>
          <w:tab w:val="left" w:pos="680"/>
        </w:tabs>
        <w:spacing w:before="240" w:line="260" w:lineRule="exact"/>
        <w:jc w:val="both"/>
        <w:rPr>
          <w:sz w:val="22"/>
        </w:rPr>
      </w:pPr>
      <w:r>
        <w:rPr>
          <w:sz w:val="22"/>
        </w:rPr>
        <w:t>Были достигнуты пять ключевых показателей правильного руководства осуществлением проекта, необходимых для придания устойчивого характера деятельности, развернутой к настоящему моменту. Однако еще предстоит завершить процесс изучения и пересмотра документа "Обязательства в области руководящей деятельности" с учетом гендерных аспектов.</w:t>
      </w:r>
    </w:p>
    <w:p w:rsidR="00000000" w:rsidRDefault="00000000">
      <w:pPr>
        <w:numPr>
          <w:ilvl w:val="0"/>
          <w:numId w:val="84"/>
        </w:numPr>
        <w:tabs>
          <w:tab w:val="left" w:pos="680"/>
        </w:tabs>
        <w:spacing w:before="240" w:line="260" w:lineRule="exact"/>
        <w:jc w:val="both"/>
        <w:rPr>
          <w:sz w:val="22"/>
        </w:rPr>
      </w:pPr>
      <w:r>
        <w:rPr>
          <w:sz w:val="22"/>
        </w:rPr>
        <w:t>Женская больница достигла договоренности с Управлением закупок ККСС о сотрудничестве в 2003 году по следующим программам: СПИД, "Курение и употребление наркотиков и алкоголя" и "Сексуальное и репродуктивное здоровье". Кроме того, ведется работа по разработке программ "Насилие в семье" и "Здоровый образ жизни". Совместно с Латиноамериканским центром до- и послеродовой медицины и Панамериканской организацией здравоохранения (ПАОЗ) осуществляется программа по аккредитации родильных домов высокого уровня обслуживания. Цель программы состоит в том, чтобы содействовать улучшению медицинского обслуживания женщин-рожениц с использованием наилучшей современной практики. Таковой, например, является предоставление надлежащего технического обеспечения и оказание эмоциональной помощи как во время родов, так и в течение всего послеродового периода. Указанные программы и инициативы осуществляются в рамках процесса внедрения модели оказания женщинам комплексной медицинской помощи.</w:t>
      </w:r>
    </w:p>
    <w:p w:rsidR="00000000" w:rsidRDefault="00000000">
      <w:pPr>
        <w:numPr>
          <w:ilvl w:val="0"/>
          <w:numId w:val="84"/>
        </w:numPr>
        <w:tabs>
          <w:tab w:val="left" w:pos="680"/>
        </w:tabs>
        <w:spacing w:before="240" w:line="260" w:lineRule="exact"/>
        <w:jc w:val="both"/>
        <w:rPr>
          <w:sz w:val="22"/>
        </w:rPr>
      </w:pPr>
      <w:r>
        <w:rPr>
          <w:sz w:val="22"/>
        </w:rPr>
        <w:t>Одним из главнейших направлений проекта является привлечение общества к участию в решении проблем, стоящих перед системой здравоохранения. С этой целью была проведена работа с женщинами, занимающими руководящие должности, и, как следствие этой работы, женщины укрепили свои способности к осуществлению самостоятельного лидерства. К настоящему времени им удалось составить программу действий в области здравоохранения, которая впоследствии была распространена и дополнена приблизительно 800 женщинами из трех ранее названных кантонов. Результатом этих действий стало объединение женщин в ассоциации по содействию комплексной охране здоровья женщин. По одной такой ассоциации имеют кантоны Асерри, Акоста и Десампарадос. В настоящее время они занимаются укреплением своей организации и разработкой стратегии распространения содержания программы действий среди работников здравоохранения каждого из трех кантонов. Ожидается, что в результате их взаимодействия будут созданы механизмы координации деятельности для начала фазы переговоров, выработаны стратегические направления деятельности и, как следствие, появятся механизмы наблюдения и оценки. Это общинная инициатива ставит перед собой цель осуществить на практике принцип участия населения в принятии решений. Женщины-лидеры, которые прошли подготовку в рамках проекта, осознают, что играют чрезвычайно важную роль в определении путей, по которым должен пойти процесс развития системы здравоохранения для женщин в нашем обществе.</w:t>
      </w:r>
    </w:p>
    <w:p w:rsidR="00000000" w:rsidRDefault="00000000">
      <w:pPr>
        <w:numPr>
          <w:ilvl w:val="0"/>
          <w:numId w:val="85"/>
        </w:numPr>
        <w:tabs>
          <w:tab w:val="left" w:pos="680"/>
        </w:tabs>
        <w:spacing w:before="240" w:line="260" w:lineRule="exact"/>
        <w:jc w:val="both"/>
        <w:rPr>
          <w:sz w:val="22"/>
        </w:rPr>
      </w:pPr>
      <w:r>
        <w:rPr>
          <w:sz w:val="22"/>
        </w:rPr>
        <w:t xml:space="preserve">Взаимодействие Женской больницы и других клиник с женскими организациями оказалось очень продуктивным и принесло важные результаты, такие как: представителям органов власти была разъяснена важность планирования деятельности в этой области исходя из интересов и потребностей женщин, поскольку они являются пользователями соответствующих медицинских услуг; были разработаны стратегии и даны директивы местным учреждениям, направленные на обеспечение применения нового подхода к проблемам охраны здоровья женщин, особенно в том, что касается работы по разъяснению женщинам их прав и по информированию общества о мерах, которые принимаются для улучшения их положения; положено начало обсуждению вопроса о том, что, если государство действительно хочет, чтобы общество участвовало в принятии политических решений, при планировании деятельности государственных институтов следует учитывать и необходимость финансирования этого участия. В связи со сказанным, при условии что государство возьмет на себя часть расходов по финансированию этого участия, ожидается, что женское движение не потеряет самостоятельности в своих действиях и решениях и не пострадает от недостатка средств. </w:t>
      </w:r>
    </w:p>
    <w:p w:rsidR="00000000" w:rsidRDefault="00000000">
      <w:pPr>
        <w:pStyle w:val="BodyText"/>
        <w:tabs>
          <w:tab w:val="left" w:pos="680"/>
        </w:tabs>
        <w:spacing w:before="240" w:line="260" w:lineRule="exact"/>
        <w:rPr>
          <w:sz w:val="22"/>
        </w:rPr>
      </w:pPr>
      <w:r>
        <w:rPr>
          <w:sz w:val="22"/>
        </w:rPr>
        <w:t>487.</w:t>
      </w:r>
      <w:r>
        <w:rPr>
          <w:sz w:val="22"/>
        </w:rPr>
        <w:tab/>
        <w:t>Женские организации, которые были опрошены по вопросам применения новой модели, отмечают, что на практике основное внимание продолжает уделяться охране репродуктивного здоровья женщин, а другие аспекты женского здоровья должным образом не учитываются. Опрошенные указывают также на тот факт, что ряд вопросов, по своей сути связанных с тематикой здоровья женщин и с их правом на охрану сексуальных и репродуктивных функций, вообще не учитываются при формировании социальной политики в области здравоохранения.</w:t>
      </w:r>
    </w:p>
    <w:p w:rsidR="00000000" w:rsidRDefault="00000000">
      <w:pPr>
        <w:pStyle w:val="BodyText"/>
        <w:tabs>
          <w:tab w:val="left" w:pos="680"/>
        </w:tabs>
        <w:spacing w:before="240" w:line="260" w:lineRule="exact"/>
        <w:rPr>
          <w:sz w:val="22"/>
        </w:rPr>
      </w:pPr>
      <w:r>
        <w:rPr>
          <w:sz w:val="22"/>
        </w:rPr>
        <w:t>488.</w:t>
      </w:r>
      <w:r>
        <w:rPr>
          <w:sz w:val="22"/>
        </w:rPr>
        <w:tab/>
        <w:t>Кроме того, особо отмечается, что существует насущная необходимость принять меры, направленные на обеспечение женщинам реализации их права на получение достоверной и полезной информации по вопросам методов планирования размера семьи, а также гарантированного доступа к этим методам.</w:t>
      </w:r>
    </w:p>
    <w:p w:rsidR="00000000" w:rsidRDefault="00000000">
      <w:pPr>
        <w:tabs>
          <w:tab w:val="left" w:pos="680"/>
        </w:tabs>
        <w:spacing w:before="240" w:line="260" w:lineRule="exact"/>
        <w:jc w:val="both"/>
        <w:rPr>
          <w:sz w:val="22"/>
        </w:rPr>
      </w:pPr>
      <w:r>
        <w:rPr>
          <w:sz w:val="22"/>
        </w:rPr>
        <w:t>489.</w:t>
      </w:r>
      <w:r>
        <w:rPr>
          <w:sz w:val="22"/>
        </w:rPr>
        <w:tab/>
        <w:t>В связи с этим следует подчеркнуть уязвимость граждан, не достигших совершеннолетия, в плане защиты их прав человека, хотя государство обязано гарантировать им эти права, признав их гражданами, имеющими права и обязанности, способными выражать свое мнение и участвовать в соответствующей общественной и индивидуальной деятельности, а значит, признав также правоспособность несовершеннолетних вести половую жизнь, осознавая свою ответственность.</w:t>
      </w:r>
    </w:p>
    <w:p w:rsidR="00000000" w:rsidRDefault="00000000">
      <w:pPr>
        <w:tabs>
          <w:tab w:val="left" w:pos="680"/>
        </w:tabs>
        <w:spacing w:before="240" w:line="260" w:lineRule="exact"/>
        <w:jc w:val="both"/>
        <w:rPr>
          <w:spacing w:val="-2"/>
          <w:sz w:val="22"/>
        </w:rPr>
      </w:pPr>
      <w:r>
        <w:rPr>
          <w:sz w:val="22"/>
        </w:rPr>
        <w:t>490.</w:t>
      </w:r>
      <w:r>
        <w:rPr>
          <w:sz w:val="22"/>
        </w:rPr>
        <w:tab/>
      </w:r>
      <w:r>
        <w:rPr>
          <w:spacing w:val="-2"/>
          <w:sz w:val="22"/>
        </w:rPr>
        <w:t>Следует признать, что необходимо обеспечить всемерную поддержку реализации Программы оказания комплексной помощи несовершеннолетним (ПАИА), разработанной ИНАМУ, целями которой являются содействие комплексному развитию молодежи и подростков и защита этого развития. Одним из направлений программы является поощрение создания соответствующих служб, которые помогали бы молодым людям делать вдумчивый критический анализ окружающей их действительности, получить больше знаний и изменить свое поведение, с тем чтобы ответственно подходить к вопросам своего сексуального здоровья. Помимо оказания медицинских услуг несовершеннолетним женщинам гарантируется возможность получить помощь в рамках программы "Создаем возможности"; ИНАМУ участвует в Национальной технической комиссии этой программы и в каждой из региональных межотраслевых комиссий. Программа направлена на предупреждение и раннее выявление случаев инцеста и сексуального надругательства над несовершеннолетними, а также оказание комплексной помощи жертвам подобных преступлений.</w:t>
      </w:r>
    </w:p>
    <w:p w:rsidR="00000000" w:rsidRDefault="00000000">
      <w:pPr>
        <w:tabs>
          <w:tab w:val="left" w:pos="680"/>
        </w:tabs>
        <w:spacing w:line="260" w:lineRule="exact"/>
        <w:jc w:val="both"/>
        <w:rPr>
          <w:sz w:val="22"/>
        </w:rPr>
      </w:pPr>
    </w:p>
    <w:p w:rsidR="00000000" w:rsidRDefault="00000000">
      <w:pPr>
        <w:tabs>
          <w:tab w:val="left" w:pos="680"/>
        </w:tabs>
        <w:spacing w:before="240" w:line="260" w:lineRule="exact"/>
        <w:jc w:val="both"/>
        <w:rPr>
          <w:b/>
          <w:sz w:val="22"/>
        </w:rPr>
      </w:pPr>
      <w:r>
        <w:rPr>
          <w:b/>
          <w:sz w:val="22"/>
        </w:rPr>
        <w:t>Деятельность неправительственных организаций (НПО)</w:t>
      </w:r>
    </w:p>
    <w:p w:rsidR="00000000" w:rsidRDefault="00000000">
      <w:pPr>
        <w:tabs>
          <w:tab w:val="left" w:pos="680"/>
        </w:tabs>
        <w:spacing w:before="240" w:line="260" w:lineRule="exact"/>
        <w:jc w:val="both"/>
        <w:rPr>
          <w:sz w:val="22"/>
        </w:rPr>
      </w:pPr>
      <w:r>
        <w:rPr>
          <w:sz w:val="22"/>
        </w:rPr>
        <w:t>491.</w:t>
      </w:r>
      <w:r>
        <w:rPr>
          <w:sz w:val="22"/>
        </w:rPr>
        <w:tab/>
        <w:t>Не вызывает сомнений тот факт, что возникновение новых подходов к данной тематике произошло благодаря активной общественной деятельности, в особенности женских движений и организаций. Неправительственные организации во всех развивающихся странах ведут работу с населением в их общинах и поэтому хорошо знакомы с их реалиями. Они прекрасно осведомлены о состоянии системы здравоохранения, предназначенной для взрослых и несовершеннолетних женщин, о существующем неравенстве возможностей и перспектив у женщин и мужчин, а также о том, что многие женщины несут на себе слишком большой груз обязанностей. Кроме того, НПО хорошо известно о невероятной способности женщин объединяться в организации и об их решимости предпринимать шаги к изменению своего положения, предварительно определив программу действий, зачастую при помощи НПО.</w:t>
      </w:r>
    </w:p>
    <w:p w:rsidR="00000000" w:rsidRDefault="00000000">
      <w:pPr>
        <w:tabs>
          <w:tab w:val="left" w:pos="680"/>
        </w:tabs>
        <w:spacing w:before="240" w:line="260" w:lineRule="exact"/>
        <w:jc w:val="both"/>
        <w:rPr>
          <w:sz w:val="22"/>
        </w:rPr>
      </w:pPr>
      <w:r>
        <w:rPr>
          <w:sz w:val="22"/>
        </w:rPr>
        <w:t>492.</w:t>
      </w:r>
      <w:r>
        <w:rPr>
          <w:sz w:val="22"/>
        </w:rPr>
        <w:tab/>
        <w:t>В Коста-Рике, как и в других странах данного региона, существует много НПО; деятельность некоторых из них направлена на работу с женским населением, а значительной части других – на улучшение ситуации с охраной здоровья женщин. В 1997 году Коста-Рика была названа "развивающейся страной" и причислена Экономической комиссией для Латинской Америки (ЭКЛА) к странам категории "С". С этих пор большое количество международных организаций доноров покинули Коста-Рику, многие НПО были вынуждены сократить количество своих программ и уменьшить число служащих, некоторым пришлось свернуть свою деятельность. Однако многие НПО выжили благодаря сотрудничеству с программами "Молодая любовь" и "Создаем возможности"</w:t>
      </w:r>
      <w:r>
        <w:rPr>
          <w:sz w:val="22"/>
          <w:lang w:val="es-ES"/>
        </w:rPr>
        <w:t>.</w:t>
      </w:r>
      <w:r>
        <w:rPr>
          <w:sz w:val="22"/>
        </w:rPr>
        <w:t xml:space="preserve"> Деятельность НПО носит временный, неустойчивый характер. Часто происходит следующее: организация выступает инициатором какого-либо новаторского проекта, привлекает к участию в нем представителей общин, вселяет в население надежду на позитивные изменения, но затем ей приходится свернуть проект по причине нехватки средств.</w:t>
      </w:r>
    </w:p>
    <w:p w:rsidR="00000000" w:rsidRDefault="00000000">
      <w:pPr>
        <w:tabs>
          <w:tab w:val="left" w:pos="680"/>
        </w:tabs>
        <w:spacing w:before="240" w:line="260" w:lineRule="exact"/>
        <w:jc w:val="both"/>
        <w:rPr>
          <w:sz w:val="22"/>
        </w:rPr>
      </w:pPr>
      <w:r>
        <w:rPr>
          <w:sz w:val="22"/>
        </w:rPr>
        <w:t>493.</w:t>
      </w:r>
      <w:r>
        <w:rPr>
          <w:sz w:val="22"/>
        </w:rPr>
        <w:tab/>
        <w:t>НПО выполняют очень важную функцию, в особенности в области обеспечения доступа к системе здравоохранения и прав, связанных с сексуальным и репродуктивным здоровьем женщин. Некоторые из опрошенных экспертов указывают на необходимость поощрения и укрепления сотрудничества с НПО. Совершенно очевидно, что система здравоохранения не способна удовлетворить все потребности населения в соответствующих услугах и поэтому нуждается в помощи организаций и объединений для повышения эффективности своей деятельности в общинах, связанной с профилактикой заболеваний, подготовкой персонала, ведением просветительской деятельности по вопросам права на охрану здоровья, оказанием альтернативных медицинских услуг.</w:t>
      </w:r>
    </w:p>
    <w:p w:rsidR="00000000" w:rsidRDefault="00000000">
      <w:pPr>
        <w:pStyle w:val="Heading1"/>
        <w:tabs>
          <w:tab w:val="left" w:pos="680"/>
        </w:tabs>
        <w:spacing w:before="360" w:line="260" w:lineRule="exact"/>
        <w:jc w:val="both"/>
        <w:rPr>
          <w:sz w:val="22"/>
        </w:rPr>
      </w:pPr>
      <w:r>
        <w:rPr>
          <w:sz w:val="22"/>
        </w:rPr>
        <w:t>Насилие в отношении женщин</w:t>
      </w:r>
    </w:p>
    <w:p w:rsidR="00000000" w:rsidRDefault="00000000">
      <w:pPr>
        <w:pStyle w:val="Title"/>
        <w:tabs>
          <w:tab w:val="left" w:pos="680"/>
        </w:tabs>
        <w:spacing w:before="240" w:line="260" w:lineRule="exact"/>
        <w:jc w:val="both"/>
        <w:rPr>
          <w:b w:val="0"/>
          <w:sz w:val="22"/>
        </w:rPr>
      </w:pPr>
      <w:r>
        <w:rPr>
          <w:b w:val="0"/>
          <w:sz w:val="22"/>
        </w:rPr>
        <w:t>494.</w:t>
      </w:r>
      <w:r>
        <w:rPr>
          <w:b w:val="0"/>
          <w:sz w:val="22"/>
        </w:rPr>
        <w:tab/>
        <w:t>Одним из самых явных и крайних проявлений отсутствия социального равенства и равноправия является насилие в отношении женщин, жертвами которого, порой ежедневно, становятся тысячи женщин всех возрастов. Речь идет о различных формах жестокого обращения с женщинами, которое возникает не случайно, но обусловлено тем фактом, что в нашем обществе женское население находится в положении подчиненности и является объектом дискриминации (</w:t>
      </w:r>
      <w:r>
        <w:rPr>
          <w:b w:val="0"/>
          <w:sz w:val="22"/>
          <w:lang w:val="en-US"/>
        </w:rPr>
        <w:t>Carcedo</w:t>
      </w:r>
      <w:r>
        <w:rPr>
          <w:b w:val="0"/>
          <w:sz w:val="22"/>
        </w:rPr>
        <w:t>, 2001).</w:t>
      </w:r>
    </w:p>
    <w:p w:rsidR="00000000" w:rsidRDefault="00000000">
      <w:pPr>
        <w:pStyle w:val="Title"/>
        <w:tabs>
          <w:tab w:val="left" w:pos="680"/>
        </w:tabs>
        <w:spacing w:before="240" w:line="260" w:lineRule="exact"/>
        <w:jc w:val="both"/>
        <w:rPr>
          <w:b w:val="0"/>
          <w:sz w:val="22"/>
        </w:rPr>
      </w:pPr>
      <w:r>
        <w:rPr>
          <w:b w:val="0"/>
          <w:sz w:val="22"/>
        </w:rPr>
        <w:t>495.</w:t>
      </w:r>
      <w:r>
        <w:rPr>
          <w:b w:val="0"/>
          <w:sz w:val="22"/>
        </w:rPr>
        <w:tab/>
        <w:t>Физическое, психологическое, сексуальное и материальное насилие являются распространенными формами агрессии в отношении женщин как в семье, так и вне ее, которые присутствуют во всех культурах и всех социальных группах. Несмотря на то что насилие в отношении женщин – реалия нашей страны, еще три десятилетия назад данный факт замалчивался, до тех пор пока о нем не заговорили женские организации и не появились разоблачительные заявления самих жертв насилия. И те и другие указывали на необходимость того, чтобы мировое сообщество, и в частности государства, взяли на себя обязательство вести деятельность, направленную на искоренение этой крайней формы дискриминации и неравноправия между мужчинами и женщинами.</w:t>
      </w:r>
    </w:p>
    <w:p w:rsidR="00000000" w:rsidRDefault="00000000">
      <w:pPr>
        <w:pStyle w:val="Title"/>
        <w:tabs>
          <w:tab w:val="left" w:pos="680"/>
        </w:tabs>
        <w:spacing w:before="240" w:line="260" w:lineRule="exact"/>
        <w:jc w:val="both"/>
        <w:rPr>
          <w:b w:val="0"/>
          <w:sz w:val="22"/>
        </w:rPr>
      </w:pPr>
      <w:r>
        <w:rPr>
          <w:b w:val="0"/>
          <w:sz w:val="22"/>
        </w:rPr>
        <w:t>496.</w:t>
      </w:r>
      <w:r>
        <w:rPr>
          <w:b w:val="0"/>
          <w:sz w:val="22"/>
        </w:rPr>
        <w:tab/>
        <w:t>Агрессия в отношении женщин представляет собой проблему здоровья общества и безопасности граждан. Коста-риканская общественность отвергает и считает неоправданным любое проявление насилия в отношении женщин, хотя в настоящее время некоторые формы насилия вызывают у нее особое беспокойство. Среди этих форм можно назвать бытовое насилие, уносящее в среднем жизнь двух женщин в месяц, а также коммерческую сексуальную эксплуатацию несовершеннолетних, в результате которой наша страна превратилась в объект повышенного интереса со стороны как туристов, отправляющихся в специальные "секс-туры", так и международных правоохранительных организаций, занимающихся защитой прав несовершеннолетних.</w:t>
      </w:r>
    </w:p>
    <w:p w:rsidR="00000000" w:rsidRDefault="00000000">
      <w:pPr>
        <w:pStyle w:val="Title"/>
        <w:tabs>
          <w:tab w:val="left" w:pos="680"/>
        </w:tabs>
        <w:spacing w:before="240" w:line="260" w:lineRule="exact"/>
        <w:jc w:val="both"/>
        <w:rPr>
          <w:b w:val="0"/>
          <w:sz w:val="22"/>
        </w:rPr>
      </w:pPr>
      <w:r>
        <w:rPr>
          <w:b w:val="0"/>
          <w:sz w:val="22"/>
        </w:rPr>
        <w:t>497.</w:t>
      </w:r>
      <w:r>
        <w:rPr>
          <w:b w:val="0"/>
          <w:sz w:val="22"/>
        </w:rPr>
        <w:tab/>
        <w:t>Однако подобные проявления насилия в отношении женщин не являются единственными. Существуют и другие его формы, такие как сексуальное преследование, сексуальные домогательства на работе, насилие в отношениях между женихом и невестой, дискриминация по признаку пола в средствах массовой информации, нежелательная беременность вследствие изнасилования, опасные аборты, злоупотребления со стороны полиции, политика учреждений и ведомств в данной области, которая приводит к тому, что пострадавшая от насилия взрослая или несовершеннолетняя женщина вновь ощущает себя жертвой. Кроме того, количество проявлений насилия становится на порядок больше, если речь идет о женщинах, принадлежащих к наиболее дискриминируемым в обществе социальным и этническим группам, а именно представительницам коренного индейского населения, иммигранткам, лесбиянкам, афрокостариканкам, пожилым женщинам, женщинам, предоставляющим сексуальные услуги, женщинам-инвалидам, домашним работницам, а также женщинам-заключенным.</w:t>
      </w:r>
    </w:p>
    <w:p w:rsidR="00000000" w:rsidRDefault="00000000">
      <w:pPr>
        <w:pStyle w:val="Title"/>
        <w:tabs>
          <w:tab w:val="left" w:pos="680"/>
        </w:tabs>
        <w:spacing w:before="240" w:line="260" w:lineRule="exact"/>
        <w:jc w:val="both"/>
        <w:rPr>
          <w:b w:val="0"/>
          <w:sz w:val="22"/>
        </w:rPr>
      </w:pPr>
      <w:r>
        <w:rPr>
          <w:b w:val="0"/>
          <w:sz w:val="22"/>
        </w:rPr>
        <w:t>498.</w:t>
      </w:r>
      <w:r>
        <w:rPr>
          <w:b w:val="0"/>
          <w:sz w:val="22"/>
        </w:rPr>
        <w:tab/>
        <w:t>В Коста-Рике существование вышеназванных форм насилия признается не в одинаковой мере, и не обо всех из них имеются статистические данные, позволяющие судить об их распространенности. Однако в большой степени благодаря действиям общественных объединений, созданных самими пострадавшими женщинами, общество начало узнавать о фактах насилия, выявлять личности виновных, получать информацию о статистике случаев насилия и о возможных способах борьбы с ним.</w:t>
      </w:r>
    </w:p>
    <w:p w:rsidR="00000000" w:rsidRDefault="00000000">
      <w:pPr>
        <w:pStyle w:val="Title"/>
        <w:tabs>
          <w:tab w:val="left" w:pos="680"/>
        </w:tabs>
        <w:spacing w:before="240" w:line="260" w:lineRule="exact"/>
        <w:jc w:val="both"/>
        <w:rPr>
          <w:b w:val="0"/>
          <w:sz w:val="22"/>
        </w:rPr>
      </w:pPr>
      <w:r>
        <w:rPr>
          <w:b w:val="0"/>
          <w:sz w:val="22"/>
        </w:rPr>
        <w:t>499.</w:t>
      </w:r>
      <w:r>
        <w:rPr>
          <w:b w:val="0"/>
          <w:sz w:val="22"/>
        </w:rPr>
        <w:tab/>
        <w:t>В 2000 году в Коста-Рике существовал комплекс многочисленных и разнообразных мер, в том числе законодательных, позволяющих вести борьбу с некоторыми из проявлений насилия в отношении женщин. Это, несомненно, является большим достижением по сравнению с состоянием на 1990 год. В начале 1990-х годов женские организации практически находились в одиночестве, осуществляя огромную работу по оказанию поддержки взрослым и несовершеннолетним женщинам, разоблачая факты насилия и распространяя информацию о них в обществе, способствуя внесению соответствующих изменений в действующее законодательство и в социальную политику государства. Опыт, приобретенный в ходе выполнения разных государственных и частных программ, а также в результате проведения различных исследований, позволил лучше ознакомиться с проблемой насилия в отношении женщин в различных его проявлениях.</w:t>
      </w:r>
    </w:p>
    <w:p w:rsidR="00000000" w:rsidRDefault="00000000">
      <w:pPr>
        <w:pStyle w:val="Title"/>
        <w:tabs>
          <w:tab w:val="left" w:pos="680"/>
        </w:tabs>
        <w:spacing w:line="260" w:lineRule="exact"/>
        <w:jc w:val="both"/>
        <w:rPr>
          <w:b w:val="0"/>
          <w:sz w:val="22"/>
        </w:rPr>
      </w:pPr>
    </w:p>
    <w:p w:rsidR="00000000" w:rsidRDefault="00000000">
      <w:pPr>
        <w:pStyle w:val="Title"/>
        <w:tabs>
          <w:tab w:val="left" w:pos="680"/>
        </w:tabs>
        <w:spacing w:before="240" w:line="260" w:lineRule="exact"/>
        <w:jc w:val="both"/>
        <w:rPr>
          <w:sz w:val="22"/>
        </w:rPr>
      </w:pPr>
      <w:r>
        <w:rPr>
          <w:sz w:val="22"/>
        </w:rPr>
        <w:t>Женоубийства</w:t>
      </w:r>
      <w:r>
        <w:rPr>
          <w:rStyle w:val="FootnoteReference"/>
          <w:sz w:val="22"/>
        </w:rPr>
        <w:footnoteReference w:customMarkFollows="1" w:id="25"/>
        <w:t>24</w:t>
      </w:r>
    </w:p>
    <w:p w:rsidR="00000000" w:rsidRDefault="00000000">
      <w:pPr>
        <w:pStyle w:val="Title"/>
        <w:tabs>
          <w:tab w:val="left" w:pos="680"/>
        </w:tabs>
        <w:spacing w:before="240" w:line="260" w:lineRule="exact"/>
        <w:jc w:val="both"/>
        <w:rPr>
          <w:b w:val="0"/>
          <w:sz w:val="22"/>
        </w:rPr>
      </w:pPr>
      <w:r>
        <w:rPr>
          <w:b w:val="0"/>
          <w:sz w:val="22"/>
        </w:rPr>
        <w:t>500.</w:t>
      </w:r>
      <w:r>
        <w:rPr>
          <w:b w:val="0"/>
          <w:sz w:val="22"/>
        </w:rPr>
        <w:tab/>
        <w:t xml:space="preserve">В 2000 году 25 женщин умерли в результате бытового или сексуального насилия, столько же женщин умирают каждый год в течение последних лет, то есть в среднем в месяц погибает более двух женщин. Такие убийства, получившие название женоубийств, в </w:t>
      </w:r>
      <w:r>
        <w:rPr>
          <w:b w:val="0"/>
          <w:sz w:val="22"/>
        </w:rPr>
        <w:br/>
        <w:t>1990-е годы были наиболее частыми случаями убийства женщин – они составляют 70 процентов от всех убийств при выясненных обстоятельствах; число случаев смерти женщин по этой причине равняется числу случаев материнской смертности и превышает число умерших от СПИДа.</w:t>
      </w:r>
    </w:p>
    <w:p w:rsidR="00000000" w:rsidRDefault="00000000">
      <w:pPr>
        <w:pStyle w:val="Title"/>
        <w:tabs>
          <w:tab w:val="left" w:pos="680"/>
        </w:tabs>
        <w:spacing w:before="240" w:line="260" w:lineRule="exact"/>
        <w:rPr>
          <w:sz w:val="22"/>
        </w:rPr>
      </w:pPr>
      <w:r>
        <w:rPr>
          <w:sz w:val="22"/>
        </w:rPr>
        <w:t>Таблица 14</w:t>
      </w:r>
    </w:p>
    <w:p w:rsidR="00000000" w:rsidRDefault="00000000">
      <w:pPr>
        <w:pStyle w:val="Title"/>
        <w:tabs>
          <w:tab w:val="left" w:pos="680"/>
        </w:tabs>
        <w:spacing w:before="120" w:after="120" w:line="260" w:lineRule="exact"/>
        <w:rPr>
          <w:b w:val="0"/>
          <w:sz w:val="22"/>
        </w:rPr>
      </w:pPr>
      <w:r>
        <w:rPr>
          <w:sz w:val="22"/>
        </w:rPr>
        <w:t xml:space="preserve">Женская смертность в результате убийств, женоубийств, </w:t>
      </w:r>
      <w:r>
        <w:rPr>
          <w:sz w:val="22"/>
        </w:rPr>
        <w:br/>
        <w:t>от СПИДа, материнская смертность в Коста-Рике,</w:t>
      </w:r>
      <w:r>
        <w:rPr>
          <w:sz w:val="22"/>
        </w:rPr>
        <w:br/>
        <w:t>1990–1999 годы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381"/>
        <w:gridCol w:w="567"/>
        <w:gridCol w:w="567"/>
        <w:gridCol w:w="567"/>
        <w:gridCol w:w="567"/>
        <w:gridCol w:w="567"/>
        <w:gridCol w:w="567"/>
        <w:gridCol w:w="567"/>
        <w:gridCol w:w="567"/>
        <w:gridCol w:w="567"/>
        <w:gridCol w:w="567"/>
        <w:gridCol w:w="737"/>
      </w:tblGrid>
      <w:tr w:rsidR="00000000">
        <w:tblPrEx>
          <w:tblCellMar>
            <w:top w:w="0" w:type="dxa"/>
            <w:bottom w:w="0" w:type="dxa"/>
          </w:tblCellMar>
        </w:tblPrEx>
        <w:trPr>
          <w:cantSplit/>
          <w:jc w:val="center"/>
        </w:trPr>
        <w:tc>
          <w:tcPr>
            <w:tcW w:w="2381" w:type="dxa"/>
          </w:tcPr>
          <w:p w:rsidR="00000000" w:rsidRDefault="00000000">
            <w:pPr>
              <w:pStyle w:val="Title"/>
              <w:tabs>
                <w:tab w:val="left" w:pos="680"/>
              </w:tabs>
              <w:spacing w:before="80" w:after="80"/>
              <w:jc w:val="left"/>
              <w:rPr>
                <w:sz w:val="20"/>
              </w:rPr>
            </w:pPr>
          </w:p>
        </w:tc>
        <w:tc>
          <w:tcPr>
            <w:tcW w:w="567" w:type="dxa"/>
          </w:tcPr>
          <w:p w:rsidR="00000000" w:rsidRDefault="00000000">
            <w:pPr>
              <w:pStyle w:val="Title"/>
              <w:tabs>
                <w:tab w:val="left" w:pos="680"/>
              </w:tabs>
              <w:spacing w:before="80" w:after="80"/>
              <w:rPr>
                <w:sz w:val="20"/>
              </w:rPr>
            </w:pPr>
            <w:r>
              <w:rPr>
                <w:sz w:val="20"/>
              </w:rPr>
              <w:t>1990</w:t>
            </w:r>
          </w:p>
        </w:tc>
        <w:tc>
          <w:tcPr>
            <w:tcW w:w="567" w:type="dxa"/>
          </w:tcPr>
          <w:p w:rsidR="00000000" w:rsidRDefault="00000000">
            <w:pPr>
              <w:pStyle w:val="Title"/>
              <w:tabs>
                <w:tab w:val="left" w:pos="680"/>
              </w:tabs>
              <w:spacing w:before="80" w:after="80"/>
              <w:rPr>
                <w:sz w:val="20"/>
              </w:rPr>
            </w:pPr>
            <w:r>
              <w:rPr>
                <w:sz w:val="20"/>
              </w:rPr>
              <w:t>1991</w:t>
            </w:r>
          </w:p>
        </w:tc>
        <w:tc>
          <w:tcPr>
            <w:tcW w:w="567" w:type="dxa"/>
          </w:tcPr>
          <w:p w:rsidR="00000000" w:rsidRDefault="00000000">
            <w:pPr>
              <w:pStyle w:val="Title"/>
              <w:tabs>
                <w:tab w:val="left" w:pos="680"/>
              </w:tabs>
              <w:spacing w:before="80" w:after="80"/>
              <w:rPr>
                <w:sz w:val="20"/>
              </w:rPr>
            </w:pPr>
            <w:r>
              <w:rPr>
                <w:sz w:val="20"/>
              </w:rPr>
              <w:t>1992</w:t>
            </w:r>
          </w:p>
        </w:tc>
        <w:tc>
          <w:tcPr>
            <w:tcW w:w="567" w:type="dxa"/>
          </w:tcPr>
          <w:p w:rsidR="00000000" w:rsidRDefault="00000000">
            <w:pPr>
              <w:pStyle w:val="Title"/>
              <w:tabs>
                <w:tab w:val="left" w:pos="680"/>
              </w:tabs>
              <w:spacing w:before="80" w:after="80"/>
              <w:rPr>
                <w:sz w:val="20"/>
              </w:rPr>
            </w:pPr>
            <w:r>
              <w:rPr>
                <w:sz w:val="20"/>
              </w:rPr>
              <w:t>1993</w:t>
            </w:r>
          </w:p>
        </w:tc>
        <w:tc>
          <w:tcPr>
            <w:tcW w:w="567" w:type="dxa"/>
          </w:tcPr>
          <w:p w:rsidR="00000000" w:rsidRDefault="00000000">
            <w:pPr>
              <w:pStyle w:val="Title"/>
              <w:tabs>
                <w:tab w:val="left" w:pos="680"/>
              </w:tabs>
              <w:spacing w:before="80" w:after="80"/>
              <w:rPr>
                <w:sz w:val="20"/>
              </w:rPr>
            </w:pPr>
            <w:r>
              <w:rPr>
                <w:sz w:val="20"/>
              </w:rPr>
              <w:t>1994</w:t>
            </w:r>
          </w:p>
        </w:tc>
        <w:tc>
          <w:tcPr>
            <w:tcW w:w="567" w:type="dxa"/>
          </w:tcPr>
          <w:p w:rsidR="00000000" w:rsidRDefault="00000000">
            <w:pPr>
              <w:pStyle w:val="Title"/>
              <w:tabs>
                <w:tab w:val="left" w:pos="680"/>
              </w:tabs>
              <w:spacing w:before="80" w:after="80"/>
              <w:rPr>
                <w:sz w:val="20"/>
              </w:rPr>
            </w:pPr>
            <w:r>
              <w:rPr>
                <w:sz w:val="20"/>
              </w:rPr>
              <w:t>1995</w:t>
            </w:r>
          </w:p>
        </w:tc>
        <w:tc>
          <w:tcPr>
            <w:tcW w:w="567" w:type="dxa"/>
          </w:tcPr>
          <w:p w:rsidR="00000000" w:rsidRDefault="00000000">
            <w:pPr>
              <w:pStyle w:val="Title"/>
              <w:tabs>
                <w:tab w:val="left" w:pos="680"/>
              </w:tabs>
              <w:spacing w:before="80" w:after="80"/>
              <w:rPr>
                <w:sz w:val="20"/>
              </w:rPr>
            </w:pPr>
            <w:r>
              <w:rPr>
                <w:sz w:val="20"/>
              </w:rPr>
              <w:t>1996</w:t>
            </w:r>
          </w:p>
        </w:tc>
        <w:tc>
          <w:tcPr>
            <w:tcW w:w="567" w:type="dxa"/>
          </w:tcPr>
          <w:p w:rsidR="00000000" w:rsidRDefault="00000000">
            <w:pPr>
              <w:pStyle w:val="Title"/>
              <w:tabs>
                <w:tab w:val="left" w:pos="680"/>
              </w:tabs>
              <w:spacing w:before="80" w:after="80"/>
              <w:rPr>
                <w:sz w:val="20"/>
              </w:rPr>
            </w:pPr>
            <w:r>
              <w:rPr>
                <w:sz w:val="20"/>
              </w:rPr>
              <w:t>1997</w:t>
            </w:r>
          </w:p>
        </w:tc>
        <w:tc>
          <w:tcPr>
            <w:tcW w:w="567" w:type="dxa"/>
          </w:tcPr>
          <w:p w:rsidR="00000000" w:rsidRDefault="00000000">
            <w:pPr>
              <w:pStyle w:val="Title"/>
              <w:tabs>
                <w:tab w:val="left" w:pos="680"/>
              </w:tabs>
              <w:spacing w:before="80" w:after="80"/>
              <w:rPr>
                <w:sz w:val="20"/>
              </w:rPr>
            </w:pPr>
            <w:r>
              <w:rPr>
                <w:sz w:val="20"/>
              </w:rPr>
              <w:t>1998</w:t>
            </w:r>
          </w:p>
        </w:tc>
        <w:tc>
          <w:tcPr>
            <w:tcW w:w="567" w:type="dxa"/>
          </w:tcPr>
          <w:p w:rsidR="00000000" w:rsidRDefault="00000000">
            <w:pPr>
              <w:pStyle w:val="Title"/>
              <w:tabs>
                <w:tab w:val="left" w:pos="680"/>
              </w:tabs>
              <w:spacing w:before="80" w:after="80"/>
              <w:rPr>
                <w:sz w:val="20"/>
              </w:rPr>
            </w:pPr>
            <w:r>
              <w:rPr>
                <w:sz w:val="20"/>
              </w:rPr>
              <w:t>1999</w:t>
            </w:r>
          </w:p>
        </w:tc>
        <w:tc>
          <w:tcPr>
            <w:tcW w:w="737" w:type="dxa"/>
          </w:tcPr>
          <w:p w:rsidR="00000000" w:rsidRDefault="00000000">
            <w:pPr>
              <w:pStyle w:val="Title"/>
              <w:tabs>
                <w:tab w:val="left" w:pos="680"/>
              </w:tabs>
              <w:spacing w:before="80" w:after="80"/>
              <w:rPr>
                <w:sz w:val="20"/>
              </w:rPr>
            </w:pPr>
            <w:r>
              <w:rPr>
                <w:sz w:val="20"/>
              </w:rPr>
              <w:t>Всего</w:t>
            </w:r>
          </w:p>
        </w:tc>
      </w:tr>
      <w:tr w:rsidR="00000000">
        <w:tblPrEx>
          <w:tblCellMar>
            <w:top w:w="0" w:type="dxa"/>
            <w:bottom w:w="0" w:type="dxa"/>
          </w:tblCellMar>
        </w:tblPrEx>
        <w:trPr>
          <w:cantSplit/>
          <w:jc w:val="center"/>
        </w:trPr>
        <w:tc>
          <w:tcPr>
            <w:tcW w:w="2381" w:type="dxa"/>
            <w:tcBorders>
              <w:bottom w:val="nil"/>
            </w:tcBorders>
          </w:tcPr>
          <w:p w:rsidR="00000000" w:rsidRDefault="00000000">
            <w:pPr>
              <w:pStyle w:val="Title"/>
              <w:tabs>
                <w:tab w:val="left" w:pos="680"/>
              </w:tabs>
              <w:spacing w:before="80" w:after="80"/>
              <w:jc w:val="left"/>
              <w:rPr>
                <w:sz w:val="20"/>
              </w:rPr>
            </w:pPr>
            <w:r>
              <w:rPr>
                <w:sz w:val="20"/>
              </w:rPr>
              <w:t>Убийства женщин</w:t>
            </w:r>
          </w:p>
        </w:tc>
        <w:tc>
          <w:tcPr>
            <w:tcW w:w="567" w:type="dxa"/>
            <w:tcBorders>
              <w:bottom w:val="nil"/>
            </w:tcBorders>
          </w:tcPr>
          <w:p w:rsidR="00000000" w:rsidRDefault="00000000">
            <w:pPr>
              <w:pStyle w:val="Title"/>
              <w:tabs>
                <w:tab w:val="left" w:pos="680"/>
              </w:tabs>
              <w:spacing w:before="80" w:after="80"/>
              <w:rPr>
                <w:b w:val="0"/>
                <w:sz w:val="20"/>
              </w:rPr>
            </w:pPr>
            <w:r>
              <w:rPr>
                <w:b w:val="0"/>
                <w:sz w:val="20"/>
              </w:rPr>
              <w:t>32</w:t>
            </w:r>
          </w:p>
        </w:tc>
        <w:tc>
          <w:tcPr>
            <w:tcW w:w="567" w:type="dxa"/>
            <w:tcBorders>
              <w:bottom w:val="nil"/>
            </w:tcBorders>
          </w:tcPr>
          <w:p w:rsidR="00000000" w:rsidRDefault="00000000">
            <w:pPr>
              <w:pStyle w:val="Title"/>
              <w:tabs>
                <w:tab w:val="left" w:pos="680"/>
              </w:tabs>
              <w:spacing w:before="80" w:after="80"/>
              <w:rPr>
                <w:b w:val="0"/>
                <w:sz w:val="20"/>
              </w:rPr>
            </w:pPr>
            <w:r>
              <w:rPr>
                <w:b w:val="0"/>
                <w:sz w:val="20"/>
              </w:rPr>
              <w:t>39</w:t>
            </w:r>
          </w:p>
        </w:tc>
        <w:tc>
          <w:tcPr>
            <w:tcW w:w="567" w:type="dxa"/>
            <w:tcBorders>
              <w:bottom w:val="nil"/>
            </w:tcBorders>
          </w:tcPr>
          <w:p w:rsidR="00000000" w:rsidRDefault="00000000">
            <w:pPr>
              <w:pStyle w:val="Title"/>
              <w:tabs>
                <w:tab w:val="left" w:pos="680"/>
              </w:tabs>
              <w:spacing w:before="80" w:after="80"/>
              <w:rPr>
                <w:b w:val="0"/>
                <w:sz w:val="20"/>
              </w:rPr>
            </w:pPr>
            <w:r>
              <w:rPr>
                <w:b w:val="0"/>
                <w:sz w:val="20"/>
              </w:rPr>
              <w:t>27</w:t>
            </w:r>
          </w:p>
        </w:tc>
        <w:tc>
          <w:tcPr>
            <w:tcW w:w="567" w:type="dxa"/>
            <w:tcBorders>
              <w:bottom w:val="nil"/>
            </w:tcBorders>
          </w:tcPr>
          <w:p w:rsidR="00000000" w:rsidRDefault="00000000">
            <w:pPr>
              <w:pStyle w:val="Title"/>
              <w:tabs>
                <w:tab w:val="left" w:pos="680"/>
              </w:tabs>
              <w:spacing w:before="80" w:after="80"/>
              <w:rPr>
                <w:b w:val="0"/>
                <w:sz w:val="20"/>
              </w:rPr>
            </w:pPr>
            <w:r>
              <w:rPr>
                <w:b w:val="0"/>
                <w:sz w:val="20"/>
              </w:rPr>
              <w:t>29</w:t>
            </w:r>
          </w:p>
        </w:tc>
        <w:tc>
          <w:tcPr>
            <w:tcW w:w="567" w:type="dxa"/>
            <w:tcBorders>
              <w:bottom w:val="nil"/>
            </w:tcBorders>
          </w:tcPr>
          <w:p w:rsidR="00000000" w:rsidRDefault="00000000">
            <w:pPr>
              <w:pStyle w:val="Title"/>
              <w:tabs>
                <w:tab w:val="left" w:pos="680"/>
              </w:tabs>
              <w:spacing w:before="80" w:after="80"/>
              <w:rPr>
                <w:b w:val="0"/>
                <w:sz w:val="20"/>
              </w:rPr>
            </w:pPr>
            <w:r>
              <w:rPr>
                <w:b w:val="0"/>
                <w:sz w:val="20"/>
              </w:rPr>
              <w:t>30</w:t>
            </w:r>
          </w:p>
        </w:tc>
        <w:tc>
          <w:tcPr>
            <w:tcW w:w="567" w:type="dxa"/>
            <w:tcBorders>
              <w:bottom w:val="nil"/>
            </w:tcBorders>
          </w:tcPr>
          <w:p w:rsidR="00000000" w:rsidRDefault="00000000">
            <w:pPr>
              <w:pStyle w:val="Title"/>
              <w:tabs>
                <w:tab w:val="left" w:pos="680"/>
              </w:tabs>
              <w:spacing w:before="80" w:after="80"/>
              <w:rPr>
                <w:b w:val="0"/>
                <w:sz w:val="20"/>
              </w:rPr>
            </w:pPr>
            <w:r>
              <w:rPr>
                <w:b w:val="0"/>
                <w:sz w:val="20"/>
              </w:rPr>
              <w:t>32</w:t>
            </w:r>
          </w:p>
        </w:tc>
        <w:tc>
          <w:tcPr>
            <w:tcW w:w="567" w:type="dxa"/>
            <w:tcBorders>
              <w:bottom w:val="nil"/>
            </w:tcBorders>
          </w:tcPr>
          <w:p w:rsidR="00000000" w:rsidRDefault="00000000">
            <w:pPr>
              <w:pStyle w:val="Title"/>
              <w:tabs>
                <w:tab w:val="left" w:pos="680"/>
              </w:tabs>
              <w:spacing w:before="80" w:after="80"/>
              <w:rPr>
                <w:b w:val="0"/>
                <w:sz w:val="20"/>
              </w:rPr>
            </w:pPr>
            <w:r>
              <w:rPr>
                <w:b w:val="0"/>
                <w:sz w:val="20"/>
              </w:rPr>
              <w:t>27</w:t>
            </w:r>
          </w:p>
        </w:tc>
        <w:tc>
          <w:tcPr>
            <w:tcW w:w="567" w:type="dxa"/>
            <w:tcBorders>
              <w:bottom w:val="nil"/>
            </w:tcBorders>
          </w:tcPr>
          <w:p w:rsidR="00000000" w:rsidRDefault="00000000">
            <w:pPr>
              <w:pStyle w:val="Title"/>
              <w:tabs>
                <w:tab w:val="left" w:pos="680"/>
              </w:tabs>
              <w:spacing w:before="80" w:after="80"/>
              <w:rPr>
                <w:b w:val="0"/>
                <w:sz w:val="20"/>
              </w:rPr>
            </w:pPr>
            <w:r>
              <w:rPr>
                <w:b w:val="0"/>
                <w:sz w:val="20"/>
              </w:rPr>
              <w:t>26</w:t>
            </w:r>
          </w:p>
        </w:tc>
        <w:tc>
          <w:tcPr>
            <w:tcW w:w="567" w:type="dxa"/>
            <w:tcBorders>
              <w:bottom w:val="nil"/>
            </w:tcBorders>
          </w:tcPr>
          <w:p w:rsidR="00000000" w:rsidRDefault="00000000">
            <w:pPr>
              <w:pStyle w:val="Title"/>
              <w:tabs>
                <w:tab w:val="left" w:pos="680"/>
              </w:tabs>
              <w:spacing w:before="80" w:after="80"/>
              <w:rPr>
                <w:b w:val="0"/>
                <w:sz w:val="20"/>
              </w:rPr>
            </w:pPr>
            <w:r>
              <w:rPr>
                <w:b w:val="0"/>
                <w:sz w:val="20"/>
              </w:rPr>
              <w:t>34</w:t>
            </w:r>
          </w:p>
        </w:tc>
        <w:tc>
          <w:tcPr>
            <w:tcW w:w="567" w:type="dxa"/>
            <w:tcBorders>
              <w:bottom w:val="nil"/>
            </w:tcBorders>
          </w:tcPr>
          <w:p w:rsidR="00000000" w:rsidRDefault="00000000">
            <w:pPr>
              <w:pStyle w:val="Title"/>
              <w:tabs>
                <w:tab w:val="left" w:pos="680"/>
              </w:tabs>
              <w:spacing w:before="80" w:after="80"/>
              <w:rPr>
                <w:b w:val="0"/>
                <w:sz w:val="20"/>
              </w:rPr>
            </w:pPr>
            <w:r>
              <w:rPr>
                <w:b w:val="0"/>
                <w:sz w:val="20"/>
              </w:rPr>
              <w:t>39</w:t>
            </w:r>
          </w:p>
        </w:tc>
        <w:tc>
          <w:tcPr>
            <w:tcW w:w="737" w:type="dxa"/>
            <w:tcBorders>
              <w:bottom w:val="nil"/>
            </w:tcBorders>
          </w:tcPr>
          <w:p w:rsidR="00000000" w:rsidRDefault="00000000">
            <w:pPr>
              <w:pStyle w:val="Title"/>
              <w:tabs>
                <w:tab w:val="left" w:pos="680"/>
              </w:tabs>
              <w:spacing w:before="80" w:after="80"/>
              <w:rPr>
                <w:b w:val="0"/>
                <w:sz w:val="20"/>
              </w:rPr>
            </w:pPr>
            <w:r>
              <w:rPr>
                <w:b w:val="0"/>
                <w:sz w:val="20"/>
              </w:rPr>
              <w:t>315</w:t>
            </w:r>
          </w:p>
        </w:tc>
      </w:tr>
      <w:tr w:rsidR="00000000">
        <w:tblPrEx>
          <w:tblCellMar>
            <w:top w:w="0" w:type="dxa"/>
            <w:bottom w:w="0" w:type="dxa"/>
          </w:tblCellMar>
        </w:tblPrEx>
        <w:trPr>
          <w:cantSplit/>
          <w:jc w:val="center"/>
        </w:trPr>
        <w:tc>
          <w:tcPr>
            <w:tcW w:w="2381" w:type="dxa"/>
            <w:tcBorders>
              <w:top w:val="nil"/>
              <w:bottom w:val="nil"/>
            </w:tcBorders>
          </w:tcPr>
          <w:p w:rsidR="00000000" w:rsidRDefault="00000000">
            <w:pPr>
              <w:pStyle w:val="Title"/>
              <w:tabs>
                <w:tab w:val="left" w:pos="680"/>
              </w:tabs>
              <w:spacing w:before="80" w:after="80"/>
              <w:jc w:val="left"/>
              <w:rPr>
                <w:sz w:val="20"/>
              </w:rPr>
            </w:pPr>
            <w:r>
              <w:rPr>
                <w:sz w:val="20"/>
              </w:rPr>
              <w:t>Женоубийства</w:t>
            </w:r>
          </w:p>
        </w:tc>
        <w:tc>
          <w:tcPr>
            <w:tcW w:w="567" w:type="dxa"/>
            <w:tcBorders>
              <w:top w:val="nil"/>
              <w:bottom w:val="nil"/>
            </w:tcBorders>
          </w:tcPr>
          <w:p w:rsidR="00000000" w:rsidRDefault="00000000">
            <w:pPr>
              <w:pStyle w:val="Title"/>
              <w:tabs>
                <w:tab w:val="left" w:pos="680"/>
              </w:tabs>
              <w:spacing w:before="80" w:after="80"/>
              <w:rPr>
                <w:b w:val="0"/>
                <w:sz w:val="20"/>
              </w:rPr>
            </w:pPr>
            <w:r>
              <w:rPr>
                <w:b w:val="0"/>
                <w:sz w:val="20"/>
              </w:rPr>
              <w:t>21</w:t>
            </w:r>
          </w:p>
        </w:tc>
        <w:tc>
          <w:tcPr>
            <w:tcW w:w="567" w:type="dxa"/>
            <w:tcBorders>
              <w:top w:val="nil"/>
              <w:bottom w:val="nil"/>
            </w:tcBorders>
          </w:tcPr>
          <w:p w:rsidR="00000000" w:rsidRDefault="00000000">
            <w:pPr>
              <w:pStyle w:val="Title"/>
              <w:tabs>
                <w:tab w:val="left" w:pos="680"/>
              </w:tabs>
              <w:spacing w:before="80" w:after="80"/>
              <w:rPr>
                <w:b w:val="0"/>
                <w:sz w:val="20"/>
              </w:rPr>
            </w:pPr>
            <w:r>
              <w:rPr>
                <w:b w:val="0"/>
                <w:sz w:val="20"/>
              </w:rPr>
              <w:t>16</w:t>
            </w:r>
          </w:p>
        </w:tc>
        <w:tc>
          <w:tcPr>
            <w:tcW w:w="567" w:type="dxa"/>
            <w:tcBorders>
              <w:top w:val="nil"/>
              <w:bottom w:val="nil"/>
            </w:tcBorders>
          </w:tcPr>
          <w:p w:rsidR="00000000" w:rsidRDefault="00000000">
            <w:pPr>
              <w:pStyle w:val="Title"/>
              <w:tabs>
                <w:tab w:val="left" w:pos="680"/>
              </w:tabs>
              <w:spacing w:before="80" w:after="80"/>
              <w:rPr>
                <w:b w:val="0"/>
                <w:sz w:val="20"/>
              </w:rPr>
            </w:pPr>
            <w:r>
              <w:rPr>
                <w:b w:val="0"/>
                <w:sz w:val="20"/>
              </w:rPr>
              <w:t>13</w:t>
            </w:r>
          </w:p>
        </w:tc>
        <w:tc>
          <w:tcPr>
            <w:tcW w:w="567" w:type="dxa"/>
            <w:tcBorders>
              <w:top w:val="nil"/>
              <w:bottom w:val="nil"/>
            </w:tcBorders>
          </w:tcPr>
          <w:p w:rsidR="00000000" w:rsidRDefault="00000000">
            <w:pPr>
              <w:pStyle w:val="Title"/>
              <w:tabs>
                <w:tab w:val="left" w:pos="680"/>
              </w:tabs>
              <w:spacing w:before="80" w:after="80"/>
              <w:rPr>
                <w:b w:val="0"/>
                <w:sz w:val="20"/>
              </w:rPr>
            </w:pPr>
            <w:r>
              <w:rPr>
                <w:b w:val="0"/>
                <w:sz w:val="20"/>
              </w:rPr>
              <w:t>20</w:t>
            </w:r>
          </w:p>
        </w:tc>
        <w:tc>
          <w:tcPr>
            <w:tcW w:w="567" w:type="dxa"/>
            <w:tcBorders>
              <w:top w:val="nil"/>
              <w:bottom w:val="nil"/>
            </w:tcBorders>
          </w:tcPr>
          <w:p w:rsidR="00000000" w:rsidRDefault="00000000">
            <w:pPr>
              <w:pStyle w:val="Title"/>
              <w:tabs>
                <w:tab w:val="left" w:pos="680"/>
              </w:tabs>
              <w:spacing w:before="80" w:after="80"/>
              <w:rPr>
                <w:b w:val="0"/>
                <w:sz w:val="20"/>
              </w:rPr>
            </w:pPr>
            <w:r>
              <w:rPr>
                <w:b w:val="0"/>
                <w:sz w:val="20"/>
              </w:rPr>
              <w:t>18</w:t>
            </w:r>
          </w:p>
        </w:tc>
        <w:tc>
          <w:tcPr>
            <w:tcW w:w="567" w:type="dxa"/>
            <w:tcBorders>
              <w:top w:val="nil"/>
              <w:bottom w:val="nil"/>
            </w:tcBorders>
          </w:tcPr>
          <w:p w:rsidR="00000000" w:rsidRDefault="00000000">
            <w:pPr>
              <w:pStyle w:val="Title"/>
              <w:tabs>
                <w:tab w:val="left" w:pos="680"/>
              </w:tabs>
              <w:spacing w:before="80" w:after="80"/>
              <w:rPr>
                <w:b w:val="0"/>
                <w:sz w:val="20"/>
              </w:rPr>
            </w:pPr>
            <w:r>
              <w:rPr>
                <w:b w:val="0"/>
                <w:sz w:val="20"/>
              </w:rPr>
              <w:t>20</w:t>
            </w:r>
          </w:p>
        </w:tc>
        <w:tc>
          <w:tcPr>
            <w:tcW w:w="567" w:type="dxa"/>
            <w:tcBorders>
              <w:top w:val="nil"/>
              <w:bottom w:val="nil"/>
            </w:tcBorders>
          </w:tcPr>
          <w:p w:rsidR="00000000" w:rsidRDefault="00000000">
            <w:pPr>
              <w:pStyle w:val="Title"/>
              <w:tabs>
                <w:tab w:val="left" w:pos="680"/>
              </w:tabs>
              <w:spacing w:before="80" w:after="80"/>
              <w:rPr>
                <w:b w:val="0"/>
                <w:sz w:val="20"/>
              </w:rPr>
            </w:pPr>
            <w:r>
              <w:rPr>
                <w:b w:val="0"/>
                <w:sz w:val="20"/>
              </w:rPr>
              <w:t>17</w:t>
            </w:r>
          </w:p>
        </w:tc>
        <w:tc>
          <w:tcPr>
            <w:tcW w:w="567" w:type="dxa"/>
            <w:tcBorders>
              <w:top w:val="nil"/>
              <w:bottom w:val="nil"/>
            </w:tcBorders>
          </w:tcPr>
          <w:p w:rsidR="00000000" w:rsidRDefault="00000000">
            <w:pPr>
              <w:pStyle w:val="Title"/>
              <w:tabs>
                <w:tab w:val="left" w:pos="680"/>
              </w:tabs>
              <w:spacing w:before="80" w:after="80"/>
              <w:rPr>
                <w:b w:val="0"/>
                <w:sz w:val="20"/>
              </w:rPr>
            </w:pPr>
            <w:r>
              <w:rPr>
                <w:b w:val="0"/>
                <w:sz w:val="20"/>
              </w:rPr>
              <w:t>12</w:t>
            </w:r>
          </w:p>
        </w:tc>
        <w:tc>
          <w:tcPr>
            <w:tcW w:w="567" w:type="dxa"/>
            <w:tcBorders>
              <w:top w:val="nil"/>
              <w:bottom w:val="nil"/>
            </w:tcBorders>
          </w:tcPr>
          <w:p w:rsidR="00000000" w:rsidRDefault="00000000">
            <w:pPr>
              <w:pStyle w:val="Title"/>
              <w:tabs>
                <w:tab w:val="left" w:pos="680"/>
              </w:tabs>
              <w:spacing w:before="80" w:after="80"/>
              <w:rPr>
                <w:b w:val="0"/>
                <w:sz w:val="20"/>
              </w:rPr>
            </w:pPr>
            <w:r>
              <w:rPr>
                <w:b w:val="0"/>
                <w:sz w:val="20"/>
              </w:rPr>
              <w:t>21</w:t>
            </w:r>
          </w:p>
        </w:tc>
        <w:tc>
          <w:tcPr>
            <w:tcW w:w="567" w:type="dxa"/>
            <w:tcBorders>
              <w:top w:val="nil"/>
              <w:bottom w:val="nil"/>
            </w:tcBorders>
          </w:tcPr>
          <w:p w:rsidR="00000000" w:rsidRDefault="00000000">
            <w:pPr>
              <w:pStyle w:val="Title"/>
              <w:tabs>
                <w:tab w:val="left" w:pos="680"/>
              </w:tabs>
              <w:spacing w:before="80" w:after="80"/>
              <w:rPr>
                <w:b w:val="0"/>
                <w:sz w:val="20"/>
              </w:rPr>
            </w:pPr>
            <w:r>
              <w:rPr>
                <w:b w:val="0"/>
                <w:sz w:val="20"/>
              </w:rPr>
              <w:t>26</w:t>
            </w:r>
          </w:p>
        </w:tc>
        <w:tc>
          <w:tcPr>
            <w:tcW w:w="737" w:type="dxa"/>
            <w:tcBorders>
              <w:top w:val="nil"/>
              <w:bottom w:val="nil"/>
            </w:tcBorders>
          </w:tcPr>
          <w:p w:rsidR="00000000" w:rsidRDefault="00000000">
            <w:pPr>
              <w:pStyle w:val="Title"/>
              <w:tabs>
                <w:tab w:val="left" w:pos="680"/>
              </w:tabs>
              <w:spacing w:before="80" w:after="80"/>
              <w:rPr>
                <w:b w:val="0"/>
                <w:sz w:val="20"/>
              </w:rPr>
            </w:pPr>
            <w:r>
              <w:rPr>
                <w:b w:val="0"/>
                <w:sz w:val="20"/>
              </w:rPr>
              <w:t>184</w:t>
            </w:r>
          </w:p>
        </w:tc>
      </w:tr>
      <w:tr w:rsidR="00000000">
        <w:tblPrEx>
          <w:tblCellMar>
            <w:top w:w="0" w:type="dxa"/>
            <w:bottom w:w="0" w:type="dxa"/>
          </w:tblCellMar>
        </w:tblPrEx>
        <w:trPr>
          <w:cantSplit/>
          <w:jc w:val="center"/>
        </w:trPr>
        <w:tc>
          <w:tcPr>
            <w:tcW w:w="2381" w:type="dxa"/>
            <w:tcBorders>
              <w:top w:val="nil"/>
              <w:bottom w:val="nil"/>
            </w:tcBorders>
          </w:tcPr>
          <w:p w:rsidR="00000000" w:rsidRDefault="00000000">
            <w:pPr>
              <w:pStyle w:val="Title"/>
              <w:tabs>
                <w:tab w:val="left" w:pos="680"/>
              </w:tabs>
              <w:spacing w:before="80" w:after="80"/>
              <w:jc w:val="left"/>
              <w:rPr>
                <w:sz w:val="20"/>
              </w:rPr>
            </w:pPr>
            <w:r>
              <w:rPr>
                <w:sz w:val="20"/>
              </w:rPr>
              <w:t>Подозрение на женоубийство</w:t>
            </w:r>
          </w:p>
        </w:tc>
        <w:tc>
          <w:tcPr>
            <w:tcW w:w="567" w:type="dxa"/>
            <w:tcBorders>
              <w:top w:val="nil"/>
              <w:bottom w:val="nil"/>
            </w:tcBorders>
          </w:tcPr>
          <w:p w:rsidR="00000000" w:rsidRDefault="00000000">
            <w:pPr>
              <w:pStyle w:val="Title"/>
              <w:tabs>
                <w:tab w:val="left" w:pos="680"/>
              </w:tabs>
              <w:spacing w:before="80" w:after="80"/>
              <w:rPr>
                <w:b w:val="0"/>
                <w:sz w:val="20"/>
              </w:rPr>
            </w:pPr>
            <w:r>
              <w:rPr>
                <w:b w:val="0"/>
                <w:sz w:val="20"/>
              </w:rPr>
              <w:t>0</w:t>
            </w:r>
          </w:p>
        </w:tc>
        <w:tc>
          <w:tcPr>
            <w:tcW w:w="567" w:type="dxa"/>
            <w:tcBorders>
              <w:top w:val="nil"/>
              <w:bottom w:val="nil"/>
            </w:tcBorders>
          </w:tcPr>
          <w:p w:rsidR="00000000" w:rsidRDefault="00000000">
            <w:pPr>
              <w:pStyle w:val="Title"/>
              <w:tabs>
                <w:tab w:val="left" w:pos="680"/>
              </w:tabs>
              <w:spacing w:before="80" w:after="80"/>
              <w:rPr>
                <w:b w:val="0"/>
                <w:sz w:val="20"/>
              </w:rPr>
            </w:pPr>
            <w:r>
              <w:rPr>
                <w:b w:val="0"/>
                <w:sz w:val="20"/>
              </w:rPr>
              <w:t>0</w:t>
            </w:r>
          </w:p>
        </w:tc>
        <w:tc>
          <w:tcPr>
            <w:tcW w:w="567" w:type="dxa"/>
            <w:tcBorders>
              <w:top w:val="nil"/>
              <w:bottom w:val="nil"/>
            </w:tcBorders>
          </w:tcPr>
          <w:p w:rsidR="00000000" w:rsidRDefault="00000000">
            <w:pPr>
              <w:pStyle w:val="Title"/>
              <w:tabs>
                <w:tab w:val="left" w:pos="680"/>
              </w:tabs>
              <w:spacing w:before="80" w:after="80"/>
              <w:rPr>
                <w:b w:val="0"/>
                <w:sz w:val="20"/>
              </w:rPr>
            </w:pPr>
            <w:r>
              <w:rPr>
                <w:b w:val="0"/>
                <w:sz w:val="20"/>
              </w:rPr>
              <w:t>0</w:t>
            </w:r>
          </w:p>
        </w:tc>
        <w:tc>
          <w:tcPr>
            <w:tcW w:w="567" w:type="dxa"/>
            <w:tcBorders>
              <w:top w:val="nil"/>
              <w:bottom w:val="nil"/>
            </w:tcBorders>
          </w:tcPr>
          <w:p w:rsidR="00000000" w:rsidRDefault="00000000">
            <w:pPr>
              <w:pStyle w:val="Title"/>
              <w:tabs>
                <w:tab w:val="left" w:pos="680"/>
              </w:tabs>
              <w:spacing w:before="80" w:after="80"/>
              <w:rPr>
                <w:b w:val="0"/>
                <w:sz w:val="20"/>
              </w:rPr>
            </w:pPr>
            <w:r>
              <w:rPr>
                <w:b w:val="0"/>
                <w:sz w:val="20"/>
              </w:rPr>
              <w:t>1</w:t>
            </w:r>
          </w:p>
        </w:tc>
        <w:tc>
          <w:tcPr>
            <w:tcW w:w="567" w:type="dxa"/>
            <w:tcBorders>
              <w:top w:val="nil"/>
              <w:bottom w:val="nil"/>
            </w:tcBorders>
          </w:tcPr>
          <w:p w:rsidR="00000000" w:rsidRDefault="00000000">
            <w:pPr>
              <w:pStyle w:val="Title"/>
              <w:tabs>
                <w:tab w:val="left" w:pos="680"/>
              </w:tabs>
              <w:spacing w:before="80" w:after="80"/>
              <w:rPr>
                <w:b w:val="0"/>
                <w:sz w:val="20"/>
              </w:rPr>
            </w:pPr>
            <w:r>
              <w:rPr>
                <w:b w:val="0"/>
                <w:sz w:val="20"/>
              </w:rPr>
              <w:t>1</w:t>
            </w:r>
          </w:p>
        </w:tc>
        <w:tc>
          <w:tcPr>
            <w:tcW w:w="567" w:type="dxa"/>
            <w:tcBorders>
              <w:top w:val="nil"/>
              <w:bottom w:val="nil"/>
            </w:tcBorders>
          </w:tcPr>
          <w:p w:rsidR="00000000" w:rsidRDefault="00000000">
            <w:pPr>
              <w:pStyle w:val="Title"/>
              <w:tabs>
                <w:tab w:val="left" w:pos="680"/>
              </w:tabs>
              <w:spacing w:before="80" w:after="80"/>
              <w:rPr>
                <w:b w:val="0"/>
                <w:sz w:val="20"/>
              </w:rPr>
            </w:pPr>
            <w:r>
              <w:rPr>
                <w:b w:val="0"/>
                <w:sz w:val="20"/>
              </w:rPr>
              <w:t>2</w:t>
            </w:r>
          </w:p>
        </w:tc>
        <w:tc>
          <w:tcPr>
            <w:tcW w:w="567" w:type="dxa"/>
            <w:tcBorders>
              <w:top w:val="nil"/>
              <w:bottom w:val="nil"/>
            </w:tcBorders>
          </w:tcPr>
          <w:p w:rsidR="00000000" w:rsidRDefault="00000000">
            <w:pPr>
              <w:pStyle w:val="Title"/>
              <w:tabs>
                <w:tab w:val="left" w:pos="680"/>
              </w:tabs>
              <w:spacing w:before="80" w:after="80"/>
              <w:rPr>
                <w:b w:val="0"/>
                <w:sz w:val="20"/>
              </w:rPr>
            </w:pPr>
            <w:r>
              <w:rPr>
                <w:b w:val="0"/>
                <w:sz w:val="20"/>
              </w:rPr>
              <w:t>1</w:t>
            </w:r>
          </w:p>
        </w:tc>
        <w:tc>
          <w:tcPr>
            <w:tcW w:w="567" w:type="dxa"/>
            <w:tcBorders>
              <w:top w:val="nil"/>
              <w:bottom w:val="nil"/>
            </w:tcBorders>
          </w:tcPr>
          <w:p w:rsidR="00000000" w:rsidRDefault="00000000">
            <w:pPr>
              <w:pStyle w:val="Title"/>
              <w:tabs>
                <w:tab w:val="left" w:pos="680"/>
              </w:tabs>
              <w:spacing w:before="80" w:after="80"/>
              <w:rPr>
                <w:b w:val="0"/>
                <w:sz w:val="20"/>
              </w:rPr>
            </w:pPr>
            <w:r>
              <w:rPr>
                <w:b w:val="0"/>
                <w:sz w:val="20"/>
              </w:rPr>
              <w:t>1</w:t>
            </w:r>
          </w:p>
        </w:tc>
        <w:tc>
          <w:tcPr>
            <w:tcW w:w="567" w:type="dxa"/>
            <w:tcBorders>
              <w:top w:val="nil"/>
              <w:bottom w:val="nil"/>
            </w:tcBorders>
          </w:tcPr>
          <w:p w:rsidR="00000000" w:rsidRDefault="00000000">
            <w:pPr>
              <w:pStyle w:val="Title"/>
              <w:tabs>
                <w:tab w:val="left" w:pos="680"/>
              </w:tabs>
              <w:spacing w:before="80" w:after="80"/>
              <w:rPr>
                <w:b w:val="0"/>
                <w:sz w:val="20"/>
              </w:rPr>
            </w:pPr>
            <w:r>
              <w:rPr>
                <w:b w:val="0"/>
                <w:sz w:val="20"/>
              </w:rPr>
              <w:t>1</w:t>
            </w:r>
          </w:p>
        </w:tc>
        <w:tc>
          <w:tcPr>
            <w:tcW w:w="567" w:type="dxa"/>
            <w:tcBorders>
              <w:top w:val="nil"/>
              <w:bottom w:val="nil"/>
            </w:tcBorders>
          </w:tcPr>
          <w:p w:rsidR="00000000" w:rsidRDefault="00000000">
            <w:pPr>
              <w:pStyle w:val="Title"/>
              <w:tabs>
                <w:tab w:val="left" w:pos="680"/>
              </w:tabs>
              <w:spacing w:before="80" w:after="80"/>
              <w:rPr>
                <w:b w:val="0"/>
                <w:sz w:val="20"/>
              </w:rPr>
            </w:pPr>
            <w:r>
              <w:rPr>
                <w:b w:val="0"/>
                <w:sz w:val="20"/>
              </w:rPr>
              <w:t>1</w:t>
            </w:r>
          </w:p>
        </w:tc>
        <w:tc>
          <w:tcPr>
            <w:tcW w:w="737" w:type="dxa"/>
            <w:tcBorders>
              <w:top w:val="nil"/>
              <w:bottom w:val="nil"/>
            </w:tcBorders>
          </w:tcPr>
          <w:p w:rsidR="00000000" w:rsidRDefault="00000000">
            <w:pPr>
              <w:pStyle w:val="Title"/>
              <w:tabs>
                <w:tab w:val="left" w:pos="680"/>
              </w:tabs>
              <w:spacing w:before="80" w:after="80"/>
              <w:rPr>
                <w:b w:val="0"/>
                <w:sz w:val="20"/>
              </w:rPr>
            </w:pPr>
            <w:r>
              <w:rPr>
                <w:b w:val="0"/>
                <w:sz w:val="20"/>
              </w:rPr>
              <w:t>8</w:t>
            </w:r>
          </w:p>
        </w:tc>
      </w:tr>
      <w:tr w:rsidR="00000000">
        <w:tblPrEx>
          <w:tblCellMar>
            <w:top w:w="0" w:type="dxa"/>
            <w:bottom w:w="0" w:type="dxa"/>
          </w:tblCellMar>
        </w:tblPrEx>
        <w:trPr>
          <w:cantSplit/>
          <w:jc w:val="center"/>
        </w:trPr>
        <w:tc>
          <w:tcPr>
            <w:tcW w:w="2381" w:type="dxa"/>
            <w:tcBorders>
              <w:top w:val="nil"/>
              <w:bottom w:val="nil"/>
            </w:tcBorders>
          </w:tcPr>
          <w:p w:rsidR="00000000" w:rsidRDefault="00000000">
            <w:pPr>
              <w:pStyle w:val="Title"/>
              <w:tabs>
                <w:tab w:val="left" w:pos="680"/>
              </w:tabs>
              <w:spacing w:before="80" w:after="80"/>
              <w:jc w:val="left"/>
              <w:rPr>
                <w:sz w:val="20"/>
              </w:rPr>
            </w:pPr>
            <w:r>
              <w:rPr>
                <w:sz w:val="20"/>
              </w:rPr>
              <w:t>Неженоубийства</w:t>
            </w:r>
          </w:p>
        </w:tc>
        <w:tc>
          <w:tcPr>
            <w:tcW w:w="567" w:type="dxa"/>
            <w:tcBorders>
              <w:top w:val="nil"/>
              <w:bottom w:val="nil"/>
            </w:tcBorders>
          </w:tcPr>
          <w:p w:rsidR="00000000" w:rsidRDefault="00000000">
            <w:pPr>
              <w:pStyle w:val="Title"/>
              <w:tabs>
                <w:tab w:val="left" w:pos="680"/>
              </w:tabs>
              <w:spacing w:before="80" w:after="80"/>
              <w:rPr>
                <w:b w:val="0"/>
                <w:sz w:val="20"/>
              </w:rPr>
            </w:pPr>
            <w:r>
              <w:rPr>
                <w:b w:val="0"/>
                <w:sz w:val="20"/>
              </w:rPr>
              <w:t>6</w:t>
            </w:r>
          </w:p>
        </w:tc>
        <w:tc>
          <w:tcPr>
            <w:tcW w:w="567" w:type="dxa"/>
            <w:tcBorders>
              <w:top w:val="nil"/>
              <w:bottom w:val="nil"/>
            </w:tcBorders>
          </w:tcPr>
          <w:p w:rsidR="00000000" w:rsidRDefault="00000000">
            <w:pPr>
              <w:pStyle w:val="Title"/>
              <w:tabs>
                <w:tab w:val="left" w:pos="680"/>
              </w:tabs>
              <w:spacing w:before="80" w:after="80"/>
              <w:rPr>
                <w:b w:val="0"/>
                <w:sz w:val="20"/>
              </w:rPr>
            </w:pPr>
            <w:r>
              <w:rPr>
                <w:b w:val="0"/>
                <w:sz w:val="20"/>
              </w:rPr>
              <w:t>15</w:t>
            </w:r>
          </w:p>
        </w:tc>
        <w:tc>
          <w:tcPr>
            <w:tcW w:w="567" w:type="dxa"/>
            <w:tcBorders>
              <w:top w:val="nil"/>
              <w:bottom w:val="nil"/>
            </w:tcBorders>
          </w:tcPr>
          <w:p w:rsidR="00000000" w:rsidRDefault="00000000">
            <w:pPr>
              <w:pStyle w:val="Title"/>
              <w:tabs>
                <w:tab w:val="left" w:pos="680"/>
              </w:tabs>
              <w:spacing w:before="80" w:after="80"/>
              <w:rPr>
                <w:b w:val="0"/>
                <w:sz w:val="20"/>
              </w:rPr>
            </w:pPr>
            <w:r>
              <w:rPr>
                <w:b w:val="0"/>
                <w:sz w:val="20"/>
              </w:rPr>
              <w:t>6</w:t>
            </w:r>
          </w:p>
        </w:tc>
        <w:tc>
          <w:tcPr>
            <w:tcW w:w="567" w:type="dxa"/>
            <w:tcBorders>
              <w:top w:val="nil"/>
              <w:bottom w:val="nil"/>
            </w:tcBorders>
          </w:tcPr>
          <w:p w:rsidR="00000000" w:rsidRDefault="00000000">
            <w:pPr>
              <w:pStyle w:val="Title"/>
              <w:tabs>
                <w:tab w:val="left" w:pos="680"/>
              </w:tabs>
              <w:spacing w:before="80" w:after="80"/>
              <w:rPr>
                <w:b w:val="0"/>
                <w:sz w:val="20"/>
              </w:rPr>
            </w:pPr>
            <w:r>
              <w:rPr>
                <w:b w:val="0"/>
                <w:sz w:val="20"/>
              </w:rPr>
              <w:t>5</w:t>
            </w:r>
          </w:p>
        </w:tc>
        <w:tc>
          <w:tcPr>
            <w:tcW w:w="567" w:type="dxa"/>
            <w:tcBorders>
              <w:top w:val="nil"/>
              <w:bottom w:val="nil"/>
            </w:tcBorders>
          </w:tcPr>
          <w:p w:rsidR="00000000" w:rsidRDefault="00000000">
            <w:pPr>
              <w:pStyle w:val="Title"/>
              <w:tabs>
                <w:tab w:val="left" w:pos="680"/>
              </w:tabs>
              <w:spacing w:before="80" w:after="80"/>
              <w:rPr>
                <w:b w:val="0"/>
                <w:sz w:val="20"/>
              </w:rPr>
            </w:pPr>
            <w:r>
              <w:rPr>
                <w:b w:val="0"/>
                <w:sz w:val="20"/>
              </w:rPr>
              <w:t>4</w:t>
            </w:r>
          </w:p>
        </w:tc>
        <w:tc>
          <w:tcPr>
            <w:tcW w:w="567" w:type="dxa"/>
            <w:tcBorders>
              <w:top w:val="nil"/>
              <w:bottom w:val="nil"/>
            </w:tcBorders>
          </w:tcPr>
          <w:p w:rsidR="00000000" w:rsidRDefault="00000000">
            <w:pPr>
              <w:pStyle w:val="Title"/>
              <w:tabs>
                <w:tab w:val="left" w:pos="680"/>
              </w:tabs>
              <w:spacing w:before="80" w:after="80"/>
              <w:rPr>
                <w:b w:val="0"/>
                <w:sz w:val="20"/>
              </w:rPr>
            </w:pPr>
            <w:r>
              <w:rPr>
                <w:b w:val="0"/>
                <w:sz w:val="20"/>
              </w:rPr>
              <w:t>8</w:t>
            </w:r>
          </w:p>
        </w:tc>
        <w:tc>
          <w:tcPr>
            <w:tcW w:w="567" w:type="dxa"/>
            <w:tcBorders>
              <w:top w:val="nil"/>
              <w:bottom w:val="nil"/>
            </w:tcBorders>
          </w:tcPr>
          <w:p w:rsidR="00000000" w:rsidRDefault="00000000">
            <w:pPr>
              <w:pStyle w:val="Title"/>
              <w:tabs>
                <w:tab w:val="left" w:pos="680"/>
              </w:tabs>
              <w:spacing w:before="80" w:after="80"/>
              <w:rPr>
                <w:b w:val="0"/>
                <w:sz w:val="20"/>
              </w:rPr>
            </w:pPr>
            <w:r>
              <w:rPr>
                <w:b w:val="0"/>
                <w:sz w:val="20"/>
              </w:rPr>
              <w:t>4</w:t>
            </w:r>
          </w:p>
        </w:tc>
        <w:tc>
          <w:tcPr>
            <w:tcW w:w="567" w:type="dxa"/>
            <w:tcBorders>
              <w:top w:val="nil"/>
              <w:bottom w:val="nil"/>
            </w:tcBorders>
          </w:tcPr>
          <w:p w:rsidR="00000000" w:rsidRDefault="00000000">
            <w:pPr>
              <w:pStyle w:val="Title"/>
              <w:tabs>
                <w:tab w:val="left" w:pos="680"/>
              </w:tabs>
              <w:spacing w:before="80" w:after="80"/>
              <w:rPr>
                <w:b w:val="0"/>
                <w:sz w:val="20"/>
              </w:rPr>
            </w:pPr>
            <w:r>
              <w:rPr>
                <w:b w:val="0"/>
                <w:sz w:val="20"/>
              </w:rPr>
              <w:t>7</w:t>
            </w:r>
          </w:p>
        </w:tc>
        <w:tc>
          <w:tcPr>
            <w:tcW w:w="567" w:type="dxa"/>
            <w:tcBorders>
              <w:top w:val="nil"/>
              <w:bottom w:val="nil"/>
            </w:tcBorders>
          </w:tcPr>
          <w:p w:rsidR="00000000" w:rsidRDefault="00000000">
            <w:pPr>
              <w:pStyle w:val="Title"/>
              <w:tabs>
                <w:tab w:val="left" w:pos="680"/>
              </w:tabs>
              <w:spacing w:before="80" w:after="80"/>
              <w:rPr>
                <w:b w:val="0"/>
                <w:sz w:val="20"/>
              </w:rPr>
            </w:pPr>
            <w:r>
              <w:rPr>
                <w:b w:val="0"/>
                <w:sz w:val="20"/>
              </w:rPr>
              <w:t>7</w:t>
            </w:r>
          </w:p>
        </w:tc>
        <w:tc>
          <w:tcPr>
            <w:tcW w:w="567" w:type="dxa"/>
            <w:tcBorders>
              <w:top w:val="nil"/>
              <w:bottom w:val="nil"/>
            </w:tcBorders>
          </w:tcPr>
          <w:p w:rsidR="00000000" w:rsidRDefault="00000000">
            <w:pPr>
              <w:pStyle w:val="Title"/>
              <w:tabs>
                <w:tab w:val="left" w:pos="680"/>
              </w:tabs>
              <w:spacing w:before="80" w:after="80"/>
              <w:rPr>
                <w:b w:val="0"/>
                <w:sz w:val="20"/>
              </w:rPr>
            </w:pPr>
            <w:r>
              <w:rPr>
                <w:b w:val="0"/>
                <w:sz w:val="20"/>
              </w:rPr>
              <w:t>8</w:t>
            </w:r>
          </w:p>
        </w:tc>
        <w:tc>
          <w:tcPr>
            <w:tcW w:w="737" w:type="dxa"/>
            <w:tcBorders>
              <w:top w:val="nil"/>
              <w:bottom w:val="nil"/>
            </w:tcBorders>
          </w:tcPr>
          <w:p w:rsidR="00000000" w:rsidRDefault="00000000">
            <w:pPr>
              <w:pStyle w:val="Title"/>
              <w:tabs>
                <w:tab w:val="left" w:pos="680"/>
              </w:tabs>
              <w:spacing w:before="80" w:after="80"/>
              <w:rPr>
                <w:b w:val="0"/>
                <w:sz w:val="20"/>
              </w:rPr>
            </w:pPr>
            <w:r>
              <w:rPr>
                <w:b w:val="0"/>
                <w:sz w:val="20"/>
              </w:rPr>
              <w:t>70</w:t>
            </w:r>
          </w:p>
        </w:tc>
      </w:tr>
      <w:tr w:rsidR="00000000">
        <w:tblPrEx>
          <w:tblCellMar>
            <w:top w:w="0" w:type="dxa"/>
            <w:bottom w:w="0" w:type="dxa"/>
          </w:tblCellMar>
        </w:tblPrEx>
        <w:trPr>
          <w:cantSplit/>
          <w:jc w:val="center"/>
        </w:trPr>
        <w:tc>
          <w:tcPr>
            <w:tcW w:w="2381" w:type="dxa"/>
            <w:tcBorders>
              <w:top w:val="nil"/>
              <w:bottom w:val="nil"/>
            </w:tcBorders>
          </w:tcPr>
          <w:p w:rsidR="00000000" w:rsidRDefault="00000000">
            <w:pPr>
              <w:pStyle w:val="Title"/>
              <w:tabs>
                <w:tab w:val="left" w:pos="680"/>
              </w:tabs>
              <w:spacing w:before="80" w:after="80"/>
              <w:jc w:val="left"/>
              <w:rPr>
                <w:sz w:val="20"/>
              </w:rPr>
            </w:pPr>
            <w:r>
              <w:rPr>
                <w:sz w:val="20"/>
              </w:rPr>
              <w:t>Причина смерти</w:t>
            </w:r>
          </w:p>
          <w:p w:rsidR="00000000" w:rsidRDefault="00000000">
            <w:pPr>
              <w:pStyle w:val="Title"/>
              <w:tabs>
                <w:tab w:val="left" w:pos="680"/>
              </w:tabs>
              <w:spacing w:before="80" w:after="80"/>
              <w:jc w:val="left"/>
              <w:rPr>
                <w:sz w:val="20"/>
              </w:rPr>
            </w:pPr>
            <w:r>
              <w:rPr>
                <w:sz w:val="20"/>
              </w:rPr>
              <w:t>не установлена</w:t>
            </w:r>
          </w:p>
        </w:tc>
        <w:tc>
          <w:tcPr>
            <w:tcW w:w="567" w:type="dxa"/>
            <w:tcBorders>
              <w:top w:val="nil"/>
              <w:bottom w:val="nil"/>
            </w:tcBorders>
          </w:tcPr>
          <w:p w:rsidR="00000000" w:rsidRDefault="00000000">
            <w:pPr>
              <w:pStyle w:val="Title"/>
              <w:tabs>
                <w:tab w:val="left" w:pos="680"/>
              </w:tabs>
              <w:spacing w:before="80" w:after="80"/>
              <w:rPr>
                <w:b w:val="0"/>
                <w:sz w:val="20"/>
              </w:rPr>
            </w:pPr>
            <w:r>
              <w:rPr>
                <w:b w:val="0"/>
                <w:sz w:val="20"/>
              </w:rPr>
              <w:t>5</w:t>
            </w:r>
          </w:p>
        </w:tc>
        <w:tc>
          <w:tcPr>
            <w:tcW w:w="567" w:type="dxa"/>
            <w:tcBorders>
              <w:top w:val="nil"/>
              <w:bottom w:val="nil"/>
            </w:tcBorders>
          </w:tcPr>
          <w:p w:rsidR="00000000" w:rsidRDefault="00000000">
            <w:pPr>
              <w:pStyle w:val="Title"/>
              <w:tabs>
                <w:tab w:val="left" w:pos="680"/>
              </w:tabs>
              <w:spacing w:before="80" w:after="80"/>
              <w:rPr>
                <w:b w:val="0"/>
                <w:sz w:val="20"/>
              </w:rPr>
            </w:pPr>
            <w:r>
              <w:rPr>
                <w:b w:val="0"/>
                <w:sz w:val="20"/>
              </w:rPr>
              <w:t>8</w:t>
            </w:r>
          </w:p>
        </w:tc>
        <w:tc>
          <w:tcPr>
            <w:tcW w:w="567" w:type="dxa"/>
            <w:tcBorders>
              <w:top w:val="nil"/>
              <w:bottom w:val="nil"/>
            </w:tcBorders>
          </w:tcPr>
          <w:p w:rsidR="00000000" w:rsidRDefault="00000000">
            <w:pPr>
              <w:pStyle w:val="Title"/>
              <w:tabs>
                <w:tab w:val="left" w:pos="680"/>
              </w:tabs>
              <w:spacing w:before="80" w:after="80"/>
              <w:rPr>
                <w:b w:val="0"/>
                <w:sz w:val="20"/>
              </w:rPr>
            </w:pPr>
            <w:r>
              <w:rPr>
                <w:b w:val="0"/>
                <w:sz w:val="20"/>
              </w:rPr>
              <w:t>8</w:t>
            </w:r>
          </w:p>
        </w:tc>
        <w:tc>
          <w:tcPr>
            <w:tcW w:w="567" w:type="dxa"/>
            <w:tcBorders>
              <w:top w:val="nil"/>
              <w:bottom w:val="nil"/>
            </w:tcBorders>
          </w:tcPr>
          <w:p w:rsidR="00000000" w:rsidRDefault="00000000">
            <w:pPr>
              <w:pStyle w:val="Title"/>
              <w:tabs>
                <w:tab w:val="left" w:pos="680"/>
              </w:tabs>
              <w:spacing w:before="80" w:after="80"/>
              <w:rPr>
                <w:b w:val="0"/>
                <w:sz w:val="20"/>
              </w:rPr>
            </w:pPr>
            <w:r>
              <w:rPr>
                <w:b w:val="0"/>
                <w:sz w:val="20"/>
              </w:rPr>
              <w:t>3</w:t>
            </w:r>
          </w:p>
        </w:tc>
        <w:tc>
          <w:tcPr>
            <w:tcW w:w="567" w:type="dxa"/>
            <w:tcBorders>
              <w:top w:val="nil"/>
              <w:bottom w:val="nil"/>
            </w:tcBorders>
          </w:tcPr>
          <w:p w:rsidR="00000000" w:rsidRDefault="00000000">
            <w:pPr>
              <w:pStyle w:val="Title"/>
              <w:tabs>
                <w:tab w:val="left" w:pos="680"/>
              </w:tabs>
              <w:spacing w:before="80" w:after="80"/>
              <w:rPr>
                <w:b w:val="0"/>
                <w:sz w:val="20"/>
              </w:rPr>
            </w:pPr>
            <w:r>
              <w:rPr>
                <w:b w:val="0"/>
                <w:sz w:val="20"/>
              </w:rPr>
              <w:t>7</w:t>
            </w:r>
          </w:p>
        </w:tc>
        <w:tc>
          <w:tcPr>
            <w:tcW w:w="567" w:type="dxa"/>
            <w:tcBorders>
              <w:top w:val="nil"/>
              <w:bottom w:val="nil"/>
            </w:tcBorders>
          </w:tcPr>
          <w:p w:rsidR="00000000" w:rsidRDefault="00000000">
            <w:pPr>
              <w:pStyle w:val="Title"/>
              <w:tabs>
                <w:tab w:val="left" w:pos="680"/>
              </w:tabs>
              <w:spacing w:before="80" w:after="80"/>
              <w:rPr>
                <w:b w:val="0"/>
                <w:sz w:val="20"/>
              </w:rPr>
            </w:pPr>
            <w:r>
              <w:rPr>
                <w:b w:val="0"/>
                <w:sz w:val="20"/>
              </w:rPr>
              <w:t>2</w:t>
            </w:r>
          </w:p>
        </w:tc>
        <w:tc>
          <w:tcPr>
            <w:tcW w:w="567" w:type="dxa"/>
            <w:tcBorders>
              <w:top w:val="nil"/>
              <w:bottom w:val="nil"/>
            </w:tcBorders>
          </w:tcPr>
          <w:p w:rsidR="00000000" w:rsidRDefault="00000000">
            <w:pPr>
              <w:pStyle w:val="Title"/>
              <w:tabs>
                <w:tab w:val="left" w:pos="680"/>
              </w:tabs>
              <w:spacing w:before="80" w:after="80"/>
              <w:rPr>
                <w:b w:val="0"/>
                <w:sz w:val="20"/>
              </w:rPr>
            </w:pPr>
            <w:r>
              <w:rPr>
                <w:b w:val="0"/>
                <w:sz w:val="20"/>
              </w:rPr>
              <w:t>5</w:t>
            </w:r>
          </w:p>
        </w:tc>
        <w:tc>
          <w:tcPr>
            <w:tcW w:w="567" w:type="dxa"/>
            <w:tcBorders>
              <w:top w:val="nil"/>
              <w:bottom w:val="nil"/>
            </w:tcBorders>
          </w:tcPr>
          <w:p w:rsidR="00000000" w:rsidRDefault="00000000">
            <w:pPr>
              <w:pStyle w:val="Title"/>
              <w:tabs>
                <w:tab w:val="left" w:pos="680"/>
              </w:tabs>
              <w:spacing w:before="80" w:after="80"/>
              <w:rPr>
                <w:b w:val="0"/>
                <w:sz w:val="20"/>
              </w:rPr>
            </w:pPr>
            <w:r>
              <w:rPr>
                <w:b w:val="0"/>
                <w:sz w:val="20"/>
              </w:rPr>
              <w:t>6</w:t>
            </w:r>
          </w:p>
        </w:tc>
        <w:tc>
          <w:tcPr>
            <w:tcW w:w="567" w:type="dxa"/>
            <w:tcBorders>
              <w:top w:val="nil"/>
              <w:bottom w:val="nil"/>
            </w:tcBorders>
          </w:tcPr>
          <w:p w:rsidR="00000000" w:rsidRDefault="00000000">
            <w:pPr>
              <w:pStyle w:val="Title"/>
              <w:tabs>
                <w:tab w:val="left" w:pos="680"/>
              </w:tabs>
              <w:spacing w:before="80" w:after="80"/>
              <w:rPr>
                <w:b w:val="0"/>
                <w:sz w:val="20"/>
              </w:rPr>
            </w:pPr>
            <w:r>
              <w:rPr>
                <w:b w:val="0"/>
                <w:sz w:val="20"/>
              </w:rPr>
              <w:t>5</w:t>
            </w:r>
          </w:p>
        </w:tc>
        <w:tc>
          <w:tcPr>
            <w:tcW w:w="567" w:type="dxa"/>
            <w:tcBorders>
              <w:top w:val="nil"/>
              <w:bottom w:val="nil"/>
            </w:tcBorders>
          </w:tcPr>
          <w:p w:rsidR="00000000" w:rsidRDefault="00000000">
            <w:pPr>
              <w:pStyle w:val="Title"/>
              <w:tabs>
                <w:tab w:val="left" w:pos="680"/>
              </w:tabs>
              <w:spacing w:before="80" w:after="80"/>
              <w:rPr>
                <w:b w:val="0"/>
                <w:sz w:val="20"/>
              </w:rPr>
            </w:pPr>
            <w:r>
              <w:rPr>
                <w:b w:val="0"/>
                <w:sz w:val="20"/>
              </w:rPr>
              <w:t>4</w:t>
            </w:r>
          </w:p>
        </w:tc>
        <w:tc>
          <w:tcPr>
            <w:tcW w:w="737" w:type="dxa"/>
            <w:tcBorders>
              <w:top w:val="nil"/>
              <w:bottom w:val="nil"/>
            </w:tcBorders>
          </w:tcPr>
          <w:p w:rsidR="00000000" w:rsidRDefault="00000000">
            <w:pPr>
              <w:pStyle w:val="Title"/>
              <w:tabs>
                <w:tab w:val="left" w:pos="680"/>
              </w:tabs>
              <w:spacing w:before="80" w:after="80"/>
              <w:rPr>
                <w:b w:val="0"/>
                <w:sz w:val="20"/>
              </w:rPr>
            </w:pPr>
            <w:r>
              <w:rPr>
                <w:b w:val="0"/>
                <w:sz w:val="20"/>
              </w:rPr>
              <w:t>53</w:t>
            </w:r>
          </w:p>
        </w:tc>
      </w:tr>
      <w:tr w:rsidR="00000000">
        <w:tblPrEx>
          <w:tblCellMar>
            <w:top w:w="0" w:type="dxa"/>
            <w:bottom w:w="0" w:type="dxa"/>
          </w:tblCellMar>
        </w:tblPrEx>
        <w:trPr>
          <w:cantSplit/>
          <w:jc w:val="center"/>
        </w:trPr>
        <w:tc>
          <w:tcPr>
            <w:tcW w:w="2381" w:type="dxa"/>
            <w:tcBorders>
              <w:top w:val="nil"/>
              <w:bottom w:val="nil"/>
            </w:tcBorders>
          </w:tcPr>
          <w:p w:rsidR="00000000" w:rsidRDefault="00000000">
            <w:pPr>
              <w:pStyle w:val="Title"/>
              <w:tabs>
                <w:tab w:val="left" w:pos="680"/>
              </w:tabs>
              <w:spacing w:before="80" w:after="80"/>
              <w:jc w:val="left"/>
              <w:rPr>
                <w:sz w:val="20"/>
              </w:rPr>
            </w:pPr>
            <w:r>
              <w:rPr>
                <w:sz w:val="20"/>
              </w:rPr>
              <w:t>СПИД</w:t>
            </w:r>
          </w:p>
        </w:tc>
        <w:tc>
          <w:tcPr>
            <w:tcW w:w="567" w:type="dxa"/>
            <w:tcBorders>
              <w:top w:val="nil"/>
              <w:bottom w:val="nil"/>
            </w:tcBorders>
          </w:tcPr>
          <w:p w:rsidR="00000000" w:rsidRDefault="00000000">
            <w:pPr>
              <w:pStyle w:val="Title"/>
              <w:tabs>
                <w:tab w:val="left" w:pos="680"/>
              </w:tabs>
              <w:spacing w:before="80" w:after="80"/>
              <w:rPr>
                <w:b w:val="0"/>
                <w:sz w:val="20"/>
              </w:rPr>
            </w:pPr>
            <w:r>
              <w:rPr>
                <w:b w:val="0"/>
                <w:sz w:val="20"/>
              </w:rPr>
              <w:t>8</w:t>
            </w:r>
          </w:p>
        </w:tc>
        <w:tc>
          <w:tcPr>
            <w:tcW w:w="567" w:type="dxa"/>
            <w:tcBorders>
              <w:top w:val="nil"/>
              <w:bottom w:val="nil"/>
            </w:tcBorders>
          </w:tcPr>
          <w:p w:rsidR="00000000" w:rsidRDefault="00000000">
            <w:pPr>
              <w:pStyle w:val="Title"/>
              <w:tabs>
                <w:tab w:val="left" w:pos="680"/>
              </w:tabs>
              <w:spacing w:before="80" w:after="80"/>
              <w:rPr>
                <w:b w:val="0"/>
                <w:sz w:val="20"/>
              </w:rPr>
            </w:pPr>
            <w:r>
              <w:rPr>
                <w:b w:val="0"/>
                <w:sz w:val="20"/>
              </w:rPr>
              <w:t>6</w:t>
            </w:r>
          </w:p>
        </w:tc>
        <w:tc>
          <w:tcPr>
            <w:tcW w:w="567" w:type="dxa"/>
            <w:tcBorders>
              <w:top w:val="nil"/>
              <w:bottom w:val="nil"/>
            </w:tcBorders>
          </w:tcPr>
          <w:p w:rsidR="00000000" w:rsidRDefault="00000000">
            <w:pPr>
              <w:pStyle w:val="Title"/>
              <w:tabs>
                <w:tab w:val="left" w:pos="680"/>
              </w:tabs>
              <w:spacing w:before="80" w:after="80"/>
              <w:rPr>
                <w:b w:val="0"/>
                <w:sz w:val="20"/>
              </w:rPr>
            </w:pPr>
            <w:r>
              <w:rPr>
                <w:b w:val="0"/>
                <w:sz w:val="20"/>
              </w:rPr>
              <w:t>3</w:t>
            </w:r>
          </w:p>
        </w:tc>
        <w:tc>
          <w:tcPr>
            <w:tcW w:w="567" w:type="dxa"/>
            <w:tcBorders>
              <w:top w:val="nil"/>
              <w:bottom w:val="nil"/>
            </w:tcBorders>
          </w:tcPr>
          <w:p w:rsidR="00000000" w:rsidRDefault="00000000">
            <w:pPr>
              <w:pStyle w:val="Title"/>
              <w:tabs>
                <w:tab w:val="left" w:pos="680"/>
              </w:tabs>
              <w:spacing w:before="80" w:after="80"/>
              <w:rPr>
                <w:b w:val="0"/>
                <w:sz w:val="20"/>
              </w:rPr>
            </w:pPr>
            <w:r>
              <w:rPr>
                <w:b w:val="0"/>
                <w:sz w:val="20"/>
              </w:rPr>
              <w:t>5</w:t>
            </w:r>
          </w:p>
        </w:tc>
        <w:tc>
          <w:tcPr>
            <w:tcW w:w="567" w:type="dxa"/>
            <w:tcBorders>
              <w:top w:val="nil"/>
              <w:bottom w:val="nil"/>
            </w:tcBorders>
          </w:tcPr>
          <w:p w:rsidR="00000000" w:rsidRDefault="00000000">
            <w:pPr>
              <w:pStyle w:val="Title"/>
              <w:tabs>
                <w:tab w:val="left" w:pos="680"/>
              </w:tabs>
              <w:spacing w:before="80" w:after="80"/>
              <w:rPr>
                <w:b w:val="0"/>
                <w:sz w:val="20"/>
              </w:rPr>
            </w:pPr>
            <w:r>
              <w:rPr>
                <w:b w:val="0"/>
                <w:sz w:val="20"/>
              </w:rPr>
              <w:t>5</w:t>
            </w:r>
          </w:p>
        </w:tc>
        <w:tc>
          <w:tcPr>
            <w:tcW w:w="567" w:type="dxa"/>
            <w:tcBorders>
              <w:top w:val="nil"/>
              <w:bottom w:val="nil"/>
            </w:tcBorders>
          </w:tcPr>
          <w:p w:rsidR="00000000" w:rsidRDefault="00000000">
            <w:pPr>
              <w:pStyle w:val="Title"/>
              <w:tabs>
                <w:tab w:val="left" w:pos="680"/>
              </w:tabs>
              <w:spacing w:before="80" w:after="80"/>
              <w:rPr>
                <w:b w:val="0"/>
                <w:sz w:val="20"/>
              </w:rPr>
            </w:pPr>
            <w:r>
              <w:rPr>
                <w:b w:val="0"/>
                <w:sz w:val="20"/>
              </w:rPr>
              <w:t>14</w:t>
            </w:r>
          </w:p>
        </w:tc>
        <w:tc>
          <w:tcPr>
            <w:tcW w:w="567" w:type="dxa"/>
            <w:tcBorders>
              <w:top w:val="nil"/>
              <w:bottom w:val="nil"/>
            </w:tcBorders>
          </w:tcPr>
          <w:p w:rsidR="00000000" w:rsidRDefault="00000000">
            <w:pPr>
              <w:pStyle w:val="Title"/>
              <w:tabs>
                <w:tab w:val="left" w:pos="680"/>
              </w:tabs>
              <w:spacing w:before="80" w:after="80"/>
              <w:rPr>
                <w:b w:val="0"/>
                <w:sz w:val="20"/>
              </w:rPr>
            </w:pPr>
            <w:r>
              <w:rPr>
                <w:b w:val="0"/>
                <w:sz w:val="20"/>
              </w:rPr>
              <w:t>10</w:t>
            </w:r>
          </w:p>
        </w:tc>
        <w:tc>
          <w:tcPr>
            <w:tcW w:w="567" w:type="dxa"/>
            <w:tcBorders>
              <w:top w:val="nil"/>
              <w:bottom w:val="nil"/>
            </w:tcBorders>
          </w:tcPr>
          <w:p w:rsidR="00000000" w:rsidRDefault="00000000">
            <w:pPr>
              <w:pStyle w:val="Title"/>
              <w:tabs>
                <w:tab w:val="left" w:pos="680"/>
              </w:tabs>
              <w:spacing w:before="80" w:after="80"/>
              <w:rPr>
                <w:b w:val="0"/>
                <w:sz w:val="20"/>
              </w:rPr>
            </w:pPr>
            <w:r>
              <w:rPr>
                <w:b w:val="0"/>
                <w:sz w:val="20"/>
              </w:rPr>
              <w:t>15</w:t>
            </w:r>
          </w:p>
        </w:tc>
        <w:tc>
          <w:tcPr>
            <w:tcW w:w="567" w:type="dxa"/>
            <w:tcBorders>
              <w:top w:val="nil"/>
              <w:bottom w:val="nil"/>
            </w:tcBorders>
          </w:tcPr>
          <w:p w:rsidR="00000000" w:rsidRDefault="00000000">
            <w:pPr>
              <w:pStyle w:val="Title"/>
              <w:tabs>
                <w:tab w:val="left" w:pos="680"/>
              </w:tabs>
              <w:spacing w:before="80" w:after="80"/>
              <w:rPr>
                <w:b w:val="0"/>
                <w:sz w:val="20"/>
              </w:rPr>
            </w:pPr>
            <w:r>
              <w:rPr>
                <w:b w:val="0"/>
                <w:sz w:val="20"/>
              </w:rPr>
              <w:t>4</w:t>
            </w:r>
          </w:p>
        </w:tc>
        <w:tc>
          <w:tcPr>
            <w:tcW w:w="567" w:type="dxa"/>
            <w:tcBorders>
              <w:top w:val="nil"/>
              <w:bottom w:val="nil"/>
            </w:tcBorders>
          </w:tcPr>
          <w:p w:rsidR="00000000" w:rsidRDefault="00000000">
            <w:pPr>
              <w:pStyle w:val="Title"/>
              <w:tabs>
                <w:tab w:val="left" w:pos="680"/>
              </w:tabs>
              <w:spacing w:before="80" w:after="80"/>
              <w:rPr>
                <w:b w:val="0"/>
                <w:sz w:val="20"/>
              </w:rPr>
            </w:pPr>
            <w:r>
              <w:rPr>
                <w:b w:val="0"/>
                <w:sz w:val="20"/>
              </w:rPr>
              <w:t>4</w:t>
            </w:r>
          </w:p>
        </w:tc>
        <w:tc>
          <w:tcPr>
            <w:tcW w:w="737" w:type="dxa"/>
            <w:tcBorders>
              <w:top w:val="nil"/>
              <w:bottom w:val="nil"/>
            </w:tcBorders>
          </w:tcPr>
          <w:p w:rsidR="00000000" w:rsidRDefault="00000000">
            <w:pPr>
              <w:pStyle w:val="Title"/>
              <w:tabs>
                <w:tab w:val="left" w:pos="680"/>
              </w:tabs>
              <w:spacing w:before="80" w:after="80"/>
              <w:rPr>
                <w:b w:val="0"/>
                <w:sz w:val="20"/>
              </w:rPr>
            </w:pPr>
            <w:r>
              <w:rPr>
                <w:b w:val="0"/>
                <w:sz w:val="20"/>
              </w:rPr>
              <w:t>74</w:t>
            </w:r>
          </w:p>
        </w:tc>
      </w:tr>
      <w:tr w:rsidR="00000000">
        <w:tblPrEx>
          <w:tblCellMar>
            <w:top w:w="0" w:type="dxa"/>
            <w:bottom w:w="0" w:type="dxa"/>
          </w:tblCellMar>
        </w:tblPrEx>
        <w:trPr>
          <w:cantSplit/>
          <w:jc w:val="center"/>
        </w:trPr>
        <w:tc>
          <w:tcPr>
            <w:tcW w:w="2381" w:type="dxa"/>
            <w:tcBorders>
              <w:top w:val="nil"/>
            </w:tcBorders>
          </w:tcPr>
          <w:p w:rsidR="00000000" w:rsidRDefault="00000000">
            <w:pPr>
              <w:pStyle w:val="Title"/>
              <w:tabs>
                <w:tab w:val="left" w:pos="680"/>
              </w:tabs>
              <w:spacing w:before="80" w:after="80"/>
              <w:jc w:val="left"/>
              <w:rPr>
                <w:sz w:val="20"/>
              </w:rPr>
            </w:pPr>
            <w:r>
              <w:rPr>
                <w:sz w:val="20"/>
              </w:rPr>
              <w:t>Материнская смертность</w:t>
            </w:r>
          </w:p>
        </w:tc>
        <w:tc>
          <w:tcPr>
            <w:tcW w:w="567" w:type="dxa"/>
            <w:tcBorders>
              <w:top w:val="nil"/>
            </w:tcBorders>
          </w:tcPr>
          <w:p w:rsidR="00000000" w:rsidRDefault="00000000">
            <w:pPr>
              <w:pStyle w:val="Title"/>
              <w:tabs>
                <w:tab w:val="left" w:pos="680"/>
              </w:tabs>
              <w:spacing w:before="80" w:after="80"/>
              <w:rPr>
                <w:b w:val="0"/>
                <w:sz w:val="20"/>
              </w:rPr>
            </w:pPr>
            <w:r>
              <w:rPr>
                <w:b w:val="0"/>
                <w:sz w:val="20"/>
              </w:rPr>
              <w:t>12</w:t>
            </w:r>
          </w:p>
        </w:tc>
        <w:tc>
          <w:tcPr>
            <w:tcW w:w="567" w:type="dxa"/>
            <w:tcBorders>
              <w:top w:val="nil"/>
            </w:tcBorders>
          </w:tcPr>
          <w:p w:rsidR="00000000" w:rsidRDefault="00000000">
            <w:pPr>
              <w:pStyle w:val="Title"/>
              <w:tabs>
                <w:tab w:val="left" w:pos="680"/>
              </w:tabs>
              <w:spacing w:before="80" w:after="80"/>
              <w:rPr>
                <w:b w:val="0"/>
                <w:sz w:val="20"/>
              </w:rPr>
            </w:pPr>
            <w:r>
              <w:rPr>
                <w:b w:val="0"/>
                <w:sz w:val="20"/>
              </w:rPr>
              <w:t>28</w:t>
            </w:r>
          </w:p>
        </w:tc>
        <w:tc>
          <w:tcPr>
            <w:tcW w:w="567" w:type="dxa"/>
            <w:tcBorders>
              <w:top w:val="nil"/>
            </w:tcBorders>
          </w:tcPr>
          <w:p w:rsidR="00000000" w:rsidRDefault="00000000">
            <w:pPr>
              <w:pStyle w:val="Title"/>
              <w:tabs>
                <w:tab w:val="left" w:pos="680"/>
              </w:tabs>
              <w:spacing w:before="80" w:after="80"/>
              <w:rPr>
                <w:b w:val="0"/>
                <w:sz w:val="20"/>
              </w:rPr>
            </w:pPr>
            <w:r>
              <w:rPr>
                <w:b w:val="0"/>
                <w:sz w:val="20"/>
              </w:rPr>
              <w:t>18</w:t>
            </w:r>
          </w:p>
        </w:tc>
        <w:tc>
          <w:tcPr>
            <w:tcW w:w="567" w:type="dxa"/>
            <w:tcBorders>
              <w:top w:val="nil"/>
            </w:tcBorders>
          </w:tcPr>
          <w:p w:rsidR="00000000" w:rsidRDefault="00000000">
            <w:pPr>
              <w:pStyle w:val="Title"/>
              <w:tabs>
                <w:tab w:val="left" w:pos="680"/>
              </w:tabs>
              <w:spacing w:before="80" w:after="80"/>
              <w:rPr>
                <w:b w:val="0"/>
                <w:sz w:val="20"/>
              </w:rPr>
            </w:pPr>
            <w:r>
              <w:rPr>
                <w:b w:val="0"/>
                <w:sz w:val="20"/>
              </w:rPr>
              <w:t>15</w:t>
            </w:r>
          </w:p>
        </w:tc>
        <w:tc>
          <w:tcPr>
            <w:tcW w:w="567" w:type="dxa"/>
            <w:tcBorders>
              <w:top w:val="nil"/>
            </w:tcBorders>
          </w:tcPr>
          <w:p w:rsidR="00000000" w:rsidRDefault="00000000">
            <w:pPr>
              <w:pStyle w:val="Title"/>
              <w:tabs>
                <w:tab w:val="left" w:pos="680"/>
              </w:tabs>
              <w:spacing w:before="80" w:after="80"/>
              <w:rPr>
                <w:b w:val="0"/>
                <w:sz w:val="20"/>
              </w:rPr>
            </w:pPr>
            <w:r>
              <w:rPr>
                <w:b w:val="0"/>
                <w:sz w:val="20"/>
              </w:rPr>
              <w:t>31</w:t>
            </w:r>
          </w:p>
        </w:tc>
        <w:tc>
          <w:tcPr>
            <w:tcW w:w="567" w:type="dxa"/>
            <w:tcBorders>
              <w:top w:val="nil"/>
            </w:tcBorders>
          </w:tcPr>
          <w:p w:rsidR="00000000" w:rsidRDefault="00000000">
            <w:pPr>
              <w:pStyle w:val="Title"/>
              <w:tabs>
                <w:tab w:val="left" w:pos="680"/>
              </w:tabs>
              <w:spacing w:before="80" w:after="80"/>
              <w:rPr>
                <w:b w:val="0"/>
                <w:sz w:val="20"/>
              </w:rPr>
            </w:pPr>
            <w:r>
              <w:rPr>
                <w:b w:val="0"/>
                <w:sz w:val="20"/>
              </w:rPr>
              <w:t>16</w:t>
            </w:r>
          </w:p>
        </w:tc>
        <w:tc>
          <w:tcPr>
            <w:tcW w:w="567" w:type="dxa"/>
            <w:tcBorders>
              <w:top w:val="nil"/>
            </w:tcBorders>
          </w:tcPr>
          <w:p w:rsidR="00000000" w:rsidRDefault="00000000">
            <w:pPr>
              <w:pStyle w:val="Title"/>
              <w:tabs>
                <w:tab w:val="left" w:pos="680"/>
              </w:tabs>
              <w:spacing w:before="80" w:after="80"/>
              <w:rPr>
                <w:b w:val="0"/>
                <w:sz w:val="20"/>
              </w:rPr>
            </w:pPr>
            <w:r>
              <w:rPr>
                <w:b w:val="0"/>
                <w:sz w:val="20"/>
              </w:rPr>
              <w:t>23</w:t>
            </w:r>
          </w:p>
        </w:tc>
        <w:tc>
          <w:tcPr>
            <w:tcW w:w="567" w:type="dxa"/>
            <w:tcBorders>
              <w:top w:val="nil"/>
            </w:tcBorders>
          </w:tcPr>
          <w:p w:rsidR="00000000" w:rsidRDefault="00000000">
            <w:pPr>
              <w:pStyle w:val="Title"/>
              <w:tabs>
                <w:tab w:val="left" w:pos="680"/>
              </w:tabs>
              <w:spacing w:before="80" w:after="80"/>
              <w:rPr>
                <w:b w:val="0"/>
                <w:sz w:val="20"/>
              </w:rPr>
            </w:pPr>
            <w:r>
              <w:rPr>
                <w:b w:val="0"/>
                <w:sz w:val="20"/>
              </w:rPr>
              <w:t>29</w:t>
            </w:r>
          </w:p>
        </w:tc>
        <w:tc>
          <w:tcPr>
            <w:tcW w:w="567" w:type="dxa"/>
            <w:tcBorders>
              <w:top w:val="nil"/>
            </w:tcBorders>
          </w:tcPr>
          <w:p w:rsidR="00000000" w:rsidRDefault="00000000">
            <w:pPr>
              <w:pStyle w:val="Title"/>
              <w:tabs>
                <w:tab w:val="left" w:pos="680"/>
              </w:tabs>
              <w:spacing w:before="80" w:after="80"/>
              <w:rPr>
                <w:b w:val="0"/>
                <w:sz w:val="20"/>
              </w:rPr>
            </w:pPr>
            <w:r>
              <w:rPr>
                <w:b w:val="0"/>
                <w:sz w:val="20"/>
              </w:rPr>
              <w:t>12</w:t>
            </w:r>
          </w:p>
        </w:tc>
        <w:tc>
          <w:tcPr>
            <w:tcW w:w="567" w:type="dxa"/>
            <w:tcBorders>
              <w:top w:val="nil"/>
            </w:tcBorders>
          </w:tcPr>
          <w:p w:rsidR="00000000" w:rsidRDefault="00000000">
            <w:pPr>
              <w:pStyle w:val="Title"/>
              <w:tabs>
                <w:tab w:val="left" w:pos="680"/>
              </w:tabs>
              <w:spacing w:before="80" w:after="80"/>
              <w:rPr>
                <w:b w:val="0"/>
                <w:sz w:val="20"/>
              </w:rPr>
            </w:pPr>
            <w:r>
              <w:rPr>
                <w:b w:val="0"/>
                <w:sz w:val="20"/>
              </w:rPr>
              <w:t>15</w:t>
            </w:r>
          </w:p>
        </w:tc>
        <w:tc>
          <w:tcPr>
            <w:tcW w:w="737" w:type="dxa"/>
            <w:tcBorders>
              <w:top w:val="nil"/>
            </w:tcBorders>
          </w:tcPr>
          <w:p w:rsidR="00000000" w:rsidRDefault="00000000">
            <w:pPr>
              <w:pStyle w:val="Title"/>
              <w:tabs>
                <w:tab w:val="left" w:pos="680"/>
              </w:tabs>
              <w:spacing w:before="80" w:after="80"/>
              <w:rPr>
                <w:b w:val="0"/>
                <w:sz w:val="20"/>
              </w:rPr>
            </w:pPr>
            <w:r>
              <w:rPr>
                <w:b w:val="0"/>
                <w:sz w:val="20"/>
              </w:rPr>
              <w:t>184</w:t>
            </w:r>
          </w:p>
        </w:tc>
      </w:tr>
    </w:tbl>
    <w:p w:rsidR="00000000" w:rsidRDefault="00000000">
      <w:pPr>
        <w:pStyle w:val="Title"/>
        <w:tabs>
          <w:tab w:val="left" w:pos="680"/>
        </w:tabs>
        <w:spacing w:before="120" w:after="120" w:line="240" w:lineRule="exact"/>
        <w:jc w:val="both"/>
        <w:rPr>
          <w:b w:val="0"/>
          <w:sz w:val="20"/>
          <w:lang w:val="es-ES"/>
        </w:rPr>
      </w:pPr>
      <w:r>
        <w:rPr>
          <w:sz w:val="20"/>
        </w:rPr>
        <w:t>Источник</w:t>
      </w:r>
      <w:r>
        <w:rPr>
          <w:sz w:val="20"/>
          <w:lang w:val="en-US"/>
        </w:rPr>
        <w:t>:</w:t>
      </w:r>
      <w:r>
        <w:rPr>
          <w:b w:val="0"/>
          <w:sz w:val="20"/>
          <w:lang w:val="en-US"/>
        </w:rPr>
        <w:t xml:space="preserve"> Carcedo, Sagot. </w:t>
      </w:r>
      <w:r>
        <w:rPr>
          <w:b w:val="0"/>
          <w:i/>
          <w:sz w:val="20"/>
          <w:lang w:val="en-US"/>
        </w:rPr>
        <w:t>Feminicido en Costa Rica: 1990–1999</w:t>
      </w:r>
      <w:r>
        <w:rPr>
          <w:b w:val="0"/>
          <w:sz w:val="20"/>
          <w:lang w:val="en-US"/>
        </w:rPr>
        <w:t>, 2001</w:t>
      </w:r>
      <w:r>
        <w:rPr>
          <w:b w:val="0"/>
          <w:sz w:val="20"/>
          <w:lang w:val="es-ES"/>
        </w:rPr>
        <w:t>.</w:t>
      </w:r>
    </w:p>
    <w:p w:rsidR="00000000" w:rsidRDefault="00000000">
      <w:pPr>
        <w:pStyle w:val="Title"/>
        <w:tabs>
          <w:tab w:val="left" w:pos="680"/>
        </w:tabs>
        <w:spacing w:before="240" w:line="260" w:lineRule="exact"/>
        <w:jc w:val="both"/>
        <w:rPr>
          <w:b w:val="0"/>
          <w:sz w:val="22"/>
        </w:rPr>
      </w:pPr>
      <w:r>
        <w:rPr>
          <w:b w:val="0"/>
          <w:sz w:val="22"/>
        </w:rPr>
        <w:t>501.</w:t>
      </w:r>
      <w:r>
        <w:rPr>
          <w:b w:val="0"/>
          <w:sz w:val="22"/>
        </w:rPr>
        <w:tab/>
        <w:t>Бóльшая часть женоубийств была совершена близкими жертве людьми (80 процентов), в ее доме (57 процентов), причем основными орудиями убийства были разные виды холодного оружия (40 процентов), такие как ножи, ножницы и другие бытовые предметы. Бóльшая часть женоубийств произошла вследствие жестокости в отношениях между членами семьи или в результате сексуальных нападений со стороны лиц, знакомых или незнакомых жертве.</w:t>
      </w:r>
    </w:p>
    <w:p w:rsidR="00000000" w:rsidRDefault="00000000">
      <w:pPr>
        <w:pStyle w:val="Title"/>
        <w:tabs>
          <w:tab w:val="left" w:pos="680"/>
        </w:tabs>
        <w:spacing w:before="240" w:line="260" w:lineRule="exact"/>
        <w:jc w:val="both"/>
        <w:rPr>
          <w:b w:val="0"/>
          <w:sz w:val="22"/>
        </w:rPr>
      </w:pPr>
      <w:r>
        <w:rPr>
          <w:b w:val="0"/>
          <w:sz w:val="22"/>
        </w:rPr>
        <w:t>502.</w:t>
      </w:r>
      <w:r>
        <w:rPr>
          <w:b w:val="0"/>
          <w:sz w:val="22"/>
        </w:rPr>
        <w:tab/>
        <w:t>Женоубийство является не просто еще одной формой насилия, существующего в обществе, в его основе лежат и иные причины. Женоубийство, будучи наиболее крайним проявлением насилия в отношении женщин, порожденным отсутствием социального равенства и равноправия, должно рассматриваться иначе, чем остальные виды убийств, и бороться с данным явлением следует по-другому. Наиболее частыми жертвами женоубийств становятся женщины в возрасте 30 лет – таков средний возраст погибших в 90-е годы женщин. Подобный факт объясняется тем, что самую большую опасность представляют собой отношения партнеров, основанные на насилии, а женоубийцами чаще всего становятся сожители или бывшие сожители (61 процент).</w:t>
      </w:r>
    </w:p>
    <w:p w:rsidR="00000000" w:rsidRDefault="00000000">
      <w:pPr>
        <w:pStyle w:val="Title"/>
        <w:tabs>
          <w:tab w:val="left" w:pos="680"/>
        </w:tabs>
        <w:spacing w:before="240" w:line="260" w:lineRule="exact"/>
        <w:jc w:val="both"/>
        <w:rPr>
          <w:b w:val="0"/>
          <w:spacing w:val="-4"/>
          <w:sz w:val="22"/>
        </w:rPr>
      </w:pPr>
      <w:r>
        <w:rPr>
          <w:b w:val="0"/>
          <w:sz w:val="22"/>
        </w:rPr>
        <w:t>503.</w:t>
      </w:r>
      <w:r>
        <w:rPr>
          <w:b w:val="0"/>
          <w:sz w:val="22"/>
        </w:rPr>
        <w:tab/>
      </w:r>
      <w:r>
        <w:rPr>
          <w:b w:val="0"/>
          <w:spacing w:val="-4"/>
          <w:sz w:val="22"/>
        </w:rPr>
        <w:t>Характерной чертой женоубийств (в особенности совершенных близким жертве человеком) является то, что часто они совершаются с особой жестокостью, свидетельствующей о высокой степени ненависти, которую испытывает убийца к своей жертве, и исключающей возможность трактовки убийства как несчастного случая или необходимой самообороны. Причину подобной жестокости следует искать в стремлении лиц, совершающих агрессию, контролировать своих жертв-женщин, с которыми порой они обходятся как со своей собственностью. Факты говорят о том, что большинство женщин, погибших в период с 1990 по 1999 год, были убиты именно в тот момент, когда пытались освободиться от контроля партнера, который жестоко с ними обращался. Женоубийство представляет собой серьезную проблему гражданской безопасности, и если ее удастся решить, искоренив эту форму насилия, количество убийств женщин резко сократится, как минимум на 60 процентов.</w:t>
      </w:r>
    </w:p>
    <w:p w:rsidR="00000000" w:rsidRDefault="00000000">
      <w:pPr>
        <w:pStyle w:val="Title"/>
        <w:tabs>
          <w:tab w:val="left" w:pos="680"/>
        </w:tabs>
        <w:spacing w:before="240" w:line="260" w:lineRule="exact"/>
        <w:jc w:val="both"/>
        <w:rPr>
          <w:b w:val="0"/>
          <w:spacing w:val="-2"/>
          <w:sz w:val="22"/>
        </w:rPr>
      </w:pPr>
      <w:r>
        <w:rPr>
          <w:b w:val="0"/>
          <w:sz w:val="22"/>
        </w:rPr>
        <w:t>504.</w:t>
      </w:r>
      <w:r>
        <w:rPr>
          <w:b w:val="0"/>
          <w:sz w:val="22"/>
        </w:rPr>
        <w:tab/>
      </w:r>
      <w:r>
        <w:rPr>
          <w:b w:val="0"/>
          <w:spacing w:val="-2"/>
          <w:sz w:val="22"/>
        </w:rPr>
        <w:t>Для данного вида преступлений Уголовный кодекс предусматривает максимальное наказание до 35 лет лишения свободы за доказанное убийство. В соответствии с действующим законодательством эта мера наказания применятся только в случае, если пара проживала в законном браке или если мужчина и женщина прожили вместе два года и имели совместного ребенка. На практике некоторые женоубийцы получают более мягкий приговор – 12 лет тюрьмы, и часто их по разным причинам освобождают досрочно, когда они не отбыли даже 5 лет от положенного срока наказания. Следует отметить, что бóльшая часть женоубийц, совершивших убийства в рассматриваемый период, были костариканцами (88 процентов), и лишь 12 процентов женоубийц являются представителями других национальностей.</w:t>
      </w:r>
    </w:p>
    <w:p w:rsidR="00000000" w:rsidRDefault="00000000">
      <w:pPr>
        <w:pStyle w:val="Title"/>
        <w:tabs>
          <w:tab w:val="left" w:pos="680"/>
        </w:tabs>
        <w:spacing w:line="260" w:lineRule="exact"/>
        <w:jc w:val="both"/>
        <w:rPr>
          <w:b w:val="0"/>
          <w:sz w:val="22"/>
        </w:rPr>
      </w:pPr>
    </w:p>
    <w:p w:rsidR="00000000" w:rsidRDefault="00000000">
      <w:pPr>
        <w:pStyle w:val="Title"/>
        <w:tabs>
          <w:tab w:val="left" w:pos="680"/>
        </w:tabs>
        <w:spacing w:before="240" w:line="260" w:lineRule="exact"/>
        <w:jc w:val="both"/>
        <w:rPr>
          <w:sz w:val="22"/>
        </w:rPr>
      </w:pPr>
      <w:r>
        <w:rPr>
          <w:sz w:val="22"/>
        </w:rPr>
        <w:t>Приюты для женщин: альтернативная помощь жертвам насилия</w:t>
      </w:r>
    </w:p>
    <w:p w:rsidR="00000000" w:rsidRDefault="00000000">
      <w:pPr>
        <w:pStyle w:val="Title"/>
        <w:tabs>
          <w:tab w:val="left" w:pos="680"/>
        </w:tabs>
        <w:spacing w:before="240" w:line="260" w:lineRule="exact"/>
        <w:jc w:val="both"/>
        <w:rPr>
          <w:b w:val="0"/>
          <w:spacing w:val="-2"/>
          <w:sz w:val="22"/>
        </w:rPr>
      </w:pPr>
      <w:r>
        <w:rPr>
          <w:b w:val="0"/>
          <w:sz w:val="22"/>
        </w:rPr>
        <w:t>505.</w:t>
      </w:r>
      <w:r>
        <w:rPr>
          <w:b w:val="0"/>
          <w:sz w:val="22"/>
        </w:rPr>
        <w:tab/>
      </w:r>
      <w:r>
        <w:rPr>
          <w:b w:val="0"/>
          <w:spacing w:val="-2"/>
          <w:sz w:val="22"/>
        </w:rPr>
        <w:t>Агрессия в отношении женщин связана с риском для их жизни, и необходимость гарантировать женщинам безопасность стала причиной появления приютов. Первый приют для женщин был создан в Коста-Рике по частной инициативе. Впоследствии государство также осознало свою ответственность и взяло на себя определенные обязательства в этой области. В настоящее время действуют два приюта, открытых ИНАМУ, один в провинции Картаго, другой в провинции Лимон; кроме того, уже приступили к строительству третьего приюта в провинции Пунтаренас. Руководство приютами для женщин, пострадавших от агрессии, осуществляет СЕФЕМИНА, организация, имеющая богатый опыт и заслуженный авторитет в области оказания помощи женщинам – жертвам насилия. Служба приютов каждый год оказывала помощь приблизительно 750 женщинам по всей стране (ИНАМУ, 2002 год).</w:t>
      </w:r>
    </w:p>
    <w:p w:rsidR="00000000" w:rsidRDefault="00000000">
      <w:pPr>
        <w:pStyle w:val="Title"/>
        <w:tabs>
          <w:tab w:val="left" w:pos="680"/>
        </w:tabs>
        <w:spacing w:before="240" w:line="260" w:lineRule="exact"/>
        <w:jc w:val="both"/>
        <w:rPr>
          <w:b w:val="0"/>
          <w:sz w:val="22"/>
        </w:rPr>
      </w:pPr>
      <w:r>
        <w:rPr>
          <w:b w:val="0"/>
          <w:sz w:val="22"/>
        </w:rPr>
        <w:t>506.</w:t>
      </w:r>
      <w:r>
        <w:rPr>
          <w:b w:val="0"/>
          <w:sz w:val="22"/>
        </w:rPr>
        <w:tab/>
        <w:t>Потребность в такого рода услугах со временем увеличилась и превзошла имеющиеся возможности. Число женщин, которым была оказана помощь в приютах, в 1995 году составляло 80 человек, а в 2000 году достигло цифры 389; одновременно число получивших помощь детей выросло с 200 до 1026 за тот же период (</w:t>
      </w:r>
      <w:r>
        <w:rPr>
          <w:b w:val="0"/>
          <w:sz w:val="22"/>
          <w:lang w:val="en-US"/>
        </w:rPr>
        <w:t>Ramellini</w:t>
      </w:r>
      <w:r>
        <w:rPr>
          <w:b w:val="0"/>
          <w:sz w:val="22"/>
        </w:rPr>
        <w:t xml:space="preserve">, 2000; </w:t>
      </w:r>
      <w:r>
        <w:rPr>
          <w:b w:val="0"/>
          <w:sz w:val="22"/>
          <w:lang w:val="en-US"/>
        </w:rPr>
        <w:t>Brenes</w:t>
      </w:r>
      <w:r>
        <w:rPr>
          <w:b w:val="0"/>
          <w:sz w:val="22"/>
        </w:rPr>
        <w:t xml:space="preserve">, </w:t>
      </w:r>
      <w:r>
        <w:rPr>
          <w:b w:val="0"/>
          <w:sz w:val="22"/>
          <w:lang w:val="en-US"/>
        </w:rPr>
        <w:t>M</w:t>
      </w:r>
      <w:r>
        <w:rPr>
          <w:b w:val="0"/>
          <w:sz w:val="22"/>
        </w:rPr>
        <w:t>é</w:t>
      </w:r>
      <w:r>
        <w:rPr>
          <w:b w:val="0"/>
          <w:sz w:val="22"/>
          <w:lang w:val="en-US"/>
        </w:rPr>
        <w:t>ndez</w:t>
      </w:r>
      <w:r>
        <w:rPr>
          <w:b w:val="0"/>
          <w:sz w:val="22"/>
        </w:rPr>
        <w:t>, 2002). В 2002 году различную помощь получили 358 женщин и 840 детей (</w:t>
      </w:r>
      <w:r>
        <w:rPr>
          <w:b w:val="0"/>
          <w:sz w:val="22"/>
          <w:lang w:val="en-US"/>
        </w:rPr>
        <w:t>Brenes</w:t>
      </w:r>
      <w:r>
        <w:rPr>
          <w:b w:val="0"/>
          <w:sz w:val="22"/>
        </w:rPr>
        <w:t xml:space="preserve">, </w:t>
      </w:r>
      <w:r>
        <w:rPr>
          <w:b w:val="0"/>
          <w:sz w:val="22"/>
          <w:lang w:val="en-US"/>
        </w:rPr>
        <w:t>M</w:t>
      </w:r>
      <w:r>
        <w:rPr>
          <w:b w:val="0"/>
          <w:sz w:val="22"/>
        </w:rPr>
        <w:t>é</w:t>
      </w:r>
      <w:r>
        <w:rPr>
          <w:b w:val="0"/>
          <w:sz w:val="22"/>
          <w:lang w:val="en-US"/>
        </w:rPr>
        <w:t>ndez</w:t>
      </w:r>
      <w:r>
        <w:rPr>
          <w:b w:val="0"/>
          <w:sz w:val="22"/>
        </w:rPr>
        <w:t>, 2002).</w:t>
      </w:r>
    </w:p>
    <w:p w:rsidR="00000000" w:rsidRDefault="00000000">
      <w:pPr>
        <w:pStyle w:val="Title"/>
        <w:tabs>
          <w:tab w:val="left" w:pos="680"/>
        </w:tabs>
        <w:spacing w:before="240" w:line="260" w:lineRule="exact"/>
        <w:jc w:val="both"/>
        <w:rPr>
          <w:b w:val="0"/>
          <w:sz w:val="22"/>
        </w:rPr>
      </w:pPr>
      <w:r>
        <w:rPr>
          <w:b w:val="0"/>
          <w:sz w:val="22"/>
        </w:rPr>
        <w:t>507.</w:t>
      </w:r>
      <w:r>
        <w:rPr>
          <w:b w:val="0"/>
          <w:sz w:val="22"/>
        </w:rPr>
        <w:tab/>
        <w:t>Такие приюты создавались для того, чтобы принять в них и оказать помощь женщинам – жертвам насилия, чья жизнь находится в опасности, а также их детям. Если существующее законодательство будет систематически и должным образом применяться, если государство направит свои усилия на защиту женщин в их собственных домах и установит необходимый контроль за правонарушителями, обязывая их нести наказание за свои действия, в этом случае потребность пострадавших от жестокого обращения женщин прибегать к услугам приютов будет постепенно уменьшаться.</w:t>
      </w:r>
    </w:p>
    <w:p w:rsidR="00000000" w:rsidRDefault="00000000">
      <w:pPr>
        <w:pStyle w:val="Title"/>
        <w:tabs>
          <w:tab w:val="left" w:pos="680"/>
        </w:tabs>
        <w:spacing w:line="260" w:lineRule="exact"/>
        <w:jc w:val="both"/>
        <w:rPr>
          <w:b w:val="0"/>
          <w:sz w:val="22"/>
        </w:rPr>
      </w:pPr>
    </w:p>
    <w:p w:rsidR="00000000" w:rsidRDefault="00000000">
      <w:pPr>
        <w:pStyle w:val="Title"/>
        <w:tabs>
          <w:tab w:val="left" w:pos="680"/>
        </w:tabs>
        <w:spacing w:before="240" w:line="260" w:lineRule="exact"/>
        <w:jc w:val="left"/>
        <w:rPr>
          <w:sz w:val="22"/>
        </w:rPr>
      </w:pPr>
      <w:r>
        <w:rPr>
          <w:sz w:val="22"/>
        </w:rPr>
        <w:t xml:space="preserve">Закон о борьбе с бытовым насилием: механизм защиты от жестокого обращения </w:t>
      </w:r>
      <w:r>
        <w:rPr>
          <w:sz w:val="22"/>
        </w:rPr>
        <w:br/>
        <w:t>в семье и в отношениях партнеров</w:t>
      </w:r>
    </w:p>
    <w:p w:rsidR="00000000" w:rsidRDefault="00000000">
      <w:pPr>
        <w:pStyle w:val="Title"/>
        <w:tabs>
          <w:tab w:val="left" w:pos="680"/>
        </w:tabs>
        <w:spacing w:before="240" w:line="260" w:lineRule="exact"/>
        <w:jc w:val="both"/>
        <w:rPr>
          <w:b w:val="0"/>
          <w:sz w:val="22"/>
        </w:rPr>
      </w:pPr>
      <w:r>
        <w:rPr>
          <w:b w:val="0"/>
          <w:sz w:val="22"/>
        </w:rPr>
        <w:t>508.</w:t>
      </w:r>
      <w:r>
        <w:rPr>
          <w:b w:val="0"/>
          <w:sz w:val="22"/>
        </w:rPr>
        <w:tab/>
        <w:t>Женоубийство, в особенности совершаемое близкими людьми, представляет собой "верхушку айсберга", за которой скрывается явление, наблюдаемое в повседневной жизни, а именно насилие в семье и в отношениях партнеров. О его распространенности наглядно свидетельствует количество заявлений с просьбой обеспечить меры защиты, поданных в суды страны начиная с 1996 года, то есть с момента вступления в силу Закона о борьбе с бытовым насилием. С момента начала действия этого правового инструмента суды переполнены делами такого рода, количество которых неуклонно росло (</w:t>
      </w:r>
      <w:r>
        <w:rPr>
          <w:b w:val="0"/>
          <w:sz w:val="22"/>
          <w:lang w:val="en-US"/>
        </w:rPr>
        <w:t>Carcedo</w:t>
      </w:r>
      <w:r>
        <w:rPr>
          <w:b w:val="0"/>
          <w:sz w:val="22"/>
        </w:rPr>
        <w:t>, 2001).</w:t>
      </w:r>
    </w:p>
    <w:p w:rsidR="00000000" w:rsidRDefault="00000000">
      <w:pPr>
        <w:pStyle w:val="Title"/>
        <w:tabs>
          <w:tab w:val="left" w:pos="680"/>
        </w:tabs>
        <w:spacing w:before="200" w:line="260" w:lineRule="exact"/>
        <w:rPr>
          <w:sz w:val="22"/>
        </w:rPr>
      </w:pPr>
      <w:r>
        <w:rPr>
          <w:sz w:val="22"/>
        </w:rPr>
        <w:t>Таблица 15</w:t>
      </w:r>
    </w:p>
    <w:p w:rsidR="00000000" w:rsidRDefault="00000000">
      <w:pPr>
        <w:pStyle w:val="Title"/>
        <w:tabs>
          <w:tab w:val="left" w:pos="680"/>
        </w:tabs>
        <w:spacing w:before="120" w:after="80" w:line="260" w:lineRule="exact"/>
        <w:rPr>
          <w:b w:val="0"/>
          <w:sz w:val="22"/>
        </w:rPr>
      </w:pPr>
      <w:r>
        <w:rPr>
          <w:sz w:val="22"/>
        </w:rPr>
        <w:t>Обращения с просьбой о защите, поданные в суды Коста-Рики</w:t>
      </w:r>
      <w:r>
        <w:rPr>
          <w:sz w:val="22"/>
        </w:rPr>
        <w:br/>
        <w:t>в 1996–2000 годах, с разбивкой по провинциям</w:t>
      </w:r>
      <w:r>
        <w:rPr>
          <w:sz w:val="22"/>
        </w:rPr>
        <w:br/>
      </w:r>
      <w:r>
        <w:rPr>
          <w:b w:val="0"/>
          <w:sz w:val="22"/>
        </w:rPr>
        <w:t>(данные в абсолютных цифрах и в процентах)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418"/>
        <w:gridCol w:w="737"/>
        <w:gridCol w:w="737"/>
        <w:gridCol w:w="737"/>
        <w:gridCol w:w="737"/>
        <w:gridCol w:w="737"/>
        <w:gridCol w:w="737"/>
        <w:gridCol w:w="737"/>
        <w:gridCol w:w="737"/>
        <w:gridCol w:w="737"/>
        <w:gridCol w:w="737"/>
      </w:tblGrid>
      <w:tr w:rsidR="00000000">
        <w:tblPrEx>
          <w:tblCellMar>
            <w:top w:w="0" w:type="dxa"/>
            <w:bottom w:w="0" w:type="dxa"/>
          </w:tblCellMar>
        </w:tblPrEx>
        <w:trPr>
          <w:cantSplit/>
          <w:jc w:val="center"/>
        </w:trPr>
        <w:tc>
          <w:tcPr>
            <w:tcW w:w="1418" w:type="dxa"/>
          </w:tcPr>
          <w:p w:rsidR="00000000" w:rsidRDefault="00000000">
            <w:pPr>
              <w:pStyle w:val="Title"/>
              <w:tabs>
                <w:tab w:val="left" w:pos="680"/>
              </w:tabs>
              <w:spacing w:before="40" w:after="20"/>
              <w:jc w:val="both"/>
              <w:rPr>
                <w:sz w:val="20"/>
              </w:rPr>
            </w:pPr>
          </w:p>
        </w:tc>
        <w:tc>
          <w:tcPr>
            <w:tcW w:w="1474" w:type="dxa"/>
            <w:gridSpan w:val="2"/>
          </w:tcPr>
          <w:p w:rsidR="00000000" w:rsidRDefault="00000000">
            <w:pPr>
              <w:pStyle w:val="Title"/>
              <w:tabs>
                <w:tab w:val="left" w:pos="680"/>
              </w:tabs>
              <w:spacing w:before="40" w:after="20"/>
              <w:rPr>
                <w:sz w:val="20"/>
              </w:rPr>
            </w:pPr>
            <w:r>
              <w:rPr>
                <w:sz w:val="20"/>
              </w:rPr>
              <w:t>1996</w:t>
            </w:r>
          </w:p>
        </w:tc>
        <w:tc>
          <w:tcPr>
            <w:tcW w:w="1474" w:type="dxa"/>
            <w:gridSpan w:val="2"/>
          </w:tcPr>
          <w:p w:rsidR="00000000" w:rsidRDefault="00000000">
            <w:pPr>
              <w:pStyle w:val="Title"/>
              <w:tabs>
                <w:tab w:val="left" w:pos="680"/>
              </w:tabs>
              <w:spacing w:before="40" w:after="20"/>
              <w:rPr>
                <w:sz w:val="20"/>
              </w:rPr>
            </w:pPr>
            <w:r>
              <w:rPr>
                <w:sz w:val="20"/>
              </w:rPr>
              <w:t>1997</w:t>
            </w:r>
          </w:p>
        </w:tc>
        <w:tc>
          <w:tcPr>
            <w:tcW w:w="1474" w:type="dxa"/>
            <w:gridSpan w:val="2"/>
          </w:tcPr>
          <w:p w:rsidR="00000000" w:rsidRDefault="00000000">
            <w:pPr>
              <w:pStyle w:val="Title"/>
              <w:tabs>
                <w:tab w:val="left" w:pos="680"/>
              </w:tabs>
              <w:spacing w:before="40" w:after="20"/>
              <w:rPr>
                <w:sz w:val="20"/>
              </w:rPr>
            </w:pPr>
            <w:r>
              <w:rPr>
                <w:sz w:val="20"/>
              </w:rPr>
              <w:t>1998</w:t>
            </w:r>
          </w:p>
        </w:tc>
        <w:tc>
          <w:tcPr>
            <w:tcW w:w="1474" w:type="dxa"/>
            <w:gridSpan w:val="2"/>
          </w:tcPr>
          <w:p w:rsidR="00000000" w:rsidRDefault="00000000">
            <w:pPr>
              <w:pStyle w:val="Title"/>
              <w:tabs>
                <w:tab w:val="left" w:pos="680"/>
              </w:tabs>
              <w:spacing w:before="40" w:after="20"/>
              <w:rPr>
                <w:sz w:val="20"/>
              </w:rPr>
            </w:pPr>
            <w:r>
              <w:rPr>
                <w:sz w:val="20"/>
              </w:rPr>
              <w:t>1999</w:t>
            </w:r>
          </w:p>
        </w:tc>
        <w:tc>
          <w:tcPr>
            <w:tcW w:w="1474" w:type="dxa"/>
            <w:gridSpan w:val="2"/>
          </w:tcPr>
          <w:p w:rsidR="00000000" w:rsidRDefault="00000000">
            <w:pPr>
              <w:pStyle w:val="Title"/>
              <w:tabs>
                <w:tab w:val="left" w:pos="680"/>
              </w:tabs>
              <w:spacing w:before="40" w:after="20"/>
              <w:rPr>
                <w:sz w:val="20"/>
              </w:rPr>
            </w:pPr>
            <w:r>
              <w:rPr>
                <w:sz w:val="20"/>
              </w:rPr>
              <w:t>2000</w:t>
            </w:r>
          </w:p>
        </w:tc>
      </w:tr>
      <w:tr w:rsidR="00000000">
        <w:tblPrEx>
          <w:tblCellMar>
            <w:top w:w="0" w:type="dxa"/>
            <w:bottom w:w="0" w:type="dxa"/>
          </w:tblCellMar>
        </w:tblPrEx>
        <w:trPr>
          <w:cantSplit/>
          <w:jc w:val="center"/>
        </w:trPr>
        <w:tc>
          <w:tcPr>
            <w:tcW w:w="1418" w:type="dxa"/>
            <w:tcBorders>
              <w:bottom w:val="nil"/>
            </w:tcBorders>
          </w:tcPr>
          <w:p w:rsidR="00000000" w:rsidRDefault="00000000">
            <w:pPr>
              <w:pStyle w:val="Title"/>
              <w:tabs>
                <w:tab w:val="left" w:pos="680"/>
              </w:tabs>
              <w:spacing w:before="40" w:after="20"/>
              <w:jc w:val="both"/>
              <w:rPr>
                <w:sz w:val="20"/>
              </w:rPr>
            </w:pPr>
            <w:r>
              <w:rPr>
                <w:sz w:val="20"/>
              </w:rPr>
              <w:t xml:space="preserve">Всего </w:t>
            </w:r>
          </w:p>
        </w:tc>
        <w:tc>
          <w:tcPr>
            <w:tcW w:w="737" w:type="dxa"/>
            <w:tcBorders>
              <w:bottom w:val="nil"/>
            </w:tcBorders>
          </w:tcPr>
          <w:p w:rsidR="00000000" w:rsidRDefault="00000000">
            <w:pPr>
              <w:pStyle w:val="Title"/>
              <w:tabs>
                <w:tab w:val="left" w:pos="680"/>
              </w:tabs>
              <w:spacing w:before="40" w:after="20"/>
              <w:rPr>
                <w:sz w:val="20"/>
              </w:rPr>
            </w:pPr>
            <w:r>
              <w:rPr>
                <w:sz w:val="20"/>
              </w:rPr>
              <w:t>5</w:t>
            </w:r>
            <w:r>
              <w:rPr>
                <w:sz w:val="20"/>
                <w:lang w:val="en-US"/>
              </w:rPr>
              <w:t xml:space="preserve"> </w:t>
            </w:r>
            <w:r>
              <w:rPr>
                <w:sz w:val="20"/>
              </w:rPr>
              <w:t>113</w:t>
            </w:r>
          </w:p>
        </w:tc>
        <w:tc>
          <w:tcPr>
            <w:tcW w:w="737" w:type="dxa"/>
            <w:tcBorders>
              <w:bottom w:val="nil"/>
            </w:tcBorders>
          </w:tcPr>
          <w:p w:rsidR="00000000" w:rsidRDefault="00000000">
            <w:pPr>
              <w:pStyle w:val="Title"/>
              <w:tabs>
                <w:tab w:val="left" w:pos="680"/>
              </w:tabs>
              <w:spacing w:before="40" w:after="20"/>
              <w:rPr>
                <w:sz w:val="20"/>
              </w:rPr>
            </w:pPr>
            <w:r>
              <w:rPr>
                <w:sz w:val="20"/>
              </w:rPr>
              <w:t>100</w:t>
            </w:r>
          </w:p>
        </w:tc>
        <w:tc>
          <w:tcPr>
            <w:tcW w:w="737" w:type="dxa"/>
            <w:tcBorders>
              <w:bottom w:val="nil"/>
            </w:tcBorders>
          </w:tcPr>
          <w:p w:rsidR="00000000" w:rsidRDefault="00000000">
            <w:pPr>
              <w:pStyle w:val="Title"/>
              <w:tabs>
                <w:tab w:val="left" w:pos="680"/>
              </w:tabs>
              <w:spacing w:before="40" w:after="20"/>
              <w:rPr>
                <w:sz w:val="20"/>
              </w:rPr>
            </w:pPr>
            <w:r>
              <w:rPr>
                <w:sz w:val="20"/>
              </w:rPr>
              <w:t>15 336</w:t>
            </w:r>
          </w:p>
        </w:tc>
        <w:tc>
          <w:tcPr>
            <w:tcW w:w="737" w:type="dxa"/>
            <w:tcBorders>
              <w:bottom w:val="nil"/>
            </w:tcBorders>
          </w:tcPr>
          <w:p w:rsidR="00000000" w:rsidRDefault="00000000">
            <w:pPr>
              <w:pStyle w:val="Title"/>
              <w:tabs>
                <w:tab w:val="left" w:pos="680"/>
              </w:tabs>
              <w:spacing w:before="40" w:after="20"/>
              <w:rPr>
                <w:sz w:val="20"/>
              </w:rPr>
            </w:pPr>
            <w:r>
              <w:rPr>
                <w:sz w:val="20"/>
              </w:rPr>
              <w:t>100</w:t>
            </w:r>
          </w:p>
        </w:tc>
        <w:tc>
          <w:tcPr>
            <w:tcW w:w="737" w:type="dxa"/>
            <w:tcBorders>
              <w:bottom w:val="nil"/>
            </w:tcBorders>
          </w:tcPr>
          <w:p w:rsidR="00000000" w:rsidRDefault="00000000">
            <w:pPr>
              <w:pStyle w:val="Title"/>
              <w:tabs>
                <w:tab w:val="left" w:pos="680"/>
              </w:tabs>
              <w:spacing w:before="40" w:after="20"/>
              <w:rPr>
                <w:sz w:val="20"/>
              </w:rPr>
            </w:pPr>
            <w:r>
              <w:rPr>
                <w:sz w:val="20"/>
              </w:rPr>
              <w:t>20 996</w:t>
            </w:r>
          </w:p>
        </w:tc>
        <w:tc>
          <w:tcPr>
            <w:tcW w:w="737" w:type="dxa"/>
            <w:tcBorders>
              <w:bottom w:val="nil"/>
            </w:tcBorders>
          </w:tcPr>
          <w:p w:rsidR="00000000" w:rsidRDefault="00000000">
            <w:pPr>
              <w:pStyle w:val="Title"/>
              <w:tabs>
                <w:tab w:val="left" w:pos="680"/>
              </w:tabs>
              <w:spacing w:before="40" w:after="20"/>
              <w:rPr>
                <w:sz w:val="20"/>
              </w:rPr>
            </w:pPr>
            <w:r>
              <w:rPr>
                <w:sz w:val="20"/>
              </w:rPr>
              <w:t>100</w:t>
            </w:r>
          </w:p>
        </w:tc>
        <w:tc>
          <w:tcPr>
            <w:tcW w:w="737" w:type="dxa"/>
            <w:tcBorders>
              <w:bottom w:val="nil"/>
            </w:tcBorders>
          </w:tcPr>
          <w:p w:rsidR="00000000" w:rsidRDefault="00000000">
            <w:pPr>
              <w:pStyle w:val="Title"/>
              <w:tabs>
                <w:tab w:val="left" w:pos="680"/>
              </w:tabs>
              <w:spacing w:before="40" w:after="20"/>
              <w:rPr>
                <w:sz w:val="20"/>
              </w:rPr>
            </w:pPr>
            <w:r>
              <w:rPr>
                <w:sz w:val="20"/>
              </w:rPr>
              <w:t>26 437</w:t>
            </w:r>
          </w:p>
        </w:tc>
        <w:tc>
          <w:tcPr>
            <w:tcW w:w="737" w:type="dxa"/>
            <w:tcBorders>
              <w:bottom w:val="nil"/>
            </w:tcBorders>
          </w:tcPr>
          <w:p w:rsidR="00000000" w:rsidRDefault="00000000">
            <w:pPr>
              <w:pStyle w:val="Title"/>
              <w:tabs>
                <w:tab w:val="left" w:pos="680"/>
              </w:tabs>
              <w:spacing w:before="40" w:after="20"/>
              <w:rPr>
                <w:sz w:val="20"/>
              </w:rPr>
            </w:pPr>
            <w:r>
              <w:rPr>
                <w:sz w:val="20"/>
              </w:rPr>
              <w:t>100</w:t>
            </w:r>
          </w:p>
        </w:tc>
        <w:tc>
          <w:tcPr>
            <w:tcW w:w="737" w:type="dxa"/>
            <w:tcBorders>
              <w:bottom w:val="nil"/>
            </w:tcBorders>
          </w:tcPr>
          <w:p w:rsidR="00000000" w:rsidRDefault="00000000">
            <w:pPr>
              <w:pStyle w:val="Title"/>
              <w:tabs>
                <w:tab w:val="left" w:pos="680"/>
              </w:tabs>
              <w:spacing w:before="40" w:after="20"/>
              <w:rPr>
                <w:sz w:val="20"/>
              </w:rPr>
            </w:pPr>
            <w:r>
              <w:rPr>
                <w:sz w:val="20"/>
              </w:rPr>
              <w:t>32 643</w:t>
            </w:r>
          </w:p>
        </w:tc>
        <w:tc>
          <w:tcPr>
            <w:tcW w:w="737" w:type="dxa"/>
            <w:tcBorders>
              <w:bottom w:val="nil"/>
            </w:tcBorders>
          </w:tcPr>
          <w:p w:rsidR="00000000" w:rsidRDefault="00000000">
            <w:pPr>
              <w:pStyle w:val="Title"/>
              <w:tabs>
                <w:tab w:val="left" w:pos="680"/>
              </w:tabs>
              <w:spacing w:before="40" w:after="20"/>
              <w:rPr>
                <w:sz w:val="20"/>
              </w:rPr>
            </w:pPr>
            <w:r>
              <w:rPr>
                <w:sz w:val="20"/>
              </w:rPr>
              <w:t>100</w:t>
            </w:r>
          </w:p>
        </w:tc>
      </w:tr>
      <w:tr w:rsidR="00000000">
        <w:tblPrEx>
          <w:tblCellMar>
            <w:top w:w="0" w:type="dxa"/>
            <w:bottom w:w="0" w:type="dxa"/>
          </w:tblCellMar>
        </w:tblPrEx>
        <w:trPr>
          <w:cantSplit/>
          <w:jc w:val="center"/>
        </w:trPr>
        <w:tc>
          <w:tcPr>
            <w:tcW w:w="1418" w:type="dxa"/>
            <w:tcBorders>
              <w:top w:val="nil"/>
              <w:bottom w:val="nil"/>
            </w:tcBorders>
          </w:tcPr>
          <w:p w:rsidR="00000000" w:rsidRDefault="00000000">
            <w:pPr>
              <w:pStyle w:val="Title"/>
              <w:tabs>
                <w:tab w:val="left" w:pos="680"/>
              </w:tabs>
              <w:spacing w:before="40" w:after="20"/>
              <w:jc w:val="both"/>
              <w:rPr>
                <w:b w:val="0"/>
                <w:sz w:val="20"/>
              </w:rPr>
            </w:pPr>
            <w:r>
              <w:rPr>
                <w:b w:val="0"/>
                <w:sz w:val="20"/>
              </w:rPr>
              <w:t>Сан-Хосе</w:t>
            </w:r>
          </w:p>
        </w:tc>
        <w:tc>
          <w:tcPr>
            <w:tcW w:w="737" w:type="dxa"/>
            <w:tcBorders>
              <w:top w:val="nil"/>
              <w:bottom w:val="nil"/>
            </w:tcBorders>
          </w:tcPr>
          <w:p w:rsidR="00000000" w:rsidRDefault="00000000">
            <w:pPr>
              <w:pStyle w:val="Title"/>
              <w:tabs>
                <w:tab w:val="left" w:pos="680"/>
              </w:tabs>
              <w:spacing w:before="40" w:after="20"/>
              <w:rPr>
                <w:b w:val="0"/>
                <w:sz w:val="20"/>
              </w:rPr>
            </w:pPr>
            <w:r>
              <w:rPr>
                <w:b w:val="0"/>
                <w:sz w:val="20"/>
              </w:rPr>
              <w:t>1 494</w:t>
            </w:r>
          </w:p>
        </w:tc>
        <w:tc>
          <w:tcPr>
            <w:tcW w:w="737" w:type="dxa"/>
            <w:tcBorders>
              <w:top w:val="nil"/>
              <w:bottom w:val="nil"/>
            </w:tcBorders>
          </w:tcPr>
          <w:p w:rsidR="00000000" w:rsidRDefault="00000000">
            <w:pPr>
              <w:pStyle w:val="Title"/>
              <w:tabs>
                <w:tab w:val="left" w:pos="680"/>
              </w:tabs>
              <w:spacing w:before="40" w:after="20"/>
              <w:rPr>
                <w:b w:val="0"/>
                <w:sz w:val="20"/>
              </w:rPr>
            </w:pPr>
            <w:r>
              <w:rPr>
                <w:b w:val="0"/>
                <w:sz w:val="20"/>
              </w:rPr>
              <w:t>29,22</w:t>
            </w:r>
          </w:p>
        </w:tc>
        <w:tc>
          <w:tcPr>
            <w:tcW w:w="737" w:type="dxa"/>
            <w:tcBorders>
              <w:top w:val="nil"/>
              <w:bottom w:val="nil"/>
            </w:tcBorders>
          </w:tcPr>
          <w:p w:rsidR="00000000" w:rsidRDefault="00000000">
            <w:pPr>
              <w:pStyle w:val="Title"/>
              <w:tabs>
                <w:tab w:val="left" w:pos="680"/>
              </w:tabs>
              <w:spacing w:before="40" w:after="20"/>
              <w:rPr>
                <w:b w:val="0"/>
                <w:sz w:val="20"/>
              </w:rPr>
            </w:pPr>
            <w:r>
              <w:rPr>
                <w:b w:val="0"/>
                <w:sz w:val="20"/>
              </w:rPr>
              <w:t>5 304</w:t>
            </w:r>
          </w:p>
        </w:tc>
        <w:tc>
          <w:tcPr>
            <w:tcW w:w="737" w:type="dxa"/>
            <w:tcBorders>
              <w:top w:val="nil"/>
              <w:bottom w:val="nil"/>
            </w:tcBorders>
          </w:tcPr>
          <w:p w:rsidR="00000000" w:rsidRDefault="00000000">
            <w:pPr>
              <w:pStyle w:val="Title"/>
              <w:tabs>
                <w:tab w:val="left" w:pos="680"/>
              </w:tabs>
              <w:spacing w:before="40" w:after="20"/>
              <w:rPr>
                <w:b w:val="0"/>
                <w:sz w:val="20"/>
              </w:rPr>
            </w:pPr>
            <w:r>
              <w:rPr>
                <w:b w:val="0"/>
                <w:sz w:val="20"/>
              </w:rPr>
              <w:t>34,60</w:t>
            </w:r>
          </w:p>
        </w:tc>
        <w:tc>
          <w:tcPr>
            <w:tcW w:w="737" w:type="dxa"/>
            <w:tcBorders>
              <w:top w:val="nil"/>
              <w:bottom w:val="nil"/>
            </w:tcBorders>
          </w:tcPr>
          <w:p w:rsidR="00000000" w:rsidRDefault="00000000">
            <w:pPr>
              <w:pStyle w:val="Title"/>
              <w:tabs>
                <w:tab w:val="left" w:pos="680"/>
              </w:tabs>
              <w:spacing w:before="40" w:after="20"/>
              <w:rPr>
                <w:b w:val="0"/>
                <w:sz w:val="20"/>
              </w:rPr>
            </w:pPr>
            <w:r>
              <w:rPr>
                <w:b w:val="0"/>
                <w:sz w:val="20"/>
              </w:rPr>
              <w:t>6 873</w:t>
            </w:r>
          </w:p>
        </w:tc>
        <w:tc>
          <w:tcPr>
            <w:tcW w:w="737" w:type="dxa"/>
            <w:tcBorders>
              <w:top w:val="nil"/>
              <w:bottom w:val="nil"/>
            </w:tcBorders>
          </w:tcPr>
          <w:p w:rsidR="00000000" w:rsidRDefault="00000000">
            <w:pPr>
              <w:pStyle w:val="Title"/>
              <w:tabs>
                <w:tab w:val="left" w:pos="680"/>
              </w:tabs>
              <w:spacing w:before="40" w:after="20"/>
              <w:rPr>
                <w:b w:val="0"/>
                <w:sz w:val="20"/>
              </w:rPr>
            </w:pPr>
            <w:r>
              <w:rPr>
                <w:b w:val="0"/>
                <w:sz w:val="20"/>
              </w:rPr>
              <w:t>32,70</w:t>
            </w:r>
          </w:p>
        </w:tc>
        <w:tc>
          <w:tcPr>
            <w:tcW w:w="737" w:type="dxa"/>
            <w:tcBorders>
              <w:top w:val="nil"/>
              <w:bottom w:val="nil"/>
            </w:tcBorders>
          </w:tcPr>
          <w:p w:rsidR="00000000" w:rsidRDefault="00000000">
            <w:pPr>
              <w:pStyle w:val="Title"/>
              <w:tabs>
                <w:tab w:val="left" w:pos="680"/>
              </w:tabs>
              <w:spacing w:before="40" w:after="20"/>
              <w:rPr>
                <w:b w:val="0"/>
                <w:sz w:val="20"/>
              </w:rPr>
            </w:pPr>
            <w:r>
              <w:rPr>
                <w:b w:val="0"/>
                <w:sz w:val="20"/>
              </w:rPr>
              <w:t>9 053</w:t>
            </w:r>
          </w:p>
        </w:tc>
        <w:tc>
          <w:tcPr>
            <w:tcW w:w="737" w:type="dxa"/>
            <w:tcBorders>
              <w:top w:val="nil"/>
              <w:bottom w:val="nil"/>
            </w:tcBorders>
          </w:tcPr>
          <w:p w:rsidR="00000000" w:rsidRDefault="00000000">
            <w:pPr>
              <w:pStyle w:val="Title"/>
              <w:tabs>
                <w:tab w:val="left" w:pos="680"/>
              </w:tabs>
              <w:spacing w:before="40" w:after="20"/>
              <w:rPr>
                <w:b w:val="0"/>
                <w:sz w:val="20"/>
              </w:rPr>
            </w:pPr>
            <w:r>
              <w:rPr>
                <w:b w:val="0"/>
                <w:sz w:val="20"/>
              </w:rPr>
              <w:t>34,20</w:t>
            </w:r>
          </w:p>
        </w:tc>
        <w:tc>
          <w:tcPr>
            <w:tcW w:w="737" w:type="dxa"/>
            <w:tcBorders>
              <w:top w:val="nil"/>
              <w:bottom w:val="nil"/>
            </w:tcBorders>
          </w:tcPr>
          <w:p w:rsidR="00000000" w:rsidRDefault="00000000">
            <w:pPr>
              <w:pStyle w:val="Title"/>
              <w:tabs>
                <w:tab w:val="left" w:pos="680"/>
              </w:tabs>
              <w:spacing w:before="40" w:after="20"/>
              <w:rPr>
                <w:b w:val="0"/>
                <w:sz w:val="20"/>
              </w:rPr>
            </w:pPr>
            <w:r>
              <w:rPr>
                <w:b w:val="0"/>
                <w:sz w:val="20"/>
              </w:rPr>
              <w:t>12 194</w:t>
            </w:r>
          </w:p>
        </w:tc>
        <w:tc>
          <w:tcPr>
            <w:tcW w:w="737" w:type="dxa"/>
            <w:tcBorders>
              <w:top w:val="nil"/>
              <w:bottom w:val="nil"/>
            </w:tcBorders>
          </w:tcPr>
          <w:p w:rsidR="00000000" w:rsidRDefault="00000000">
            <w:pPr>
              <w:pStyle w:val="Title"/>
              <w:tabs>
                <w:tab w:val="left" w:pos="680"/>
              </w:tabs>
              <w:spacing w:before="40" w:after="20"/>
              <w:rPr>
                <w:b w:val="0"/>
                <w:sz w:val="20"/>
              </w:rPr>
            </w:pPr>
            <w:r>
              <w:rPr>
                <w:b w:val="0"/>
                <w:sz w:val="20"/>
              </w:rPr>
              <w:t>37,30</w:t>
            </w:r>
          </w:p>
        </w:tc>
      </w:tr>
      <w:tr w:rsidR="00000000">
        <w:tblPrEx>
          <w:tblCellMar>
            <w:top w:w="0" w:type="dxa"/>
            <w:bottom w:w="0" w:type="dxa"/>
          </w:tblCellMar>
        </w:tblPrEx>
        <w:trPr>
          <w:cantSplit/>
          <w:jc w:val="center"/>
        </w:trPr>
        <w:tc>
          <w:tcPr>
            <w:tcW w:w="1418" w:type="dxa"/>
            <w:tcBorders>
              <w:top w:val="nil"/>
              <w:bottom w:val="nil"/>
            </w:tcBorders>
          </w:tcPr>
          <w:p w:rsidR="00000000" w:rsidRDefault="00000000">
            <w:pPr>
              <w:pStyle w:val="Title"/>
              <w:tabs>
                <w:tab w:val="left" w:pos="680"/>
              </w:tabs>
              <w:spacing w:before="40" w:after="20"/>
              <w:jc w:val="both"/>
              <w:rPr>
                <w:b w:val="0"/>
                <w:sz w:val="20"/>
              </w:rPr>
            </w:pPr>
            <w:r>
              <w:rPr>
                <w:b w:val="0"/>
                <w:sz w:val="20"/>
              </w:rPr>
              <w:t>Алахуэла</w:t>
            </w:r>
          </w:p>
        </w:tc>
        <w:tc>
          <w:tcPr>
            <w:tcW w:w="737" w:type="dxa"/>
            <w:tcBorders>
              <w:top w:val="nil"/>
              <w:bottom w:val="nil"/>
            </w:tcBorders>
          </w:tcPr>
          <w:p w:rsidR="00000000" w:rsidRDefault="00000000">
            <w:pPr>
              <w:pStyle w:val="Title"/>
              <w:tabs>
                <w:tab w:val="left" w:pos="680"/>
              </w:tabs>
              <w:spacing w:before="40" w:after="20"/>
              <w:rPr>
                <w:b w:val="0"/>
                <w:sz w:val="20"/>
              </w:rPr>
            </w:pPr>
            <w:r>
              <w:rPr>
                <w:b w:val="0"/>
                <w:sz w:val="20"/>
              </w:rPr>
              <w:t>852</w:t>
            </w:r>
          </w:p>
        </w:tc>
        <w:tc>
          <w:tcPr>
            <w:tcW w:w="737" w:type="dxa"/>
            <w:tcBorders>
              <w:top w:val="nil"/>
              <w:bottom w:val="nil"/>
            </w:tcBorders>
          </w:tcPr>
          <w:p w:rsidR="00000000" w:rsidRDefault="00000000">
            <w:pPr>
              <w:pStyle w:val="Title"/>
              <w:tabs>
                <w:tab w:val="left" w:pos="680"/>
              </w:tabs>
              <w:spacing w:before="40" w:after="20"/>
              <w:rPr>
                <w:b w:val="0"/>
                <w:sz w:val="20"/>
              </w:rPr>
            </w:pPr>
            <w:r>
              <w:rPr>
                <w:b w:val="0"/>
                <w:sz w:val="20"/>
              </w:rPr>
              <w:t>16,66</w:t>
            </w:r>
          </w:p>
        </w:tc>
        <w:tc>
          <w:tcPr>
            <w:tcW w:w="737" w:type="dxa"/>
            <w:tcBorders>
              <w:top w:val="nil"/>
              <w:bottom w:val="nil"/>
            </w:tcBorders>
          </w:tcPr>
          <w:p w:rsidR="00000000" w:rsidRDefault="00000000">
            <w:pPr>
              <w:pStyle w:val="Title"/>
              <w:tabs>
                <w:tab w:val="left" w:pos="680"/>
              </w:tabs>
              <w:spacing w:before="40" w:after="20"/>
              <w:rPr>
                <w:b w:val="0"/>
                <w:sz w:val="20"/>
              </w:rPr>
            </w:pPr>
            <w:r>
              <w:rPr>
                <w:b w:val="0"/>
                <w:sz w:val="20"/>
              </w:rPr>
              <w:t>2 742</w:t>
            </w:r>
          </w:p>
        </w:tc>
        <w:tc>
          <w:tcPr>
            <w:tcW w:w="737" w:type="dxa"/>
            <w:tcBorders>
              <w:top w:val="nil"/>
              <w:bottom w:val="nil"/>
            </w:tcBorders>
          </w:tcPr>
          <w:p w:rsidR="00000000" w:rsidRDefault="00000000">
            <w:pPr>
              <w:pStyle w:val="Title"/>
              <w:tabs>
                <w:tab w:val="left" w:pos="680"/>
              </w:tabs>
              <w:spacing w:before="40" w:after="20"/>
              <w:rPr>
                <w:b w:val="0"/>
                <w:sz w:val="20"/>
              </w:rPr>
            </w:pPr>
            <w:r>
              <w:rPr>
                <w:b w:val="0"/>
                <w:sz w:val="20"/>
              </w:rPr>
              <w:t>17,90</w:t>
            </w:r>
          </w:p>
        </w:tc>
        <w:tc>
          <w:tcPr>
            <w:tcW w:w="737" w:type="dxa"/>
            <w:tcBorders>
              <w:top w:val="nil"/>
              <w:bottom w:val="nil"/>
            </w:tcBorders>
          </w:tcPr>
          <w:p w:rsidR="00000000" w:rsidRDefault="00000000">
            <w:pPr>
              <w:pStyle w:val="Title"/>
              <w:tabs>
                <w:tab w:val="left" w:pos="680"/>
              </w:tabs>
              <w:spacing w:before="40" w:after="20"/>
              <w:rPr>
                <w:b w:val="0"/>
                <w:sz w:val="20"/>
              </w:rPr>
            </w:pPr>
            <w:r>
              <w:rPr>
                <w:b w:val="0"/>
                <w:sz w:val="20"/>
              </w:rPr>
              <w:t>3 800</w:t>
            </w:r>
          </w:p>
        </w:tc>
        <w:tc>
          <w:tcPr>
            <w:tcW w:w="737" w:type="dxa"/>
            <w:tcBorders>
              <w:top w:val="nil"/>
              <w:bottom w:val="nil"/>
            </w:tcBorders>
          </w:tcPr>
          <w:p w:rsidR="00000000" w:rsidRDefault="00000000">
            <w:pPr>
              <w:pStyle w:val="Title"/>
              <w:tabs>
                <w:tab w:val="left" w:pos="680"/>
              </w:tabs>
              <w:spacing w:before="40" w:after="20"/>
              <w:rPr>
                <w:b w:val="0"/>
                <w:sz w:val="20"/>
              </w:rPr>
            </w:pPr>
            <w:r>
              <w:rPr>
                <w:b w:val="0"/>
                <w:sz w:val="20"/>
              </w:rPr>
              <w:t>18,10</w:t>
            </w:r>
          </w:p>
        </w:tc>
        <w:tc>
          <w:tcPr>
            <w:tcW w:w="737" w:type="dxa"/>
            <w:tcBorders>
              <w:top w:val="nil"/>
              <w:bottom w:val="nil"/>
            </w:tcBorders>
          </w:tcPr>
          <w:p w:rsidR="00000000" w:rsidRDefault="00000000">
            <w:pPr>
              <w:pStyle w:val="Title"/>
              <w:tabs>
                <w:tab w:val="left" w:pos="680"/>
              </w:tabs>
              <w:spacing w:before="40" w:after="20"/>
              <w:rPr>
                <w:b w:val="0"/>
                <w:sz w:val="20"/>
              </w:rPr>
            </w:pPr>
            <w:r>
              <w:rPr>
                <w:b w:val="0"/>
                <w:sz w:val="20"/>
              </w:rPr>
              <w:t>4 784</w:t>
            </w:r>
          </w:p>
        </w:tc>
        <w:tc>
          <w:tcPr>
            <w:tcW w:w="737" w:type="dxa"/>
            <w:tcBorders>
              <w:top w:val="nil"/>
              <w:bottom w:val="nil"/>
            </w:tcBorders>
          </w:tcPr>
          <w:p w:rsidR="00000000" w:rsidRDefault="00000000">
            <w:pPr>
              <w:pStyle w:val="Title"/>
              <w:tabs>
                <w:tab w:val="left" w:pos="680"/>
              </w:tabs>
              <w:spacing w:before="40" w:after="20"/>
              <w:rPr>
                <w:b w:val="0"/>
                <w:sz w:val="20"/>
              </w:rPr>
            </w:pPr>
            <w:r>
              <w:rPr>
                <w:b w:val="0"/>
                <w:sz w:val="20"/>
              </w:rPr>
              <w:t>18,10</w:t>
            </w:r>
          </w:p>
        </w:tc>
        <w:tc>
          <w:tcPr>
            <w:tcW w:w="737" w:type="dxa"/>
            <w:tcBorders>
              <w:top w:val="nil"/>
              <w:bottom w:val="nil"/>
            </w:tcBorders>
          </w:tcPr>
          <w:p w:rsidR="00000000" w:rsidRDefault="00000000">
            <w:pPr>
              <w:pStyle w:val="Title"/>
              <w:tabs>
                <w:tab w:val="left" w:pos="680"/>
              </w:tabs>
              <w:spacing w:before="40" w:after="20"/>
              <w:rPr>
                <w:b w:val="0"/>
                <w:sz w:val="20"/>
              </w:rPr>
            </w:pPr>
            <w:r>
              <w:rPr>
                <w:b w:val="0"/>
                <w:sz w:val="20"/>
              </w:rPr>
              <w:t>5</w:t>
            </w:r>
            <w:r>
              <w:rPr>
                <w:b w:val="0"/>
                <w:sz w:val="20"/>
                <w:lang w:val="en-US"/>
              </w:rPr>
              <w:t xml:space="preserve"> </w:t>
            </w:r>
            <w:r>
              <w:rPr>
                <w:b w:val="0"/>
                <w:sz w:val="20"/>
              </w:rPr>
              <w:t>552</w:t>
            </w:r>
          </w:p>
        </w:tc>
        <w:tc>
          <w:tcPr>
            <w:tcW w:w="737" w:type="dxa"/>
            <w:tcBorders>
              <w:top w:val="nil"/>
              <w:bottom w:val="nil"/>
            </w:tcBorders>
          </w:tcPr>
          <w:p w:rsidR="00000000" w:rsidRDefault="00000000">
            <w:pPr>
              <w:pStyle w:val="Title"/>
              <w:tabs>
                <w:tab w:val="left" w:pos="680"/>
              </w:tabs>
              <w:spacing w:before="40" w:after="20"/>
              <w:rPr>
                <w:b w:val="0"/>
                <w:sz w:val="20"/>
              </w:rPr>
            </w:pPr>
            <w:r>
              <w:rPr>
                <w:b w:val="0"/>
                <w:sz w:val="20"/>
              </w:rPr>
              <w:t>17,00</w:t>
            </w:r>
          </w:p>
        </w:tc>
      </w:tr>
      <w:tr w:rsidR="00000000">
        <w:tblPrEx>
          <w:tblCellMar>
            <w:top w:w="0" w:type="dxa"/>
            <w:bottom w:w="0" w:type="dxa"/>
          </w:tblCellMar>
        </w:tblPrEx>
        <w:trPr>
          <w:cantSplit/>
          <w:jc w:val="center"/>
        </w:trPr>
        <w:tc>
          <w:tcPr>
            <w:tcW w:w="1418" w:type="dxa"/>
            <w:tcBorders>
              <w:top w:val="nil"/>
              <w:bottom w:val="nil"/>
            </w:tcBorders>
          </w:tcPr>
          <w:p w:rsidR="00000000" w:rsidRDefault="00000000">
            <w:pPr>
              <w:pStyle w:val="Title"/>
              <w:tabs>
                <w:tab w:val="left" w:pos="680"/>
              </w:tabs>
              <w:spacing w:before="40" w:after="20"/>
              <w:jc w:val="both"/>
              <w:rPr>
                <w:b w:val="0"/>
                <w:sz w:val="20"/>
              </w:rPr>
            </w:pPr>
            <w:r>
              <w:rPr>
                <w:b w:val="0"/>
                <w:sz w:val="20"/>
              </w:rPr>
              <w:t>Картаго</w:t>
            </w:r>
          </w:p>
        </w:tc>
        <w:tc>
          <w:tcPr>
            <w:tcW w:w="737" w:type="dxa"/>
            <w:tcBorders>
              <w:top w:val="nil"/>
              <w:bottom w:val="nil"/>
            </w:tcBorders>
          </w:tcPr>
          <w:p w:rsidR="00000000" w:rsidRDefault="00000000">
            <w:pPr>
              <w:pStyle w:val="Title"/>
              <w:tabs>
                <w:tab w:val="left" w:pos="680"/>
              </w:tabs>
              <w:spacing w:before="40" w:after="20"/>
              <w:rPr>
                <w:b w:val="0"/>
                <w:sz w:val="20"/>
              </w:rPr>
            </w:pPr>
            <w:r>
              <w:rPr>
                <w:b w:val="0"/>
                <w:sz w:val="20"/>
              </w:rPr>
              <w:t>674</w:t>
            </w:r>
          </w:p>
        </w:tc>
        <w:tc>
          <w:tcPr>
            <w:tcW w:w="737" w:type="dxa"/>
            <w:tcBorders>
              <w:top w:val="nil"/>
              <w:bottom w:val="nil"/>
            </w:tcBorders>
          </w:tcPr>
          <w:p w:rsidR="00000000" w:rsidRDefault="00000000">
            <w:pPr>
              <w:pStyle w:val="Title"/>
              <w:tabs>
                <w:tab w:val="left" w:pos="680"/>
              </w:tabs>
              <w:spacing w:before="40" w:after="20"/>
              <w:rPr>
                <w:b w:val="0"/>
                <w:sz w:val="20"/>
              </w:rPr>
            </w:pPr>
            <w:r>
              <w:rPr>
                <w:b w:val="0"/>
                <w:sz w:val="20"/>
              </w:rPr>
              <w:t>13,18</w:t>
            </w:r>
          </w:p>
        </w:tc>
        <w:tc>
          <w:tcPr>
            <w:tcW w:w="737" w:type="dxa"/>
            <w:tcBorders>
              <w:top w:val="nil"/>
              <w:bottom w:val="nil"/>
            </w:tcBorders>
          </w:tcPr>
          <w:p w:rsidR="00000000" w:rsidRDefault="00000000">
            <w:pPr>
              <w:pStyle w:val="Title"/>
              <w:tabs>
                <w:tab w:val="left" w:pos="680"/>
              </w:tabs>
              <w:spacing w:before="40" w:after="20"/>
              <w:rPr>
                <w:b w:val="0"/>
                <w:sz w:val="20"/>
              </w:rPr>
            </w:pPr>
            <w:r>
              <w:rPr>
                <w:b w:val="0"/>
                <w:sz w:val="20"/>
              </w:rPr>
              <w:t>1 930</w:t>
            </w:r>
          </w:p>
        </w:tc>
        <w:tc>
          <w:tcPr>
            <w:tcW w:w="737" w:type="dxa"/>
            <w:tcBorders>
              <w:top w:val="nil"/>
              <w:bottom w:val="nil"/>
            </w:tcBorders>
          </w:tcPr>
          <w:p w:rsidR="00000000" w:rsidRDefault="00000000">
            <w:pPr>
              <w:pStyle w:val="Title"/>
              <w:tabs>
                <w:tab w:val="left" w:pos="680"/>
              </w:tabs>
              <w:spacing w:before="40" w:after="20"/>
              <w:rPr>
                <w:b w:val="0"/>
                <w:sz w:val="20"/>
              </w:rPr>
            </w:pPr>
            <w:r>
              <w:rPr>
                <w:b w:val="0"/>
                <w:sz w:val="20"/>
              </w:rPr>
              <w:t>12,60</w:t>
            </w:r>
          </w:p>
        </w:tc>
        <w:tc>
          <w:tcPr>
            <w:tcW w:w="737" w:type="dxa"/>
            <w:tcBorders>
              <w:top w:val="nil"/>
              <w:bottom w:val="nil"/>
            </w:tcBorders>
          </w:tcPr>
          <w:p w:rsidR="00000000" w:rsidRDefault="00000000">
            <w:pPr>
              <w:pStyle w:val="Title"/>
              <w:tabs>
                <w:tab w:val="left" w:pos="680"/>
              </w:tabs>
              <w:spacing w:before="40" w:after="20"/>
              <w:rPr>
                <w:b w:val="0"/>
                <w:sz w:val="20"/>
              </w:rPr>
            </w:pPr>
            <w:r>
              <w:rPr>
                <w:b w:val="0"/>
                <w:sz w:val="20"/>
              </w:rPr>
              <w:t>2 470</w:t>
            </w:r>
          </w:p>
        </w:tc>
        <w:tc>
          <w:tcPr>
            <w:tcW w:w="737" w:type="dxa"/>
            <w:tcBorders>
              <w:top w:val="nil"/>
              <w:bottom w:val="nil"/>
            </w:tcBorders>
          </w:tcPr>
          <w:p w:rsidR="00000000" w:rsidRDefault="00000000">
            <w:pPr>
              <w:pStyle w:val="Title"/>
              <w:tabs>
                <w:tab w:val="left" w:pos="680"/>
              </w:tabs>
              <w:spacing w:before="40" w:after="20"/>
              <w:rPr>
                <w:b w:val="0"/>
                <w:sz w:val="20"/>
              </w:rPr>
            </w:pPr>
            <w:r>
              <w:rPr>
                <w:b w:val="0"/>
                <w:sz w:val="20"/>
              </w:rPr>
              <w:t>11,80</w:t>
            </w:r>
          </w:p>
        </w:tc>
        <w:tc>
          <w:tcPr>
            <w:tcW w:w="737" w:type="dxa"/>
            <w:tcBorders>
              <w:top w:val="nil"/>
              <w:bottom w:val="nil"/>
            </w:tcBorders>
          </w:tcPr>
          <w:p w:rsidR="00000000" w:rsidRDefault="00000000">
            <w:pPr>
              <w:pStyle w:val="Title"/>
              <w:tabs>
                <w:tab w:val="left" w:pos="680"/>
              </w:tabs>
              <w:spacing w:before="40" w:after="20"/>
              <w:rPr>
                <w:b w:val="0"/>
                <w:sz w:val="20"/>
              </w:rPr>
            </w:pPr>
            <w:r>
              <w:rPr>
                <w:b w:val="0"/>
                <w:sz w:val="20"/>
              </w:rPr>
              <w:t>2 991</w:t>
            </w:r>
          </w:p>
        </w:tc>
        <w:tc>
          <w:tcPr>
            <w:tcW w:w="737" w:type="dxa"/>
            <w:tcBorders>
              <w:top w:val="nil"/>
              <w:bottom w:val="nil"/>
            </w:tcBorders>
          </w:tcPr>
          <w:p w:rsidR="00000000" w:rsidRDefault="00000000">
            <w:pPr>
              <w:pStyle w:val="Title"/>
              <w:tabs>
                <w:tab w:val="left" w:pos="680"/>
              </w:tabs>
              <w:spacing w:before="40" w:after="20"/>
              <w:rPr>
                <w:b w:val="0"/>
                <w:sz w:val="20"/>
              </w:rPr>
            </w:pPr>
            <w:r>
              <w:rPr>
                <w:b w:val="0"/>
                <w:sz w:val="20"/>
              </w:rPr>
              <w:t>11,00</w:t>
            </w:r>
          </w:p>
        </w:tc>
        <w:tc>
          <w:tcPr>
            <w:tcW w:w="737" w:type="dxa"/>
            <w:tcBorders>
              <w:top w:val="nil"/>
              <w:bottom w:val="nil"/>
            </w:tcBorders>
          </w:tcPr>
          <w:p w:rsidR="00000000" w:rsidRDefault="00000000">
            <w:pPr>
              <w:pStyle w:val="Title"/>
              <w:tabs>
                <w:tab w:val="left" w:pos="680"/>
              </w:tabs>
              <w:spacing w:before="40" w:after="20"/>
              <w:rPr>
                <w:b w:val="0"/>
                <w:sz w:val="20"/>
              </w:rPr>
            </w:pPr>
            <w:r>
              <w:rPr>
                <w:b w:val="0"/>
                <w:sz w:val="20"/>
              </w:rPr>
              <w:t>3</w:t>
            </w:r>
            <w:r>
              <w:rPr>
                <w:b w:val="0"/>
                <w:sz w:val="20"/>
                <w:lang w:val="en-US"/>
              </w:rPr>
              <w:t xml:space="preserve"> </w:t>
            </w:r>
            <w:r>
              <w:rPr>
                <w:b w:val="0"/>
                <w:sz w:val="20"/>
              </w:rPr>
              <w:t>309</w:t>
            </w:r>
          </w:p>
        </w:tc>
        <w:tc>
          <w:tcPr>
            <w:tcW w:w="737" w:type="dxa"/>
            <w:tcBorders>
              <w:top w:val="nil"/>
              <w:bottom w:val="nil"/>
            </w:tcBorders>
          </w:tcPr>
          <w:p w:rsidR="00000000" w:rsidRDefault="00000000">
            <w:pPr>
              <w:pStyle w:val="Title"/>
              <w:tabs>
                <w:tab w:val="left" w:pos="680"/>
              </w:tabs>
              <w:spacing w:before="40" w:after="20"/>
              <w:rPr>
                <w:b w:val="0"/>
                <w:sz w:val="20"/>
              </w:rPr>
            </w:pPr>
            <w:r>
              <w:rPr>
                <w:b w:val="0"/>
                <w:sz w:val="20"/>
              </w:rPr>
              <w:t>10,10</w:t>
            </w:r>
          </w:p>
        </w:tc>
      </w:tr>
      <w:tr w:rsidR="00000000">
        <w:tblPrEx>
          <w:tblCellMar>
            <w:top w:w="0" w:type="dxa"/>
            <w:bottom w:w="0" w:type="dxa"/>
          </w:tblCellMar>
        </w:tblPrEx>
        <w:trPr>
          <w:cantSplit/>
          <w:jc w:val="center"/>
        </w:trPr>
        <w:tc>
          <w:tcPr>
            <w:tcW w:w="1418" w:type="dxa"/>
            <w:tcBorders>
              <w:top w:val="nil"/>
              <w:bottom w:val="nil"/>
            </w:tcBorders>
          </w:tcPr>
          <w:p w:rsidR="00000000" w:rsidRDefault="00000000">
            <w:pPr>
              <w:pStyle w:val="Title"/>
              <w:tabs>
                <w:tab w:val="left" w:pos="680"/>
              </w:tabs>
              <w:spacing w:before="40" w:after="20"/>
              <w:jc w:val="both"/>
              <w:rPr>
                <w:b w:val="0"/>
                <w:sz w:val="20"/>
              </w:rPr>
            </w:pPr>
            <w:r>
              <w:rPr>
                <w:b w:val="0"/>
                <w:sz w:val="20"/>
              </w:rPr>
              <w:t>Эредия</w:t>
            </w:r>
          </w:p>
        </w:tc>
        <w:tc>
          <w:tcPr>
            <w:tcW w:w="737" w:type="dxa"/>
            <w:tcBorders>
              <w:top w:val="nil"/>
              <w:bottom w:val="nil"/>
            </w:tcBorders>
          </w:tcPr>
          <w:p w:rsidR="00000000" w:rsidRDefault="00000000">
            <w:pPr>
              <w:pStyle w:val="Title"/>
              <w:tabs>
                <w:tab w:val="left" w:pos="680"/>
              </w:tabs>
              <w:spacing w:before="40" w:after="20"/>
              <w:rPr>
                <w:b w:val="0"/>
                <w:sz w:val="20"/>
              </w:rPr>
            </w:pPr>
            <w:r>
              <w:rPr>
                <w:b w:val="0"/>
                <w:sz w:val="20"/>
              </w:rPr>
              <w:t>560</w:t>
            </w:r>
          </w:p>
        </w:tc>
        <w:tc>
          <w:tcPr>
            <w:tcW w:w="737" w:type="dxa"/>
            <w:tcBorders>
              <w:top w:val="nil"/>
              <w:bottom w:val="nil"/>
            </w:tcBorders>
          </w:tcPr>
          <w:p w:rsidR="00000000" w:rsidRDefault="00000000">
            <w:pPr>
              <w:pStyle w:val="Title"/>
              <w:tabs>
                <w:tab w:val="left" w:pos="680"/>
              </w:tabs>
              <w:spacing w:before="40" w:after="20"/>
              <w:rPr>
                <w:b w:val="0"/>
                <w:sz w:val="20"/>
              </w:rPr>
            </w:pPr>
            <w:r>
              <w:rPr>
                <w:b w:val="0"/>
                <w:sz w:val="20"/>
              </w:rPr>
              <w:t>10,95</w:t>
            </w:r>
          </w:p>
        </w:tc>
        <w:tc>
          <w:tcPr>
            <w:tcW w:w="737" w:type="dxa"/>
            <w:tcBorders>
              <w:top w:val="nil"/>
              <w:bottom w:val="nil"/>
            </w:tcBorders>
          </w:tcPr>
          <w:p w:rsidR="00000000" w:rsidRDefault="00000000">
            <w:pPr>
              <w:pStyle w:val="Title"/>
              <w:tabs>
                <w:tab w:val="left" w:pos="680"/>
              </w:tabs>
              <w:spacing w:before="40" w:after="20"/>
              <w:rPr>
                <w:b w:val="0"/>
                <w:sz w:val="20"/>
              </w:rPr>
            </w:pPr>
            <w:r>
              <w:rPr>
                <w:b w:val="0"/>
                <w:sz w:val="20"/>
              </w:rPr>
              <w:t>1 480</w:t>
            </w:r>
          </w:p>
        </w:tc>
        <w:tc>
          <w:tcPr>
            <w:tcW w:w="737" w:type="dxa"/>
            <w:tcBorders>
              <w:top w:val="nil"/>
              <w:bottom w:val="nil"/>
            </w:tcBorders>
          </w:tcPr>
          <w:p w:rsidR="00000000" w:rsidRDefault="00000000">
            <w:pPr>
              <w:pStyle w:val="Title"/>
              <w:tabs>
                <w:tab w:val="left" w:pos="680"/>
              </w:tabs>
              <w:spacing w:before="40" w:after="20"/>
              <w:rPr>
                <w:b w:val="0"/>
                <w:sz w:val="20"/>
              </w:rPr>
            </w:pPr>
            <w:r>
              <w:rPr>
                <w:b w:val="0"/>
                <w:sz w:val="20"/>
              </w:rPr>
              <w:t>9,60</w:t>
            </w:r>
          </w:p>
        </w:tc>
        <w:tc>
          <w:tcPr>
            <w:tcW w:w="737" w:type="dxa"/>
            <w:tcBorders>
              <w:top w:val="nil"/>
              <w:bottom w:val="nil"/>
            </w:tcBorders>
          </w:tcPr>
          <w:p w:rsidR="00000000" w:rsidRDefault="00000000">
            <w:pPr>
              <w:pStyle w:val="Title"/>
              <w:tabs>
                <w:tab w:val="left" w:pos="680"/>
              </w:tabs>
              <w:spacing w:before="40" w:after="20"/>
              <w:rPr>
                <w:b w:val="0"/>
                <w:sz w:val="20"/>
              </w:rPr>
            </w:pPr>
            <w:r>
              <w:rPr>
                <w:b w:val="0"/>
                <w:sz w:val="20"/>
              </w:rPr>
              <w:t>2 268</w:t>
            </w:r>
          </w:p>
        </w:tc>
        <w:tc>
          <w:tcPr>
            <w:tcW w:w="737" w:type="dxa"/>
            <w:tcBorders>
              <w:top w:val="nil"/>
              <w:bottom w:val="nil"/>
            </w:tcBorders>
          </w:tcPr>
          <w:p w:rsidR="00000000" w:rsidRDefault="00000000">
            <w:pPr>
              <w:pStyle w:val="Title"/>
              <w:tabs>
                <w:tab w:val="left" w:pos="680"/>
              </w:tabs>
              <w:spacing w:before="40" w:after="20"/>
              <w:rPr>
                <w:b w:val="0"/>
                <w:sz w:val="20"/>
              </w:rPr>
            </w:pPr>
            <w:r>
              <w:rPr>
                <w:b w:val="0"/>
                <w:sz w:val="20"/>
              </w:rPr>
              <w:t>10,80</w:t>
            </w:r>
          </w:p>
        </w:tc>
        <w:tc>
          <w:tcPr>
            <w:tcW w:w="737" w:type="dxa"/>
            <w:tcBorders>
              <w:top w:val="nil"/>
              <w:bottom w:val="nil"/>
            </w:tcBorders>
          </w:tcPr>
          <w:p w:rsidR="00000000" w:rsidRDefault="00000000">
            <w:pPr>
              <w:pStyle w:val="Title"/>
              <w:tabs>
                <w:tab w:val="left" w:pos="680"/>
              </w:tabs>
              <w:spacing w:before="40" w:after="20"/>
              <w:rPr>
                <w:b w:val="0"/>
                <w:sz w:val="20"/>
              </w:rPr>
            </w:pPr>
            <w:r>
              <w:rPr>
                <w:b w:val="0"/>
                <w:sz w:val="20"/>
              </w:rPr>
              <w:t>2 769</w:t>
            </w:r>
          </w:p>
        </w:tc>
        <w:tc>
          <w:tcPr>
            <w:tcW w:w="737" w:type="dxa"/>
            <w:tcBorders>
              <w:top w:val="nil"/>
              <w:bottom w:val="nil"/>
            </w:tcBorders>
          </w:tcPr>
          <w:p w:rsidR="00000000" w:rsidRDefault="00000000">
            <w:pPr>
              <w:pStyle w:val="Title"/>
              <w:tabs>
                <w:tab w:val="left" w:pos="680"/>
              </w:tabs>
              <w:spacing w:before="40" w:after="20"/>
              <w:rPr>
                <w:b w:val="0"/>
                <w:sz w:val="20"/>
              </w:rPr>
            </w:pPr>
            <w:r>
              <w:rPr>
                <w:b w:val="0"/>
                <w:sz w:val="20"/>
              </w:rPr>
              <w:t>10,50</w:t>
            </w:r>
          </w:p>
        </w:tc>
        <w:tc>
          <w:tcPr>
            <w:tcW w:w="737" w:type="dxa"/>
            <w:tcBorders>
              <w:top w:val="nil"/>
              <w:bottom w:val="nil"/>
            </w:tcBorders>
          </w:tcPr>
          <w:p w:rsidR="00000000" w:rsidRDefault="00000000">
            <w:pPr>
              <w:pStyle w:val="Title"/>
              <w:tabs>
                <w:tab w:val="left" w:pos="680"/>
              </w:tabs>
              <w:spacing w:before="40" w:after="20"/>
              <w:rPr>
                <w:b w:val="0"/>
                <w:sz w:val="20"/>
              </w:rPr>
            </w:pPr>
            <w:r>
              <w:rPr>
                <w:b w:val="0"/>
                <w:sz w:val="20"/>
              </w:rPr>
              <w:t>3</w:t>
            </w:r>
            <w:r>
              <w:rPr>
                <w:b w:val="0"/>
                <w:sz w:val="20"/>
                <w:lang w:val="en-US"/>
              </w:rPr>
              <w:t xml:space="preserve"> </w:t>
            </w:r>
            <w:r>
              <w:rPr>
                <w:b w:val="0"/>
                <w:sz w:val="20"/>
              </w:rPr>
              <w:t>094</w:t>
            </w:r>
          </w:p>
        </w:tc>
        <w:tc>
          <w:tcPr>
            <w:tcW w:w="737" w:type="dxa"/>
            <w:tcBorders>
              <w:top w:val="nil"/>
              <w:bottom w:val="nil"/>
            </w:tcBorders>
          </w:tcPr>
          <w:p w:rsidR="00000000" w:rsidRDefault="00000000">
            <w:pPr>
              <w:pStyle w:val="Title"/>
              <w:tabs>
                <w:tab w:val="left" w:pos="680"/>
              </w:tabs>
              <w:spacing w:before="40" w:after="20"/>
              <w:rPr>
                <w:b w:val="0"/>
                <w:sz w:val="20"/>
              </w:rPr>
            </w:pPr>
            <w:r>
              <w:rPr>
                <w:b w:val="0"/>
                <w:sz w:val="20"/>
              </w:rPr>
              <w:t>9,50</w:t>
            </w:r>
          </w:p>
        </w:tc>
      </w:tr>
      <w:tr w:rsidR="00000000">
        <w:tblPrEx>
          <w:tblCellMar>
            <w:top w:w="0" w:type="dxa"/>
            <w:bottom w:w="0" w:type="dxa"/>
          </w:tblCellMar>
        </w:tblPrEx>
        <w:trPr>
          <w:cantSplit/>
          <w:jc w:val="center"/>
        </w:trPr>
        <w:tc>
          <w:tcPr>
            <w:tcW w:w="1418" w:type="dxa"/>
            <w:tcBorders>
              <w:top w:val="nil"/>
              <w:bottom w:val="nil"/>
            </w:tcBorders>
          </w:tcPr>
          <w:p w:rsidR="00000000" w:rsidRDefault="00000000">
            <w:pPr>
              <w:pStyle w:val="Title"/>
              <w:tabs>
                <w:tab w:val="left" w:pos="680"/>
              </w:tabs>
              <w:spacing w:before="40" w:after="20"/>
              <w:jc w:val="both"/>
              <w:rPr>
                <w:b w:val="0"/>
                <w:sz w:val="20"/>
              </w:rPr>
            </w:pPr>
            <w:r>
              <w:rPr>
                <w:b w:val="0"/>
                <w:sz w:val="20"/>
              </w:rPr>
              <w:t>Гуанакасте</w:t>
            </w:r>
          </w:p>
        </w:tc>
        <w:tc>
          <w:tcPr>
            <w:tcW w:w="737" w:type="dxa"/>
            <w:tcBorders>
              <w:top w:val="nil"/>
              <w:bottom w:val="nil"/>
            </w:tcBorders>
          </w:tcPr>
          <w:p w:rsidR="00000000" w:rsidRDefault="00000000">
            <w:pPr>
              <w:pStyle w:val="Title"/>
              <w:tabs>
                <w:tab w:val="left" w:pos="680"/>
              </w:tabs>
              <w:spacing w:before="40" w:after="20"/>
              <w:rPr>
                <w:b w:val="0"/>
                <w:sz w:val="20"/>
              </w:rPr>
            </w:pPr>
            <w:r>
              <w:rPr>
                <w:b w:val="0"/>
                <w:sz w:val="20"/>
              </w:rPr>
              <w:t>483</w:t>
            </w:r>
          </w:p>
        </w:tc>
        <w:tc>
          <w:tcPr>
            <w:tcW w:w="737" w:type="dxa"/>
            <w:tcBorders>
              <w:top w:val="nil"/>
              <w:bottom w:val="nil"/>
            </w:tcBorders>
          </w:tcPr>
          <w:p w:rsidR="00000000" w:rsidRDefault="00000000">
            <w:pPr>
              <w:pStyle w:val="Title"/>
              <w:tabs>
                <w:tab w:val="left" w:pos="680"/>
              </w:tabs>
              <w:spacing w:before="40" w:after="20"/>
              <w:rPr>
                <w:b w:val="0"/>
                <w:sz w:val="20"/>
              </w:rPr>
            </w:pPr>
            <w:r>
              <w:rPr>
                <w:b w:val="0"/>
                <w:sz w:val="20"/>
              </w:rPr>
              <w:t>9,45</w:t>
            </w:r>
          </w:p>
        </w:tc>
        <w:tc>
          <w:tcPr>
            <w:tcW w:w="737" w:type="dxa"/>
            <w:tcBorders>
              <w:top w:val="nil"/>
              <w:bottom w:val="nil"/>
            </w:tcBorders>
          </w:tcPr>
          <w:p w:rsidR="00000000" w:rsidRDefault="00000000">
            <w:pPr>
              <w:pStyle w:val="Title"/>
              <w:tabs>
                <w:tab w:val="left" w:pos="680"/>
              </w:tabs>
              <w:spacing w:before="40" w:after="20"/>
              <w:rPr>
                <w:b w:val="0"/>
                <w:sz w:val="20"/>
              </w:rPr>
            </w:pPr>
            <w:r>
              <w:rPr>
                <w:b w:val="0"/>
                <w:sz w:val="20"/>
              </w:rPr>
              <w:t>988</w:t>
            </w:r>
          </w:p>
        </w:tc>
        <w:tc>
          <w:tcPr>
            <w:tcW w:w="737" w:type="dxa"/>
            <w:tcBorders>
              <w:top w:val="nil"/>
              <w:bottom w:val="nil"/>
            </w:tcBorders>
          </w:tcPr>
          <w:p w:rsidR="00000000" w:rsidRDefault="00000000">
            <w:pPr>
              <w:pStyle w:val="Title"/>
              <w:tabs>
                <w:tab w:val="left" w:pos="680"/>
              </w:tabs>
              <w:spacing w:before="40" w:after="20"/>
              <w:rPr>
                <w:b w:val="0"/>
                <w:sz w:val="20"/>
              </w:rPr>
            </w:pPr>
            <w:r>
              <w:rPr>
                <w:b w:val="0"/>
                <w:sz w:val="20"/>
              </w:rPr>
              <w:t>6,40</w:t>
            </w:r>
          </w:p>
        </w:tc>
        <w:tc>
          <w:tcPr>
            <w:tcW w:w="737" w:type="dxa"/>
            <w:tcBorders>
              <w:top w:val="nil"/>
              <w:bottom w:val="nil"/>
            </w:tcBorders>
          </w:tcPr>
          <w:p w:rsidR="00000000" w:rsidRDefault="00000000">
            <w:pPr>
              <w:pStyle w:val="Title"/>
              <w:tabs>
                <w:tab w:val="left" w:pos="680"/>
              </w:tabs>
              <w:spacing w:before="40" w:after="20"/>
              <w:rPr>
                <w:b w:val="0"/>
                <w:sz w:val="20"/>
              </w:rPr>
            </w:pPr>
            <w:r>
              <w:rPr>
                <w:b w:val="0"/>
                <w:sz w:val="20"/>
              </w:rPr>
              <w:t>1 404</w:t>
            </w:r>
          </w:p>
        </w:tc>
        <w:tc>
          <w:tcPr>
            <w:tcW w:w="737" w:type="dxa"/>
            <w:tcBorders>
              <w:top w:val="nil"/>
              <w:bottom w:val="nil"/>
            </w:tcBorders>
          </w:tcPr>
          <w:p w:rsidR="00000000" w:rsidRDefault="00000000">
            <w:pPr>
              <w:pStyle w:val="Title"/>
              <w:tabs>
                <w:tab w:val="left" w:pos="680"/>
              </w:tabs>
              <w:spacing w:before="40" w:after="20"/>
              <w:rPr>
                <w:b w:val="0"/>
                <w:sz w:val="20"/>
              </w:rPr>
            </w:pPr>
            <w:r>
              <w:rPr>
                <w:b w:val="0"/>
                <w:sz w:val="20"/>
              </w:rPr>
              <w:t>6,70</w:t>
            </w:r>
          </w:p>
        </w:tc>
        <w:tc>
          <w:tcPr>
            <w:tcW w:w="737" w:type="dxa"/>
            <w:tcBorders>
              <w:top w:val="nil"/>
              <w:bottom w:val="nil"/>
            </w:tcBorders>
          </w:tcPr>
          <w:p w:rsidR="00000000" w:rsidRDefault="00000000">
            <w:pPr>
              <w:pStyle w:val="Title"/>
              <w:tabs>
                <w:tab w:val="left" w:pos="680"/>
              </w:tabs>
              <w:spacing w:before="40" w:after="20"/>
              <w:rPr>
                <w:b w:val="0"/>
                <w:sz w:val="20"/>
              </w:rPr>
            </w:pPr>
            <w:r>
              <w:rPr>
                <w:b w:val="0"/>
                <w:sz w:val="20"/>
              </w:rPr>
              <w:t>1 666</w:t>
            </w:r>
          </w:p>
        </w:tc>
        <w:tc>
          <w:tcPr>
            <w:tcW w:w="737" w:type="dxa"/>
            <w:tcBorders>
              <w:top w:val="nil"/>
              <w:bottom w:val="nil"/>
            </w:tcBorders>
          </w:tcPr>
          <w:p w:rsidR="00000000" w:rsidRDefault="00000000">
            <w:pPr>
              <w:pStyle w:val="Title"/>
              <w:tabs>
                <w:tab w:val="left" w:pos="680"/>
              </w:tabs>
              <w:spacing w:before="40" w:after="20"/>
              <w:rPr>
                <w:b w:val="0"/>
                <w:sz w:val="20"/>
              </w:rPr>
            </w:pPr>
            <w:r>
              <w:rPr>
                <w:b w:val="0"/>
                <w:sz w:val="20"/>
              </w:rPr>
              <w:t>6,30</w:t>
            </w:r>
          </w:p>
        </w:tc>
        <w:tc>
          <w:tcPr>
            <w:tcW w:w="737" w:type="dxa"/>
            <w:tcBorders>
              <w:top w:val="nil"/>
              <w:bottom w:val="nil"/>
            </w:tcBorders>
          </w:tcPr>
          <w:p w:rsidR="00000000" w:rsidRDefault="00000000">
            <w:pPr>
              <w:pStyle w:val="Title"/>
              <w:tabs>
                <w:tab w:val="left" w:pos="680"/>
              </w:tabs>
              <w:spacing w:before="40" w:after="20"/>
              <w:rPr>
                <w:b w:val="0"/>
                <w:sz w:val="20"/>
              </w:rPr>
            </w:pPr>
            <w:r>
              <w:rPr>
                <w:b w:val="0"/>
                <w:sz w:val="20"/>
              </w:rPr>
              <w:t>2</w:t>
            </w:r>
            <w:r>
              <w:rPr>
                <w:b w:val="0"/>
                <w:sz w:val="20"/>
                <w:lang w:val="en-US"/>
              </w:rPr>
              <w:t xml:space="preserve"> </w:t>
            </w:r>
            <w:r>
              <w:rPr>
                <w:b w:val="0"/>
                <w:sz w:val="20"/>
              </w:rPr>
              <w:t>113</w:t>
            </w:r>
          </w:p>
        </w:tc>
        <w:tc>
          <w:tcPr>
            <w:tcW w:w="737" w:type="dxa"/>
            <w:tcBorders>
              <w:top w:val="nil"/>
              <w:bottom w:val="nil"/>
            </w:tcBorders>
          </w:tcPr>
          <w:p w:rsidR="00000000" w:rsidRDefault="00000000">
            <w:pPr>
              <w:pStyle w:val="Title"/>
              <w:tabs>
                <w:tab w:val="left" w:pos="680"/>
              </w:tabs>
              <w:spacing w:before="40" w:after="20"/>
              <w:rPr>
                <w:b w:val="0"/>
                <w:sz w:val="20"/>
              </w:rPr>
            </w:pPr>
            <w:r>
              <w:rPr>
                <w:b w:val="0"/>
                <w:sz w:val="20"/>
              </w:rPr>
              <w:t>6,50</w:t>
            </w:r>
          </w:p>
        </w:tc>
      </w:tr>
      <w:tr w:rsidR="00000000">
        <w:tblPrEx>
          <w:tblCellMar>
            <w:top w:w="0" w:type="dxa"/>
            <w:bottom w:w="0" w:type="dxa"/>
          </w:tblCellMar>
        </w:tblPrEx>
        <w:trPr>
          <w:cantSplit/>
          <w:jc w:val="center"/>
        </w:trPr>
        <w:tc>
          <w:tcPr>
            <w:tcW w:w="1418" w:type="dxa"/>
            <w:tcBorders>
              <w:top w:val="nil"/>
              <w:bottom w:val="nil"/>
            </w:tcBorders>
          </w:tcPr>
          <w:p w:rsidR="00000000" w:rsidRDefault="00000000">
            <w:pPr>
              <w:pStyle w:val="Title"/>
              <w:tabs>
                <w:tab w:val="left" w:pos="680"/>
              </w:tabs>
              <w:spacing w:before="40" w:after="20"/>
              <w:jc w:val="both"/>
              <w:rPr>
                <w:b w:val="0"/>
                <w:sz w:val="20"/>
              </w:rPr>
            </w:pPr>
            <w:r>
              <w:rPr>
                <w:b w:val="0"/>
                <w:sz w:val="20"/>
              </w:rPr>
              <w:t xml:space="preserve">Пунтаренас </w:t>
            </w:r>
          </w:p>
        </w:tc>
        <w:tc>
          <w:tcPr>
            <w:tcW w:w="737" w:type="dxa"/>
            <w:tcBorders>
              <w:top w:val="nil"/>
              <w:bottom w:val="nil"/>
            </w:tcBorders>
          </w:tcPr>
          <w:p w:rsidR="00000000" w:rsidRDefault="00000000">
            <w:pPr>
              <w:pStyle w:val="Title"/>
              <w:tabs>
                <w:tab w:val="left" w:pos="680"/>
              </w:tabs>
              <w:spacing w:before="40" w:after="20"/>
              <w:rPr>
                <w:b w:val="0"/>
                <w:sz w:val="20"/>
              </w:rPr>
            </w:pPr>
            <w:r>
              <w:rPr>
                <w:b w:val="0"/>
                <w:sz w:val="20"/>
              </w:rPr>
              <w:t>550</w:t>
            </w:r>
          </w:p>
        </w:tc>
        <w:tc>
          <w:tcPr>
            <w:tcW w:w="737" w:type="dxa"/>
            <w:tcBorders>
              <w:top w:val="nil"/>
              <w:bottom w:val="nil"/>
            </w:tcBorders>
          </w:tcPr>
          <w:p w:rsidR="00000000" w:rsidRDefault="00000000">
            <w:pPr>
              <w:pStyle w:val="Title"/>
              <w:tabs>
                <w:tab w:val="left" w:pos="680"/>
              </w:tabs>
              <w:spacing w:before="40" w:after="20"/>
              <w:rPr>
                <w:b w:val="0"/>
                <w:sz w:val="20"/>
              </w:rPr>
            </w:pPr>
            <w:r>
              <w:rPr>
                <w:b w:val="0"/>
                <w:sz w:val="20"/>
              </w:rPr>
              <w:t>10,76</w:t>
            </w:r>
          </w:p>
        </w:tc>
        <w:tc>
          <w:tcPr>
            <w:tcW w:w="737" w:type="dxa"/>
            <w:tcBorders>
              <w:top w:val="nil"/>
              <w:bottom w:val="nil"/>
            </w:tcBorders>
          </w:tcPr>
          <w:p w:rsidR="00000000" w:rsidRDefault="00000000">
            <w:pPr>
              <w:pStyle w:val="Title"/>
              <w:tabs>
                <w:tab w:val="left" w:pos="680"/>
              </w:tabs>
              <w:spacing w:before="40" w:after="20"/>
              <w:rPr>
                <w:b w:val="0"/>
                <w:sz w:val="20"/>
              </w:rPr>
            </w:pPr>
            <w:r>
              <w:rPr>
                <w:b w:val="0"/>
                <w:sz w:val="20"/>
              </w:rPr>
              <w:t>1 485</w:t>
            </w:r>
          </w:p>
        </w:tc>
        <w:tc>
          <w:tcPr>
            <w:tcW w:w="737" w:type="dxa"/>
            <w:tcBorders>
              <w:top w:val="nil"/>
              <w:bottom w:val="nil"/>
            </w:tcBorders>
          </w:tcPr>
          <w:p w:rsidR="00000000" w:rsidRDefault="00000000">
            <w:pPr>
              <w:pStyle w:val="Title"/>
              <w:tabs>
                <w:tab w:val="left" w:pos="680"/>
              </w:tabs>
              <w:spacing w:before="40" w:after="20"/>
              <w:rPr>
                <w:b w:val="0"/>
                <w:sz w:val="20"/>
              </w:rPr>
            </w:pPr>
            <w:r>
              <w:rPr>
                <w:b w:val="0"/>
                <w:sz w:val="20"/>
              </w:rPr>
              <w:t>9,70</w:t>
            </w:r>
          </w:p>
        </w:tc>
        <w:tc>
          <w:tcPr>
            <w:tcW w:w="737" w:type="dxa"/>
            <w:tcBorders>
              <w:top w:val="nil"/>
              <w:bottom w:val="nil"/>
            </w:tcBorders>
          </w:tcPr>
          <w:p w:rsidR="00000000" w:rsidRDefault="00000000">
            <w:pPr>
              <w:pStyle w:val="Title"/>
              <w:tabs>
                <w:tab w:val="left" w:pos="680"/>
              </w:tabs>
              <w:spacing w:before="40" w:after="20"/>
              <w:rPr>
                <w:b w:val="0"/>
                <w:sz w:val="20"/>
              </w:rPr>
            </w:pPr>
            <w:r>
              <w:rPr>
                <w:b w:val="0"/>
                <w:sz w:val="20"/>
              </w:rPr>
              <w:t>1 980</w:t>
            </w:r>
          </w:p>
        </w:tc>
        <w:tc>
          <w:tcPr>
            <w:tcW w:w="737" w:type="dxa"/>
            <w:tcBorders>
              <w:top w:val="nil"/>
              <w:bottom w:val="nil"/>
            </w:tcBorders>
          </w:tcPr>
          <w:p w:rsidR="00000000" w:rsidRDefault="00000000">
            <w:pPr>
              <w:pStyle w:val="Title"/>
              <w:tabs>
                <w:tab w:val="left" w:pos="680"/>
              </w:tabs>
              <w:spacing w:before="40" w:after="20"/>
              <w:rPr>
                <w:b w:val="0"/>
                <w:sz w:val="20"/>
              </w:rPr>
            </w:pPr>
            <w:r>
              <w:rPr>
                <w:b w:val="0"/>
                <w:sz w:val="20"/>
              </w:rPr>
              <w:t>9,40</w:t>
            </w:r>
          </w:p>
        </w:tc>
        <w:tc>
          <w:tcPr>
            <w:tcW w:w="737" w:type="dxa"/>
            <w:tcBorders>
              <w:top w:val="nil"/>
              <w:bottom w:val="nil"/>
            </w:tcBorders>
          </w:tcPr>
          <w:p w:rsidR="00000000" w:rsidRDefault="00000000">
            <w:pPr>
              <w:pStyle w:val="Title"/>
              <w:tabs>
                <w:tab w:val="left" w:pos="680"/>
              </w:tabs>
              <w:spacing w:before="40" w:after="20"/>
              <w:rPr>
                <w:b w:val="0"/>
                <w:sz w:val="20"/>
              </w:rPr>
            </w:pPr>
            <w:r>
              <w:rPr>
                <w:b w:val="0"/>
                <w:sz w:val="20"/>
              </w:rPr>
              <w:t>2 579</w:t>
            </w:r>
          </w:p>
        </w:tc>
        <w:tc>
          <w:tcPr>
            <w:tcW w:w="737" w:type="dxa"/>
            <w:tcBorders>
              <w:top w:val="nil"/>
              <w:bottom w:val="nil"/>
            </w:tcBorders>
          </w:tcPr>
          <w:p w:rsidR="00000000" w:rsidRDefault="00000000">
            <w:pPr>
              <w:pStyle w:val="Title"/>
              <w:tabs>
                <w:tab w:val="left" w:pos="680"/>
              </w:tabs>
              <w:spacing w:before="40" w:after="20"/>
              <w:rPr>
                <w:b w:val="0"/>
                <w:sz w:val="20"/>
              </w:rPr>
            </w:pPr>
            <w:r>
              <w:rPr>
                <w:b w:val="0"/>
                <w:sz w:val="20"/>
              </w:rPr>
              <w:t>9,80</w:t>
            </w:r>
          </w:p>
        </w:tc>
        <w:tc>
          <w:tcPr>
            <w:tcW w:w="737" w:type="dxa"/>
            <w:tcBorders>
              <w:top w:val="nil"/>
              <w:bottom w:val="nil"/>
            </w:tcBorders>
          </w:tcPr>
          <w:p w:rsidR="00000000" w:rsidRDefault="00000000">
            <w:pPr>
              <w:pStyle w:val="Title"/>
              <w:tabs>
                <w:tab w:val="left" w:pos="680"/>
              </w:tabs>
              <w:spacing w:before="40" w:after="20"/>
              <w:rPr>
                <w:b w:val="0"/>
                <w:sz w:val="20"/>
              </w:rPr>
            </w:pPr>
            <w:r>
              <w:rPr>
                <w:b w:val="0"/>
                <w:sz w:val="20"/>
              </w:rPr>
              <w:t>3</w:t>
            </w:r>
            <w:r>
              <w:rPr>
                <w:b w:val="0"/>
                <w:sz w:val="20"/>
                <w:lang w:val="en-US"/>
              </w:rPr>
              <w:t xml:space="preserve"> </w:t>
            </w:r>
            <w:r>
              <w:rPr>
                <w:b w:val="0"/>
                <w:sz w:val="20"/>
              </w:rPr>
              <w:t>248</w:t>
            </w:r>
          </w:p>
        </w:tc>
        <w:tc>
          <w:tcPr>
            <w:tcW w:w="737" w:type="dxa"/>
            <w:tcBorders>
              <w:top w:val="nil"/>
              <w:bottom w:val="nil"/>
            </w:tcBorders>
          </w:tcPr>
          <w:p w:rsidR="00000000" w:rsidRDefault="00000000">
            <w:pPr>
              <w:pStyle w:val="Title"/>
              <w:tabs>
                <w:tab w:val="left" w:pos="680"/>
              </w:tabs>
              <w:spacing w:before="40" w:after="20"/>
              <w:rPr>
                <w:b w:val="0"/>
                <w:sz w:val="20"/>
              </w:rPr>
            </w:pPr>
            <w:r>
              <w:rPr>
                <w:b w:val="0"/>
                <w:sz w:val="20"/>
              </w:rPr>
              <w:t>10,00</w:t>
            </w:r>
          </w:p>
        </w:tc>
      </w:tr>
      <w:tr w:rsidR="00000000">
        <w:tblPrEx>
          <w:tblCellMar>
            <w:top w:w="0" w:type="dxa"/>
            <w:bottom w:w="0" w:type="dxa"/>
          </w:tblCellMar>
        </w:tblPrEx>
        <w:trPr>
          <w:cantSplit/>
          <w:jc w:val="center"/>
        </w:trPr>
        <w:tc>
          <w:tcPr>
            <w:tcW w:w="1418" w:type="dxa"/>
            <w:tcBorders>
              <w:top w:val="nil"/>
            </w:tcBorders>
          </w:tcPr>
          <w:p w:rsidR="00000000" w:rsidRDefault="00000000">
            <w:pPr>
              <w:pStyle w:val="Title"/>
              <w:tabs>
                <w:tab w:val="left" w:pos="680"/>
              </w:tabs>
              <w:spacing w:before="40" w:after="20"/>
              <w:jc w:val="both"/>
              <w:rPr>
                <w:b w:val="0"/>
                <w:sz w:val="20"/>
              </w:rPr>
            </w:pPr>
            <w:r>
              <w:rPr>
                <w:b w:val="0"/>
                <w:sz w:val="20"/>
              </w:rPr>
              <w:t xml:space="preserve">Лимон </w:t>
            </w:r>
          </w:p>
        </w:tc>
        <w:tc>
          <w:tcPr>
            <w:tcW w:w="737" w:type="dxa"/>
            <w:tcBorders>
              <w:top w:val="nil"/>
            </w:tcBorders>
          </w:tcPr>
          <w:p w:rsidR="00000000" w:rsidRDefault="00000000">
            <w:pPr>
              <w:pStyle w:val="Title"/>
              <w:tabs>
                <w:tab w:val="left" w:pos="680"/>
              </w:tabs>
              <w:spacing w:before="40" w:after="20"/>
              <w:rPr>
                <w:b w:val="0"/>
                <w:sz w:val="20"/>
              </w:rPr>
            </w:pPr>
            <w:r>
              <w:rPr>
                <w:b w:val="0"/>
                <w:sz w:val="20"/>
              </w:rPr>
              <w:t>500</w:t>
            </w:r>
          </w:p>
        </w:tc>
        <w:tc>
          <w:tcPr>
            <w:tcW w:w="737" w:type="dxa"/>
            <w:tcBorders>
              <w:top w:val="nil"/>
            </w:tcBorders>
          </w:tcPr>
          <w:p w:rsidR="00000000" w:rsidRDefault="00000000">
            <w:pPr>
              <w:pStyle w:val="Title"/>
              <w:tabs>
                <w:tab w:val="left" w:pos="680"/>
              </w:tabs>
              <w:spacing w:before="40" w:after="20"/>
              <w:rPr>
                <w:b w:val="0"/>
                <w:sz w:val="20"/>
              </w:rPr>
            </w:pPr>
            <w:r>
              <w:rPr>
                <w:b w:val="0"/>
                <w:sz w:val="20"/>
              </w:rPr>
              <w:t>9,78</w:t>
            </w:r>
          </w:p>
        </w:tc>
        <w:tc>
          <w:tcPr>
            <w:tcW w:w="737" w:type="dxa"/>
            <w:tcBorders>
              <w:top w:val="nil"/>
            </w:tcBorders>
          </w:tcPr>
          <w:p w:rsidR="00000000" w:rsidRDefault="00000000">
            <w:pPr>
              <w:pStyle w:val="Title"/>
              <w:tabs>
                <w:tab w:val="left" w:pos="680"/>
              </w:tabs>
              <w:spacing w:before="40" w:after="20"/>
              <w:rPr>
                <w:b w:val="0"/>
                <w:sz w:val="20"/>
              </w:rPr>
            </w:pPr>
            <w:r>
              <w:rPr>
                <w:b w:val="0"/>
                <w:sz w:val="20"/>
              </w:rPr>
              <w:t>1 407</w:t>
            </w:r>
          </w:p>
        </w:tc>
        <w:tc>
          <w:tcPr>
            <w:tcW w:w="737" w:type="dxa"/>
            <w:tcBorders>
              <w:top w:val="nil"/>
            </w:tcBorders>
          </w:tcPr>
          <w:p w:rsidR="00000000" w:rsidRDefault="00000000">
            <w:pPr>
              <w:pStyle w:val="Title"/>
              <w:tabs>
                <w:tab w:val="left" w:pos="680"/>
              </w:tabs>
              <w:spacing w:before="40" w:after="20"/>
              <w:rPr>
                <w:b w:val="0"/>
                <w:sz w:val="20"/>
              </w:rPr>
            </w:pPr>
            <w:r>
              <w:rPr>
                <w:b w:val="0"/>
                <w:sz w:val="20"/>
              </w:rPr>
              <w:t>9,20</w:t>
            </w:r>
          </w:p>
        </w:tc>
        <w:tc>
          <w:tcPr>
            <w:tcW w:w="737" w:type="dxa"/>
            <w:tcBorders>
              <w:top w:val="nil"/>
            </w:tcBorders>
          </w:tcPr>
          <w:p w:rsidR="00000000" w:rsidRDefault="00000000">
            <w:pPr>
              <w:pStyle w:val="Title"/>
              <w:tabs>
                <w:tab w:val="left" w:pos="680"/>
              </w:tabs>
              <w:spacing w:before="40" w:after="20"/>
              <w:rPr>
                <w:b w:val="0"/>
                <w:sz w:val="20"/>
              </w:rPr>
            </w:pPr>
            <w:r>
              <w:rPr>
                <w:b w:val="0"/>
                <w:sz w:val="20"/>
              </w:rPr>
              <w:t>2 201</w:t>
            </w:r>
          </w:p>
        </w:tc>
        <w:tc>
          <w:tcPr>
            <w:tcW w:w="737" w:type="dxa"/>
            <w:tcBorders>
              <w:top w:val="nil"/>
            </w:tcBorders>
          </w:tcPr>
          <w:p w:rsidR="00000000" w:rsidRDefault="00000000">
            <w:pPr>
              <w:pStyle w:val="Title"/>
              <w:tabs>
                <w:tab w:val="left" w:pos="680"/>
              </w:tabs>
              <w:spacing w:before="40" w:after="20"/>
              <w:rPr>
                <w:b w:val="0"/>
                <w:sz w:val="20"/>
              </w:rPr>
            </w:pPr>
            <w:r>
              <w:rPr>
                <w:b w:val="0"/>
                <w:sz w:val="20"/>
              </w:rPr>
              <w:t>10,50</w:t>
            </w:r>
          </w:p>
        </w:tc>
        <w:tc>
          <w:tcPr>
            <w:tcW w:w="737" w:type="dxa"/>
            <w:tcBorders>
              <w:top w:val="nil"/>
            </w:tcBorders>
          </w:tcPr>
          <w:p w:rsidR="00000000" w:rsidRDefault="00000000">
            <w:pPr>
              <w:pStyle w:val="Title"/>
              <w:tabs>
                <w:tab w:val="left" w:pos="680"/>
              </w:tabs>
              <w:spacing w:before="40" w:after="20"/>
              <w:rPr>
                <w:b w:val="0"/>
                <w:sz w:val="20"/>
              </w:rPr>
            </w:pPr>
            <w:r>
              <w:rPr>
                <w:b w:val="0"/>
                <w:sz w:val="20"/>
              </w:rPr>
              <w:t>2 675</w:t>
            </w:r>
          </w:p>
        </w:tc>
        <w:tc>
          <w:tcPr>
            <w:tcW w:w="737" w:type="dxa"/>
            <w:tcBorders>
              <w:top w:val="nil"/>
            </w:tcBorders>
          </w:tcPr>
          <w:p w:rsidR="00000000" w:rsidRDefault="00000000">
            <w:pPr>
              <w:pStyle w:val="Title"/>
              <w:tabs>
                <w:tab w:val="left" w:pos="680"/>
              </w:tabs>
              <w:spacing w:before="40" w:after="20"/>
              <w:rPr>
                <w:b w:val="0"/>
                <w:sz w:val="20"/>
              </w:rPr>
            </w:pPr>
            <w:r>
              <w:rPr>
                <w:b w:val="0"/>
                <w:sz w:val="20"/>
              </w:rPr>
              <w:t>10,10</w:t>
            </w:r>
          </w:p>
        </w:tc>
        <w:tc>
          <w:tcPr>
            <w:tcW w:w="737" w:type="dxa"/>
            <w:tcBorders>
              <w:top w:val="nil"/>
            </w:tcBorders>
          </w:tcPr>
          <w:p w:rsidR="00000000" w:rsidRDefault="00000000">
            <w:pPr>
              <w:pStyle w:val="Title"/>
              <w:tabs>
                <w:tab w:val="left" w:pos="680"/>
              </w:tabs>
              <w:spacing w:before="40" w:after="20"/>
              <w:rPr>
                <w:b w:val="0"/>
                <w:sz w:val="20"/>
              </w:rPr>
            </w:pPr>
            <w:r>
              <w:rPr>
                <w:b w:val="0"/>
                <w:sz w:val="20"/>
              </w:rPr>
              <w:t>3</w:t>
            </w:r>
            <w:r>
              <w:rPr>
                <w:b w:val="0"/>
                <w:sz w:val="20"/>
                <w:lang w:val="en-US"/>
              </w:rPr>
              <w:t xml:space="preserve"> </w:t>
            </w:r>
            <w:r>
              <w:rPr>
                <w:b w:val="0"/>
                <w:sz w:val="20"/>
              </w:rPr>
              <w:t>133</w:t>
            </w:r>
          </w:p>
        </w:tc>
        <w:tc>
          <w:tcPr>
            <w:tcW w:w="737" w:type="dxa"/>
            <w:tcBorders>
              <w:top w:val="nil"/>
            </w:tcBorders>
          </w:tcPr>
          <w:p w:rsidR="00000000" w:rsidRDefault="00000000">
            <w:pPr>
              <w:pStyle w:val="Title"/>
              <w:tabs>
                <w:tab w:val="left" w:pos="680"/>
              </w:tabs>
              <w:spacing w:before="40" w:after="20"/>
              <w:rPr>
                <w:b w:val="0"/>
                <w:sz w:val="20"/>
              </w:rPr>
            </w:pPr>
            <w:r>
              <w:rPr>
                <w:b w:val="0"/>
                <w:sz w:val="20"/>
              </w:rPr>
              <w:t>9,60</w:t>
            </w:r>
          </w:p>
        </w:tc>
      </w:tr>
    </w:tbl>
    <w:p w:rsidR="00000000" w:rsidRDefault="00000000">
      <w:pPr>
        <w:pStyle w:val="Title"/>
        <w:tabs>
          <w:tab w:val="left" w:pos="680"/>
        </w:tabs>
        <w:spacing w:before="120" w:line="260" w:lineRule="exact"/>
        <w:jc w:val="both"/>
        <w:rPr>
          <w:b w:val="0"/>
          <w:sz w:val="20"/>
        </w:rPr>
      </w:pPr>
      <w:r>
        <w:rPr>
          <w:sz w:val="20"/>
        </w:rPr>
        <w:t>Источник:</w:t>
      </w:r>
      <w:r>
        <w:rPr>
          <w:b w:val="0"/>
          <w:sz w:val="20"/>
        </w:rPr>
        <w:t xml:space="preserve"> Статистические ежегодники органов судебной власти</w:t>
      </w:r>
      <w:r>
        <w:rPr>
          <w:b w:val="0"/>
          <w:sz w:val="20"/>
          <w:lang w:val="es-ES"/>
        </w:rPr>
        <w:t xml:space="preserve"> 1990</w:t>
      </w:r>
      <w:r>
        <w:rPr>
          <w:b w:val="0"/>
          <w:sz w:val="20"/>
        </w:rPr>
        <w:t>–</w:t>
      </w:r>
      <w:r>
        <w:rPr>
          <w:b w:val="0"/>
          <w:sz w:val="20"/>
          <w:lang w:val="es-ES"/>
        </w:rPr>
        <w:t xml:space="preserve">1999 </w:t>
      </w:r>
      <w:r>
        <w:rPr>
          <w:b w:val="0"/>
          <w:sz w:val="20"/>
        </w:rPr>
        <w:t xml:space="preserve">годов </w:t>
      </w:r>
      <w:r>
        <w:rPr>
          <w:b w:val="0"/>
          <w:sz w:val="20"/>
          <w:lang w:val="es-ES"/>
        </w:rPr>
        <w:t xml:space="preserve">и </w:t>
      </w:r>
      <w:r>
        <w:rPr>
          <w:b w:val="0"/>
          <w:sz w:val="20"/>
        </w:rPr>
        <w:t>Д</w:t>
      </w:r>
      <w:r>
        <w:rPr>
          <w:b w:val="0"/>
          <w:sz w:val="20"/>
          <w:lang w:val="es-ES"/>
        </w:rPr>
        <w:t>епартамента планирования органов судебной власти</w:t>
      </w:r>
      <w:r>
        <w:rPr>
          <w:b w:val="0"/>
          <w:sz w:val="20"/>
        </w:rPr>
        <w:t>.</w:t>
      </w:r>
    </w:p>
    <w:p w:rsidR="00000000" w:rsidRDefault="00000000">
      <w:pPr>
        <w:pStyle w:val="Title"/>
        <w:tabs>
          <w:tab w:val="left" w:pos="680"/>
        </w:tabs>
        <w:spacing w:before="240" w:line="260" w:lineRule="exact"/>
        <w:jc w:val="both"/>
        <w:rPr>
          <w:b w:val="0"/>
          <w:sz w:val="22"/>
          <w:lang w:val="es-ES"/>
        </w:rPr>
      </w:pPr>
      <w:r>
        <w:rPr>
          <w:b w:val="0"/>
          <w:sz w:val="22"/>
          <w:lang w:val="es-ES"/>
        </w:rPr>
        <w:t>509.</w:t>
      </w:r>
      <w:r>
        <w:rPr>
          <w:b w:val="0"/>
          <w:sz w:val="22"/>
        </w:rPr>
        <w:tab/>
      </w:r>
      <w:r>
        <w:rPr>
          <w:b w:val="0"/>
          <w:sz w:val="22"/>
          <w:lang w:val="es-ES"/>
        </w:rPr>
        <w:t xml:space="preserve">В Сан-Хосе было подано больше всего заявлений с просьбой об обеспечении мер защиты, причем их количество росло из года в год; в провинциях Картаго и Гуанакасте наблюдалась обратная тенденция. Следует отметить, однако, что процентные показатели в разбивке по провинциям практически соответствуют процентному соотношению </w:t>
      </w:r>
      <w:r>
        <w:rPr>
          <w:b w:val="0"/>
          <w:sz w:val="22"/>
        </w:rPr>
        <w:t>численности</w:t>
      </w:r>
      <w:r>
        <w:rPr>
          <w:b w:val="0"/>
          <w:sz w:val="22"/>
          <w:lang w:val="es-ES"/>
        </w:rPr>
        <w:t xml:space="preserve"> населения, проживающего в этих провинциях. Данный факт можно трактовать как свидетельство того, что на всей территории страны женщинам предоставлена равная возможность пользоваться своим правом требовать обеспечение мер защиты. Этому в немалой степени способствовали совместные усилия, предпринятые женскими неправительствеными организациями и государственными учреждениями</w:t>
      </w:r>
      <w:r>
        <w:rPr>
          <w:b w:val="0"/>
          <w:sz w:val="22"/>
        </w:rPr>
        <w:t>,</w:t>
      </w:r>
      <w:r>
        <w:rPr>
          <w:b w:val="0"/>
          <w:sz w:val="22"/>
          <w:lang w:val="es-ES"/>
        </w:rPr>
        <w:t xml:space="preserve"> с тем чтобы распространять информацию о принятом законе и консультировать женщин по вопросам, связанным с </w:t>
      </w:r>
      <w:r>
        <w:rPr>
          <w:b w:val="0"/>
          <w:sz w:val="22"/>
        </w:rPr>
        <w:t>применением</w:t>
      </w:r>
      <w:r>
        <w:rPr>
          <w:b w:val="0"/>
          <w:sz w:val="22"/>
          <w:lang w:val="es-ES"/>
        </w:rPr>
        <w:t xml:space="preserve"> эт</w:t>
      </w:r>
      <w:r>
        <w:rPr>
          <w:b w:val="0"/>
          <w:sz w:val="22"/>
        </w:rPr>
        <w:t>ого</w:t>
      </w:r>
      <w:r>
        <w:rPr>
          <w:b w:val="0"/>
          <w:sz w:val="22"/>
          <w:lang w:val="es-ES"/>
        </w:rPr>
        <w:t xml:space="preserve"> закон</w:t>
      </w:r>
      <w:r>
        <w:rPr>
          <w:b w:val="0"/>
          <w:sz w:val="22"/>
        </w:rPr>
        <w:t>а</w:t>
      </w:r>
      <w:r>
        <w:rPr>
          <w:b w:val="0"/>
          <w:sz w:val="22"/>
          <w:lang w:val="es-ES"/>
        </w:rPr>
        <w:t>.</w:t>
      </w:r>
    </w:p>
    <w:p w:rsidR="00000000" w:rsidRDefault="00000000">
      <w:pPr>
        <w:pStyle w:val="Title"/>
        <w:tabs>
          <w:tab w:val="left" w:pos="680"/>
        </w:tabs>
        <w:spacing w:before="240" w:line="260" w:lineRule="exact"/>
        <w:jc w:val="both"/>
        <w:rPr>
          <w:b w:val="0"/>
          <w:sz w:val="22"/>
          <w:lang w:val="es-ES"/>
        </w:rPr>
      </w:pPr>
      <w:r>
        <w:rPr>
          <w:b w:val="0"/>
          <w:sz w:val="22"/>
          <w:lang w:val="es-ES"/>
        </w:rPr>
        <w:t>510.</w:t>
      </w:r>
      <w:r>
        <w:rPr>
          <w:b w:val="0"/>
          <w:sz w:val="22"/>
        </w:rPr>
        <w:tab/>
      </w:r>
      <w:r>
        <w:rPr>
          <w:b w:val="0"/>
          <w:sz w:val="22"/>
          <w:lang w:val="es-ES"/>
        </w:rPr>
        <w:t xml:space="preserve">Эффективность указанного правового </w:t>
      </w:r>
      <w:r>
        <w:rPr>
          <w:b w:val="0"/>
          <w:sz w:val="22"/>
        </w:rPr>
        <w:t>инструмента</w:t>
      </w:r>
      <w:r>
        <w:rPr>
          <w:b w:val="0"/>
          <w:sz w:val="22"/>
          <w:lang w:val="es-ES"/>
        </w:rPr>
        <w:t xml:space="preserve"> зависит от того, будут ли временные меры защиты, которые судья назначает в момент подачи заявления, иметь дальнейшую силу после явки в суд на слушание дела для рассмотрения доказательств. Данный вопрос представляет собой одну из самых серьезных проблем, поскольку в 1997 году только 19,50</w:t>
      </w:r>
      <w:r>
        <w:rPr>
          <w:b w:val="0"/>
          <w:sz w:val="22"/>
        </w:rPr>
        <w:t> процента</w:t>
      </w:r>
      <w:r>
        <w:rPr>
          <w:b w:val="0"/>
          <w:sz w:val="22"/>
          <w:lang w:val="es-ES"/>
        </w:rPr>
        <w:t xml:space="preserve"> временных мер имели дальнейшую силу, к 2000 году ситуация немного изменилась в лучшую сторону, хотя на тот момент аналогичный показатель составил лишь 29,11</w:t>
      </w:r>
      <w:r>
        <w:rPr>
          <w:b w:val="0"/>
          <w:sz w:val="22"/>
        </w:rPr>
        <w:t> процента</w:t>
      </w:r>
      <w:r>
        <w:rPr>
          <w:b w:val="0"/>
          <w:sz w:val="22"/>
          <w:lang w:val="es-ES"/>
        </w:rPr>
        <w:t>. В течение последних лет почти в половине случаев, когда дела были завершены, судья отменил временно принятые меры защиты, причем главной причиной подобных действий, как правило, является неявка пострадавшей на слушание дела (в 1999</w:t>
      </w:r>
      <w:r>
        <w:rPr>
          <w:b w:val="0"/>
          <w:sz w:val="22"/>
        </w:rPr>
        <w:t> </w:t>
      </w:r>
      <w:r>
        <w:rPr>
          <w:b w:val="0"/>
          <w:sz w:val="22"/>
          <w:lang w:val="es-ES"/>
        </w:rPr>
        <w:t>году – 68,6</w:t>
      </w:r>
      <w:r>
        <w:rPr>
          <w:b w:val="0"/>
          <w:sz w:val="22"/>
        </w:rPr>
        <w:t> процента</w:t>
      </w:r>
      <w:r>
        <w:rPr>
          <w:b w:val="0"/>
          <w:sz w:val="22"/>
          <w:lang w:val="es-ES"/>
        </w:rPr>
        <w:t xml:space="preserve"> от общего </w:t>
      </w:r>
      <w:r>
        <w:rPr>
          <w:b w:val="0"/>
          <w:sz w:val="22"/>
        </w:rPr>
        <w:t>количества</w:t>
      </w:r>
      <w:r>
        <w:rPr>
          <w:b w:val="0"/>
          <w:sz w:val="22"/>
          <w:lang w:val="es-ES"/>
        </w:rPr>
        <w:t xml:space="preserve"> дел, в ходе рассмотрения которых были отменены меры защиты, в 200</w:t>
      </w:r>
      <w:r>
        <w:rPr>
          <w:b w:val="0"/>
          <w:sz w:val="22"/>
        </w:rPr>
        <w:t>0</w:t>
      </w:r>
      <w:r>
        <w:rPr>
          <w:b w:val="0"/>
          <w:sz w:val="22"/>
          <w:lang w:val="es-ES"/>
        </w:rPr>
        <w:t xml:space="preserve"> году – 70,6</w:t>
      </w:r>
      <w:r>
        <w:rPr>
          <w:b w:val="0"/>
          <w:sz w:val="22"/>
        </w:rPr>
        <w:t xml:space="preserve"> процента</w:t>
      </w:r>
      <w:r>
        <w:rPr>
          <w:b w:val="0"/>
          <w:sz w:val="22"/>
          <w:lang w:val="es-ES"/>
        </w:rPr>
        <w:t xml:space="preserve">). </w:t>
      </w:r>
    </w:p>
    <w:p w:rsidR="00000000" w:rsidRDefault="00000000">
      <w:pPr>
        <w:pStyle w:val="Title"/>
        <w:tabs>
          <w:tab w:val="left" w:pos="680"/>
        </w:tabs>
        <w:spacing w:before="240" w:line="260" w:lineRule="exact"/>
        <w:jc w:val="both"/>
        <w:rPr>
          <w:b w:val="0"/>
          <w:sz w:val="22"/>
        </w:rPr>
      </w:pPr>
      <w:r>
        <w:rPr>
          <w:b w:val="0"/>
          <w:sz w:val="22"/>
          <w:lang w:val="es-ES"/>
        </w:rPr>
        <w:t>511.</w:t>
      </w:r>
      <w:r>
        <w:rPr>
          <w:b w:val="0"/>
          <w:sz w:val="22"/>
        </w:rPr>
        <w:tab/>
      </w:r>
      <w:r>
        <w:rPr>
          <w:b w:val="0"/>
          <w:sz w:val="22"/>
          <w:lang w:val="es-ES"/>
        </w:rPr>
        <w:t xml:space="preserve">Применение </w:t>
      </w:r>
      <w:r>
        <w:rPr>
          <w:b w:val="0"/>
          <w:sz w:val="22"/>
        </w:rPr>
        <w:t>Закона о борьбе с бытовым насилием столкнулось с противодействием и рядом трудностей. В данной области, как ни в какой другой, сильны вековые предрассудки, и, как следствие, понадобилось проведение многочисленных разъяснительных мероприятий и консультаций, а также вмешательство Верховного суда, представившего свои директивы для обеспечения применения единых критериев при рассмотрении подобных дел. Выполнению поставленной цели способствовала публикация органами судебной власти согласованного и дополненного комментариями текста Закона о борьбе с бытовым насилием (</w:t>
      </w:r>
      <w:r>
        <w:rPr>
          <w:b w:val="0"/>
          <w:sz w:val="22"/>
          <w:lang w:val="en-US"/>
        </w:rPr>
        <w:t>Poder</w:t>
      </w:r>
      <w:r>
        <w:rPr>
          <w:b w:val="0"/>
          <w:sz w:val="22"/>
        </w:rPr>
        <w:t xml:space="preserve"> </w:t>
      </w:r>
      <w:r>
        <w:rPr>
          <w:b w:val="0"/>
          <w:sz w:val="22"/>
          <w:lang w:val="en-US"/>
        </w:rPr>
        <w:t>Judicial</w:t>
      </w:r>
      <w:r>
        <w:rPr>
          <w:b w:val="0"/>
          <w:sz w:val="22"/>
        </w:rPr>
        <w:t>,</w:t>
      </w:r>
      <w:r>
        <w:rPr>
          <w:b w:val="0"/>
          <w:sz w:val="22"/>
          <w:lang w:val="es-ES"/>
        </w:rPr>
        <w:t xml:space="preserve"> s.f.</w:t>
      </w:r>
      <w:r>
        <w:rPr>
          <w:b w:val="0"/>
          <w:sz w:val="22"/>
        </w:rPr>
        <w:t>) и Руководства по процедуре применения Закона о борьбе с бытовым насилием</w:t>
      </w:r>
      <w:r>
        <w:rPr>
          <w:b w:val="0"/>
          <w:sz w:val="22"/>
          <w:lang w:val="es-ES"/>
        </w:rPr>
        <w:t xml:space="preserve"> </w:t>
      </w:r>
      <w:r>
        <w:rPr>
          <w:b w:val="0"/>
          <w:sz w:val="22"/>
        </w:rPr>
        <w:t>(</w:t>
      </w:r>
      <w:r>
        <w:rPr>
          <w:b w:val="0"/>
          <w:sz w:val="22"/>
          <w:lang w:val="en-US"/>
        </w:rPr>
        <w:t>Poder</w:t>
      </w:r>
      <w:r>
        <w:rPr>
          <w:b w:val="0"/>
          <w:sz w:val="22"/>
        </w:rPr>
        <w:t xml:space="preserve"> </w:t>
      </w:r>
      <w:r>
        <w:rPr>
          <w:b w:val="0"/>
          <w:sz w:val="22"/>
          <w:lang w:val="en-US"/>
        </w:rPr>
        <w:t>Judicial</w:t>
      </w:r>
      <w:r>
        <w:rPr>
          <w:b w:val="0"/>
          <w:sz w:val="22"/>
        </w:rPr>
        <w:t>,</w:t>
      </w:r>
      <w:r>
        <w:rPr>
          <w:b w:val="0"/>
          <w:sz w:val="22"/>
          <w:lang w:val="es-ES"/>
        </w:rPr>
        <w:t xml:space="preserve"> s.f.</w:t>
      </w:r>
      <w:r>
        <w:rPr>
          <w:b w:val="0"/>
          <w:sz w:val="22"/>
        </w:rPr>
        <w:t xml:space="preserve">). </w:t>
      </w:r>
      <w:r>
        <w:rPr>
          <w:b w:val="0"/>
          <w:sz w:val="22"/>
          <w:lang w:val="es-ES"/>
        </w:rPr>
        <w:t xml:space="preserve">Кроме того, был издан специальный циркуляр, в котором содержались базовые принципы применения этого закона </w:t>
      </w:r>
      <w:r>
        <w:rPr>
          <w:b w:val="0"/>
          <w:sz w:val="22"/>
        </w:rPr>
        <w:t>(</w:t>
      </w:r>
      <w:r>
        <w:rPr>
          <w:b w:val="0"/>
          <w:sz w:val="22"/>
          <w:lang w:val="en-US"/>
        </w:rPr>
        <w:t>Poder</w:t>
      </w:r>
      <w:r>
        <w:rPr>
          <w:b w:val="0"/>
          <w:sz w:val="22"/>
        </w:rPr>
        <w:t xml:space="preserve"> </w:t>
      </w:r>
      <w:r>
        <w:rPr>
          <w:b w:val="0"/>
          <w:sz w:val="22"/>
          <w:lang w:val="en-US"/>
        </w:rPr>
        <w:t>Judicial</w:t>
      </w:r>
      <w:r>
        <w:rPr>
          <w:b w:val="0"/>
          <w:sz w:val="22"/>
        </w:rPr>
        <w:t>, 1999)</w:t>
      </w:r>
      <w:r>
        <w:rPr>
          <w:b w:val="0"/>
          <w:sz w:val="22"/>
          <w:lang w:val="es-ES"/>
        </w:rPr>
        <w:t xml:space="preserve">. Несмотря на приложенные усилия, суды по-прежнему руководствуются разными критериями при применении </w:t>
      </w:r>
      <w:r>
        <w:rPr>
          <w:b w:val="0"/>
          <w:sz w:val="22"/>
        </w:rPr>
        <w:t>Закона о борьбе с бытовым насилием, о чем свидетельствует разница в показателях оставления в силе принятых мер защиты, которые регистрируются в разных судах (</w:t>
      </w:r>
      <w:r>
        <w:rPr>
          <w:b w:val="0"/>
          <w:sz w:val="22"/>
          <w:lang w:val="en-US"/>
        </w:rPr>
        <w:t>Carcedo</w:t>
      </w:r>
      <w:r>
        <w:rPr>
          <w:b w:val="0"/>
          <w:sz w:val="22"/>
        </w:rPr>
        <w:t>, 2001).</w:t>
      </w:r>
    </w:p>
    <w:p w:rsidR="00000000" w:rsidRDefault="00000000">
      <w:pPr>
        <w:pStyle w:val="Title"/>
        <w:tabs>
          <w:tab w:val="left" w:pos="680"/>
        </w:tabs>
        <w:spacing w:before="240" w:line="260" w:lineRule="exact"/>
        <w:jc w:val="both"/>
        <w:rPr>
          <w:b w:val="0"/>
          <w:sz w:val="22"/>
        </w:rPr>
      </w:pPr>
      <w:r>
        <w:rPr>
          <w:b w:val="0"/>
          <w:sz w:val="22"/>
        </w:rPr>
        <w:t>512.</w:t>
      </w:r>
      <w:r>
        <w:rPr>
          <w:b w:val="0"/>
          <w:sz w:val="22"/>
        </w:rPr>
        <w:tab/>
        <w:t>Еще одной проблемой является до сих пор действующая в судах практика заключения мировых соглашений между пострадавшей женщиной и нападавшим, несмотря на то что такая процедура не предусмотрена законом и, следовательно, является неправомерной. Кроме того, следует отметить, что подобная практика весьма опасна (</w:t>
      </w:r>
      <w:r>
        <w:rPr>
          <w:b w:val="0"/>
          <w:sz w:val="22"/>
          <w:lang w:val="en-US"/>
        </w:rPr>
        <w:t>Carcedo</w:t>
      </w:r>
      <w:r>
        <w:rPr>
          <w:b w:val="0"/>
          <w:sz w:val="22"/>
        </w:rPr>
        <w:t>, 2001).</w:t>
      </w:r>
    </w:p>
    <w:p w:rsidR="00000000" w:rsidRDefault="00000000">
      <w:pPr>
        <w:pStyle w:val="Title"/>
        <w:tabs>
          <w:tab w:val="left" w:pos="680"/>
        </w:tabs>
        <w:spacing w:before="240" w:line="260" w:lineRule="exact"/>
        <w:jc w:val="both"/>
        <w:rPr>
          <w:b w:val="0"/>
          <w:sz w:val="22"/>
        </w:rPr>
      </w:pPr>
      <w:r>
        <w:rPr>
          <w:b w:val="0"/>
          <w:sz w:val="22"/>
        </w:rPr>
        <w:t>513.</w:t>
      </w:r>
      <w:r>
        <w:rPr>
          <w:b w:val="0"/>
          <w:sz w:val="22"/>
        </w:rPr>
        <w:tab/>
        <w:t>Как мужчины, так и женщины могут прибегнуть к Закону о борьбе с бытовым насилием. Однако бóльшую часть обратившихся с просьбой об обеспечении мер защиты составляют женщины (89,60 процента), причем чаще всего они просят защитить их от своих сожителей или бывших сожителей (86,52 процента). Возраст большинства этих женщин составляет от 20 до 39 лет (62,08 процента) (</w:t>
      </w:r>
      <w:r>
        <w:rPr>
          <w:b w:val="0"/>
          <w:sz w:val="22"/>
          <w:lang w:val="en-US"/>
        </w:rPr>
        <w:t>Poder</w:t>
      </w:r>
      <w:r>
        <w:rPr>
          <w:b w:val="0"/>
          <w:sz w:val="22"/>
        </w:rPr>
        <w:t xml:space="preserve"> </w:t>
      </w:r>
      <w:r>
        <w:rPr>
          <w:b w:val="0"/>
          <w:sz w:val="22"/>
          <w:lang w:val="en-US"/>
        </w:rPr>
        <w:t>Judicial</w:t>
      </w:r>
      <w:r>
        <w:rPr>
          <w:b w:val="0"/>
          <w:sz w:val="22"/>
        </w:rPr>
        <w:t>,</w:t>
      </w:r>
      <w:r>
        <w:rPr>
          <w:b w:val="0"/>
          <w:sz w:val="22"/>
          <w:lang w:val="es-ES"/>
        </w:rPr>
        <w:t xml:space="preserve"> 1999 год, </w:t>
      </w:r>
      <w:r>
        <w:rPr>
          <w:b w:val="0"/>
          <w:sz w:val="22"/>
        </w:rPr>
        <w:t>рр</w:t>
      </w:r>
      <w:r>
        <w:rPr>
          <w:b w:val="0"/>
          <w:sz w:val="22"/>
          <w:lang w:val="es-ES"/>
        </w:rPr>
        <w:t>. 3</w:t>
      </w:r>
      <w:r>
        <w:rPr>
          <w:b w:val="0"/>
          <w:sz w:val="22"/>
        </w:rPr>
        <w:t>,</w:t>
      </w:r>
      <w:r>
        <w:rPr>
          <w:b w:val="0"/>
          <w:sz w:val="22"/>
          <w:lang w:val="es-ES"/>
        </w:rPr>
        <w:t xml:space="preserve"> 10</w:t>
      </w:r>
      <w:r>
        <w:rPr>
          <w:b w:val="0"/>
          <w:sz w:val="22"/>
        </w:rPr>
        <w:t>). Таким образом, речь идет прежде всего о женщинах репродуктивного возраста – жертвах насилия со стороны партнеров. Эти данные совпадают с данными о женщинах, которые становятся жертвами женоубийства (</w:t>
      </w:r>
      <w:r>
        <w:rPr>
          <w:b w:val="0"/>
          <w:sz w:val="22"/>
          <w:lang w:val="en-US"/>
        </w:rPr>
        <w:t>Carcedo</w:t>
      </w:r>
      <w:r>
        <w:rPr>
          <w:b w:val="0"/>
          <w:sz w:val="22"/>
        </w:rPr>
        <w:t>, 2001).</w:t>
      </w:r>
    </w:p>
    <w:p w:rsidR="00000000" w:rsidRDefault="00000000">
      <w:pPr>
        <w:pStyle w:val="Title"/>
        <w:tabs>
          <w:tab w:val="left" w:pos="680"/>
        </w:tabs>
        <w:spacing w:line="260" w:lineRule="exact"/>
        <w:jc w:val="both"/>
        <w:rPr>
          <w:b w:val="0"/>
          <w:sz w:val="22"/>
        </w:rPr>
      </w:pPr>
    </w:p>
    <w:p w:rsidR="00000000" w:rsidRDefault="00000000">
      <w:pPr>
        <w:pStyle w:val="Title"/>
        <w:tabs>
          <w:tab w:val="left" w:pos="680"/>
        </w:tabs>
        <w:spacing w:before="240" w:line="260" w:lineRule="exact"/>
        <w:jc w:val="both"/>
        <w:rPr>
          <w:sz w:val="22"/>
        </w:rPr>
      </w:pPr>
      <w:r>
        <w:rPr>
          <w:sz w:val="22"/>
        </w:rPr>
        <w:t>Мы нарушили молчание</w:t>
      </w:r>
    </w:p>
    <w:p w:rsidR="00000000" w:rsidRDefault="00000000">
      <w:pPr>
        <w:pStyle w:val="Title"/>
        <w:tabs>
          <w:tab w:val="left" w:pos="680"/>
        </w:tabs>
        <w:spacing w:before="240" w:line="260" w:lineRule="exact"/>
        <w:jc w:val="both"/>
        <w:rPr>
          <w:b w:val="0"/>
          <w:sz w:val="22"/>
        </w:rPr>
      </w:pPr>
      <w:r>
        <w:rPr>
          <w:b w:val="0"/>
          <w:sz w:val="22"/>
        </w:rPr>
        <w:t>514.</w:t>
      </w:r>
      <w:r>
        <w:rPr>
          <w:b w:val="0"/>
          <w:sz w:val="22"/>
        </w:rPr>
        <w:tab/>
        <w:t>Несмотря на то что ежегодное количество заявлений с просьбой обеспечить меры защиты значительно выросло, не все женщины прибегают к Закону о борьбе с бытовым насилием или другим правовым способам защиты, чтобы обезопасить себя от агрессии, жертвами которой они являются. Этот закон обеспечивает женщинам защиту только в случаях насилия в семье или во взаимоотношениях жениха и невесты, но не от других проявлений насилия, таких как сексуальное преследование, изнасилование, насилие со стороны лиц, которые не являются родственниками женщины, а также институционального насилия. Существуют службы и программы, которые помогают женщинам: выслушивают их проблемы, ведут просветительскую деятельность, оказывают эмоциональную поддержку, консультируют по правовым вопросам. Все это позволяет женщинам получить комплексную информацию по данной проблематике и лучше ориентироваться в том, какие действия им следует предпринять, в том числе в правовом плане (</w:t>
      </w:r>
      <w:r>
        <w:rPr>
          <w:b w:val="0"/>
          <w:sz w:val="22"/>
          <w:lang w:val="en-US"/>
        </w:rPr>
        <w:t>Carcedo</w:t>
      </w:r>
      <w:r>
        <w:rPr>
          <w:b w:val="0"/>
          <w:sz w:val="22"/>
        </w:rPr>
        <w:t xml:space="preserve">, 2001). </w:t>
      </w:r>
    </w:p>
    <w:p w:rsidR="00000000" w:rsidRDefault="00000000">
      <w:pPr>
        <w:pStyle w:val="Title"/>
        <w:tabs>
          <w:tab w:val="left" w:pos="680"/>
        </w:tabs>
        <w:spacing w:before="240" w:line="260" w:lineRule="exact"/>
        <w:jc w:val="both"/>
        <w:rPr>
          <w:b w:val="0"/>
          <w:sz w:val="22"/>
        </w:rPr>
      </w:pPr>
      <w:r>
        <w:rPr>
          <w:b w:val="0"/>
          <w:sz w:val="22"/>
        </w:rPr>
        <w:t>515.</w:t>
      </w:r>
      <w:r>
        <w:rPr>
          <w:b w:val="0"/>
          <w:sz w:val="22"/>
        </w:rPr>
        <w:tab/>
        <w:t>Одной из таких служб является телефонная линия 800-300-3000 "Нарушим молчание", которая была создана ИНАМУ и начала действовать в сентябре 1997 года. С тех пор эта служба не раз оказывала эмоциональную поддержку и давала консультации женщинам, пострадавшим от жестокого обращения, помогала им устроиться в специальные приюты, привлекала полицию к активному вмешательству в чрезвычайных ситуациях, отстаивала интересы женщин перед некоторыми государственными учреждениями, если они не выполнили своих обязанностей. Благодаря тому что эта служба бесплатная, в течение всего года работает по 12 часов в день и регулярно рекламирует свои услуги, она стала очень популярной у населения, значительно расширив возможности оказания помощи по телефону, которую такие женские организации, как СЕФЕМИНА и Союз женщин Коста-Рики, предоставляют с 1988 года. В 2000 и 2001 годах наблюдался значительный рост количества звонков, полученных по этой срочной линии, по сравнению с показателями за предыдущие четыре года: 5030 звонков в 1997 году, 8640 – в 1998 году, 5188 – в 1999 году, 12 304 – в 2000 году и 55 327 – в 2001 году. Увеличение количества звонков в течение последних двух лет говорит как о признании и популярности, которые получила эта линия, так и об успешном сотрудничестве с телефонной линией помощи в чрезвычайных ситуациях 911, с которой она начала взаимодействовать в 2001 году. Совместная деятельность позволила эффективнее напрямую оказывать комплексную помощь пострадавшим (</w:t>
      </w:r>
      <w:r>
        <w:rPr>
          <w:b w:val="0"/>
          <w:sz w:val="22"/>
          <w:lang w:val="en-US"/>
        </w:rPr>
        <w:t>Brenes</w:t>
      </w:r>
      <w:r>
        <w:rPr>
          <w:b w:val="0"/>
          <w:sz w:val="22"/>
        </w:rPr>
        <w:t xml:space="preserve">, </w:t>
      </w:r>
      <w:r>
        <w:rPr>
          <w:b w:val="0"/>
          <w:sz w:val="22"/>
          <w:lang w:val="en-US"/>
        </w:rPr>
        <w:t>M</w:t>
      </w:r>
      <w:r>
        <w:rPr>
          <w:b w:val="0"/>
          <w:sz w:val="22"/>
        </w:rPr>
        <w:t>é</w:t>
      </w:r>
      <w:r>
        <w:rPr>
          <w:b w:val="0"/>
          <w:sz w:val="22"/>
          <w:lang w:val="en-US"/>
        </w:rPr>
        <w:t>ndez</w:t>
      </w:r>
      <w:r>
        <w:rPr>
          <w:b w:val="0"/>
          <w:sz w:val="22"/>
        </w:rPr>
        <w:t>, 2002).</w:t>
      </w:r>
    </w:p>
    <w:p w:rsidR="00000000" w:rsidRDefault="00000000">
      <w:pPr>
        <w:pStyle w:val="Title"/>
        <w:tabs>
          <w:tab w:val="left" w:pos="680"/>
        </w:tabs>
        <w:spacing w:before="240" w:line="260" w:lineRule="exact"/>
        <w:jc w:val="both"/>
        <w:rPr>
          <w:b w:val="0"/>
          <w:sz w:val="22"/>
        </w:rPr>
      </w:pPr>
      <w:r>
        <w:rPr>
          <w:b w:val="0"/>
          <w:sz w:val="22"/>
        </w:rPr>
        <w:t>516.</w:t>
      </w:r>
      <w:r>
        <w:rPr>
          <w:b w:val="0"/>
          <w:sz w:val="22"/>
        </w:rPr>
        <w:tab/>
        <w:t xml:space="preserve">Граждане обращаются за помощью по линии "Нарушим молчание" при обстоятельствах, во многом схожих с теми, при которых подаются заявления в суд с просьбой об обеспечении мер защиты от бытового насилия, а также заявления, связанные со случаями женоубийства. Кроме того, лица, нуждающиеся в такой помощи, и лица, подающие заявления в суд, принадлежат к одним и тем же социальным группам. В процентном соотношении абсолютное большинство пострадавших от насилия составляют женщины, и хотя ежегодный показатель мог меняться, он никогда не опускался ниже 93 процентов. Жертвами насилия чаще всего становятся молодые и взрослые женщины в возрасте от 20 до 40 лет, половина из них – домохозяйки. В соответствии с имеющимися данными насильственные действия, как правило, совершают мужчины – ежегодно они составляют более 88 процентов от общего числа правонарушителей </w:t>
      </w:r>
      <w:r>
        <w:rPr>
          <w:b w:val="0"/>
          <w:sz w:val="22"/>
          <w:lang w:val="en-US"/>
        </w:rPr>
        <w:t>Carcedo</w:t>
      </w:r>
      <w:r>
        <w:rPr>
          <w:b w:val="0"/>
          <w:sz w:val="22"/>
        </w:rPr>
        <w:t xml:space="preserve">, 2001). </w:t>
      </w:r>
    </w:p>
    <w:p w:rsidR="00000000" w:rsidRDefault="00000000">
      <w:pPr>
        <w:pStyle w:val="Title"/>
        <w:tabs>
          <w:tab w:val="left" w:pos="680"/>
        </w:tabs>
        <w:spacing w:before="240" w:line="260" w:lineRule="exact"/>
        <w:jc w:val="both"/>
        <w:rPr>
          <w:b w:val="0"/>
          <w:sz w:val="22"/>
        </w:rPr>
      </w:pPr>
      <w:r>
        <w:rPr>
          <w:b w:val="0"/>
          <w:sz w:val="22"/>
        </w:rPr>
        <w:t>517.</w:t>
      </w:r>
      <w:r>
        <w:rPr>
          <w:b w:val="0"/>
          <w:sz w:val="22"/>
        </w:rPr>
        <w:tab/>
        <w:t>Почти все позвонившие по линии "Нарушим молчание" сообщали о фактах эмоционального насилия, почти половина позвонивших – физического насилия, каждая третья звонившая жаловалась на материальное насилие и каждая десятая – на различные формы сексуального насилия. Каждой из четырех женщин, обратившихся за помощью в 2000 году, угрожали смертью, на 12 процентов женщин были совершены нападения с применением оружия. Эти данные отражают степень опасности насилия, от которого страдают тысячи женщин Коста-Рики, и риска, которому подвергается их жизнь (</w:t>
      </w:r>
      <w:r>
        <w:rPr>
          <w:b w:val="0"/>
          <w:sz w:val="22"/>
          <w:lang w:val="en-US"/>
        </w:rPr>
        <w:t>Carcedo</w:t>
      </w:r>
      <w:r>
        <w:rPr>
          <w:b w:val="0"/>
          <w:sz w:val="22"/>
        </w:rPr>
        <w:t>, 2001).</w:t>
      </w:r>
    </w:p>
    <w:p w:rsidR="00000000" w:rsidRDefault="00000000">
      <w:pPr>
        <w:pStyle w:val="Title"/>
        <w:tabs>
          <w:tab w:val="left" w:pos="680"/>
        </w:tabs>
        <w:spacing w:before="240" w:line="260" w:lineRule="exact"/>
        <w:jc w:val="both"/>
        <w:rPr>
          <w:b w:val="0"/>
          <w:sz w:val="22"/>
        </w:rPr>
      </w:pPr>
      <w:r>
        <w:rPr>
          <w:b w:val="0"/>
          <w:sz w:val="22"/>
        </w:rPr>
        <w:t>518.</w:t>
      </w:r>
      <w:r>
        <w:rPr>
          <w:b w:val="0"/>
          <w:sz w:val="22"/>
        </w:rPr>
        <w:tab/>
        <w:t>Отдел по делам женщин является еще одним из учреждений, куда ежегодно обращаются за помощью многие женщины. Отдел был создан президентским указом в 1990 году и первоначально имел полицейские функции, поскольку находился в подчинении у Министерства общественной безопасности, однако впоследствии характер его деятельности стал постепенно меняться. В настоящее время Отдел представляет собой программу ИНАМУ, в рамках которой женщинам и их детям предоставляются необходимая информация и консультации, в том числе юридические, оказывается эмоциональная поддержка, а также осуществляется управление некоторыми государственными службами.</w:t>
      </w:r>
    </w:p>
    <w:p w:rsidR="00000000" w:rsidRDefault="00000000">
      <w:pPr>
        <w:pStyle w:val="Title"/>
        <w:tabs>
          <w:tab w:val="left" w:pos="680"/>
        </w:tabs>
        <w:spacing w:before="240" w:line="260" w:lineRule="exact"/>
        <w:jc w:val="both"/>
        <w:rPr>
          <w:b w:val="0"/>
          <w:sz w:val="22"/>
        </w:rPr>
      </w:pPr>
      <w:r>
        <w:rPr>
          <w:b w:val="0"/>
          <w:sz w:val="22"/>
        </w:rPr>
        <w:t>519.</w:t>
      </w:r>
      <w:r>
        <w:rPr>
          <w:b w:val="0"/>
          <w:sz w:val="22"/>
        </w:rPr>
        <w:tab/>
        <w:t xml:space="preserve">В 1999 году Отдел по делам женщин ИНАМУ оказал помощь женщинам в </w:t>
      </w:r>
      <w:r>
        <w:rPr>
          <w:b w:val="0"/>
          <w:sz w:val="22"/>
        </w:rPr>
        <w:br/>
        <w:t>5188 случаях, в 2000 году – в 4837 случаях и в 2001 году – в 5403 случаях (</w:t>
      </w:r>
      <w:r>
        <w:rPr>
          <w:b w:val="0"/>
          <w:sz w:val="22"/>
          <w:lang w:val="en-US"/>
        </w:rPr>
        <w:t>Brenes</w:t>
      </w:r>
      <w:r>
        <w:rPr>
          <w:b w:val="0"/>
          <w:sz w:val="22"/>
        </w:rPr>
        <w:t xml:space="preserve">, </w:t>
      </w:r>
      <w:r>
        <w:rPr>
          <w:b w:val="0"/>
          <w:sz w:val="22"/>
          <w:lang w:val="en-US"/>
        </w:rPr>
        <w:t>M</w:t>
      </w:r>
      <w:r>
        <w:rPr>
          <w:b w:val="0"/>
          <w:sz w:val="22"/>
        </w:rPr>
        <w:t>é</w:t>
      </w:r>
      <w:r>
        <w:rPr>
          <w:b w:val="0"/>
          <w:sz w:val="22"/>
          <w:lang w:val="en-US"/>
        </w:rPr>
        <w:t>ndez</w:t>
      </w:r>
      <w:r>
        <w:rPr>
          <w:b w:val="0"/>
          <w:sz w:val="22"/>
        </w:rPr>
        <w:t>, 2002).</w:t>
      </w:r>
    </w:p>
    <w:p w:rsidR="00000000" w:rsidRDefault="00000000">
      <w:pPr>
        <w:pStyle w:val="Title"/>
        <w:tabs>
          <w:tab w:val="left" w:pos="680"/>
        </w:tabs>
        <w:spacing w:before="240" w:line="260" w:lineRule="exact"/>
        <w:jc w:val="both"/>
        <w:rPr>
          <w:b w:val="0"/>
          <w:sz w:val="22"/>
        </w:rPr>
      </w:pPr>
      <w:r>
        <w:rPr>
          <w:b w:val="0"/>
          <w:sz w:val="22"/>
        </w:rPr>
        <w:t>520.</w:t>
      </w:r>
      <w:r>
        <w:rPr>
          <w:b w:val="0"/>
          <w:sz w:val="22"/>
        </w:rPr>
        <w:tab/>
        <w:t>Анализ данных показывает, что одной из главных причин, которая заставляла женщин обращаться за помощью в Отдел по делам женщин ИНАМУ, является физическое насилие со стороны партнера или бывшего партнера, а иногда со стороны жениха. Однако, как хорошо известно, такие женщины обычно оказывались жертвами нескольких форм насилия, а в некоторых случаях – жестокого обращения со стороны нескольких человек (</w:t>
      </w:r>
      <w:r>
        <w:rPr>
          <w:b w:val="0"/>
          <w:sz w:val="22"/>
          <w:lang w:val="en-US"/>
        </w:rPr>
        <w:t>Carcedo</w:t>
      </w:r>
      <w:r>
        <w:rPr>
          <w:b w:val="0"/>
          <w:sz w:val="22"/>
        </w:rPr>
        <w:t>, 2001).</w:t>
      </w:r>
    </w:p>
    <w:p w:rsidR="00000000" w:rsidRDefault="00000000">
      <w:pPr>
        <w:pStyle w:val="Title"/>
        <w:tabs>
          <w:tab w:val="left" w:pos="680"/>
        </w:tabs>
        <w:spacing w:before="240" w:line="260" w:lineRule="exact"/>
        <w:jc w:val="both"/>
        <w:rPr>
          <w:b w:val="0"/>
          <w:sz w:val="22"/>
          <w:lang w:val="es-ES"/>
        </w:rPr>
      </w:pPr>
      <w:r>
        <w:rPr>
          <w:b w:val="0"/>
          <w:sz w:val="22"/>
          <w:lang w:val="es-ES"/>
        </w:rPr>
        <w:t>521.</w:t>
      </w:r>
      <w:r>
        <w:rPr>
          <w:b w:val="0"/>
          <w:sz w:val="22"/>
        </w:rPr>
        <w:tab/>
      </w:r>
      <w:r>
        <w:rPr>
          <w:b w:val="0"/>
          <w:sz w:val="22"/>
          <w:lang w:val="es-ES"/>
        </w:rPr>
        <w:t xml:space="preserve">Сведения о национальности женщин, обратившихся в </w:t>
      </w:r>
      <w:r>
        <w:rPr>
          <w:b w:val="0"/>
          <w:sz w:val="22"/>
        </w:rPr>
        <w:t>Отдел по делам женщин, показывают, что не существует различий по национальному признаку для обращений за помощью. Все это способствует обеспечению защиты прав всех жителей страны, а не только ее граждан. Полученные данные свидетельствуют также – как и данные исследования по статистике женоубийств, – что большинство насильственных действий совершаются коста-риканцами (85 процентов) (</w:t>
      </w:r>
      <w:r>
        <w:rPr>
          <w:b w:val="0"/>
          <w:sz w:val="22"/>
          <w:lang w:val="en-US"/>
        </w:rPr>
        <w:t>Carcedo</w:t>
      </w:r>
      <w:r>
        <w:rPr>
          <w:b w:val="0"/>
          <w:sz w:val="22"/>
        </w:rPr>
        <w:t>, 2001).</w:t>
      </w:r>
    </w:p>
    <w:p w:rsidR="00000000" w:rsidRDefault="00000000">
      <w:pPr>
        <w:pStyle w:val="Title"/>
        <w:tabs>
          <w:tab w:val="left" w:pos="680"/>
        </w:tabs>
        <w:spacing w:before="240" w:line="260" w:lineRule="exact"/>
        <w:jc w:val="both"/>
        <w:rPr>
          <w:b w:val="0"/>
          <w:sz w:val="22"/>
        </w:rPr>
      </w:pPr>
      <w:r>
        <w:rPr>
          <w:b w:val="0"/>
          <w:sz w:val="22"/>
          <w:lang w:val="es-ES"/>
        </w:rPr>
        <w:t>522.</w:t>
      </w:r>
      <w:r>
        <w:rPr>
          <w:b w:val="0"/>
          <w:sz w:val="22"/>
        </w:rPr>
        <w:tab/>
      </w:r>
      <w:r>
        <w:rPr>
          <w:b w:val="0"/>
          <w:sz w:val="22"/>
          <w:lang w:val="es-ES"/>
        </w:rPr>
        <w:t xml:space="preserve">Поскольку </w:t>
      </w:r>
      <w:r>
        <w:rPr>
          <w:b w:val="0"/>
          <w:sz w:val="22"/>
        </w:rPr>
        <w:t>Отдел по делам женщин находится в Сан-Хосе, не все женщины, проживающие в других провинциях, могут прибегнуть к его услугам, хотя они составляют 16 процентов от общего числа обратившихся за помощью. В столицах некоторых провинций и регионов действуют Управления по делам женщин, которые предоставляют женщинам помощь, аналогичную той, что оказывает Отдел по делам женщин. Однако управления не располагают такими средствами, которые имеются у Отдела по делам женщин, и нехватка ресурсов значительно ограничивает их деятельность. Но более всего усложняют их работу политические изменения в стране, поскольку само существование таких управлений и наличие у них хотя бы минимальных средств находится в зависимости от решения местных властей (</w:t>
      </w:r>
      <w:r>
        <w:rPr>
          <w:b w:val="0"/>
          <w:sz w:val="22"/>
          <w:lang w:val="en-US"/>
        </w:rPr>
        <w:t>Carcedo</w:t>
      </w:r>
      <w:r>
        <w:rPr>
          <w:b w:val="0"/>
          <w:sz w:val="22"/>
        </w:rPr>
        <w:t>, 2001).</w:t>
      </w:r>
    </w:p>
    <w:p w:rsidR="00000000" w:rsidRDefault="00000000">
      <w:pPr>
        <w:pStyle w:val="Title"/>
        <w:tabs>
          <w:tab w:val="left" w:pos="680"/>
        </w:tabs>
        <w:spacing w:before="240" w:line="260" w:lineRule="exact"/>
        <w:jc w:val="both"/>
        <w:rPr>
          <w:b w:val="0"/>
          <w:sz w:val="22"/>
        </w:rPr>
      </w:pPr>
      <w:r>
        <w:rPr>
          <w:b w:val="0"/>
          <w:sz w:val="22"/>
        </w:rPr>
        <w:t>523.</w:t>
      </w:r>
      <w:r>
        <w:rPr>
          <w:b w:val="0"/>
          <w:sz w:val="22"/>
        </w:rPr>
        <w:tab/>
        <w:t>Растущая потребность тысяч коста-риканских женщин в квалифицированной помощи, доступе к информации и получении консультаций привела к тому, что в стране ощущается нехватка соответствующих организаций и программ, причем как государственных, так и созданных по частной инициативе.</w:t>
      </w:r>
    </w:p>
    <w:p w:rsidR="00000000" w:rsidRDefault="00000000">
      <w:pPr>
        <w:pStyle w:val="Title"/>
        <w:tabs>
          <w:tab w:val="left" w:pos="680"/>
        </w:tabs>
        <w:spacing w:before="220" w:line="260" w:lineRule="exact"/>
        <w:jc w:val="both"/>
        <w:rPr>
          <w:b w:val="0"/>
          <w:sz w:val="22"/>
        </w:rPr>
      </w:pPr>
      <w:r>
        <w:rPr>
          <w:b w:val="0"/>
          <w:sz w:val="22"/>
        </w:rPr>
        <w:t>524.</w:t>
      </w:r>
      <w:r>
        <w:rPr>
          <w:b w:val="0"/>
          <w:sz w:val="22"/>
        </w:rPr>
        <w:tab/>
        <w:t>Рост спроса на услуги соответствующих государственных служб среди лиц, пострадавших от насилия, не обязательно свидетельствует о высоком уровне предоставляемых услуг. В связи с этим Отделение по делам женщин Коллегии адвокатов по защите прав граждан принимает и дает дальнейший ход жалобам на недостатки услуг, оказываемых государственными службами, которые подают лица, получающие эти услуги. Даже несмотря на то, что Отделение по делам женщин не имеет необходимых полномочий для рассмотрения случаев насилия в семье, в его офисы обращались в среднем 40 женщин в месяц, которым была оказана консультативная помощь, в частности предоставлена информация о том, какими правами они располагают и к каким программам им следует обратиться за помощью (Коллегия адвокатов по защите прав граждан, 2000 год, с. 246).</w:t>
      </w:r>
    </w:p>
    <w:p w:rsidR="00000000" w:rsidRDefault="00000000">
      <w:pPr>
        <w:pStyle w:val="Title"/>
        <w:tabs>
          <w:tab w:val="left" w:pos="680"/>
        </w:tabs>
        <w:spacing w:before="220" w:line="260" w:lineRule="exact"/>
        <w:jc w:val="both"/>
        <w:rPr>
          <w:b w:val="0"/>
          <w:sz w:val="22"/>
        </w:rPr>
      </w:pPr>
      <w:r>
        <w:rPr>
          <w:b w:val="0"/>
          <w:sz w:val="22"/>
          <w:lang w:val="es-ES"/>
        </w:rPr>
        <w:t>525.</w:t>
      </w:r>
      <w:r>
        <w:rPr>
          <w:b w:val="0"/>
          <w:sz w:val="22"/>
        </w:rPr>
        <w:tab/>
      </w:r>
      <w:r>
        <w:rPr>
          <w:b w:val="0"/>
          <w:sz w:val="22"/>
          <w:lang w:val="es-ES"/>
        </w:rPr>
        <w:t>В 1988 году начала свою деятельность первая из групп самопомощи женщин, действующих под лозунгом “Ты не одна”</w:t>
      </w:r>
      <w:r>
        <w:rPr>
          <w:b w:val="0"/>
          <w:sz w:val="22"/>
        </w:rPr>
        <w:t>;</w:t>
      </w:r>
      <w:r>
        <w:rPr>
          <w:b w:val="0"/>
          <w:sz w:val="22"/>
          <w:lang w:val="es-ES"/>
        </w:rPr>
        <w:t xml:space="preserve"> впоследствии такие группы образовали единую сеть, которая охватила всю страну и услугами которой воспользовались 13</w:t>
      </w:r>
      <w:r>
        <w:rPr>
          <w:b w:val="0"/>
          <w:sz w:val="22"/>
        </w:rPr>
        <w:t xml:space="preserve"> тыс.</w:t>
      </w:r>
      <w:r>
        <w:rPr>
          <w:b w:val="0"/>
          <w:sz w:val="22"/>
          <w:lang w:val="es-ES"/>
        </w:rPr>
        <w:t xml:space="preserve"> женщин </w:t>
      </w:r>
      <w:r>
        <w:rPr>
          <w:b w:val="0"/>
          <w:sz w:val="22"/>
        </w:rPr>
        <w:t>(СЕФЕМИНА, 2001 год, с. 8). По данным Союза женщин Коста-Рики, эта организация оказала различную помощь такому же числу женщин (</w:t>
      </w:r>
      <w:r>
        <w:rPr>
          <w:b w:val="0"/>
          <w:sz w:val="22"/>
          <w:lang w:val="en-US"/>
        </w:rPr>
        <w:t>Ramellini</w:t>
      </w:r>
      <w:r>
        <w:rPr>
          <w:b w:val="0"/>
          <w:sz w:val="22"/>
        </w:rPr>
        <w:t xml:space="preserve">, 2000, </w:t>
      </w:r>
      <w:r>
        <w:rPr>
          <w:b w:val="0"/>
          <w:sz w:val="22"/>
          <w:lang w:val="en-US"/>
        </w:rPr>
        <w:t>p</w:t>
      </w:r>
      <w:r>
        <w:rPr>
          <w:b w:val="0"/>
          <w:sz w:val="22"/>
        </w:rPr>
        <w:t>. 43). Можно утверждать, что службы, созданные по всей стране женскими организациями, которые занимаются обсуждением проблем женщин и обеспечивают им доступ к необходимой информации и консультациям, пользуются популярностью среди женщин – жертв насилия, поскольку дают им возможность рассказать обществу о своих проблемах, получить необходимую информацию и чувствовать себя более защищенными.</w:t>
      </w:r>
    </w:p>
    <w:p w:rsidR="00000000" w:rsidRDefault="00000000">
      <w:pPr>
        <w:pStyle w:val="Title"/>
        <w:tabs>
          <w:tab w:val="left" w:pos="680"/>
        </w:tabs>
        <w:spacing w:before="220" w:line="260" w:lineRule="exact"/>
        <w:jc w:val="both"/>
        <w:rPr>
          <w:b w:val="0"/>
          <w:sz w:val="22"/>
        </w:rPr>
      </w:pPr>
      <w:r>
        <w:rPr>
          <w:b w:val="0"/>
          <w:sz w:val="22"/>
        </w:rPr>
        <w:t>526.</w:t>
      </w:r>
      <w:r>
        <w:rPr>
          <w:b w:val="0"/>
          <w:sz w:val="22"/>
        </w:rPr>
        <w:tab/>
        <w:t>Совместные усилия всех организаций, занимающихся проблемой насилия в отношении женщин, позволили успешно вести среди населения просветительскую деятельность, целью которой было ознакомить женщин – жертв насилия с их правами и мерами защиты, к которым они могут прибегнуть. Благодаря подобной деятельности тысячи женщин смогли ознакомиться с содержанием Закона о борьбе с бытовым насилием и воспользоваться правами, предоставленные им этим законом, тем самым существенно изменив свою жизнь.</w:t>
      </w:r>
    </w:p>
    <w:p w:rsidR="00000000" w:rsidRDefault="00000000">
      <w:pPr>
        <w:pStyle w:val="Title"/>
        <w:tabs>
          <w:tab w:val="left" w:pos="680"/>
        </w:tabs>
        <w:spacing w:before="220" w:line="260" w:lineRule="exact"/>
        <w:jc w:val="both"/>
        <w:rPr>
          <w:b w:val="0"/>
          <w:sz w:val="22"/>
        </w:rPr>
      </w:pPr>
      <w:r>
        <w:rPr>
          <w:b w:val="0"/>
          <w:sz w:val="22"/>
        </w:rPr>
        <w:t>527.</w:t>
      </w:r>
      <w:r>
        <w:rPr>
          <w:b w:val="0"/>
          <w:sz w:val="22"/>
        </w:rPr>
        <w:tab/>
        <w:t>Далее следует рассмотреть в социальном, культурном и институциональном аспектах результаты исследования (ПАОЗ/ВОЗ, 1999 год) "Тяжкий путь женщин – жертв насилия в семье (Коста-Рика)", проведенного в рамках программы "Женщины, здоровье и развитие":</w:t>
      </w:r>
    </w:p>
    <w:p w:rsidR="00000000" w:rsidRDefault="00000000">
      <w:pPr>
        <w:pStyle w:val="Title"/>
        <w:numPr>
          <w:ilvl w:val="0"/>
          <w:numId w:val="86"/>
        </w:numPr>
        <w:tabs>
          <w:tab w:val="left" w:pos="680"/>
        </w:tabs>
        <w:spacing w:before="180" w:line="260" w:lineRule="exact"/>
        <w:jc w:val="both"/>
        <w:rPr>
          <w:b w:val="0"/>
          <w:sz w:val="22"/>
        </w:rPr>
      </w:pPr>
      <w:r>
        <w:rPr>
          <w:b w:val="0"/>
          <w:sz w:val="22"/>
        </w:rPr>
        <w:t xml:space="preserve">В течение последних лет в Коста-Рике произошли важные изменения в </w:t>
      </w:r>
      <w:r>
        <w:rPr>
          <w:sz w:val="22"/>
        </w:rPr>
        <w:t xml:space="preserve">культурных стереотипах и ведомственной политике </w:t>
      </w:r>
      <w:r>
        <w:rPr>
          <w:b w:val="0"/>
          <w:sz w:val="22"/>
        </w:rPr>
        <w:t>в области противостояния насилию, обусловленные той борьбой, которую повели женские организации против бытового и сексуального насилия, беспощадно разоблачая это явление перед обществом. В числе таких изменений можно назвать следующие: появление негосударственных организаций и программ, оказывающих помощь женщинам и детям – жертвам жестокого обращения; улучшение положения женщин с точки зрения их правовой защищенности; разработка и выполнение государственных инициатив и государственных национальных и отраслевых планов. Все эти положительные сдвиги сопровождались растущим пониманием проблем, связанных с насилием в семье, и изменением отношения общества к жертвам жестокого обращения, к которым проявляется больше сочувствия. Происшедшие изменения позволили больше и лучше просвещать население относительно его прав на защиту от насилия и способах противостояния ему; создали благоприятный климат в обществе для пострадавших от насилия, которые не желают мириться с положением жертвы; способствовали тому, что жертвы насилия получают бóльшую поддержку со стороны родственников и близких, а также со стороны государственных учреждений; и, как показывают опросы, внушили женщинам надежду на улучшение их положения в этой области и исполнили их решимости бороться за свои права.</w:t>
      </w:r>
    </w:p>
    <w:p w:rsidR="00000000" w:rsidRDefault="00000000">
      <w:pPr>
        <w:pStyle w:val="Title"/>
        <w:numPr>
          <w:ilvl w:val="0"/>
          <w:numId w:val="86"/>
        </w:numPr>
        <w:tabs>
          <w:tab w:val="left" w:pos="680"/>
        </w:tabs>
        <w:spacing w:before="240" w:line="260" w:lineRule="exact"/>
        <w:jc w:val="both"/>
        <w:rPr>
          <w:b w:val="0"/>
          <w:sz w:val="22"/>
        </w:rPr>
      </w:pPr>
      <w:r>
        <w:rPr>
          <w:b w:val="0"/>
          <w:sz w:val="22"/>
        </w:rPr>
        <w:t xml:space="preserve">Деятельность по борьбе с насилием в семье, развернутая государственными организациями и НПО, заключалась </w:t>
      </w:r>
      <w:r>
        <w:rPr>
          <w:sz w:val="22"/>
        </w:rPr>
        <w:t>в выявлении и разоблачении случаев насилия в семье; в ведении просветительской работы; в реализации мер, направленных на предупреждение насилия, оказание помощи жертвам и наказание правонарушителей; в организации профессионально-технической подготовки; в проведении различных кампаний среди населения и других видах деятельности</w:t>
      </w:r>
      <w:r>
        <w:rPr>
          <w:b w:val="0"/>
          <w:sz w:val="22"/>
        </w:rPr>
        <w:t xml:space="preserve">. По свидетельству опрошенных служб, оказывающих соответствующую помощь, и членов общин, деятельность государственных организаций и НПО повысила уровень понимания и осведомленности по данному кругу вопросов большинства из них. Несмотря на то что некоторые аспекты проблемы насилия в семье недостаточно точно определены и до сих пор в этой сфере существует целый ряд предрассудков, мифов и стереотипов, можно, в общем, констатировать, что создан благоприятный климат для понимания данной проблемы и борьбы с ней. Об этом свидетельствуют положительные сдвиги в том, что касается осознания и признания существования многочисленных </w:t>
      </w:r>
      <w:r>
        <w:rPr>
          <w:sz w:val="22"/>
        </w:rPr>
        <w:t>форм и проявлений насилия в семье, причем</w:t>
      </w:r>
      <w:r>
        <w:rPr>
          <w:b w:val="0"/>
          <w:sz w:val="22"/>
        </w:rPr>
        <w:t xml:space="preserve"> – что важно подчеркнуть – </w:t>
      </w:r>
      <w:r>
        <w:rPr>
          <w:sz w:val="22"/>
        </w:rPr>
        <w:t>не как абстрактного, чуждого явления, а как реалии нашего общества</w:t>
      </w:r>
      <w:r>
        <w:rPr>
          <w:b w:val="0"/>
          <w:sz w:val="22"/>
        </w:rPr>
        <w:t>. Однако можно констатировать, что в обществе еще недостаточно говорится о проблемах внутрисемейного и материального насилия, хотя эта тема присутствует в скрытой или завуалированной форме. Кроме того, следует отметить, что проблеме эмоционального и психологического насилия общество начинает придавать такое же значение, как и проблеме насилия физического, и, как следствие, одинаково осуждать и преследовать обе эти формы насилия.</w:t>
      </w:r>
    </w:p>
    <w:p w:rsidR="00000000" w:rsidRDefault="00000000">
      <w:pPr>
        <w:pStyle w:val="Title"/>
        <w:numPr>
          <w:ilvl w:val="0"/>
          <w:numId w:val="87"/>
        </w:numPr>
        <w:tabs>
          <w:tab w:val="left" w:pos="680"/>
        </w:tabs>
        <w:spacing w:before="240" w:line="260" w:lineRule="exact"/>
        <w:jc w:val="both"/>
        <w:rPr>
          <w:b w:val="0"/>
          <w:sz w:val="22"/>
        </w:rPr>
      </w:pPr>
      <w:r>
        <w:rPr>
          <w:b w:val="0"/>
          <w:sz w:val="22"/>
        </w:rPr>
        <w:t xml:space="preserve">Что касается </w:t>
      </w:r>
      <w:r>
        <w:rPr>
          <w:sz w:val="22"/>
        </w:rPr>
        <w:t>государственных инстанций</w:t>
      </w:r>
      <w:r>
        <w:rPr>
          <w:b w:val="0"/>
          <w:sz w:val="22"/>
        </w:rPr>
        <w:t>, занимающихся данной проблематикой, по данным, предоставленным оказывающими помощь жертвам службами, все инстанции четко и неотступно выполняют возложенные на них функции, а некоторые из них несут чересчур большой груз ответственности и перегружены обязанностями. В связи с этим, говоря о насилии в семье как о явлении, которому необходимо противостоять, следует указать на тот факт, что на принятие того или иного решения во многом влияет психическое и физическое состояние чиновника на рабочем месте: некоторые из них осознают важность проблемы и готовы всячески содействовать ее решению, другие проявляют равнодушие или находятся в состоянии подавленности и буквально "опускают руки", третьи слишком заняты повседневной рутиной, четвертые перегружены разнообразной работой. Кроме того, зачастую чиновники вынуждены работать в условиях переустройства деятельности государственных институтов, обусловленных реструктуризацией системы, конъюнктурой и предвыборными соображениями.</w:t>
      </w:r>
    </w:p>
    <w:p w:rsidR="00000000" w:rsidRDefault="00000000">
      <w:pPr>
        <w:pStyle w:val="Title"/>
        <w:numPr>
          <w:ilvl w:val="0"/>
          <w:numId w:val="87"/>
        </w:numPr>
        <w:tabs>
          <w:tab w:val="left" w:pos="680"/>
        </w:tabs>
        <w:spacing w:before="240" w:line="260" w:lineRule="exact"/>
        <w:jc w:val="both"/>
        <w:rPr>
          <w:b w:val="0"/>
          <w:sz w:val="22"/>
        </w:rPr>
      </w:pPr>
      <w:r>
        <w:rPr>
          <w:b w:val="0"/>
          <w:sz w:val="22"/>
        </w:rPr>
        <w:t xml:space="preserve">Отсутствие у государственных учреждений, занимающихся рассмотрением связанных с данной проблематикой дел, специальных </w:t>
      </w:r>
      <w:r>
        <w:rPr>
          <w:sz w:val="22"/>
        </w:rPr>
        <w:t>программ и моделей оказания помощи</w:t>
      </w:r>
      <w:r>
        <w:rPr>
          <w:b w:val="0"/>
          <w:sz w:val="22"/>
        </w:rPr>
        <w:t xml:space="preserve"> пострадавшим от насилия в семье приводит к тому, что соответствующие службы принимают решение об оказании помощи произвольно. Положительным или отрицательным будет их решение, не приведет ли оно к тому, что жертва снова будет ощущать себя пострадавшей, во многом зависит от того, кто именно будет заниматься делом потерпевшей женщины, обратившейся за помощью.</w:t>
      </w:r>
    </w:p>
    <w:p w:rsidR="00000000" w:rsidRDefault="00000000">
      <w:pPr>
        <w:pStyle w:val="Title"/>
        <w:numPr>
          <w:ilvl w:val="0"/>
          <w:numId w:val="87"/>
        </w:numPr>
        <w:tabs>
          <w:tab w:val="left" w:pos="680"/>
        </w:tabs>
        <w:spacing w:before="240" w:line="260" w:lineRule="exact"/>
        <w:jc w:val="both"/>
        <w:rPr>
          <w:b w:val="0"/>
          <w:spacing w:val="-4"/>
          <w:sz w:val="22"/>
        </w:rPr>
      </w:pPr>
      <w:r>
        <w:rPr>
          <w:b w:val="0"/>
          <w:spacing w:val="-4"/>
          <w:sz w:val="22"/>
        </w:rPr>
        <w:t xml:space="preserve">Успехи, достигнутые в ходе осуществления просветительской деятельности, и растущее </w:t>
      </w:r>
      <w:r>
        <w:rPr>
          <w:spacing w:val="-4"/>
          <w:sz w:val="22"/>
        </w:rPr>
        <w:t>осознание</w:t>
      </w:r>
      <w:r>
        <w:rPr>
          <w:b w:val="0"/>
          <w:spacing w:val="-4"/>
          <w:sz w:val="22"/>
        </w:rPr>
        <w:t xml:space="preserve"> обществом проблемы насилия в семье проявляются в том, что </w:t>
      </w:r>
      <w:r>
        <w:rPr>
          <w:spacing w:val="-4"/>
          <w:sz w:val="22"/>
        </w:rPr>
        <w:t>социальные</w:t>
      </w:r>
      <w:r>
        <w:rPr>
          <w:b w:val="0"/>
          <w:spacing w:val="-4"/>
          <w:sz w:val="22"/>
        </w:rPr>
        <w:t xml:space="preserve"> </w:t>
      </w:r>
      <w:r>
        <w:rPr>
          <w:spacing w:val="-4"/>
          <w:sz w:val="22"/>
        </w:rPr>
        <w:t>службы направляют свои индивидуальные усилия на предоставление наиболее действенной помощи женщинам – жертвам жестокого обращения</w:t>
      </w:r>
      <w:r>
        <w:rPr>
          <w:b w:val="0"/>
          <w:spacing w:val="-4"/>
          <w:sz w:val="22"/>
        </w:rPr>
        <w:t xml:space="preserve">. Однако недостаточно просто вести просветительскую деятельность, необходимо также предоставлять женщинам больше информации, обеспечить профессионально-техническую подготовку, иметь четкую ведомственную политику, поскольку </w:t>
      </w:r>
      <w:r>
        <w:rPr>
          <w:spacing w:val="-4"/>
          <w:sz w:val="22"/>
        </w:rPr>
        <w:t>благое намерение</w:t>
      </w:r>
      <w:r>
        <w:rPr>
          <w:b w:val="0"/>
          <w:spacing w:val="-4"/>
          <w:sz w:val="22"/>
        </w:rPr>
        <w:t xml:space="preserve"> – улучшение положения женщин – в плохом исполнении может привести к противоположным результатам. </w:t>
      </w:r>
    </w:p>
    <w:p w:rsidR="00000000" w:rsidRDefault="00000000">
      <w:pPr>
        <w:pStyle w:val="Title"/>
        <w:numPr>
          <w:ilvl w:val="0"/>
          <w:numId w:val="87"/>
        </w:numPr>
        <w:tabs>
          <w:tab w:val="left" w:pos="680"/>
        </w:tabs>
        <w:spacing w:before="240" w:line="260" w:lineRule="exact"/>
        <w:jc w:val="both"/>
        <w:rPr>
          <w:b w:val="0"/>
          <w:sz w:val="22"/>
        </w:rPr>
      </w:pPr>
      <w:r>
        <w:rPr>
          <w:b w:val="0"/>
          <w:sz w:val="22"/>
        </w:rPr>
        <w:t xml:space="preserve">Отсутствие программ и моделей оказания помощи женщинам – жертвам насилия в семье также приводит к тому, что существующая практика, например </w:t>
      </w:r>
      <w:r>
        <w:rPr>
          <w:sz w:val="22"/>
        </w:rPr>
        <w:t>консультирования</w:t>
      </w:r>
      <w:r>
        <w:rPr>
          <w:b w:val="0"/>
          <w:sz w:val="22"/>
        </w:rPr>
        <w:t xml:space="preserve"> женщин, в большинстве случаев не приносит должного результата, и женщина часто вынуждена неоправданно подвергать себя опасности, не получая ожидаемой помощи, соответствующей ее потребностям.</w:t>
      </w:r>
    </w:p>
    <w:p w:rsidR="00000000" w:rsidRDefault="00000000">
      <w:pPr>
        <w:pStyle w:val="Title"/>
        <w:numPr>
          <w:ilvl w:val="0"/>
          <w:numId w:val="87"/>
        </w:numPr>
        <w:tabs>
          <w:tab w:val="left" w:pos="680"/>
        </w:tabs>
        <w:spacing w:before="240" w:line="260" w:lineRule="exact"/>
        <w:jc w:val="both"/>
        <w:rPr>
          <w:b w:val="0"/>
          <w:sz w:val="22"/>
        </w:rPr>
      </w:pPr>
      <w:r>
        <w:rPr>
          <w:b w:val="0"/>
          <w:sz w:val="22"/>
        </w:rPr>
        <w:t xml:space="preserve">Следствием </w:t>
      </w:r>
      <w:r>
        <w:rPr>
          <w:sz w:val="22"/>
        </w:rPr>
        <w:t>отсутствия надлежащей профессиональной подготовки</w:t>
      </w:r>
      <w:r>
        <w:rPr>
          <w:b w:val="0"/>
          <w:sz w:val="22"/>
        </w:rPr>
        <w:t xml:space="preserve"> по вопросам насилия в семье является возникновение у сотрудников различных государственных учреждений, которые занимаются вопросами оказания помощи, сложностей при попытке понять пострадавшую женщину, вникнуть в ее частные проблемы, что приводит к неправильной трактовке многих ее слов и действий, которые могут показаться непонятными и даже противоречивыми. Все сказанное не может не сказаться на отношении сотрудника к потерпевшей женщине и отразиться на помощи, которую он может ей предоставить; кроме того, на его решения могут повлиять существующие предрассудки и стереотипы.</w:t>
      </w:r>
    </w:p>
    <w:p w:rsidR="00000000" w:rsidRDefault="00000000">
      <w:pPr>
        <w:pStyle w:val="Title"/>
        <w:numPr>
          <w:ilvl w:val="0"/>
          <w:numId w:val="88"/>
        </w:numPr>
        <w:tabs>
          <w:tab w:val="left" w:pos="680"/>
        </w:tabs>
        <w:spacing w:before="240" w:line="260" w:lineRule="exact"/>
        <w:jc w:val="both"/>
        <w:rPr>
          <w:b w:val="0"/>
          <w:sz w:val="22"/>
        </w:rPr>
      </w:pPr>
      <w:r>
        <w:rPr>
          <w:b w:val="0"/>
          <w:sz w:val="22"/>
        </w:rPr>
        <w:t xml:space="preserve">Некоторые работники служб полагают, что их </w:t>
      </w:r>
      <w:r>
        <w:rPr>
          <w:sz w:val="22"/>
        </w:rPr>
        <w:t>главная функция</w:t>
      </w:r>
      <w:r>
        <w:rPr>
          <w:b w:val="0"/>
          <w:sz w:val="22"/>
        </w:rPr>
        <w:t xml:space="preserve"> заключается в том, чтобы разъяснить женщине суть вопроса, заставить ее осознать проблему. Несмотря на все их добрые намерения, такие сотрудники ставят себя как бы выше женщины, ощущают свое превосходство вследствие обладания бóльшими профессиональными и общими знаниями, а также своего социального положения (как работника учреждения). Такая позиция мешает сотруднику внимательно выслушать пострадавшую и выяснить, в каком положении она находится, чтобы в дальнейшем рассмотреть возможные пути решения ее проблемы и определить, чем именно он может ее посодействовать, не оказывая на женщину давления и не диктуя ей условия. Давая </w:t>
      </w:r>
      <w:r>
        <w:rPr>
          <w:sz w:val="22"/>
        </w:rPr>
        <w:t>советы</w:t>
      </w:r>
      <w:r>
        <w:rPr>
          <w:b w:val="0"/>
          <w:sz w:val="22"/>
        </w:rPr>
        <w:t xml:space="preserve">, такой чиновник считает, что решает за женщин их проблемы, но на самом деле, когда женщина снова приходит и оказывается, что каких-либо значительных изменений в ее жизни не произошло, чиновник чувствует разочарование. Дело в том, что, давая женщине совет, он прямо или косвенно требует от нее совершения действий, которых, возможно, она не хочет и не может совершать, и тем самым чиновник препятствует развитию у женщины способности самой принимать решения, касающиеся ее собственной жизни. </w:t>
      </w:r>
    </w:p>
    <w:p w:rsidR="00000000" w:rsidRDefault="00000000">
      <w:pPr>
        <w:pStyle w:val="Title"/>
        <w:numPr>
          <w:ilvl w:val="0"/>
          <w:numId w:val="88"/>
        </w:numPr>
        <w:tabs>
          <w:tab w:val="left" w:pos="680"/>
        </w:tabs>
        <w:spacing w:before="240" w:line="260" w:lineRule="exact"/>
        <w:jc w:val="both"/>
        <w:rPr>
          <w:b w:val="0"/>
          <w:sz w:val="22"/>
        </w:rPr>
      </w:pPr>
      <w:r>
        <w:rPr>
          <w:b w:val="0"/>
          <w:sz w:val="22"/>
        </w:rPr>
        <w:t xml:space="preserve">Нередко случается, что сотрудник или сотрудница соответствующей службы </w:t>
      </w:r>
      <w:r>
        <w:rPr>
          <w:sz w:val="22"/>
        </w:rPr>
        <w:t>относится</w:t>
      </w:r>
      <w:r>
        <w:rPr>
          <w:b w:val="0"/>
          <w:sz w:val="22"/>
        </w:rPr>
        <w:t xml:space="preserve"> к женщине, ставшей жертвой насилия, </w:t>
      </w:r>
      <w:r>
        <w:rPr>
          <w:sz w:val="22"/>
        </w:rPr>
        <w:t>"по-отцовски" или "по-матерински"</w:t>
      </w:r>
      <w:r>
        <w:rPr>
          <w:b w:val="0"/>
          <w:sz w:val="22"/>
        </w:rPr>
        <w:t>, особенно часто такое отношение проявляют женщины – сотрудницы социальных служб, которые полагают, что именно они должны решать проблемы, связанные с проявлением агрессии в семье. Такие сотрудницы склонны считать обратившихся к ним женщин беспомощными и неспособными самостоятельно предпринять какие-либо действия, чтобы изменить свое положение и найти способ прекратить злоупотребления. Они путают оказание эмоциональной, профессиональной или ведомственной помощи с попыткой решить за женщину ее проблему и тем самым берут на себя роль, которая не соответствует их функциям, ставя женщину в зависимое положение и создавая еще бóльшую путаницу в ее голове, что негативно сказывается на процессе улучшения положения женщин.</w:t>
      </w:r>
    </w:p>
    <w:p w:rsidR="00000000" w:rsidRDefault="00000000">
      <w:pPr>
        <w:pStyle w:val="Title"/>
        <w:numPr>
          <w:ilvl w:val="0"/>
          <w:numId w:val="88"/>
        </w:numPr>
        <w:tabs>
          <w:tab w:val="left" w:pos="680"/>
        </w:tabs>
        <w:spacing w:before="240" w:line="260" w:lineRule="exact"/>
        <w:jc w:val="both"/>
        <w:rPr>
          <w:b w:val="0"/>
          <w:spacing w:val="-2"/>
          <w:sz w:val="22"/>
        </w:rPr>
      </w:pPr>
      <w:r>
        <w:rPr>
          <w:b w:val="0"/>
          <w:spacing w:val="-2"/>
          <w:sz w:val="22"/>
        </w:rPr>
        <w:t xml:space="preserve">Случаи насилия в отношении женщин внутри семьи могут слишком сильно </w:t>
      </w:r>
      <w:r>
        <w:rPr>
          <w:spacing w:val="-2"/>
          <w:sz w:val="22"/>
        </w:rPr>
        <w:t>тронуть или задеть чиновника-женщину</w:t>
      </w:r>
      <w:r>
        <w:rPr>
          <w:b w:val="0"/>
          <w:spacing w:val="-2"/>
          <w:sz w:val="22"/>
        </w:rPr>
        <w:t xml:space="preserve">, имеющую свой – не всегда положительный – </w:t>
      </w:r>
      <w:r>
        <w:rPr>
          <w:spacing w:val="-2"/>
          <w:sz w:val="22"/>
        </w:rPr>
        <w:t>опыт семейных отношений</w:t>
      </w:r>
      <w:r>
        <w:rPr>
          <w:b w:val="0"/>
          <w:spacing w:val="-2"/>
          <w:sz w:val="22"/>
        </w:rPr>
        <w:t xml:space="preserve">. В такой ситуации у сотрудницы возникает субъективное отношение к женщине, обратившейся за помощью, поскольку история женщины частично напоминает ей ее собственную: зависимое положение в семье, необходимость жертвовать своими интересами, поддерживать брак, быть </w:t>
      </w:r>
      <w:r>
        <w:rPr>
          <w:spacing w:val="-2"/>
          <w:sz w:val="22"/>
        </w:rPr>
        <w:t>хорошей матерью</w:t>
      </w:r>
      <w:r>
        <w:rPr>
          <w:b w:val="0"/>
          <w:spacing w:val="-2"/>
          <w:sz w:val="22"/>
        </w:rPr>
        <w:t xml:space="preserve">, отдавать себя окружающим, самоотверженность, чувство бессилия перед обстоятельствами, надежда. В связи с этим реагировать сотрудница может по-разному: она может испытывать по отношению к пострадавшей женщине гнев, неприятие или, наоборот, проявить к ней материнскую заботу. Что касается </w:t>
      </w:r>
      <w:r>
        <w:rPr>
          <w:spacing w:val="-2"/>
          <w:sz w:val="22"/>
        </w:rPr>
        <w:t>чиновника-мужчины</w:t>
      </w:r>
      <w:r>
        <w:rPr>
          <w:b w:val="0"/>
          <w:spacing w:val="-2"/>
          <w:sz w:val="22"/>
        </w:rPr>
        <w:t>, его позицию можно определить как "взгляд с противоположной стороны", так как он не способен быть на месте женщины, не знает, что ею движет, и ставит под сомнение все, что ему кажется противоречивым в той ситуации насилия, которую переживает обратившаяся к нему женщина.</w:t>
      </w:r>
    </w:p>
    <w:p w:rsidR="00000000" w:rsidRDefault="00000000">
      <w:pPr>
        <w:pStyle w:val="Title"/>
        <w:numPr>
          <w:ilvl w:val="0"/>
          <w:numId w:val="88"/>
        </w:numPr>
        <w:tabs>
          <w:tab w:val="left" w:pos="680"/>
        </w:tabs>
        <w:spacing w:before="240" w:line="260" w:lineRule="exact"/>
        <w:jc w:val="both"/>
        <w:rPr>
          <w:b w:val="0"/>
          <w:sz w:val="22"/>
        </w:rPr>
      </w:pPr>
      <w:r>
        <w:rPr>
          <w:b w:val="0"/>
          <w:sz w:val="22"/>
        </w:rPr>
        <w:t xml:space="preserve">Несмотря на то что среди различных видов насилия в семье чаще всего упоминается </w:t>
      </w:r>
      <w:r>
        <w:rPr>
          <w:sz w:val="22"/>
        </w:rPr>
        <w:t>агрессия или насилие</w:t>
      </w:r>
      <w:r>
        <w:rPr>
          <w:b w:val="0"/>
          <w:sz w:val="22"/>
        </w:rPr>
        <w:t xml:space="preserve"> во взаимоотношениях пар и </w:t>
      </w:r>
      <w:r>
        <w:rPr>
          <w:sz w:val="22"/>
        </w:rPr>
        <w:t>жертвой, как правило, является женщина</w:t>
      </w:r>
      <w:r>
        <w:rPr>
          <w:b w:val="0"/>
          <w:sz w:val="22"/>
        </w:rPr>
        <w:t xml:space="preserve">, с точки зрения терминологии этот вид насилия определен наименее четко и вызывает наибольшие сомнения. Обычно его определяют как конфликт в отношениях партнеров или как насилие во взаимоотношениях супругов. Предлагается даже такое толкование: </w:t>
      </w:r>
      <w:r>
        <w:rPr>
          <w:sz w:val="22"/>
        </w:rPr>
        <w:t>обхождение партнеров друг с другом</w:t>
      </w:r>
      <w:r>
        <w:rPr>
          <w:b w:val="0"/>
          <w:sz w:val="22"/>
        </w:rPr>
        <w:t xml:space="preserve">. Эти определения даются исходя из того, что в подобных отношениях участвуют два взрослых человека; такой подход смешивает реальность с вымыслом и в большинстве случаев не позволяет выявить и отразить отношения, при которых один человек подавляет другого, главенствует над ним (речь идет о чувстве превосходства мужчины над женщиной), не вскрывает факторы, которые порождают конфликт и проявляются в отношениях пары, причины, которые привели к применению насильственных действий как ежедневного дозволенного способа решения конфликта. Все сказанное объясняет, почему во многих случаях серьезные конфликты, некоторые из них даже заканчиваются смертью женщины, называют </w:t>
      </w:r>
      <w:r>
        <w:rPr>
          <w:sz w:val="22"/>
        </w:rPr>
        <w:t>преступлениями на почве страсти</w:t>
      </w:r>
      <w:r>
        <w:rPr>
          <w:b w:val="0"/>
          <w:sz w:val="22"/>
        </w:rPr>
        <w:t xml:space="preserve"> или </w:t>
      </w:r>
      <w:r>
        <w:rPr>
          <w:sz w:val="22"/>
        </w:rPr>
        <w:t>преступлениями по любви</w:t>
      </w:r>
      <w:r>
        <w:rPr>
          <w:b w:val="0"/>
          <w:sz w:val="22"/>
        </w:rPr>
        <w:t>.</w:t>
      </w:r>
    </w:p>
    <w:p w:rsidR="00000000" w:rsidRDefault="00000000">
      <w:pPr>
        <w:pStyle w:val="Title"/>
        <w:numPr>
          <w:ilvl w:val="0"/>
          <w:numId w:val="89"/>
        </w:numPr>
        <w:tabs>
          <w:tab w:val="left" w:pos="680"/>
        </w:tabs>
        <w:spacing w:before="240" w:line="260" w:lineRule="exact"/>
        <w:jc w:val="both"/>
        <w:rPr>
          <w:b w:val="0"/>
          <w:sz w:val="22"/>
        </w:rPr>
      </w:pPr>
      <w:r>
        <w:rPr>
          <w:b w:val="0"/>
          <w:sz w:val="22"/>
        </w:rPr>
        <w:t xml:space="preserve">Существует ярко выраженная </w:t>
      </w:r>
      <w:r>
        <w:rPr>
          <w:sz w:val="22"/>
        </w:rPr>
        <w:t>тенденция возлагать вину за совершенное насилие на женщину</w:t>
      </w:r>
      <w:r>
        <w:rPr>
          <w:b w:val="0"/>
          <w:sz w:val="22"/>
        </w:rPr>
        <w:t xml:space="preserve">, ставшую его жертвой, поскольку она якобы четко не определила границы </w:t>
      </w:r>
      <w:r>
        <w:rPr>
          <w:sz w:val="22"/>
        </w:rPr>
        <w:t>дозволенного</w:t>
      </w:r>
      <w:r>
        <w:rPr>
          <w:b w:val="0"/>
          <w:sz w:val="22"/>
        </w:rPr>
        <w:t xml:space="preserve">, допустила насилие над собой. В то же время </w:t>
      </w:r>
      <w:r>
        <w:rPr>
          <w:sz w:val="22"/>
        </w:rPr>
        <w:t>нападавший или насильник редко признается главным виновником</w:t>
      </w:r>
      <w:r>
        <w:rPr>
          <w:b w:val="0"/>
          <w:sz w:val="22"/>
        </w:rPr>
        <w:t xml:space="preserve"> насилия и освобождается от ответственности из-за упущений в законе или из-за того, что насильственные действия объясняются какими-либо символическими или конкретными причинами, что в конечном счете оправдывает насилие, давая скорее положительную оценку поведению, ассоциирующемуся с проявлением мужественности.</w:t>
      </w:r>
    </w:p>
    <w:p w:rsidR="00000000" w:rsidRDefault="00000000">
      <w:pPr>
        <w:pStyle w:val="Title"/>
        <w:numPr>
          <w:ilvl w:val="0"/>
          <w:numId w:val="89"/>
        </w:numPr>
        <w:tabs>
          <w:tab w:val="left" w:pos="680"/>
        </w:tabs>
        <w:spacing w:before="240" w:line="260" w:lineRule="exact"/>
        <w:jc w:val="both"/>
        <w:rPr>
          <w:b w:val="0"/>
          <w:sz w:val="22"/>
        </w:rPr>
      </w:pPr>
      <w:r>
        <w:rPr>
          <w:b w:val="0"/>
          <w:sz w:val="22"/>
        </w:rPr>
        <w:t xml:space="preserve">Существует тенденция трактовать </w:t>
      </w:r>
      <w:r>
        <w:rPr>
          <w:sz w:val="22"/>
        </w:rPr>
        <w:t>насильственные действия и проявления агрессии как некие патологические реакции</w:t>
      </w:r>
      <w:r>
        <w:rPr>
          <w:b w:val="0"/>
          <w:sz w:val="22"/>
        </w:rPr>
        <w:t xml:space="preserve">. Говорят о различных типах </w:t>
      </w:r>
      <w:r>
        <w:rPr>
          <w:sz w:val="22"/>
        </w:rPr>
        <w:t>поведения</w:t>
      </w:r>
      <w:r>
        <w:rPr>
          <w:b w:val="0"/>
          <w:sz w:val="22"/>
        </w:rPr>
        <w:t xml:space="preserve"> (и даже о возможности применять к насильнику различные санкции и наказания, с тем чтобы он изменил свое агрессивное поведение), проблемах алкогольной или наркотической зависимости, проявлениях так называемого мачизма. Однако серьезно не анализируются ни проблемы, связанные с проявлением власти и превосходства во взаимоотношениях пар, ни патриархальное устройство общества, что лежит в основе существования насилия, способствует его проявлениям, трактуя их как нормальные свойства мужского поведения и даже как подтверждение мужественности.</w:t>
      </w:r>
    </w:p>
    <w:p w:rsidR="00000000" w:rsidRDefault="00000000">
      <w:pPr>
        <w:pStyle w:val="Title"/>
        <w:numPr>
          <w:ilvl w:val="0"/>
          <w:numId w:val="89"/>
        </w:numPr>
        <w:tabs>
          <w:tab w:val="left" w:pos="680"/>
        </w:tabs>
        <w:spacing w:before="240" w:line="260" w:lineRule="exact"/>
        <w:jc w:val="both"/>
        <w:rPr>
          <w:b w:val="0"/>
          <w:sz w:val="22"/>
        </w:rPr>
      </w:pPr>
      <w:r>
        <w:rPr>
          <w:b w:val="0"/>
          <w:sz w:val="22"/>
        </w:rPr>
        <w:t xml:space="preserve">В связи со смысловой и терминологической путаницей, а также с различной трактовкой такого явления, как насилие в семье и в отношении женщин, необходимо еще раз пересмотреть все аргументы за и против использования терминов типа: </w:t>
      </w:r>
      <w:r>
        <w:rPr>
          <w:sz w:val="22"/>
        </w:rPr>
        <w:t>цикл насилия, внушенная самой себе инвалидность, синдром женщины – жертвы насилия</w:t>
      </w:r>
      <w:r>
        <w:rPr>
          <w:b w:val="0"/>
          <w:sz w:val="22"/>
        </w:rPr>
        <w:t xml:space="preserve">, которые были разработаны для лучшего понимания динамики развития взаимоотношений подобного рода. Пересмотреть целесообразность употребления этих терминов следует потому, что зачастую их используют в стереотипных выступлениях, которые заставляют пострадавшую женщину повторно ощущать себя жертвой. В некоторых выступлениях по вопросам насилия существование цикла насилия интерпретируется как причина агрессии, а не как определенная закономерность, характерная для отношений такого рода. Подобная интерпретация является следствием глубоко укоренившегося восприятия насилия в семье как некоего явления, которое мы унаследовали естественным образом, которое имеет цикличный характер, передается из поколения в поколение, а значит, за него никто не несет ответственности, как не несут ответственности за родинку на теле. Термины </w:t>
      </w:r>
      <w:r>
        <w:rPr>
          <w:sz w:val="22"/>
        </w:rPr>
        <w:t>"внушенная самой себе инвалидность"</w:t>
      </w:r>
      <w:r>
        <w:rPr>
          <w:b w:val="0"/>
          <w:sz w:val="22"/>
        </w:rPr>
        <w:t xml:space="preserve"> и </w:t>
      </w:r>
      <w:r>
        <w:rPr>
          <w:sz w:val="22"/>
        </w:rPr>
        <w:t>"синдром женщины-жертвы"</w:t>
      </w:r>
      <w:r>
        <w:rPr>
          <w:b w:val="0"/>
          <w:sz w:val="22"/>
        </w:rPr>
        <w:t xml:space="preserve"> иногда употребляются, чтобы указать на какой-либо недостаток женщины или, что еще хуже, на ее психологическую неустойчивость, в результате которой ее могут посчитать неспособной выполнять функции взрослой женщины, негодной для супружества и материнства, то есть практически признать ее недееспособной. Все сказанное еще раз должно напомнить нам о том, что следует тщательно анализировать определения или термины, которые мы намереваемся применять для обозначения той или иной ситуации, поскольку их использование представляет собой не только лингвистическую или чисто техническую проблему, но может привести к тому, что в конкретно взятом случае они будут интерпретироваться не в пользу, а во вред самим женщинам.</w:t>
      </w:r>
    </w:p>
    <w:p w:rsidR="00000000" w:rsidRDefault="00000000">
      <w:pPr>
        <w:pStyle w:val="Title"/>
        <w:tabs>
          <w:tab w:val="left" w:pos="680"/>
        </w:tabs>
        <w:spacing w:line="260" w:lineRule="exact"/>
        <w:jc w:val="both"/>
        <w:rPr>
          <w:b w:val="0"/>
          <w:sz w:val="22"/>
        </w:rPr>
      </w:pPr>
    </w:p>
    <w:p w:rsidR="00000000" w:rsidRDefault="00000000">
      <w:pPr>
        <w:pStyle w:val="Title"/>
        <w:tabs>
          <w:tab w:val="left" w:pos="680"/>
        </w:tabs>
        <w:spacing w:before="240" w:line="260" w:lineRule="exact"/>
        <w:jc w:val="left"/>
        <w:rPr>
          <w:sz w:val="22"/>
        </w:rPr>
      </w:pPr>
      <w:r>
        <w:rPr>
          <w:sz w:val="22"/>
        </w:rPr>
        <w:t xml:space="preserve">Национальная система оказания помощи в случае внутрисемейного насилия </w:t>
      </w:r>
      <w:r>
        <w:rPr>
          <w:sz w:val="22"/>
        </w:rPr>
        <w:br/>
        <w:t>и его предупреждения</w:t>
      </w:r>
    </w:p>
    <w:p w:rsidR="00000000" w:rsidRDefault="00000000">
      <w:pPr>
        <w:pStyle w:val="Title"/>
        <w:tabs>
          <w:tab w:val="left" w:pos="680"/>
        </w:tabs>
        <w:spacing w:before="240" w:line="260" w:lineRule="exact"/>
        <w:jc w:val="both"/>
        <w:rPr>
          <w:b w:val="0"/>
          <w:sz w:val="22"/>
        </w:rPr>
      </w:pPr>
      <w:r>
        <w:rPr>
          <w:b w:val="0"/>
          <w:sz w:val="22"/>
        </w:rPr>
        <w:t>528.</w:t>
      </w:r>
      <w:r>
        <w:rPr>
          <w:b w:val="0"/>
          <w:sz w:val="22"/>
        </w:rPr>
        <w:tab/>
        <w:t>Национальная система оказания помощи в случае внутрисемейного насилия и его предупреждения начала действовать в 1997 году. Она была создана в соответствии с декретом исполнительной власти № 26664 от 19 декабря 1997 года и ратифицирована указом президента Родригеса № 27706 от 9 августа 1999 года. Координацию работы системы осуществляет ИНАМУ при участии 23 учреждений, ведомств и организаций, чья деятельность связана с тематикой насилия в семье. В работе системы задействованы восемь государственных министерств, пять автономных учреждений, органы судебной власти и четыре государственных учреждения, две организации, представляющие общественное движение, и одна организация – представитель местных систем предупреждения и оказания помощи в случае насилия. Система имеет ряд функций, которые подробно описаны в Приложении № 5. Для выполнения поставленных перед системой задач вся ее деятельность ведется по шести программным направлениям, а именно: выработка политических стратегий, координация действий между ведомствами, контроль и оценка; выявление случаев насилия; предупреждение насилия и содействие принятию профилактических мер; обеспечение доступа к различным видам помощи; и взаимный обмен опытом.</w:t>
      </w:r>
    </w:p>
    <w:p w:rsidR="00000000" w:rsidRDefault="00000000">
      <w:pPr>
        <w:pStyle w:val="Title"/>
        <w:tabs>
          <w:tab w:val="left" w:pos="680"/>
        </w:tabs>
        <w:spacing w:before="240" w:line="260" w:lineRule="exact"/>
        <w:jc w:val="both"/>
        <w:rPr>
          <w:b w:val="0"/>
          <w:sz w:val="22"/>
        </w:rPr>
      </w:pPr>
      <w:r>
        <w:rPr>
          <w:b w:val="0"/>
          <w:sz w:val="22"/>
        </w:rPr>
        <w:t>529.</w:t>
      </w:r>
      <w:r>
        <w:rPr>
          <w:b w:val="0"/>
          <w:sz w:val="22"/>
        </w:rPr>
        <w:tab/>
        <w:t>Что касается придания более организованного характера государственной политике в области насилия в семье, за период с 1998 по 2001 год в этом вопросе были достигнуты заметные успехи (</w:t>
      </w:r>
      <w:r>
        <w:rPr>
          <w:b w:val="0"/>
          <w:sz w:val="22"/>
          <w:lang w:val="en-US"/>
        </w:rPr>
        <w:t>Brenes</w:t>
      </w:r>
      <w:r>
        <w:rPr>
          <w:b w:val="0"/>
          <w:sz w:val="22"/>
        </w:rPr>
        <w:t xml:space="preserve">, </w:t>
      </w:r>
      <w:r>
        <w:rPr>
          <w:b w:val="0"/>
          <w:sz w:val="22"/>
          <w:lang w:val="en-US"/>
        </w:rPr>
        <w:t>M</w:t>
      </w:r>
      <w:r>
        <w:rPr>
          <w:b w:val="0"/>
          <w:sz w:val="22"/>
        </w:rPr>
        <w:t>é</w:t>
      </w:r>
      <w:r>
        <w:rPr>
          <w:b w:val="0"/>
          <w:sz w:val="22"/>
          <w:lang w:val="en-US"/>
        </w:rPr>
        <w:t>ndez</w:t>
      </w:r>
      <w:r>
        <w:rPr>
          <w:b w:val="0"/>
          <w:sz w:val="22"/>
        </w:rPr>
        <w:t>, 2002). В их числе можно назвать следующие:</w:t>
      </w:r>
    </w:p>
    <w:p w:rsidR="00000000" w:rsidRDefault="00000000">
      <w:pPr>
        <w:pStyle w:val="Title"/>
        <w:numPr>
          <w:ilvl w:val="0"/>
          <w:numId w:val="90"/>
        </w:numPr>
        <w:tabs>
          <w:tab w:val="left" w:pos="680"/>
        </w:tabs>
        <w:spacing w:before="240" w:line="260" w:lineRule="exact"/>
        <w:jc w:val="both"/>
        <w:rPr>
          <w:b w:val="0"/>
          <w:sz w:val="22"/>
        </w:rPr>
      </w:pPr>
      <w:r>
        <w:rPr>
          <w:b w:val="0"/>
          <w:sz w:val="22"/>
        </w:rPr>
        <w:t>Была принята основанная на принципах этики концепция насилия в семье и насилия в отношении женщин, в рамках которой реализовывались все действия государственных и неправительственных организаций и служб, направленные на обеспечение женщинам осуществления в полной мере их права на жизнь без насилия.</w:t>
      </w:r>
    </w:p>
    <w:p w:rsidR="00000000" w:rsidRDefault="00000000">
      <w:pPr>
        <w:pStyle w:val="Title"/>
        <w:numPr>
          <w:ilvl w:val="0"/>
          <w:numId w:val="91"/>
        </w:numPr>
        <w:tabs>
          <w:tab w:val="left" w:pos="680"/>
        </w:tabs>
        <w:spacing w:before="240" w:line="260" w:lineRule="exact"/>
        <w:jc w:val="both"/>
        <w:rPr>
          <w:b w:val="0"/>
          <w:sz w:val="22"/>
        </w:rPr>
      </w:pPr>
      <w:r>
        <w:rPr>
          <w:b w:val="0"/>
          <w:sz w:val="22"/>
        </w:rPr>
        <w:t>Большинство государственных организаций, в чьей компетенции находится деятельность в области насилия в семье, приняли на себя соответствующие совместные обязательства в данной сфере. Исключение составляют Министерство труда и социального обеспечения и Министерство жилищного хозяйства и поселений.</w:t>
      </w:r>
    </w:p>
    <w:p w:rsidR="00000000" w:rsidRDefault="00000000">
      <w:pPr>
        <w:pStyle w:val="Title"/>
        <w:numPr>
          <w:ilvl w:val="0"/>
          <w:numId w:val="91"/>
        </w:numPr>
        <w:tabs>
          <w:tab w:val="left" w:pos="680"/>
        </w:tabs>
        <w:spacing w:before="240" w:line="260" w:lineRule="exact"/>
        <w:jc w:val="both"/>
        <w:rPr>
          <w:b w:val="0"/>
          <w:sz w:val="22"/>
        </w:rPr>
      </w:pPr>
      <w:r>
        <w:rPr>
          <w:b w:val="0"/>
          <w:sz w:val="22"/>
        </w:rPr>
        <w:t>Благодаря применению документов и нормативов, разработанных соответствующими учреждениями министерств образования, здравоохранения, юстиции и органов судебной власти, был придан более организованный характер деятельности служб по оказанию помощи в случае насилия и его предупреждению.</w:t>
      </w:r>
    </w:p>
    <w:p w:rsidR="00000000" w:rsidRDefault="00000000">
      <w:pPr>
        <w:pStyle w:val="Title"/>
        <w:numPr>
          <w:ilvl w:val="0"/>
          <w:numId w:val="91"/>
        </w:numPr>
        <w:tabs>
          <w:tab w:val="left" w:pos="680"/>
        </w:tabs>
        <w:spacing w:before="240" w:line="260" w:lineRule="exact"/>
        <w:jc w:val="both"/>
        <w:rPr>
          <w:b w:val="0"/>
          <w:sz w:val="22"/>
        </w:rPr>
      </w:pPr>
      <w:r>
        <w:rPr>
          <w:b w:val="0"/>
          <w:sz w:val="22"/>
        </w:rPr>
        <w:t>Были созданы специальные государственные структуры и инстанции, чьи действия направлены на улучшение работы государственных учреждений по предупреждению насилия и оказанию помощи его жертвам. В числе таких структур можно назвать Программу оказания комплексной помощи в случае насилия в семье (ПАИВИФ), Руководящий совет сектора здравоохранения и Отдел по вопросам насилия в отношении противоположного пола ИНАМУ.</w:t>
      </w:r>
    </w:p>
    <w:p w:rsidR="00000000" w:rsidRDefault="00000000">
      <w:pPr>
        <w:pStyle w:val="Title"/>
        <w:numPr>
          <w:ilvl w:val="0"/>
          <w:numId w:val="91"/>
        </w:numPr>
        <w:tabs>
          <w:tab w:val="left" w:pos="680"/>
        </w:tabs>
        <w:spacing w:before="240" w:line="260" w:lineRule="exact"/>
        <w:jc w:val="both"/>
        <w:rPr>
          <w:b w:val="0"/>
          <w:sz w:val="22"/>
        </w:rPr>
      </w:pPr>
      <w:r>
        <w:rPr>
          <w:b w:val="0"/>
          <w:sz w:val="22"/>
        </w:rPr>
        <w:t>Была расширена сеть управлений по делам женщин, которые вносят ценный вклад в просветительскую работу по ознакомлению женщин с их правами, а также в распространение информации относительно государственных стратегий и программ в разных областях, включая предупреждение насилия в семье и оказание помощи его жертвам. В настоящее время действует 41 управление по делам женщин.</w:t>
      </w:r>
    </w:p>
    <w:p w:rsidR="00000000" w:rsidRDefault="00000000">
      <w:pPr>
        <w:pStyle w:val="Title"/>
        <w:numPr>
          <w:ilvl w:val="0"/>
          <w:numId w:val="91"/>
        </w:numPr>
        <w:tabs>
          <w:tab w:val="left" w:pos="680"/>
        </w:tabs>
        <w:spacing w:before="240" w:line="260" w:lineRule="exact"/>
        <w:jc w:val="both"/>
        <w:rPr>
          <w:b w:val="0"/>
          <w:sz w:val="22"/>
        </w:rPr>
      </w:pPr>
      <w:r>
        <w:rPr>
          <w:b w:val="0"/>
          <w:sz w:val="22"/>
        </w:rPr>
        <w:t>Выросло количество местных организаций по предупреждению насилия в семье и по оказанию помощи его жертвам, в которые входят государственные учреждения, а также женские и другие общественные организации.</w:t>
      </w:r>
    </w:p>
    <w:p w:rsidR="00000000" w:rsidRDefault="00000000">
      <w:pPr>
        <w:pStyle w:val="Title"/>
        <w:numPr>
          <w:ilvl w:val="0"/>
          <w:numId w:val="91"/>
        </w:numPr>
        <w:tabs>
          <w:tab w:val="left" w:pos="680"/>
        </w:tabs>
        <w:spacing w:before="240" w:line="260" w:lineRule="exact"/>
        <w:jc w:val="both"/>
        <w:rPr>
          <w:b w:val="0"/>
          <w:spacing w:val="-2"/>
          <w:sz w:val="22"/>
        </w:rPr>
      </w:pPr>
      <w:r>
        <w:rPr>
          <w:b w:val="0"/>
          <w:spacing w:val="-2"/>
          <w:sz w:val="22"/>
        </w:rPr>
        <w:t>Использовался опыт финансируемых ИНАМУ или другими учреждениями организаций, специализирующихся на оказании помощи, такой, например, как оказание срочной помощи по специальной телефонной линии, открытие приютов, соответствующая профессиональная подготовка сотрудников учреждений и многое другое.</w:t>
      </w:r>
    </w:p>
    <w:p w:rsidR="00000000" w:rsidRDefault="00000000">
      <w:pPr>
        <w:pStyle w:val="Title"/>
        <w:numPr>
          <w:ilvl w:val="0"/>
          <w:numId w:val="91"/>
        </w:numPr>
        <w:tabs>
          <w:tab w:val="left" w:pos="680"/>
        </w:tabs>
        <w:spacing w:before="240" w:line="260" w:lineRule="exact"/>
        <w:jc w:val="both"/>
        <w:rPr>
          <w:b w:val="0"/>
          <w:sz w:val="22"/>
        </w:rPr>
      </w:pPr>
      <w:r>
        <w:rPr>
          <w:b w:val="0"/>
          <w:sz w:val="22"/>
        </w:rPr>
        <w:t>Укрепление межведомственной координации деятельности, которая положительно влияет на качество предоставляемой помощи. К примеру, признание недостатков при исполнении полицией обязанностей, предусмотренных в Законе о борьбе с бытовым насилием, привело к созданию при Министерстве безопасности Ведомственной организаторской комиссии.</w:t>
      </w:r>
    </w:p>
    <w:p w:rsidR="00000000" w:rsidRDefault="00000000">
      <w:pPr>
        <w:pStyle w:val="Title"/>
        <w:tabs>
          <w:tab w:val="left" w:pos="680"/>
        </w:tabs>
        <w:spacing w:before="240" w:line="260" w:lineRule="exact"/>
        <w:jc w:val="both"/>
        <w:rPr>
          <w:b w:val="0"/>
          <w:sz w:val="22"/>
        </w:rPr>
      </w:pPr>
      <w:r>
        <w:rPr>
          <w:b w:val="0"/>
          <w:sz w:val="22"/>
        </w:rPr>
        <w:t>530.</w:t>
      </w:r>
      <w:r>
        <w:rPr>
          <w:b w:val="0"/>
          <w:sz w:val="22"/>
        </w:rPr>
        <w:tab/>
        <w:t>Кроме того, следует отметить успехи, достигнутые по разным направлениям деятельности Национальной системы оказания помощи в случае насилия в семье и его предупреждения (</w:t>
      </w:r>
      <w:r>
        <w:rPr>
          <w:b w:val="0"/>
          <w:sz w:val="22"/>
          <w:lang w:val="en-US"/>
        </w:rPr>
        <w:t>Brenes</w:t>
      </w:r>
      <w:r>
        <w:rPr>
          <w:b w:val="0"/>
          <w:sz w:val="22"/>
        </w:rPr>
        <w:t xml:space="preserve">, </w:t>
      </w:r>
      <w:r>
        <w:rPr>
          <w:b w:val="0"/>
          <w:sz w:val="22"/>
          <w:lang w:val="en-US"/>
        </w:rPr>
        <w:t>M</w:t>
      </w:r>
      <w:r>
        <w:rPr>
          <w:b w:val="0"/>
          <w:sz w:val="22"/>
        </w:rPr>
        <w:t>é</w:t>
      </w:r>
      <w:r>
        <w:rPr>
          <w:b w:val="0"/>
          <w:sz w:val="22"/>
          <w:lang w:val="en-US"/>
        </w:rPr>
        <w:t>ndez</w:t>
      </w:r>
      <w:r>
        <w:rPr>
          <w:b w:val="0"/>
          <w:sz w:val="22"/>
        </w:rPr>
        <w:t>, 2000):</w:t>
      </w:r>
    </w:p>
    <w:p w:rsidR="00000000" w:rsidRDefault="00000000">
      <w:pPr>
        <w:pStyle w:val="Title"/>
        <w:numPr>
          <w:ilvl w:val="0"/>
          <w:numId w:val="92"/>
        </w:numPr>
        <w:tabs>
          <w:tab w:val="left" w:pos="680"/>
        </w:tabs>
        <w:spacing w:before="240" w:line="260" w:lineRule="exact"/>
        <w:jc w:val="both"/>
        <w:rPr>
          <w:b w:val="0"/>
          <w:sz w:val="22"/>
        </w:rPr>
      </w:pPr>
      <w:r>
        <w:rPr>
          <w:sz w:val="22"/>
        </w:rPr>
        <w:t>Направление "выявление случаев насилия":</w:t>
      </w:r>
      <w:r>
        <w:rPr>
          <w:b w:val="0"/>
          <w:sz w:val="22"/>
        </w:rPr>
        <w:t xml:space="preserve"> улучшение системы учета данных, применяемой для регистрации фактов насилия, в особенности в области здравоохранения и образования, в том числе в отношении инвалидов. </w:t>
      </w:r>
    </w:p>
    <w:p w:rsidR="00000000" w:rsidRDefault="00000000">
      <w:pPr>
        <w:pStyle w:val="Title"/>
        <w:numPr>
          <w:ilvl w:val="0"/>
          <w:numId w:val="93"/>
        </w:numPr>
        <w:tabs>
          <w:tab w:val="left" w:pos="680"/>
        </w:tabs>
        <w:spacing w:before="240" w:line="260" w:lineRule="exact"/>
        <w:jc w:val="both"/>
        <w:rPr>
          <w:b w:val="0"/>
          <w:sz w:val="22"/>
        </w:rPr>
      </w:pPr>
      <w:r>
        <w:rPr>
          <w:sz w:val="22"/>
        </w:rPr>
        <w:t>Направление "оказание помощи":</w:t>
      </w:r>
      <w:r>
        <w:rPr>
          <w:b w:val="0"/>
          <w:sz w:val="22"/>
        </w:rPr>
        <w:t xml:space="preserve"> расширение объема оказываемых услуг в плане охвата большей территории и слоев населения страны. Например, ККСС увеличила количество служб, работающих со взрослыми правонарушителями, и одновременно служб оказания помощи в группах лицам, пострадавшим от насилия.</w:t>
      </w:r>
    </w:p>
    <w:p w:rsidR="00000000" w:rsidRDefault="00000000">
      <w:pPr>
        <w:pStyle w:val="Title"/>
        <w:numPr>
          <w:ilvl w:val="0"/>
          <w:numId w:val="93"/>
        </w:numPr>
        <w:tabs>
          <w:tab w:val="left" w:pos="680"/>
        </w:tabs>
        <w:spacing w:before="240" w:line="260" w:lineRule="exact"/>
        <w:jc w:val="both"/>
        <w:rPr>
          <w:b w:val="0"/>
          <w:sz w:val="22"/>
        </w:rPr>
      </w:pPr>
      <w:r>
        <w:rPr>
          <w:sz w:val="22"/>
        </w:rPr>
        <w:t>Направление "предупреждение насилия":</w:t>
      </w:r>
      <w:r>
        <w:rPr>
          <w:b w:val="0"/>
          <w:sz w:val="22"/>
        </w:rPr>
        <w:t xml:space="preserve"> усилена деятельность различных учреждений и организаций. Проводились кампания "За жизнь без насилия", а также кампания по работе с особыми группами населения (детьми, подростками, инвалидами, женщинами, живущими в бедности, несовершеннолетними беременными женщинами или матерями, населением, посещающим театр, балет и экспозицию национального архива).</w:t>
      </w:r>
    </w:p>
    <w:p w:rsidR="00000000" w:rsidRDefault="00000000">
      <w:pPr>
        <w:pStyle w:val="Title"/>
        <w:numPr>
          <w:ilvl w:val="0"/>
          <w:numId w:val="93"/>
        </w:numPr>
        <w:tabs>
          <w:tab w:val="left" w:pos="680"/>
        </w:tabs>
        <w:spacing w:before="240" w:line="260" w:lineRule="exact"/>
        <w:jc w:val="both"/>
        <w:rPr>
          <w:b w:val="0"/>
          <w:sz w:val="22"/>
        </w:rPr>
      </w:pPr>
      <w:r>
        <w:rPr>
          <w:sz w:val="22"/>
        </w:rPr>
        <w:t>Направление "обеспечение доступа к различным видам помощи":</w:t>
      </w:r>
      <w:r>
        <w:rPr>
          <w:b w:val="0"/>
          <w:sz w:val="22"/>
        </w:rPr>
        <w:t xml:space="preserve"> успехи наблюдались только в плане расширения доступа к специальным приютам, поскольку был построен новый приют в Пунтаренасе. Объединенный институт социальной помощи (ИМАС) выделил стипендии для семей, в которых есть дети школьного возраста.</w:t>
      </w:r>
    </w:p>
    <w:p w:rsidR="00000000" w:rsidRDefault="00000000">
      <w:pPr>
        <w:pStyle w:val="Title"/>
        <w:numPr>
          <w:ilvl w:val="0"/>
          <w:numId w:val="93"/>
        </w:numPr>
        <w:tabs>
          <w:tab w:val="left" w:pos="680"/>
        </w:tabs>
        <w:spacing w:before="240" w:line="260" w:lineRule="exact"/>
        <w:jc w:val="both"/>
        <w:rPr>
          <w:b w:val="0"/>
          <w:sz w:val="22"/>
        </w:rPr>
      </w:pPr>
      <w:r>
        <w:rPr>
          <w:sz w:val="22"/>
        </w:rPr>
        <w:t>Направление "взаимный обмен опытом":</w:t>
      </w:r>
      <w:r>
        <w:rPr>
          <w:b w:val="0"/>
          <w:sz w:val="22"/>
        </w:rPr>
        <w:t xml:space="preserve"> усилена деятельность министерств образования, здравоохранения, общественной безопасности, а также ККСС и органов судебной власти по просвещению и повышению профессионально-технической подготовки персонала, работающего в службах по оказанию помощи жертвам насилия и его предупреждению.</w:t>
      </w:r>
    </w:p>
    <w:p w:rsidR="00000000" w:rsidRDefault="00000000">
      <w:pPr>
        <w:pStyle w:val="Title"/>
        <w:tabs>
          <w:tab w:val="left" w:pos="680"/>
        </w:tabs>
        <w:spacing w:before="240" w:line="260" w:lineRule="exact"/>
        <w:jc w:val="both"/>
        <w:rPr>
          <w:b w:val="0"/>
          <w:spacing w:val="-2"/>
          <w:sz w:val="22"/>
        </w:rPr>
      </w:pPr>
      <w:r>
        <w:rPr>
          <w:b w:val="0"/>
          <w:sz w:val="22"/>
        </w:rPr>
        <w:t>531.</w:t>
      </w:r>
      <w:r>
        <w:rPr>
          <w:b w:val="0"/>
          <w:sz w:val="22"/>
        </w:rPr>
        <w:tab/>
      </w:r>
      <w:r>
        <w:rPr>
          <w:b w:val="0"/>
          <w:spacing w:val="-2"/>
          <w:sz w:val="22"/>
        </w:rPr>
        <w:t>Отдел по вопросам насилия в отношении противоположного пола ИНАМУ приступил к реализации плана по повышению профессиональной подготовки в первую очередь среди персонала системы местных организаций, занимающихся проблемами предупреждения и оказания помощи в случае насилия в семье, но также и среди сотрудников судебных и правоохранительных органов, организаций, занимающихся проблемами несовершеннолетнего населения, и женских организаций, работающих в области противодействия внутрисемейному насилию. В период с 2000 по 2002 год было проведено 51 мероприятие просветительского характера, в которых приняли участие 1552 человека (</w:t>
      </w:r>
      <w:r>
        <w:rPr>
          <w:b w:val="0"/>
          <w:spacing w:val="-2"/>
          <w:sz w:val="22"/>
          <w:lang w:val="en-US"/>
        </w:rPr>
        <w:t>Brenes</w:t>
      </w:r>
      <w:r>
        <w:rPr>
          <w:b w:val="0"/>
          <w:spacing w:val="-2"/>
          <w:sz w:val="22"/>
        </w:rPr>
        <w:t xml:space="preserve">, </w:t>
      </w:r>
      <w:r>
        <w:rPr>
          <w:b w:val="0"/>
          <w:spacing w:val="-2"/>
          <w:sz w:val="22"/>
          <w:lang w:val="en-US"/>
        </w:rPr>
        <w:t>M</w:t>
      </w:r>
      <w:r>
        <w:rPr>
          <w:b w:val="0"/>
          <w:spacing w:val="-2"/>
          <w:sz w:val="22"/>
        </w:rPr>
        <w:t>é</w:t>
      </w:r>
      <w:r>
        <w:rPr>
          <w:b w:val="0"/>
          <w:spacing w:val="-2"/>
          <w:sz w:val="22"/>
          <w:lang w:val="en-US"/>
        </w:rPr>
        <w:t>ndez</w:t>
      </w:r>
      <w:r>
        <w:rPr>
          <w:b w:val="0"/>
          <w:spacing w:val="-2"/>
          <w:sz w:val="22"/>
        </w:rPr>
        <w:t>, 2002).</w:t>
      </w:r>
    </w:p>
    <w:p w:rsidR="00000000" w:rsidRDefault="00000000">
      <w:pPr>
        <w:pStyle w:val="Title"/>
        <w:tabs>
          <w:tab w:val="left" w:pos="680"/>
        </w:tabs>
        <w:spacing w:before="240" w:line="260" w:lineRule="exact"/>
        <w:jc w:val="both"/>
        <w:rPr>
          <w:b w:val="0"/>
          <w:sz w:val="22"/>
        </w:rPr>
      </w:pPr>
      <w:r>
        <w:rPr>
          <w:b w:val="0"/>
          <w:sz w:val="22"/>
        </w:rPr>
        <w:t>532.</w:t>
      </w:r>
      <w:r>
        <w:rPr>
          <w:b w:val="0"/>
          <w:sz w:val="22"/>
        </w:rPr>
        <w:tab/>
        <w:t>Управления по делам женщин, действующие по всей территории страны, являются главным инструментом оказания помощи женщинам – жертвам насилия (</w:t>
      </w:r>
      <w:r>
        <w:rPr>
          <w:b w:val="0"/>
          <w:sz w:val="22"/>
          <w:lang w:val="en-US"/>
        </w:rPr>
        <w:t>Brenes</w:t>
      </w:r>
      <w:r>
        <w:rPr>
          <w:b w:val="0"/>
          <w:sz w:val="22"/>
        </w:rPr>
        <w:t xml:space="preserve">, </w:t>
      </w:r>
      <w:r>
        <w:rPr>
          <w:b w:val="0"/>
          <w:sz w:val="22"/>
          <w:lang w:val="en-US"/>
        </w:rPr>
        <w:t>M</w:t>
      </w:r>
      <w:r>
        <w:rPr>
          <w:b w:val="0"/>
          <w:sz w:val="22"/>
        </w:rPr>
        <w:t>é</w:t>
      </w:r>
      <w:r>
        <w:rPr>
          <w:b w:val="0"/>
          <w:sz w:val="22"/>
          <w:lang w:val="en-US"/>
        </w:rPr>
        <w:t>ndez</w:t>
      </w:r>
      <w:r>
        <w:rPr>
          <w:b w:val="0"/>
          <w:sz w:val="22"/>
        </w:rPr>
        <w:t>, 2002).</w:t>
      </w:r>
    </w:p>
    <w:p w:rsidR="00000000" w:rsidRDefault="00000000">
      <w:pPr>
        <w:pStyle w:val="Title"/>
        <w:tabs>
          <w:tab w:val="left" w:pos="680"/>
        </w:tabs>
        <w:spacing w:before="240" w:line="260" w:lineRule="exact"/>
        <w:jc w:val="both"/>
        <w:rPr>
          <w:b w:val="0"/>
          <w:sz w:val="22"/>
        </w:rPr>
      </w:pPr>
      <w:r>
        <w:rPr>
          <w:b w:val="0"/>
          <w:sz w:val="22"/>
        </w:rPr>
        <w:t>533.</w:t>
      </w:r>
      <w:r>
        <w:rPr>
          <w:b w:val="0"/>
          <w:sz w:val="22"/>
        </w:rPr>
        <w:tab/>
        <w:t>Коста-Риканский фонд социального обеспечения (ККСС) стал еще одним государственным институтом, который взял на себя обязательства по повышению профессионально-технической подготовки своих сотрудников. К настоящему времени специальную подготовку прошли в общей сложности 1250 человек. Кроме того, удалось начать реализацию на общенациональном уровне модели оказания комплексной помощи в случае внутрисемейного насилия в 40 общинах, охваченных сетью организаций Фонда. Помощь в рамках этого проекта оказывалась в разных отделениях Бригад первичного комплексного обслуживания и в специализированных больницах: больнице "Мехико", больнице "Кальдерон Гуардия", больнице "Сан-Хуан де Дьос", больнице "Бланко Сервантес" и Психиатрической больнице (</w:t>
      </w:r>
      <w:r>
        <w:rPr>
          <w:b w:val="0"/>
          <w:sz w:val="22"/>
          <w:lang w:val="en-US"/>
        </w:rPr>
        <w:t>Brenes</w:t>
      </w:r>
      <w:r>
        <w:rPr>
          <w:b w:val="0"/>
          <w:sz w:val="22"/>
        </w:rPr>
        <w:t xml:space="preserve">, </w:t>
      </w:r>
      <w:r>
        <w:rPr>
          <w:b w:val="0"/>
          <w:sz w:val="22"/>
          <w:lang w:val="en-US"/>
        </w:rPr>
        <w:t>M</w:t>
      </w:r>
      <w:r>
        <w:rPr>
          <w:b w:val="0"/>
          <w:sz w:val="22"/>
        </w:rPr>
        <w:t>é</w:t>
      </w:r>
      <w:r>
        <w:rPr>
          <w:b w:val="0"/>
          <w:sz w:val="22"/>
          <w:lang w:val="en-US"/>
        </w:rPr>
        <w:t>ndez</w:t>
      </w:r>
      <w:r>
        <w:rPr>
          <w:b w:val="0"/>
          <w:sz w:val="22"/>
        </w:rPr>
        <w:t>, 2002).</w:t>
      </w:r>
    </w:p>
    <w:p w:rsidR="00000000" w:rsidRDefault="00000000">
      <w:pPr>
        <w:pStyle w:val="Title"/>
        <w:tabs>
          <w:tab w:val="left" w:pos="680"/>
        </w:tabs>
        <w:spacing w:before="200" w:line="260" w:lineRule="exact"/>
        <w:jc w:val="both"/>
        <w:rPr>
          <w:b w:val="0"/>
          <w:sz w:val="22"/>
        </w:rPr>
      </w:pPr>
      <w:r>
        <w:rPr>
          <w:b w:val="0"/>
          <w:sz w:val="22"/>
        </w:rPr>
        <w:t>534.</w:t>
      </w:r>
      <w:r>
        <w:rPr>
          <w:b w:val="0"/>
          <w:sz w:val="22"/>
        </w:rPr>
        <w:tab/>
        <w:t>Кроме того, расширило свою деятельность в целях противодействия внутрисемейному насилию Министерство народного просвещения. Бóльшая часть его сотрудников и сотрудниц прошли специальную подготовку по вопросам предупреждения насилия в семье и оказания помощи его жертвам. Согласно данным, полученным к сентябрю 2001 года, в общей сложности 659 работников образования повысили свою профессиональную подготовку в специальных местных школах, открытых по всей стране (</w:t>
      </w:r>
      <w:r>
        <w:rPr>
          <w:b w:val="0"/>
          <w:sz w:val="22"/>
          <w:lang w:val="en-US"/>
        </w:rPr>
        <w:t>Brenes</w:t>
      </w:r>
      <w:r>
        <w:rPr>
          <w:b w:val="0"/>
          <w:sz w:val="22"/>
        </w:rPr>
        <w:t xml:space="preserve">, </w:t>
      </w:r>
      <w:r>
        <w:rPr>
          <w:b w:val="0"/>
          <w:sz w:val="22"/>
          <w:lang w:val="en-US"/>
        </w:rPr>
        <w:t>M</w:t>
      </w:r>
      <w:r>
        <w:rPr>
          <w:b w:val="0"/>
          <w:sz w:val="22"/>
        </w:rPr>
        <w:t>é</w:t>
      </w:r>
      <w:r>
        <w:rPr>
          <w:b w:val="0"/>
          <w:sz w:val="22"/>
          <w:lang w:val="en-US"/>
        </w:rPr>
        <w:t>ndez</w:t>
      </w:r>
      <w:r>
        <w:rPr>
          <w:b w:val="0"/>
          <w:sz w:val="22"/>
        </w:rPr>
        <w:t>, 2002).</w:t>
      </w:r>
    </w:p>
    <w:p w:rsidR="00000000" w:rsidRDefault="00000000">
      <w:pPr>
        <w:pStyle w:val="Title"/>
        <w:tabs>
          <w:tab w:val="left" w:pos="680"/>
        </w:tabs>
        <w:spacing w:before="200" w:line="260" w:lineRule="exact"/>
        <w:jc w:val="both"/>
        <w:rPr>
          <w:b w:val="0"/>
          <w:sz w:val="22"/>
        </w:rPr>
      </w:pPr>
      <w:r>
        <w:rPr>
          <w:b w:val="0"/>
          <w:sz w:val="22"/>
        </w:rPr>
        <w:t>535.</w:t>
      </w:r>
      <w:r>
        <w:rPr>
          <w:b w:val="0"/>
          <w:sz w:val="22"/>
        </w:rPr>
        <w:tab/>
        <w:t>Министерство юстиции и по вопросам помилования также ведет работу по предупреждению любых проявлений внутрисемейного насилия и оказанию помощи его жертвам. Что касается деятельности, направленной на предупреждение насилия в семье, она координируется Национальным управлением по предупреждению случаев насилия и преступлений, среди целей которого можно выделить следующие: содействовать развитию социальных отношений на основе принципов равноправия, всеобщности и социальной солидарности; укреплять систему предупреждения случаев насилия и преступлений с целью улучшения условий жизни граждан; в ходе выполнения поставленных задач сотрудничать с другими ведомствами и отраслями, организовывать акции в поддержку региональных сетей и организаций, способствовать ведению просветительской работы в обществе, осуществлять исследовательскую деятельность, а также повышать профессиональную подготовку и консультировать население. Создание и распространение в системе среднего образования Национальной молодежной сети по предупреждению насилия является одним из приоритетных проектов министерства (</w:t>
      </w:r>
      <w:r>
        <w:rPr>
          <w:b w:val="0"/>
          <w:sz w:val="22"/>
          <w:lang w:val="en-US"/>
        </w:rPr>
        <w:t>Brenes</w:t>
      </w:r>
      <w:r>
        <w:rPr>
          <w:b w:val="0"/>
          <w:sz w:val="22"/>
        </w:rPr>
        <w:t xml:space="preserve">, </w:t>
      </w:r>
      <w:r>
        <w:rPr>
          <w:b w:val="0"/>
          <w:sz w:val="22"/>
          <w:lang w:val="en-US"/>
        </w:rPr>
        <w:t>M</w:t>
      </w:r>
      <w:r>
        <w:rPr>
          <w:b w:val="0"/>
          <w:sz w:val="22"/>
        </w:rPr>
        <w:t>é</w:t>
      </w:r>
      <w:r>
        <w:rPr>
          <w:b w:val="0"/>
          <w:sz w:val="22"/>
          <w:lang w:val="en-US"/>
        </w:rPr>
        <w:t>ndez</w:t>
      </w:r>
      <w:r>
        <w:rPr>
          <w:b w:val="0"/>
          <w:sz w:val="22"/>
        </w:rPr>
        <w:t>, 2002).</w:t>
      </w:r>
    </w:p>
    <w:p w:rsidR="00000000" w:rsidRDefault="00000000">
      <w:pPr>
        <w:pStyle w:val="Title"/>
        <w:tabs>
          <w:tab w:val="left" w:pos="680"/>
        </w:tabs>
        <w:spacing w:before="200" w:line="260" w:lineRule="exact"/>
        <w:jc w:val="both"/>
        <w:rPr>
          <w:b w:val="0"/>
          <w:sz w:val="22"/>
        </w:rPr>
      </w:pPr>
      <w:r>
        <w:rPr>
          <w:b w:val="0"/>
          <w:sz w:val="22"/>
        </w:rPr>
        <w:t>536.</w:t>
      </w:r>
      <w:r>
        <w:rPr>
          <w:b w:val="0"/>
          <w:sz w:val="22"/>
        </w:rPr>
        <w:tab/>
        <w:t>На предупреждение насилия направлена и работа Отдела по контролю за общественными зрелищами, регулирующего все виды деятельности, предусмотренные в законе № 7440, с тем чтобы оградить несовершеннолетних от просмотра или прослушивания материала, который может негативно повлиять на надлежащее психическое и сексуальное развитие несовершеннолетних (</w:t>
      </w:r>
      <w:r>
        <w:rPr>
          <w:b w:val="0"/>
          <w:sz w:val="22"/>
          <w:lang w:val="en-US"/>
        </w:rPr>
        <w:t>Brenes</w:t>
      </w:r>
      <w:r>
        <w:rPr>
          <w:b w:val="0"/>
          <w:sz w:val="22"/>
        </w:rPr>
        <w:t xml:space="preserve">, </w:t>
      </w:r>
      <w:r>
        <w:rPr>
          <w:b w:val="0"/>
          <w:sz w:val="22"/>
          <w:lang w:val="en-US"/>
        </w:rPr>
        <w:t>M</w:t>
      </w:r>
      <w:r>
        <w:rPr>
          <w:b w:val="0"/>
          <w:sz w:val="22"/>
        </w:rPr>
        <w:t>é</w:t>
      </w:r>
      <w:r>
        <w:rPr>
          <w:b w:val="0"/>
          <w:sz w:val="22"/>
          <w:lang w:val="en-US"/>
        </w:rPr>
        <w:t>ndez</w:t>
      </w:r>
      <w:r>
        <w:rPr>
          <w:b w:val="0"/>
          <w:sz w:val="22"/>
        </w:rPr>
        <w:t>, 2002).</w:t>
      </w:r>
    </w:p>
    <w:p w:rsidR="00000000" w:rsidRDefault="00000000">
      <w:pPr>
        <w:pStyle w:val="Title"/>
        <w:tabs>
          <w:tab w:val="left" w:pos="680"/>
        </w:tabs>
        <w:spacing w:before="200" w:line="260" w:lineRule="exact"/>
        <w:jc w:val="both"/>
        <w:rPr>
          <w:b w:val="0"/>
          <w:spacing w:val="-4"/>
          <w:sz w:val="22"/>
        </w:rPr>
      </w:pPr>
      <w:r>
        <w:rPr>
          <w:b w:val="0"/>
          <w:sz w:val="22"/>
        </w:rPr>
        <w:t>537.</w:t>
      </w:r>
      <w:r>
        <w:rPr>
          <w:b w:val="0"/>
          <w:sz w:val="22"/>
        </w:rPr>
        <w:tab/>
      </w:r>
      <w:r>
        <w:rPr>
          <w:b w:val="0"/>
          <w:spacing w:val="-4"/>
          <w:sz w:val="22"/>
        </w:rPr>
        <w:t>Что касается направления деятельности, связанный с оказанием помощи жертвам насилия, в Главном управлении по вопросам социальной адаптации создан Отдел по вопросам оказания помощи в случае насилия, который наряду с другими проектами занимается также выявлением правонарушителей, ведет с ними информационно-просветительскую и иную работу и наблюдает за ними в рамках Национальной пенитенциарной системы, а также работает с лицами, пострадавшими от насилия, которые находятся в местах лишения свободы. Кроме того, в рамках Национальной программы по оказанию помощи малолетним преступникам осуществляются несколько проектов оказания помощи несовершеннолетним правонарушителям, совершившим физическое или сексуальное насилие (</w:t>
      </w:r>
      <w:r>
        <w:rPr>
          <w:b w:val="0"/>
          <w:sz w:val="22"/>
          <w:lang w:val="en-US"/>
        </w:rPr>
        <w:t>Brenes</w:t>
      </w:r>
      <w:r>
        <w:rPr>
          <w:b w:val="0"/>
          <w:sz w:val="22"/>
        </w:rPr>
        <w:t xml:space="preserve">, </w:t>
      </w:r>
      <w:r>
        <w:rPr>
          <w:b w:val="0"/>
          <w:sz w:val="22"/>
          <w:lang w:val="en-US"/>
        </w:rPr>
        <w:t>M</w:t>
      </w:r>
      <w:r>
        <w:rPr>
          <w:b w:val="0"/>
          <w:sz w:val="22"/>
        </w:rPr>
        <w:t>é</w:t>
      </w:r>
      <w:r>
        <w:rPr>
          <w:b w:val="0"/>
          <w:sz w:val="22"/>
          <w:lang w:val="en-US"/>
        </w:rPr>
        <w:t>ndez</w:t>
      </w:r>
      <w:r>
        <w:rPr>
          <w:b w:val="0"/>
          <w:spacing w:val="-4"/>
          <w:sz w:val="22"/>
        </w:rPr>
        <w:t>, 2002).</w:t>
      </w:r>
    </w:p>
    <w:p w:rsidR="00000000" w:rsidRDefault="00000000">
      <w:pPr>
        <w:pStyle w:val="Title"/>
        <w:tabs>
          <w:tab w:val="left" w:pos="680"/>
        </w:tabs>
        <w:spacing w:before="240" w:line="260" w:lineRule="exact"/>
        <w:jc w:val="both"/>
        <w:rPr>
          <w:b w:val="0"/>
          <w:sz w:val="22"/>
        </w:rPr>
      </w:pPr>
      <w:r>
        <w:rPr>
          <w:b w:val="0"/>
          <w:sz w:val="22"/>
        </w:rPr>
        <w:t>538.</w:t>
      </w:r>
      <w:r>
        <w:rPr>
          <w:b w:val="0"/>
          <w:sz w:val="22"/>
        </w:rPr>
        <w:tab/>
        <w:t>Кроме того, Государственный детский благотворительный фонд в прошлом году провел в общей сложности 120 кампаний по предупреждению насилия и оказал помощь 5 тыс. жертвам внутрисемейного насилия (</w:t>
      </w:r>
      <w:r>
        <w:rPr>
          <w:b w:val="0"/>
          <w:sz w:val="22"/>
          <w:lang w:val="en-US"/>
        </w:rPr>
        <w:t>Brenes</w:t>
      </w:r>
      <w:r>
        <w:rPr>
          <w:b w:val="0"/>
          <w:sz w:val="22"/>
        </w:rPr>
        <w:t xml:space="preserve">, </w:t>
      </w:r>
      <w:r>
        <w:rPr>
          <w:b w:val="0"/>
          <w:sz w:val="22"/>
          <w:lang w:val="en-US"/>
        </w:rPr>
        <w:t>M</w:t>
      </w:r>
      <w:r>
        <w:rPr>
          <w:b w:val="0"/>
          <w:sz w:val="22"/>
        </w:rPr>
        <w:t>é</w:t>
      </w:r>
      <w:r>
        <w:rPr>
          <w:b w:val="0"/>
          <w:sz w:val="22"/>
          <w:lang w:val="en-US"/>
        </w:rPr>
        <w:t>ndez</w:t>
      </w:r>
      <w:r>
        <w:rPr>
          <w:b w:val="0"/>
          <w:sz w:val="22"/>
        </w:rPr>
        <w:t>, 2002).</w:t>
      </w:r>
    </w:p>
    <w:p w:rsidR="00000000" w:rsidRDefault="00000000">
      <w:pPr>
        <w:pStyle w:val="Title"/>
        <w:tabs>
          <w:tab w:val="left" w:pos="680"/>
        </w:tabs>
        <w:spacing w:before="240" w:line="260" w:lineRule="exact"/>
        <w:jc w:val="both"/>
        <w:rPr>
          <w:b w:val="0"/>
          <w:sz w:val="22"/>
        </w:rPr>
      </w:pPr>
      <w:r>
        <w:rPr>
          <w:b w:val="0"/>
          <w:sz w:val="22"/>
        </w:rPr>
        <w:t>539.</w:t>
      </w:r>
      <w:r>
        <w:rPr>
          <w:b w:val="0"/>
          <w:sz w:val="22"/>
        </w:rPr>
        <w:tab/>
        <w:t>Национальный институт профессионально-технического обучения приложил значительные усилия для привлечения населения, пострадавшего от насилия в семье, к посещению специальных курсов, которые он организует. Однако на данный момент еще не обработана информация, отражающая степень охвата услугами института этой группы населения. Единственно доступная сейчас информация касается числа женщин, обратившихся за помощью в это учреждение; также известно, что в период с января по май в ходе реализации программы "Создаем возможности" в ней приняли участие 175 несовершеннолетних матерей (</w:t>
      </w:r>
      <w:r>
        <w:rPr>
          <w:b w:val="0"/>
          <w:sz w:val="22"/>
          <w:lang w:val="en-US"/>
        </w:rPr>
        <w:t>Brenes</w:t>
      </w:r>
      <w:r>
        <w:rPr>
          <w:b w:val="0"/>
          <w:sz w:val="22"/>
        </w:rPr>
        <w:t xml:space="preserve">, </w:t>
      </w:r>
      <w:r>
        <w:rPr>
          <w:b w:val="0"/>
          <w:sz w:val="22"/>
          <w:lang w:val="en-US"/>
        </w:rPr>
        <w:t>M</w:t>
      </w:r>
      <w:r>
        <w:rPr>
          <w:b w:val="0"/>
          <w:sz w:val="22"/>
        </w:rPr>
        <w:t>é</w:t>
      </w:r>
      <w:r>
        <w:rPr>
          <w:b w:val="0"/>
          <w:sz w:val="22"/>
          <w:lang w:val="en-US"/>
        </w:rPr>
        <w:t>ndez</w:t>
      </w:r>
      <w:r>
        <w:rPr>
          <w:b w:val="0"/>
          <w:sz w:val="22"/>
        </w:rPr>
        <w:t>, 2002).</w:t>
      </w:r>
    </w:p>
    <w:p w:rsidR="00000000" w:rsidRDefault="00000000">
      <w:pPr>
        <w:pStyle w:val="Title"/>
        <w:tabs>
          <w:tab w:val="left" w:pos="680"/>
        </w:tabs>
        <w:spacing w:before="240" w:line="260" w:lineRule="exact"/>
        <w:jc w:val="both"/>
        <w:rPr>
          <w:b w:val="0"/>
          <w:sz w:val="22"/>
        </w:rPr>
      </w:pPr>
      <w:r>
        <w:rPr>
          <w:b w:val="0"/>
          <w:sz w:val="22"/>
        </w:rPr>
        <w:t>540.</w:t>
      </w:r>
      <w:r>
        <w:rPr>
          <w:b w:val="0"/>
          <w:sz w:val="22"/>
        </w:rPr>
        <w:tab/>
        <w:t>Национальная система оказания помощи в случае внутрисемейного насилия и его предупреждения занимается сбором и обработкой данных, полученных от различных организаций и учреждений, с тем чтобы в дальнейшем детально проанализировать последствия насилия в семье и оценить уровень охвата населения предлагаемыми услугами (</w:t>
      </w:r>
      <w:r>
        <w:rPr>
          <w:b w:val="0"/>
          <w:sz w:val="22"/>
          <w:lang w:val="en-US"/>
        </w:rPr>
        <w:t>Brenes</w:t>
      </w:r>
      <w:r>
        <w:rPr>
          <w:b w:val="0"/>
          <w:sz w:val="22"/>
        </w:rPr>
        <w:t xml:space="preserve">, </w:t>
      </w:r>
      <w:r>
        <w:rPr>
          <w:b w:val="0"/>
          <w:sz w:val="22"/>
          <w:lang w:val="en-US"/>
        </w:rPr>
        <w:t>M</w:t>
      </w:r>
      <w:r>
        <w:rPr>
          <w:b w:val="0"/>
          <w:sz w:val="22"/>
        </w:rPr>
        <w:t>é</w:t>
      </w:r>
      <w:r>
        <w:rPr>
          <w:b w:val="0"/>
          <w:sz w:val="22"/>
          <w:lang w:val="en-US"/>
        </w:rPr>
        <w:t>ndez</w:t>
      </w:r>
      <w:r>
        <w:rPr>
          <w:b w:val="0"/>
          <w:sz w:val="22"/>
        </w:rPr>
        <w:t>, 2002).</w:t>
      </w:r>
    </w:p>
    <w:p w:rsidR="00000000" w:rsidRDefault="00000000">
      <w:pPr>
        <w:pStyle w:val="Title"/>
        <w:tabs>
          <w:tab w:val="left" w:pos="680"/>
        </w:tabs>
        <w:spacing w:line="260" w:lineRule="exact"/>
        <w:jc w:val="both"/>
        <w:rPr>
          <w:sz w:val="22"/>
        </w:rPr>
      </w:pPr>
    </w:p>
    <w:p w:rsidR="00000000" w:rsidRDefault="00000000">
      <w:pPr>
        <w:pStyle w:val="Title"/>
        <w:tabs>
          <w:tab w:val="left" w:pos="680"/>
        </w:tabs>
        <w:spacing w:before="240" w:line="260" w:lineRule="exact"/>
        <w:jc w:val="left"/>
        <w:rPr>
          <w:sz w:val="22"/>
        </w:rPr>
      </w:pPr>
      <w:r>
        <w:rPr>
          <w:sz w:val="22"/>
        </w:rPr>
        <w:t>Сексуальное насилие, нежелательная беременность вследствие изнасилования, опасные аборты</w:t>
      </w:r>
    </w:p>
    <w:p w:rsidR="00000000" w:rsidRDefault="00000000">
      <w:pPr>
        <w:pStyle w:val="Title"/>
        <w:tabs>
          <w:tab w:val="left" w:pos="680"/>
        </w:tabs>
        <w:spacing w:before="240" w:line="260" w:lineRule="exact"/>
        <w:jc w:val="both"/>
        <w:rPr>
          <w:b w:val="0"/>
          <w:sz w:val="22"/>
        </w:rPr>
      </w:pPr>
      <w:r>
        <w:rPr>
          <w:b w:val="0"/>
          <w:sz w:val="22"/>
        </w:rPr>
        <w:t>541.</w:t>
      </w:r>
      <w:r>
        <w:rPr>
          <w:b w:val="0"/>
          <w:sz w:val="22"/>
        </w:rPr>
        <w:tab/>
        <w:t>Тот факт, что любая женщина потенциально подвергается риску стать жертвой сексуальной агрессии со стороны мужчины, с которым ее не связывают отношения какого-либо рода, и что возникновение обратной ситуации представляется практически невозможным, доказывает, что сексуальное насилие является одним из проявлений агрессии в отношении женщин и следствием неприкрытой дискриминации по признаку пола. С помощью насилия мужчина осуществляет контроль над телом и сексуальной жизнью женщины, лишая ее права на самостоятельность и физическую неприкосновенность. Существуют разнообразные проявления сексуального насилия, способные нанести жертве как физический, материальный, так и моральный вред, начиная от прямого физического нападения на тело жертвы в случаях изнасилования и заканчивая использованием исключительно вербальной агрессии в случаях сексуального домогательства, начиная от открытых проявлений агрессии и заканчивая самыми завуалированными (</w:t>
      </w:r>
      <w:r>
        <w:rPr>
          <w:b w:val="0"/>
          <w:sz w:val="22"/>
          <w:lang w:val="en-US"/>
        </w:rPr>
        <w:t>Karsedo</w:t>
      </w:r>
      <w:r>
        <w:rPr>
          <w:b w:val="0"/>
          <w:sz w:val="22"/>
        </w:rPr>
        <w:t>, 2001).</w:t>
      </w:r>
    </w:p>
    <w:p w:rsidR="00000000" w:rsidRDefault="00000000">
      <w:pPr>
        <w:pStyle w:val="Title"/>
        <w:tabs>
          <w:tab w:val="left" w:pos="680"/>
        </w:tabs>
        <w:spacing w:before="240" w:line="260" w:lineRule="exact"/>
        <w:jc w:val="both"/>
        <w:rPr>
          <w:b w:val="0"/>
          <w:sz w:val="22"/>
        </w:rPr>
      </w:pPr>
      <w:r>
        <w:rPr>
          <w:b w:val="0"/>
          <w:sz w:val="22"/>
        </w:rPr>
        <w:t>542.</w:t>
      </w:r>
      <w:r>
        <w:rPr>
          <w:b w:val="0"/>
          <w:sz w:val="22"/>
        </w:rPr>
        <w:tab/>
        <w:t>Дискриминационный характер сексуального насилия не вызывает сомнений. В течение 2000 года из всех звонков с заявлениями о случаях сексуального насилия, принятых по линии 800-300-3000, в 98,1 процента случаев объектом агрессии называли женщину, а 98,5 процента звонивших указали на мужчину как на лицо, совершившего насилие (ИНАМУ). В то же время почти все осужденные за сексуальные преступления в период с 1991 по 1999 год являются мужчинами: по разным данным, от 97,8 до 100 процентов (</w:t>
      </w:r>
      <w:r>
        <w:rPr>
          <w:b w:val="0"/>
          <w:sz w:val="22"/>
          <w:lang w:val="en-US"/>
        </w:rPr>
        <w:t>Poder</w:t>
      </w:r>
      <w:r>
        <w:rPr>
          <w:b w:val="0"/>
          <w:sz w:val="22"/>
        </w:rPr>
        <w:t xml:space="preserve"> </w:t>
      </w:r>
      <w:r>
        <w:rPr>
          <w:b w:val="0"/>
          <w:sz w:val="22"/>
          <w:lang w:val="en-US"/>
        </w:rPr>
        <w:t>Judicial</w:t>
      </w:r>
      <w:r>
        <w:rPr>
          <w:b w:val="0"/>
          <w:sz w:val="22"/>
        </w:rPr>
        <w:t>, 1991–1999).</w:t>
      </w:r>
    </w:p>
    <w:p w:rsidR="00000000" w:rsidRDefault="00000000">
      <w:pPr>
        <w:pStyle w:val="Title"/>
        <w:tabs>
          <w:tab w:val="left" w:pos="680"/>
        </w:tabs>
        <w:spacing w:before="240" w:line="260" w:lineRule="exact"/>
        <w:jc w:val="both"/>
        <w:rPr>
          <w:b w:val="0"/>
          <w:sz w:val="22"/>
        </w:rPr>
      </w:pPr>
      <w:r>
        <w:rPr>
          <w:b w:val="0"/>
          <w:sz w:val="22"/>
        </w:rPr>
        <w:t>543.</w:t>
      </w:r>
      <w:r>
        <w:rPr>
          <w:b w:val="0"/>
          <w:sz w:val="22"/>
        </w:rPr>
        <w:tab/>
        <w:t>Тот факт, что большинство сексуальных преступлений направлено против женщин, не случаен. Сексуальные отношения являются той областью, где наиболее поляризованы и без того асимметричные отношения между мужчиной, занимающим главенствующее положение, и женщиной, находящейся в ситуации подчиненности. Кроме того, в сексуальных отношениях мужчины более открыто осуществляют контроль над женщинами, как представительницами другой социальной группы. Мужчина, совершающий сексуальное насилие, действует так, как будто у него есть право владеть любой женщиной. Не случайно и мужчины, и женщины для называния сексуальных отношений используют такие слова, как "овладеть", "употребить".</w:t>
      </w:r>
    </w:p>
    <w:p w:rsidR="00000000" w:rsidRDefault="00000000">
      <w:pPr>
        <w:pStyle w:val="Title"/>
        <w:tabs>
          <w:tab w:val="left" w:pos="680"/>
        </w:tabs>
        <w:spacing w:before="240" w:line="260" w:lineRule="exact"/>
        <w:jc w:val="both"/>
        <w:rPr>
          <w:b w:val="0"/>
          <w:sz w:val="22"/>
        </w:rPr>
      </w:pPr>
      <w:r>
        <w:rPr>
          <w:b w:val="0"/>
          <w:sz w:val="22"/>
        </w:rPr>
        <w:t>544.</w:t>
      </w:r>
      <w:r>
        <w:rPr>
          <w:b w:val="0"/>
          <w:sz w:val="22"/>
        </w:rPr>
        <w:tab/>
        <w:t>Не все формы сексуальной агрессии действующий Уголовный кодекс относит к разряду преступлений. Однако ряд изменений, внесенных в последнее время, позволил расширить список тех проявлений сексуальной агрессии в отношении женщин, в особенности несовершеннолетних, которые могут трактоваться как преступления. В частности, речь идет о сексуальных отношениях с несовершеннолетними за вознаграждение, в которых участвуют, с одной стороны, "клиенты", то есть эксплуататоры, а с другой – сексуально эксплуатируемые несовершеннолетние (</w:t>
      </w:r>
      <w:r>
        <w:rPr>
          <w:b w:val="0"/>
          <w:sz w:val="22"/>
          <w:lang w:val="en-US"/>
        </w:rPr>
        <w:t>Asamblea</w:t>
      </w:r>
      <w:r>
        <w:rPr>
          <w:b w:val="0"/>
          <w:sz w:val="22"/>
        </w:rPr>
        <w:t xml:space="preserve"> </w:t>
      </w:r>
      <w:r>
        <w:rPr>
          <w:b w:val="0"/>
          <w:sz w:val="22"/>
          <w:lang w:val="en-US"/>
        </w:rPr>
        <w:t>Legislativa</w:t>
      </w:r>
      <w:r>
        <w:rPr>
          <w:b w:val="0"/>
          <w:sz w:val="22"/>
        </w:rPr>
        <w:t>, 1999).</w:t>
      </w:r>
    </w:p>
    <w:p w:rsidR="00000000" w:rsidRDefault="00000000">
      <w:pPr>
        <w:pStyle w:val="Title"/>
        <w:tabs>
          <w:tab w:val="left" w:pos="680"/>
        </w:tabs>
        <w:spacing w:before="240" w:line="260" w:lineRule="exact"/>
        <w:jc w:val="both"/>
        <w:rPr>
          <w:b w:val="0"/>
          <w:sz w:val="22"/>
        </w:rPr>
      </w:pPr>
      <w:r>
        <w:rPr>
          <w:b w:val="0"/>
          <w:sz w:val="22"/>
        </w:rPr>
        <w:t>545.</w:t>
      </w:r>
      <w:r>
        <w:rPr>
          <w:b w:val="0"/>
          <w:sz w:val="22"/>
        </w:rPr>
        <w:tab/>
        <w:t>Начиная с 1991 года количество жалоб, поданных в связи с сексуальными преступлениями, постоянно росло и в разные годы составляло от 3,4 до 4,1 процента от всех обращений в уголовные суды. Чаще всего поступали заявления об изнасилованиях и сексуальных злоупотреблениях (соответственно, 1434 и 1209 заявлений в 2002 году). Рост количества жалоб не обязательно указывает на рост случаев сексуального насилия, а может объясняться тем, что женщины стали лучше осознавать свое право требовать справедливости и правосудия и встречают все большее понимание со стороны судебных органов в вопросах, связанных с защитой от сексуального насилия. В течение последнего десятилетия женские организации и государственные учреждения и институты вели активную деятельность по распространению информации по вопросам сексуального насилия, разоблачению случаев сексуального насилия и контролю в этой области. По-видимому, их работа сейчас приносит свои плоды, которые выражаются, в частности, в увеличении количества заявлений в связи с сексуальными преступлениями, поданных в уголовные суды.</w:t>
      </w:r>
    </w:p>
    <w:p w:rsidR="00000000" w:rsidRDefault="00000000">
      <w:pPr>
        <w:pStyle w:val="Title"/>
        <w:tabs>
          <w:tab w:val="left" w:pos="680"/>
        </w:tabs>
        <w:spacing w:before="240" w:line="260" w:lineRule="exact"/>
        <w:jc w:val="both"/>
        <w:rPr>
          <w:b w:val="0"/>
          <w:sz w:val="22"/>
        </w:rPr>
      </w:pPr>
      <w:r>
        <w:rPr>
          <w:b w:val="0"/>
          <w:sz w:val="22"/>
        </w:rPr>
        <w:t>546.</w:t>
      </w:r>
      <w:r>
        <w:rPr>
          <w:b w:val="0"/>
          <w:sz w:val="22"/>
        </w:rPr>
        <w:tab/>
        <w:t>Что касается проявления сексуальности, общество всегда предписывало мужчинам и женщинам придерживаться разных, иногда полностью противоположных, норм поведения. Традиционно считается, что женщина должна быть пассивна в сексуальных отношениях, а мужчина – проявлять активность. Сексуальная активность со стороны женщины осуждается, а со стороны мужчины приветствуется и является предметом гордости. До относительно недавнего времени законодательство Коста-Рики в данной области носило откровенно дискриминационный характер: к примеру, оно предусматривало для женщин более тяжелое наказание за адюльтер, чем для мужчин, или требовало от женщин – и только от них – доказательств их добродетельного поведения, если они обращались в суд с жалобой на какое-либо сексуальное преступление.</w:t>
      </w:r>
    </w:p>
    <w:p w:rsidR="00000000" w:rsidRDefault="00000000">
      <w:pPr>
        <w:pStyle w:val="Title"/>
        <w:tabs>
          <w:tab w:val="left" w:pos="680"/>
        </w:tabs>
        <w:spacing w:before="240" w:line="260" w:lineRule="exact"/>
        <w:jc w:val="both"/>
        <w:rPr>
          <w:b w:val="0"/>
          <w:sz w:val="22"/>
        </w:rPr>
      </w:pPr>
      <w:r>
        <w:rPr>
          <w:b w:val="0"/>
          <w:sz w:val="22"/>
        </w:rPr>
        <w:t>547.</w:t>
      </w:r>
      <w:r>
        <w:rPr>
          <w:b w:val="0"/>
          <w:sz w:val="22"/>
        </w:rPr>
        <w:tab/>
        <w:t>Различные проявления сексуального внимания к женщине против ее воли тоже не считались оскорбительными сами по себе. Напротив, распространено мнение о том, что комплименты, взгляды или комментарии, имеющие сексуальный подтекст, "льстят" женщине и являются естественным проявлением мужского интереса и предметом для гордости для женщины. Помимо этого, различные виды сексуального принуждения, такие как предложение лучших условий работы или учебы или, наоборот, угроза наказания, в зависимости от положительного или отрицательного ответа на сексуальное предложение, рассматриваются как действия, спровоцированные поведением женщины, а не тем, кто обладает необходимой властью, чтобы навязать женщине эту игру. Всемирное женское движение квалифицировало такое поведение как сексуальное домогательство и, в соответствии с этим, признало его одной из форм насилия в отношении женщин, основанного на проявлении дискриминации по признаку пола. Женщины, пострадавшие от подобного насилия, могут почувствовать физическое недомогание или эмоциональное расстройство, кроме того, они могут столкнуться с негативными последствиями по месту работы или учебы. В Коста-Рике было нелегко доказать насильственный характер действий, определяемых как сексуальное преследование, даже после принятия в 1995 году Закона о борьбе с сексуальными домогательствами на работе и в учебных заведениях. О том, насколько сильны в этой области старые предрассудки, можно судить по отношению к женщинам, которые обращаются с жалобами на подобное поведение. Таким женщинам трудно избавиться от ярлыка "проблемная женщина" (Коллегия адвокатов по защите прав граждан, 2001 год).</w:t>
      </w:r>
    </w:p>
    <w:p w:rsidR="00000000" w:rsidRDefault="00000000">
      <w:pPr>
        <w:pStyle w:val="Title"/>
        <w:tabs>
          <w:tab w:val="left" w:pos="680"/>
        </w:tabs>
        <w:spacing w:before="240" w:line="260" w:lineRule="exact"/>
        <w:jc w:val="both"/>
        <w:rPr>
          <w:b w:val="0"/>
          <w:sz w:val="22"/>
        </w:rPr>
      </w:pPr>
      <w:r>
        <w:rPr>
          <w:b w:val="0"/>
          <w:sz w:val="22"/>
        </w:rPr>
        <w:t>548.</w:t>
      </w:r>
      <w:r>
        <w:rPr>
          <w:b w:val="0"/>
          <w:sz w:val="22"/>
        </w:rPr>
        <w:tab/>
        <w:t xml:space="preserve">Одним из возможных последствий сексуального насилия является нежелательная беременность. Нежелательная беременность в результате сексуального насилия так или иначе свидетельствует о том, что в сексуальных отношениях не существует равенства, так как мужчина главенствует над женщиной. Часто такая беременность является следствием изнасилования, инцеста (кровосмесительной связи) и других видов сексуального насилия, в которых принадлежность к разным полам сопровождается разницей в возрасте и опыте и насильник злоупотребляет своей властью или доверием жертвы. Согласно данным исследования, проведенного в 1992 году, бóльшая часть беременных женщин, не достигших совершеннолетия, забеременела от взрослого человека (Коста-Риканская демографическая ассоциация, 1992 год). </w:t>
      </w:r>
    </w:p>
    <w:p w:rsidR="00000000" w:rsidRDefault="00000000">
      <w:pPr>
        <w:pStyle w:val="Title"/>
        <w:tabs>
          <w:tab w:val="left" w:pos="680"/>
        </w:tabs>
        <w:spacing w:before="240" w:line="260" w:lineRule="exact"/>
        <w:jc w:val="both"/>
        <w:rPr>
          <w:b w:val="0"/>
          <w:sz w:val="22"/>
        </w:rPr>
      </w:pPr>
      <w:r>
        <w:rPr>
          <w:b w:val="0"/>
          <w:sz w:val="22"/>
        </w:rPr>
        <w:t>549.</w:t>
      </w:r>
      <w:r>
        <w:rPr>
          <w:b w:val="0"/>
          <w:sz w:val="22"/>
        </w:rPr>
        <w:tab/>
        <w:t>Сталкиваясь с таким последствием сексуальной агрессии, женщины стоят перед выбором: прервать ли нежелательную беременность, сделав аборт, или продолжать терпеть жестокое обращение, оставаясь беременной? Если они решаются на аборт, то подвергают себя опасности не только быть осужденными общественным мнением, но и понести уголовное наказание. Начиная с 1991 года в судах в среднем в год рассматривалось 40 заявлений в связи с незаконным абортом. Гораздо меньшему числу лиц были вынесены приговоры по этим делам (беременным женщинам, совершившим аборт, и мужчинам и женщинам, которые делали аборты другим женщинам), а количество обвинительных приговоров не составляет и 50 процентов от общего числа приговоров. Следует, однако, отметить, что почти все осужденные по таким делам – женщины (20 из 21 в течение десяти лет). Уголовное наказание, которое несет женщина, забеременевшая в результате сексуальной агрессии, является не чем иным, как повторным насилием (Статистические ежегодники органов судебной власти с 1990 по 1999 год, Департамент планирования органов судебной власти).</w:t>
      </w:r>
    </w:p>
    <w:p w:rsidR="00000000" w:rsidRDefault="00000000">
      <w:pPr>
        <w:pStyle w:val="Title"/>
        <w:tabs>
          <w:tab w:val="left" w:pos="680"/>
        </w:tabs>
        <w:spacing w:before="240" w:line="260" w:lineRule="exact"/>
        <w:jc w:val="both"/>
        <w:rPr>
          <w:b w:val="0"/>
          <w:sz w:val="22"/>
        </w:rPr>
      </w:pPr>
      <w:r>
        <w:rPr>
          <w:b w:val="0"/>
          <w:sz w:val="22"/>
        </w:rPr>
        <w:t>550.</w:t>
      </w:r>
      <w:r>
        <w:rPr>
          <w:b w:val="0"/>
          <w:sz w:val="22"/>
        </w:rPr>
        <w:tab/>
        <w:t xml:space="preserve">По приблизительным подсчетам, в 1993 году в Коста-Рике было совершено 8500 подпольных абортов (журнал "Румбо" от 16 марта 1993 года, цитируется по: </w:t>
      </w:r>
      <w:r>
        <w:rPr>
          <w:b w:val="0"/>
          <w:sz w:val="22"/>
          <w:lang w:val="en-US"/>
        </w:rPr>
        <w:t>Carcedo</w:t>
      </w:r>
      <w:r>
        <w:rPr>
          <w:b w:val="0"/>
          <w:sz w:val="22"/>
        </w:rPr>
        <w:t xml:space="preserve">, 1993, </w:t>
      </w:r>
      <w:r>
        <w:rPr>
          <w:b w:val="0"/>
          <w:sz w:val="22"/>
          <w:lang w:val="en-US"/>
        </w:rPr>
        <w:t>p</w:t>
      </w:r>
      <w:r>
        <w:rPr>
          <w:b w:val="0"/>
          <w:sz w:val="22"/>
        </w:rPr>
        <w:t>. 18). Эти данные подтверждают тот факт, что нежелательная беременность является реальной проблемой, с которой сталкиваются многие женщины. В то же время, как неоднократно указывали женские движения, предусмотренное за аборт наказание влечет за собой еще больший риск для здоровья и жизни женщин, которые делают его подпольно, так как такие операции обычно проводятся при отсутствии необходимых медицинских и гигиенических условий. Кроме того, налицо проявление социальной дискриминации, поскольку те женщины, которые располагают материальными средствами, могут выехать для прерывания беременности в те страны, где аборты разрешены законом, и, таким образом, не подвергать опасности свое здоровье, жизнь и свободу, как это происходит в случаях с подпольными абортами.</w:t>
      </w:r>
    </w:p>
    <w:p w:rsidR="00000000" w:rsidRDefault="00000000">
      <w:pPr>
        <w:pStyle w:val="Title"/>
        <w:tabs>
          <w:tab w:val="left" w:pos="680"/>
        </w:tabs>
        <w:spacing w:before="360" w:line="260" w:lineRule="exact"/>
        <w:jc w:val="both"/>
        <w:rPr>
          <w:sz w:val="22"/>
        </w:rPr>
      </w:pPr>
      <w:r>
        <w:rPr>
          <w:sz w:val="22"/>
        </w:rPr>
        <w:t>Сексуальные домогательства по месту работы и учебы</w:t>
      </w:r>
    </w:p>
    <w:p w:rsidR="00000000" w:rsidRDefault="00000000">
      <w:pPr>
        <w:pStyle w:val="Title"/>
        <w:tabs>
          <w:tab w:val="left" w:pos="680"/>
        </w:tabs>
        <w:spacing w:before="240" w:line="260" w:lineRule="exact"/>
        <w:jc w:val="both"/>
        <w:rPr>
          <w:b w:val="0"/>
          <w:sz w:val="22"/>
        </w:rPr>
      </w:pPr>
      <w:r>
        <w:rPr>
          <w:b w:val="0"/>
          <w:sz w:val="22"/>
        </w:rPr>
        <w:t>551.</w:t>
      </w:r>
      <w:r>
        <w:rPr>
          <w:b w:val="0"/>
          <w:sz w:val="22"/>
        </w:rPr>
        <w:tab/>
        <w:t>Одним из проявлений дискриминации женщин по признаку пола, от которого могут пострадать личная жизнь женщины, ее трудовая или учебная карьера, является сексуальное домогательство. Его определяют как действие сексуального характера, совершаемое в отношении какого-либо лица против его воли. После принятия Закона № 7476 о борьбе с сексуальными домогательствами на работе и в учебных заведениях существование этой формы насилия было официально признано, и с этого момента число жалоб на сексуальные домогательства в государственном секторе неуклонно растет. На следующий год после вступления в силу закона их количество увеличилось на 100 процентов (Коллегия адвокатов по защите прав граждан, 1966 год).</w:t>
      </w:r>
    </w:p>
    <w:p w:rsidR="00000000" w:rsidRDefault="00000000">
      <w:pPr>
        <w:pStyle w:val="Title"/>
        <w:tabs>
          <w:tab w:val="left" w:pos="680"/>
        </w:tabs>
        <w:spacing w:before="240" w:line="260" w:lineRule="exact"/>
        <w:jc w:val="both"/>
        <w:rPr>
          <w:b w:val="0"/>
          <w:sz w:val="22"/>
        </w:rPr>
      </w:pPr>
      <w:r>
        <w:rPr>
          <w:b w:val="0"/>
          <w:sz w:val="22"/>
        </w:rPr>
        <w:t>552.</w:t>
      </w:r>
      <w:r>
        <w:rPr>
          <w:b w:val="0"/>
          <w:sz w:val="22"/>
        </w:rPr>
        <w:tab/>
        <w:t>В области образования данные о некоторых наиболее частых проявлениях сексуального домогательства были получены из опросов студентов высших учебных заведений. Были названы следующие действия: лексика сексуального характера (22 процента), похотливые взгляды (18 процентов), показ порнографических материалов (7 процентов), неприличные комплименты (7 процентов), просьбы о сексуальных действиях (4 процента) и прикосновения (4 процента). (Результаты опроса, проведенного среди студентов частных университетов во Флорес-Вильяреале, 2000 год.)</w:t>
      </w:r>
    </w:p>
    <w:p w:rsidR="00000000" w:rsidRDefault="00000000">
      <w:pPr>
        <w:pStyle w:val="Title"/>
        <w:tabs>
          <w:tab w:val="left" w:pos="680"/>
        </w:tabs>
        <w:spacing w:before="240" w:line="260" w:lineRule="exact"/>
        <w:jc w:val="both"/>
        <w:rPr>
          <w:b w:val="0"/>
          <w:spacing w:val="-4"/>
          <w:sz w:val="22"/>
        </w:rPr>
      </w:pPr>
      <w:r>
        <w:rPr>
          <w:b w:val="0"/>
          <w:sz w:val="22"/>
        </w:rPr>
        <w:t>553.</w:t>
      </w:r>
      <w:r>
        <w:rPr>
          <w:b w:val="0"/>
          <w:sz w:val="22"/>
        </w:rPr>
        <w:tab/>
      </w:r>
      <w:r>
        <w:rPr>
          <w:b w:val="0"/>
          <w:spacing w:val="-4"/>
          <w:sz w:val="22"/>
        </w:rPr>
        <w:t>В настоящее время менее всего защищены женщины, работающие в частном секторе, поскольку они имеют ограниченный доступ к информации и службам помощи. Другим препятствием для противодействия сексуальным домогательствам является тот факт, что эта форма насилия уголовно ненаказуема и что положения, регламентирующие применение других видов наказания, не выполняются должным образом. Когда женщина решает обратиться с жалобой на сексуальное домогательство, она сталкивается с серьезными трудностями, связанными с практикой ведения подобных дел, в ходе которого основной упор делается на поведении жертвы, а не обидчика. Усложняет решение проблемы сексуального домогательства то, что общество еще не достигло должного уровня осознания ее как таковой, а также то, что отсутствуют специальные службы для оказания поддержки пострадавшим. Кроме того, Министерство труда пока не берется за выполнение возложенной на него функции по проверке наличия на предприятиях внутреннего устава по вопросам сексуального домогательства и применению санкций к тем предприятиям, где их не окажется (ИНАМУ, 2002 год).</w:t>
      </w:r>
    </w:p>
    <w:p w:rsidR="00000000" w:rsidRDefault="00000000">
      <w:pPr>
        <w:pStyle w:val="Title"/>
        <w:tabs>
          <w:tab w:val="left" w:pos="680"/>
        </w:tabs>
        <w:spacing w:before="240" w:line="260" w:lineRule="exact"/>
        <w:jc w:val="both"/>
        <w:rPr>
          <w:b w:val="0"/>
          <w:sz w:val="22"/>
        </w:rPr>
      </w:pPr>
      <w:r>
        <w:rPr>
          <w:b w:val="0"/>
          <w:sz w:val="22"/>
        </w:rPr>
        <w:t>554.</w:t>
      </w:r>
      <w:r>
        <w:rPr>
          <w:b w:val="0"/>
          <w:sz w:val="22"/>
        </w:rPr>
        <w:tab/>
        <w:t>Разрыв, существующий между правовой нормой и ее трактовкой, приводит к ограничению действия закона и гарантий, которые он предоставляет. Для рассмотрения обстоятельств дела предусмотрен срок в три месяца, после которого наступает срок давности или, другими словами, истекает срок рассмотрения дела; следовательно, если по прошествии этого времени дело не закончено, оно отправляется в архив. Таким образом, остались безнаказанными множество случаев сексуального домогательства, а их жертвам не был возмещен нанесенный ущерб. Подобную участь – оказаться в архиве – разделили, например, все дела, заведенные в Министерстве образования, в которых содержалась рекомендация уволить сотрудника и которые были направлены в Дисциплинарную комиссию по преподавательской этике, а уже там к ним применили критерий трехмесячного срока и отправили в архив (проект "Состояние нации", 2001 год). Конституционная палата в соответствующем решении указала на важность ведения среди преподавательского состава, сотрудников администрации учебных заведений и административных служащих просветительской и разъяснительной работы по поводу содержания и применения Закона о борьбе с сексуальными домогательствами на работе и в учебных заведениях. Выполнением этой задачи занимается Министерство образования совместно с ИНАМУ и Коллегией адвокатов по защите прав граждан на региональном уровне. Еще одним обстоятельством, мешающим противостоять сексуальному домогательству, является то, что, если жалобу подают женщины, работающие на частных предприятиях, их рассматривают не как сторону процесса, а как простых свидетельниц, инициировавших рассмотрение дела (проект "Состояние нации", 2001 год).</w:t>
      </w:r>
    </w:p>
    <w:p w:rsidR="00000000" w:rsidRDefault="00000000">
      <w:pPr>
        <w:pStyle w:val="Title"/>
        <w:tabs>
          <w:tab w:val="left" w:pos="680"/>
        </w:tabs>
        <w:spacing w:before="240" w:line="260" w:lineRule="exact"/>
        <w:jc w:val="both"/>
        <w:rPr>
          <w:b w:val="0"/>
          <w:sz w:val="22"/>
        </w:rPr>
      </w:pPr>
      <w:r>
        <w:rPr>
          <w:b w:val="0"/>
          <w:sz w:val="22"/>
        </w:rPr>
        <w:t>555.</w:t>
      </w:r>
      <w:r>
        <w:rPr>
          <w:b w:val="0"/>
          <w:sz w:val="22"/>
        </w:rPr>
        <w:tab/>
        <w:t>Вышеназванные ограничения в применении закона, возможно, являются главной причиной того, что множество дел, заведенных в административных инстанциях, не были переданы ими в суд, и количество дел, рассмотренных в суде, крайне мало (проект "Состояние нации", 2001 год, с. 285).</w:t>
      </w:r>
    </w:p>
    <w:p w:rsidR="00000000" w:rsidRDefault="00000000">
      <w:pPr>
        <w:pStyle w:val="Title"/>
        <w:tabs>
          <w:tab w:val="left" w:pos="680"/>
        </w:tabs>
        <w:spacing w:before="240" w:line="260" w:lineRule="exact"/>
        <w:jc w:val="both"/>
        <w:rPr>
          <w:b w:val="0"/>
          <w:sz w:val="22"/>
        </w:rPr>
      </w:pPr>
      <w:r>
        <w:rPr>
          <w:b w:val="0"/>
          <w:sz w:val="22"/>
        </w:rPr>
        <w:t>556.</w:t>
      </w:r>
      <w:r>
        <w:rPr>
          <w:b w:val="0"/>
          <w:sz w:val="22"/>
        </w:rPr>
        <w:tab/>
        <w:t>В настоящее время на рассмотрении в Законодательном собрании находится проект внесения изменений в положения Закона о борьбе с сексуальными домогательствами на работе и в учебных заведениях, при помощи которого предполагается устранить некоторые ограничения.</w:t>
      </w:r>
    </w:p>
    <w:p w:rsidR="00000000" w:rsidRDefault="00000000">
      <w:pPr>
        <w:pStyle w:val="Title"/>
        <w:tabs>
          <w:tab w:val="left" w:pos="680"/>
        </w:tabs>
        <w:spacing w:line="260" w:lineRule="exact"/>
        <w:jc w:val="both"/>
        <w:rPr>
          <w:b w:val="0"/>
          <w:sz w:val="22"/>
        </w:rPr>
      </w:pPr>
    </w:p>
    <w:p w:rsidR="00000000" w:rsidRDefault="00000000">
      <w:pPr>
        <w:pStyle w:val="Title"/>
        <w:tabs>
          <w:tab w:val="left" w:pos="680"/>
        </w:tabs>
        <w:spacing w:before="240" w:line="260" w:lineRule="exact"/>
        <w:jc w:val="both"/>
        <w:rPr>
          <w:b w:val="0"/>
          <w:sz w:val="22"/>
        </w:rPr>
      </w:pPr>
      <w:r>
        <w:rPr>
          <w:sz w:val="22"/>
        </w:rPr>
        <w:t>Насилие в отношении женщин, подвергающихся наибольшей дискриминации</w:t>
      </w:r>
    </w:p>
    <w:p w:rsidR="00000000" w:rsidRDefault="00000000">
      <w:pPr>
        <w:pStyle w:val="Title"/>
        <w:tabs>
          <w:tab w:val="left" w:pos="680"/>
        </w:tabs>
        <w:spacing w:before="240" w:line="260" w:lineRule="exact"/>
        <w:jc w:val="both"/>
        <w:rPr>
          <w:b w:val="0"/>
          <w:sz w:val="22"/>
        </w:rPr>
      </w:pPr>
      <w:r>
        <w:rPr>
          <w:b w:val="0"/>
          <w:sz w:val="22"/>
        </w:rPr>
        <w:t>557.</w:t>
      </w:r>
      <w:r>
        <w:rPr>
          <w:b w:val="0"/>
          <w:sz w:val="22"/>
        </w:rPr>
        <w:tab/>
        <w:t>Каждая женщина становится жертвой насилия в какой-то период своей жизни просто потому, что она – женщина. В связи с этим неудивительно, что женщины, принадлежащие к наиболее маргинальным социальным слоям и группам, являются особенно уязвимыми перед различными проявлениями агрессии, иногда принимающей специфические формы. Такие проявления насилия чаще всего не замечаются обществом, а если и получают огласку, то только благодаря усилиям самих женщин, пострадавших от насилия и объединившихся, чтобы противостоять ей и помогать другим жертвам. Речь идет о женщинах, предоставляющих сексуальные услуги, домашних работницах, пожилых женщинах, афрокостариканках, представительницах коренного индейского населения, женщинах-заключенных или женщинах-инвалидах, лесбиянках и иммигрантках. Ни одна из данных групп женщин не свободна от риска подвергнуться насилию в семье, сексуальному насилию со стороны знакомых и незнакомых людей или сексуальным домогательствам. Наоборот, к этим формам агрессии следует еще прибавить риск стать жертвой насилия из-за своей принадлежности к определенной социальной группе (</w:t>
      </w:r>
      <w:r>
        <w:rPr>
          <w:b w:val="0"/>
          <w:sz w:val="22"/>
          <w:lang w:val="en-US"/>
        </w:rPr>
        <w:t>Carcedo</w:t>
      </w:r>
      <w:r>
        <w:rPr>
          <w:b w:val="0"/>
          <w:sz w:val="22"/>
        </w:rPr>
        <w:t>, 2001).</w:t>
      </w:r>
    </w:p>
    <w:p w:rsidR="00000000" w:rsidRDefault="00000000">
      <w:pPr>
        <w:pStyle w:val="Title"/>
        <w:tabs>
          <w:tab w:val="left" w:pos="680"/>
        </w:tabs>
        <w:spacing w:line="260" w:lineRule="exact"/>
        <w:jc w:val="both"/>
        <w:rPr>
          <w:b w:val="0"/>
          <w:sz w:val="22"/>
        </w:rPr>
      </w:pPr>
    </w:p>
    <w:p w:rsidR="00000000" w:rsidRDefault="00000000">
      <w:pPr>
        <w:pStyle w:val="Title"/>
        <w:tabs>
          <w:tab w:val="left" w:pos="680"/>
        </w:tabs>
        <w:spacing w:before="240" w:line="260" w:lineRule="exact"/>
        <w:jc w:val="both"/>
        <w:rPr>
          <w:sz w:val="22"/>
        </w:rPr>
      </w:pPr>
      <w:r>
        <w:rPr>
          <w:sz w:val="22"/>
        </w:rPr>
        <w:t xml:space="preserve">Институциональное насилие </w:t>
      </w:r>
    </w:p>
    <w:p w:rsidR="00000000" w:rsidRDefault="00000000">
      <w:pPr>
        <w:pStyle w:val="Title"/>
        <w:tabs>
          <w:tab w:val="left" w:pos="680"/>
        </w:tabs>
        <w:spacing w:before="240" w:line="260" w:lineRule="exact"/>
        <w:jc w:val="both"/>
        <w:rPr>
          <w:b w:val="0"/>
          <w:sz w:val="22"/>
        </w:rPr>
      </w:pPr>
      <w:r>
        <w:rPr>
          <w:b w:val="0"/>
          <w:sz w:val="22"/>
        </w:rPr>
        <w:t>558.</w:t>
      </w:r>
      <w:r>
        <w:rPr>
          <w:b w:val="0"/>
          <w:sz w:val="22"/>
        </w:rPr>
        <w:tab/>
        <w:t>Насилие в отношении женщин, основанное на их дискриминации по признаку пола, осуществляется не только отдельными лицами. Различные организации и учреждения в лице своих сотрудников или в результате реализации определенной политики также потенциально способны совершать разные виды агрессии против женщин. Обычно в отношениях между населением и учреждениями последние, обладая властью, занимают главенствующее положение, и это неравенство усиливается, когда речь идет о женщинах, особенно о женщинах, которые по какой-либо причине относятся к маргинальным социальным группам, в частности в случаях, когда такие женщины, став жертвой насилия, обращаются за поддержкой для защиты от агрессии (</w:t>
      </w:r>
      <w:r>
        <w:rPr>
          <w:b w:val="0"/>
          <w:sz w:val="22"/>
          <w:lang w:val="en-US"/>
        </w:rPr>
        <w:t>Carcedo</w:t>
      </w:r>
      <w:r>
        <w:rPr>
          <w:b w:val="0"/>
          <w:sz w:val="22"/>
        </w:rPr>
        <w:t>, 2001).</w:t>
      </w:r>
    </w:p>
    <w:p w:rsidR="00000000" w:rsidRDefault="00000000">
      <w:pPr>
        <w:pStyle w:val="Title"/>
        <w:tabs>
          <w:tab w:val="left" w:pos="680"/>
        </w:tabs>
        <w:spacing w:before="240" w:line="260" w:lineRule="exact"/>
        <w:jc w:val="both"/>
        <w:rPr>
          <w:b w:val="0"/>
          <w:sz w:val="22"/>
        </w:rPr>
      </w:pPr>
      <w:r>
        <w:rPr>
          <w:b w:val="0"/>
          <w:sz w:val="22"/>
        </w:rPr>
        <w:t>559.</w:t>
      </w:r>
      <w:r>
        <w:rPr>
          <w:b w:val="0"/>
          <w:sz w:val="22"/>
        </w:rPr>
        <w:tab/>
        <w:t>Это явление, известное под названием "ревиктимизация" (когда пострадавшая женщина в результате действий учреждений вновь ощущает себя жертвой), носит универсальный характер и может принимать различные формы, например сотрудник учреждения может не верить женщине, не выполнять своих обязанностей, установленных законом, принимать сторону правонарушителя или покрывать его, наносить жертве словесные оскорбления, унижать ее, выказывать презрение и осуждение, дискредитировать ее как женщину и как мать, отнять у нее детей, диктовать условия, при которых она может получить помощь, совершать сексуальные домогательства. В Коста-Рике эта проблема была затронута в ряде исследований (</w:t>
      </w:r>
      <w:r>
        <w:rPr>
          <w:b w:val="0"/>
          <w:sz w:val="22"/>
          <w:lang w:val="en-US"/>
        </w:rPr>
        <w:t>Carcedo</w:t>
      </w:r>
      <w:r>
        <w:rPr>
          <w:b w:val="0"/>
          <w:sz w:val="22"/>
        </w:rPr>
        <w:t xml:space="preserve">, </w:t>
      </w:r>
      <w:r>
        <w:rPr>
          <w:b w:val="0"/>
          <w:sz w:val="22"/>
          <w:lang w:val="en-US"/>
        </w:rPr>
        <w:t>Zamora</w:t>
      </w:r>
      <w:r>
        <w:rPr>
          <w:b w:val="0"/>
          <w:sz w:val="22"/>
        </w:rPr>
        <w:t xml:space="preserve">, 1999; </w:t>
      </w:r>
      <w:r>
        <w:rPr>
          <w:b w:val="0"/>
          <w:sz w:val="22"/>
          <w:lang w:val="en-US"/>
        </w:rPr>
        <w:t>Delgado</w:t>
      </w:r>
      <w:r>
        <w:rPr>
          <w:b w:val="0"/>
          <w:sz w:val="22"/>
        </w:rPr>
        <w:t>, 2000), а также неоднократно поднималась в обществе самими женщинами и организациями и учреждениями, которые отстаивают их права.</w:t>
      </w:r>
    </w:p>
    <w:p w:rsidR="00000000" w:rsidRDefault="00000000">
      <w:pPr>
        <w:pStyle w:val="Title"/>
        <w:tabs>
          <w:tab w:val="left" w:pos="680"/>
        </w:tabs>
        <w:spacing w:before="240" w:line="260" w:lineRule="exact"/>
        <w:jc w:val="both"/>
        <w:rPr>
          <w:b w:val="0"/>
          <w:sz w:val="22"/>
        </w:rPr>
      </w:pPr>
      <w:r>
        <w:rPr>
          <w:b w:val="0"/>
          <w:sz w:val="22"/>
        </w:rPr>
        <w:t>560.</w:t>
      </w:r>
      <w:r>
        <w:rPr>
          <w:b w:val="0"/>
          <w:sz w:val="22"/>
        </w:rPr>
        <w:tab/>
        <w:t>Не только государственные учреждения осуществляют насилие в отношении женщин. Это делают и частные учреждения, такие как предприятия, объединения или церковные учреждения. Особенно следует выделить символическое насилие со стороны средств массовой информации, формирующих представление о женщине, основанное на стереотипах, или изображающих ее постоянным объектом физического, эмоционального и сексуального насилия.</w:t>
      </w:r>
    </w:p>
    <w:p w:rsidR="00000000" w:rsidRDefault="00000000">
      <w:pPr>
        <w:pStyle w:val="Title"/>
        <w:tabs>
          <w:tab w:val="left" w:pos="680"/>
        </w:tabs>
        <w:spacing w:before="240" w:line="260" w:lineRule="exact"/>
        <w:jc w:val="both"/>
        <w:rPr>
          <w:b w:val="0"/>
          <w:sz w:val="22"/>
        </w:rPr>
      </w:pPr>
      <w:r>
        <w:rPr>
          <w:b w:val="0"/>
          <w:sz w:val="22"/>
        </w:rPr>
        <w:t>561.</w:t>
      </w:r>
      <w:r>
        <w:rPr>
          <w:b w:val="0"/>
          <w:sz w:val="22"/>
        </w:rPr>
        <w:tab/>
        <w:t>Выше были перечислены не все формы государственного институционального насилия в отношении женщин, а лишь те, в которых на данный момент проявился механизм перехода от различных форм дискриминации по признаку пола к активным проявлениям насилия.</w:t>
      </w:r>
    </w:p>
    <w:p w:rsidR="00000000" w:rsidRDefault="00000000">
      <w:pPr>
        <w:pStyle w:val="Title"/>
        <w:tabs>
          <w:tab w:val="left" w:pos="680"/>
        </w:tabs>
        <w:spacing w:before="240" w:line="260" w:lineRule="exact"/>
        <w:jc w:val="both"/>
        <w:rPr>
          <w:sz w:val="22"/>
        </w:rPr>
      </w:pPr>
    </w:p>
    <w:p w:rsidR="00000000" w:rsidRDefault="00000000">
      <w:pPr>
        <w:pStyle w:val="Title"/>
        <w:tabs>
          <w:tab w:val="left" w:pos="680"/>
        </w:tabs>
        <w:spacing w:before="240" w:line="260" w:lineRule="exact"/>
        <w:rPr>
          <w:sz w:val="22"/>
        </w:rPr>
      </w:pPr>
      <w:r>
        <w:rPr>
          <w:sz w:val="22"/>
        </w:rPr>
        <w:t>Статья 13. Социальные и материальные пособия</w:t>
      </w:r>
    </w:p>
    <w:p w:rsidR="00000000" w:rsidRDefault="00000000">
      <w:pPr>
        <w:pStyle w:val="Title"/>
        <w:tabs>
          <w:tab w:val="left" w:pos="680"/>
        </w:tabs>
        <w:spacing w:before="240" w:line="260" w:lineRule="exact"/>
        <w:jc w:val="both"/>
        <w:rPr>
          <w:b w:val="0"/>
          <w:i/>
          <w:sz w:val="22"/>
        </w:rPr>
      </w:pPr>
      <w:r>
        <w:rPr>
          <w:b w:val="0"/>
          <w:i/>
          <w:sz w:val="22"/>
        </w:rPr>
        <w:t>Статья 13</w:t>
      </w:r>
    </w:p>
    <w:p w:rsidR="00000000" w:rsidRDefault="00000000">
      <w:pPr>
        <w:pStyle w:val="Title"/>
        <w:tabs>
          <w:tab w:val="left" w:pos="680"/>
        </w:tabs>
        <w:spacing w:before="240" w:line="260" w:lineRule="exact"/>
        <w:jc w:val="both"/>
        <w:rPr>
          <w:b w:val="0"/>
          <w:i/>
          <w:sz w:val="22"/>
        </w:rPr>
      </w:pPr>
      <w:r>
        <w:rPr>
          <w:b w:val="0"/>
          <w:i/>
          <w:sz w:val="22"/>
        </w:rPr>
        <w:t>Государства-участники принимают все соответствующие меры для ликвидации дискриминации в отношении женщин в других областях экономической и социальной жизни, с тем чтобы обеспечить на основе равенства мужчин и женщин равные права, в частности:</w:t>
      </w:r>
    </w:p>
    <w:p w:rsidR="00000000" w:rsidRDefault="00000000">
      <w:pPr>
        <w:pStyle w:val="Title"/>
        <w:tabs>
          <w:tab w:val="left" w:pos="680"/>
        </w:tabs>
        <w:spacing w:before="240" w:line="260" w:lineRule="exact"/>
        <w:ind w:firstLine="340"/>
        <w:jc w:val="both"/>
        <w:rPr>
          <w:b w:val="0"/>
          <w:i/>
          <w:sz w:val="22"/>
        </w:rPr>
      </w:pPr>
      <w:r>
        <w:rPr>
          <w:b w:val="0"/>
          <w:i/>
          <w:sz w:val="22"/>
        </w:rPr>
        <w:t>а)</w:t>
      </w:r>
      <w:r>
        <w:rPr>
          <w:b w:val="0"/>
          <w:i/>
          <w:sz w:val="22"/>
        </w:rPr>
        <w:tab/>
        <w:t>право на семейные пособия;</w:t>
      </w:r>
    </w:p>
    <w:p w:rsidR="00000000" w:rsidRDefault="00000000">
      <w:pPr>
        <w:pStyle w:val="Title"/>
        <w:tabs>
          <w:tab w:val="left" w:pos="680"/>
        </w:tabs>
        <w:spacing w:before="240" w:line="260" w:lineRule="exact"/>
        <w:ind w:left="680" w:hanging="340"/>
        <w:jc w:val="both"/>
        <w:rPr>
          <w:b w:val="0"/>
          <w:i/>
          <w:sz w:val="22"/>
        </w:rPr>
      </w:pPr>
      <w:r>
        <w:rPr>
          <w:b w:val="0"/>
          <w:i/>
          <w:sz w:val="22"/>
          <w:lang w:val="en-US"/>
        </w:rPr>
        <w:t>b</w:t>
      </w:r>
      <w:r>
        <w:rPr>
          <w:b w:val="0"/>
          <w:i/>
          <w:sz w:val="22"/>
        </w:rPr>
        <w:t>)</w:t>
      </w:r>
      <w:r>
        <w:rPr>
          <w:b w:val="0"/>
          <w:i/>
          <w:sz w:val="22"/>
        </w:rPr>
        <w:tab/>
        <w:t>право на получение займов, ссуд под недвижимость и других форм финансового кредита;</w:t>
      </w:r>
    </w:p>
    <w:p w:rsidR="00000000" w:rsidRDefault="00000000">
      <w:pPr>
        <w:pStyle w:val="Title"/>
        <w:tabs>
          <w:tab w:val="left" w:pos="680"/>
        </w:tabs>
        <w:spacing w:before="240" w:line="260" w:lineRule="exact"/>
        <w:ind w:left="680" w:hanging="340"/>
        <w:jc w:val="both"/>
        <w:rPr>
          <w:b w:val="0"/>
          <w:sz w:val="22"/>
        </w:rPr>
      </w:pPr>
      <w:r>
        <w:rPr>
          <w:b w:val="0"/>
          <w:i/>
          <w:sz w:val="22"/>
        </w:rPr>
        <w:t>с)</w:t>
      </w:r>
      <w:r>
        <w:rPr>
          <w:b w:val="0"/>
          <w:i/>
          <w:sz w:val="22"/>
        </w:rPr>
        <w:tab/>
        <w:t>право участвовать в мероприятиях, связанных с отдыхом, занятиях спортом и во всех областях культурной жизни.</w:t>
      </w:r>
    </w:p>
    <w:p w:rsidR="00000000" w:rsidRDefault="00000000">
      <w:pPr>
        <w:pStyle w:val="Title"/>
        <w:tabs>
          <w:tab w:val="left" w:pos="680"/>
        </w:tabs>
        <w:spacing w:line="260" w:lineRule="exact"/>
        <w:jc w:val="both"/>
        <w:rPr>
          <w:b w:val="0"/>
          <w:sz w:val="22"/>
        </w:rPr>
      </w:pPr>
    </w:p>
    <w:p w:rsidR="00000000" w:rsidRDefault="00000000">
      <w:pPr>
        <w:pStyle w:val="Title"/>
        <w:tabs>
          <w:tab w:val="left" w:pos="680"/>
        </w:tabs>
        <w:spacing w:before="240" w:line="260" w:lineRule="exact"/>
        <w:jc w:val="left"/>
        <w:rPr>
          <w:b w:val="0"/>
          <w:sz w:val="22"/>
        </w:rPr>
      </w:pPr>
      <w:r>
        <w:rPr>
          <w:sz w:val="22"/>
        </w:rPr>
        <w:t xml:space="preserve">Право на получение займов, ссуд под залог недвижимости </w:t>
      </w:r>
      <w:r>
        <w:rPr>
          <w:sz w:val="22"/>
        </w:rPr>
        <w:br/>
        <w:t>и других форм финансового кредита</w:t>
      </w:r>
    </w:p>
    <w:p w:rsidR="00000000" w:rsidRDefault="00000000">
      <w:pPr>
        <w:pStyle w:val="Title"/>
        <w:tabs>
          <w:tab w:val="left" w:pos="680"/>
        </w:tabs>
        <w:spacing w:before="240" w:line="260" w:lineRule="exact"/>
        <w:jc w:val="both"/>
        <w:rPr>
          <w:b w:val="0"/>
          <w:sz w:val="22"/>
        </w:rPr>
      </w:pPr>
      <w:r>
        <w:rPr>
          <w:b w:val="0"/>
          <w:sz w:val="22"/>
        </w:rPr>
        <w:t>562.</w:t>
      </w:r>
      <w:r>
        <w:rPr>
          <w:b w:val="0"/>
          <w:sz w:val="22"/>
        </w:rPr>
        <w:tab/>
        <w:t>Объем и характер деятельности, которой занимаются малоимущие женщины для обеспечения жизненно важных потребностей и выживания своих семей и себя лично, не отвечают условиям и требованиям, необходимым для предоставления обычного кредита. Согласно имеющейся информации относительно услуг, которые оказывают данной категории населения альтернативные финансовые учреждения, суммы выдаваемых кредитов, как правило, очень малы, они колеблются от 150 до 700 долл., причем кредиты даются на короткий срок, а процентные ставки по ним превышают рыночные. Кроме того, таким кредитованием охвачена очень небольшая часть населения. Следует отметить также, что существует серьезный дефицит услуг в области трудовой подготовки и оказания технической поддержки женщинам, занимающимся самостоятельной трудовой деятельностью и малым бизнесом (ИНАМУ, 2000 год).</w:t>
      </w:r>
    </w:p>
    <w:p w:rsidR="00000000" w:rsidRDefault="00000000">
      <w:pPr>
        <w:pStyle w:val="Title"/>
        <w:tabs>
          <w:tab w:val="left" w:pos="680"/>
        </w:tabs>
        <w:spacing w:before="240" w:line="260" w:lineRule="exact"/>
        <w:jc w:val="both"/>
        <w:rPr>
          <w:b w:val="0"/>
          <w:sz w:val="22"/>
        </w:rPr>
      </w:pPr>
      <w:r>
        <w:rPr>
          <w:b w:val="0"/>
          <w:sz w:val="22"/>
        </w:rPr>
        <w:t>563.</w:t>
      </w:r>
      <w:r>
        <w:rPr>
          <w:b w:val="0"/>
          <w:sz w:val="22"/>
        </w:rPr>
        <w:tab/>
        <w:t xml:space="preserve">Коста-риканское законодательство гарантирует правоспособность женщин получать кредиты, передавать имущество в качестве залога, продавать его и осуществлять коммерческие сделки, причем их деятельность не обусловлена никакими требованиями, отличными от требований в отношении мужчин. И все же женщинам трудно получить доступ к кредитам и передавать имущество в качестве залога, поскольку они не владеют собственной недвижимостью (значительная часть семейной собственности зарегистрирована на мужа или сожителя), у них нет книг регистрации доходов и нет поручителей, которые бы их поддерживали (ИНАМУ, 2000 год). Тот факт, что женщины в основном трудятся в секторах с низкой доходностью или "простого накопления капитала", заставляет нас затронуть тему "отношений между малоимущими", аспект, который никак не отражается в кредитной политике государственных банков. </w:t>
      </w:r>
    </w:p>
    <w:p w:rsidR="00000000" w:rsidRDefault="00000000">
      <w:pPr>
        <w:pStyle w:val="Title"/>
        <w:tabs>
          <w:tab w:val="left" w:pos="680"/>
        </w:tabs>
        <w:spacing w:before="240" w:line="260" w:lineRule="exact"/>
        <w:jc w:val="both"/>
        <w:rPr>
          <w:b w:val="0"/>
          <w:sz w:val="22"/>
        </w:rPr>
      </w:pPr>
      <w:r>
        <w:rPr>
          <w:b w:val="0"/>
          <w:sz w:val="22"/>
        </w:rPr>
        <w:t>564.</w:t>
      </w:r>
      <w:r>
        <w:rPr>
          <w:b w:val="0"/>
          <w:sz w:val="22"/>
        </w:rPr>
        <w:tab/>
        <w:t xml:space="preserve">Кроме того, деятельность банковских учреждений и кооперативов ориентирована главным образом на мужчину, поскольку он считается основным субъектом экономической деятельности. В связи с этим процедуры банковской системы очень обременительны, режим работы банков не учитывает двойную нагрузку женщин, а условия предоставления кредитов – их финансовые возможности. К такому выводу позволили прийти два общенациональных исследования общественного мнения по вопросам кредитования для женщин, проведенные ИНАМУ в 2000 году. </w:t>
      </w:r>
    </w:p>
    <w:p w:rsidR="00000000" w:rsidRDefault="00000000">
      <w:pPr>
        <w:pStyle w:val="Title"/>
        <w:tabs>
          <w:tab w:val="left" w:pos="680"/>
        </w:tabs>
        <w:spacing w:before="240" w:line="260" w:lineRule="exact"/>
        <w:jc w:val="both"/>
        <w:rPr>
          <w:b w:val="0"/>
          <w:sz w:val="22"/>
        </w:rPr>
      </w:pPr>
      <w:r>
        <w:rPr>
          <w:b w:val="0"/>
          <w:sz w:val="22"/>
        </w:rPr>
        <w:t>565.</w:t>
      </w:r>
      <w:r>
        <w:rPr>
          <w:b w:val="0"/>
          <w:sz w:val="22"/>
        </w:rPr>
        <w:tab/>
        <w:t xml:space="preserve">Большинство банковских учреждений не ведут учет с разбивкой по полу, в результате чего трудно установить, какой объем займов и ссуд под недвижимость приходится на женщин. Есть лишь данные по банкам, в которых имеются специальные кредитные портфели, предназначенные для женщин и призванные содействовать развитию микропредприятий, хотя требования и условия доступа к кредитам не соответствуют реальным возможностям большинства женских предприятий (ИНАМУ, 2000 год). В Банке Коста-Рики имеется кредитная линия для женщин: за период с 1992 по 1996 год он выделил 689 кредитов на общую сумму 1 907 881,52 долл. США, средняя сумма кредита составила 2769,06 долл. США. Этот банк также управлял фондом </w:t>
      </w:r>
      <w:r>
        <w:rPr>
          <w:b w:val="0"/>
          <w:caps/>
          <w:sz w:val="22"/>
        </w:rPr>
        <w:t>Кредимухер</w:t>
      </w:r>
      <w:r>
        <w:rPr>
          <w:b w:val="0"/>
          <w:sz w:val="22"/>
        </w:rPr>
        <w:t xml:space="preserve"> – неправительственной кредитной организацией для женщин (ИНАМУ, 2000 год).</w:t>
      </w:r>
    </w:p>
    <w:p w:rsidR="00000000" w:rsidRDefault="00000000">
      <w:pPr>
        <w:pStyle w:val="Title"/>
        <w:tabs>
          <w:tab w:val="left" w:pos="680"/>
        </w:tabs>
        <w:spacing w:before="240" w:line="260" w:lineRule="exact"/>
        <w:jc w:val="both"/>
        <w:rPr>
          <w:b w:val="0"/>
          <w:sz w:val="22"/>
        </w:rPr>
      </w:pPr>
      <w:r>
        <w:rPr>
          <w:b w:val="0"/>
          <w:sz w:val="22"/>
        </w:rPr>
        <w:t>566.</w:t>
      </w:r>
      <w:r>
        <w:rPr>
          <w:b w:val="0"/>
          <w:sz w:val="22"/>
        </w:rPr>
        <w:tab/>
        <w:t>В процентном отношении и разбивке по полу итоговое сальдо распределения кредитного портфеля Национального банка Коста-Рики в период с 1995 по 2000 год выглядит следующим образом: на долю женщин пришлось 18,72 процента кредитов, а на долю мужчин – 74,6 процента. Что касается стоимости предоставленных кредитов, по данной позиции разрыв между женщинами и мужчинами еще ощутимее, поскольку женщины получили 9,4 процента от общей суммы выделенных средств, а мужчины – 41,8 процента (остальные средства предназначались юридическим лицам). Эти цифры показывают, что мужчины не только получили больше кредитов, но и средняя стоимость предоставленных им кредитов выше, чем у женщин (проект "Состояние нации", 2001 год).</w:t>
      </w:r>
    </w:p>
    <w:p w:rsidR="00000000" w:rsidRDefault="00000000">
      <w:pPr>
        <w:pStyle w:val="Title"/>
        <w:tabs>
          <w:tab w:val="left" w:pos="680"/>
        </w:tabs>
        <w:spacing w:before="240" w:line="260" w:lineRule="exact"/>
        <w:jc w:val="both"/>
        <w:rPr>
          <w:b w:val="0"/>
          <w:sz w:val="22"/>
        </w:rPr>
      </w:pPr>
      <w:r>
        <w:rPr>
          <w:b w:val="0"/>
          <w:sz w:val="22"/>
        </w:rPr>
        <w:t>567.</w:t>
      </w:r>
      <w:r>
        <w:rPr>
          <w:b w:val="0"/>
          <w:sz w:val="22"/>
        </w:rPr>
        <w:tab/>
        <w:t>Национальный банк Коста-Рики создал специальные кредитные линии, предназначенные для микропредприятий и предприятий малого бизнеса. За период с 1999 по 2000 год доля женского участия в кредитах, выделенных по этим линиям, возросла с 20,3 до 26,41 процента (проект "Состояние нации", 2001 год).</w:t>
      </w:r>
    </w:p>
    <w:p w:rsidR="00000000" w:rsidRDefault="00000000">
      <w:pPr>
        <w:pStyle w:val="Title"/>
        <w:tabs>
          <w:tab w:val="left" w:pos="680"/>
        </w:tabs>
        <w:spacing w:before="240" w:line="260" w:lineRule="exact"/>
        <w:jc w:val="both"/>
        <w:rPr>
          <w:b w:val="0"/>
          <w:sz w:val="22"/>
        </w:rPr>
      </w:pPr>
      <w:r>
        <w:rPr>
          <w:b w:val="0"/>
          <w:sz w:val="22"/>
        </w:rPr>
        <w:t>568.</w:t>
      </w:r>
      <w:r>
        <w:rPr>
          <w:b w:val="0"/>
          <w:sz w:val="22"/>
        </w:rPr>
        <w:tab/>
        <w:t>В 2000 году ИНАМУ и Национальный банк Коста-Рики подписали соглашение о выделении приблизительно 350 млн. колонов на нужды микропредприятий, принадлежащих женщинам. Кроме того, в том же году Совет правительства издал директиву для государственных банков, где им предписывалось обращать особое внимание на предоставление кредитов женщинам (ИНАМУ, 2000 год).</w:t>
      </w:r>
    </w:p>
    <w:p w:rsidR="00000000" w:rsidRDefault="00000000">
      <w:pPr>
        <w:pStyle w:val="Title"/>
        <w:tabs>
          <w:tab w:val="left" w:pos="680"/>
        </w:tabs>
        <w:spacing w:before="240" w:line="260" w:lineRule="exact"/>
        <w:jc w:val="both"/>
        <w:rPr>
          <w:b w:val="0"/>
          <w:sz w:val="22"/>
        </w:rPr>
      </w:pPr>
      <w:r>
        <w:rPr>
          <w:b w:val="0"/>
          <w:sz w:val="22"/>
        </w:rPr>
        <w:t>569.</w:t>
      </w:r>
      <w:r>
        <w:rPr>
          <w:b w:val="0"/>
          <w:sz w:val="22"/>
        </w:rPr>
        <w:tab/>
        <w:t xml:space="preserve">Следует отметить также, что Министерство труда и социального обеспечения выделило из фондов Национальной программы поддержки микропредприятий и предприятий малого бизнеса (ПРОНАМИПЕ) первые ассигнования на сумму около </w:t>
      </w:r>
      <w:r>
        <w:rPr>
          <w:b w:val="0"/>
          <w:sz w:val="22"/>
        </w:rPr>
        <w:br/>
        <w:t>345 000 долл. США для поддержки производственных инициатив женщин в рамках Программы оказания помощи женщинам, живущим в бедности, созданной в соответствии с одноименным законом. Такую сумму планируется выделять ежегодно, поскольку предусмотрено, что в трехлетний период, начиная с 2000 года, на эти цели будет перечислено средств на общую сумму не менее чем 1 035 000 долл. США (ИНАМУ, 2000 год).</w:t>
      </w:r>
    </w:p>
    <w:p w:rsidR="00000000" w:rsidRDefault="00000000">
      <w:pPr>
        <w:pStyle w:val="Title"/>
        <w:tabs>
          <w:tab w:val="left" w:pos="680"/>
        </w:tabs>
        <w:spacing w:before="240" w:line="260" w:lineRule="exact"/>
        <w:jc w:val="both"/>
        <w:rPr>
          <w:b w:val="0"/>
          <w:sz w:val="22"/>
        </w:rPr>
      </w:pPr>
      <w:r>
        <w:rPr>
          <w:b w:val="0"/>
          <w:sz w:val="22"/>
        </w:rPr>
        <w:t>570.</w:t>
      </w:r>
      <w:r>
        <w:rPr>
          <w:b w:val="0"/>
          <w:sz w:val="22"/>
        </w:rPr>
        <w:tab/>
        <w:t>В апреле 2002 года в рамках реализации Закона об оказании помощи женщинам, живущим в бедности (Закон № 7769 и поправки к нему), Главная счетная палата Республики одобрила решение о создании доверительного фонда при Объединенном институте социальной помощи (ИМАС) для кредитования этой части населения. Основная задача – добиться, чтобы средства направлялись в первую очередь микропредприятиям, принадлежащим женщинам, и чтобы ИМАС при осуществлении Оперативной стратегии оказания помощи женщинам учитывал гендерные аспекты при обеспечении профессиональной подготовки и консультировании женщин, оказании им технической поддержки, а также в вопросах планирования.</w:t>
      </w:r>
    </w:p>
    <w:p w:rsidR="00000000" w:rsidRDefault="00000000">
      <w:pPr>
        <w:pStyle w:val="Title"/>
        <w:tabs>
          <w:tab w:val="left" w:pos="680"/>
        </w:tabs>
        <w:spacing w:before="240" w:line="260" w:lineRule="exact"/>
        <w:jc w:val="both"/>
        <w:rPr>
          <w:b w:val="0"/>
          <w:sz w:val="22"/>
        </w:rPr>
      </w:pPr>
      <w:r>
        <w:rPr>
          <w:b w:val="0"/>
          <w:sz w:val="22"/>
        </w:rPr>
        <w:t>571.</w:t>
      </w:r>
      <w:r>
        <w:rPr>
          <w:b w:val="0"/>
          <w:sz w:val="22"/>
        </w:rPr>
        <w:tab/>
        <w:t>В соответствии с Законом о поощрении малого и среднего бизнеса, принятым 24 апреля 2002 года, в Народном банке содействия общественному развитию был создан Специальный фонд содействия развитию микропредприятий и предприятий малого и среднего бизнеса. Сейчас необходимо вести борьбу за то, чтобы этот банк разработал новые технологии кредитования, основанные на использовании информации и механизмов поощрения. В связи с этим нужно исходить из предпосылки о том, что домашнее хозяйство и бизнес для женщин неразделимы. Следует также определять возможности погашения долга и стремление сделать это, основываясь на данных о потенциальных получательницах кредитов, а не на предоставленных гарантиях.</w:t>
      </w:r>
    </w:p>
    <w:p w:rsidR="00000000" w:rsidRDefault="00000000">
      <w:pPr>
        <w:pStyle w:val="Title"/>
        <w:tabs>
          <w:tab w:val="left" w:pos="680"/>
        </w:tabs>
        <w:spacing w:before="240" w:line="260" w:lineRule="exact"/>
        <w:jc w:val="both"/>
        <w:rPr>
          <w:b w:val="0"/>
          <w:sz w:val="22"/>
        </w:rPr>
      </w:pPr>
      <w:r>
        <w:rPr>
          <w:b w:val="0"/>
          <w:sz w:val="22"/>
        </w:rPr>
        <w:t>572.</w:t>
      </w:r>
      <w:r>
        <w:rPr>
          <w:b w:val="0"/>
          <w:sz w:val="22"/>
        </w:rPr>
        <w:tab/>
        <w:t>Финансовая поддержка усилий женщин, направленная на развитие их знаний и конкурентоспособности в области предпринимательства, представляется весьма ограниченной, несмотря на обилие специальных программ оказания помощи микропредприятиям, разработанных различными государственными, частными и международными организациями и учреждениями. Дополнительной проблемой являются недостаточный уровень сотрудничества между организациями и отсутствие необходимых сведений об охвате подобных программ, что затрудняет анализ тенденций, наблюдавшихся в течение десятилетия (проект "Состояние нации", 2001 год).</w:t>
      </w:r>
    </w:p>
    <w:p w:rsidR="00000000" w:rsidRDefault="00000000">
      <w:pPr>
        <w:pStyle w:val="Title"/>
        <w:tabs>
          <w:tab w:val="left" w:pos="680"/>
        </w:tabs>
        <w:spacing w:before="240" w:line="260" w:lineRule="exact"/>
        <w:jc w:val="both"/>
        <w:rPr>
          <w:b w:val="0"/>
          <w:sz w:val="22"/>
        </w:rPr>
      </w:pPr>
      <w:r>
        <w:rPr>
          <w:b w:val="0"/>
          <w:sz w:val="22"/>
        </w:rPr>
        <w:t>573.</w:t>
      </w:r>
      <w:r>
        <w:rPr>
          <w:b w:val="0"/>
          <w:sz w:val="22"/>
        </w:rPr>
        <w:tab/>
        <w:t>В недавно проведенном исследовании под названием "Микропредприятия Коста-Рики в 1990-е годы" (ПРОНАМИПЕ</w:t>
      </w:r>
      <w:r>
        <w:rPr>
          <w:b w:val="0"/>
          <w:sz w:val="22"/>
          <w:lang w:val="es-ES"/>
        </w:rPr>
        <w:t xml:space="preserve"> </w:t>
      </w:r>
      <w:r>
        <w:rPr>
          <w:b w:val="0"/>
          <w:sz w:val="22"/>
        </w:rPr>
        <w:t>и</w:t>
      </w:r>
      <w:r>
        <w:rPr>
          <w:b w:val="0"/>
          <w:sz w:val="22"/>
          <w:lang w:val="es-ES"/>
        </w:rPr>
        <w:t xml:space="preserve"> </w:t>
      </w:r>
      <w:r>
        <w:rPr>
          <w:b w:val="0"/>
          <w:sz w:val="22"/>
        </w:rPr>
        <w:t>ПРОМИКРО/МОТ) были подвергнуты анализу развитие рынка труда, не связанного с сельскохозяйственной деятельностью, и внутренняя иерархия деятельности некрупных предприятий в зависимости от ее потенциальной прибыльности. Результаты исследования показали растущее участие женщин в предпринимательской деятельности:</w:t>
      </w:r>
    </w:p>
    <w:p w:rsidR="00000000" w:rsidRDefault="00000000">
      <w:pPr>
        <w:pStyle w:val="Title"/>
        <w:tabs>
          <w:tab w:val="left" w:pos="340"/>
          <w:tab w:val="left" w:pos="680"/>
        </w:tabs>
        <w:spacing w:before="240" w:line="260" w:lineRule="exact"/>
        <w:ind w:left="340" w:hanging="340"/>
        <w:jc w:val="both"/>
        <w:rPr>
          <w:b w:val="0"/>
          <w:sz w:val="22"/>
        </w:rPr>
      </w:pPr>
      <w:r>
        <w:rPr>
          <w:b w:val="0"/>
          <w:sz w:val="22"/>
        </w:rPr>
        <w:t>а)</w:t>
      </w:r>
      <w:r>
        <w:rPr>
          <w:b w:val="0"/>
          <w:sz w:val="22"/>
        </w:rPr>
        <w:tab/>
        <w:t xml:space="preserve">в 1998 году 84 тыс. женщин занималось предпринимательской деятельностью, то есть в </w:t>
      </w:r>
      <w:r>
        <w:rPr>
          <w:b w:val="0"/>
          <w:sz w:val="22"/>
        </w:rPr>
        <w:br/>
        <w:t>два раза больше, чем показатель восьмилетней давности, когда этим видом трудовой деятельности было охвачено 45 тыс. женщин;</w:t>
      </w:r>
    </w:p>
    <w:p w:rsidR="00000000" w:rsidRDefault="00000000">
      <w:pPr>
        <w:pStyle w:val="Title"/>
        <w:tabs>
          <w:tab w:val="left" w:pos="340"/>
          <w:tab w:val="left" w:pos="680"/>
        </w:tabs>
        <w:spacing w:before="240" w:line="260" w:lineRule="exact"/>
        <w:ind w:left="340" w:hanging="340"/>
        <w:jc w:val="both"/>
        <w:rPr>
          <w:b w:val="0"/>
          <w:sz w:val="22"/>
        </w:rPr>
      </w:pPr>
      <w:r>
        <w:rPr>
          <w:b w:val="0"/>
          <w:sz w:val="22"/>
          <w:lang w:val="en-US"/>
        </w:rPr>
        <w:t>b</w:t>
      </w:r>
      <w:r>
        <w:rPr>
          <w:b w:val="0"/>
          <w:sz w:val="22"/>
        </w:rPr>
        <w:t>)</w:t>
      </w:r>
      <w:r>
        <w:rPr>
          <w:b w:val="0"/>
          <w:sz w:val="22"/>
        </w:rPr>
        <w:tab/>
        <w:t>из них 96 процентов работали на микропредприятиях (предприятия с числом сотрудников от одного до четырех). 84 процента трудились на собственных микропредприятиях;</w:t>
      </w:r>
    </w:p>
    <w:p w:rsidR="00000000" w:rsidRDefault="00000000">
      <w:pPr>
        <w:pStyle w:val="Title"/>
        <w:tabs>
          <w:tab w:val="left" w:pos="340"/>
          <w:tab w:val="left" w:pos="680"/>
        </w:tabs>
        <w:spacing w:before="240" w:line="260" w:lineRule="exact"/>
        <w:ind w:left="340" w:hanging="340"/>
        <w:jc w:val="both"/>
        <w:rPr>
          <w:b w:val="0"/>
          <w:sz w:val="22"/>
        </w:rPr>
      </w:pPr>
      <w:r>
        <w:rPr>
          <w:b w:val="0"/>
          <w:sz w:val="22"/>
        </w:rPr>
        <w:t>с)</w:t>
      </w:r>
      <w:r>
        <w:rPr>
          <w:b w:val="0"/>
          <w:sz w:val="22"/>
        </w:rPr>
        <w:tab/>
        <w:t>уровень доходов 59 процентов микропредприятий, принадлежащих женщинам, непосредственно на них работающим, был отнесен к категории "прожиточный минимум". Такой уровень доходов имели 94 процента женщин, живущих в бедности.</w:t>
      </w:r>
    </w:p>
    <w:p w:rsidR="00000000" w:rsidRDefault="00000000">
      <w:pPr>
        <w:pStyle w:val="Title"/>
        <w:tabs>
          <w:tab w:val="left" w:pos="680"/>
        </w:tabs>
        <w:spacing w:before="240" w:line="260" w:lineRule="exact"/>
        <w:jc w:val="both"/>
        <w:rPr>
          <w:b w:val="0"/>
          <w:sz w:val="22"/>
        </w:rPr>
      </w:pPr>
      <w:r>
        <w:rPr>
          <w:b w:val="0"/>
          <w:sz w:val="22"/>
        </w:rPr>
        <w:t>574.</w:t>
      </w:r>
      <w:r>
        <w:rPr>
          <w:b w:val="0"/>
          <w:sz w:val="22"/>
        </w:rPr>
        <w:tab/>
        <w:t>Социально-экономические условия бедности, в которых живут женщины, руководящие этими микропредприятиями, сделали необходимым создание Национального фонда гарантий и поручительств с целью выработки механизмов, которые бы изменили и облегчили этим женщинам условия получения кредитов и позволили бы:</w:t>
      </w:r>
    </w:p>
    <w:p w:rsidR="00000000" w:rsidRDefault="00000000">
      <w:pPr>
        <w:pStyle w:val="Title"/>
        <w:numPr>
          <w:ilvl w:val="0"/>
          <w:numId w:val="94"/>
        </w:numPr>
        <w:tabs>
          <w:tab w:val="left" w:pos="680"/>
        </w:tabs>
        <w:spacing w:before="240" w:line="260" w:lineRule="exact"/>
        <w:jc w:val="both"/>
        <w:rPr>
          <w:b w:val="0"/>
          <w:sz w:val="22"/>
        </w:rPr>
      </w:pPr>
      <w:r>
        <w:rPr>
          <w:b w:val="0"/>
          <w:sz w:val="22"/>
        </w:rPr>
        <w:t>Обеспечить доступ к кредитованию, установить приемлемые процентные ставки, а также условия предоставления гарантий и сроки погашения.</w:t>
      </w:r>
    </w:p>
    <w:p w:rsidR="00000000" w:rsidRDefault="00000000">
      <w:pPr>
        <w:pStyle w:val="Title"/>
        <w:numPr>
          <w:ilvl w:val="0"/>
          <w:numId w:val="94"/>
        </w:numPr>
        <w:tabs>
          <w:tab w:val="left" w:pos="680"/>
        </w:tabs>
        <w:spacing w:before="240" w:line="260" w:lineRule="exact"/>
        <w:jc w:val="both"/>
        <w:rPr>
          <w:b w:val="0"/>
          <w:sz w:val="22"/>
        </w:rPr>
      </w:pPr>
      <w:r>
        <w:rPr>
          <w:b w:val="0"/>
          <w:sz w:val="22"/>
        </w:rPr>
        <w:t>Содействовать минимизации риска предоставления кредитов этой группе населения, крайне уязвимой в экономическом плане.</w:t>
      </w:r>
    </w:p>
    <w:p w:rsidR="00000000" w:rsidRDefault="00000000">
      <w:pPr>
        <w:pStyle w:val="Title"/>
        <w:numPr>
          <w:ilvl w:val="0"/>
          <w:numId w:val="94"/>
        </w:numPr>
        <w:tabs>
          <w:tab w:val="left" w:pos="680"/>
        </w:tabs>
        <w:spacing w:before="240" w:line="260" w:lineRule="exact"/>
        <w:jc w:val="both"/>
        <w:rPr>
          <w:b w:val="0"/>
          <w:sz w:val="22"/>
        </w:rPr>
      </w:pPr>
      <w:r>
        <w:rPr>
          <w:b w:val="0"/>
          <w:sz w:val="22"/>
        </w:rPr>
        <w:t>Привлечь финансовых посредников, имеющих опыт оказания помощи женщинам-предпринимателям.</w:t>
      </w:r>
    </w:p>
    <w:p w:rsidR="00000000" w:rsidRDefault="00000000">
      <w:pPr>
        <w:pStyle w:val="Title"/>
        <w:numPr>
          <w:ilvl w:val="0"/>
          <w:numId w:val="94"/>
        </w:numPr>
        <w:tabs>
          <w:tab w:val="left" w:pos="680"/>
        </w:tabs>
        <w:spacing w:before="240" w:line="260" w:lineRule="exact"/>
        <w:jc w:val="both"/>
        <w:rPr>
          <w:b w:val="0"/>
          <w:sz w:val="22"/>
        </w:rPr>
      </w:pPr>
      <w:r>
        <w:rPr>
          <w:b w:val="0"/>
          <w:sz w:val="22"/>
        </w:rPr>
        <w:t>Управлять специальными фондами, защищенными от инфляционных процессов.</w:t>
      </w:r>
    </w:p>
    <w:p w:rsidR="00000000" w:rsidRDefault="00000000">
      <w:pPr>
        <w:pStyle w:val="Title"/>
        <w:tabs>
          <w:tab w:val="left" w:pos="680"/>
        </w:tabs>
        <w:spacing w:before="240" w:line="260" w:lineRule="exact"/>
        <w:jc w:val="both"/>
        <w:rPr>
          <w:b w:val="0"/>
          <w:sz w:val="22"/>
        </w:rPr>
      </w:pPr>
      <w:r>
        <w:rPr>
          <w:b w:val="0"/>
          <w:sz w:val="22"/>
        </w:rPr>
        <w:t>575.</w:t>
      </w:r>
      <w:r>
        <w:rPr>
          <w:b w:val="0"/>
          <w:sz w:val="22"/>
        </w:rPr>
        <w:tab/>
        <w:t>Кроме того, Фонд должен оказывать постоянное содействие и консультационную помощь в течение всего срока погашения кредита, с тем чтобы обезопасить кредитные инвестиции и предотвратить задержку выплаты долга. Затраты, которые повлекут эти меры, будут компенсироваться из других фондов, чтобы избежать финансирования технической помощи за счет кредита.</w:t>
      </w:r>
    </w:p>
    <w:p w:rsidR="00000000" w:rsidRDefault="00000000">
      <w:pPr>
        <w:pStyle w:val="Title"/>
        <w:tabs>
          <w:tab w:val="left" w:pos="680"/>
        </w:tabs>
        <w:spacing w:before="240" w:line="260" w:lineRule="exact"/>
        <w:jc w:val="both"/>
        <w:rPr>
          <w:b w:val="0"/>
          <w:sz w:val="22"/>
        </w:rPr>
      </w:pPr>
    </w:p>
    <w:p w:rsidR="00000000" w:rsidRDefault="00000000">
      <w:pPr>
        <w:pStyle w:val="Title"/>
        <w:tabs>
          <w:tab w:val="left" w:pos="680"/>
        </w:tabs>
        <w:spacing w:before="240" w:line="260" w:lineRule="exact"/>
        <w:rPr>
          <w:sz w:val="22"/>
        </w:rPr>
      </w:pPr>
      <w:r>
        <w:rPr>
          <w:sz w:val="22"/>
        </w:rPr>
        <w:t>Статья 14. Женщины, проживающие в сельской местности</w:t>
      </w:r>
    </w:p>
    <w:p w:rsidR="00000000" w:rsidRDefault="00000000">
      <w:pPr>
        <w:pStyle w:val="Title"/>
        <w:tabs>
          <w:tab w:val="left" w:pos="680"/>
        </w:tabs>
        <w:spacing w:before="240" w:line="260" w:lineRule="exact"/>
        <w:jc w:val="both"/>
        <w:rPr>
          <w:b w:val="0"/>
          <w:i/>
          <w:sz w:val="22"/>
        </w:rPr>
      </w:pPr>
      <w:r>
        <w:rPr>
          <w:b w:val="0"/>
          <w:i/>
          <w:sz w:val="22"/>
        </w:rPr>
        <w:t>Статья 14</w:t>
      </w:r>
    </w:p>
    <w:p w:rsidR="00000000" w:rsidRDefault="00000000">
      <w:pPr>
        <w:pStyle w:val="Title"/>
        <w:tabs>
          <w:tab w:val="left" w:pos="680"/>
        </w:tabs>
        <w:spacing w:before="240" w:line="260" w:lineRule="exact"/>
        <w:ind w:left="680" w:hanging="680"/>
        <w:jc w:val="both"/>
        <w:rPr>
          <w:b w:val="0"/>
          <w:i/>
          <w:sz w:val="22"/>
        </w:rPr>
      </w:pPr>
      <w:r>
        <w:rPr>
          <w:b w:val="0"/>
          <w:i/>
          <w:sz w:val="22"/>
        </w:rPr>
        <w:t>1.</w:t>
      </w:r>
      <w:r>
        <w:rPr>
          <w:b w:val="0"/>
          <w:i/>
          <w:sz w:val="22"/>
        </w:rPr>
        <w:tab/>
        <w:t>Государства-участники принимают во внимание особые проблемы, с которыми сталкиваются женщины, проживающие в сельской местности, и значительную роль, которую они играют в обеспечении экономического благосостояния своих семей, в том числе их деятельность в нетоварных отраслях хозяйства, и принимают все соответствующие меры для обеспечения применения положений настоящей Конвенции к женщинам, проживающим в сельской местности.</w:t>
      </w:r>
    </w:p>
    <w:p w:rsidR="00000000" w:rsidRDefault="00000000">
      <w:pPr>
        <w:pStyle w:val="Title"/>
        <w:tabs>
          <w:tab w:val="left" w:pos="680"/>
        </w:tabs>
        <w:spacing w:before="240" w:line="260" w:lineRule="exact"/>
        <w:ind w:left="680" w:hanging="680"/>
        <w:jc w:val="both"/>
        <w:rPr>
          <w:b w:val="0"/>
          <w:i/>
          <w:sz w:val="22"/>
        </w:rPr>
      </w:pPr>
      <w:r>
        <w:rPr>
          <w:b w:val="0"/>
          <w:i/>
          <w:sz w:val="22"/>
        </w:rPr>
        <w:t>2.</w:t>
      </w:r>
      <w:r>
        <w:rPr>
          <w:b w:val="0"/>
          <w:i/>
          <w:sz w:val="22"/>
        </w:rPr>
        <w:tab/>
        <w:t>Государства-участники принимают все соответствующие меры для ликвидации дискриминации в отношении женщин в сельских районах, с тем чтобы обеспечить на основе равенства мужчин и женщин их участие в развитии сельских районов и в получении выгод от такого развития и, в частности, обеспечивают таким женщинам право:</w:t>
      </w:r>
    </w:p>
    <w:p w:rsidR="00000000" w:rsidRDefault="00000000">
      <w:pPr>
        <w:pStyle w:val="Title"/>
        <w:tabs>
          <w:tab w:val="left" w:pos="340"/>
          <w:tab w:val="left" w:pos="680"/>
        </w:tabs>
        <w:spacing w:before="180" w:line="260" w:lineRule="exact"/>
        <w:ind w:left="680" w:hanging="680"/>
        <w:jc w:val="both"/>
        <w:rPr>
          <w:b w:val="0"/>
          <w:i/>
          <w:sz w:val="22"/>
        </w:rPr>
      </w:pPr>
      <w:r>
        <w:rPr>
          <w:b w:val="0"/>
          <w:i/>
          <w:sz w:val="22"/>
        </w:rPr>
        <w:tab/>
        <w:t>а)</w:t>
      </w:r>
      <w:r>
        <w:rPr>
          <w:b w:val="0"/>
          <w:i/>
          <w:sz w:val="22"/>
        </w:rPr>
        <w:tab/>
        <w:t>участвовать в разработке и осуществлении планов развития на всех уровнях;</w:t>
      </w:r>
    </w:p>
    <w:p w:rsidR="00000000" w:rsidRDefault="00000000">
      <w:pPr>
        <w:pStyle w:val="Title"/>
        <w:tabs>
          <w:tab w:val="left" w:pos="340"/>
          <w:tab w:val="left" w:pos="680"/>
        </w:tabs>
        <w:spacing w:before="180" w:line="260" w:lineRule="exact"/>
        <w:ind w:left="680" w:hanging="680"/>
        <w:jc w:val="both"/>
        <w:rPr>
          <w:b w:val="0"/>
          <w:i/>
          <w:sz w:val="22"/>
        </w:rPr>
      </w:pPr>
      <w:r>
        <w:rPr>
          <w:b w:val="0"/>
          <w:i/>
          <w:sz w:val="22"/>
        </w:rPr>
        <w:tab/>
      </w:r>
      <w:r>
        <w:rPr>
          <w:b w:val="0"/>
          <w:i/>
          <w:sz w:val="22"/>
          <w:lang w:val="en-US"/>
        </w:rPr>
        <w:t>b</w:t>
      </w:r>
      <w:r>
        <w:rPr>
          <w:b w:val="0"/>
          <w:i/>
          <w:sz w:val="22"/>
        </w:rPr>
        <w:t>)</w:t>
      </w:r>
      <w:r>
        <w:rPr>
          <w:b w:val="0"/>
          <w:i/>
          <w:sz w:val="22"/>
        </w:rPr>
        <w:tab/>
        <w:t>на доступ к соответствующему медицинскому обслуживанию, включая информацию, консультации и обслуживание по вопросам планирования размера семьи;</w:t>
      </w:r>
    </w:p>
    <w:p w:rsidR="00000000" w:rsidRDefault="00000000">
      <w:pPr>
        <w:pStyle w:val="Title"/>
        <w:tabs>
          <w:tab w:val="left" w:pos="340"/>
          <w:tab w:val="left" w:pos="680"/>
        </w:tabs>
        <w:spacing w:before="180" w:line="260" w:lineRule="exact"/>
        <w:ind w:left="680" w:hanging="680"/>
        <w:jc w:val="both"/>
        <w:rPr>
          <w:b w:val="0"/>
          <w:i/>
          <w:sz w:val="22"/>
        </w:rPr>
      </w:pPr>
      <w:r>
        <w:rPr>
          <w:b w:val="0"/>
          <w:i/>
          <w:sz w:val="22"/>
        </w:rPr>
        <w:tab/>
        <w:t>с)</w:t>
      </w:r>
      <w:r>
        <w:rPr>
          <w:b w:val="0"/>
          <w:i/>
          <w:sz w:val="22"/>
        </w:rPr>
        <w:tab/>
        <w:t>непосредственно пользоваться благами программ социального страхования;</w:t>
      </w:r>
    </w:p>
    <w:p w:rsidR="00000000" w:rsidRDefault="00000000">
      <w:pPr>
        <w:pStyle w:val="Title"/>
        <w:tabs>
          <w:tab w:val="left" w:pos="340"/>
          <w:tab w:val="left" w:pos="680"/>
        </w:tabs>
        <w:spacing w:before="180" w:line="260" w:lineRule="exact"/>
        <w:ind w:left="680" w:hanging="680"/>
        <w:jc w:val="both"/>
        <w:rPr>
          <w:b w:val="0"/>
          <w:i/>
          <w:sz w:val="22"/>
        </w:rPr>
      </w:pPr>
      <w:r>
        <w:rPr>
          <w:b w:val="0"/>
          <w:i/>
          <w:sz w:val="22"/>
        </w:rPr>
        <w:tab/>
      </w:r>
      <w:r>
        <w:rPr>
          <w:b w:val="0"/>
          <w:i/>
          <w:sz w:val="22"/>
          <w:lang w:val="en-US"/>
        </w:rPr>
        <w:t>d</w:t>
      </w:r>
      <w:r>
        <w:rPr>
          <w:b w:val="0"/>
          <w:i/>
          <w:sz w:val="22"/>
        </w:rPr>
        <w:t>)</w:t>
      </w:r>
      <w:r>
        <w:rPr>
          <w:b w:val="0"/>
          <w:i/>
          <w:sz w:val="22"/>
        </w:rPr>
        <w:tab/>
        <w:t>получать все виды подготовки и формального и неформального образования, включая функциональную грамотность, а также пользоваться услугами всех средств общинного обслуживания, консультативных служб по сельскохозяйственным вопросам, в частности для повышения их технического уровня;</w:t>
      </w:r>
    </w:p>
    <w:p w:rsidR="00000000" w:rsidRDefault="00000000">
      <w:pPr>
        <w:pStyle w:val="Title"/>
        <w:tabs>
          <w:tab w:val="left" w:pos="340"/>
          <w:tab w:val="left" w:pos="680"/>
        </w:tabs>
        <w:spacing w:before="180" w:line="260" w:lineRule="exact"/>
        <w:ind w:left="680" w:hanging="680"/>
        <w:jc w:val="both"/>
        <w:rPr>
          <w:b w:val="0"/>
          <w:i/>
          <w:sz w:val="22"/>
        </w:rPr>
      </w:pPr>
      <w:r>
        <w:rPr>
          <w:b w:val="0"/>
          <w:i/>
          <w:sz w:val="22"/>
        </w:rPr>
        <w:tab/>
        <w:t>е)</w:t>
      </w:r>
      <w:r>
        <w:rPr>
          <w:b w:val="0"/>
          <w:i/>
          <w:sz w:val="22"/>
        </w:rPr>
        <w:tab/>
        <w:t>организовывать группы самопомощи и кооперативы, с тем чтобы обеспечить равный доступ к экономическим возможностям посредством работы по найму или независимой трудовой деятельности;</w:t>
      </w:r>
    </w:p>
    <w:p w:rsidR="00000000" w:rsidRDefault="00000000">
      <w:pPr>
        <w:pStyle w:val="Title"/>
        <w:tabs>
          <w:tab w:val="left" w:pos="340"/>
          <w:tab w:val="left" w:pos="680"/>
        </w:tabs>
        <w:spacing w:before="180" w:line="260" w:lineRule="exact"/>
        <w:ind w:left="680" w:hanging="680"/>
        <w:jc w:val="both"/>
        <w:rPr>
          <w:b w:val="0"/>
          <w:i/>
          <w:sz w:val="22"/>
        </w:rPr>
      </w:pPr>
      <w:r>
        <w:rPr>
          <w:b w:val="0"/>
          <w:i/>
          <w:sz w:val="22"/>
        </w:rPr>
        <w:tab/>
      </w:r>
      <w:r>
        <w:rPr>
          <w:b w:val="0"/>
          <w:i/>
          <w:sz w:val="22"/>
          <w:lang w:val="en-US"/>
        </w:rPr>
        <w:t>f</w:t>
      </w:r>
      <w:r>
        <w:rPr>
          <w:b w:val="0"/>
          <w:i/>
          <w:sz w:val="22"/>
        </w:rPr>
        <w:t>)</w:t>
      </w:r>
      <w:r>
        <w:rPr>
          <w:b w:val="0"/>
          <w:i/>
          <w:sz w:val="22"/>
        </w:rPr>
        <w:tab/>
        <w:t>участвовать во всех видах коллективной деятельности;</w:t>
      </w:r>
    </w:p>
    <w:p w:rsidR="00000000" w:rsidRDefault="00000000">
      <w:pPr>
        <w:pStyle w:val="Title"/>
        <w:tabs>
          <w:tab w:val="left" w:pos="340"/>
          <w:tab w:val="left" w:pos="680"/>
        </w:tabs>
        <w:spacing w:before="180" w:line="260" w:lineRule="exact"/>
        <w:ind w:left="680" w:hanging="680"/>
        <w:jc w:val="both"/>
        <w:rPr>
          <w:b w:val="0"/>
          <w:i/>
          <w:sz w:val="22"/>
        </w:rPr>
      </w:pPr>
      <w:r>
        <w:rPr>
          <w:b w:val="0"/>
          <w:i/>
          <w:sz w:val="22"/>
        </w:rPr>
        <w:tab/>
      </w:r>
      <w:r>
        <w:rPr>
          <w:b w:val="0"/>
          <w:i/>
          <w:sz w:val="22"/>
          <w:lang w:val="en-US"/>
        </w:rPr>
        <w:t>g</w:t>
      </w:r>
      <w:r>
        <w:rPr>
          <w:b w:val="0"/>
          <w:i/>
          <w:sz w:val="22"/>
        </w:rPr>
        <w:t>)</w:t>
      </w:r>
      <w:r>
        <w:rPr>
          <w:b w:val="0"/>
          <w:i/>
          <w:sz w:val="22"/>
        </w:rPr>
        <w:tab/>
        <w:t>на доступ к сельскохозяйственным кредитам и займам, системе сбыта, соответствующей технологии и на равный статус в земельных и аграрных реформах, а также в планах перезаселения земель;</w:t>
      </w:r>
    </w:p>
    <w:p w:rsidR="00000000" w:rsidRDefault="00000000">
      <w:pPr>
        <w:pStyle w:val="Title"/>
        <w:tabs>
          <w:tab w:val="left" w:pos="340"/>
          <w:tab w:val="left" w:pos="680"/>
        </w:tabs>
        <w:spacing w:before="180" w:line="260" w:lineRule="exact"/>
        <w:ind w:left="680" w:hanging="680"/>
        <w:jc w:val="both"/>
        <w:rPr>
          <w:b w:val="0"/>
          <w:sz w:val="22"/>
        </w:rPr>
      </w:pPr>
      <w:r>
        <w:rPr>
          <w:b w:val="0"/>
          <w:i/>
          <w:sz w:val="22"/>
        </w:rPr>
        <w:tab/>
      </w:r>
      <w:r>
        <w:rPr>
          <w:b w:val="0"/>
          <w:i/>
          <w:sz w:val="22"/>
          <w:lang w:val="en-US"/>
        </w:rPr>
        <w:t>h</w:t>
      </w:r>
      <w:r>
        <w:rPr>
          <w:b w:val="0"/>
          <w:i/>
          <w:sz w:val="22"/>
        </w:rPr>
        <w:t>)</w:t>
      </w:r>
      <w:r>
        <w:rPr>
          <w:b w:val="0"/>
          <w:i/>
          <w:sz w:val="22"/>
        </w:rPr>
        <w:tab/>
        <w:t>пользоваться надлежащими условиями жизни, особенно жилищными условиями, санитарными услугами, электро- и водоснабжением, а также транспортом и средствами связи.</w:t>
      </w:r>
    </w:p>
    <w:p w:rsidR="00000000" w:rsidRDefault="00000000">
      <w:pPr>
        <w:pStyle w:val="Title"/>
        <w:tabs>
          <w:tab w:val="left" w:pos="680"/>
        </w:tabs>
        <w:spacing w:before="240" w:line="260" w:lineRule="exact"/>
        <w:jc w:val="both"/>
        <w:rPr>
          <w:b w:val="0"/>
          <w:sz w:val="22"/>
        </w:rPr>
      </w:pPr>
    </w:p>
    <w:p w:rsidR="00000000" w:rsidRDefault="00000000">
      <w:pPr>
        <w:pStyle w:val="Title"/>
        <w:tabs>
          <w:tab w:val="left" w:pos="680"/>
        </w:tabs>
        <w:spacing w:before="240" w:line="260" w:lineRule="exact"/>
        <w:jc w:val="left"/>
        <w:rPr>
          <w:sz w:val="22"/>
        </w:rPr>
      </w:pPr>
      <w:r>
        <w:rPr>
          <w:sz w:val="22"/>
        </w:rPr>
        <w:t>Сельские женщины в наибольшей степени страдают от бедности</w:t>
      </w:r>
    </w:p>
    <w:p w:rsidR="00000000" w:rsidRDefault="00000000">
      <w:pPr>
        <w:pStyle w:val="Title"/>
        <w:tabs>
          <w:tab w:val="left" w:pos="680"/>
        </w:tabs>
        <w:spacing w:before="240" w:line="260" w:lineRule="exact"/>
        <w:jc w:val="both"/>
        <w:rPr>
          <w:b w:val="0"/>
          <w:sz w:val="22"/>
        </w:rPr>
      </w:pPr>
      <w:r>
        <w:rPr>
          <w:b w:val="0"/>
          <w:sz w:val="22"/>
        </w:rPr>
        <w:t>576.</w:t>
      </w:r>
      <w:r>
        <w:rPr>
          <w:b w:val="0"/>
          <w:sz w:val="22"/>
        </w:rPr>
        <w:tab/>
        <w:t>В Коста-Рике сельские районы и районы за пределами Центральной долины в наибольшей степени страдают от бедности как по средним показателям домашних хозяйств, так и по числу хозяйств, возглавляемых женщинами. Что касается разделения по зонам, как в сельской местности, так и в городах наблюдается одинаковое явление – тенденция к росту разницы в показателях по хозяйствам, возглавляемым женщинами и мужчинами. Однако общий показатель бедности в сельских районах выше, чем в городах, причем как общий уровень бедности, так и уровень крайней бедности (проект "Состояние нации", 2001 год).</w:t>
      </w:r>
    </w:p>
    <w:p w:rsidR="00000000" w:rsidRDefault="00000000">
      <w:pPr>
        <w:pStyle w:val="Title"/>
        <w:tabs>
          <w:tab w:val="left" w:pos="680"/>
        </w:tabs>
        <w:spacing w:before="240" w:line="260" w:lineRule="exact"/>
        <w:jc w:val="both"/>
        <w:rPr>
          <w:b w:val="0"/>
          <w:sz w:val="22"/>
        </w:rPr>
      </w:pPr>
      <w:r>
        <w:rPr>
          <w:b w:val="0"/>
          <w:sz w:val="22"/>
        </w:rPr>
        <w:t>577.</w:t>
      </w:r>
      <w:r>
        <w:rPr>
          <w:b w:val="0"/>
          <w:sz w:val="22"/>
        </w:rPr>
        <w:tab/>
        <w:t>Показатели по регионам также различаются. В 1999 году самый высокий уровень бедности зарегистрирован в регионах Чоротега и Брунка. Однако в разбивке по хозяйствам, возглавляемым женщинами и мужчинами, различия в показателях составили 10 процентов в пользу мужчин, аналогичная ситуация наблюдалась в Центральном и Центральном Тихоокеанском регионах. Наибольшая разница между хозяйствами с главами-женщинами и хозяйствами с главами-мужчинами была зафиксирована в регионе Уэтар, Атлантическое побережье, хотя показатели бедности в нем не самые высокие. Столь же большая разница наблюдается в хозяйствах, живущих в крайней бедности. Разница достигает 17 процентов в бедных хозяйствах и 10 процентов в хозяйствах, живущих в крайней бедности (проект "Состояние нации", 2001 год).</w:t>
      </w:r>
    </w:p>
    <w:p w:rsidR="00000000" w:rsidRDefault="00000000">
      <w:pPr>
        <w:pStyle w:val="Title"/>
        <w:tabs>
          <w:tab w:val="left" w:pos="680"/>
        </w:tabs>
        <w:spacing w:before="220" w:line="260" w:lineRule="exact"/>
        <w:jc w:val="both"/>
        <w:rPr>
          <w:b w:val="0"/>
          <w:spacing w:val="-2"/>
          <w:sz w:val="22"/>
        </w:rPr>
      </w:pPr>
      <w:r>
        <w:rPr>
          <w:b w:val="0"/>
          <w:sz w:val="22"/>
        </w:rPr>
        <w:t>578.</w:t>
      </w:r>
      <w:r>
        <w:rPr>
          <w:b w:val="0"/>
          <w:sz w:val="22"/>
        </w:rPr>
        <w:tab/>
      </w:r>
      <w:r>
        <w:rPr>
          <w:b w:val="0"/>
          <w:spacing w:val="-2"/>
          <w:sz w:val="22"/>
        </w:rPr>
        <w:t>Бедность по-разному влияет на деятельность сельских женщин, но наиболее негативные последствия она имеет для женщин, занимающихся примитивным производством для внутреннего потребления (</w:t>
      </w:r>
      <w:r>
        <w:rPr>
          <w:b w:val="0"/>
          <w:spacing w:val="-2"/>
          <w:sz w:val="22"/>
          <w:lang w:val="en-US"/>
        </w:rPr>
        <w:t>Trejos</w:t>
      </w:r>
      <w:r>
        <w:rPr>
          <w:b w:val="0"/>
          <w:spacing w:val="-2"/>
          <w:sz w:val="22"/>
        </w:rPr>
        <w:t>, 2000). Поэтому при осуществлении государством действий, направленных на искоренение бедности, приоритет должен отдаваться мелким производителям – женщинам, даже если официальные показатели этого не подтверждали.</w:t>
      </w:r>
    </w:p>
    <w:p w:rsidR="00000000" w:rsidRDefault="00000000">
      <w:pPr>
        <w:pStyle w:val="Title"/>
        <w:tabs>
          <w:tab w:val="left" w:pos="680"/>
        </w:tabs>
        <w:spacing w:before="220" w:line="260" w:lineRule="exact"/>
        <w:jc w:val="both"/>
        <w:rPr>
          <w:b w:val="0"/>
          <w:sz w:val="22"/>
        </w:rPr>
      </w:pPr>
      <w:r>
        <w:rPr>
          <w:b w:val="0"/>
          <w:sz w:val="22"/>
        </w:rPr>
        <w:t>579.</w:t>
      </w:r>
      <w:r>
        <w:rPr>
          <w:b w:val="0"/>
          <w:sz w:val="22"/>
        </w:rPr>
        <w:tab/>
        <w:t>Женщины составили лишь 20 процентов от общего числа производителей, получивших помощь от Служб по оказанию сельскохозяйственных услуг Министерства сельского хозяйства и животноводства, – практически одинаковый показатель во всех регионах и существенно не изменявшийся за все годы, по которым имеются данные.</w:t>
      </w:r>
    </w:p>
    <w:p w:rsidR="00000000" w:rsidRDefault="00000000">
      <w:pPr>
        <w:pStyle w:val="Title"/>
        <w:tabs>
          <w:tab w:val="left" w:pos="680"/>
        </w:tabs>
        <w:spacing w:before="220" w:line="260" w:lineRule="exact"/>
        <w:jc w:val="both"/>
        <w:rPr>
          <w:b w:val="0"/>
          <w:sz w:val="22"/>
        </w:rPr>
      </w:pPr>
      <w:r>
        <w:rPr>
          <w:b w:val="0"/>
          <w:sz w:val="22"/>
        </w:rPr>
        <w:t>580.</w:t>
      </w:r>
      <w:r>
        <w:rPr>
          <w:b w:val="0"/>
          <w:sz w:val="22"/>
        </w:rPr>
        <w:tab/>
        <w:t xml:space="preserve">Что касается результатов реализации Программы реструктуризации производства, они отражают недостаточное стремление оказывать на постоянной основе приоритетную помощь женщинам, поскольку в период с 1997 по 2000 год доля участия женщин в программе колебалась от 21,5 до 16 процентов. За весь период выполнения программы (с апреля 1996 по октябрь 2000 года) сильно разнились показатели оказания помощи по регионам: самая высокая доля участия женщин зарегистрирована в регионах Уэтар, Атлантическое побережье, и Уэтар, северная часть. Однако в регионах Брунка, Чоротега и Центральном Тихоокеанском регионе, где уровень бедности очень высок и имеется большое количество домашних хозяйств, возглавляемых женщинами, помощь, полученная в рамках программы производителями-женщинами, была небольшой. </w:t>
      </w:r>
    </w:p>
    <w:p w:rsidR="00000000" w:rsidRDefault="00000000">
      <w:pPr>
        <w:pStyle w:val="Title"/>
        <w:tabs>
          <w:tab w:val="left" w:pos="680"/>
        </w:tabs>
        <w:spacing w:before="220" w:line="260" w:lineRule="exact"/>
        <w:jc w:val="both"/>
        <w:rPr>
          <w:b w:val="0"/>
          <w:sz w:val="22"/>
        </w:rPr>
      </w:pPr>
      <w:r>
        <w:rPr>
          <w:b w:val="0"/>
          <w:sz w:val="22"/>
        </w:rPr>
        <w:t>581.</w:t>
      </w:r>
      <w:r>
        <w:rPr>
          <w:b w:val="0"/>
          <w:sz w:val="22"/>
        </w:rPr>
        <w:tab/>
        <w:t>Ограниченное участие женщин в программе связано с тем фактом, что только небольшая часть женщин владеют землей. Закон о содействии социальному равенству женщин (от 1990 года) устанавливает, что как земля, так и жилье являются семейной собственностью, на которую мужчина и женщина имеют равные права. Возможно, самым большим достижением было то, что впервые были легально признаны так называемые гражданские браки (пары, живущие в свободном союзе).</w:t>
      </w:r>
    </w:p>
    <w:p w:rsidR="00000000" w:rsidRDefault="00000000">
      <w:pPr>
        <w:pStyle w:val="Title"/>
        <w:tabs>
          <w:tab w:val="left" w:pos="680"/>
        </w:tabs>
        <w:spacing w:before="220" w:line="260" w:lineRule="exact"/>
        <w:jc w:val="both"/>
        <w:rPr>
          <w:b w:val="0"/>
          <w:sz w:val="22"/>
        </w:rPr>
      </w:pPr>
      <w:r>
        <w:rPr>
          <w:b w:val="0"/>
          <w:sz w:val="22"/>
        </w:rPr>
        <w:t>582.</w:t>
      </w:r>
      <w:r>
        <w:rPr>
          <w:b w:val="0"/>
          <w:sz w:val="22"/>
        </w:rPr>
        <w:tab/>
        <w:t>Благодаря принятию закона в 1990 году 39 из каждых 100 женщин получили индивидуальные права собственности на землю (Фонд Ариас в поддержку мира и прогресса человечества). В 1994 году Верховный суд страны признал неконституционным содержание статьи данного закона, согласно которой в случае, если пара проживает в свободном браке, документы на собственность должны оформляться на имя женщины, и постановил, что права на землю, даже в таких случаях, должны регистрироваться на обоих членов пары.</w:t>
      </w:r>
    </w:p>
    <w:p w:rsidR="00000000" w:rsidRDefault="00000000">
      <w:pPr>
        <w:pStyle w:val="Title"/>
        <w:tabs>
          <w:tab w:val="left" w:pos="680"/>
        </w:tabs>
        <w:spacing w:before="220" w:line="260" w:lineRule="exact"/>
        <w:jc w:val="both"/>
        <w:rPr>
          <w:b w:val="0"/>
          <w:sz w:val="22"/>
        </w:rPr>
      </w:pPr>
      <w:r>
        <w:rPr>
          <w:b w:val="0"/>
          <w:sz w:val="22"/>
        </w:rPr>
        <w:t>583.</w:t>
      </w:r>
      <w:r>
        <w:rPr>
          <w:b w:val="0"/>
          <w:sz w:val="22"/>
        </w:rPr>
        <w:tab/>
        <w:t>В соответствии с данными, предоставленными Национальной программой передачи земли в собственность Института сельскохозяйственного развития (ИДА), в период правления президента Родригеса Эчеверрия мужчины получили 26 процентов от общего числа документов, удостоверяющих право собственности на землю, выданных с мая 1998 по май 2001 года (10 590), доля женщин составила 25,4 процента и 48,6 процента документов было выдано парам.</w:t>
      </w:r>
    </w:p>
    <w:p w:rsidR="00000000" w:rsidRDefault="00000000">
      <w:pPr>
        <w:pStyle w:val="Title"/>
        <w:tabs>
          <w:tab w:val="left" w:pos="680"/>
        </w:tabs>
        <w:spacing w:before="240" w:line="260" w:lineRule="exact"/>
        <w:jc w:val="both"/>
        <w:rPr>
          <w:b w:val="0"/>
          <w:sz w:val="22"/>
        </w:rPr>
      </w:pPr>
      <w:r>
        <w:rPr>
          <w:b w:val="0"/>
          <w:sz w:val="22"/>
        </w:rPr>
        <w:t>584.</w:t>
      </w:r>
      <w:r>
        <w:rPr>
          <w:b w:val="0"/>
          <w:sz w:val="22"/>
        </w:rPr>
        <w:tab/>
        <w:t xml:space="preserve">Сельские женщины имели ограниченный доступ к кредитам, предоставляемым Департаментом сельскохозяйственных кредитов Национального банка Коста-Рики (НБКР). По данным исследования, проведенного Чирибогой, Гринспеном и Пересом (1995 год), из 8 тыс. кредитов, выданных в 1991 году, лишь 20 приходилось на женщин. В действительности же 50 процентов из этих кредитов использовали мужчины, которые оформили их на женщин, главным образом жен. </w:t>
      </w:r>
    </w:p>
    <w:p w:rsidR="00000000" w:rsidRDefault="00000000">
      <w:pPr>
        <w:pStyle w:val="Title"/>
        <w:tabs>
          <w:tab w:val="left" w:pos="680"/>
        </w:tabs>
        <w:spacing w:before="240" w:line="260" w:lineRule="exact"/>
        <w:jc w:val="both"/>
        <w:rPr>
          <w:b w:val="0"/>
          <w:sz w:val="22"/>
        </w:rPr>
      </w:pPr>
      <w:r>
        <w:rPr>
          <w:b w:val="0"/>
          <w:sz w:val="22"/>
        </w:rPr>
        <w:t>585.</w:t>
      </w:r>
      <w:r>
        <w:rPr>
          <w:b w:val="0"/>
          <w:sz w:val="22"/>
        </w:rPr>
        <w:tab/>
        <w:t>По данным, полученным от Национального банка Коста-Рики о долевом участии в итоговом сальдо кредитных портфелей Сельских объединений, в 2000 году было совершено 13 328 кредитных операций на общую сумму в 11 564 млн. колонов. На долю женщин пришлось 3,45 процента от общего числа выданных кредитов. В денежном выражении участие женщин составило 3,80 процента от общей суммы. По данным того же государственного учреждения о состоянии кредитного портфеля, за первое полугодие 2002 года было выдано 12 103 кредита на сумму 11 933,73 млн. колонов. Долевое участие женщин в общем количестве кредитов, предоставленных в первом полугодии 2002 года, составило 8,56 процента. В денежном выражении участие женщин составило 8,68 процента от общей суммы.</w:t>
      </w:r>
    </w:p>
    <w:p w:rsidR="00000000" w:rsidRDefault="00000000">
      <w:pPr>
        <w:tabs>
          <w:tab w:val="left" w:pos="680"/>
        </w:tabs>
        <w:spacing w:before="240" w:line="260" w:lineRule="exact"/>
        <w:jc w:val="both"/>
        <w:rPr>
          <w:sz w:val="22"/>
        </w:rPr>
      </w:pPr>
      <w:r>
        <w:rPr>
          <w:sz w:val="22"/>
        </w:rPr>
        <w:t>586.</w:t>
      </w:r>
      <w:r>
        <w:rPr>
          <w:sz w:val="22"/>
        </w:rPr>
        <w:tab/>
        <w:t xml:space="preserve">Результаты исследования, проведенного Национальным координационным советом по работе с сельскими труженицами (КНТМК) по вопросам спроса и предложения в области кредитования сельскохозяйственных производителей – женщин в Коста-Рике, показали, что крестьянские хозяйства в ходе исторической борьбы за выживание в новых экономических условиях в сельском хозяйстве и национальной экономике адаптировались к ним или переориентировали свою деятельность. Подобная ситуация развивается как бы параллельно логике развития капитализма, поскольку сельские труженики, как женщины, так и мужчины, в своей деятельности руководствуются не критерием достижения максимальной прибыли, а стремлением добиться максимального вознаграждения за свой труд. Кредитование, являясь элементом капиталистического развития сельского хозяйства, не всегда отвечает потребностям крестьянских хозяйств. В связи с этим не вызывает сомнений тот факт, что создание Системы финансирования сельских районов не означает решения общей проблемы малого сельского производства. С учетом существующих условий была поставлена задача создать систему, ориентированную на потребности крестьянства и опирающуюся на способность крестьянских хозяйств к переустройству своей деятельности. Потребность сельскохозяйственных производителей в финансировании обусловила спрос на широкий спектр финансовых услуг: от погашения долга, кредитования разнообразных производственных процессов до оплаты семейных расходов, с тем чтобы способствовать выполнению семьей функции продолжения рода. В большинстве случаев эти потребности возникают все вместе и сразу, потому что зачастую заем, взятый на развитие производства, тратится на покрытие расходов на медицинские услуги, образование или иные цели или же, наоборот, тяжелая необходимость финансировать производство лишает крестьян возможности обеспечить основные потребности семьи, необходимые для ее воспроизводства. Крестьяне редко нуждаются в финансировании затрат на рабочую силу, однако потребность в этой услуге возрастает, если женщина является одновременно главой домашнего хозяйства и сельскохозяйственным производителем, поскольку обычно ей приходится расходовать свое время на выполнение производственных задач и своей репродуктивной функции, и очень часто этого времени не хватает на выполнение и того и другого либо, как иногда случается, женщине приходится заниматься более прибыльной деятельностью за пределами своего хозяйства, с тем чтобы на полученные доходы приобрести средства производства и нанять рабочую силу (КНТМК, 1999 год). </w:t>
      </w:r>
    </w:p>
    <w:p w:rsidR="00000000" w:rsidRDefault="00000000">
      <w:pPr>
        <w:tabs>
          <w:tab w:val="left" w:pos="680"/>
        </w:tabs>
        <w:spacing w:before="240" w:line="260" w:lineRule="exact"/>
        <w:jc w:val="both"/>
        <w:rPr>
          <w:sz w:val="22"/>
        </w:rPr>
      </w:pPr>
      <w:r>
        <w:rPr>
          <w:sz w:val="22"/>
        </w:rPr>
        <w:t>587.</w:t>
      </w:r>
      <w:r>
        <w:rPr>
          <w:sz w:val="22"/>
        </w:rPr>
        <w:tab/>
        <w:t>Отсутствие ясной кредитной политики для женщин сделало доступ женщин-крестьянок к кредитованию еще более трудным. Помимо их принадлежности к женскому полу свою роль сыграло и их социальное положение – малые и средние сельскохозяйственные производители. Учреждения, которые демонстрируют отсутствие кредитной политики, предназначенной для женщин, не признают существующего между мужчинами и женщинами неравенства в вопросах доступа к владению землей, собственностью и другими средствами производства (в данном конкретном случае – к кредитам), к которым женщины традиционно не имели доступа. Подобный подход, исключающий интересы женщин при формировании кредитной политики, отвечает условиям рынка, которым подчиняется деятельность большинства банковских и не только банковских учреждений (КНТМК).</w:t>
      </w:r>
    </w:p>
    <w:p w:rsidR="00000000" w:rsidRDefault="00000000">
      <w:pPr>
        <w:pStyle w:val="BodyText"/>
        <w:tabs>
          <w:tab w:val="left" w:pos="680"/>
        </w:tabs>
        <w:spacing w:before="240" w:line="260" w:lineRule="exact"/>
        <w:rPr>
          <w:sz w:val="22"/>
        </w:rPr>
      </w:pPr>
      <w:r>
        <w:rPr>
          <w:sz w:val="22"/>
        </w:rPr>
        <w:t>588.</w:t>
      </w:r>
      <w:r>
        <w:rPr>
          <w:sz w:val="22"/>
        </w:rPr>
        <w:tab/>
        <w:t>Другим моментом, характеризующим положение дел с кредитами в отношении женщин, является тенденция к быстрому сокращению количества альтернативных программ по безвозвратным кредитам, осуществляемых при международном сотрудничестве, а также то, что сельские труженицы наиболее часто берут именно такие кредиты (КНТМК, 1999 год).</w:t>
      </w:r>
    </w:p>
    <w:p w:rsidR="00000000" w:rsidRDefault="00000000">
      <w:pPr>
        <w:tabs>
          <w:tab w:val="left" w:pos="680"/>
        </w:tabs>
        <w:spacing w:before="240" w:line="260" w:lineRule="exact"/>
        <w:jc w:val="both"/>
        <w:rPr>
          <w:sz w:val="22"/>
        </w:rPr>
      </w:pPr>
      <w:r>
        <w:rPr>
          <w:sz w:val="22"/>
        </w:rPr>
        <w:t>589.</w:t>
      </w:r>
      <w:r>
        <w:rPr>
          <w:sz w:val="22"/>
        </w:rPr>
        <w:tab/>
      </w:r>
      <w:r>
        <w:rPr>
          <w:spacing w:val="-2"/>
          <w:sz w:val="22"/>
        </w:rPr>
        <w:t>Выделив затрудненность доступа женщин к сельскому или производственному финансированию как одну из наиболее важных и насущных проблем, Национальный координационный совет по работе с сельскими труженицами (</w:t>
      </w:r>
      <w:r>
        <w:rPr>
          <w:sz w:val="22"/>
        </w:rPr>
        <w:t>КНТМК</w:t>
      </w:r>
      <w:r>
        <w:rPr>
          <w:spacing w:val="-2"/>
          <w:sz w:val="22"/>
        </w:rPr>
        <w:t>) подготовил проект Системы финансирования развития сельских районов (СФДР). Эта система должна предусматривать особые условия получения кредитов для женщин – участниц сельскохозяйственного производства, устанавливая равновесие между принципом социальной солидарности (с учетом потребностей женщин – участниц сельскохозяйственного производства) и экономической устойчивостью (финансовой эффективностью). Данная система финансирования не должна ставить основной целью получение прибыли, должна быть адаптирована к потребностям женщин – участниц сельскохозяйственного производства, и</w:t>
      </w:r>
      <w:r>
        <w:rPr>
          <w:sz w:val="22"/>
        </w:rPr>
        <w:t xml:space="preserve"> осуществляться с привлечением сельских женщин и их организаций (</w:t>
      </w:r>
      <w:r>
        <w:rPr>
          <w:sz w:val="22"/>
          <w:lang w:val="en-US"/>
        </w:rPr>
        <w:t>Bonilla</w:t>
      </w:r>
      <w:r>
        <w:rPr>
          <w:sz w:val="22"/>
        </w:rPr>
        <w:t xml:space="preserve"> </w:t>
      </w:r>
      <w:r>
        <w:rPr>
          <w:sz w:val="22"/>
          <w:lang w:val="en-US"/>
        </w:rPr>
        <w:t>Leivia</w:t>
      </w:r>
      <w:r>
        <w:rPr>
          <w:sz w:val="22"/>
        </w:rPr>
        <w:t>, 2001).</w:t>
      </w:r>
    </w:p>
    <w:p w:rsidR="00000000" w:rsidRDefault="00000000">
      <w:pPr>
        <w:tabs>
          <w:tab w:val="left" w:pos="680"/>
        </w:tabs>
        <w:spacing w:before="240" w:line="260" w:lineRule="exact"/>
        <w:jc w:val="both"/>
        <w:rPr>
          <w:spacing w:val="-4"/>
          <w:sz w:val="22"/>
        </w:rPr>
      </w:pPr>
      <w:r>
        <w:rPr>
          <w:sz w:val="22"/>
        </w:rPr>
        <w:t>590.</w:t>
      </w:r>
      <w:r>
        <w:rPr>
          <w:sz w:val="22"/>
        </w:rPr>
        <w:tab/>
      </w:r>
      <w:r>
        <w:rPr>
          <w:spacing w:val="-4"/>
          <w:sz w:val="22"/>
        </w:rPr>
        <w:t>Обеспечение сельским женщинам доступа к производственным ресурсам рассматривается как неотъемлемая часть развития сельских районов, в котором женщины призваны принимать самое активное участие. В этой связи удалось разработать различные стратегии поддержки сельских женщин в таких ключевых областях, как доступ к земле и природным ресурсам и контроль за их использованием, к сельскому финансированию, к услугам по передаче технологий, а также к возможностям получения профессиональной подготовки. Тем не менее предстоит еще многое сделать для обеспечения им равноправного доступа к рынкам труда (сельскохозяйственному и несельскохозяйственному), к государственным службам маркетинга и агропромышленности. Обеспечение доступа женщин к этим возможностям считается необходимым условием для того, чтобы их производственная деятельность вошла в национальные планы по реструктуризации производства, а также для того, чтобы эта деятельность стала конкурентоспособной и устойчивой. В настоящий момент прилагаются усилия с целью осветить и подчеркнуть производственную и репродуктивную роли сельских женщин в экономической отчетности, а также включить их деятельность в национальные счета и на этой основе расширить охват системы социального страхования, с тем чтобы она включала всех сельских женщин (медицинское и пенсионное страхование, пенсии по инвалидности и старости, пособия на похороны и т. д.) (ИНАМУ, 2000 год).</w:t>
      </w:r>
    </w:p>
    <w:p w:rsidR="00000000" w:rsidRDefault="00000000">
      <w:pPr>
        <w:pStyle w:val="BodyTextIndent3"/>
        <w:tabs>
          <w:tab w:val="left" w:pos="680"/>
        </w:tabs>
        <w:spacing w:line="260" w:lineRule="exact"/>
        <w:ind w:left="0" w:firstLine="0"/>
      </w:pPr>
      <w:r>
        <w:t>591.</w:t>
      </w:r>
      <w:r>
        <w:tab/>
        <w:t>Среди конкретных стратегических мероприятий, направленных на обеспечение доступа женщин на рынки ресурсов и услуг, можно отметить обеспечение женщинам в первоочередном порядке доступа к кредитным и земельным фондам, создаваемым во всех районах, а также гарантирование информационного и технического содействия со стороны государства с целью дать им возможность участвовать в рынке (</w:t>
      </w:r>
      <w:r>
        <w:rPr>
          <w:lang w:val="en-US"/>
        </w:rPr>
        <w:t>Blanco</w:t>
      </w:r>
      <w:r>
        <w:t xml:space="preserve"> и др., 2001).</w:t>
      </w:r>
    </w:p>
    <w:p w:rsidR="00000000" w:rsidRDefault="00000000">
      <w:pPr>
        <w:pStyle w:val="BodyTextIndent3"/>
        <w:tabs>
          <w:tab w:val="left" w:pos="680"/>
        </w:tabs>
        <w:spacing w:line="260" w:lineRule="exact"/>
        <w:ind w:left="0" w:firstLine="0"/>
      </w:pPr>
      <w:r>
        <w:t>592.</w:t>
      </w:r>
      <w:r>
        <w:tab/>
        <w:t>Политика Коста-Рики в области сельского хозяйства строится с учетом того, что "для модернизации кредитных систем необходимо проверять, соответствуют ли действующие условия обеспечению равного доступа для женщин, молодежи и коренного населения" (СЕПСА, 1999 год). В этих целях планируется создание Программы сельского кредитования, "которая гарантировала бы женщинам – участницам сельскохозяйственного производства доступ к своевременному и отвечающему их потребностям кредиту и предусматривала бы в то же время достаточно гибкую систему требований, позволяющую создать равноправные условия доступа женщин к программам финансирования" (СЕПСА, 1999 год).</w:t>
      </w:r>
    </w:p>
    <w:p w:rsidR="00000000" w:rsidRDefault="00000000">
      <w:pPr>
        <w:tabs>
          <w:tab w:val="left" w:pos="680"/>
        </w:tabs>
        <w:spacing w:before="240" w:line="260" w:lineRule="exact"/>
        <w:jc w:val="both"/>
        <w:rPr>
          <w:sz w:val="22"/>
        </w:rPr>
      </w:pPr>
      <w:r>
        <w:rPr>
          <w:sz w:val="22"/>
        </w:rPr>
        <w:t>593.</w:t>
      </w:r>
      <w:r>
        <w:rPr>
          <w:sz w:val="22"/>
        </w:rPr>
        <w:tab/>
        <w:t>Отраслевой план действий в области сельского хозяйства и развития сельских районов (Министерства сельского хозяйства и животноводства) предусматривает, среди прочих мер, проверку и установление таких правил получения кредитов на финансирование различных производственных проектов, которые обеспечивали бы доступ к ним сельских женщин и сельской молодежи. Кроме того, в этих целях были заключены соглашения с различными банковскими организациями (</w:t>
      </w:r>
      <w:r>
        <w:rPr>
          <w:sz w:val="22"/>
          <w:lang w:val="en-US"/>
        </w:rPr>
        <w:t>Sector</w:t>
      </w:r>
      <w:r>
        <w:rPr>
          <w:sz w:val="22"/>
        </w:rPr>
        <w:t xml:space="preserve"> </w:t>
      </w:r>
      <w:r>
        <w:rPr>
          <w:sz w:val="22"/>
          <w:lang w:val="en-US"/>
        </w:rPr>
        <w:t>Agropecuario</w:t>
      </w:r>
      <w:r>
        <w:rPr>
          <w:sz w:val="22"/>
        </w:rPr>
        <w:t xml:space="preserve">, 1999). </w:t>
      </w:r>
    </w:p>
    <w:p w:rsidR="00000000" w:rsidRDefault="00000000">
      <w:pPr>
        <w:pStyle w:val="BodyText"/>
        <w:tabs>
          <w:tab w:val="left" w:pos="680"/>
        </w:tabs>
        <w:spacing w:before="240" w:line="260" w:lineRule="exact"/>
        <w:rPr>
          <w:sz w:val="22"/>
        </w:rPr>
      </w:pPr>
      <w:r>
        <w:rPr>
          <w:sz w:val="22"/>
        </w:rPr>
        <w:t>594.</w:t>
      </w:r>
      <w:r>
        <w:rPr>
          <w:sz w:val="22"/>
        </w:rPr>
        <w:tab/>
        <w:t>В процессе преобразования и модернизации организаций аграрного сектора основной стратегический акцент в целях достижения гендерного равенства должен быть сделан по крайней мере на три аспекта (</w:t>
      </w:r>
      <w:r>
        <w:rPr>
          <w:sz w:val="22"/>
          <w:lang w:val="en-US"/>
        </w:rPr>
        <w:t>Blanco</w:t>
      </w:r>
      <w:r>
        <w:rPr>
          <w:sz w:val="22"/>
        </w:rPr>
        <w:t xml:space="preserve"> и др., 2001): разработка политики, организационная структура и управление людскими ресурсами. </w:t>
      </w:r>
    </w:p>
    <w:p w:rsidR="00000000" w:rsidRDefault="00000000">
      <w:pPr>
        <w:tabs>
          <w:tab w:val="left" w:pos="680"/>
        </w:tabs>
        <w:spacing w:before="240" w:line="260" w:lineRule="exact"/>
        <w:jc w:val="both"/>
        <w:rPr>
          <w:sz w:val="22"/>
        </w:rPr>
      </w:pPr>
      <w:r>
        <w:rPr>
          <w:sz w:val="22"/>
        </w:rPr>
        <w:t>595.</w:t>
      </w:r>
      <w:r>
        <w:rPr>
          <w:sz w:val="22"/>
        </w:rPr>
        <w:tab/>
        <w:t>В связи с разработкой политики в области гендерного равенства в Коста-Рике имеется стратегический документ, предназначенный для сектора сельскохозяйственного производства, в котором нашел отражение гендерный аспект. В соответствии с административным распоряжением № 28484-MAG-MEP-MTSS-S-CM Министерство сельского хозяйства и животноводства подписало соглашение с Национальным институтом по делам женщин, в котором были установлены механизмы, обеспечивающие включение гендерного подхода в регулярную деятельность организаций сельскохозяйственного сектора. Был разработан План стратегических действий, способствующих решительному внедрению гендерного подхода во всех семи государственных структурах этого сектора. В сотрудничестве с ФАО было скоординировано финансирование консультативной службы для определения гендерных показателей в аграрном секторе. Этот документ был официально представлен руководству сектора и министру по делам женщин и принят 30 августа 2000 года.</w:t>
      </w:r>
    </w:p>
    <w:p w:rsidR="00000000" w:rsidRDefault="00000000">
      <w:pPr>
        <w:tabs>
          <w:tab w:val="left" w:pos="680"/>
        </w:tabs>
        <w:spacing w:before="240" w:line="260" w:lineRule="exact"/>
        <w:jc w:val="both"/>
        <w:rPr>
          <w:sz w:val="22"/>
        </w:rPr>
      </w:pPr>
      <w:r>
        <w:rPr>
          <w:sz w:val="22"/>
        </w:rPr>
        <w:t>596.</w:t>
      </w:r>
      <w:r>
        <w:rPr>
          <w:sz w:val="22"/>
        </w:rPr>
        <w:tab/>
        <w:t xml:space="preserve">Для выполнения основных задач деятельности государственных учреждений и осуществления политики гендерного равенства требуется действенная структура. В контексте тенденции сокращения государственного аппарата и поиска новых структур едва ли возможно создание нового департамента или иного подразделения для обеспечения равенства женщин и мужчин. Однако именно этот процесс преобразования и может способствовать созданию такого подразделения. Включение гендерного подхода в концепцию деятельности государственных учреждений сможет послужить основанием для создания департамента или организации для внедрения политики равноправия женщин и мужчин на институциональном уровне. Разработанная в Коста-Рике политика для аграрного сектора строится с учетом необходимости корректировки роли учреждений, с тем чтобы противостоять давлению рыночного принципа конкурентоспособности и способствовать включению гендерного аспекта в деятельность в социальной и производственной сферах "для обеспечения устойчивого развития сельских районов". Одной из сторон модернизации сектора является консолидация групп, занимающихся изучением и решением проблем равноправия женщин и мужчин, молодежи и коренного населения (СЕПСА, 1999 год). Во всех учреждениях аграрного сектора были созданы специальные органы по вопросам гендерного равенства и развития. Были также учреждены региональные координационные группы по гендерным вопросам, координирующие деятельность работающих в данной области ведомств. Каждая группа, в свою очередь, назначила по одному представителю от сектора в каждом районе. Создаваемая сеть учреждений поддержки призвана сыграть чрезвычайно важную роль в расширении деятельности по оказанию содействия на региональном уровне женщинам, живущим в сельских районах. Распоряжением № 28484-MAG-MEP-MTSS-S-CM от 21 февраля 2000 года были созданы политико-технические комиссии высокого уровня, задачей которых является ориентирование деятельности на учет гендерной проблематики всеми учреждениями в пределах их соответствующей компетенции и круга ведения. Одна из таких комиссий действует на базе Министерства сельского хозяйства и животноводства. </w:t>
      </w:r>
    </w:p>
    <w:p w:rsidR="00000000" w:rsidRDefault="00000000">
      <w:pPr>
        <w:tabs>
          <w:tab w:val="left" w:pos="680"/>
        </w:tabs>
        <w:spacing w:before="240" w:line="260" w:lineRule="exact"/>
        <w:jc w:val="both"/>
        <w:rPr>
          <w:sz w:val="22"/>
        </w:rPr>
      </w:pPr>
      <w:r>
        <w:rPr>
          <w:sz w:val="22"/>
        </w:rPr>
        <w:t>597.</w:t>
      </w:r>
      <w:r>
        <w:rPr>
          <w:sz w:val="22"/>
        </w:rPr>
        <w:tab/>
        <w:t>Опыт показывает, что основным элементом достижения положительной динамики в обеспечении гендерного равенства является профессиональная подготовка кадров с уделением особого внимания гендерной проблематике. В Коста-Рике в политике по аграрному сектору четко поставлена задача более активно развивать людские ресурсы: "Главным элементом процесса преобразования людских ресурсов должен стать новый взгляд на сельское хозяйство на основе ясного понимания взаимосвязи между сельским хозяйством и остальными отраслями экономики, а также его активной роли в развитии сельских районов. Таким образом, действия того или иного административного органа в области людских ресурсов будут направлены на создание программы с целью формирования, подготовки и совершенствования людских ресурсов, которые необходимы стране для руководства процессом развития сельскохозяйственного производства и сельских районов и эффективного участия в нем" (СЕПСА, 1999 год). В поддержку этой политики ИНАМУ в сотрудничестве с Национальным производственным советом и Институтом сельскохозяйственного развития (ИДА) составил программу подготовки работников сектора по таким основополагающим вопросам, как стратегическое планирование с учетом гендерных аспектов, мужчина и его роль в сельском хозяйстве, сельское хозяйство нового типа, признающее вклад женщин и их потребности. Программа была профинансирована Организацией американских государств. В ее рамках был разработан и опубликован документ, содержащий нормы национального сельскохозяйственного законодательства и информацию об услугах, предоставляемых женщинам государственными учреждениями. Гендерный подход был также включен в правовые инструменты, касающиеся процедуры передачи земель, осуществляемой ИДА.</w:t>
      </w:r>
    </w:p>
    <w:p w:rsidR="00000000" w:rsidRDefault="00000000">
      <w:pPr>
        <w:pStyle w:val="BodyText"/>
        <w:tabs>
          <w:tab w:val="left" w:pos="680"/>
        </w:tabs>
        <w:spacing w:before="240" w:line="260" w:lineRule="exact"/>
        <w:rPr>
          <w:sz w:val="22"/>
        </w:rPr>
      </w:pPr>
      <w:r>
        <w:rPr>
          <w:sz w:val="22"/>
        </w:rPr>
        <w:t>598.</w:t>
      </w:r>
      <w:r>
        <w:rPr>
          <w:sz w:val="22"/>
        </w:rPr>
        <w:tab/>
        <w:t xml:space="preserve">Секторальный план действий в области гендерной политики включает профессиональную подготовку государственных служащих по вопросам, связанным с включением гендерных аспектов в сферу их деятельности, а также с устранением стереотипов при отборе персонала. С другой стороны, план предусматривает профессиональную подготовку сельских женщин и молодежи в вопросах интеграции в рыночные процессы (Аграрный сектор: Секторальный план действий в области гендерной политики, 1999–2000 годы). </w:t>
      </w:r>
    </w:p>
    <w:p w:rsidR="00000000" w:rsidRDefault="00000000">
      <w:pPr>
        <w:tabs>
          <w:tab w:val="left" w:pos="680"/>
        </w:tabs>
        <w:spacing w:before="240" w:line="260" w:lineRule="exact"/>
        <w:jc w:val="both"/>
        <w:rPr>
          <w:sz w:val="22"/>
        </w:rPr>
      </w:pPr>
      <w:r>
        <w:rPr>
          <w:sz w:val="22"/>
        </w:rPr>
        <w:t>599.</w:t>
      </w:r>
      <w:r>
        <w:rPr>
          <w:sz w:val="22"/>
        </w:rPr>
        <w:tab/>
        <w:t>В рамках осуществления Секторального плана действий в области гендерной политики совместно с Фондом Фридриха Эберта была подготовлена серия лекций с целью разъяснения важности учета гендерных аспектов, предназначенных для районных ведомственных комитетов (в состав которых входили руководители региональных учреждений аграрного сектора). В подготовке и чтении некоторых лекций приняли участие руководители Объединенного института социальной помощи (ИМАС), Национального института профессионального обучения (ИНА), Министерства окружающей среды и энергетики. Кроме того, было предложено организовать профессиональную подготовку районных специалистов в плане разработки проектов с учетом гендерного подхода – для группы из 31 женщины, которые возглавляют различные сельские организации, по таким темам, как организация, самоуправление, разработка предварительных проектов, планирование и т. п., а также профессиональную подготовку по учебным модулям "На пути к равноправию" (Международный союз охраны природы – Фонд Ариас за мир и прогресс человечества) руководителей восьми национальных координационных советов. В рамках проекта "Подготовка женщин-руководителей в сельских районах по гендерным вопросам и устойчивому развитию", финансирование которой взяла на себя ОАГ, 35 женщин прошли подготовку по вопросам сельского хозяйства нового типа в Латинской Америке с целью расширения их возможностей в отстаивании интересов женщин в ходе их работы в качестве руководителей социальных учреждений в сельских районах.</w:t>
      </w:r>
    </w:p>
    <w:p w:rsidR="00000000" w:rsidRDefault="00000000">
      <w:pPr>
        <w:tabs>
          <w:tab w:val="left" w:pos="680"/>
        </w:tabs>
        <w:spacing w:before="240" w:line="260" w:lineRule="exact"/>
        <w:jc w:val="both"/>
        <w:rPr>
          <w:spacing w:val="-2"/>
          <w:sz w:val="22"/>
        </w:rPr>
      </w:pPr>
      <w:r>
        <w:rPr>
          <w:sz w:val="22"/>
        </w:rPr>
        <w:t>600.</w:t>
      </w:r>
      <w:r>
        <w:rPr>
          <w:sz w:val="22"/>
        </w:rPr>
        <w:tab/>
      </w:r>
      <w:r>
        <w:rPr>
          <w:spacing w:val="-2"/>
          <w:sz w:val="22"/>
        </w:rPr>
        <w:t>С другой стороны, замена политики, основанной на комплексном подходе к вопросам бедности, отдельными целевыми мероприятиями, а также отсутствие ясности в содержании стратегий устойчивого развития сельских районов объясняют необходимость обратить внимание на два центральных стратегических направления для успешного продвижения по пути гендерного равенства. Во-первых, необходимы мероприятия, которые позволили бы четко определить направления для обеспечения приоритетного доступа женщин к финансовым и техническим ресурсам, распределяемым среди сельского населения в ходе проведения целевых мероприятий. Во-вторых, увеличение числа и повышение качества стратегий развития сельских районов подразумевают три обязательных направления деятельности: расширение мероприятий по привлечению женщин к участию в процессах принятия решений внутри аграрного сектора; меры по децентрализации процесса принятия решений; и вовлечение гражданского общества в развитие сельских районов (</w:t>
      </w:r>
      <w:r>
        <w:rPr>
          <w:spacing w:val="-2"/>
          <w:sz w:val="22"/>
          <w:lang w:val="en-US"/>
        </w:rPr>
        <w:t>Blanc</w:t>
      </w:r>
      <w:r>
        <w:rPr>
          <w:spacing w:val="-2"/>
          <w:sz w:val="22"/>
        </w:rPr>
        <w:t>о и др., 2001).</w:t>
      </w:r>
    </w:p>
    <w:p w:rsidR="00000000" w:rsidRDefault="00000000">
      <w:pPr>
        <w:tabs>
          <w:tab w:val="left" w:pos="680"/>
        </w:tabs>
        <w:spacing w:before="240" w:line="260" w:lineRule="exact"/>
        <w:jc w:val="both"/>
        <w:rPr>
          <w:sz w:val="22"/>
        </w:rPr>
      </w:pPr>
      <w:r>
        <w:rPr>
          <w:sz w:val="22"/>
        </w:rPr>
        <w:t>601.</w:t>
      </w:r>
      <w:r>
        <w:rPr>
          <w:sz w:val="22"/>
        </w:rPr>
        <w:tab/>
        <w:t xml:space="preserve">Согласно аграрной политике Коста-Рики, "организации аграрного сектора должны стремиться к включению в свою рабочую повестку дня защиту интересов сельской семьи с учетом разницы в потребностях совершеннолетних женщин и мужчин, сосуществование или сожительство которых может быть или не быть оформленным, участия в профессиональной подготовке, принятии решений, избрании на руководящие должности, с тем чтобы проводить в жизнь принципы равноправия и равенства возможностей женщин и мужчин" (СЕПСА, 1999 год). Кроме того "откроется возможность непосредственного вовлечения представителей сельских женщин, и в первую очередь женщин из числа организованных участников сельскохозяйственного производства, к работе различных государственных учреждений, принимающих на всех уровнях (местном, региональном и общенациональном) решения, имеющие значение для развития сельских районов (СЕПСА, 1999 год). </w:t>
      </w:r>
    </w:p>
    <w:p w:rsidR="00000000" w:rsidRDefault="00000000">
      <w:pPr>
        <w:pStyle w:val="BodyTextIndent3"/>
        <w:tabs>
          <w:tab w:val="left" w:pos="680"/>
        </w:tabs>
        <w:spacing w:line="260" w:lineRule="exact"/>
        <w:ind w:left="0" w:firstLine="0"/>
      </w:pPr>
      <w:r>
        <w:t>602.</w:t>
      </w:r>
      <w:r>
        <w:tab/>
        <w:t xml:space="preserve">За время действия двух последних правительственных кабинетов в качестве главного и непременного требования для доступа к услугам, предоставляемым учреждениями аграрного сектора, было определено обязательное развитие женщинами и мужчинами, занятыми в сельскохозяйственном производстве, своих собственных объединений. Тем не менее в этой области нет специальной ведомственной программы, которая способствовала бы объединению сельских производителей и тем более объединению женщин, занятых в сельскохозяйственном производстве. Очевидно, что в этом направлении не было достигнуто никакого прогресса, даже в отношении крестьянских поселений. Для достижения этой цели необходимо дать импульс конкретным мероприятиям. Нужно, таким образом, способствовать не определению женщин как части населения, являющейся бенефициаром программ реструктуризации производства, которые ограничиваются областью кредитов, маркетинга, агропромышленности, новых технологий и др., зачастую упуская из виду цели, связанные с достижением эффективности и конкурентоспособности деятельности женщин, занятых в сельскохозяйственном производстве. Последнее является нарушением положений Закона о реструктуризации производства (статья 3 и пункт m статьи 5), а также Закона о содействии социальному равенству женщин, который обязывает государство обеспечивать женщинам равные с мужчинами права (статья 1) в экономической и социальной областях. </w:t>
      </w:r>
    </w:p>
    <w:p w:rsidR="00000000" w:rsidRDefault="00000000">
      <w:pPr>
        <w:tabs>
          <w:tab w:val="left" w:pos="680"/>
        </w:tabs>
        <w:spacing w:before="240" w:line="260" w:lineRule="exact"/>
        <w:jc w:val="both"/>
        <w:rPr>
          <w:sz w:val="22"/>
        </w:rPr>
      </w:pPr>
      <w:r>
        <w:rPr>
          <w:sz w:val="22"/>
        </w:rPr>
        <w:t>603.</w:t>
      </w:r>
      <w:r>
        <w:rPr>
          <w:sz w:val="22"/>
        </w:rPr>
        <w:tab/>
        <w:t>Несмотря на все предписания, содержащиеся в вышеупомянутых документах, предстоит еще многое сделать для осуществления необходимых мер на практике, и в первую очередь для того, чтобы эти стратегии нашли своих конкретных исполнителей и стали частью деятельности уполномоченных организаций и учреждений аграрного сектора.</w:t>
      </w:r>
    </w:p>
    <w:p w:rsidR="00000000" w:rsidRDefault="00000000">
      <w:pPr>
        <w:pStyle w:val="BodyTextIndent3"/>
        <w:tabs>
          <w:tab w:val="left" w:pos="680"/>
        </w:tabs>
        <w:spacing w:line="260" w:lineRule="exact"/>
        <w:ind w:left="0" w:firstLine="0"/>
      </w:pPr>
      <w:r>
        <w:t>604.</w:t>
      </w:r>
      <w:r>
        <w:tab/>
        <w:t xml:space="preserve">Проект "Процессы политического участия в содействии осуществлению принципа гендерного равенства в области управления сельским хозяйством и охраны окружающей среды в Центральной Америке" (Международный союз охраны природы – Фонд Ариас за мир и прогресс человечества), начатый в 2000 году, направлен на то, чтобы положить начало процессу изучения и обсуждения данной тематики в министерствах, а также созданию национальных механизмов в аграрном секторе Центральноамериканского региона, которые позволят намечать и осуществлять стратегии учета гендерных аспектов в качестве одной из обязанностей государства и составной части деятельности государственных учреждений. </w:t>
      </w:r>
    </w:p>
    <w:p w:rsidR="00000000" w:rsidRDefault="00000000">
      <w:pPr>
        <w:tabs>
          <w:tab w:val="left" w:pos="680"/>
        </w:tabs>
        <w:spacing w:before="240" w:line="260" w:lineRule="exact"/>
        <w:jc w:val="both"/>
        <w:rPr>
          <w:sz w:val="22"/>
        </w:rPr>
      </w:pPr>
      <w:r>
        <w:rPr>
          <w:sz w:val="22"/>
        </w:rPr>
        <w:t>605.</w:t>
      </w:r>
      <w:r>
        <w:rPr>
          <w:sz w:val="22"/>
        </w:rPr>
        <w:tab/>
        <w:t xml:space="preserve">В этой связи ИНАМУ при поддержке Международного союза охраны природы – Фонда Ариас за мир и прогресс человечества удалось дать импульс программному документу сельских женщин, разработанному женскими объединениями, а также поддержать составление базового плана действий этих объединений, куда была включена разработка стратегических мер, которые должны дорабатываться и развиваться государственными учреждениями аграрного сектора. </w:t>
      </w:r>
    </w:p>
    <w:p w:rsidR="00000000" w:rsidRDefault="00000000">
      <w:pPr>
        <w:tabs>
          <w:tab w:val="left" w:pos="680"/>
        </w:tabs>
        <w:spacing w:line="260" w:lineRule="exact"/>
        <w:jc w:val="both"/>
        <w:rPr>
          <w:sz w:val="22"/>
        </w:rPr>
      </w:pPr>
    </w:p>
    <w:p w:rsidR="00000000" w:rsidRDefault="00000000">
      <w:pPr>
        <w:pStyle w:val="BodyTextIndent"/>
        <w:tabs>
          <w:tab w:val="left" w:pos="680"/>
        </w:tabs>
        <w:spacing w:line="260" w:lineRule="exact"/>
        <w:ind w:firstLine="0"/>
        <w:rPr>
          <w:b/>
          <w:i w:val="0"/>
          <w:sz w:val="22"/>
        </w:rPr>
      </w:pPr>
      <w:r>
        <w:rPr>
          <w:b/>
          <w:i w:val="0"/>
          <w:sz w:val="22"/>
        </w:rPr>
        <w:t>Опыт Министерства энергетики и охраны окружающей среды (МИНАЭ)</w:t>
      </w:r>
    </w:p>
    <w:p w:rsidR="00000000" w:rsidRDefault="00000000">
      <w:pPr>
        <w:tabs>
          <w:tab w:val="left" w:pos="680"/>
        </w:tabs>
        <w:spacing w:before="240" w:line="260" w:lineRule="exact"/>
        <w:jc w:val="both"/>
        <w:rPr>
          <w:sz w:val="22"/>
        </w:rPr>
      </w:pPr>
      <w:r>
        <w:rPr>
          <w:sz w:val="22"/>
        </w:rPr>
        <w:t>606.</w:t>
      </w:r>
      <w:r>
        <w:rPr>
          <w:sz w:val="22"/>
        </w:rPr>
        <w:tab/>
        <w:t>В 1996 году Управление по делам женщин Министерства энергетики и охраны окружающей среды приняло Программу помощи крестьянам, занятым в лесном хозяйстве (ДЕКАФОР), и выделило людские и материальные ресурсы для обеспечения ее успешной работы. Управление по делам женщин Министерства в рамках осуществления программы ДЕКАФОР выполняло следующую работу: меры по продвижению планов действий с учетом гендерного подхода в Национальной системе охраняемых природных зон; выработка плана обучения и профессиональной подготовки женщин, живущих в сельской местности; оценка общей организационной и производственной ситуации в отношении женских объединений; профессиональная подготовка государственных служащих Министерства энергетики и охраны окружающей среды; подготовка учебных материалов (</w:t>
      </w:r>
      <w:r>
        <w:rPr>
          <w:sz w:val="22"/>
          <w:lang w:val="en-US"/>
        </w:rPr>
        <w:t>Aguilar</w:t>
      </w:r>
      <w:r>
        <w:rPr>
          <w:sz w:val="22"/>
        </w:rPr>
        <w:t xml:space="preserve"> и др., 1999).</w:t>
      </w:r>
    </w:p>
    <w:p w:rsidR="00000000" w:rsidRDefault="00000000">
      <w:pPr>
        <w:tabs>
          <w:tab w:val="left" w:pos="680"/>
        </w:tabs>
        <w:spacing w:before="240" w:line="260" w:lineRule="exact"/>
        <w:jc w:val="both"/>
        <w:rPr>
          <w:sz w:val="22"/>
        </w:rPr>
      </w:pPr>
      <w:r>
        <w:rPr>
          <w:sz w:val="22"/>
        </w:rPr>
        <w:t>607.</w:t>
      </w:r>
      <w:r>
        <w:rPr>
          <w:sz w:val="22"/>
        </w:rPr>
        <w:tab/>
        <w:t>Начиная с 1998 года под руководством министра Элизабет Одио Бенито Управление по делам женщин при Министерстве энергетики и охраны окружающей среды было преобразовано в Управление по гендерным вопросам в области охраны окружающей среды, круг полномочий которого значительно расширился. Сфера деятельности управления охватила помимо Национальной системы охраняемых природных зон все управления, входящие в состав Министерства энергетики и охраны окружающей среды. Цель расширения – включение гендерного подхода во все сферы деятельности Министерства. В этом контексте была начата инициатива Международного союза охраны природы с целью "разработки стратегий гендерного равенства в руководящих структурах сектора окружающей среды в Центральной Америке", которая позволила определить правовые рамки деятельности Управления и переориентировать эту деятельность на более глобальный стратегический подход (</w:t>
      </w:r>
      <w:r>
        <w:rPr>
          <w:sz w:val="22"/>
          <w:lang w:val="en-US"/>
        </w:rPr>
        <w:t>Aguilar</w:t>
      </w:r>
      <w:r>
        <w:rPr>
          <w:sz w:val="22"/>
        </w:rPr>
        <w:t xml:space="preserve"> и др., 1999).</w:t>
      </w:r>
    </w:p>
    <w:p w:rsidR="00000000" w:rsidRDefault="00000000">
      <w:pPr>
        <w:pStyle w:val="BodyText"/>
        <w:tabs>
          <w:tab w:val="left" w:pos="680"/>
        </w:tabs>
        <w:spacing w:before="240" w:line="260" w:lineRule="exact"/>
        <w:rPr>
          <w:sz w:val="22"/>
        </w:rPr>
      </w:pPr>
      <w:r>
        <w:rPr>
          <w:sz w:val="22"/>
        </w:rPr>
        <w:t>608.</w:t>
      </w:r>
      <w:r>
        <w:rPr>
          <w:sz w:val="22"/>
        </w:rPr>
        <w:tab/>
        <w:t>Административным распоряжением от 14 октября 1998 года Министерство энергетики и охраны окружающей среды официально объявило о своем политическом решении включить гендерную проблематику в сферу своей обычной деятельности (</w:t>
      </w:r>
      <w:r>
        <w:rPr>
          <w:sz w:val="22"/>
          <w:lang w:val="en-US"/>
        </w:rPr>
        <w:t>Aguilar</w:t>
      </w:r>
      <w:r>
        <w:rPr>
          <w:sz w:val="22"/>
        </w:rPr>
        <w:t xml:space="preserve"> и др., 1999). Таким образом, МИНАЭ взяло на себя обязательство по интеграции гендерной проблематики, с тем чтобы теме равенства женщин и мужчин постоянно уделялось внимание в политике, законодательстве, регламентирующих нормах, стратегиях, в изучении окружающей среды, в процессах планирования и при принятии различных мер по развитию и охране природных зон по линии МИНАЭ (</w:t>
      </w:r>
      <w:r>
        <w:rPr>
          <w:sz w:val="22"/>
          <w:lang w:val="en-US"/>
        </w:rPr>
        <w:t>Aguilar</w:t>
      </w:r>
      <w:r>
        <w:rPr>
          <w:sz w:val="22"/>
        </w:rPr>
        <w:t xml:space="preserve"> и др., 1999).</w:t>
      </w:r>
    </w:p>
    <w:p w:rsidR="00000000" w:rsidRDefault="00000000">
      <w:pPr>
        <w:tabs>
          <w:tab w:val="left" w:pos="680"/>
        </w:tabs>
        <w:spacing w:before="240" w:line="260" w:lineRule="exact"/>
        <w:jc w:val="both"/>
        <w:rPr>
          <w:sz w:val="22"/>
        </w:rPr>
      </w:pPr>
      <w:r>
        <w:rPr>
          <w:sz w:val="22"/>
        </w:rPr>
        <w:t>609.</w:t>
      </w:r>
      <w:r>
        <w:rPr>
          <w:sz w:val="22"/>
        </w:rPr>
        <w:tab/>
        <w:t>Необходимо отметить, что принятие разработанной в МИНАЭ политики, учитывающей гендерный аспект в сфере охраны окружающей среды, позволило помимо подтверждения правомочности действий Управления придать теме гендерного равенства приоритетный характер. Это подтверждается и тем фактом, что гендерная политика была включена в число 13 приоритетных тем, представленных МИНАЭ для Национального плана развития человеческого потенциала (</w:t>
      </w:r>
      <w:r>
        <w:rPr>
          <w:sz w:val="22"/>
          <w:lang w:val="en-US"/>
        </w:rPr>
        <w:t>Aguilar</w:t>
      </w:r>
      <w:r>
        <w:rPr>
          <w:sz w:val="22"/>
        </w:rPr>
        <w:t xml:space="preserve"> и др., 1999). Влияние этой темы сказалось также на общем подходе и на понимании главных задач МИНАЭ, каковыми теперь считаются нижеследующие.</w:t>
      </w:r>
    </w:p>
    <w:p w:rsidR="00000000" w:rsidRDefault="00000000">
      <w:pPr>
        <w:tabs>
          <w:tab w:val="left" w:pos="680"/>
        </w:tabs>
        <w:spacing w:before="240" w:line="260" w:lineRule="exact"/>
        <w:jc w:val="both"/>
        <w:rPr>
          <w:sz w:val="22"/>
        </w:rPr>
      </w:pPr>
      <w:r>
        <w:rPr>
          <w:sz w:val="22"/>
        </w:rPr>
        <w:t>610.</w:t>
      </w:r>
      <w:r>
        <w:rPr>
          <w:sz w:val="22"/>
        </w:rPr>
        <w:tab/>
        <w:t xml:space="preserve">Общий подход в деятельности: МИНАЭ – это играющее стратегическую роль ведомство в области охраны окружающей среды, занимающееся изучением и сохранением природных ресурсов, а также контролем за их рациональным использованием, с современной, рациональной и гибкой структурой, которая обеспечивает сотрудничество государств-участников и учитывает гендерные аспекты, а также принимает активное участие в выполнении международных обязательств. </w:t>
      </w:r>
    </w:p>
    <w:p w:rsidR="00000000" w:rsidRDefault="00000000">
      <w:pPr>
        <w:tabs>
          <w:tab w:val="left" w:pos="680"/>
        </w:tabs>
        <w:spacing w:before="240" w:line="260" w:lineRule="exact"/>
        <w:jc w:val="both"/>
        <w:rPr>
          <w:sz w:val="22"/>
        </w:rPr>
      </w:pPr>
      <w:r>
        <w:rPr>
          <w:sz w:val="22"/>
        </w:rPr>
        <w:t>611.</w:t>
      </w:r>
      <w:r>
        <w:rPr>
          <w:sz w:val="22"/>
        </w:rPr>
        <w:tab/>
        <w:t xml:space="preserve">Главная задача: руководство формулированием политики и разработкой стратегий, проведение мероприятий, связанных с сохранением, развитием и изучением природных ресурсов, а также с контролем за их рациональным использованием с целью улучшения качества жизни женщин и мужчин на территории страны, а также содействие устойчивому развитию человека и оказание рациональных и действенных услуг с учетом принятых международных обязательств. </w:t>
      </w:r>
    </w:p>
    <w:p w:rsidR="00000000" w:rsidRDefault="00000000">
      <w:pPr>
        <w:pStyle w:val="BodyTextIndent3"/>
        <w:numPr>
          <w:ilvl w:val="0"/>
          <w:numId w:val="126"/>
        </w:numPr>
        <w:tabs>
          <w:tab w:val="clear" w:pos="900"/>
          <w:tab w:val="left" w:pos="680"/>
        </w:tabs>
        <w:spacing w:line="260" w:lineRule="exact"/>
        <w:ind w:left="0" w:firstLine="0"/>
      </w:pPr>
      <w:r>
        <w:t>После принятия политики при участии различных служб Министерства был разработан План действий. В общем данный план предусматривает достижение следующих целей (</w:t>
      </w:r>
      <w:r>
        <w:rPr>
          <w:lang w:val="en-US"/>
        </w:rPr>
        <w:t>Aguilar</w:t>
      </w:r>
      <w:r>
        <w:t xml:space="preserve"> и др., 1999):</w:t>
      </w:r>
    </w:p>
    <w:p w:rsidR="00000000" w:rsidRDefault="00000000">
      <w:pPr>
        <w:tabs>
          <w:tab w:val="left" w:pos="340"/>
          <w:tab w:val="left" w:pos="680"/>
        </w:tabs>
        <w:spacing w:before="240" w:line="260" w:lineRule="exact"/>
        <w:ind w:left="340" w:hanging="340"/>
        <w:jc w:val="both"/>
        <w:rPr>
          <w:sz w:val="22"/>
        </w:rPr>
      </w:pPr>
      <w:r>
        <w:rPr>
          <w:sz w:val="22"/>
        </w:rPr>
        <w:sym w:font="Symbol" w:char="F0B7"/>
      </w:r>
      <w:r>
        <w:rPr>
          <w:sz w:val="22"/>
        </w:rPr>
        <w:tab/>
        <w:t>Обеспечение равных условий доступа к службам МИНАЭ для женщин и мужчин в рамках гражданского общества.</w:t>
      </w:r>
    </w:p>
    <w:p w:rsidR="00000000" w:rsidRDefault="00000000">
      <w:pPr>
        <w:tabs>
          <w:tab w:val="left" w:pos="340"/>
          <w:tab w:val="left" w:pos="680"/>
        </w:tabs>
        <w:spacing w:before="240" w:line="260" w:lineRule="exact"/>
        <w:ind w:left="340" w:hanging="340"/>
        <w:jc w:val="both"/>
        <w:rPr>
          <w:sz w:val="22"/>
        </w:rPr>
      </w:pPr>
      <w:r>
        <w:rPr>
          <w:sz w:val="22"/>
        </w:rPr>
        <w:sym w:font="Symbol" w:char="F0B7"/>
      </w:r>
      <w:r>
        <w:rPr>
          <w:sz w:val="22"/>
        </w:rPr>
        <w:tab/>
        <w:t>Создание справедливых и равных условий труда для женщин и мужчин, служащих в учреждениях.</w:t>
      </w:r>
    </w:p>
    <w:p w:rsidR="00000000" w:rsidRDefault="00000000">
      <w:pPr>
        <w:tabs>
          <w:tab w:val="left" w:pos="340"/>
          <w:tab w:val="left" w:pos="680"/>
        </w:tabs>
        <w:spacing w:before="240" w:line="260" w:lineRule="exact"/>
        <w:ind w:left="340" w:hanging="340"/>
        <w:jc w:val="both"/>
        <w:rPr>
          <w:sz w:val="22"/>
        </w:rPr>
      </w:pPr>
      <w:r>
        <w:rPr>
          <w:sz w:val="22"/>
        </w:rPr>
        <w:sym w:font="Symbol" w:char="F0B7"/>
      </w:r>
      <w:r>
        <w:rPr>
          <w:sz w:val="22"/>
        </w:rPr>
        <w:tab/>
        <w:t>Распространение организационной культуры, утверждающей равенство и взаимное уважение между женщинами и мужчинами.</w:t>
      </w:r>
    </w:p>
    <w:p w:rsidR="00000000" w:rsidRDefault="00000000">
      <w:pPr>
        <w:tabs>
          <w:tab w:val="left" w:pos="680"/>
        </w:tabs>
        <w:spacing w:before="240" w:line="260" w:lineRule="exact"/>
        <w:jc w:val="both"/>
        <w:rPr>
          <w:sz w:val="22"/>
        </w:rPr>
      </w:pPr>
      <w:r>
        <w:rPr>
          <w:sz w:val="22"/>
        </w:rPr>
        <w:t>613.</w:t>
      </w:r>
      <w:r>
        <w:rPr>
          <w:sz w:val="22"/>
        </w:rPr>
        <w:tab/>
        <w:t>В число основных мероприятий, предусмотренных в Плане действий, входят следующие (</w:t>
      </w:r>
      <w:r>
        <w:rPr>
          <w:sz w:val="22"/>
          <w:lang w:val="en-US"/>
        </w:rPr>
        <w:t>Aguilar</w:t>
      </w:r>
      <w:r>
        <w:rPr>
          <w:sz w:val="22"/>
        </w:rPr>
        <w:t xml:space="preserve"> и др., 1999): </w:t>
      </w:r>
    </w:p>
    <w:p w:rsidR="00000000" w:rsidRDefault="00000000">
      <w:pPr>
        <w:tabs>
          <w:tab w:val="left" w:pos="340"/>
          <w:tab w:val="left" w:pos="680"/>
        </w:tabs>
        <w:spacing w:before="220" w:line="260" w:lineRule="exact"/>
        <w:ind w:left="340" w:hanging="340"/>
        <w:jc w:val="both"/>
        <w:rPr>
          <w:sz w:val="22"/>
        </w:rPr>
      </w:pPr>
      <w:r>
        <w:rPr>
          <w:sz w:val="22"/>
        </w:rPr>
        <w:sym w:font="Symbol" w:char="F0B7"/>
      </w:r>
      <w:r>
        <w:rPr>
          <w:sz w:val="22"/>
        </w:rPr>
        <w:tab/>
        <w:t>Создание координационной группы для обеспечения связи между различными подразделениями в составе МИНАЭ.</w:t>
      </w:r>
    </w:p>
    <w:p w:rsidR="00000000" w:rsidRDefault="00000000">
      <w:pPr>
        <w:tabs>
          <w:tab w:val="left" w:pos="340"/>
          <w:tab w:val="left" w:pos="680"/>
        </w:tabs>
        <w:spacing w:before="220" w:line="260" w:lineRule="exact"/>
        <w:ind w:left="340" w:hanging="340"/>
        <w:jc w:val="both"/>
        <w:rPr>
          <w:sz w:val="22"/>
        </w:rPr>
      </w:pPr>
      <w:r>
        <w:rPr>
          <w:sz w:val="22"/>
        </w:rPr>
        <w:sym w:font="Symbol" w:char="F0B7"/>
      </w:r>
      <w:r>
        <w:rPr>
          <w:sz w:val="22"/>
        </w:rPr>
        <w:tab/>
        <w:t>Оценка условий труда женщин и мужчин, служащих в МИНАЭ.</w:t>
      </w:r>
    </w:p>
    <w:p w:rsidR="00000000" w:rsidRDefault="00000000">
      <w:pPr>
        <w:tabs>
          <w:tab w:val="left" w:pos="340"/>
          <w:tab w:val="left" w:pos="680"/>
        </w:tabs>
        <w:spacing w:before="220" w:line="260" w:lineRule="exact"/>
        <w:ind w:left="340" w:hanging="340"/>
        <w:jc w:val="both"/>
        <w:rPr>
          <w:sz w:val="22"/>
        </w:rPr>
      </w:pPr>
      <w:r>
        <w:rPr>
          <w:sz w:val="22"/>
        </w:rPr>
        <w:sym w:font="Symbol" w:char="F0B7"/>
      </w:r>
      <w:r>
        <w:rPr>
          <w:sz w:val="22"/>
        </w:rPr>
        <w:tab/>
        <w:t>Привлечение женщин к работе на должностях, связанных с принятием решений.</w:t>
      </w:r>
    </w:p>
    <w:p w:rsidR="00000000" w:rsidRDefault="00000000">
      <w:pPr>
        <w:tabs>
          <w:tab w:val="left" w:pos="340"/>
          <w:tab w:val="left" w:pos="680"/>
        </w:tabs>
        <w:spacing w:before="220" w:line="260" w:lineRule="exact"/>
        <w:ind w:left="340" w:hanging="340"/>
        <w:jc w:val="both"/>
        <w:rPr>
          <w:sz w:val="22"/>
        </w:rPr>
      </w:pPr>
      <w:r>
        <w:rPr>
          <w:sz w:val="22"/>
        </w:rPr>
        <w:sym w:font="Symbol" w:char="F0B7"/>
      </w:r>
      <w:r>
        <w:rPr>
          <w:sz w:val="22"/>
        </w:rPr>
        <w:tab/>
        <w:t>Обеспечение работы Комитета по наблюдению за выполнением Закона о борьбе с сексуальными домогательствами на работе и в учебных заведениях.</w:t>
      </w:r>
    </w:p>
    <w:p w:rsidR="00000000" w:rsidRDefault="00000000">
      <w:pPr>
        <w:tabs>
          <w:tab w:val="left" w:pos="340"/>
          <w:tab w:val="left" w:pos="680"/>
        </w:tabs>
        <w:spacing w:before="220" w:line="260" w:lineRule="exact"/>
        <w:ind w:left="340" w:hanging="340"/>
        <w:jc w:val="both"/>
        <w:rPr>
          <w:sz w:val="22"/>
        </w:rPr>
      </w:pPr>
      <w:r>
        <w:rPr>
          <w:sz w:val="22"/>
        </w:rPr>
        <w:sym w:font="Symbol" w:char="F0B7"/>
      </w:r>
      <w:r>
        <w:rPr>
          <w:sz w:val="22"/>
        </w:rPr>
        <w:tab/>
        <w:t xml:space="preserve">Изучение темы гендерного равенства в сфере деятельности МИНАЭ (систематизация опыта, анализ, методические предложения и т. д.) </w:t>
      </w:r>
    </w:p>
    <w:p w:rsidR="00000000" w:rsidRDefault="00000000">
      <w:pPr>
        <w:tabs>
          <w:tab w:val="left" w:pos="340"/>
          <w:tab w:val="left" w:pos="680"/>
        </w:tabs>
        <w:spacing w:before="220" w:line="260" w:lineRule="exact"/>
        <w:ind w:left="340" w:hanging="340"/>
        <w:jc w:val="both"/>
        <w:rPr>
          <w:sz w:val="22"/>
        </w:rPr>
      </w:pPr>
      <w:r>
        <w:rPr>
          <w:sz w:val="22"/>
        </w:rPr>
        <w:sym w:font="Symbol" w:char="F0B7"/>
      </w:r>
      <w:r>
        <w:rPr>
          <w:sz w:val="22"/>
        </w:rPr>
        <w:tab/>
        <w:t xml:space="preserve">Профессиональная подготовка по вопросам гендерного равенства для служащих МИНАЭ и представителей гражданского общества, связанных с работой Министерства. </w:t>
      </w:r>
    </w:p>
    <w:p w:rsidR="00000000" w:rsidRDefault="00000000">
      <w:pPr>
        <w:tabs>
          <w:tab w:val="left" w:pos="340"/>
          <w:tab w:val="left" w:pos="680"/>
        </w:tabs>
        <w:spacing w:before="220" w:line="260" w:lineRule="exact"/>
        <w:ind w:left="340" w:hanging="340"/>
        <w:jc w:val="both"/>
        <w:rPr>
          <w:sz w:val="22"/>
        </w:rPr>
      </w:pPr>
      <w:r>
        <w:rPr>
          <w:sz w:val="22"/>
        </w:rPr>
        <w:sym w:font="Symbol" w:char="F0B7"/>
      </w:r>
      <w:r>
        <w:rPr>
          <w:sz w:val="22"/>
        </w:rPr>
        <w:tab/>
        <w:t>Проведение разъяснительно-просветительских кампаний по проблеме гендерного равенства.</w:t>
      </w:r>
    </w:p>
    <w:p w:rsidR="00000000" w:rsidRDefault="00000000">
      <w:pPr>
        <w:tabs>
          <w:tab w:val="left" w:pos="340"/>
          <w:tab w:val="left" w:pos="680"/>
        </w:tabs>
        <w:spacing w:before="220" w:line="260" w:lineRule="exact"/>
        <w:ind w:left="340" w:hanging="340"/>
        <w:jc w:val="both"/>
        <w:rPr>
          <w:sz w:val="22"/>
        </w:rPr>
      </w:pPr>
      <w:r>
        <w:rPr>
          <w:sz w:val="22"/>
        </w:rPr>
        <w:sym w:font="Symbol" w:char="F0B7"/>
      </w:r>
      <w:r>
        <w:rPr>
          <w:sz w:val="22"/>
        </w:rPr>
        <w:tab/>
        <w:t>Разработка предложений о внесении изменений в законодательство.</w:t>
      </w:r>
    </w:p>
    <w:p w:rsidR="00000000" w:rsidRDefault="00000000">
      <w:pPr>
        <w:tabs>
          <w:tab w:val="left" w:pos="340"/>
          <w:tab w:val="left" w:pos="680"/>
        </w:tabs>
        <w:spacing w:before="220" w:line="260" w:lineRule="exact"/>
        <w:ind w:left="340" w:hanging="340"/>
        <w:jc w:val="both"/>
        <w:rPr>
          <w:sz w:val="22"/>
        </w:rPr>
      </w:pPr>
      <w:r>
        <w:rPr>
          <w:sz w:val="22"/>
        </w:rPr>
        <w:sym w:font="Symbol" w:char="F0B7"/>
      </w:r>
      <w:r>
        <w:rPr>
          <w:sz w:val="22"/>
        </w:rPr>
        <w:tab/>
        <w:t>Консультирование по гендерным вопросам в целях разработки стратегических и оперативных планов с учетом гендерного аспекта, подготовка баз данных в разбивке по полу с учетом аналитических гендерных показателей; подготовка кампаний в средствах массовой информации, редактирование проектов, законов и регламентов; разработка стратегий учета гендерных аспектов.</w:t>
      </w:r>
    </w:p>
    <w:p w:rsidR="00000000" w:rsidRDefault="00000000">
      <w:pPr>
        <w:pStyle w:val="BodyTextIndent3"/>
        <w:tabs>
          <w:tab w:val="left" w:pos="680"/>
        </w:tabs>
        <w:spacing w:line="260" w:lineRule="exact"/>
        <w:ind w:left="0" w:firstLine="0"/>
      </w:pPr>
      <w:r>
        <w:t>614.</w:t>
      </w:r>
      <w:r>
        <w:tab/>
        <w:t>В этих целях МИНАЭ в первую очередь выделяет людские и финансовые ресурсы для работы, связанной с аспектом гендерного равенства. Аналогичным образом, для обеспечения постоянного внимания к гендерным вопросам МИНАЭ намерено создать и поддерживать в рамках своей структуры Управление по проблемам обеспечения гендерного равенства в деятельности в области охраны окружающей среды, на которое будут возложены наблюдение и контроль за мероприятиями, осуществляемыми в рамках Плана действий, разрабатываемого в соответствии с этой политикой (</w:t>
      </w:r>
      <w:r>
        <w:rPr>
          <w:lang w:val="en-US"/>
        </w:rPr>
        <w:t>Aguilar</w:t>
      </w:r>
      <w:r>
        <w:t xml:space="preserve"> и др., 1999).</w:t>
      </w:r>
    </w:p>
    <w:p w:rsidR="00000000" w:rsidRDefault="00000000">
      <w:pPr>
        <w:pStyle w:val="BodyTextIndent3"/>
        <w:tabs>
          <w:tab w:val="left" w:pos="680"/>
        </w:tabs>
        <w:spacing w:line="260" w:lineRule="exact"/>
        <w:ind w:left="0" w:firstLine="0"/>
      </w:pPr>
      <w:r>
        <w:t>615.</w:t>
      </w:r>
      <w:r>
        <w:tab/>
        <w:t>Одной из мер в поддержку деятельности Управления по вопросам гендерного равенства и охраны окружающей среды является учреждение Системы наблюдения и контроля за всеми мероприятиями, связанными с гендерными вопросами, которые осуществляются в рамках деятельности, связанной с охраняемыми природными зонами. Национальная система охраняемых природных зон (СИНАК) в наиболее полной мере выполнила предписание о включении гендерного подхода в работу по профессиональной подготовке кадров и по изучению и оценке общей ситуации (</w:t>
      </w:r>
      <w:r>
        <w:rPr>
          <w:lang w:val="en-US"/>
        </w:rPr>
        <w:t>Aguilar</w:t>
      </w:r>
      <w:r>
        <w:t xml:space="preserve"> и др., 1999).</w:t>
      </w:r>
    </w:p>
    <w:p w:rsidR="00000000" w:rsidRDefault="00000000">
      <w:pPr>
        <w:tabs>
          <w:tab w:val="left" w:pos="680"/>
        </w:tabs>
        <w:spacing w:before="240" w:line="260" w:lineRule="exact"/>
        <w:jc w:val="both"/>
        <w:rPr>
          <w:spacing w:val="-2"/>
          <w:sz w:val="22"/>
        </w:rPr>
      </w:pPr>
      <w:r>
        <w:rPr>
          <w:sz w:val="22"/>
        </w:rPr>
        <w:t>616.</w:t>
      </w:r>
      <w:r>
        <w:rPr>
          <w:sz w:val="22"/>
        </w:rPr>
        <w:tab/>
      </w:r>
      <w:r>
        <w:rPr>
          <w:spacing w:val="-2"/>
          <w:sz w:val="22"/>
        </w:rPr>
        <w:t>В Плане действий, предусмотренном в рамках политики по вопросам гендерного равенства в деятельности по охране окружающей среды, предусмотрено "создание системы сбора разрозненной информации и включение необходимых гендерных показателей в информационные системы". Ввиду масштабности этой задачи было намечено осуществить пилотный проект, который могли бы впоследствии воспроизвести другие подразделения МИНАЭ. Для этого была выбрана Национальная система охраняемых природных зон (СИНАК), в рамках которой в настоящее время разрабатывается Система оценки непрерывного улучшения (СЕМЕК). Данная система призвана действовать на всех уровнях СИНАК и будет разрабатываться при консультационной поддержке Центральноамериканского проекта "На пути к равенству" (Международный союз охраны природы – Фонд Ариас за мир и прогресс человечества) и Управления по проблемам гендерного равенства и охраны окружающей среды МИНАЭ (Предложения по учету гендерных показателей в системе оценки непрерывного улучшения – СЕМЕК). В соответствии с этим предложением группа сотрудников совместно с консультативной службой ДИМЕРКА разработает показатели для Системы оценки непрерывного улучшения (СЕМЕК). В первую очередь данная рабочая группа должна разработать показатели гендерного равенства. Был подготовлен специальный документ с "предложениями по внедрению гендерного подхода в работу Системы оценки непрерывного улучшения (СЕМЕК)". В дальнейшем намечается сотрудничество с Комиссией по информационным системам МИНАЭ, совместно с которой планируется развивать профессиональную подготовку персонала для данной службы, что позволит обеспечить глубокое изучение темы показателей гендерного равенства, а также подготовку дальнейших предложений по данной теме для последующего включения в работу.</w:t>
      </w:r>
    </w:p>
    <w:p w:rsidR="00000000" w:rsidRDefault="00000000">
      <w:pPr>
        <w:tabs>
          <w:tab w:val="left" w:pos="680"/>
        </w:tabs>
        <w:spacing w:before="280" w:line="260" w:lineRule="exact"/>
        <w:jc w:val="both"/>
        <w:rPr>
          <w:sz w:val="22"/>
        </w:rPr>
      </w:pPr>
      <w:r>
        <w:rPr>
          <w:sz w:val="22"/>
        </w:rPr>
        <w:t>617.</w:t>
      </w:r>
      <w:r>
        <w:rPr>
          <w:sz w:val="22"/>
        </w:rPr>
        <w:tab/>
        <w:t>Национальный план помощи крестьянам, занятым в лесном хозяйстве, при поддержке Программы развития Организации Объединенных Наций (ПРООН) также включает гендерный подход и мероприятия, направленные на достижение гендерного равенства среди лиц, занятых в области охраны окружающей среды и лесного хозяйства. Несмотря на интерес и усилия многих организаций и учреждений, тысячи женщин все еще остаются в стороне от инициатив в области устойчивого развития, которые осуществляются в Коста-Рике. Так, исследование степени участия женщин в программе "Оплата услуг по охране окружающей среды" (</w:t>
      </w:r>
      <w:r>
        <w:rPr>
          <w:sz w:val="22"/>
          <w:lang w:val="en-US"/>
        </w:rPr>
        <w:t>Morales</w:t>
      </w:r>
      <w:r>
        <w:rPr>
          <w:sz w:val="22"/>
        </w:rPr>
        <w:t xml:space="preserve">  </w:t>
      </w:r>
      <w:r>
        <w:rPr>
          <w:sz w:val="22"/>
          <w:lang w:val="en-US"/>
        </w:rPr>
        <w:t>D</w:t>
      </w:r>
      <w:r>
        <w:rPr>
          <w:sz w:val="22"/>
        </w:rPr>
        <w:t>á</w:t>
      </w:r>
      <w:r>
        <w:rPr>
          <w:sz w:val="22"/>
          <w:lang w:val="en-US"/>
        </w:rPr>
        <w:t>vila</w:t>
      </w:r>
      <w:r>
        <w:rPr>
          <w:sz w:val="22"/>
        </w:rPr>
        <w:t xml:space="preserve">, 2000) показало: </w:t>
      </w:r>
    </w:p>
    <w:p w:rsidR="00000000" w:rsidRDefault="00000000">
      <w:pPr>
        <w:tabs>
          <w:tab w:val="left" w:pos="340"/>
          <w:tab w:val="left" w:pos="680"/>
        </w:tabs>
        <w:spacing w:before="290" w:line="260" w:lineRule="exact"/>
        <w:ind w:left="340" w:hanging="340"/>
        <w:jc w:val="both"/>
        <w:rPr>
          <w:sz w:val="22"/>
        </w:rPr>
      </w:pPr>
      <w:r>
        <w:rPr>
          <w:sz w:val="22"/>
        </w:rPr>
        <w:sym w:font="Symbol" w:char="F0B7"/>
      </w:r>
      <w:r>
        <w:rPr>
          <w:sz w:val="22"/>
        </w:rPr>
        <w:tab/>
        <w:t xml:space="preserve">Участие женщин в программе "Оплата услуг по охране окружающей среды" было достаточно низким как в местных, так и в глобальных проектах. Этот показатель не достиг даже 20 процентов, хотя и вырос с 15,57 процента в 1998 году до 19 процентов в 1999 году. </w:t>
      </w:r>
    </w:p>
    <w:p w:rsidR="00000000" w:rsidRDefault="00000000">
      <w:pPr>
        <w:tabs>
          <w:tab w:val="left" w:pos="340"/>
          <w:tab w:val="left" w:pos="680"/>
        </w:tabs>
        <w:spacing w:before="290" w:line="260" w:lineRule="exact"/>
        <w:ind w:left="340" w:hanging="340"/>
        <w:jc w:val="both"/>
        <w:rPr>
          <w:sz w:val="22"/>
        </w:rPr>
      </w:pPr>
      <w:r>
        <w:rPr>
          <w:sz w:val="22"/>
        </w:rPr>
        <w:sym w:font="Symbol" w:char="F0B7"/>
      </w:r>
      <w:r>
        <w:rPr>
          <w:sz w:val="22"/>
        </w:rPr>
        <w:tab/>
        <w:t>Незначительное участие женщин в указанной программе вызвано несколькими факторами, из них самыми важными являются четыре: владение и пользование землей; общество, основанное на культуре мачизма; практически полное отсутствие информации о программе; отсутствие специальной политики и стратегий для вовлечения в эту программу женщин. По результатам проведенных исследований показатель по стратегиям говорит сам за себя, поскольку он составляет ноль процентов.</w:t>
      </w:r>
    </w:p>
    <w:p w:rsidR="00000000" w:rsidRDefault="00000000">
      <w:pPr>
        <w:tabs>
          <w:tab w:val="left" w:pos="340"/>
          <w:tab w:val="left" w:pos="680"/>
        </w:tabs>
        <w:spacing w:before="290" w:line="260" w:lineRule="exact"/>
        <w:ind w:left="340" w:hanging="340"/>
        <w:jc w:val="both"/>
        <w:rPr>
          <w:sz w:val="22"/>
        </w:rPr>
      </w:pPr>
      <w:r>
        <w:rPr>
          <w:sz w:val="22"/>
        </w:rPr>
        <w:sym w:font="Symbol" w:char="F0B7"/>
      </w:r>
      <w:r>
        <w:rPr>
          <w:sz w:val="22"/>
        </w:rPr>
        <w:tab/>
        <w:t>Следует направить максимум усилий на создание и укрепление смешанных групп и чисто женских объединений, поскольку, как показывает оценка ситуации, это действенный способ постепенного вовлечения женщин в программу по охране окружающей среды.</w:t>
      </w:r>
    </w:p>
    <w:p w:rsidR="00000000" w:rsidRDefault="00000000">
      <w:pPr>
        <w:tabs>
          <w:tab w:val="left" w:pos="340"/>
          <w:tab w:val="left" w:pos="680"/>
        </w:tabs>
        <w:spacing w:before="290" w:line="260" w:lineRule="exact"/>
        <w:ind w:left="340" w:hanging="340"/>
        <w:jc w:val="both"/>
        <w:rPr>
          <w:sz w:val="22"/>
        </w:rPr>
      </w:pPr>
      <w:r>
        <w:rPr>
          <w:sz w:val="22"/>
        </w:rPr>
        <w:sym w:font="Symbol" w:char="F0B7"/>
      </w:r>
      <w:r>
        <w:rPr>
          <w:sz w:val="22"/>
        </w:rPr>
        <w:tab/>
        <w:t>Существующий порядок владения землей является главным препятствием для доступа женщин к программе по охране окружающей среды. Согласно проведенным опросам, примерно 69 процентов посреднических организаций считают это главной проблемой, а среди потенциальных групп участниц в этом видят главное препятствие примерно 55 процентов.</w:t>
      </w:r>
    </w:p>
    <w:p w:rsidR="00000000" w:rsidRDefault="00000000">
      <w:pPr>
        <w:tabs>
          <w:tab w:val="left" w:pos="340"/>
          <w:tab w:val="left" w:pos="680"/>
        </w:tabs>
        <w:spacing w:line="260" w:lineRule="exact"/>
        <w:ind w:left="340" w:hanging="340"/>
        <w:jc w:val="both"/>
        <w:rPr>
          <w:sz w:val="22"/>
        </w:rPr>
      </w:pPr>
    </w:p>
    <w:p w:rsidR="00000000" w:rsidRDefault="00000000">
      <w:pPr>
        <w:pStyle w:val="Title"/>
        <w:tabs>
          <w:tab w:val="left" w:pos="680"/>
        </w:tabs>
        <w:spacing w:before="240" w:line="260" w:lineRule="exact"/>
        <w:rPr>
          <w:sz w:val="22"/>
        </w:rPr>
      </w:pPr>
      <w:r>
        <w:rPr>
          <w:sz w:val="22"/>
        </w:rPr>
        <w:t>Статья 15. Равенство перед законом</w:t>
      </w:r>
    </w:p>
    <w:p w:rsidR="00000000" w:rsidRDefault="00000000">
      <w:pPr>
        <w:pStyle w:val="Subtitle"/>
        <w:tabs>
          <w:tab w:val="left" w:pos="680"/>
        </w:tabs>
        <w:spacing w:before="240" w:line="260" w:lineRule="exact"/>
        <w:ind w:right="0"/>
        <w:jc w:val="both"/>
        <w:rPr>
          <w:b w:val="0"/>
          <w:i/>
          <w:sz w:val="22"/>
        </w:rPr>
      </w:pPr>
      <w:r>
        <w:rPr>
          <w:b w:val="0"/>
          <w:i/>
          <w:sz w:val="22"/>
        </w:rPr>
        <w:t>Статья 15</w:t>
      </w:r>
    </w:p>
    <w:p w:rsidR="00000000" w:rsidRDefault="00000000">
      <w:pPr>
        <w:tabs>
          <w:tab w:val="left" w:pos="340"/>
          <w:tab w:val="left" w:pos="680"/>
        </w:tabs>
        <w:spacing w:before="180" w:line="260" w:lineRule="exact"/>
        <w:ind w:left="340" w:hanging="340"/>
        <w:jc w:val="both"/>
        <w:rPr>
          <w:i/>
          <w:sz w:val="22"/>
        </w:rPr>
      </w:pPr>
      <w:r>
        <w:rPr>
          <w:i/>
          <w:sz w:val="22"/>
        </w:rPr>
        <w:t>1.</w:t>
      </w:r>
      <w:r>
        <w:rPr>
          <w:i/>
          <w:sz w:val="22"/>
        </w:rPr>
        <w:tab/>
        <w:t>Государства-участники признают за женщинами равенство с мужчинами перед законом.</w:t>
      </w:r>
    </w:p>
    <w:p w:rsidR="00000000" w:rsidRDefault="00000000">
      <w:pPr>
        <w:tabs>
          <w:tab w:val="left" w:pos="340"/>
          <w:tab w:val="left" w:pos="680"/>
        </w:tabs>
        <w:spacing w:before="180" w:line="260" w:lineRule="exact"/>
        <w:ind w:left="340" w:hanging="340"/>
        <w:jc w:val="both"/>
        <w:rPr>
          <w:i/>
          <w:sz w:val="22"/>
        </w:rPr>
      </w:pPr>
      <w:r>
        <w:rPr>
          <w:i/>
          <w:sz w:val="22"/>
        </w:rPr>
        <w:t>2.</w:t>
      </w:r>
      <w:r>
        <w:rPr>
          <w:i/>
          <w:sz w:val="22"/>
        </w:rPr>
        <w:tab/>
        <w:t>Государства-участники предоставляют женщинам одинаковую с мужчинами гражданскую правоспособность и одинаковые возможности ее реализации. Они, в частности, обеспечивают им равные права при заключении договоров и управлении имуществом, а также равное отношение к ним на всех этапах разбирательства в судах и трибуналах.</w:t>
      </w:r>
    </w:p>
    <w:p w:rsidR="00000000" w:rsidRDefault="00000000">
      <w:pPr>
        <w:tabs>
          <w:tab w:val="left" w:pos="340"/>
          <w:tab w:val="left" w:pos="680"/>
        </w:tabs>
        <w:spacing w:before="180" w:line="260" w:lineRule="exact"/>
        <w:ind w:left="340" w:hanging="340"/>
        <w:jc w:val="both"/>
        <w:rPr>
          <w:i/>
          <w:sz w:val="22"/>
        </w:rPr>
      </w:pPr>
      <w:r>
        <w:rPr>
          <w:i/>
          <w:sz w:val="22"/>
        </w:rPr>
        <w:t>3.</w:t>
      </w:r>
      <w:r>
        <w:rPr>
          <w:i/>
          <w:sz w:val="22"/>
        </w:rPr>
        <w:tab/>
        <w:t>Государства-участники соглашаются, что все договоры и все другие частные документы любого рода, имеющие своим правовым последствием ограничение правоспособности женщин, считаются недействительными.</w:t>
      </w:r>
    </w:p>
    <w:p w:rsidR="00000000" w:rsidRDefault="00000000">
      <w:pPr>
        <w:tabs>
          <w:tab w:val="left" w:pos="340"/>
          <w:tab w:val="left" w:pos="680"/>
        </w:tabs>
        <w:spacing w:before="180" w:line="260" w:lineRule="exact"/>
        <w:ind w:left="340" w:hanging="340"/>
        <w:jc w:val="both"/>
        <w:rPr>
          <w:i/>
          <w:sz w:val="22"/>
        </w:rPr>
      </w:pPr>
      <w:r>
        <w:rPr>
          <w:i/>
          <w:sz w:val="22"/>
        </w:rPr>
        <w:t>4.</w:t>
      </w:r>
      <w:r>
        <w:rPr>
          <w:i/>
          <w:sz w:val="22"/>
        </w:rPr>
        <w:tab/>
        <w:t>Государства-участники предоставляют мужчинам и женщинам одинаковые права в отношении законодательства, касающегося передвижения лиц и свободы выбора места проживания и местожительства.</w:t>
      </w:r>
    </w:p>
    <w:p w:rsidR="00000000" w:rsidRDefault="00000000">
      <w:pPr>
        <w:tabs>
          <w:tab w:val="left" w:pos="680"/>
        </w:tabs>
        <w:spacing w:line="260" w:lineRule="exact"/>
        <w:jc w:val="both"/>
        <w:rPr>
          <w:i/>
          <w:sz w:val="22"/>
        </w:rPr>
      </w:pPr>
    </w:p>
    <w:p w:rsidR="00000000" w:rsidRDefault="00000000">
      <w:pPr>
        <w:pStyle w:val="BodyText3"/>
        <w:tabs>
          <w:tab w:val="left" w:pos="680"/>
        </w:tabs>
        <w:spacing w:before="240" w:line="260" w:lineRule="exact"/>
        <w:rPr>
          <w:sz w:val="22"/>
        </w:rPr>
      </w:pPr>
      <w:r>
        <w:rPr>
          <w:sz w:val="22"/>
        </w:rPr>
        <w:t>Принятые за последние десять лет правовые документы, которые можно считать достижением в области укрепления прав женщин в Коста-Рике</w:t>
      </w:r>
    </w:p>
    <w:p w:rsidR="00000000" w:rsidRDefault="00000000">
      <w:pPr>
        <w:tabs>
          <w:tab w:val="left" w:pos="680"/>
        </w:tabs>
        <w:spacing w:before="240" w:line="260" w:lineRule="exact"/>
        <w:jc w:val="both"/>
        <w:rPr>
          <w:sz w:val="22"/>
        </w:rPr>
      </w:pPr>
      <w:r>
        <w:rPr>
          <w:sz w:val="22"/>
        </w:rPr>
        <w:t>618.</w:t>
      </w:r>
      <w:r>
        <w:rPr>
          <w:sz w:val="22"/>
        </w:rPr>
        <w:tab/>
        <w:t>Именно женщины, выступая в личном качестве, в качестве членов общественных организаций и путем обращения в государственные учреждения по защите и укреплению прав, помогли выявить имеющиеся недочеты и способствовали выдвижению концепций и разработке новых правовых документов, которые позволят учитывать их потребности и защищать их интересы (проект "Состояние нации", 2001 год). Именно эти критерии нашли отражение в заключительной таблице, представляющей национальные правовые документы (Приложение № 1).</w:t>
      </w:r>
    </w:p>
    <w:p w:rsidR="00000000" w:rsidRDefault="00000000">
      <w:pPr>
        <w:tabs>
          <w:tab w:val="left" w:pos="680"/>
        </w:tabs>
        <w:spacing w:before="240" w:line="260" w:lineRule="exact"/>
        <w:jc w:val="both"/>
        <w:rPr>
          <w:sz w:val="22"/>
        </w:rPr>
      </w:pPr>
      <w:r>
        <w:rPr>
          <w:sz w:val="22"/>
        </w:rPr>
        <w:t>619.</w:t>
      </w:r>
      <w:r>
        <w:rPr>
          <w:sz w:val="22"/>
        </w:rPr>
        <w:tab/>
        <w:t>Среди основных достижений в этой области можно отметить следующие (</w:t>
      </w:r>
      <w:r>
        <w:rPr>
          <w:sz w:val="22"/>
          <w:lang w:val="en-US"/>
        </w:rPr>
        <w:t>Mora</w:t>
      </w:r>
      <w:r>
        <w:rPr>
          <w:sz w:val="22"/>
        </w:rPr>
        <w:t>, 2001):</w:t>
      </w:r>
    </w:p>
    <w:p w:rsidR="00000000" w:rsidRDefault="00000000">
      <w:pPr>
        <w:tabs>
          <w:tab w:val="left" w:pos="340"/>
          <w:tab w:val="left" w:pos="680"/>
        </w:tabs>
        <w:spacing w:before="240" w:line="260" w:lineRule="exact"/>
        <w:ind w:left="340" w:hanging="340"/>
        <w:jc w:val="both"/>
        <w:rPr>
          <w:sz w:val="22"/>
        </w:rPr>
      </w:pPr>
      <w:r>
        <w:rPr>
          <w:sz w:val="22"/>
        </w:rPr>
        <w:sym w:font="Symbol" w:char="F0B7"/>
      </w:r>
      <w:r>
        <w:rPr>
          <w:sz w:val="22"/>
        </w:rPr>
        <w:tab/>
        <w:t xml:space="preserve">Постановка вопросов и обсуждение тем, касающихся прав женщин в обществе в целом, что позволило вывести эти вопросы за пределы ведения нескольких отдельных лиц, помогло познакомить с ними широкие массы и создать общественное мнение, а также задействовать культурно-политический аспект законодательства. </w:t>
      </w:r>
    </w:p>
    <w:p w:rsidR="00000000" w:rsidRDefault="00000000">
      <w:pPr>
        <w:tabs>
          <w:tab w:val="left" w:pos="340"/>
          <w:tab w:val="left" w:pos="680"/>
        </w:tabs>
        <w:spacing w:before="240" w:line="260" w:lineRule="exact"/>
        <w:ind w:left="340" w:hanging="340"/>
        <w:jc w:val="both"/>
        <w:rPr>
          <w:sz w:val="22"/>
        </w:rPr>
      </w:pPr>
      <w:r>
        <w:rPr>
          <w:sz w:val="22"/>
        </w:rPr>
        <w:sym w:font="Symbol" w:char="F0B7"/>
      </w:r>
      <w:r>
        <w:rPr>
          <w:sz w:val="22"/>
        </w:rPr>
        <w:tab/>
        <w:t xml:space="preserve">Искоренение отношения общества к действиям против женщин (например, актам насилия в отношении женщин) как к естественному явлению. </w:t>
      </w:r>
    </w:p>
    <w:p w:rsidR="00000000" w:rsidRDefault="00000000">
      <w:pPr>
        <w:tabs>
          <w:tab w:val="left" w:pos="340"/>
          <w:tab w:val="left" w:pos="680"/>
        </w:tabs>
        <w:spacing w:before="240" w:line="260" w:lineRule="exact"/>
        <w:ind w:left="340" w:hanging="340"/>
        <w:jc w:val="both"/>
        <w:rPr>
          <w:sz w:val="22"/>
        </w:rPr>
      </w:pPr>
      <w:r>
        <w:rPr>
          <w:sz w:val="22"/>
        </w:rPr>
        <w:sym w:font="Symbol" w:char="F0B7"/>
      </w:r>
      <w:r>
        <w:rPr>
          <w:sz w:val="22"/>
        </w:rPr>
        <w:tab/>
        <w:t xml:space="preserve">Создание правовой концепции, относящейся в первую очередь к таким действиям в отношении женщин, которые совершаются только потому, что они – женщины (например, сексуальные домогательства, которые ранее квалифицировались лишь как традиционная грубость). </w:t>
      </w:r>
    </w:p>
    <w:p w:rsidR="00000000" w:rsidRDefault="00000000">
      <w:pPr>
        <w:tabs>
          <w:tab w:val="left" w:pos="340"/>
          <w:tab w:val="left" w:pos="680"/>
        </w:tabs>
        <w:spacing w:before="240" w:line="260" w:lineRule="exact"/>
        <w:ind w:left="340" w:hanging="340"/>
        <w:jc w:val="both"/>
        <w:rPr>
          <w:sz w:val="22"/>
        </w:rPr>
      </w:pPr>
      <w:r>
        <w:rPr>
          <w:sz w:val="22"/>
        </w:rPr>
        <w:sym w:font="Symbol" w:char="F0B7"/>
      </w:r>
      <w:r>
        <w:rPr>
          <w:sz w:val="22"/>
        </w:rPr>
        <w:tab/>
        <w:t>Создание абсолютно новых по форме и содержанию юридических механизмов для преодоления сложившихся стереотипов).</w:t>
      </w:r>
    </w:p>
    <w:p w:rsidR="00000000" w:rsidRDefault="00000000">
      <w:pPr>
        <w:tabs>
          <w:tab w:val="left" w:pos="340"/>
          <w:tab w:val="left" w:pos="680"/>
        </w:tabs>
        <w:spacing w:before="240" w:line="260" w:lineRule="exact"/>
        <w:ind w:left="340" w:hanging="340"/>
        <w:jc w:val="both"/>
        <w:rPr>
          <w:sz w:val="22"/>
        </w:rPr>
      </w:pPr>
      <w:r>
        <w:rPr>
          <w:sz w:val="22"/>
        </w:rPr>
        <w:sym w:font="Symbol" w:char="F0B7"/>
      </w:r>
      <w:r>
        <w:rPr>
          <w:sz w:val="22"/>
        </w:rPr>
        <w:tab/>
        <w:t>Отмена некоторых преимуществ, предоставляемых мужчинам, и выравнивание положения женщин и мужчин для обеспечения улучшения общих условий для женщин.</w:t>
      </w:r>
    </w:p>
    <w:p w:rsidR="00000000" w:rsidRDefault="00000000">
      <w:pPr>
        <w:tabs>
          <w:tab w:val="left" w:pos="340"/>
          <w:tab w:val="left" w:pos="680"/>
        </w:tabs>
        <w:spacing w:before="240" w:line="260" w:lineRule="exact"/>
        <w:ind w:left="340" w:hanging="340"/>
        <w:jc w:val="both"/>
        <w:rPr>
          <w:sz w:val="22"/>
        </w:rPr>
      </w:pPr>
      <w:r>
        <w:rPr>
          <w:sz w:val="22"/>
        </w:rPr>
        <w:sym w:font="Symbol" w:char="F0B7"/>
      </w:r>
      <w:r>
        <w:rPr>
          <w:sz w:val="22"/>
        </w:rPr>
        <w:tab/>
        <w:t xml:space="preserve">Разрушение ложных стереотипов в плане разделения частного и общественного в целях включения демократических ценностей в частную сферу (например, в область ответственности за насилие в семье и юридической и экономической ответственности за отцовство). </w:t>
      </w:r>
    </w:p>
    <w:p w:rsidR="00000000" w:rsidRDefault="00000000">
      <w:pPr>
        <w:tabs>
          <w:tab w:val="left" w:pos="340"/>
          <w:tab w:val="left" w:pos="680"/>
        </w:tabs>
        <w:spacing w:before="240" w:line="260" w:lineRule="exact"/>
        <w:ind w:left="340" w:hanging="340"/>
        <w:jc w:val="both"/>
        <w:rPr>
          <w:sz w:val="22"/>
        </w:rPr>
      </w:pPr>
      <w:r>
        <w:rPr>
          <w:sz w:val="22"/>
        </w:rPr>
        <w:sym w:font="Symbol" w:char="F0B7"/>
      </w:r>
      <w:r>
        <w:rPr>
          <w:sz w:val="22"/>
        </w:rPr>
        <w:tab/>
        <w:t>Прогресс в области формального нормативного законодательства.</w:t>
      </w:r>
    </w:p>
    <w:p w:rsidR="00000000" w:rsidRDefault="00000000">
      <w:pPr>
        <w:tabs>
          <w:tab w:val="left" w:pos="680"/>
        </w:tabs>
        <w:spacing w:before="240" w:line="260" w:lineRule="exact"/>
        <w:jc w:val="both"/>
        <w:rPr>
          <w:sz w:val="22"/>
        </w:rPr>
      </w:pPr>
      <w:r>
        <w:rPr>
          <w:sz w:val="22"/>
        </w:rPr>
        <w:t>620.</w:t>
      </w:r>
      <w:r>
        <w:rPr>
          <w:sz w:val="22"/>
        </w:rPr>
        <w:tab/>
        <w:t xml:space="preserve">Результат, достигнутый по формальной нормативной составляющей законодательства за последнее десятилетие, является положительным, но все же неполным, если сравнить его со структурной составляющей, иными словами, с интерпретацией содержания правовых документов. В этом аспекте наблюдается огромное упущение, которое известно в теории права и в Комитете по ликвидации всех форм дискриминации в отношении женщин (КЛДЖ) как дискриминация по результату. Вышеизложенное подтверждается рядом конкретных случаев. Например, в связи с правом на участие в политическое жизни, предусмотренным в статьях 4 и 5 Закона о содействии социальному равенству женщин и в КЛДОЖ, можно привести в качестве примера вопрос о назначении значительного процента женщин на государственные должности. С одной стороны, это трактуется как обязательство, налагаемое на органы государственной власти и политические партии, но не как основное право женщин, гарантируемое конституцией (решение Конституционной палаты № 2000-4350, 11:45, 19 мая 2000 года). В другом же решении, вынесенном ранее, характер данного законодательного положения был признан репрессивным: "…Верно то, что в данном коллегиальном органе не допускалось участие женщин, предусмотренное Конституцией и законом, что является нарушением принципа равенства и запрета любой формы дискриминации в отношении женщин как представителей определенной категории или социальной группы, а не как конкретных лиц" (решение Конституционной палаты № 716-98, 11:51, 6 февраля 1998 года). Трактовка 2000 года не только представляет собой откат назад в сравнении с тем, что было принято двумя годами раньше, но и ясно демонстрирует изменчивый характер решений Конституционной палаты по вопросам о правах женщин (проект "Состояние нации", 2001 год). </w:t>
      </w:r>
    </w:p>
    <w:p w:rsidR="00000000" w:rsidRDefault="00000000">
      <w:pPr>
        <w:pStyle w:val="BodyText"/>
        <w:tabs>
          <w:tab w:val="left" w:pos="680"/>
        </w:tabs>
        <w:spacing w:before="240" w:line="260" w:lineRule="exact"/>
        <w:rPr>
          <w:sz w:val="22"/>
        </w:rPr>
      </w:pPr>
      <w:r>
        <w:rPr>
          <w:sz w:val="22"/>
        </w:rPr>
        <w:t>621.</w:t>
      </w:r>
      <w:r>
        <w:rPr>
          <w:sz w:val="22"/>
        </w:rPr>
        <w:tab/>
        <w:t>Такая же ситуация сложилась в отношении статьи 7 закона, регулирующего гражданские отношения, который был объявлен частично неконституционным, так как по положениям данной статьи права на общую недвижимость в случае гражданского брака получала женщина. Было решено, что данная норма грешит одним недостатком, "который заключается в том, что, вопреки всякой логике, бóльшие преимущества даются женщине, которая состоит в гражданском браке, чем женщине, состоящей в официально зарегистрированном браке". Несмотря на признание того, что данный нормативный акт преследует своей целью защитить от дискриминации группу женщин, которая чаще всего оказывается в худшем положении, "такая защита не может осуществляться в ущерб другим общественным ценностям, защищаемым государством…" (решение Конституционной палаты № 346-94, 15:42, 18 января 1994 года) (</w:t>
      </w:r>
      <w:r>
        <w:rPr>
          <w:sz w:val="22"/>
          <w:lang w:val="en-US"/>
        </w:rPr>
        <w:t>Mora</w:t>
      </w:r>
      <w:r>
        <w:rPr>
          <w:sz w:val="22"/>
        </w:rPr>
        <w:t>, 2001).</w:t>
      </w:r>
    </w:p>
    <w:p w:rsidR="00000000" w:rsidRDefault="00000000">
      <w:pPr>
        <w:tabs>
          <w:tab w:val="left" w:pos="680"/>
        </w:tabs>
        <w:spacing w:before="180" w:line="260" w:lineRule="exact"/>
        <w:jc w:val="both"/>
        <w:rPr>
          <w:sz w:val="22"/>
        </w:rPr>
      </w:pPr>
      <w:r>
        <w:rPr>
          <w:sz w:val="22"/>
        </w:rPr>
        <w:t>622.</w:t>
      </w:r>
      <w:r>
        <w:rPr>
          <w:sz w:val="22"/>
        </w:rPr>
        <w:tab/>
        <w:t>Дискриминация также имеет место в случаях, когда нормативный акт не применяется в ситуациях, для которых он предусмотрен. Примером может служить статья 30 Закона о содействии социальному равенству женщин, которая принята во исправление статьи 152 Уголовно-процессуального кодекса и согласно которой в качестве предупредительной меры совершившего насилие обязывают покинуть место проживания и назначают алиментные выплаты в случае заявления о сексуальном преступлении или нанесении увечий. Заявление о неприменении этого нормативного акта было сделано в Верховном суде Отделением по делам женщин при Коллегии адвокатов по защите прав граждан на заседании 24 января 1994 года, статья XIV. Для того чтобы данная правовая норма реально действовала, было решено провести ее регламентацию, что было поручено специальной комиссии из представителей Верховного суда и Коллегии адвокатов, которая и была принята (и опубликована 1 декабря 1994 года в "Юридическом бюллетене"). Несмотря на все эти усилия, данные меры практически не применялись на практике или применялись в недостаточной мере (проект "Состояние нации", 2001 год).</w:t>
      </w:r>
    </w:p>
    <w:p w:rsidR="00000000" w:rsidRDefault="00000000">
      <w:pPr>
        <w:pStyle w:val="BodyTextIndent3"/>
        <w:tabs>
          <w:tab w:val="left" w:pos="680"/>
        </w:tabs>
        <w:spacing w:before="180" w:line="260" w:lineRule="exact"/>
        <w:ind w:left="0" w:firstLine="0"/>
      </w:pPr>
      <w:r>
        <w:t>623.</w:t>
      </w:r>
      <w:r>
        <w:tab/>
        <w:t>Несмотря на формальные достижения, остаются области, требующие доработки. В некоторых из них уже подготовлены такие законопроекты, как поправки к статьям 5 и 6 Закона о содействии социальному равенству женщин, документ № 12741, который, несмотря на утверждение большинством голосов 29 апреля 1997 года, в данный момент лежит в архиве; проект закона о политических партиях, документ № 13862, который находится на рассмотрении Специальной смешанной комиссии; поправки к Закону о борьбе с сексуальными домогательствами на работе и в учебных заведениях, документ № 13094, утвержденные Постоянной специальной комиссией по делам женщин, слушание по которым назначено на третье пленарное заседание; проект закона о наказании за насилие в отношении женщин, документ № 13874, утвержденный Комиссией по делам женщин, обсуждение которого намечено на третье пленарное заседание (</w:t>
      </w:r>
      <w:r>
        <w:rPr>
          <w:lang w:val="en-US"/>
        </w:rPr>
        <w:t>Mora</w:t>
      </w:r>
      <w:r>
        <w:t>, 2001).</w:t>
      </w:r>
    </w:p>
    <w:p w:rsidR="00000000" w:rsidRDefault="00000000">
      <w:pPr>
        <w:tabs>
          <w:tab w:val="left" w:pos="680"/>
        </w:tabs>
        <w:spacing w:before="240" w:line="260" w:lineRule="exact"/>
        <w:jc w:val="both"/>
        <w:rPr>
          <w:b/>
          <w:sz w:val="22"/>
        </w:rPr>
      </w:pPr>
      <w:r>
        <w:rPr>
          <w:b/>
          <w:sz w:val="22"/>
        </w:rPr>
        <w:t>Стратегия конкретизации прав женщин: специальные органы</w:t>
      </w:r>
    </w:p>
    <w:p w:rsidR="00000000" w:rsidRDefault="00000000">
      <w:pPr>
        <w:pStyle w:val="BodyTextIndent3"/>
        <w:tabs>
          <w:tab w:val="left" w:pos="680"/>
        </w:tabs>
        <w:spacing w:line="260" w:lineRule="exact"/>
        <w:ind w:left="0" w:firstLine="0"/>
        <w:rPr>
          <w:spacing w:val="-4"/>
        </w:rPr>
      </w:pPr>
      <w:r>
        <w:t>624.</w:t>
      </w:r>
      <w:r>
        <w:tab/>
      </w:r>
      <w:r>
        <w:rPr>
          <w:spacing w:val="-4"/>
        </w:rPr>
        <w:t>8 марта 1990 года по Закону № 7140 о содействии социальному равенству женщин был создан орган по защите женщин, рассмотрению их жалоб, содействию им и утверждению их прав – Коллегия адвокатов по защите прав женщин. Этот орган был определен как "первый орган, способный рассматривать женщину вне других социальных групп и признавать особый характер ее проблем, свойственных только ей, не смешивая их с проблемами других социальных групп" (Коллегия адвокатов по защите прав граждан, 93-94: 24). В связи с учреждением ведомства Защитника прав граждан Республики, позднее переименованного в Коллегию адвокатов по защите прав граждан (закон № 7319 от 5 ноября 1992 года), представители Коллегии адвокатов по защите прав женщин, Министерства юстиции, Коллегии адвокатов по защите прав граждан и женского движения в диалоге, состоявшемся 11 августа 1993 года, договорились о включении Коллегии адвокатов по защите прав женщин в состав только что созданной Коллегии адвокатов по защите прав граждан, что было одобрено первым Защитником прав граждан, который гарантировал сохранение и укрепление специфических функций этого органа (Коллегия адвокатов по защите прав граждан, 93-94: 24)</w:t>
      </w:r>
    </w:p>
    <w:p w:rsidR="00000000" w:rsidRDefault="00000000">
      <w:pPr>
        <w:tabs>
          <w:tab w:val="left" w:pos="680"/>
        </w:tabs>
        <w:spacing w:before="180" w:line="260" w:lineRule="exact"/>
        <w:jc w:val="both"/>
        <w:rPr>
          <w:sz w:val="22"/>
        </w:rPr>
      </w:pPr>
      <w:r>
        <w:rPr>
          <w:sz w:val="22"/>
        </w:rPr>
        <w:t>625.</w:t>
      </w:r>
      <w:r>
        <w:rPr>
          <w:sz w:val="22"/>
        </w:rPr>
        <w:tab/>
        <w:t>Законодательная власть путем внесения изменений в статью 84 Регламента Законодательного собрания о постоянных специальных комиссиях, опубликованных в "Гасета" № 219 (сообщение 86</w:t>
      </w:r>
      <w:r>
        <w:rPr>
          <w:sz w:val="22"/>
          <w:vertAlign w:val="superscript"/>
        </w:rPr>
        <w:t>а</w:t>
      </w:r>
      <w:r>
        <w:rPr>
          <w:sz w:val="22"/>
        </w:rPr>
        <w:t xml:space="preserve"> от 11 ноября 1999 года), учредила Постоянную специальную комиссию по делам женщин, которая изучает законопроекты, касающиеся прав женщин, дает им оценку, имеет право предлагать внесение в них изменений, а также осуществлять политический контроль над деятельностью административных органов (</w:t>
      </w:r>
      <w:r>
        <w:rPr>
          <w:sz w:val="22"/>
          <w:lang w:val="en-US"/>
        </w:rPr>
        <w:t>Mora</w:t>
      </w:r>
      <w:r>
        <w:rPr>
          <w:sz w:val="22"/>
        </w:rPr>
        <w:t>, 2001).</w:t>
      </w:r>
    </w:p>
    <w:p w:rsidR="00000000" w:rsidRDefault="00000000">
      <w:pPr>
        <w:tabs>
          <w:tab w:val="left" w:pos="680"/>
        </w:tabs>
        <w:spacing w:before="240" w:line="260" w:lineRule="exact"/>
        <w:jc w:val="both"/>
        <w:rPr>
          <w:spacing w:val="-4"/>
          <w:sz w:val="22"/>
        </w:rPr>
      </w:pPr>
      <w:r>
        <w:rPr>
          <w:sz w:val="22"/>
        </w:rPr>
        <w:t>626.</w:t>
      </w:r>
      <w:r>
        <w:rPr>
          <w:sz w:val="22"/>
        </w:rPr>
        <w:tab/>
      </w:r>
      <w:r>
        <w:rPr>
          <w:spacing w:val="-4"/>
          <w:sz w:val="22"/>
        </w:rPr>
        <w:t>В сфере судебной власти было учреждено несколько различных органов, специализирующихся на вопросах гражданских браков, выплаты алиментов и бытового насилия. В Генеральной прокуратуре было создано специальное подразделение по борьбе с бытовым насилием и преступлениями против сексуальной свободы. Планируется, что создание данных органов будет закреплено законодательно, в связи с чем на рассмотрении Законодательного собрания находятся такие законопроекты, как законопроект о специальной прокуратуре для расследования случаев насилия в семье и преступлений против сексуальной свободы, документ № 13050 (в настоящий момент находящийся в архиве); о создании специализированных судов, документ № 14146 Закона о создании Суда по вопросам бытового насилия во втором судебном округе Сан-Хосе и документ № 14147 о создании суда по делам о бытовом насилии в судебном округе Эредия, первом судебном округе Алахуэла и судебном округе Картаго, оба документа рассмотрены в Законодательной комиссии по делам женщин и в рамках обсуждения повестки дня пленарного заседания Законодательного собрания (</w:t>
      </w:r>
      <w:r>
        <w:rPr>
          <w:spacing w:val="-4"/>
          <w:sz w:val="22"/>
          <w:lang w:val="en-US"/>
        </w:rPr>
        <w:t>Mora</w:t>
      </w:r>
      <w:r>
        <w:rPr>
          <w:spacing w:val="-4"/>
          <w:sz w:val="22"/>
        </w:rPr>
        <w:t>, 2001).</w:t>
      </w:r>
    </w:p>
    <w:p w:rsidR="00000000" w:rsidRDefault="00000000">
      <w:pPr>
        <w:pStyle w:val="BodyTextIndent3"/>
        <w:tabs>
          <w:tab w:val="left" w:pos="680"/>
        </w:tabs>
        <w:spacing w:line="260" w:lineRule="exact"/>
        <w:ind w:left="0" w:firstLine="0"/>
      </w:pPr>
      <w:r>
        <w:t>627.</w:t>
      </w:r>
      <w:r>
        <w:tab/>
        <w:t>На данное десятилетие ставилась цель создания новых специальных органов и укрепление уже существующих. Причина в том, что, поскольку такие органы воспринимаются как предназначенные для ограниченных социальных групп, их работе не придается столь же большое значение, как остальным учреждениям, которые разрабатывают, консультируют, дают оценку и способствуют развитию программ, предназначенных для общества в целом, что приводит к ограниченному выделению им людских и бюджетных ресурсов (</w:t>
      </w:r>
      <w:r>
        <w:rPr>
          <w:lang w:val="en-US"/>
        </w:rPr>
        <w:t>Mora</w:t>
      </w:r>
      <w:r>
        <w:t>, 2001).</w:t>
      </w:r>
    </w:p>
    <w:p w:rsidR="00000000" w:rsidRDefault="00000000">
      <w:pPr>
        <w:pStyle w:val="BodyTextIndent3"/>
        <w:tabs>
          <w:tab w:val="left" w:pos="680"/>
        </w:tabs>
        <w:spacing w:before="0" w:line="260" w:lineRule="exact"/>
        <w:ind w:left="0" w:firstLine="0"/>
      </w:pPr>
    </w:p>
    <w:p w:rsidR="00000000" w:rsidRDefault="00000000">
      <w:pPr>
        <w:tabs>
          <w:tab w:val="left" w:pos="680"/>
        </w:tabs>
        <w:spacing w:before="240" w:line="260" w:lineRule="exact"/>
        <w:rPr>
          <w:b/>
          <w:sz w:val="22"/>
        </w:rPr>
      </w:pPr>
      <w:r>
        <w:rPr>
          <w:b/>
          <w:sz w:val="22"/>
        </w:rPr>
        <w:t>Программа в интересах женщин в области правосудия и гендерного равенства Латиноамериканского института Организации Объединенных Наций по вопросам предотвращения преступности и обращения с правонарушителями (ИЛАНУД)</w:t>
      </w:r>
    </w:p>
    <w:p w:rsidR="00000000" w:rsidRDefault="00000000">
      <w:pPr>
        <w:pStyle w:val="BodyText"/>
        <w:tabs>
          <w:tab w:val="left" w:pos="680"/>
        </w:tabs>
        <w:spacing w:before="240" w:line="260" w:lineRule="exact"/>
        <w:rPr>
          <w:spacing w:val="-4"/>
          <w:sz w:val="22"/>
        </w:rPr>
      </w:pPr>
      <w:r>
        <w:rPr>
          <w:sz w:val="22"/>
        </w:rPr>
        <w:t>628.</w:t>
      </w:r>
      <w:r>
        <w:rPr>
          <w:sz w:val="22"/>
        </w:rPr>
        <w:tab/>
      </w:r>
      <w:r>
        <w:rPr>
          <w:spacing w:val="-4"/>
          <w:sz w:val="22"/>
        </w:rPr>
        <w:t>В рамках основных направлений международных правовых документов и программ действий, принимаемых на всемирных конференциях Организации Объединенных Наций по проблемам женщин, Латиноамериканский институт Организации Объединенных Наций по предупреждению преступности и обращению с правонарушителями (ИЛАНУД), с учетом гендерных аспектов, а также в юридическом и правовом плане разработал собственную программу</w:t>
      </w:r>
      <w:r>
        <w:rPr>
          <w:b/>
          <w:spacing w:val="-4"/>
          <w:sz w:val="22"/>
        </w:rPr>
        <w:t xml:space="preserve"> </w:t>
      </w:r>
      <w:r>
        <w:rPr>
          <w:spacing w:val="-4"/>
          <w:sz w:val="22"/>
        </w:rPr>
        <w:t>в интересах женщин в области правосудия и гендерного равноправия и начиная с 1992 года вносит значительный вклад в процесс выработки, принятия и осуществления стратегий и мероприятий государствами и общественными организациями Латинской Америки, в первую очередь Центральноамериканского региона, для содействия равенству женщин и мужчин и искоренению дискриминации женщин в системах отправления правосудия.</w:t>
      </w:r>
    </w:p>
    <w:p w:rsidR="00000000" w:rsidRDefault="00000000">
      <w:pPr>
        <w:pStyle w:val="BodyText"/>
        <w:tabs>
          <w:tab w:val="left" w:pos="680"/>
        </w:tabs>
        <w:spacing w:before="240" w:line="260" w:lineRule="exact"/>
        <w:rPr>
          <w:sz w:val="22"/>
        </w:rPr>
      </w:pPr>
      <w:r>
        <w:rPr>
          <w:sz w:val="22"/>
        </w:rPr>
        <w:t>629.</w:t>
      </w:r>
      <w:r>
        <w:rPr>
          <w:sz w:val="22"/>
        </w:rPr>
        <w:tab/>
        <w:t xml:space="preserve">В плане равенства женщин и мужчин в области отправления правосудия Программа преследует те же цели, что и Латиноамериканский институт Организации Объединенных Наций по вопросам предотвращения преступности и обращения с правонарушителями. Их главная задача – стимулирование и поддержка усилий стран Латинской Америки и Карибского бассейна, стремящихся к укреплению и развитию своих систем отправления правосудия, в частности уголовных судов, а также предупреждение преступлений и воздействие на механизмы общественного контроля для содействия поддержанию правового государства, соблюдению прав человека, сохранению социального мира и, в конечном счете, развитию народов. </w:t>
      </w:r>
    </w:p>
    <w:p w:rsidR="00000000" w:rsidRDefault="00000000">
      <w:pPr>
        <w:pStyle w:val="BodyTextIndent3"/>
        <w:tabs>
          <w:tab w:val="left" w:pos="680"/>
        </w:tabs>
        <w:spacing w:line="260" w:lineRule="exact"/>
        <w:ind w:left="0" w:firstLine="0"/>
      </w:pPr>
      <w:r>
        <w:t>630.</w:t>
      </w:r>
      <w:r>
        <w:tab/>
        <w:t>В рамках осуществления указанной программы ИЛАНУД в течение более чем десяти лет разрабатывал исследовательские проекты, проекты в области профессиональной подготовки, технической поддержки и распространения информации, направленные на включение гендерной проблематики в учебный предмет "юриспруденция" в разных странах Латинской Америки. Техническая поддержка, предоставляемая органам законодательной власти, направлена на учет гендерного аспекта при разработке и осуществлении законодательных реформ в области уголовного, уголовно-процессуального, семейного и трудового законодательства. Такая поддержка оказывается юридическим факультетам с целью включения гендерного аспекта в сферу их исследований, осуществляемых на основе методики, включающей анализ правовых положений и законодательства с точки зрения гендерного равенства.</w:t>
      </w:r>
    </w:p>
    <w:p w:rsidR="00000000" w:rsidRDefault="00000000">
      <w:pPr>
        <w:tabs>
          <w:tab w:val="left" w:pos="680"/>
        </w:tabs>
        <w:spacing w:before="240" w:line="260" w:lineRule="exact"/>
        <w:jc w:val="both"/>
        <w:rPr>
          <w:sz w:val="22"/>
        </w:rPr>
      </w:pPr>
      <w:r>
        <w:rPr>
          <w:sz w:val="22"/>
        </w:rPr>
        <w:t>631.</w:t>
      </w:r>
      <w:r>
        <w:rPr>
          <w:sz w:val="22"/>
        </w:rPr>
        <w:tab/>
        <w:t>Среди мероприятий, подготовленных ИЛАНУД в рамках программы в интересах женщин в области правосудия и гендерного равенства, можно отметить нижеследующее.</w:t>
      </w:r>
    </w:p>
    <w:p w:rsidR="00000000" w:rsidRDefault="00000000">
      <w:pPr>
        <w:tabs>
          <w:tab w:val="left" w:pos="680"/>
        </w:tabs>
        <w:spacing w:line="260" w:lineRule="exact"/>
        <w:jc w:val="both"/>
        <w:rPr>
          <w:sz w:val="22"/>
        </w:rPr>
      </w:pPr>
    </w:p>
    <w:p w:rsidR="00000000" w:rsidRDefault="00000000">
      <w:pPr>
        <w:tabs>
          <w:tab w:val="left" w:pos="680"/>
        </w:tabs>
        <w:spacing w:before="240" w:line="260" w:lineRule="exact"/>
        <w:rPr>
          <w:b/>
          <w:sz w:val="22"/>
        </w:rPr>
      </w:pPr>
      <w:r>
        <w:rPr>
          <w:b/>
          <w:sz w:val="22"/>
        </w:rPr>
        <w:t xml:space="preserve">Школы и учебные центры профессиональной юридической подготовки </w:t>
      </w:r>
      <w:r>
        <w:rPr>
          <w:b/>
          <w:sz w:val="22"/>
        </w:rPr>
        <w:br/>
        <w:t>для сотрудников правоохранительных органов</w:t>
      </w:r>
    </w:p>
    <w:p w:rsidR="00000000" w:rsidRDefault="00000000">
      <w:pPr>
        <w:pStyle w:val="BodyTextIndent3"/>
        <w:tabs>
          <w:tab w:val="left" w:pos="680"/>
        </w:tabs>
        <w:spacing w:line="260" w:lineRule="exact"/>
        <w:ind w:left="0" w:firstLine="0"/>
      </w:pPr>
      <w:r>
        <w:t>632.</w:t>
      </w:r>
      <w:r>
        <w:tab/>
        <w:t xml:space="preserve">Работа, проводимая этими учреждениями заключалась: </w:t>
      </w:r>
      <w:r>
        <w:rPr>
          <w:lang w:val="en-US"/>
        </w:rPr>
        <w:t>i</w:t>
      </w:r>
      <w:r>
        <w:t xml:space="preserve">) в разработке модели включения гендерного подхода, основанного на анализе учебного предмета "право", рассмотрение и оценка которого прошли при активном участии руководства школ и центров профессиональной подготовки; </w:t>
      </w:r>
      <w:r>
        <w:rPr>
          <w:lang w:val="en-US"/>
        </w:rPr>
        <w:t>ii</w:t>
      </w:r>
      <w:r>
        <w:t xml:space="preserve">) в профессиональной подготовке инструкторов к использованию при подготовке работников юстиции модели "На пути к реальному равенству", том </w:t>
      </w:r>
      <w:r>
        <w:rPr>
          <w:lang w:val="en-US"/>
        </w:rPr>
        <w:t>I</w:t>
      </w:r>
      <w:r>
        <w:t xml:space="preserve">, разработанной, дополненной и одобренной консультантами Программы ИЛАНУД в интересах женщин в области правосудия и гендерного равенства, и в целях включения гендерной проблематики в анализ содержания предмета юриспруденции в рамках основного курса, который будет изучаться в учебных заведениях и центрах профессиональной юридической подготовки; </w:t>
      </w:r>
      <w:r>
        <w:rPr>
          <w:lang w:val="en-US"/>
        </w:rPr>
        <w:t>iii</w:t>
      </w:r>
      <w:r>
        <w:t xml:space="preserve">) в разработке учебного пособия для профессиональной подготовки работников юстиции "На пути к реальному равенству", адаптированному к их образовательному и культурному уровню и переведенному на языки качикуэль и майя-киче для использования его мировыми судьями из числа коренного населения в Гватемале; </w:t>
      </w:r>
      <w:r>
        <w:rPr>
          <w:lang w:val="en-US"/>
        </w:rPr>
        <w:t>iv</w:t>
      </w:r>
      <w:r>
        <w:t xml:space="preserve">) в создании национальных групп в составе 12 инструкторов из числа инструкторов учебных заведений и центров профессиональной юридической подготовки каждой страны; </w:t>
      </w:r>
      <w:r>
        <w:rPr>
          <w:lang w:val="en-US"/>
        </w:rPr>
        <w:t>v</w:t>
      </w:r>
      <w:r>
        <w:t xml:space="preserve">) в профессиональной подготовке 750 служащих органов судебной власти с использованием учебной модели "На пути к реальному равенству", том </w:t>
      </w:r>
      <w:r>
        <w:rPr>
          <w:lang w:val="en-US"/>
        </w:rPr>
        <w:t>I</w:t>
      </w:r>
      <w:r>
        <w:t xml:space="preserve">; </w:t>
      </w:r>
      <w:r>
        <w:rPr>
          <w:lang w:val="en-US"/>
        </w:rPr>
        <w:t>vi</w:t>
      </w:r>
      <w:r>
        <w:t>) в создании комитетов по вопросам равенства женщин и мужчин на базе учебных заведений и центров профессиональной юридической подготовки в каждой стране в качестве органов, задача которых – определение недостатков в профессиональной судебной подготовке и необходимых коррективов, а также составление планов действий, которые будут способствовать включению гендерного подхода в профессиональную юридическую подготовку, основанную на анализе содержания предмета юриспруденции.</w:t>
      </w:r>
    </w:p>
    <w:p w:rsidR="00000000" w:rsidRDefault="00000000">
      <w:pPr>
        <w:pStyle w:val="BodyTextIndent3"/>
        <w:tabs>
          <w:tab w:val="left" w:pos="680"/>
        </w:tabs>
        <w:spacing w:line="260" w:lineRule="exact"/>
        <w:ind w:left="0" w:firstLine="0"/>
      </w:pPr>
      <w:r>
        <w:t>633.</w:t>
      </w:r>
      <w:r>
        <w:tab/>
        <w:t>Согласно планам действий, разработанным и утвержденным комитетами по проблемам гендерного равенства в каждой стране, в качестве приоритетных выделены следующие ниже меры.</w:t>
      </w:r>
    </w:p>
    <w:p w:rsidR="00000000" w:rsidRDefault="00000000">
      <w:pPr>
        <w:pStyle w:val="BodyText"/>
        <w:tabs>
          <w:tab w:val="left" w:pos="680"/>
        </w:tabs>
        <w:spacing w:before="480" w:line="260" w:lineRule="exact"/>
        <w:jc w:val="left"/>
        <w:rPr>
          <w:b/>
          <w:sz w:val="22"/>
        </w:rPr>
      </w:pPr>
      <w:r>
        <w:rPr>
          <w:b/>
          <w:sz w:val="22"/>
        </w:rPr>
        <w:t xml:space="preserve">Изучение и оценка положения в отношении дискриминации по признаку пола </w:t>
      </w:r>
      <w:r>
        <w:rPr>
          <w:b/>
          <w:sz w:val="22"/>
        </w:rPr>
        <w:br/>
        <w:t>в сфере судебной власти</w:t>
      </w:r>
    </w:p>
    <w:p w:rsidR="00000000" w:rsidRDefault="00000000">
      <w:pPr>
        <w:pStyle w:val="BodyTextIndent3"/>
        <w:tabs>
          <w:tab w:val="left" w:pos="680"/>
        </w:tabs>
        <w:spacing w:line="260" w:lineRule="exact"/>
        <w:ind w:left="0" w:firstLine="0"/>
      </w:pPr>
      <w:r>
        <w:t>634.</w:t>
      </w:r>
      <w:r>
        <w:tab/>
        <w:t xml:space="preserve">Путем осуществления этих исследований планируется: </w:t>
      </w:r>
      <w:r>
        <w:rPr>
          <w:lang w:val="en-US"/>
        </w:rPr>
        <w:t>i</w:t>
      </w:r>
      <w:r>
        <w:t xml:space="preserve">) определить, как и где проявляется дискриминация по признаку пола в сфере судебной власти, для последующего использования этой базовой информации при разработке рабочих планов и определении параметров, необходимых для измерения эффективности этих планов; </w:t>
      </w:r>
      <w:r>
        <w:rPr>
          <w:lang w:val="en-US"/>
        </w:rPr>
        <w:t>ii</w:t>
      </w:r>
      <w:r>
        <w:t xml:space="preserve">) получить исходную информацию для планирования и разработки учебных материалов, которые будут использоваться для включения гендерной проблематики в программы учебных заведений и центров профессиональной юридической подготовки; и </w:t>
      </w:r>
      <w:r>
        <w:rPr>
          <w:lang w:val="en-US"/>
        </w:rPr>
        <w:t>iii</w:t>
      </w:r>
      <w:r>
        <w:t>) проведение общих разъяснительных бесед с руководством и служащими органов судебной власти о важности включения гендерной проблематики в практику отправления правосудия.</w:t>
      </w:r>
    </w:p>
    <w:p w:rsidR="00000000" w:rsidRDefault="00000000">
      <w:pPr>
        <w:pStyle w:val="BodyTextIndent3"/>
        <w:tabs>
          <w:tab w:val="left" w:pos="680"/>
        </w:tabs>
        <w:spacing w:before="0" w:line="260" w:lineRule="exact"/>
        <w:ind w:left="0" w:firstLine="0"/>
      </w:pPr>
    </w:p>
    <w:p w:rsidR="00000000" w:rsidRDefault="00000000">
      <w:pPr>
        <w:pStyle w:val="BodyText"/>
        <w:tabs>
          <w:tab w:val="left" w:pos="680"/>
        </w:tabs>
        <w:spacing w:before="240" w:line="260" w:lineRule="exact"/>
        <w:jc w:val="left"/>
        <w:rPr>
          <w:b/>
          <w:sz w:val="22"/>
        </w:rPr>
      </w:pPr>
      <w:r>
        <w:rPr>
          <w:b/>
          <w:sz w:val="22"/>
        </w:rPr>
        <w:t>Пропагандирование курса на включение гендерной проблематики в программы профессиональной юридической подготовки</w:t>
      </w:r>
    </w:p>
    <w:p w:rsidR="00000000" w:rsidRDefault="00000000">
      <w:pPr>
        <w:pStyle w:val="BodyTextIndent3"/>
        <w:tabs>
          <w:tab w:val="left" w:pos="680"/>
        </w:tabs>
        <w:spacing w:line="260" w:lineRule="exact"/>
        <w:ind w:left="0" w:firstLine="0"/>
      </w:pPr>
      <w:r>
        <w:t>635.</w:t>
      </w:r>
      <w:r>
        <w:tab/>
        <w:t xml:space="preserve">В ходе этой разъяснительно-пропагандистской работы планируется пробудить у служащих органов судебной власти, участвующих в принятии решений, интерес к гендерной проблематике и разъяснить им важность и необходимость ее включения в программы профессиональной юридической подготовки, а также укрепить положение комитетов по проблемам гендерного равенства, учрежденных в ходе оказания технической поддержки со стороны Программы ИЛАНУД в интересах женщин в области правосудия и гендерного равенства. </w:t>
      </w:r>
    </w:p>
    <w:p w:rsidR="00000000" w:rsidRDefault="00000000">
      <w:pPr>
        <w:pStyle w:val="BodyTextIndent3"/>
        <w:tabs>
          <w:tab w:val="left" w:pos="680"/>
        </w:tabs>
        <w:spacing w:before="0" w:line="260" w:lineRule="exact"/>
        <w:ind w:left="0" w:firstLine="0"/>
      </w:pPr>
    </w:p>
    <w:p w:rsidR="00000000" w:rsidRDefault="00000000">
      <w:pPr>
        <w:tabs>
          <w:tab w:val="left" w:pos="680"/>
        </w:tabs>
        <w:spacing w:before="240" w:line="260" w:lineRule="exact"/>
        <w:rPr>
          <w:b/>
          <w:sz w:val="22"/>
        </w:rPr>
      </w:pPr>
      <w:r>
        <w:rPr>
          <w:b/>
          <w:sz w:val="22"/>
        </w:rPr>
        <w:t xml:space="preserve">Обогащение программ профессиональной юридической подготовки путем </w:t>
      </w:r>
      <w:r>
        <w:rPr>
          <w:b/>
          <w:sz w:val="22"/>
        </w:rPr>
        <w:br/>
        <w:t>включения гендерной проблематики в предмет юриспруденции</w:t>
      </w:r>
    </w:p>
    <w:p w:rsidR="00000000" w:rsidRDefault="00000000">
      <w:pPr>
        <w:pStyle w:val="BodyTextIndent3"/>
        <w:tabs>
          <w:tab w:val="left" w:pos="680"/>
        </w:tabs>
        <w:spacing w:line="260" w:lineRule="exact"/>
        <w:ind w:left="0" w:firstLine="0"/>
        <w:rPr>
          <w:spacing w:val="-4"/>
        </w:rPr>
      </w:pPr>
      <w:r>
        <w:t>636.</w:t>
      </w:r>
      <w:r>
        <w:tab/>
      </w:r>
      <w:r>
        <w:rPr>
          <w:spacing w:val="-4"/>
        </w:rPr>
        <w:t xml:space="preserve">Такое обогащение программ позволит определить приоритетные области включения гендерной проблематики в предмет юриспруденции, а также привести его в соответствие с международно-правовыми документами, направленными на защиту прав женщин (уголовное законодательство, трудовое законодательство, семейное законодательство и т. д.). Оно также позволит углубить процесс профессиональной подготовки инструкторов и продолжить подготовку и детальную разработку учебных материалов, стимулируя обмен опытом между учебными заведениями и центрами профессиональной юридической подготовки стран региона. </w:t>
      </w:r>
    </w:p>
    <w:p w:rsidR="00000000" w:rsidRDefault="00000000">
      <w:pPr>
        <w:tabs>
          <w:tab w:val="left" w:pos="680"/>
        </w:tabs>
        <w:spacing w:before="480" w:line="260" w:lineRule="exact"/>
        <w:rPr>
          <w:b/>
          <w:sz w:val="22"/>
        </w:rPr>
      </w:pPr>
      <w:r>
        <w:rPr>
          <w:b/>
          <w:sz w:val="22"/>
        </w:rPr>
        <w:t xml:space="preserve">Совершенствование правовой базы, основывающейся на теории правоведения и законодательстве, путем включения гендерного аспекта в целях обеспечения </w:t>
      </w:r>
      <w:r>
        <w:rPr>
          <w:b/>
          <w:sz w:val="22"/>
        </w:rPr>
        <w:br/>
        <w:t>веской аргументации при вынесении судебных решений</w:t>
      </w:r>
    </w:p>
    <w:p w:rsidR="00000000" w:rsidRDefault="00000000">
      <w:pPr>
        <w:pStyle w:val="BodyTextIndent3"/>
        <w:tabs>
          <w:tab w:val="left" w:pos="680"/>
        </w:tabs>
        <w:spacing w:line="260" w:lineRule="exact"/>
        <w:ind w:left="0" w:firstLine="0"/>
      </w:pPr>
      <w:r>
        <w:t>637.</w:t>
      </w:r>
      <w:r>
        <w:tab/>
        <w:t xml:space="preserve">Данное направление работы позволит: </w:t>
      </w:r>
      <w:r>
        <w:rPr>
          <w:lang w:val="en-US"/>
        </w:rPr>
        <w:t>i</w:t>
      </w:r>
      <w:r>
        <w:t xml:space="preserve">) составить сборник положений теории права и законодательства как содержащих элементы дискриминации по признаку пола, так и учитывающих гендерный аспект, включить в него комментарии экспертов, сделать его доступным в электронной форме и удобным для использования юридическими работниками органов государственной власти, участвующими в отправлении правосудия, и </w:t>
      </w:r>
      <w:r>
        <w:rPr>
          <w:lang w:val="en-US"/>
        </w:rPr>
        <w:t>ii</w:t>
      </w:r>
      <w:r>
        <w:t>) создать теорию права с учетом гендерного аспекта для ее распространения и популяризации среди работников юстиции в регионе.</w:t>
      </w:r>
    </w:p>
    <w:p w:rsidR="00000000" w:rsidRDefault="00000000">
      <w:pPr>
        <w:tabs>
          <w:tab w:val="left" w:pos="680"/>
        </w:tabs>
        <w:spacing w:before="480" w:line="260" w:lineRule="exact"/>
        <w:rPr>
          <w:b/>
          <w:sz w:val="22"/>
        </w:rPr>
      </w:pPr>
      <w:r>
        <w:rPr>
          <w:b/>
          <w:sz w:val="22"/>
        </w:rPr>
        <w:t>Подготовка, переработка или упразднение законов с целью учета гендерных аспектов, упрощения судебных процедур и обеспечения на основе практического опыта судебных органов выполнения международно-правовых документов по правам женщин</w:t>
      </w:r>
    </w:p>
    <w:p w:rsidR="00000000" w:rsidRDefault="00000000">
      <w:pPr>
        <w:pStyle w:val="BodyText"/>
        <w:tabs>
          <w:tab w:val="left" w:pos="680"/>
        </w:tabs>
        <w:spacing w:before="240" w:line="260" w:lineRule="exact"/>
        <w:rPr>
          <w:sz w:val="22"/>
        </w:rPr>
      </w:pPr>
      <w:r>
        <w:rPr>
          <w:sz w:val="22"/>
        </w:rPr>
        <w:t>638.</w:t>
      </w:r>
      <w:r>
        <w:rPr>
          <w:sz w:val="22"/>
        </w:rPr>
        <w:tab/>
        <w:t xml:space="preserve">Данное направление работы предусматривает: </w:t>
      </w:r>
      <w:r>
        <w:rPr>
          <w:sz w:val="22"/>
          <w:lang w:val="en-US"/>
        </w:rPr>
        <w:t>i</w:t>
      </w:r>
      <w:r>
        <w:rPr>
          <w:sz w:val="22"/>
        </w:rPr>
        <w:t xml:space="preserve">) изучение и анализ процессов в случаях, когда главными пользователями той или иной услуги являются женщины; </w:t>
      </w:r>
      <w:r>
        <w:rPr>
          <w:sz w:val="22"/>
          <w:lang w:val="en-US"/>
        </w:rPr>
        <w:t>iii</w:t>
      </w:r>
      <w:r>
        <w:rPr>
          <w:sz w:val="22"/>
        </w:rPr>
        <w:t xml:space="preserve">) проведение "круглых столов" с привлечением различных сторон, участвующих в принятии мер в сфере судебной власти, с целью совершенствования систем на основе практического опыта; и </w:t>
      </w:r>
      <w:r>
        <w:rPr>
          <w:sz w:val="22"/>
          <w:lang w:val="en-US"/>
        </w:rPr>
        <w:t>iii</w:t>
      </w:r>
      <w:r>
        <w:rPr>
          <w:sz w:val="22"/>
        </w:rPr>
        <w:t>) учреждение совместных комиссий судебной и законодательной власти для подготовки, переработки и упразднения законов.</w:t>
      </w:r>
    </w:p>
    <w:p w:rsidR="00000000" w:rsidRDefault="00000000">
      <w:pPr>
        <w:tabs>
          <w:tab w:val="left" w:pos="680"/>
        </w:tabs>
        <w:spacing w:before="480" w:line="260" w:lineRule="exact"/>
        <w:jc w:val="both"/>
        <w:rPr>
          <w:b/>
          <w:sz w:val="22"/>
        </w:rPr>
      </w:pPr>
      <w:r>
        <w:rPr>
          <w:b/>
          <w:sz w:val="22"/>
        </w:rPr>
        <w:t>Расширение прав жертв насилия на судебных процессах</w:t>
      </w:r>
    </w:p>
    <w:p w:rsidR="00000000" w:rsidRDefault="00000000">
      <w:pPr>
        <w:tabs>
          <w:tab w:val="left" w:pos="680"/>
        </w:tabs>
        <w:spacing w:before="240" w:line="260" w:lineRule="exact"/>
        <w:jc w:val="both"/>
        <w:rPr>
          <w:sz w:val="22"/>
        </w:rPr>
      </w:pPr>
      <w:r>
        <w:rPr>
          <w:sz w:val="22"/>
        </w:rPr>
        <w:t>639.</w:t>
      </w:r>
      <w:r>
        <w:rPr>
          <w:sz w:val="22"/>
        </w:rPr>
        <w:tab/>
        <w:t xml:space="preserve">Для расширения прав потерпевших необходимо: </w:t>
      </w:r>
      <w:r>
        <w:rPr>
          <w:sz w:val="22"/>
          <w:lang w:val="en-US"/>
        </w:rPr>
        <w:t>i</w:t>
      </w:r>
      <w:r>
        <w:rPr>
          <w:sz w:val="22"/>
        </w:rPr>
        <w:t xml:space="preserve">) разработать обобщенный аналитический документ о роли жертв насилия на судебных процессах и инфраструктуру поддержки системы отправления правосудия для гарантии их прав; </w:t>
      </w:r>
      <w:r>
        <w:rPr>
          <w:sz w:val="22"/>
          <w:lang w:val="en-US"/>
        </w:rPr>
        <w:t>ii</w:t>
      </w:r>
      <w:r>
        <w:rPr>
          <w:sz w:val="22"/>
        </w:rPr>
        <w:t xml:space="preserve">) проводить профессиональную подготовку персонала по данным вопросам; и </w:t>
      </w:r>
      <w:r>
        <w:rPr>
          <w:sz w:val="22"/>
          <w:lang w:val="en-US"/>
        </w:rPr>
        <w:t>iii</w:t>
      </w:r>
      <w:r>
        <w:rPr>
          <w:sz w:val="22"/>
        </w:rPr>
        <w:t>) выработать с помощью междисциплинарных групп и принять к исполнению модели учета интересов жертв насилия, которые обеспечили бы удобную, своевременную, надежную и конфиденциальную судебную процедуру, позволяющую гарантировать полное использование потерпевшими своих прав.</w:t>
      </w:r>
    </w:p>
    <w:p w:rsidR="00000000" w:rsidRDefault="00000000">
      <w:pPr>
        <w:pStyle w:val="BodyTextIndent3"/>
        <w:tabs>
          <w:tab w:val="left" w:pos="680"/>
        </w:tabs>
        <w:spacing w:line="260" w:lineRule="exact"/>
        <w:ind w:left="0" w:firstLine="0"/>
        <w:rPr>
          <w:spacing w:val="-2"/>
        </w:rPr>
      </w:pPr>
      <w:r>
        <w:t>640.</w:t>
      </w:r>
      <w:r>
        <w:tab/>
      </w:r>
      <w:r>
        <w:rPr>
          <w:spacing w:val="-2"/>
        </w:rPr>
        <w:t>В рамках мер, выделенных комитетами по проблемам гендерного равенства в качестве приоритетных, планируется на данном этапе начать выполнение тех мероприятий, которые направлены на удовлетворение наиболее насущных потребностей и на реальное включение гендерной проблематики в программы юридической подготовки, а именно:</w:t>
      </w:r>
    </w:p>
    <w:p w:rsidR="00000000" w:rsidRDefault="00000000">
      <w:pPr>
        <w:pStyle w:val="BodyText"/>
        <w:tabs>
          <w:tab w:val="left" w:pos="340"/>
          <w:tab w:val="left" w:pos="680"/>
        </w:tabs>
        <w:spacing w:before="180" w:line="260" w:lineRule="exact"/>
        <w:ind w:left="340" w:hanging="340"/>
        <w:rPr>
          <w:sz w:val="22"/>
        </w:rPr>
      </w:pPr>
      <w:r>
        <w:rPr>
          <w:sz w:val="22"/>
        </w:rPr>
        <w:sym w:font="Symbol" w:char="F0B7"/>
      </w:r>
      <w:r>
        <w:rPr>
          <w:sz w:val="22"/>
        </w:rPr>
        <w:tab/>
        <w:t>Активизация политики включения гендерной проблематики в программы юридической подготовки.</w:t>
      </w:r>
    </w:p>
    <w:p w:rsidR="00000000" w:rsidRDefault="00000000">
      <w:pPr>
        <w:tabs>
          <w:tab w:val="left" w:pos="340"/>
          <w:tab w:val="left" w:pos="680"/>
        </w:tabs>
        <w:spacing w:before="180" w:line="260" w:lineRule="exact"/>
        <w:ind w:left="340" w:hanging="340"/>
        <w:jc w:val="both"/>
        <w:rPr>
          <w:sz w:val="22"/>
        </w:rPr>
      </w:pPr>
      <w:r>
        <w:rPr>
          <w:sz w:val="22"/>
        </w:rPr>
        <w:sym w:font="Symbol" w:char="F0B7"/>
      </w:r>
      <w:r>
        <w:rPr>
          <w:sz w:val="22"/>
        </w:rPr>
        <w:tab/>
        <w:t>Расширение программ профессиональной юридической подготовки путем включения гендерной проблематики в предмет юриспруденции.</w:t>
      </w:r>
    </w:p>
    <w:p w:rsidR="00000000" w:rsidRDefault="00000000">
      <w:pPr>
        <w:tabs>
          <w:tab w:val="left" w:pos="340"/>
          <w:tab w:val="left" w:pos="680"/>
        </w:tabs>
        <w:spacing w:before="180" w:line="260" w:lineRule="exact"/>
        <w:ind w:left="340" w:hanging="340"/>
        <w:jc w:val="both"/>
        <w:rPr>
          <w:sz w:val="22"/>
        </w:rPr>
      </w:pPr>
      <w:r>
        <w:rPr>
          <w:sz w:val="22"/>
        </w:rPr>
        <w:sym w:font="Symbol" w:char="F0B7"/>
      </w:r>
      <w:r>
        <w:rPr>
          <w:sz w:val="22"/>
        </w:rPr>
        <w:tab/>
        <w:t xml:space="preserve">Включение гендерного аспекта в число доводов для обоснования судебных решений на основе теории права и судебной практики </w:t>
      </w:r>
    </w:p>
    <w:p w:rsidR="00000000" w:rsidRDefault="00000000">
      <w:pPr>
        <w:tabs>
          <w:tab w:val="left" w:pos="680"/>
        </w:tabs>
        <w:spacing w:before="360" w:line="260" w:lineRule="exact"/>
        <w:rPr>
          <w:b/>
          <w:sz w:val="22"/>
        </w:rPr>
      </w:pPr>
      <w:r>
        <w:rPr>
          <w:b/>
          <w:sz w:val="22"/>
        </w:rPr>
        <w:t xml:space="preserve">Включение гендерных аспектов в работу правительственных, межправительственных </w:t>
      </w:r>
      <w:r>
        <w:rPr>
          <w:b/>
          <w:sz w:val="22"/>
        </w:rPr>
        <w:br/>
        <w:t>и неправительственных организаций</w:t>
      </w:r>
    </w:p>
    <w:p w:rsidR="00000000" w:rsidRDefault="00000000">
      <w:pPr>
        <w:pStyle w:val="BodyText"/>
        <w:tabs>
          <w:tab w:val="left" w:pos="680"/>
        </w:tabs>
        <w:spacing w:before="240" w:line="260" w:lineRule="exact"/>
        <w:rPr>
          <w:sz w:val="22"/>
        </w:rPr>
      </w:pPr>
      <w:r>
        <w:rPr>
          <w:sz w:val="22"/>
        </w:rPr>
        <w:t>641.</w:t>
      </w:r>
      <w:r>
        <w:rPr>
          <w:sz w:val="22"/>
        </w:rPr>
        <w:tab/>
        <w:t>Включение гендерных аспектов в сферу деятельности правительственных, неправительственных и межправительственных организаций идет с большим трудом вследствие упорного сопротивления, с которым приходится сталкиваться в данном вопросе, несмотря на обязательства, принятые государствами перед международным сообществом. По этой причине Программа всегда придерживалась гибких и преемственных форм работы по оказанию поддержки и технической помощи тем организациям, которые об этом просят. Накопленный за многие годы опыт показывает, что такая форма работы является наиболее эффективной, поскольку соответствует открытому подходу к данной проблеме, которого придерживаются запрашивающие помощь организации.</w:t>
      </w:r>
    </w:p>
    <w:p w:rsidR="00000000" w:rsidRDefault="00000000">
      <w:pPr>
        <w:pStyle w:val="BodyText"/>
        <w:tabs>
          <w:tab w:val="left" w:pos="680"/>
        </w:tabs>
        <w:spacing w:before="240" w:line="260" w:lineRule="exact"/>
        <w:rPr>
          <w:sz w:val="22"/>
        </w:rPr>
      </w:pPr>
      <w:r>
        <w:rPr>
          <w:sz w:val="22"/>
        </w:rPr>
        <w:t>642.</w:t>
      </w:r>
      <w:r>
        <w:rPr>
          <w:sz w:val="22"/>
        </w:rPr>
        <w:tab/>
        <w:t>В работе по данному направлению Программа в интересах женщин в области правосудия и гендерного равенства активно сотрудничала с органами прокуратуры и коллегиями адвокатов по защите прав граждан стран региона с целью включения гендерных аспектов в их работу. Особенно следует отметить ее инициативу в области профессиональной подготовки совместно с Национальной комиссией по правам человека Гондураса, Прокуратурой по правам человека Сальвадора, Прокуратурой по правам человека Гватемалы и Коллегией адвокатов по защите прав граждан Коста-Рики.</w:t>
      </w:r>
    </w:p>
    <w:p w:rsidR="00000000" w:rsidRDefault="00000000">
      <w:pPr>
        <w:pStyle w:val="BodyText"/>
        <w:tabs>
          <w:tab w:val="left" w:pos="680"/>
        </w:tabs>
        <w:spacing w:before="240" w:line="260" w:lineRule="exact"/>
        <w:rPr>
          <w:sz w:val="22"/>
        </w:rPr>
      </w:pPr>
      <w:r>
        <w:rPr>
          <w:sz w:val="22"/>
        </w:rPr>
        <w:t>643.</w:t>
      </w:r>
      <w:r>
        <w:rPr>
          <w:sz w:val="22"/>
        </w:rPr>
        <w:tab/>
        <w:t xml:space="preserve">В дополнение к этому была оказана поддержка министерствам иностранных дел, юстиции, внутренних дел, а также министерствам и ведомствам по проблемам женщин, равно как и сотрудникам таких межправительственных организаций, как Межамериканский институт по правам человека, органам системы Организации Объединенных Наций (ЮНИФЕМ, ЮНИСЕФ, ПРООН) и специализированным учреждениям (МОТ), Центру содействия правосудию и международному праву, Disabled People International, Межамериканскому объединению женщин в защиту прав человека, и т. д. Эта поддержка способствовала включению деятельности этих организаций в сферу защиты прав человека и борьбы с дискриминацией по признаку пола и позволила Программе использовать их опыт, а кроме того, и далее расширять и развивать сферу своей деятельности. </w:t>
      </w:r>
    </w:p>
    <w:p w:rsidR="00000000" w:rsidRDefault="00000000">
      <w:pPr>
        <w:pStyle w:val="BodyText"/>
        <w:tabs>
          <w:tab w:val="left" w:pos="680"/>
        </w:tabs>
        <w:spacing w:before="240" w:line="260" w:lineRule="exact"/>
        <w:rPr>
          <w:sz w:val="22"/>
        </w:rPr>
      </w:pPr>
    </w:p>
    <w:p w:rsidR="00000000" w:rsidRDefault="00000000">
      <w:pPr>
        <w:pStyle w:val="Heading1"/>
        <w:tabs>
          <w:tab w:val="left" w:pos="680"/>
        </w:tabs>
        <w:spacing w:before="240" w:line="260" w:lineRule="exact"/>
        <w:jc w:val="center"/>
        <w:rPr>
          <w:sz w:val="22"/>
        </w:rPr>
      </w:pPr>
      <w:r>
        <w:rPr>
          <w:sz w:val="22"/>
        </w:rPr>
        <w:t>Статья 16. Права женщин в вопросах брака и семьи</w:t>
      </w:r>
    </w:p>
    <w:p w:rsidR="00000000" w:rsidRDefault="00000000">
      <w:pPr>
        <w:pStyle w:val="Heading3"/>
        <w:jc w:val="both"/>
        <w:rPr>
          <w:b w:val="0"/>
          <w:i/>
        </w:rPr>
      </w:pPr>
      <w:r>
        <w:rPr>
          <w:b w:val="0"/>
          <w:i/>
        </w:rPr>
        <w:t>Статья 16</w:t>
      </w:r>
    </w:p>
    <w:p w:rsidR="00000000" w:rsidRDefault="00000000">
      <w:pPr>
        <w:tabs>
          <w:tab w:val="left" w:pos="340"/>
          <w:tab w:val="left" w:pos="680"/>
        </w:tabs>
        <w:spacing w:before="240" w:line="260" w:lineRule="exact"/>
        <w:ind w:left="340" w:hanging="340"/>
        <w:jc w:val="both"/>
        <w:rPr>
          <w:i/>
          <w:sz w:val="22"/>
        </w:rPr>
      </w:pPr>
      <w:r>
        <w:rPr>
          <w:i/>
          <w:sz w:val="22"/>
        </w:rPr>
        <w:t>1.</w:t>
      </w:r>
      <w:r>
        <w:rPr>
          <w:i/>
          <w:sz w:val="22"/>
        </w:rPr>
        <w:tab/>
        <w:t>Государства-участники принимают все соответствующие меры для ликвидации дискриминации в отношении женщин во всех вопросах, касающихся брака и семейных отношений, и, в частности, обеспечивают на основе равенства женщин и мужчин:</w:t>
      </w:r>
    </w:p>
    <w:p w:rsidR="00000000" w:rsidRDefault="00000000">
      <w:pPr>
        <w:tabs>
          <w:tab w:val="left" w:pos="340"/>
          <w:tab w:val="left" w:pos="680"/>
        </w:tabs>
        <w:spacing w:before="240" w:line="260" w:lineRule="exact"/>
        <w:jc w:val="both"/>
        <w:rPr>
          <w:i/>
          <w:sz w:val="22"/>
        </w:rPr>
      </w:pPr>
      <w:r>
        <w:rPr>
          <w:i/>
          <w:sz w:val="22"/>
        </w:rPr>
        <w:tab/>
        <w:t>а)</w:t>
      </w:r>
      <w:r>
        <w:rPr>
          <w:i/>
          <w:sz w:val="22"/>
        </w:rPr>
        <w:tab/>
        <w:t>одинаковые права на вступление в брак;</w:t>
      </w:r>
    </w:p>
    <w:p w:rsidR="00000000" w:rsidRDefault="00000000">
      <w:pPr>
        <w:tabs>
          <w:tab w:val="left" w:pos="340"/>
          <w:tab w:val="left" w:pos="680"/>
        </w:tabs>
        <w:spacing w:before="240" w:line="260" w:lineRule="exact"/>
        <w:ind w:left="680" w:hanging="680"/>
        <w:jc w:val="both"/>
        <w:rPr>
          <w:i/>
          <w:sz w:val="22"/>
        </w:rPr>
      </w:pPr>
      <w:r>
        <w:rPr>
          <w:i/>
          <w:sz w:val="22"/>
        </w:rPr>
        <w:tab/>
        <w:t>b)</w:t>
      </w:r>
      <w:r>
        <w:rPr>
          <w:i/>
          <w:sz w:val="22"/>
        </w:rPr>
        <w:tab/>
        <w:t>одинаковые права на свободный выбор супруга и на вступление в брак только со своего свободного и полного согласия;</w:t>
      </w:r>
    </w:p>
    <w:p w:rsidR="00000000" w:rsidRDefault="00000000">
      <w:pPr>
        <w:tabs>
          <w:tab w:val="left" w:pos="340"/>
          <w:tab w:val="left" w:pos="680"/>
        </w:tabs>
        <w:spacing w:before="240" w:line="260" w:lineRule="exact"/>
        <w:jc w:val="both"/>
        <w:rPr>
          <w:i/>
          <w:sz w:val="22"/>
        </w:rPr>
      </w:pPr>
      <w:r>
        <w:rPr>
          <w:i/>
          <w:sz w:val="22"/>
        </w:rPr>
        <w:tab/>
        <w:t>c)</w:t>
      </w:r>
      <w:r>
        <w:rPr>
          <w:i/>
          <w:sz w:val="22"/>
        </w:rPr>
        <w:tab/>
        <w:t>одинаковые права и обязанности в период брака и при его расторжении;</w:t>
      </w:r>
    </w:p>
    <w:p w:rsidR="00000000" w:rsidRDefault="00000000">
      <w:pPr>
        <w:tabs>
          <w:tab w:val="left" w:pos="340"/>
          <w:tab w:val="left" w:pos="680"/>
        </w:tabs>
        <w:spacing w:before="240" w:line="260" w:lineRule="exact"/>
        <w:ind w:left="680" w:hanging="680"/>
        <w:jc w:val="both"/>
        <w:rPr>
          <w:i/>
          <w:sz w:val="22"/>
        </w:rPr>
      </w:pPr>
      <w:r>
        <w:rPr>
          <w:i/>
          <w:sz w:val="22"/>
        </w:rPr>
        <w:tab/>
        <w:t>d)</w:t>
      </w:r>
      <w:r>
        <w:rPr>
          <w:i/>
          <w:sz w:val="22"/>
        </w:rPr>
        <w:tab/>
        <w:t>одинаковые права и обязанности женщин и мужчин как родителей, независимо от их семейного положения, в вопросах, касающихся их детей; во всех случаях интересы детей являются преобладающими;</w:t>
      </w:r>
    </w:p>
    <w:p w:rsidR="00000000" w:rsidRDefault="00000000">
      <w:pPr>
        <w:tabs>
          <w:tab w:val="left" w:pos="340"/>
          <w:tab w:val="left" w:pos="680"/>
        </w:tabs>
        <w:spacing w:before="240" w:line="260" w:lineRule="exact"/>
        <w:ind w:left="680" w:hanging="680"/>
        <w:jc w:val="both"/>
        <w:rPr>
          <w:i/>
          <w:sz w:val="22"/>
        </w:rPr>
      </w:pPr>
      <w:r>
        <w:rPr>
          <w:i/>
          <w:sz w:val="22"/>
        </w:rPr>
        <w:tab/>
        <w:t>e)</w:t>
      </w:r>
      <w:r>
        <w:rPr>
          <w:i/>
          <w:sz w:val="22"/>
        </w:rPr>
        <w:tab/>
        <w:t>одинаковые права свободно и ответственно решать вопрос о числе детей и промежутках между их рождениями и иметь доступ к информации, образованию, а также средствам, которые позволяют им осуществлять это право;</w:t>
      </w:r>
    </w:p>
    <w:p w:rsidR="00000000" w:rsidRDefault="00000000">
      <w:pPr>
        <w:tabs>
          <w:tab w:val="left" w:pos="340"/>
          <w:tab w:val="left" w:pos="680"/>
        </w:tabs>
        <w:spacing w:before="180" w:line="260" w:lineRule="exact"/>
        <w:ind w:left="680" w:hanging="680"/>
        <w:jc w:val="both"/>
        <w:rPr>
          <w:i/>
          <w:sz w:val="22"/>
        </w:rPr>
      </w:pPr>
      <w:r>
        <w:rPr>
          <w:i/>
          <w:sz w:val="22"/>
        </w:rPr>
        <w:tab/>
        <w:t>f)</w:t>
      </w:r>
      <w:r>
        <w:rPr>
          <w:i/>
          <w:sz w:val="22"/>
        </w:rPr>
        <w:tab/>
        <w:t>одинаковые права и обязанности быть опекунами, попечителями, доверителями и усыновителями детей или осуществлять аналогичные функции, когда они предусмотрены национальным законодательством; во всех случаях интересы детей являются преобладающими;</w:t>
      </w:r>
    </w:p>
    <w:p w:rsidR="00000000" w:rsidRDefault="00000000">
      <w:pPr>
        <w:tabs>
          <w:tab w:val="left" w:pos="340"/>
          <w:tab w:val="left" w:pos="680"/>
        </w:tabs>
        <w:spacing w:before="180" w:line="260" w:lineRule="exact"/>
        <w:ind w:left="680" w:hanging="680"/>
        <w:jc w:val="both"/>
        <w:rPr>
          <w:i/>
          <w:sz w:val="22"/>
        </w:rPr>
      </w:pPr>
      <w:r>
        <w:rPr>
          <w:i/>
          <w:sz w:val="22"/>
        </w:rPr>
        <w:tab/>
        <w:t>g)</w:t>
      </w:r>
      <w:r>
        <w:rPr>
          <w:i/>
          <w:sz w:val="22"/>
        </w:rPr>
        <w:tab/>
        <w:t>одинаковые личные права мужа и жены, в том числе право выбора фамилии, профессии и занятия;</w:t>
      </w:r>
    </w:p>
    <w:p w:rsidR="00000000" w:rsidRDefault="00000000">
      <w:pPr>
        <w:tabs>
          <w:tab w:val="left" w:pos="340"/>
          <w:tab w:val="left" w:pos="680"/>
        </w:tabs>
        <w:spacing w:before="180" w:line="260" w:lineRule="exact"/>
        <w:ind w:left="680" w:hanging="680"/>
        <w:jc w:val="both"/>
        <w:rPr>
          <w:i/>
          <w:sz w:val="22"/>
        </w:rPr>
      </w:pPr>
      <w:r>
        <w:rPr>
          <w:i/>
          <w:sz w:val="22"/>
        </w:rPr>
        <w:tab/>
        <w:t>h)</w:t>
      </w:r>
      <w:r>
        <w:rPr>
          <w:i/>
          <w:sz w:val="22"/>
        </w:rPr>
        <w:tab/>
        <w:t>одинаковые права супругов в отношении владения, приобретения, управления, пользования и распоряжения имуществом как бесплатно, так и за плату.</w:t>
      </w:r>
    </w:p>
    <w:p w:rsidR="00000000" w:rsidRDefault="00000000">
      <w:pPr>
        <w:pStyle w:val="BodyTextIndent2"/>
        <w:tabs>
          <w:tab w:val="left" w:pos="340"/>
          <w:tab w:val="left" w:pos="680"/>
        </w:tabs>
        <w:spacing w:before="180" w:line="260" w:lineRule="exact"/>
        <w:ind w:left="340" w:hanging="340"/>
        <w:jc w:val="both"/>
        <w:rPr>
          <w:i/>
          <w:sz w:val="22"/>
        </w:rPr>
      </w:pPr>
      <w:r>
        <w:rPr>
          <w:i/>
          <w:sz w:val="22"/>
        </w:rPr>
        <w:t>2.</w:t>
      </w:r>
      <w:r>
        <w:rPr>
          <w:i/>
          <w:sz w:val="22"/>
        </w:rPr>
        <w:tab/>
        <w:t>Обручение и брак ребенка не имеют юридической силы, и принимаются все необходимые меры, включая законодательные, с целью определения минимального брачного возраста и обязательной регистрации браков в актах гражданского состояния.</w:t>
      </w:r>
    </w:p>
    <w:p w:rsidR="00000000" w:rsidRDefault="00000000">
      <w:pPr>
        <w:pStyle w:val="BodyTextIndent2"/>
        <w:tabs>
          <w:tab w:val="left" w:pos="340"/>
          <w:tab w:val="left" w:pos="680"/>
        </w:tabs>
        <w:spacing w:line="180" w:lineRule="exact"/>
        <w:ind w:left="340" w:hanging="340"/>
        <w:jc w:val="both"/>
        <w:rPr>
          <w:i/>
          <w:sz w:val="22"/>
        </w:rPr>
      </w:pPr>
    </w:p>
    <w:p w:rsidR="00000000" w:rsidRDefault="00000000">
      <w:pPr>
        <w:pStyle w:val="Heading2"/>
        <w:tabs>
          <w:tab w:val="left" w:pos="680"/>
        </w:tabs>
        <w:spacing w:before="240" w:line="260" w:lineRule="exact"/>
        <w:jc w:val="both"/>
        <w:rPr>
          <w:smallCaps w:val="0"/>
          <w:sz w:val="22"/>
        </w:rPr>
      </w:pPr>
      <w:r>
        <w:rPr>
          <w:smallCaps w:val="0"/>
          <w:sz w:val="22"/>
        </w:rPr>
        <w:t xml:space="preserve">Закон об ответственном отцовстве </w:t>
      </w:r>
    </w:p>
    <w:p w:rsidR="00000000" w:rsidRDefault="00000000">
      <w:pPr>
        <w:tabs>
          <w:tab w:val="left" w:pos="680"/>
        </w:tabs>
        <w:spacing w:before="180" w:line="260" w:lineRule="exact"/>
        <w:jc w:val="both"/>
        <w:rPr>
          <w:sz w:val="22"/>
        </w:rPr>
      </w:pPr>
      <w:r>
        <w:rPr>
          <w:sz w:val="22"/>
        </w:rPr>
        <w:t>644.</w:t>
      </w:r>
      <w:r>
        <w:rPr>
          <w:sz w:val="22"/>
        </w:rPr>
        <w:tab/>
        <w:t xml:space="preserve">Самым значительным достижением в данной области за этот период было принятие 27 марта 2001 года Закона № 8101 об ответственном отцовстве, который был подписан 16 апреля того же года. Принятие этого закона стало важным шагом в борьбе против дискриминации в отношении женщин с детьми, рожденными вне брака, а также в отношении большого числа детей, не признанных своими отцами и лишенных материальной поддержки с их стороны. Таким образом, этот закон является инструментом, служащим защите прав как ребенка, так и женщин. Данный закон был разработан в рамках осуществления цели достижения равноправия между женщинами и мужчинами. Благодаря закону устраняется неравенство, выражавшееся в большей правовой защищенности мужчин, улучшается положение женщин и устанавливается презумпция того, что у каждого ребенка есть законный отец, поскольку обязывает последнего к прохождению анализа на ДНК либо, в случае отказа записать ребенка на свое имя, к обязательному решению этого вопроса в суде. В законе предусмотрена специальная процедура осуществления всех действий по установлению отцовства. Данная процедура не затянута, осуществляется в устной форме и не дает права на апелляцию или же на опротестование в какой-либо другой форме решений, принимаемых судом. Таким образом, предупреждается возможное затягивание дела со стороны предполагаемого отца, в том числе обращение к ранее существовавшей процедуре установления отцовства, которая благодаря новому закону значительно упростилась и теперь длится шесть месяцев вместо двух лет, как это было прежде. </w:t>
      </w:r>
    </w:p>
    <w:p w:rsidR="00000000" w:rsidRDefault="00000000">
      <w:pPr>
        <w:tabs>
          <w:tab w:val="left" w:pos="680"/>
        </w:tabs>
        <w:spacing w:before="180" w:line="260" w:lineRule="exact"/>
        <w:jc w:val="both"/>
        <w:rPr>
          <w:sz w:val="22"/>
        </w:rPr>
      </w:pPr>
      <w:r>
        <w:rPr>
          <w:sz w:val="22"/>
        </w:rPr>
        <w:t>645.</w:t>
      </w:r>
      <w:r>
        <w:rPr>
          <w:sz w:val="22"/>
        </w:rPr>
        <w:tab/>
        <w:t xml:space="preserve">Принятие данного закона явилось важной исторической вехой на пути поиска решения этой юридической, социальной и экономической проблемы, столь значимой в связи с ее распространенностью. За последние десять лет число детей, рожденных вне брака и не имеющих зарегистрированных сведений об отце, значительно возросло. По данным Национального института статистики и переписей населения (1999 год), в 1999 году из 78 526 зарегистрированных новорожденных 40 449 были рождены вне брака, из них, в свою очередь, 58,9 процента были зарегистрированы как не имеющие отца. В соответствии с этими данными 23 845 детей находятся на исключительном попечении матери и лишены материальной поддержки, которую обязан предоставить отец. В результате на мать ложится чрезмерная нагрузка, она оказывается в ущемленном положении, что наносит значительный эмоциональный, социальный и экономический ущерб самим женщинам и их детям. Согласно этому же источнику, ежегодно увеличивается число детей, зарегистрированных как не имеющие отца, несмотря на то что общее число рождений из года в год уменьшается. </w:t>
      </w:r>
    </w:p>
    <w:p w:rsidR="00000000" w:rsidRDefault="00000000">
      <w:pPr>
        <w:tabs>
          <w:tab w:val="left" w:pos="680"/>
        </w:tabs>
        <w:spacing w:before="240" w:line="260" w:lineRule="exact"/>
        <w:jc w:val="both"/>
        <w:rPr>
          <w:sz w:val="22"/>
        </w:rPr>
      </w:pPr>
      <w:r>
        <w:rPr>
          <w:sz w:val="22"/>
        </w:rPr>
        <w:t>646.</w:t>
      </w:r>
      <w:r>
        <w:rPr>
          <w:sz w:val="22"/>
        </w:rPr>
        <w:tab/>
        <w:t xml:space="preserve">До принятия данного закона процедура признания отцовства длилась в среднем два года и была достаточно дорогостоящей для матерей в силу множества формальностей, проволочек и различных способов затягивания дела, используемых предполагаемыми отцами. Благодаря закону появилась возможность решения многих юридических вопросов, поскольку непризнание отцовства делает невозможным взыскание алиментов, что означает ущемление социальных прав ребенка. Отсюда возникают многочисленные социальные проблемы, в том числе тяжелое материальное бремя не только для матери, но и для государства. </w:t>
      </w:r>
    </w:p>
    <w:p w:rsidR="00000000" w:rsidRDefault="00000000">
      <w:pPr>
        <w:tabs>
          <w:tab w:val="left" w:pos="680"/>
        </w:tabs>
        <w:spacing w:before="240" w:line="260" w:lineRule="exact"/>
        <w:jc w:val="both"/>
        <w:rPr>
          <w:spacing w:val="-2"/>
          <w:sz w:val="22"/>
        </w:rPr>
      </w:pPr>
      <w:r>
        <w:rPr>
          <w:sz w:val="22"/>
        </w:rPr>
        <w:t>647.</w:t>
      </w:r>
      <w:r>
        <w:rPr>
          <w:sz w:val="22"/>
        </w:rPr>
        <w:tab/>
      </w:r>
      <w:r>
        <w:rPr>
          <w:spacing w:val="-2"/>
          <w:sz w:val="22"/>
        </w:rPr>
        <w:t>Окончательная редакция закона была осуществлена Межведомственной комиссией, состоящей из представителей ИНАМУ, Коллегии адвокатов по защите прав граждан, судебных органов, Университета Коста-Рики, Государственного детского благотворительного фонда, органов регистрации гражданского состояния, Законодательного собрания и независимых специалистов. Участие в разработке проекта закона этих учреждений позволило создать основу для достижения важных договоренностей.</w:t>
      </w:r>
    </w:p>
    <w:p w:rsidR="00000000" w:rsidRDefault="00000000">
      <w:pPr>
        <w:pStyle w:val="BodyTextIndent3"/>
        <w:tabs>
          <w:tab w:val="left" w:pos="680"/>
        </w:tabs>
        <w:spacing w:line="260" w:lineRule="exact"/>
        <w:ind w:left="0" w:firstLine="0"/>
      </w:pPr>
      <w:r>
        <w:t>648.</w:t>
      </w:r>
      <w:r>
        <w:tab/>
        <w:t>По данным органов регистрации гражданского состояния, с момента вступления в силу закона 11 марта 2002 года имел место 6441 случай подачи заявлений об установлении отцовства; из них 3853 случая добровольного признания отцовства, что составляет 60 процентов от общего числа; 1461 случай находится на рассмотрении; по 152 случаям должен быть проведен анализ на ДНК и по 973 случаям имеются трудности с установлением местонахождения предполагаемого отца (сообщен неверный адрес). Как следует из вышеприведенных данных, закон успешно применяется. В то же время, согласно положениям статьи 3 настоящего закона, Национальный совет по вопросам детей и подростков должен формулировать и осуществлять государственную политику в отношении ответственного отцовства, для чего в 2001 году была назначена Межведомственная комиссия по контролю за осуществлением этой политики в составе представителей Министерства образования, Министерства здравоохранения, Министерства культуры, по делам молодежи и спорта, Государственного детского благотворительного фонда, Коста-Риканского фонда социального обеспечения, Национального совета ректоров, органов регистрации гражданского состояния, Национального движения молодежи, судебных органов, трех неправительственных организаций (ПРОКАЛ, СЕФЕМИНА, КОФ) и под руководством ИНАМУ. Комиссия разработала первый документ о направлениях политики в отношении ответственного отцовства, который содержит ряд обязательств, принимаемых данными учреждениями для достижения этой цели. С принятием данного документа задачей комиссии становятся планирование действий и контроль за их выполнением в целях обеспечения более ответственного подхода каждого из учреждений к вопросам ответственного отцовства.</w:t>
      </w:r>
    </w:p>
    <w:p w:rsidR="00000000" w:rsidRDefault="00000000">
      <w:pPr>
        <w:tabs>
          <w:tab w:val="left" w:pos="680"/>
        </w:tabs>
        <w:spacing w:before="240" w:line="260" w:lineRule="exact"/>
        <w:jc w:val="both"/>
        <w:rPr>
          <w:sz w:val="22"/>
        </w:rPr>
      </w:pPr>
      <w:r>
        <w:rPr>
          <w:sz w:val="22"/>
        </w:rPr>
        <w:t>649.</w:t>
      </w:r>
      <w:r>
        <w:rPr>
          <w:sz w:val="22"/>
        </w:rPr>
        <w:tab/>
        <w:t>С другой стороны, критика и жалобы в отношении применения данного закона, представленные в Коллегию адвокатов по защите прав граждан, связаны с тем что, несмотря на то что число случаев направления на анализ ДНК оказалось меньшим, чем ожидалось, лаборатории, проводящие такой анализ, еще не приступили к работе. По свидетельству Коста-Риканского фонда социального обеспечения лаборатория, в которой будут производиться анализы ДНК, начнет свою работу не позднее августа 2002 года. Коллегия адвокатов по защите прав граждан создала межведомственную комиссию для наблюдения и контроля за выполнением закона. Другие жалобы связаны с формой, в которой служащие органов регистрации гражданского состояния информируют матерей об их правах и обязанностях.</w:t>
      </w:r>
    </w:p>
    <w:p w:rsidR="00000000" w:rsidRDefault="00000000">
      <w:pPr>
        <w:tabs>
          <w:tab w:val="left" w:pos="680"/>
        </w:tabs>
        <w:spacing w:line="280" w:lineRule="exact"/>
        <w:jc w:val="center"/>
        <w:rPr>
          <w:b/>
        </w:rPr>
      </w:pPr>
      <w:r>
        <w:rPr>
          <w:sz w:val="22"/>
        </w:rPr>
        <w:br w:type="page"/>
      </w:r>
      <w:r>
        <w:rPr>
          <w:b/>
        </w:rPr>
        <w:t>ЧАСТЬ III</w:t>
      </w:r>
    </w:p>
    <w:p w:rsidR="00000000" w:rsidRDefault="00000000">
      <w:pPr>
        <w:tabs>
          <w:tab w:val="left" w:pos="680"/>
        </w:tabs>
        <w:spacing w:before="240" w:line="280" w:lineRule="exact"/>
        <w:jc w:val="center"/>
      </w:pPr>
      <w:r>
        <w:rPr>
          <w:b/>
        </w:rPr>
        <w:t>УСПЕХИ, ТРУДНОСТИ И ЗАДАЧИ В ПРОЦЕССЕ ВЫПОЛНЕНИЯ ПОЛОЖЕНИЙ КОНВЕНЦИИ О ЛИКВИДАЦИИ ВСЕХ ФОРМ ДИСКРИМИНАЦИИ В ОТНОШЕНИИ ЖЕНЩИН</w:t>
      </w:r>
    </w:p>
    <w:p w:rsidR="00000000" w:rsidRDefault="00000000">
      <w:pPr>
        <w:numPr>
          <w:ilvl w:val="0"/>
          <w:numId w:val="149"/>
        </w:numPr>
        <w:tabs>
          <w:tab w:val="clear" w:pos="360"/>
          <w:tab w:val="left" w:pos="680"/>
        </w:tabs>
        <w:spacing w:before="240" w:line="260" w:lineRule="exact"/>
        <w:jc w:val="both"/>
        <w:rPr>
          <w:sz w:val="22"/>
        </w:rPr>
      </w:pPr>
      <w:r>
        <w:rPr>
          <w:sz w:val="22"/>
        </w:rPr>
        <w:t>Как уже было изложено в первоначальном докладе, 1990-е годы оказались весьма плодотворными: был принят широкий спектр юридических документов, защищающих права женщин.</w:t>
      </w:r>
    </w:p>
    <w:p w:rsidR="00000000" w:rsidRDefault="00000000">
      <w:pPr>
        <w:numPr>
          <w:ilvl w:val="0"/>
          <w:numId w:val="152"/>
        </w:numPr>
        <w:tabs>
          <w:tab w:val="clear" w:pos="360"/>
          <w:tab w:val="left" w:pos="340"/>
          <w:tab w:val="left" w:pos="680"/>
        </w:tabs>
        <w:spacing w:before="240" w:line="260" w:lineRule="exact"/>
        <w:ind w:left="340" w:hanging="340"/>
        <w:jc w:val="both"/>
        <w:rPr>
          <w:sz w:val="22"/>
        </w:rPr>
      </w:pPr>
      <w:r>
        <w:rPr>
          <w:sz w:val="22"/>
        </w:rPr>
        <w:t>На государственном уровне удалось укрепить существующий Национальный механизм и создать специализированные органы по защите прав женщин и проведению государственной политики в области равноправия полов.</w:t>
      </w:r>
    </w:p>
    <w:p w:rsidR="00000000" w:rsidRDefault="00000000">
      <w:pPr>
        <w:numPr>
          <w:ilvl w:val="0"/>
          <w:numId w:val="152"/>
        </w:numPr>
        <w:tabs>
          <w:tab w:val="clear" w:pos="360"/>
          <w:tab w:val="left" w:pos="340"/>
          <w:tab w:val="left" w:pos="680"/>
        </w:tabs>
        <w:spacing w:before="240" w:line="260" w:lineRule="exact"/>
        <w:ind w:left="340" w:hanging="340"/>
        <w:jc w:val="both"/>
        <w:rPr>
          <w:sz w:val="22"/>
        </w:rPr>
      </w:pPr>
      <w:r>
        <w:rPr>
          <w:sz w:val="22"/>
        </w:rPr>
        <w:t>В социальной сфере достигнут прогресс в изучении и признании моделей семьи, отличающихся от традиционной, во внедрении передовых методов для официального установления отцовства, в модернизации правового механизма имущественных обязательств, обусловленных фактом отцовства, в предотвращении насилия в семье.</w:t>
      </w:r>
    </w:p>
    <w:p w:rsidR="00000000" w:rsidRDefault="00000000">
      <w:pPr>
        <w:numPr>
          <w:ilvl w:val="0"/>
          <w:numId w:val="152"/>
        </w:numPr>
        <w:tabs>
          <w:tab w:val="clear" w:pos="360"/>
          <w:tab w:val="left" w:pos="340"/>
          <w:tab w:val="left" w:pos="680"/>
        </w:tabs>
        <w:spacing w:before="240" w:line="260" w:lineRule="exact"/>
        <w:ind w:left="340" w:hanging="340"/>
        <w:jc w:val="both"/>
        <w:rPr>
          <w:sz w:val="22"/>
        </w:rPr>
      </w:pPr>
      <w:r>
        <w:rPr>
          <w:sz w:val="22"/>
        </w:rPr>
        <w:t>В сфере здравоохранения были признаны некоторые особые права женщин, связанные с репродуктивной функцией.</w:t>
      </w:r>
    </w:p>
    <w:p w:rsidR="00000000" w:rsidRDefault="00000000">
      <w:pPr>
        <w:numPr>
          <w:ilvl w:val="0"/>
          <w:numId w:val="152"/>
        </w:numPr>
        <w:tabs>
          <w:tab w:val="clear" w:pos="360"/>
          <w:tab w:val="left" w:pos="340"/>
          <w:tab w:val="left" w:pos="680"/>
        </w:tabs>
        <w:spacing w:before="240" w:line="260" w:lineRule="exact"/>
        <w:ind w:left="340" w:hanging="340"/>
        <w:jc w:val="both"/>
        <w:rPr>
          <w:sz w:val="22"/>
        </w:rPr>
      </w:pPr>
      <w:r>
        <w:rPr>
          <w:sz w:val="22"/>
        </w:rPr>
        <w:t>В производственной сфере также очевиден прогресс: сексуальное домогательство признано противоправным действием, проведена реформа трудового законодательства в части, касающейся отпуска по беременности и уходу за ребенком, пересмотрен механизм выплаты пособий.</w:t>
      </w:r>
    </w:p>
    <w:p w:rsidR="00000000" w:rsidRDefault="00000000">
      <w:pPr>
        <w:numPr>
          <w:ilvl w:val="0"/>
          <w:numId w:val="152"/>
        </w:numPr>
        <w:tabs>
          <w:tab w:val="clear" w:pos="360"/>
          <w:tab w:val="left" w:pos="340"/>
          <w:tab w:val="left" w:pos="680"/>
        </w:tabs>
        <w:spacing w:before="240" w:line="260" w:lineRule="exact"/>
        <w:ind w:left="340" w:hanging="340"/>
        <w:jc w:val="both"/>
        <w:rPr>
          <w:sz w:val="22"/>
        </w:rPr>
      </w:pPr>
      <w:r>
        <w:rPr>
          <w:sz w:val="22"/>
        </w:rPr>
        <w:t>Достижением в сфере участия женщин в политической и общественной жизни страны стало официальное признание минимальных квот на допуск женщин к руководящим государственным постам.</w:t>
      </w:r>
    </w:p>
    <w:p w:rsidR="00000000" w:rsidRDefault="00000000">
      <w:pPr>
        <w:numPr>
          <w:ilvl w:val="0"/>
          <w:numId w:val="149"/>
        </w:numPr>
        <w:tabs>
          <w:tab w:val="clear" w:pos="360"/>
          <w:tab w:val="left" w:pos="680"/>
        </w:tabs>
        <w:spacing w:before="240" w:line="260" w:lineRule="exact"/>
        <w:jc w:val="both"/>
        <w:rPr>
          <w:sz w:val="22"/>
        </w:rPr>
      </w:pPr>
      <w:r>
        <w:rPr>
          <w:sz w:val="22"/>
        </w:rPr>
        <w:t>Все вышеперечисленное было достигнуто в результате инициативных действий самих женщин, выражающих интересы общественности, а также благодаря усилиям государственных органов, специально созданных для соблюдения и защиты прав женщин. Успехи, достигнутые за указанный период и за первые два года нового века, свидетельствуют о положительном преобразовании формальной стороны законодательства. В то же время велись дебаты среди представителей общественного мнения, что способствовало привлечению внимания граждан страны к существующим проблемам в этой сфере. Например, факты насилия в отношении женщин сейчас встречают общественное осуждение, разрушен ложный барьер между общественным и частным, что облегчило государству выполнение обязанностей по защите прав граждан. Также были разработаны оригинальные концепции нормативных правовых актов, по форме и содержанию выходящие за рамки традиционной юридической логики. Примером этого могут служить осторожные меры, предусмотренные Законом о борьбе с насилием в семье, и альтернативные санкции, предложенные в проекте закона об уголовном наказании за совершение насилия в отношении совершеннолетних женщин.</w:t>
      </w:r>
    </w:p>
    <w:p w:rsidR="00000000" w:rsidRDefault="00000000">
      <w:pPr>
        <w:numPr>
          <w:ilvl w:val="0"/>
          <w:numId w:val="149"/>
        </w:numPr>
        <w:tabs>
          <w:tab w:val="clear" w:pos="360"/>
          <w:tab w:val="left" w:pos="680"/>
        </w:tabs>
        <w:spacing w:before="240" w:line="260" w:lineRule="exact"/>
        <w:jc w:val="both"/>
        <w:rPr>
          <w:sz w:val="22"/>
        </w:rPr>
      </w:pPr>
      <w:r>
        <w:rPr>
          <w:sz w:val="22"/>
        </w:rPr>
        <w:t>Насущной задачей в деле успешного осуществления прав и развития гражданского самосознания женщин является обеспечение реальной гарантии четкой работы механизмов предъявления прав. Для этого необходимо распространять соответствующую информации, пропагандировать данную тему, чтобы сами женщины знали все о возможностях получения помощи по защите своих прав. Необходимо скоординировать усилия всех механизмов государственной власти, для того чтобы на всех уровнях как руководство учреждений и предприятий, так и работающий персонал уважали эти права, информировали женщин об их правах и гарантировали возможности их отстаивания.</w:t>
      </w:r>
    </w:p>
    <w:p w:rsidR="00000000" w:rsidRDefault="00000000">
      <w:pPr>
        <w:numPr>
          <w:ilvl w:val="0"/>
          <w:numId w:val="149"/>
        </w:numPr>
        <w:tabs>
          <w:tab w:val="clear" w:pos="360"/>
          <w:tab w:val="left" w:pos="680"/>
        </w:tabs>
        <w:spacing w:before="240" w:line="260" w:lineRule="exact"/>
        <w:jc w:val="both"/>
        <w:rPr>
          <w:sz w:val="22"/>
        </w:rPr>
      </w:pPr>
      <w:r>
        <w:rPr>
          <w:sz w:val="22"/>
        </w:rPr>
        <w:t>В ходе изучения данных за период, исследуемый в настоящем докладе, выявлено, что все еще сохраняется пробел между теорией и практикой в сфере равноправия. Несмотря на названные достижения, государство Коста-Рика все еще демонстрирует недостаточную активность в принятии мер, предусматривающих наказание за дискриминацию в отношении женщин. В то же время только подобные меры могут предотвратить безнаказанность.</w:t>
      </w:r>
    </w:p>
    <w:p w:rsidR="00000000" w:rsidRDefault="00000000">
      <w:pPr>
        <w:numPr>
          <w:ilvl w:val="0"/>
          <w:numId w:val="149"/>
        </w:numPr>
        <w:tabs>
          <w:tab w:val="clear" w:pos="360"/>
          <w:tab w:val="left" w:pos="680"/>
        </w:tabs>
        <w:spacing w:before="240" w:line="260" w:lineRule="exact"/>
        <w:jc w:val="both"/>
        <w:rPr>
          <w:sz w:val="22"/>
        </w:rPr>
      </w:pPr>
      <w:r>
        <w:rPr>
          <w:sz w:val="22"/>
        </w:rPr>
        <w:t>Реакция различных кругов общества на некоторые принимаемые законы и дискуссии, вызванные некоторыми темами, связанными с дискриминацией и насилием в отношении женщин, позволяют предположить, что имеет место так называемый "эффект бумеранга" от прогресса, достигнутого в прошлом десятилетии. Возможно, что, осознавая последствия принятия гендерных нормативных актов для патриархального общественного устройства, некоторые социальные группы, законодатели, судьи и государственные чиновники всячески противятся такого рода законотворческой деятельности. Стратегии, разрабатываемые женскими организациями и Национальным механизмом, должны обязательно обратить на это внимание. В ходе дискуссии о равенстве полов, которая велась между различными государственными структурами и представителями общественности, произошло сближение позиций и были пересмотрены некоторые аргументы. Существует определенное идеологическое направление таких процессов, от которого не следует отступать.</w:t>
      </w:r>
    </w:p>
    <w:p w:rsidR="00000000" w:rsidRDefault="00000000">
      <w:pPr>
        <w:numPr>
          <w:ilvl w:val="0"/>
          <w:numId w:val="149"/>
        </w:numPr>
        <w:tabs>
          <w:tab w:val="clear" w:pos="360"/>
          <w:tab w:val="left" w:pos="680"/>
        </w:tabs>
        <w:spacing w:before="240" w:line="260" w:lineRule="exact"/>
        <w:jc w:val="both"/>
        <w:rPr>
          <w:sz w:val="22"/>
        </w:rPr>
      </w:pPr>
      <w:r>
        <w:rPr>
          <w:sz w:val="22"/>
        </w:rPr>
        <w:t>Одной из задач, стоящих перед Коста-Рикой, является несоответствие между существующим законодательством и проводимой государственной политикой. Как было отмечено в первоначальном докладе и подтверждено во втором и третьем докладах, все еще имеют место различные формы ограничений в правах женщин и данная проблематика освещается недостаточно. Это обусловлено непризнанием того факта, что Коста-Рика – страна многонациональная, в которой сосуществует множество культур. Здесь проживают люди, принадлежащие к различным социальным и возрастным группам, имеющие различные религиозные и политические взгляды и различные физические возможности (в том числе инвалиды) и т. д. Нельзя не учитывать данные различия, которые влияют на образ жизни и обусловливают возможности осуществления прав. Женщины, представляющие различные организации, обратились к Консультативному форуму с просьбой обратить на это внимание.</w:t>
      </w:r>
    </w:p>
    <w:p w:rsidR="00000000" w:rsidRDefault="00000000">
      <w:pPr>
        <w:numPr>
          <w:ilvl w:val="0"/>
          <w:numId w:val="149"/>
        </w:numPr>
        <w:tabs>
          <w:tab w:val="clear" w:pos="360"/>
          <w:tab w:val="left" w:pos="680"/>
        </w:tabs>
        <w:spacing w:before="240" w:line="260" w:lineRule="exact"/>
        <w:jc w:val="both"/>
        <w:rPr>
          <w:sz w:val="22"/>
        </w:rPr>
      </w:pPr>
      <w:r>
        <w:rPr>
          <w:sz w:val="22"/>
        </w:rPr>
        <w:t>Наибольшей дискриминации подвергаются афрокостариканки и представительницы коренного индейского населения, инвалиды, пожилые женщины и девушки. Принятия юридических документов здесь недостаточно, необходимо также осуществлять открытое судопроизводство, дифференцируя подходы с учетом перечисленных особенностей. Подвергаясь дискриминации, эти женщины не имеют доступа к правосудию, так как не могут заявить о своих правах.</w:t>
      </w:r>
    </w:p>
    <w:p w:rsidR="00000000" w:rsidRDefault="00000000">
      <w:pPr>
        <w:numPr>
          <w:ilvl w:val="0"/>
          <w:numId w:val="149"/>
        </w:numPr>
        <w:tabs>
          <w:tab w:val="clear" w:pos="360"/>
          <w:tab w:val="left" w:pos="680"/>
        </w:tabs>
        <w:spacing w:before="240" w:line="260" w:lineRule="exact"/>
        <w:jc w:val="both"/>
        <w:rPr>
          <w:sz w:val="22"/>
        </w:rPr>
      </w:pPr>
      <w:r>
        <w:rPr>
          <w:sz w:val="22"/>
        </w:rPr>
        <w:t xml:space="preserve">За указанный период Коста-Рике удалось усилить роль ИНАМУ как проводника государственной политики в области продвижения женщин. Достигнуты успехи и в создании и развитии механизмов внедрения гендерного подхода в политику государства в различных сферах. Государство проявило особую заинтересованность в выполнении обязательств, принятых в этой области, в связи с ратификацией Пекинской декларации и Платформы действий, особенно в части, касающейся возрастания роли и увеличения функций Национального механизма. К таким функциям относятся: выделение бюджетных средств, возможность участия в разработке государственной политики и осуществление роли проводника этой политики, непосредственно определение "государственной политики в сфере равноправия полов" в тесном сотрудничестве с государственными структурами и общественными организациями, введение в действие автономных и децентрализованных механизмов внедрения гендерного подхода на всех направлениях деятельности государственных структур. Но, несмотря на такие существенные сдвиги в этой сфере, все еще имеют место сопротивление переменам со стороны защитников патриархальных устоев, костность бюрократических структур, их нежелание учитывать гендерные различия, а также нехватка людских ресурсов и ограниченные финансовые средства для выполнения задач, определенных государственной политикой в этой области. </w:t>
      </w:r>
    </w:p>
    <w:p w:rsidR="00000000" w:rsidRDefault="00000000">
      <w:pPr>
        <w:numPr>
          <w:ilvl w:val="0"/>
          <w:numId w:val="149"/>
        </w:numPr>
        <w:tabs>
          <w:tab w:val="clear" w:pos="360"/>
          <w:tab w:val="left" w:pos="680"/>
        </w:tabs>
        <w:spacing w:before="240" w:line="260" w:lineRule="exact"/>
        <w:jc w:val="both"/>
        <w:rPr>
          <w:sz w:val="22"/>
        </w:rPr>
      </w:pPr>
      <w:r>
        <w:rPr>
          <w:sz w:val="22"/>
        </w:rPr>
        <w:t xml:space="preserve">В соответствии с законодательством ИНАМУ гарантирован независимый бюджет, однако в силу ряда обстоятельств причитающиеся средства используются не в полной мере. Это сказывается на выполнении принятых обязательств и прежде всего ограничивает возможности выполнения ведущей роли в деле повсеместного внедрения гендерного подхода как части государственной политики. Недополучение средств, причитающихся по закону, ставит Институт в неравное положение по сравнению с другими учреждениями, также выполняющими функции проводника. С другой стороны, если прекратится государственное финансирование на постоянной основе государственных учреждений по специальным каналам, то есть за счет специальных налогов, Национальный механизм окажется серьезно ослабленным. Перед страной стоит задача определить каналы и наладить механизмы, которые обеспечат на ближайшие четыре года приток ресурсов, необходимых для деятельности Института, в соответствии с отведенной ему ролью проводника государственной политики в данной области. </w:t>
      </w:r>
    </w:p>
    <w:p w:rsidR="00000000" w:rsidRDefault="00000000">
      <w:pPr>
        <w:numPr>
          <w:ilvl w:val="0"/>
          <w:numId w:val="149"/>
        </w:numPr>
        <w:tabs>
          <w:tab w:val="clear" w:pos="360"/>
          <w:tab w:val="left" w:pos="680"/>
        </w:tabs>
        <w:spacing w:before="240" w:line="260" w:lineRule="exact"/>
        <w:jc w:val="both"/>
        <w:rPr>
          <w:sz w:val="22"/>
        </w:rPr>
      </w:pPr>
      <w:r>
        <w:rPr>
          <w:sz w:val="22"/>
        </w:rPr>
        <w:t xml:space="preserve">Стратегия деятельности подразделений, отвечающих за гендерную политику министерств, ведомств и местных органов власти, должным образом согласована. Однако остались проблемы, вызванные особенностями структурного устройства перечисленных органов и внешними обстоятельствами, что осложняет проведение гендерной стратегии и препятствует движению вперед в этой области. Необходимо технически совершенствовать и подкреплять денежными средствами эти механизмы и распространять их действие за пределы крупных городов, то есть на сельские районы страны. В дополнение к этому следует провести оценку работы этих механизмов внутри самих учреждений в целях обеспечения законности их деятельности и предоставления необходимого финансирования. И наконец, государство должно способствовать систематическому внедрению гендерного подхода в деятельность государственных структур и добиваться того, чтобы национальная политика в области обеспечения равноправия полов на постоянной основе стала политикой государства. В Коста-Рике государственная политика во многом определяется политической ситуацией в стране, иными словами, политическая линия, которая была приоритетной для предыдущей администрации, имеет тенденцию ослабевать или менять направление с приходом последующей. Из-за отсутствия преемственности стратегий появляется риск использование женщинами личных связей в высших эшелонах власти для лоббирования своих интересов. </w:t>
      </w:r>
    </w:p>
    <w:p w:rsidR="00000000" w:rsidRDefault="00000000">
      <w:pPr>
        <w:numPr>
          <w:ilvl w:val="0"/>
          <w:numId w:val="149"/>
        </w:numPr>
        <w:tabs>
          <w:tab w:val="clear" w:pos="360"/>
          <w:tab w:val="left" w:pos="680"/>
        </w:tabs>
        <w:spacing w:before="240" w:line="260" w:lineRule="exact"/>
        <w:jc w:val="both"/>
        <w:rPr>
          <w:spacing w:val="-2"/>
          <w:sz w:val="22"/>
        </w:rPr>
      </w:pPr>
      <w:r>
        <w:rPr>
          <w:spacing w:val="-2"/>
          <w:sz w:val="22"/>
        </w:rPr>
        <w:t xml:space="preserve">С учетом вышеизложенного следует вкладывать бóльшие средства в процесс внедрения гендерной политики и в создание стабильной специализированной службы, которая бы в конечном счете обеспечила развитие этого процесса. Патриархальные представления, все еще влияющие на деятельность государственных структур, невозможно преодолеть эпизодическими действиями и только за счет доброй воли участников этого процесса. Формирование людских ресурсов должно стать направлением деятельности по модернизации государственного сектора. Таким образом, можно способствовать решению проблемы подготовки кадров для гражданской службы. Одним из приоритетных направлений деятельности государственной администрации должна стать подготовка специалистов по гендерной тематике с отрывом или без отрыва от производства, что позволит ежегодно определять спектр задач и добиваться ассигнования бюджетных средств на эти цели. </w:t>
      </w:r>
    </w:p>
    <w:p w:rsidR="00000000" w:rsidRDefault="00000000">
      <w:pPr>
        <w:numPr>
          <w:ilvl w:val="0"/>
          <w:numId w:val="149"/>
        </w:numPr>
        <w:tabs>
          <w:tab w:val="clear" w:pos="360"/>
          <w:tab w:val="left" w:pos="680"/>
        </w:tabs>
        <w:spacing w:before="240" w:line="260" w:lineRule="exact"/>
        <w:jc w:val="both"/>
        <w:rPr>
          <w:sz w:val="22"/>
        </w:rPr>
      </w:pPr>
      <w:r>
        <w:rPr>
          <w:sz w:val="22"/>
        </w:rPr>
        <w:t>Серьезные трудности обусловлены качеством достигнутых результатов. Многие достижения не являются долговременными. Особенно это касается качества работы специализированных служб, ограниченности сферы их действия, недостаточно активного участия женщин в этой деятельности. Ограничено также бюджетное финансирование, и не хватает механизмов реального осуществления прав.</w:t>
      </w:r>
    </w:p>
    <w:p w:rsidR="00000000" w:rsidRDefault="00000000">
      <w:pPr>
        <w:numPr>
          <w:ilvl w:val="0"/>
          <w:numId w:val="149"/>
        </w:numPr>
        <w:tabs>
          <w:tab w:val="clear" w:pos="360"/>
          <w:tab w:val="left" w:pos="680"/>
        </w:tabs>
        <w:spacing w:before="240" w:line="260" w:lineRule="exact"/>
        <w:jc w:val="both"/>
        <w:rPr>
          <w:sz w:val="22"/>
        </w:rPr>
      </w:pPr>
      <w:r>
        <w:rPr>
          <w:sz w:val="22"/>
        </w:rPr>
        <w:t xml:space="preserve">Учитывая масштаб имеющихся проблем, необходимо выделять средства на изучение стратегических направлений принятия решений, предварительной оценки существующего положения и выработки действенной политической линии для проведения обучающих мероприятий. Речь должна идти о долгосрочных мерах и непрерывной совместной работе государственных и частных структур, специализирующихся на исследовательской деятельности, включая государственные университеты. Продуманная политика в этой сфере позволит оценивать предпринимаемые усилия и преодолевать трудности, связанные с внедрением гендерного подхода и с реальной защитой прав женщин. </w:t>
      </w:r>
    </w:p>
    <w:p w:rsidR="00000000" w:rsidRDefault="00000000">
      <w:pPr>
        <w:numPr>
          <w:ilvl w:val="0"/>
          <w:numId w:val="149"/>
        </w:numPr>
        <w:tabs>
          <w:tab w:val="clear" w:pos="360"/>
          <w:tab w:val="left" w:pos="680"/>
        </w:tabs>
        <w:spacing w:before="240" w:line="260" w:lineRule="exact"/>
        <w:jc w:val="both"/>
        <w:rPr>
          <w:sz w:val="22"/>
        </w:rPr>
      </w:pPr>
      <w:r>
        <w:rPr>
          <w:sz w:val="22"/>
        </w:rPr>
        <w:t>В указанный период удалось существенно укрепить связи между государством и гражданским обществом. Необходимыми условиями, гарантирующими стабильный характер таких связей, являются гражданская активность, проведение консультаций и переговоров между представителями государственной власти и общественности. Так государство согласует свои действия с требованиями и интересами женщин. Необходимо развивать практику ответственности власти перед обществом, открытости государственной деятельности, взаимного уважения и выполнения обязательств. Несмотря на достигнутые успехи, ИНАМУ все еще не имеет прочных контактов с женскими организациями и гражданским обществом в целом. Значительная часть предложенных изменений в сфере политики и законодательства не нашли воплощения в реальных действиях и не стали частью политики. Это обусловило тот факт, что программа "Молодая любовь" не получила ожидаемой поддержки со стороны женского движения и других общественных организаций.</w:t>
      </w:r>
    </w:p>
    <w:p w:rsidR="00000000" w:rsidRDefault="00000000">
      <w:pPr>
        <w:numPr>
          <w:ilvl w:val="0"/>
          <w:numId w:val="149"/>
        </w:numPr>
        <w:tabs>
          <w:tab w:val="clear" w:pos="360"/>
          <w:tab w:val="left" w:pos="680"/>
        </w:tabs>
        <w:spacing w:before="240" w:line="260" w:lineRule="exact"/>
        <w:jc w:val="both"/>
        <w:rPr>
          <w:sz w:val="22"/>
        </w:rPr>
      </w:pPr>
      <w:r>
        <w:rPr>
          <w:sz w:val="22"/>
        </w:rPr>
        <w:t xml:space="preserve">Принятием Закона № 7142 "О содействии социальному равенству женщин" в 1990 году Коста-Рика признала, что существующих правовых норм недостаточно для обеспечения равенства между мужчинами и женщинами и поэтому необходимо разрабатывать соответствующее законодательство и вводить специальные меры, реально гарантирующие равенство возможностей для представителей обоих полов. Со времени принятия закона все предпринимаемые шаги в этой области выражаются в конкретных мерах, гарантирующих женщинам равные с мужчинами возможности участия в работе государственных структур и в деятельности, связанной с принятием ответственных решений. </w:t>
      </w:r>
    </w:p>
    <w:p w:rsidR="00000000" w:rsidRDefault="00000000">
      <w:pPr>
        <w:numPr>
          <w:ilvl w:val="0"/>
          <w:numId w:val="149"/>
        </w:numPr>
        <w:tabs>
          <w:tab w:val="clear" w:pos="360"/>
          <w:tab w:val="left" w:pos="680"/>
        </w:tabs>
        <w:spacing w:before="240" w:line="260" w:lineRule="exact"/>
        <w:jc w:val="both"/>
        <w:rPr>
          <w:spacing w:val="-2"/>
          <w:sz w:val="22"/>
        </w:rPr>
      </w:pPr>
      <w:r>
        <w:rPr>
          <w:spacing w:val="-2"/>
          <w:sz w:val="22"/>
        </w:rPr>
        <w:t>Самой значительной вехой в этом процессе стала реформа избирательного права посредством принятия в 1996 году Закона № 7653. Этот закон заложил основы для обеспечения более широкого доступа женщин к выборным должностям и принятию государственных решений, установив 40-процентную минимальную квоту для женщин. Этот путь был долгим и трудным, так как пришлось преодолевать сопротивление политических партий, государственных органов, ответственных за введение минимальных квот, и некоторых слоев общества.</w:t>
      </w:r>
    </w:p>
    <w:p w:rsidR="00000000" w:rsidRDefault="00000000">
      <w:pPr>
        <w:numPr>
          <w:ilvl w:val="0"/>
          <w:numId w:val="149"/>
        </w:numPr>
        <w:tabs>
          <w:tab w:val="clear" w:pos="360"/>
          <w:tab w:val="left" w:pos="680"/>
        </w:tabs>
        <w:spacing w:before="240" w:line="260" w:lineRule="exact"/>
        <w:jc w:val="both"/>
        <w:rPr>
          <w:sz w:val="22"/>
        </w:rPr>
      </w:pPr>
      <w:r>
        <w:rPr>
          <w:sz w:val="22"/>
        </w:rPr>
        <w:t>В то же время женщины сталкиваются с трудностями структурного характера, обусловленными их половой принадлежностью, что препятствует их участию в деятельности политических партий, доступу к выборам в государственные и местные органы власти. К этим трудностям относятся ограниченный доступ к информации и денежным средствам, отсутствие поддержки со стороны семьи, социальные предрассудки. Последние особенно проявляются в отношении женщин, подвергающихся дискриминации по признаку этнической или социальной принадлежности, месту проживания и возрасту.</w:t>
      </w:r>
    </w:p>
    <w:p w:rsidR="00000000" w:rsidRDefault="00000000">
      <w:pPr>
        <w:numPr>
          <w:ilvl w:val="0"/>
          <w:numId w:val="149"/>
        </w:numPr>
        <w:tabs>
          <w:tab w:val="clear" w:pos="360"/>
          <w:tab w:val="left" w:pos="680"/>
        </w:tabs>
        <w:spacing w:before="240" w:line="260" w:lineRule="exact"/>
        <w:jc w:val="both"/>
        <w:rPr>
          <w:sz w:val="22"/>
        </w:rPr>
      </w:pPr>
      <w:r>
        <w:rPr>
          <w:sz w:val="22"/>
        </w:rPr>
        <w:t>Множество задач предстоит решить для воплощения в жизнь идеи участия женщин в работе органов власти и в принятии государственных решений на равных с мужчинами условиях:</w:t>
      </w:r>
    </w:p>
    <w:p w:rsidR="00000000" w:rsidRDefault="00000000">
      <w:pPr>
        <w:numPr>
          <w:ilvl w:val="0"/>
          <w:numId w:val="153"/>
        </w:numPr>
        <w:tabs>
          <w:tab w:val="clear" w:pos="360"/>
          <w:tab w:val="left" w:pos="340"/>
          <w:tab w:val="left" w:pos="680"/>
        </w:tabs>
        <w:spacing w:before="240" w:line="260" w:lineRule="exact"/>
        <w:ind w:left="340" w:hanging="340"/>
        <w:jc w:val="both"/>
        <w:rPr>
          <w:sz w:val="22"/>
        </w:rPr>
      </w:pPr>
      <w:r>
        <w:rPr>
          <w:sz w:val="22"/>
        </w:rPr>
        <w:t>40-процентный показатель участия женщин должен стать для политических партий и общества в целом не максимальной планкой, а тем минимумом, из которого следует исходить. Партия Социально-Христианское единство (СХЕ) нашла интересное решение, которое может быть использовано и другими партиями: в составлении избирательных бюллетеней и в формировании партийных органов участие как мужчин, так и женщин не должно превышать 60 процентов. С другой стороны, партия Гражданское действие (ГД) внедрила в свою практику механизм, гарантирующий равное участие для мужчин и женщин.</w:t>
      </w:r>
    </w:p>
    <w:p w:rsidR="00000000" w:rsidRDefault="00000000">
      <w:pPr>
        <w:numPr>
          <w:ilvl w:val="0"/>
          <w:numId w:val="153"/>
        </w:numPr>
        <w:tabs>
          <w:tab w:val="clear" w:pos="360"/>
          <w:tab w:val="left" w:pos="340"/>
          <w:tab w:val="left" w:pos="680"/>
        </w:tabs>
        <w:spacing w:before="240" w:line="260" w:lineRule="exact"/>
        <w:ind w:left="340" w:hanging="340"/>
        <w:jc w:val="both"/>
        <w:rPr>
          <w:sz w:val="22"/>
        </w:rPr>
      </w:pPr>
      <w:r>
        <w:rPr>
          <w:sz w:val="22"/>
        </w:rPr>
        <w:t>Внедрение подобных нормативов требует постоянного контроля со стороны различных ведомств и общественных структур: гражданского общества, Законодательного собрания, ИНАМУ, органов судебной власти и Высшего избирательного трибунала (TСE). В целях укрепления демократии политические партии и Высший избирательный трибунал должны периодически отчитываться перед соответствующими органами.</w:t>
      </w:r>
    </w:p>
    <w:p w:rsidR="00000000" w:rsidRDefault="00000000">
      <w:pPr>
        <w:numPr>
          <w:ilvl w:val="0"/>
          <w:numId w:val="153"/>
        </w:numPr>
        <w:tabs>
          <w:tab w:val="clear" w:pos="360"/>
          <w:tab w:val="left" w:pos="340"/>
          <w:tab w:val="left" w:pos="680"/>
        </w:tabs>
        <w:spacing w:before="240" w:line="260" w:lineRule="exact"/>
        <w:ind w:left="340" w:hanging="340"/>
        <w:jc w:val="both"/>
        <w:rPr>
          <w:sz w:val="22"/>
        </w:rPr>
      </w:pPr>
      <w:r>
        <w:rPr>
          <w:sz w:val="22"/>
        </w:rPr>
        <w:t>Политические партии вводят необходимую регламентацию действия механизмов по внедрению минимальной квоты на участие женщин в работе выборных органов, следят за соблюдением необходимых норм и в случае нарушений применяют соответствующие санкции. Нехватка необходимых нормативных документов могла бы привести к невыполнению поставленных задач, ошибкам в применении гендерного подхода, вызвать большее сопротивление, главным образом со стороны мужчин, и способствовать враждебным настроениям в отношении женщин.</w:t>
      </w:r>
    </w:p>
    <w:p w:rsidR="00000000" w:rsidRDefault="00000000">
      <w:pPr>
        <w:numPr>
          <w:ilvl w:val="0"/>
          <w:numId w:val="153"/>
        </w:numPr>
        <w:tabs>
          <w:tab w:val="clear" w:pos="360"/>
          <w:tab w:val="left" w:pos="340"/>
          <w:tab w:val="left" w:pos="680"/>
        </w:tabs>
        <w:spacing w:before="240" w:line="260" w:lineRule="exact"/>
        <w:ind w:left="340" w:hanging="340"/>
        <w:jc w:val="both"/>
        <w:rPr>
          <w:sz w:val="22"/>
        </w:rPr>
      </w:pPr>
      <w:r>
        <w:rPr>
          <w:sz w:val="22"/>
        </w:rPr>
        <w:t>Доступ молодых женщин, афрокостариканок и представительниц коренного индейского населения, инвалидов и сельских женщин к выборным должностям и руководящим постам политических партий остается крайне ограниченным. Коста-Рика отличается культурным и этническим многообразием, хотя этот факт до сих пор не принимается во внимание. Поэтому следует активизировать работу с помощью Высшего избирательного трибунала и общественных организаций, представляющих интересы этих слоев населения и призванных привлекать внимание общественности и политических партий к правовым вопросам и разъяснять необходимость создания условий для участия указанных категорий женщин в политической и общественной жизни.</w:t>
      </w:r>
    </w:p>
    <w:p w:rsidR="00000000" w:rsidRDefault="00000000">
      <w:pPr>
        <w:numPr>
          <w:ilvl w:val="0"/>
          <w:numId w:val="149"/>
        </w:numPr>
        <w:tabs>
          <w:tab w:val="clear" w:pos="360"/>
          <w:tab w:val="left" w:pos="680"/>
        </w:tabs>
        <w:spacing w:before="240" w:line="260" w:lineRule="exact"/>
        <w:jc w:val="both"/>
        <w:rPr>
          <w:sz w:val="22"/>
        </w:rPr>
      </w:pPr>
      <w:r>
        <w:rPr>
          <w:sz w:val="22"/>
        </w:rPr>
        <w:t>Серьезных успехов страна добилась также в области принятия политики и внедрения новых методов в административную практику и в работу служб в целях обеспечения неимущим женщинам, подросткам и совершеннолетним равенства в правах и доступа к финансовым ресурсам, образованию, здравоохранению и рабочим местам. Такие программы, как "Растем вместе" и "Создаем возможности", заложили основы для большей координации действий, предпринимаемых различными государственными структурами в целях расширения возможностей доступа указанных категорий населения к стратегически важным ресурсам и услугам. Трудности структурного порядка, сохраняющиеся в сфере макроэкономической политики, не учитывающей гендерные интересы, и особенно нужды неимущих женщин, обусловливают, среди прочего, неравенство на рынке труда, недостаточное участие женщин в программах профессионально-технического обучения, кредитования и модернизации производства. Нерешенной задачей остаются пересмотр существующих и принятие новых политики и стратегий в макроэкономической сфере, которые учитывали бы нужды и требования женщин и поддерживали их усилия по преодолению бедности, как предусмотрено Пекинской платформой действий.</w:t>
      </w:r>
    </w:p>
    <w:p w:rsidR="00000000" w:rsidRDefault="00000000">
      <w:pPr>
        <w:numPr>
          <w:ilvl w:val="0"/>
          <w:numId w:val="149"/>
        </w:numPr>
        <w:tabs>
          <w:tab w:val="clear" w:pos="360"/>
          <w:tab w:val="left" w:pos="680"/>
        </w:tabs>
        <w:spacing w:before="240" w:line="260" w:lineRule="exact"/>
        <w:jc w:val="both"/>
        <w:rPr>
          <w:sz w:val="22"/>
        </w:rPr>
      </w:pPr>
      <w:r>
        <w:rPr>
          <w:sz w:val="22"/>
        </w:rPr>
        <w:t>Введением законодательства, предусматривающего специальные меры по защите материнства для несовершеннолетних и взрослых женщин, независимо от их социального положения и гражданства, а также принятием других юридических документов Коста-Рика делает серьезный шаг на пути внедрения принципа недискриминации, содержащегося в Конвенции. Порой материнство неимущих женщин, не располагающих элементарными возможностями для получения медицинской помощи, делает их социально и экономически уязвимыми. Материнство может способствовать многочисленным проявлениям дискриминации, порожденным бедностью, потерей здоровья и социальной нетерпимостью. Для реализации принципа недискриминации необходимо предпринять следующие шаги:</w:t>
      </w:r>
    </w:p>
    <w:p w:rsidR="00000000" w:rsidRDefault="00000000">
      <w:pPr>
        <w:numPr>
          <w:ilvl w:val="0"/>
          <w:numId w:val="154"/>
        </w:numPr>
        <w:tabs>
          <w:tab w:val="clear" w:pos="360"/>
          <w:tab w:val="left" w:pos="340"/>
          <w:tab w:val="left" w:pos="680"/>
        </w:tabs>
        <w:spacing w:before="240" w:line="260" w:lineRule="exact"/>
        <w:ind w:left="340" w:hanging="340"/>
        <w:jc w:val="both"/>
        <w:rPr>
          <w:sz w:val="22"/>
        </w:rPr>
      </w:pPr>
      <w:r>
        <w:rPr>
          <w:sz w:val="22"/>
        </w:rPr>
        <w:t>Проводить разъяснительную работу с сотрудниками и с руководством сектора здравоохранения о законном праве женщин на получение комплексной медицинской помощи, независимо от их социального положения, миграционного статуса, возраста и этнической принадлежности.</w:t>
      </w:r>
    </w:p>
    <w:p w:rsidR="00000000" w:rsidRDefault="00000000">
      <w:pPr>
        <w:numPr>
          <w:ilvl w:val="0"/>
          <w:numId w:val="154"/>
        </w:numPr>
        <w:tabs>
          <w:tab w:val="clear" w:pos="360"/>
          <w:tab w:val="left" w:pos="340"/>
          <w:tab w:val="left" w:pos="680"/>
        </w:tabs>
        <w:spacing w:before="240" w:line="260" w:lineRule="exact"/>
        <w:ind w:left="340" w:hanging="340"/>
        <w:jc w:val="both"/>
        <w:rPr>
          <w:sz w:val="22"/>
        </w:rPr>
      </w:pPr>
      <w:r>
        <w:rPr>
          <w:sz w:val="22"/>
        </w:rPr>
        <w:t>Проводить информационную кампанию на тему "Право женщин на качественное медицинское обслуживание и на защиту материнства, свободного от дискриминации". Такая кампания призвана обеспечить женщинам систематический доступ к информации, изложенной в доступной форме и касающейся их прав, механизмов осуществления этих прав, средств контроля за выполнением государственной политики, участия женщин в принятии государственных решений и применения санкций в случаях дискриминации в отношении женщин по половому признаку или по иным основаниям.</w:t>
      </w:r>
    </w:p>
    <w:p w:rsidR="00000000" w:rsidRDefault="00000000">
      <w:pPr>
        <w:numPr>
          <w:ilvl w:val="0"/>
          <w:numId w:val="154"/>
        </w:numPr>
        <w:tabs>
          <w:tab w:val="clear" w:pos="360"/>
          <w:tab w:val="left" w:pos="340"/>
          <w:tab w:val="left" w:pos="680"/>
        </w:tabs>
        <w:spacing w:before="240" w:line="260" w:lineRule="exact"/>
        <w:ind w:left="340" w:hanging="340"/>
        <w:jc w:val="both"/>
        <w:rPr>
          <w:sz w:val="22"/>
        </w:rPr>
      </w:pPr>
      <w:r>
        <w:rPr>
          <w:sz w:val="22"/>
        </w:rPr>
        <w:t>Разрабатывать и внедрять необходимые директивы и регламентировать выполнение персоналом медицинских учреждений условий, гарантирующих осуществление прав женщин. Наряду с этим необходимо регулировать работу механизмов осуществления этих прав и контроля за проведением государственной политики, выявлять случаи нарушения прав и налагать соответствующие санкции.</w:t>
      </w:r>
    </w:p>
    <w:p w:rsidR="00000000" w:rsidRDefault="00000000">
      <w:pPr>
        <w:numPr>
          <w:ilvl w:val="0"/>
          <w:numId w:val="149"/>
        </w:numPr>
        <w:tabs>
          <w:tab w:val="clear" w:pos="360"/>
          <w:tab w:val="left" w:pos="680"/>
        </w:tabs>
        <w:spacing w:before="240" w:line="260" w:lineRule="exact"/>
        <w:jc w:val="both"/>
        <w:rPr>
          <w:sz w:val="22"/>
        </w:rPr>
      </w:pPr>
      <w:r>
        <w:rPr>
          <w:sz w:val="22"/>
        </w:rPr>
        <w:t>За последние десять лет Коста-Рика стала инициатором множества мероприятий по изъятию из учебников информации дискриминационного характера, а также по пересмотру программ обучения и разработке специальных методик искоренения патриархальных андроцентристских стереотипов. Но, несмотря на все предпринятые усилия, в системе образования, в семейных отношениях и в средствах массовой информации все еще сохраняются модели поведения и системы понятий, ставящие женщину в подчиненное положение и принижающие ее социальную роль. Это ограничивает возможности для искоренения традиционных стереотипов. Методы защиты от нововведений, применяемые в частном секторе, являются серьезным препятствием для проведения государственной политики в области гендерного равенства и грозят свести на нет все, что было достигнуто в этой сфере за последние два десятилетия. Подобные действия ограничивают возможности для осуществления женщинами их законных прав.</w:t>
      </w:r>
    </w:p>
    <w:p w:rsidR="00000000" w:rsidRDefault="00000000">
      <w:pPr>
        <w:numPr>
          <w:ilvl w:val="0"/>
          <w:numId w:val="149"/>
        </w:numPr>
        <w:tabs>
          <w:tab w:val="clear" w:pos="360"/>
          <w:tab w:val="left" w:pos="680"/>
        </w:tabs>
        <w:spacing w:before="240" w:line="260" w:lineRule="exact"/>
        <w:jc w:val="both"/>
        <w:rPr>
          <w:sz w:val="22"/>
        </w:rPr>
      </w:pPr>
      <w:r>
        <w:rPr>
          <w:sz w:val="22"/>
        </w:rPr>
        <w:t>Предстоит решить множество задач:</w:t>
      </w:r>
    </w:p>
    <w:p w:rsidR="00000000" w:rsidRDefault="00000000">
      <w:pPr>
        <w:numPr>
          <w:ilvl w:val="0"/>
          <w:numId w:val="155"/>
        </w:numPr>
        <w:tabs>
          <w:tab w:val="clear" w:pos="360"/>
          <w:tab w:val="left" w:pos="340"/>
          <w:tab w:val="left" w:pos="680"/>
        </w:tabs>
        <w:spacing w:before="240" w:line="260" w:lineRule="exact"/>
        <w:ind w:left="340" w:hanging="340"/>
        <w:jc w:val="both"/>
        <w:rPr>
          <w:sz w:val="22"/>
        </w:rPr>
      </w:pPr>
      <w:r>
        <w:rPr>
          <w:sz w:val="22"/>
        </w:rPr>
        <w:t>Успехи проводимой политики и выявленные трудности указывают на необходимость государственной политики в сфере образования для искоренения дискриминационной практики в стенах школы и формирования гражданской культуры гендерного равноправия. Здесь недостаточно только доброй воли властей или отдельно взятой местной администрации. Государственная политика в этой области должна гарантировать последовательность принимаемых мер и выделение бюджетных средств и быть в меньшей степени подверженной давлению со стороны светских и религиозных лобби.</w:t>
      </w:r>
    </w:p>
    <w:p w:rsidR="00000000" w:rsidRDefault="00000000">
      <w:pPr>
        <w:numPr>
          <w:ilvl w:val="0"/>
          <w:numId w:val="155"/>
        </w:numPr>
        <w:tabs>
          <w:tab w:val="clear" w:pos="360"/>
          <w:tab w:val="left" w:pos="340"/>
          <w:tab w:val="left" w:pos="680"/>
        </w:tabs>
        <w:spacing w:before="240" w:line="260" w:lineRule="exact"/>
        <w:ind w:left="340" w:hanging="340"/>
        <w:jc w:val="both"/>
        <w:rPr>
          <w:sz w:val="22"/>
        </w:rPr>
      </w:pPr>
      <w:r>
        <w:rPr>
          <w:sz w:val="22"/>
        </w:rPr>
        <w:t>Гендерная политика, проводимая государством в различных сферах, не реализуется в полной мере, когда планируются глубокие изменения общественного и культурного уклада.</w:t>
      </w:r>
    </w:p>
    <w:p w:rsidR="00000000" w:rsidRDefault="00000000">
      <w:pPr>
        <w:numPr>
          <w:ilvl w:val="0"/>
          <w:numId w:val="155"/>
        </w:numPr>
        <w:tabs>
          <w:tab w:val="clear" w:pos="360"/>
          <w:tab w:val="left" w:pos="340"/>
          <w:tab w:val="left" w:pos="680"/>
        </w:tabs>
        <w:spacing w:before="240" w:line="260" w:lineRule="exact"/>
        <w:ind w:left="340" w:hanging="340"/>
        <w:jc w:val="both"/>
        <w:rPr>
          <w:sz w:val="22"/>
        </w:rPr>
      </w:pPr>
      <w:r>
        <w:rPr>
          <w:sz w:val="22"/>
        </w:rPr>
        <w:t>ИНАМУ, являясь проводником политики в этой области, должен разработать жесткую систему мер, которая включала бы внедрение специальных программ по изучению положения женщин и проблемы гендерного равенства, проводимых на базе педагогических факультетов четырех государственных университетов, в целях искоренения дискриминационной практики в процессе обучения, проведение исследования по выявлению социальных причин неравенства и дискриминации в высшей школе. Следует также внедрять обучающие программы по гендерной тематике для преподавателей всех уровней системы образования в целях преодоления дискриминационной практики в стенах школ и за их пределами.</w:t>
      </w:r>
    </w:p>
    <w:p w:rsidR="00000000" w:rsidRDefault="00000000">
      <w:pPr>
        <w:numPr>
          <w:ilvl w:val="0"/>
          <w:numId w:val="155"/>
        </w:numPr>
        <w:tabs>
          <w:tab w:val="clear" w:pos="360"/>
          <w:tab w:val="left" w:pos="340"/>
          <w:tab w:val="left" w:pos="680"/>
        </w:tabs>
        <w:spacing w:before="240" w:line="260" w:lineRule="exact"/>
        <w:ind w:left="340" w:hanging="340"/>
        <w:jc w:val="both"/>
        <w:rPr>
          <w:sz w:val="22"/>
        </w:rPr>
      </w:pPr>
      <w:r>
        <w:rPr>
          <w:sz w:val="22"/>
        </w:rPr>
        <w:t>В дальнейшем необходимо проанализировать программы обучения для начальной и средней школы с целью выявления в них пропаганды мужского превосходства и создать методики по искоренению стереотипов. Обучение педагогов с отрывом и без отрыва от преподавательской деятельности имеет огромное значение, но для проведения намеченных преобразований государство должно гарантировать выделение средств и стимулировать этот процесс. При оценке работы преподавателей на всех ступенях государственной системы образования следует учитывать гендерные критерии.</w:t>
      </w:r>
    </w:p>
    <w:p w:rsidR="00000000" w:rsidRDefault="00000000">
      <w:pPr>
        <w:numPr>
          <w:ilvl w:val="0"/>
          <w:numId w:val="155"/>
        </w:numPr>
        <w:tabs>
          <w:tab w:val="clear" w:pos="360"/>
          <w:tab w:val="left" w:pos="340"/>
          <w:tab w:val="left" w:pos="680"/>
        </w:tabs>
        <w:spacing w:before="240" w:line="260" w:lineRule="exact"/>
        <w:ind w:left="340" w:hanging="340"/>
        <w:jc w:val="both"/>
        <w:rPr>
          <w:sz w:val="22"/>
        </w:rPr>
      </w:pPr>
      <w:r>
        <w:rPr>
          <w:sz w:val="22"/>
        </w:rPr>
        <w:t>Необходимо разъяснять работникам системы образования, государственным чиновникам и общественности важность роли семьи в профессиональной ориентации молодого поколения, так как часто, руководствуясь стереотипными представлениями о роли женщины и мужчины, семья оказывает давление при выборе профессии и рода занятий. Для того чтобы эти усилия увенчались успехом, необходимо проводить широкомасштабные кампании с участием общегосударственных и местных средств массовой информации, государственных учебных заведений, представителей церкви, местных органов власти и крупных общественных организаций. Одной из задач подобных кампаний должно стать справедливое распределение между мужчинами и женщинами домашних обязанностей и ответственности, связанной с рождением детей.</w:t>
      </w:r>
    </w:p>
    <w:p w:rsidR="00000000" w:rsidRDefault="00000000">
      <w:pPr>
        <w:numPr>
          <w:ilvl w:val="0"/>
          <w:numId w:val="155"/>
        </w:numPr>
        <w:tabs>
          <w:tab w:val="clear" w:pos="360"/>
          <w:tab w:val="left" w:pos="340"/>
          <w:tab w:val="left" w:pos="680"/>
        </w:tabs>
        <w:spacing w:before="200" w:line="260" w:lineRule="exact"/>
        <w:ind w:left="340" w:hanging="340"/>
        <w:jc w:val="both"/>
        <w:rPr>
          <w:sz w:val="22"/>
        </w:rPr>
      </w:pPr>
      <w:r>
        <w:rPr>
          <w:sz w:val="22"/>
        </w:rPr>
        <w:t>Результаты многочисленных исследований показывают, что все еще действует принцип сегрегации по признаку пола при поступлении в средние технические и высшие учебные заведения. Трудности, с которыми сталкиваются женщины, желающие заниматься научной деятельностью, невозможно преодолеть так быстро, как того требует соблюдение положений Конвенции и обязательств, принятых в соответствии с Пекинской платформой действий. Для этого необходимо создать действенные механизмы на базе Национального института профессионально-технического обучения (ИНА) и государственных университетов. Эти меры направлены на привлечение женщин, введение минимальных квот и создание стимулов для поступления в высшие учебные заведения и для продолжения научной деятельности после окончания учебы. Необходимо также вести систематическое наблюдение за условиями труда женщин, избравших научную карьеру, в целях пресечения случаев нарушения их прав.</w:t>
      </w:r>
    </w:p>
    <w:p w:rsidR="00000000" w:rsidRDefault="00000000">
      <w:pPr>
        <w:numPr>
          <w:ilvl w:val="0"/>
          <w:numId w:val="149"/>
        </w:numPr>
        <w:tabs>
          <w:tab w:val="clear" w:pos="360"/>
          <w:tab w:val="left" w:pos="680"/>
        </w:tabs>
        <w:spacing w:before="220" w:line="260" w:lineRule="exact"/>
        <w:jc w:val="both"/>
        <w:rPr>
          <w:sz w:val="22"/>
        </w:rPr>
      </w:pPr>
      <w:r>
        <w:rPr>
          <w:sz w:val="22"/>
        </w:rPr>
        <w:t>Принятие Кодекса детства и юношества явилось важным шагом к признанию несовершеннолетних полноправными гражданами. В этом юридическом документе признается право на рациональное сексуальное воспитание. Однако в силу укоренившихся в обществе предрассудков некоторые образовательные учреждения, семьи, церковь и общины не принимают нововведения, и существует опасность свести на нет все предыдущие достижения. В процессе выполнения программы "Молодая любовь" был получен полезный опыт, который может быть использован для проведения гендерной политики по защите прав молодых и взрослых женщин, детей и подростков.</w:t>
      </w:r>
    </w:p>
    <w:p w:rsidR="00000000" w:rsidRDefault="00000000">
      <w:pPr>
        <w:numPr>
          <w:ilvl w:val="0"/>
          <w:numId w:val="149"/>
        </w:numPr>
        <w:tabs>
          <w:tab w:val="clear" w:pos="360"/>
          <w:tab w:val="left" w:pos="680"/>
        </w:tabs>
        <w:spacing w:before="220" w:line="260" w:lineRule="exact"/>
        <w:jc w:val="both"/>
        <w:rPr>
          <w:sz w:val="22"/>
        </w:rPr>
      </w:pPr>
      <w:r>
        <w:rPr>
          <w:sz w:val="22"/>
        </w:rPr>
        <w:t>Изменения, внесенные в Программу в процессе переговоров между церковью и государством, вызвали бурное возмущение и разочарование тех, для кого предназначалась эта Программа, а также некоторых ее создателей и ответственных за ее выполнение. Программа была подвергнута критике и нападкам со стороны церковных властей и групп, их поддерживающих. Таким образом, было ослаблено действие Программы, затруднено ее выполнение и нарушена координация отдельных ее частей.</w:t>
      </w:r>
    </w:p>
    <w:p w:rsidR="00000000" w:rsidRDefault="00000000">
      <w:pPr>
        <w:numPr>
          <w:ilvl w:val="0"/>
          <w:numId w:val="149"/>
        </w:numPr>
        <w:tabs>
          <w:tab w:val="clear" w:pos="360"/>
          <w:tab w:val="left" w:pos="680"/>
        </w:tabs>
        <w:spacing w:before="220" w:line="260" w:lineRule="exact"/>
        <w:jc w:val="both"/>
        <w:rPr>
          <w:spacing w:val="-2"/>
          <w:sz w:val="22"/>
        </w:rPr>
      </w:pPr>
      <w:r>
        <w:rPr>
          <w:spacing w:val="-2"/>
          <w:sz w:val="22"/>
        </w:rPr>
        <w:t>Этот процесс выявил серьезные проблемы, с которыми сталкиваются те, кто, уважая права человека, взял на себя труд внести в процесс обучения детей и подростков элементы правового воспитания. Одной из таких проблем является попытка разрушить эту монолитную и жесткую патриархальную организацию, использующую не всегда явные и прямые методы в целях поддержания "установленного порядка" и принципа "так и должно быть".</w:t>
      </w:r>
    </w:p>
    <w:p w:rsidR="00000000" w:rsidRDefault="00000000">
      <w:pPr>
        <w:numPr>
          <w:ilvl w:val="0"/>
          <w:numId w:val="149"/>
        </w:numPr>
        <w:tabs>
          <w:tab w:val="clear" w:pos="360"/>
          <w:tab w:val="left" w:pos="680"/>
        </w:tabs>
        <w:spacing w:before="220" w:line="260" w:lineRule="exact"/>
        <w:jc w:val="both"/>
        <w:rPr>
          <w:sz w:val="22"/>
        </w:rPr>
      </w:pPr>
      <w:r>
        <w:rPr>
          <w:sz w:val="22"/>
        </w:rPr>
        <w:t>Коста-Рика не добилась серьезных успехов в борьбе с сексуальной эксплуатацией и принуждением несовершеннолетних к занятию проституцией. Несмотря на то что в 1999 году был принят Закон № 7899 о борьбе с сексуальной эксплуатацией несовершеннолетних, существует множество обстоятельств, препятствующих профилактике и искоренению этой серьезной проблемы. В первую очередь в стране нет разработанной государственной политики для борьбы с этим явлением. Поэтому при отсутствии руководящих указаний со стороны государства различные государственные структуры и неправительственные организации (ИНАМУ, 2002 год) предпринимают самостоятельные действия в этом направлении. Также следует отметить, что большинство действующих стратегий имеют целью прежде всего помощь жертвам, а не профилактику самого явления. Не хватает также государственных бюджетных средств на эти цели.</w:t>
      </w:r>
    </w:p>
    <w:p w:rsidR="00000000" w:rsidRDefault="00000000">
      <w:pPr>
        <w:numPr>
          <w:ilvl w:val="0"/>
          <w:numId w:val="149"/>
        </w:numPr>
        <w:tabs>
          <w:tab w:val="clear" w:pos="360"/>
          <w:tab w:val="left" w:pos="680"/>
        </w:tabs>
        <w:spacing w:before="240" w:line="260" w:lineRule="exact"/>
        <w:jc w:val="both"/>
        <w:rPr>
          <w:spacing w:val="-2"/>
          <w:sz w:val="22"/>
        </w:rPr>
      </w:pPr>
      <w:r>
        <w:rPr>
          <w:spacing w:val="-2"/>
          <w:sz w:val="22"/>
        </w:rPr>
        <w:t>Препятствием является также нежелание общества публично обсуждать эту проблему, непризнание того, что меняется традиционное представление о сексуальной эксплуатации несовершеннолетних как условии экономического выживания семьи, а также факта существования разветвленной национальной и международной сети по предоставлению сексуальных услуг (ИНАМУ, 2002 год). Проблема осложняется наличием множества факторов риска (социальных, культурных, экономических), которому подвергаются некоторые группы детей и подростков, что делает их легкой добычей для сутенеров. Не существует системы немедленной защиты от насилия и восстановления в правах для групп населения, подвергающихся эксплуатации. В законодательстве содержатся некоторые препятствия для уголовного наказания таких видов правонарушений, а Специальная прокуратура нуждается в технических средствах, например магнитофонах и компьютерах. Необходим также доступ в интернет для эффективного проведения расследований по заявлениям жертв сексуальной эксплуатации, так как существует множество преступных сетей, действующих на территории страны и за ее пределами, которые, в свою очередь, связаны с другими преступными организациями. К сожалению, доступ к этим средствам весьма ограничен и для проведения расследований приходилось рассчитывать на поддержку "Каса Альянса" (С</w:t>
      </w:r>
      <w:r>
        <w:rPr>
          <w:spacing w:val="-2"/>
          <w:sz w:val="22"/>
          <w:lang w:val="en-US"/>
        </w:rPr>
        <w:t>laramunt</w:t>
      </w:r>
      <w:r>
        <w:rPr>
          <w:spacing w:val="-2"/>
          <w:sz w:val="22"/>
        </w:rPr>
        <w:t>, 2001).</w:t>
      </w:r>
    </w:p>
    <w:p w:rsidR="00000000" w:rsidRDefault="00000000">
      <w:pPr>
        <w:numPr>
          <w:ilvl w:val="0"/>
          <w:numId w:val="149"/>
        </w:numPr>
        <w:tabs>
          <w:tab w:val="clear" w:pos="360"/>
          <w:tab w:val="left" w:pos="680"/>
        </w:tabs>
        <w:spacing w:before="240" w:line="260" w:lineRule="exact"/>
        <w:jc w:val="both"/>
        <w:rPr>
          <w:sz w:val="22"/>
        </w:rPr>
      </w:pPr>
      <w:r>
        <w:rPr>
          <w:sz w:val="22"/>
        </w:rPr>
        <w:t xml:space="preserve"> В настоящее время проект "Перемены – в их руках", в котором участвует целый ряд организаций (ЮНИСЕФ, ИНАМУ, Государственный детский благотворительный фонд и Коста-Риканский институт туризма), является лучшей альтернативой комплексного решения проблемы. Для соблюдения положений действующего законодательства в рамках этого проекта необходимо обеспечить стабильное отчисление бюджетных средств на оказание помощи жертвам и для эффективного ведения судебных расследований (ИНАМУ, 2002 год). Несмотря на то что государство направляет значительные средства из бюджета на профилактику насилия в отношении женщин и на помощь жертвам насилия, правительство до сих пор не разработало государственную политику борьбы с коммерческой сексуальной эксплуатацией девочек и девушек-подростков. Лидерами в этом движении являются общественные организации, которые открыто заявляют о существовании проблемы и привлекают к ней внимание общества, а также проводят работу с девочками и подростками и требуют соответствующих решительных мер от государства.</w:t>
      </w:r>
    </w:p>
    <w:p w:rsidR="00000000" w:rsidRDefault="00000000">
      <w:pPr>
        <w:numPr>
          <w:ilvl w:val="0"/>
          <w:numId w:val="149"/>
        </w:numPr>
        <w:tabs>
          <w:tab w:val="clear" w:pos="360"/>
          <w:tab w:val="left" w:pos="680"/>
        </w:tabs>
        <w:spacing w:before="240" w:line="260" w:lineRule="exact"/>
        <w:jc w:val="both"/>
        <w:rPr>
          <w:sz w:val="22"/>
        </w:rPr>
      </w:pPr>
      <w:r>
        <w:rPr>
          <w:sz w:val="22"/>
        </w:rPr>
        <w:t>Борьба коста-риканских женщин за равенство возможностей доступа к деятельности, связанной с принятием решений в различных сферах, полна трудностей. Их преодоление явилось сложной задачей, которая потребовала объединения в стратегические союзы представительниц женских общественных организаций, лидеров женского движения, существующего внутри политических партий, женщин, занимающих высокие посты во всех государственных структурах власти (исполнительной, законодательной, судебной, избирательной), с привлечением Национального механизма.</w:t>
      </w:r>
    </w:p>
    <w:p w:rsidR="00000000" w:rsidRDefault="00000000">
      <w:pPr>
        <w:numPr>
          <w:ilvl w:val="0"/>
          <w:numId w:val="149"/>
        </w:numPr>
        <w:tabs>
          <w:tab w:val="clear" w:pos="360"/>
          <w:tab w:val="left" w:pos="680"/>
        </w:tabs>
        <w:spacing w:before="240" w:line="260" w:lineRule="exact"/>
        <w:jc w:val="both"/>
        <w:rPr>
          <w:sz w:val="22"/>
        </w:rPr>
      </w:pPr>
      <w:r>
        <w:rPr>
          <w:sz w:val="22"/>
        </w:rPr>
        <w:t>Несмотря на отмеченные успехи, все еще имеют место проявления неравенства и разного рода обстоятельства, ограничивающие участие женщин в политической жизни страны и препятствующие их доступу к руководящей работе. Эти трудности объясняются существующей системой представлений, согласно которой роль женщины сводится к выполнению работы по дому, недооцениваются ее способности к профессиональной деятельности и ставится под сомнение ее способность конкурировать с мужчинами на выборах из-за нехватки финансовых средств и необходимой стратегической информации.</w:t>
      </w:r>
    </w:p>
    <w:p w:rsidR="00000000" w:rsidRDefault="00000000">
      <w:pPr>
        <w:numPr>
          <w:ilvl w:val="0"/>
          <w:numId w:val="149"/>
        </w:numPr>
        <w:tabs>
          <w:tab w:val="clear" w:pos="360"/>
          <w:tab w:val="left" w:pos="680"/>
        </w:tabs>
        <w:spacing w:before="240" w:line="260" w:lineRule="exact"/>
        <w:jc w:val="both"/>
        <w:rPr>
          <w:sz w:val="22"/>
        </w:rPr>
      </w:pPr>
      <w:r>
        <w:rPr>
          <w:sz w:val="22"/>
        </w:rPr>
        <w:t>Опыт, накопленный за последнее десятилетие, показывает, что в действующем законодательстве имеются слабые места, поэтому существует необходимость усовершенствовать работу механизмов введения минимальных квот на участие женщин в политической деятельности и расширения их возможностей для проявления активной гражданской позиции. Увеличилось число женщин в сфере управления на различных уровнях. Однако все усилия, жертвы и затраченные средства оказались непропорциональны полученным результатам: женщины недостаточно представлены в руководстве политических партий, на выборных и государственных должностях в различных органах власти.</w:t>
      </w:r>
    </w:p>
    <w:p w:rsidR="00000000" w:rsidRDefault="00000000">
      <w:pPr>
        <w:numPr>
          <w:ilvl w:val="0"/>
          <w:numId w:val="149"/>
        </w:numPr>
        <w:tabs>
          <w:tab w:val="clear" w:pos="360"/>
          <w:tab w:val="left" w:pos="680"/>
        </w:tabs>
        <w:spacing w:before="240" w:line="260" w:lineRule="exact"/>
        <w:jc w:val="both"/>
        <w:rPr>
          <w:sz w:val="22"/>
        </w:rPr>
      </w:pPr>
      <w:r>
        <w:rPr>
          <w:sz w:val="22"/>
        </w:rPr>
        <w:t>Существует множество сложных проблем, начать решать которые следует с выполнения трех основных задач:</w:t>
      </w:r>
    </w:p>
    <w:p w:rsidR="00000000" w:rsidRDefault="00000000">
      <w:pPr>
        <w:numPr>
          <w:ilvl w:val="0"/>
          <w:numId w:val="156"/>
        </w:numPr>
        <w:tabs>
          <w:tab w:val="clear" w:pos="360"/>
          <w:tab w:val="left" w:pos="340"/>
          <w:tab w:val="left" w:pos="680"/>
        </w:tabs>
        <w:spacing w:before="180" w:line="260" w:lineRule="exact"/>
        <w:ind w:left="340" w:hanging="340"/>
        <w:jc w:val="both"/>
        <w:rPr>
          <w:sz w:val="22"/>
        </w:rPr>
      </w:pPr>
      <w:r>
        <w:rPr>
          <w:sz w:val="22"/>
        </w:rPr>
        <w:t>Добиваться того, чтобы уставы политических партий предусматривали четкий механизм, гарантирующий 40-процентное участие женщин в работе партийных органов и выборных процессах, а также минимальное финансирование обучения и повышения квалификации для женщин, занятых политической деятельностью. Необходимо также разработать действенные механизмы назначения женщин на руководящие должности в министерствах, ведомствах, основных государственных и негосударственных структурах, советах директоров, президиумах, административных органах, с тем чтобы они составляли не менее 40 процентов.</w:t>
      </w:r>
    </w:p>
    <w:p w:rsidR="00000000" w:rsidRDefault="00000000">
      <w:pPr>
        <w:numPr>
          <w:ilvl w:val="0"/>
          <w:numId w:val="156"/>
        </w:numPr>
        <w:tabs>
          <w:tab w:val="clear" w:pos="360"/>
          <w:tab w:val="left" w:pos="340"/>
          <w:tab w:val="left" w:pos="680"/>
        </w:tabs>
        <w:spacing w:before="180" w:line="260" w:lineRule="exact"/>
        <w:ind w:left="340" w:hanging="340"/>
        <w:jc w:val="both"/>
        <w:rPr>
          <w:sz w:val="22"/>
        </w:rPr>
      </w:pPr>
      <w:r>
        <w:rPr>
          <w:sz w:val="22"/>
        </w:rPr>
        <w:t xml:space="preserve">Добиться одобрения внесения в проект </w:t>
      </w:r>
      <w:r>
        <w:rPr>
          <w:caps/>
          <w:sz w:val="22"/>
        </w:rPr>
        <w:t>и</w:t>
      </w:r>
      <w:r>
        <w:rPr>
          <w:sz w:val="22"/>
        </w:rPr>
        <w:t>збирательного кодекса (№ 14268) поправок, предложенных ИНАМУ и имеющих целью, среди прочего, обеспечить чередование мужчин и женщин в партийных списках во время выборов в центральные и местные органы власти и при объединении списков. Создать в Высшем избирательном трибунале подразделение по вопросам равноправия полов, которое займется внедрением гендерного подхода в политику, проводимую Трибуналом, его планы, программы и в работу его служб. Обеспечить сбор статистической информации, касающейся отдельно мужчин и женщин. Гарантировать справедливое распределение постов среди мужчин и женщин – делегатов Трибунала. Обеспечить Трибуналу необходимое финансирование для активизации участия женщин в общественной жизни и для формирования гражданской позиции у коста-риканцев, при этом направляя часть средств на подготовку женщин для участия в политической жизни страны.</w:t>
      </w:r>
    </w:p>
    <w:p w:rsidR="00000000" w:rsidRDefault="00000000">
      <w:pPr>
        <w:numPr>
          <w:ilvl w:val="0"/>
          <w:numId w:val="156"/>
        </w:numPr>
        <w:tabs>
          <w:tab w:val="clear" w:pos="360"/>
          <w:tab w:val="left" w:pos="340"/>
          <w:tab w:val="left" w:pos="680"/>
        </w:tabs>
        <w:spacing w:before="180" w:line="260" w:lineRule="exact"/>
        <w:ind w:left="340" w:hanging="340"/>
        <w:jc w:val="both"/>
        <w:rPr>
          <w:sz w:val="22"/>
        </w:rPr>
      </w:pPr>
      <w:r>
        <w:rPr>
          <w:sz w:val="22"/>
        </w:rPr>
        <w:t xml:space="preserve">Предоставить женщинам ведущую роль в деятельности, связанной с гендерной тематикой, что позволит им возглавить коллективные процессы гражданского участия, и разработать программу действий с учетом нужд и интересов женщин. Являясь представительницами женского пола и хорошо зная проблематику, они обеспечат себе значимое стратегическое участие в процессе разработки законов, планов, программ и дифференцированных политических мер в отношении женщин. На это следует направить совместные усилия ИНАМУ, Национального механизма, Высшего избирательного трибунала и женских организаций и обеспечить должное финансирование. </w:t>
      </w:r>
    </w:p>
    <w:p w:rsidR="00000000" w:rsidRDefault="00000000">
      <w:pPr>
        <w:numPr>
          <w:ilvl w:val="0"/>
          <w:numId w:val="149"/>
        </w:numPr>
        <w:tabs>
          <w:tab w:val="clear" w:pos="360"/>
          <w:tab w:val="left" w:pos="680"/>
        </w:tabs>
        <w:spacing w:before="240" w:line="260" w:lineRule="exact"/>
        <w:jc w:val="both"/>
        <w:rPr>
          <w:spacing w:val="-4"/>
          <w:sz w:val="22"/>
        </w:rPr>
      </w:pPr>
      <w:r>
        <w:rPr>
          <w:spacing w:val="-4"/>
          <w:sz w:val="22"/>
        </w:rPr>
        <w:t>Наиболее заметны успехи в проведении стратегии по устранению отдельных проявлений неравенства во внешнеполитической деятельности. Это проявляется в большей представленности ИНАМУ на международных саммитах, во включении гендерной тематики в повестки дня и в вынесении ее на обсуждение, в назначении ИНАМУ региональным координатором сети национальных механизмов и в усилении международного финансирования программ по устранению неравенства и по продвижению женщин во всех сферах деятельности.</w:t>
      </w:r>
    </w:p>
    <w:p w:rsidR="00000000" w:rsidRDefault="00000000">
      <w:pPr>
        <w:numPr>
          <w:ilvl w:val="0"/>
          <w:numId w:val="149"/>
        </w:numPr>
        <w:tabs>
          <w:tab w:val="clear" w:pos="360"/>
          <w:tab w:val="left" w:pos="680"/>
        </w:tabs>
        <w:spacing w:before="240" w:line="260" w:lineRule="exact"/>
        <w:jc w:val="both"/>
        <w:rPr>
          <w:sz w:val="22"/>
        </w:rPr>
      </w:pPr>
      <w:r>
        <w:rPr>
          <w:sz w:val="22"/>
        </w:rPr>
        <w:t>Нерешенной задачей остается разработка государственной политики по внедрению гендерного подхода в основные направления деятельности Министерства иностранных дел и религии, такие как составление отчетов о выполнении положений международных договоров, участие в международных и региональных встречах, проведение международных переговоров.</w:t>
      </w:r>
    </w:p>
    <w:p w:rsidR="00000000" w:rsidRDefault="00000000">
      <w:pPr>
        <w:numPr>
          <w:ilvl w:val="0"/>
          <w:numId w:val="149"/>
        </w:numPr>
        <w:tabs>
          <w:tab w:val="clear" w:pos="360"/>
          <w:tab w:val="left" w:pos="680"/>
        </w:tabs>
        <w:spacing w:before="240" w:line="260" w:lineRule="exact"/>
        <w:jc w:val="both"/>
        <w:rPr>
          <w:sz w:val="22"/>
        </w:rPr>
      </w:pPr>
      <w:r>
        <w:rPr>
          <w:sz w:val="22"/>
        </w:rPr>
        <w:t>Следует вести работу по искоренению практики сегрегации по половому признаку при назначении на должности и продвижении по службе сотрудников Министерства и загранучреждений.</w:t>
      </w:r>
    </w:p>
    <w:p w:rsidR="00000000" w:rsidRDefault="00000000">
      <w:pPr>
        <w:numPr>
          <w:ilvl w:val="0"/>
          <w:numId w:val="149"/>
        </w:numPr>
        <w:tabs>
          <w:tab w:val="clear" w:pos="360"/>
          <w:tab w:val="left" w:pos="680"/>
        </w:tabs>
        <w:spacing w:before="240" w:line="260" w:lineRule="exact"/>
        <w:jc w:val="both"/>
        <w:rPr>
          <w:sz w:val="22"/>
        </w:rPr>
      </w:pPr>
      <w:r>
        <w:rPr>
          <w:sz w:val="22"/>
        </w:rPr>
        <w:t>Необходимо также усилить роль Национального механизма как ведущего звена в проведении гендерной политики, создав условия для того, чтобы ИНАМУ неизменно принимал участие в определении внешнеполитической линии представительств Коста-Рики в других странах и позиции государства на международных форумах, посвященных вопросам ликвидации гендерного неравенства.</w:t>
      </w:r>
    </w:p>
    <w:p w:rsidR="00000000" w:rsidRDefault="00000000">
      <w:pPr>
        <w:numPr>
          <w:ilvl w:val="0"/>
          <w:numId w:val="149"/>
        </w:numPr>
        <w:tabs>
          <w:tab w:val="clear" w:pos="360"/>
          <w:tab w:val="left" w:pos="680"/>
        </w:tabs>
        <w:spacing w:before="240" w:line="260" w:lineRule="exact"/>
        <w:jc w:val="both"/>
        <w:rPr>
          <w:sz w:val="22"/>
        </w:rPr>
      </w:pPr>
      <w:r>
        <w:rPr>
          <w:sz w:val="22"/>
        </w:rPr>
        <w:t>В период проведения исследования Коста-Рика проводила государственную политику, которая способствовала соблюдению конституционного принципа равенства, что проявилось главным образом в отношении к никарагуанским иммигрантам. Так, учреждения здравоохранения и образования предложили свои услуги всем, кто в них нуждался, включая иммигрантов. Эти меры выгодны всем гражданам страны, так как большинство детей, рожденных иммигрантами в этой стране, останутся здесь жить вместе со своими матерями. Когда эти женщины перестанут считаться иммигрантами, они не будут подвергаться дискриминации и смогут обеспечить своим семьям лучшее будущее.</w:t>
      </w:r>
    </w:p>
    <w:p w:rsidR="00000000" w:rsidRDefault="00000000">
      <w:pPr>
        <w:numPr>
          <w:ilvl w:val="0"/>
          <w:numId w:val="149"/>
        </w:numPr>
        <w:tabs>
          <w:tab w:val="clear" w:pos="360"/>
          <w:tab w:val="left" w:pos="680"/>
        </w:tabs>
        <w:spacing w:before="240" w:line="260" w:lineRule="exact"/>
        <w:jc w:val="both"/>
        <w:rPr>
          <w:sz w:val="22"/>
        </w:rPr>
      </w:pPr>
      <w:r>
        <w:rPr>
          <w:sz w:val="22"/>
        </w:rPr>
        <w:t>Для этого, а также для регулирования миграционного статуса необходимо решать следующие задачи:</w:t>
      </w:r>
    </w:p>
    <w:p w:rsidR="00000000" w:rsidRDefault="00000000">
      <w:pPr>
        <w:numPr>
          <w:ilvl w:val="0"/>
          <w:numId w:val="157"/>
        </w:numPr>
        <w:tabs>
          <w:tab w:val="clear" w:pos="360"/>
          <w:tab w:val="left" w:pos="340"/>
          <w:tab w:val="left" w:pos="680"/>
        </w:tabs>
        <w:spacing w:before="240" w:line="260" w:lineRule="exact"/>
        <w:ind w:left="340" w:hanging="340"/>
        <w:jc w:val="both"/>
        <w:rPr>
          <w:sz w:val="22"/>
        </w:rPr>
      </w:pPr>
      <w:r>
        <w:rPr>
          <w:sz w:val="22"/>
        </w:rPr>
        <w:t>Проводить в местах компактного проживания никарагуанских женщин информационные кампании по разъяснению их правового статуса и действий, которые необходимо предпринимать для получения коста-риканского гражданства. Информация должна достичь и таких мест, как торговые лавки, медицинские центры и школы, где часто бывают никарагуанские женщины.</w:t>
      </w:r>
    </w:p>
    <w:p w:rsidR="00000000" w:rsidRDefault="00000000">
      <w:pPr>
        <w:numPr>
          <w:ilvl w:val="0"/>
          <w:numId w:val="157"/>
        </w:numPr>
        <w:tabs>
          <w:tab w:val="clear" w:pos="360"/>
          <w:tab w:val="left" w:pos="340"/>
          <w:tab w:val="left" w:pos="680"/>
        </w:tabs>
        <w:spacing w:before="240" w:line="260" w:lineRule="exact"/>
        <w:ind w:left="340" w:hanging="340"/>
        <w:jc w:val="both"/>
        <w:rPr>
          <w:sz w:val="22"/>
        </w:rPr>
      </w:pPr>
      <w:r>
        <w:rPr>
          <w:sz w:val="22"/>
        </w:rPr>
        <w:t>Следует проводить разъяснительную работу с медицинским персоналом и педагогами по преодолению ксенофобии и других предрассудков в отношении никарагуанцев, особенно женщин.</w:t>
      </w:r>
    </w:p>
    <w:p w:rsidR="00000000" w:rsidRDefault="00000000">
      <w:pPr>
        <w:numPr>
          <w:ilvl w:val="0"/>
          <w:numId w:val="157"/>
        </w:numPr>
        <w:tabs>
          <w:tab w:val="clear" w:pos="360"/>
          <w:tab w:val="left" w:pos="340"/>
          <w:tab w:val="left" w:pos="680"/>
        </w:tabs>
        <w:spacing w:before="240" w:line="260" w:lineRule="exact"/>
        <w:ind w:left="340" w:hanging="340"/>
        <w:jc w:val="both"/>
        <w:rPr>
          <w:sz w:val="22"/>
        </w:rPr>
      </w:pPr>
      <w:r>
        <w:rPr>
          <w:sz w:val="22"/>
        </w:rPr>
        <w:t>Сделать доступными услуги и процедуры по регулированию гражданского статуса никарагуанцев с учетом гендерных различий и особых условий получения документов.</w:t>
      </w:r>
    </w:p>
    <w:p w:rsidR="00000000" w:rsidRDefault="00000000">
      <w:pPr>
        <w:numPr>
          <w:ilvl w:val="0"/>
          <w:numId w:val="149"/>
        </w:numPr>
        <w:tabs>
          <w:tab w:val="clear" w:pos="360"/>
          <w:tab w:val="left" w:pos="680"/>
        </w:tabs>
        <w:spacing w:before="240" w:line="260" w:lineRule="exact"/>
        <w:jc w:val="both"/>
        <w:rPr>
          <w:sz w:val="22"/>
        </w:rPr>
      </w:pPr>
      <w:r>
        <w:rPr>
          <w:sz w:val="22"/>
        </w:rPr>
        <w:t>Страна достигла ощутимых успехов в выполнении положений Конвенции и обязательств в области культуры, образования и воспитания, принятых в рамках Пекинской платформы действий. Женщины в большей мере, чем мужчины, использовали возможность доступа к образованию и профессиональному обучению, и, возможно, поэтому им удалось сократить различия в таких сферах, как оплата труда и возможность получения квалифицированной работы.</w:t>
      </w:r>
    </w:p>
    <w:p w:rsidR="00000000" w:rsidRDefault="00000000">
      <w:pPr>
        <w:numPr>
          <w:ilvl w:val="0"/>
          <w:numId w:val="149"/>
        </w:numPr>
        <w:tabs>
          <w:tab w:val="clear" w:pos="360"/>
          <w:tab w:val="left" w:pos="680"/>
        </w:tabs>
        <w:spacing w:before="240" w:line="260" w:lineRule="exact"/>
        <w:jc w:val="both"/>
        <w:rPr>
          <w:sz w:val="22"/>
        </w:rPr>
      </w:pPr>
      <w:r>
        <w:rPr>
          <w:sz w:val="22"/>
        </w:rPr>
        <w:t>В целом среди учащихся третьего образовательного уровня (высшее образование) больше женщин, чем мужчин. В государственных университетах мужчины и женщины имеют равные возможности для получения стипендий, участия в научных исследованиях, работы в университетских советах, они находятся в равном положении при распределении аудиторной нагрузки и вакансий. В целях соблюдения принципа равенства мужчин и женщин уделяется особое внимание пожеланиям женщин, результатам теоретических и практических исследований.</w:t>
      </w:r>
    </w:p>
    <w:p w:rsidR="00000000" w:rsidRDefault="00000000">
      <w:pPr>
        <w:numPr>
          <w:ilvl w:val="0"/>
          <w:numId w:val="149"/>
        </w:numPr>
        <w:tabs>
          <w:tab w:val="clear" w:pos="360"/>
          <w:tab w:val="left" w:pos="680"/>
        </w:tabs>
        <w:spacing w:before="240" w:line="260" w:lineRule="exact"/>
        <w:jc w:val="both"/>
        <w:rPr>
          <w:sz w:val="22"/>
        </w:rPr>
      </w:pPr>
      <w:r>
        <w:rPr>
          <w:sz w:val="22"/>
        </w:rPr>
        <w:t xml:space="preserve">Несмотря на очевидный прогресс, остается нерешенным целый комплекс задач. Подлежат решению проблемы, имеющиеся в тех сферах образования, в которых традиционно существовала сегрегация, а также проблемы обеспечения равенства возможностей для женщин, в частности, в сфере научно-технического образования. Также возникает необходимость устранения всех проявлений неравенства в получении заочного и профессионального образования. Необходимо учитывать также растущие потребности женщин в получении специальностей, гарантирующих конкурентоспособность на рынке труда, на базе техникумов, Национальной школы профессионально-технического обучения (ИНА), государственных и частных университетов. </w:t>
      </w:r>
    </w:p>
    <w:p w:rsidR="00000000" w:rsidRDefault="00000000">
      <w:pPr>
        <w:numPr>
          <w:ilvl w:val="0"/>
          <w:numId w:val="149"/>
        </w:numPr>
        <w:tabs>
          <w:tab w:val="clear" w:pos="360"/>
          <w:tab w:val="left" w:pos="680"/>
        </w:tabs>
        <w:spacing w:before="240" w:line="260" w:lineRule="exact"/>
        <w:jc w:val="both"/>
        <w:rPr>
          <w:sz w:val="22"/>
        </w:rPr>
      </w:pPr>
      <w:r>
        <w:rPr>
          <w:sz w:val="22"/>
        </w:rPr>
        <w:t xml:space="preserve">Все вышеизложенное указывает на необходимость дополнительных мероприятий для усиления действующих инициатив. Например, следует продвигать программу "Новые возможности для женщин", особенно на этапе выбора специальности в техникумах и в процессе профессиональной ориентации, проводимой университетскими колледжами, Национальной школой профессионального обучения и университетами, для того чтобы женщины могли получать специальности, традиционно считавшиеся "мужскими". Наряду с этим нужно создавать механизмы, для того чтобы женщины не меняли решения обучаться по выбранной специальности. Такими механизмами должны стать стипендии, службы поддержки и другие стимулы. Следует пересмотреть действующие программы обучения по специальностям техникумов, Национальной школы профессионально-технического обучения и университетов с учетом гендерного подхода, а также обратить внимание на мероприятия по определению призвания и профориентации, провести соответствующую работу и т. д. </w:t>
      </w:r>
    </w:p>
    <w:p w:rsidR="00000000" w:rsidRDefault="00000000">
      <w:pPr>
        <w:numPr>
          <w:ilvl w:val="0"/>
          <w:numId w:val="149"/>
        </w:numPr>
        <w:tabs>
          <w:tab w:val="clear" w:pos="360"/>
          <w:tab w:val="left" w:pos="680"/>
        </w:tabs>
        <w:spacing w:before="240" w:line="260" w:lineRule="exact"/>
        <w:jc w:val="both"/>
        <w:rPr>
          <w:sz w:val="22"/>
        </w:rPr>
      </w:pPr>
      <w:r>
        <w:rPr>
          <w:sz w:val="22"/>
        </w:rPr>
        <w:t>За указанный период Коста-Рика достигла значительного прогресса в сфере занятости и трудоустройства женщин. Увеличилось число работающих женщин. Несколько сократилась разница в оплате труда, хотя эта разница все еще очень заметна в тех сферах трудовой деятельности, где преобладают женщины. Наблюдается также некоторое увеличение числа женщин среди квалифицированных специалистов и руководящих работников. Активизировалась женская предпринимательская деятельность. Проведена серьезная работа по оценке значимости неоплачиваемого домашнего труда. Удалось создать и задействовать Межведомственную комиссию по соблюдению трудовых прав женщин.</w:t>
      </w:r>
    </w:p>
    <w:p w:rsidR="00000000" w:rsidRDefault="00000000">
      <w:pPr>
        <w:numPr>
          <w:ilvl w:val="0"/>
          <w:numId w:val="149"/>
        </w:numPr>
        <w:tabs>
          <w:tab w:val="clear" w:pos="360"/>
          <w:tab w:val="left" w:pos="680"/>
        </w:tabs>
        <w:spacing w:before="240" w:line="260" w:lineRule="exact"/>
        <w:jc w:val="both"/>
        <w:rPr>
          <w:sz w:val="22"/>
        </w:rPr>
      </w:pPr>
      <w:r>
        <w:rPr>
          <w:sz w:val="22"/>
        </w:rPr>
        <w:t>Среди достижений по усилению государственной политики можно назвать подписание в 2000 году соглашения между ИНАМУ и Министерством труда и социального обеспечения, а также принятие Плана действий по искоренению гендерного неравенства (2000–2002 годы). В Министерстве труда и социального обеспечения было создано подразделение, занимающееся гендерной проблематикой, и в феврале 2002 года был подписан проект под названием "Создание механизма исследования условий труда в производственном секторе Коста-Рики с применением гендерного подхода". В дополнение к этому была создана Национальная система информации, профориентации и помощи в трудоустройстве. В то же время была успешно начата программа "Растем вместе", которая является одним из национальных инструментов, предусмотренных Законом об оказании помощи женщинам, живущим в бедности.</w:t>
      </w:r>
    </w:p>
    <w:p w:rsidR="00000000" w:rsidRDefault="00000000">
      <w:pPr>
        <w:numPr>
          <w:ilvl w:val="0"/>
          <w:numId w:val="149"/>
        </w:numPr>
        <w:tabs>
          <w:tab w:val="clear" w:pos="360"/>
          <w:tab w:val="left" w:pos="680"/>
        </w:tabs>
        <w:spacing w:before="240" w:line="260" w:lineRule="exact"/>
        <w:jc w:val="both"/>
        <w:rPr>
          <w:sz w:val="22"/>
        </w:rPr>
      </w:pPr>
      <w:r>
        <w:rPr>
          <w:sz w:val="22"/>
        </w:rPr>
        <w:t>Несмотря на достигнутое, еще многое нужно сделать для того, чтобы выполнить все требования Конвенции и Пекинской платформы действий. Прежде всего необходимо ликвидировать проявления неравенства по признаку половой принадлежности в производственной сфере, в условиях трудоустройства, в доступе к товарам и услугам, к информации и технологиям. Таким образом, государство должно создавать условия для повышения производительности труда женщин, обеспечив им доступ к капиталу, земельным участкам, кредитам, технической помощи, технологиям и предоставив возможности для повышения квалификации. В то же время необходимо срочно обратить внимание на такие неконтролируемые и нестабильные участки рынка труда, как индивидуальная деятельность и малые предприятия, где занято наибольшее число женщин.</w:t>
      </w:r>
    </w:p>
    <w:p w:rsidR="00000000" w:rsidRDefault="00000000">
      <w:pPr>
        <w:numPr>
          <w:ilvl w:val="0"/>
          <w:numId w:val="149"/>
        </w:numPr>
        <w:tabs>
          <w:tab w:val="clear" w:pos="360"/>
          <w:tab w:val="left" w:pos="680"/>
        </w:tabs>
        <w:spacing w:before="240" w:line="260" w:lineRule="exact"/>
        <w:jc w:val="both"/>
        <w:rPr>
          <w:sz w:val="22"/>
        </w:rPr>
      </w:pPr>
      <w:r>
        <w:rPr>
          <w:sz w:val="22"/>
        </w:rPr>
        <w:t xml:space="preserve">Наряду с усилиями государства по созданию служб помощи работающим матерям следует развивать деятельность по предоставлению работающим и учащимся мужчинам и женщинам качественных государственных услуг по уходу за детьми. </w:t>
      </w:r>
    </w:p>
    <w:p w:rsidR="00000000" w:rsidRDefault="00000000">
      <w:pPr>
        <w:numPr>
          <w:ilvl w:val="0"/>
          <w:numId w:val="149"/>
        </w:numPr>
        <w:tabs>
          <w:tab w:val="clear" w:pos="360"/>
          <w:tab w:val="left" w:pos="680"/>
        </w:tabs>
        <w:spacing w:before="240" w:line="260" w:lineRule="exact"/>
        <w:jc w:val="both"/>
        <w:rPr>
          <w:sz w:val="22"/>
        </w:rPr>
      </w:pPr>
      <w:r>
        <w:rPr>
          <w:sz w:val="22"/>
        </w:rPr>
        <w:t>Требуют решения проблемы, связанные с условиями труда домашней прислуги. В статьях 104 и 105 Трудового кодекса ничего не сказано о социальном страховании, ненормированном рабочем дне и наличии дискриминационных положений в отношении этой категории женщин.</w:t>
      </w:r>
    </w:p>
    <w:p w:rsidR="00000000" w:rsidRDefault="00000000">
      <w:pPr>
        <w:numPr>
          <w:ilvl w:val="0"/>
          <w:numId w:val="149"/>
        </w:numPr>
        <w:tabs>
          <w:tab w:val="left" w:pos="680"/>
        </w:tabs>
        <w:spacing w:before="240" w:line="260" w:lineRule="exact"/>
        <w:jc w:val="both"/>
        <w:rPr>
          <w:sz w:val="22"/>
        </w:rPr>
      </w:pPr>
      <w:r>
        <w:rPr>
          <w:sz w:val="22"/>
        </w:rPr>
        <w:t>Следует и далее прилагать усилия для того, чтобы неоплачиваемый домашний труд был признан полноценной трудовой деятельностью, и проводить просветительские кампании по изменению культурных и экономических стереотипов, существующих в отношении домашнего труда, а также по признанию полезной работу молодых женщин, которые по той или иной причине вынуждены заниматься исключительно этим видом деятельности.</w:t>
      </w:r>
    </w:p>
    <w:p w:rsidR="00000000" w:rsidRDefault="00000000">
      <w:pPr>
        <w:numPr>
          <w:ilvl w:val="0"/>
          <w:numId w:val="149"/>
        </w:numPr>
        <w:tabs>
          <w:tab w:val="clear" w:pos="360"/>
          <w:tab w:val="left" w:pos="680"/>
        </w:tabs>
        <w:spacing w:before="240" w:line="260" w:lineRule="exact"/>
        <w:jc w:val="both"/>
        <w:rPr>
          <w:sz w:val="22"/>
        </w:rPr>
      </w:pPr>
      <w:r>
        <w:rPr>
          <w:sz w:val="22"/>
        </w:rPr>
        <w:t>Государство должно принимать меры по регулированию распределения семейных обязанностей между мужчинами и женщинами. Оба супруга или партнера должны совместно выполнять работу по дому и по уходу за членами семьи. Это касается и внесения средств в семейный бюджет обоими супругами пропорционально их заработкам.</w:t>
      </w:r>
    </w:p>
    <w:p w:rsidR="00000000" w:rsidRDefault="00000000">
      <w:pPr>
        <w:numPr>
          <w:ilvl w:val="0"/>
          <w:numId w:val="149"/>
        </w:numPr>
        <w:tabs>
          <w:tab w:val="clear" w:pos="360"/>
          <w:tab w:val="left" w:pos="680"/>
        </w:tabs>
        <w:spacing w:before="240" w:line="260" w:lineRule="exact"/>
        <w:jc w:val="both"/>
        <w:rPr>
          <w:sz w:val="22"/>
        </w:rPr>
      </w:pPr>
      <w:r>
        <w:rPr>
          <w:sz w:val="22"/>
        </w:rPr>
        <w:t>Как было отмечено, Коста-Рика не имеет ни политики в области занятости, ни специальной политики, учитывающей проблемы и нужды женщин. Необходимо немедленно приступить к разработке политики в области занятости, которая обеспечит вливание женской рабочей силы в экономический сектор. Поэтому следует создавать стимулы для того, чтобы предприятия принимали в качестве штатных единиц все большее число женщин, способствовали их продвижению по службе, получению более высокооплачиваемых должностей, обеспечивали им возможности для повышения квалификации и занятию руководящих постов в структуре предприятия. В дополнение к этому нужно создавать новые рабочие места для полноценной занятости женщин, что позволит расширить возможности их доступа на рынок труда на более справедливых условиях. Частью политики по борьбе с неравенством должны стать программы производственных стимулов за добросовестный труд, связанные с внедрением гендерного подхода.</w:t>
      </w:r>
    </w:p>
    <w:p w:rsidR="00000000" w:rsidRDefault="00000000">
      <w:pPr>
        <w:numPr>
          <w:ilvl w:val="0"/>
          <w:numId w:val="149"/>
        </w:numPr>
        <w:tabs>
          <w:tab w:val="clear" w:pos="360"/>
          <w:tab w:val="left" w:pos="680"/>
        </w:tabs>
        <w:spacing w:before="240" w:line="260" w:lineRule="exact"/>
        <w:jc w:val="both"/>
        <w:rPr>
          <w:sz w:val="22"/>
        </w:rPr>
      </w:pPr>
      <w:r>
        <w:rPr>
          <w:sz w:val="22"/>
        </w:rPr>
        <w:t>Необходимо продолжать систематическую работу среди работодателей и общественности по разъяснению правового статуса работающих женщин. Повышение правового самосознания женщин – достаточно длительный процесс, поэтому такого рода мероприятия не должны быть эпизодическими.</w:t>
      </w:r>
    </w:p>
    <w:p w:rsidR="00000000" w:rsidRDefault="00000000">
      <w:pPr>
        <w:numPr>
          <w:ilvl w:val="0"/>
          <w:numId w:val="149"/>
        </w:numPr>
        <w:tabs>
          <w:tab w:val="clear" w:pos="360"/>
          <w:tab w:val="left" w:pos="680"/>
        </w:tabs>
        <w:spacing w:before="240" w:line="260" w:lineRule="exact"/>
        <w:jc w:val="both"/>
        <w:rPr>
          <w:sz w:val="22"/>
        </w:rPr>
      </w:pPr>
      <w:r>
        <w:rPr>
          <w:sz w:val="22"/>
        </w:rPr>
        <w:t>Государство – в сотрудничестве с частными предприятиями и общественными организациями – должно удвоить усилия по созданию условий для расширения доступа женщин к руководящей работе в тех сферах деятельности, которые традиционно не считались "женскими".</w:t>
      </w:r>
    </w:p>
    <w:p w:rsidR="00000000" w:rsidRDefault="00000000">
      <w:pPr>
        <w:numPr>
          <w:ilvl w:val="0"/>
          <w:numId w:val="149"/>
        </w:numPr>
        <w:tabs>
          <w:tab w:val="clear" w:pos="360"/>
          <w:tab w:val="left" w:pos="680"/>
        </w:tabs>
        <w:spacing w:before="240" w:line="260" w:lineRule="exact"/>
        <w:jc w:val="both"/>
        <w:rPr>
          <w:sz w:val="22"/>
        </w:rPr>
      </w:pPr>
      <w:r>
        <w:rPr>
          <w:sz w:val="22"/>
        </w:rPr>
        <w:t>Коста-риканские женщины добились значительных успехов в решении правовых вопросов, связанных со здравоохранением. Женщины опережают мужчин по показателям продолжительности жизни. Программа профилактики и обнаружения рака шейки матки и молочной железы способствовала повышению качества медицинского обслуживания женщин. Право женщин на получение профессиональной консультативной помощи и на добровольную хирургическую стерилизацию было признано правительственным декретом, имеющим целью защищать права всех граждан на сексуальную жизнь и охрану репродуктивного здоровья. Еще одним положительным, но нелегким шагом стало введение в действие Модели комплексного медицинского обслуживания для женщин.</w:t>
      </w:r>
    </w:p>
    <w:p w:rsidR="00000000" w:rsidRDefault="00000000">
      <w:pPr>
        <w:numPr>
          <w:ilvl w:val="0"/>
          <w:numId w:val="149"/>
        </w:numPr>
        <w:tabs>
          <w:tab w:val="clear" w:pos="360"/>
          <w:tab w:val="left" w:pos="680"/>
        </w:tabs>
        <w:spacing w:before="240" w:line="260" w:lineRule="exact"/>
        <w:jc w:val="both"/>
        <w:rPr>
          <w:sz w:val="22"/>
        </w:rPr>
      </w:pPr>
      <w:r>
        <w:rPr>
          <w:sz w:val="22"/>
        </w:rPr>
        <w:t>Тем не менее все еще сильны патриархальные мужские представления об охране здоровья и предоставлении медицинских услуг, что ограничивает доступ женщин к комплексному медицинскому обслуживанию, социальному страхованию и достойной жизни, свободной от всех проявлений насилия, в том числе в сфере здравоохранения. Сохраняется разрыв между теорией и практикой, так как проводятся в основном мероприятия по защите репродуктивного здоровья женщин. Изменения модели здравоохранения, являющиеся частью процесса реформы сектора здравоохранения, проводятся крайне медленно и встречают сопротивление со стороны некоторых структур власти и медицинского персонала. Патриархальная модель медицинского обслуживания сохраняется во всех ветвях здравоохранения, и лишь недавно начали поступать отдельные предложения по изменению этой модели. Качество большинства медицинских услуг, предлагаемых женщинам, оставляет желать лучшего, стереотипы превалируют над правовыми и физическими потребностями женщины в лечении. Проблема осложняется тем, что в работе служб по профилактике заболеваний и в работе медицинских учреждений не учитываются такие моменты, как языковые различия, потеря трудоспособности, возрастные и культурные особенности различных этнических групп.</w:t>
      </w:r>
    </w:p>
    <w:p w:rsidR="00000000" w:rsidRDefault="00000000">
      <w:pPr>
        <w:numPr>
          <w:ilvl w:val="0"/>
          <w:numId w:val="149"/>
        </w:numPr>
        <w:tabs>
          <w:tab w:val="clear" w:pos="360"/>
          <w:tab w:val="left" w:pos="680"/>
        </w:tabs>
        <w:spacing w:before="240" w:line="260" w:lineRule="exact"/>
        <w:jc w:val="both"/>
        <w:rPr>
          <w:sz w:val="22"/>
        </w:rPr>
      </w:pPr>
      <w:r>
        <w:rPr>
          <w:sz w:val="22"/>
        </w:rPr>
        <w:t>В ходе работы, проводимой общественными организациями, особенно женскими, и государственными структурами, удалось привлечь внимание широких слоев коста-риканского общества к одной из важнейших проблем, связанных с охраной здоровья граждан, – проблеме насилия в отношении женщин. В связи с этим удалось выработать государственную политику борьбы с насилием в семье и консолидировать Национальную систему по оказанию помощи в случае насилия в семье и его предупреждению (ПЛАНОВИ), деятельность которой была оценена по таким направлениям, как выявление случаев насилия, помощь пострадавшим, профилактические меры, доступ к финансовым средствам, обмен опытом. Одним из основных достижений в этой области стали провозглашение Закона о борьбе с сексуальными домогательствами на работе и в учебных заведениях, а также разработка поправок в этот закон, что позволит расширить сферу его действия.</w:t>
      </w:r>
    </w:p>
    <w:p w:rsidR="00000000" w:rsidRDefault="00000000">
      <w:pPr>
        <w:numPr>
          <w:ilvl w:val="0"/>
          <w:numId w:val="149"/>
        </w:numPr>
        <w:tabs>
          <w:tab w:val="clear" w:pos="360"/>
          <w:tab w:val="left" w:pos="680"/>
        </w:tabs>
        <w:spacing w:before="240" w:line="260" w:lineRule="exact"/>
        <w:jc w:val="both"/>
        <w:rPr>
          <w:spacing w:val="-4"/>
          <w:sz w:val="22"/>
        </w:rPr>
      </w:pPr>
      <w:r>
        <w:rPr>
          <w:spacing w:val="-4"/>
          <w:sz w:val="22"/>
        </w:rPr>
        <w:t>Несмотря на ощутимый прогресс, сохраняется ряд существенных обстоятельств, препятствующих женщинам в полной мере получать комплексное медицинское обслуживание и избавиться от насилия. Преодоление этих обстоятельств является важной задачей, стоящей перед государством и обществом в целом. Очевидна необходимость сбора данных и определения показателей состояния здоровья нации, касающихся не только заболеваемости. Важно также внедрять гендерный подход в систему регистрации, классификации и определения заболеваний таким образом, чтобы полученные статистические данные с большей точностью выявляли влияние образа жизни на состояние здоровья мужчин и женщин. Кроме того, следует контролировать специфические модели поведения в отношении женщин, которые проявляются, например, в предвзятом отношении к некоторым типично женским заболеваниям.</w:t>
      </w:r>
    </w:p>
    <w:p w:rsidR="00000000" w:rsidRDefault="00000000">
      <w:pPr>
        <w:numPr>
          <w:ilvl w:val="0"/>
          <w:numId w:val="149"/>
        </w:numPr>
        <w:tabs>
          <w:tab w:val="clear" w:pos="360"/>
          <w:tab w:val="left" w:pos="680"/>
        </w:tabs>
        <w:spacing w:before="240" w:line="260" w:lineRule="exact"/>
        <w:jc w:val="both"/>
        <w:rPr>
          <w:sz w:val="22"/>
        </w:rPr>
      </w:pPr>
      <w:r>
        <w:rPr>
          <w:sz w:val="22"/>
        </w:rPr>
        <w:t>Система здравоохранения должна поддерживать инициативы по дифференциации подхода к медицинскому обслуживанию мужчин и женщин. Программы комплексного медицинского обслуживания и защиты права женщин на охрану их репродуктивного здоровья требуют усиленного финансирования и технической поддержки. Необходимо также снизить показатели беременности среди подростков. Наряду с этим следует применять на практике Модель комплексного медицинского обслуживания с учетом различия в потребностях профилактики и лечения женщин разных возрастных категорий и делать это не только на базе Больницы для женщин, но и во всех медицинских учреждениях страны. Применяя Модель в отношении коста-риканских женщин, следует учитывать множество условий (этническую принадлежность, уровень образования, семейное положение, нетрудоспособность, возраст, гражданский статус).</w:t>
      </w:r>
    </w:p>
    <w:p w:rsidR="00000000" w:rsidRDefault="00000000">
      <w:pPr>
        <w:numPr>
          <w:ilvl w:val="0"/>
          <w:numId w:val="149"/>
        </w:numPr>
        <w:tabs>
          <w:tab w:val="clear" w:pos="360"/>
          <w:tab w:val="left" w:pos="680"/>
        </w:tabs>
        <w:spacing w:before="240" w:line="260" w:lineRule="exact"/>
        <w:jc w:val="both"/>
        <w:rPr>
          <w:sz w:val="22"/>
        </w:rPr>
      </w:pPr>
      <w:r>
        <w:rPr>
          <w:sz w:val="22"/>
        </w:rPr>
        <w:t>Как было отмечено выше, охрана психического здоровья женщин является наименее благополучной сферой Системы здравоохранения. Следовательно, необходимо разрабатывать Комплексную программу защиты психического здоровья женщин, которая охватила бы все жизненные циклы. При этом следует рассматривать психическое здоровье как необходимое условие для того, чтобы человек находился в гармонии с самим собой и с окружающим миром, и как важную составляющую здоровья вообще. Поэтому здесь не стоит злоупотреблять "врачеванием".</w:t>
      </w:r>
    </w:p>
    <w:p w:rsidR="00000000" w:rsidRDefault="00000000">
      <w:pPr>
        <w:numPr>
          <w:ilvl w:val="0"/>
          <w:numId w:val="149"/>
        </w:numPr>
        <w:tabs>
          <w:tab w:val="clear" w:pos="360"/>
          <w:tab w:val="left" w:pos="680"/>
        </w:tabs>
        <w:spacing w:before="240" w:line="260" w:lineRule="exact"/>
        <w:jc w:val="both"/>
        <w:rPr>
          <w:sz w:val="22"/>
        </w:rPr>
      </w:pPr>
      <w:r>
        <w:rPr>
          <w:sz w:val="22"/>
        </w:rPr>
        <w:t>Следует расширить сферу охвата населения социальным страхованием, прежде всего для того, чтобы гарантировать право на получение пенсии по старости или инвалидности и обеспечить достойные условия жизни. При этом необходимо руководствоваться принципами социального равноправия и справедливого распределения национальных богатств, а не просто оказанием помощи. Особенно это касается домохозяек вообще, в частности женщин, которые в той или иной степени утратили трудоспособность или имеют детей-инвалидов, женщин, занимающихся неоплачиваемым сельскохозяйственным трудом или индивидуальной предпринимательской деятельностью, как правило без социального страхования, а также многих неимущих одиноких матерей.</w:t>
      </w:r>
    </w:p>
    <w:p w:rsidR="00000000" w:rsidRDefault="00000000">
      <w:pPr>
        <w:numPr>
          <w:ilvl w:val="0"/>
          <w:numId w:val="149"/>
        </w:numPr>
        <w:tabs>
          <w:tab w:val="clear" w:pos="360"/>
          <w:tab w:val="left" w:pos="680"/>
        </w:tabs>
        <w:spacing w:before="240" w:line="260" w:lineRule="exact"/>
        <w:jc w:val="both"/>
        <w:rPr>
          <w:sz w:val="22"/>
        </w:rPr>
      </w:pPr>
      <w:r>
        <w:rPr>
          <w:sz w:val="22"/>
        </w:rPr>
        <w:t>Трудовой кодекс был принят в 1940 году. Несмотря на все изменения, которые претерпел этот юридический документ, не удалось предусмотреть все разнообразие форм найма и видов трудоустройства, возникающих в стране в условиях открытой рыночной экономики и экономической глобализации. В то же время Кодекс основывается на том понятии, что мужчина является экономическим субъектом и кормильцем семьи. Поэтому необходимо пересмотреть раздел Трудового кодекса "о защите женщин на работе", для того чтобы обеспечить защиту от трудовых рисков всему работающему населению, в частности женщинам, работающим на современных производствах или имеющим другие формы занятости, порожденные глобализацией, где имеют место эксплуатация и дискриминация по половому признаку.</w:t>
      </w:r>
    </w:p>
    <w:p w:rsidR="00000000" w:rsidRDefault="00000000">
      <w:pPr>
        <w:numPr>
          <w:ilvl w:val="0"/>
          <w:numId w:val="149"/>
        </w:numPr>
        <w:tabs>
          <w:tab w:val="clear" w:pos="360"/>
          <w:tab w:val="left" w:pos="680"/>
        </w:tabs>
        <w:spacing w:before="240" w:line="260" w:lineRule="exact"/>
        <w:jc w:val="both"/>
        <w:rPr>
          <w:sz w:val="22"/>
        </w:rPr>
      </w:pPr>
      <w:r>
        <w:rPr>
          <w:sz w:val="22"/>
        </w:rPr>
        <w:t>Необходимая работа по предотвращению правонарушений, защите прав, профессиональной подготовке, проводимая на местах неправительственными организациями, нуждается в поддержке со стороны государства, так как эти направления деятельности являются стратегическими для реализации женщинами их активной гражданской позиции.</w:t>
      </w:r>
    </w:p>
    <w:p w:rsidR="00000000" w:rsidRDefault="00000000">
      <w:pPr>
        <w:numPr>
          <w:ilvl w:val="0"/>
          <w:numId w:val="149"/>
        </w:numPr>
        <w:tabs>
          <w:tab w:val="clear" w:pos="360"/>
          <w:tab w:val="left" w:pos="680"/>
        </w:tabs>
        <w:spacing w:before="240" w:line="260" w:lineRule="exact"/>
        <w:jc w:val="both"/>
        <w:rPr>
          <w:spacing w:val="-2"/>
          <w:sz w:val="22"/>
        </w:rPr>
      </w:pPr>
      <w:r>
        <w:rPr>
          <w:spacing w:val="-2"/>
          <w:sz w:val="22"/>
        </w:rPr>
        <w:t>Государство – в сотрудничестве с женскими общественными организациями – должно заняться вопросами перераспределения расходов, связанных с предоставлением отпусков по беременности и родам. Следует внести соответствующие изменения в законодательство и выработать политику, которая обеспечит скорейшее выполнение этой задачи.</w:t>
      </w:r>
    </w:p>
    <w:p w:rsidR="00000000" w:rsidRDefault="00000000">
      <w:pPr>
        <w:numPr>
          <w:ilvl w:val="0"/>
          <w:numId w:val="149"/>
        </w:numPr>
        <w:tabs>
          <w:tab w:val="clear" w:pos="360"/>
          <w:tab w:val="left" w:pos="680"/>
        </w:tabs>
        <w:spacing w:before="240" w:line="260" w:lineRule="exact"/>
        <w:jc w:val="both"/>
        <w:rPr>
          <w:sz w:val="22"/>
        </w:rPr>
      </w:pPr>
      <w:r>
        <w:rPr>
          <w:sz w:val="22"/>
        </w:rPr>
        <w:t>Существенный прогресс отмечается в укреплении Национальной системы предупреждения насилия в семье, в принятии новых законов и внесении поправок в действующее законодательство в целях защиты женщин от любых проявлений насилия. Но существует множество пробелов в законодательстве и в государственной политике, в результате чего не уделено внимание женщинам со специфическими проблемами и не подлежат наказанию некоторые виды насилия. Государству и гражданам надлежит удвоить усилия, увеличить финансирование и сделать все возможное для искоренения всех форм насилия в отношении женщин, так как в результате насилия подвергается риску их физическое и эмоциональное состояние, имущественное положение, и особенно это касается социально не защищенных категорий населения. Все новые инициативы должны иметь целью не только принятие новых законов и изменение действующих, но и предлагать новые стабильные источники финансирования, предусматривать сотрудничество государства и общества, развивать новые стратегии с учетом опыта отдельных муниципальных округов, обеспечить широкий доступ женщин к эффективным и качественным услугам по предупреждению насилия и помощи его жертвам.</w:t>
      </w:r>
    </w:p>
    <w:p w:rsidR="00000000" w:rsidRDefault="00000000">
      <w:pPr>
        <w:numPr>
          <w:ilvl w:val="0"/>
          <w:numId w:val="149"/>
        </w:numPr>
        <w:tabs>
          <w:tab w:val="clear" w:pos="360"/>
          <w:tab w:val="left" w:pos="680"/>
        </w:tabs>
        <w:spacing w:before="240" w:line="260" w:lineRule="exact"/>
        <w:jc w:val="both"/>
        <w:rPr>
          <w:sz w:val="22"/>
        </w:rPr>
      </w:pPr>
      <w:r>
        <w:rPr>
          <w:sz w:val="22"/>
        </w:rPr>
        <w:t>Страна сталкивается с множеством проблем, связанных с предупреждением насилия в семье, с созданием условий для укрепления системы оказания соответствующей помощи пострадавшим. В связи с этим необходимо:</w:t>
      </w:r>
    </w:p>
    <w:p w:rsidR="00000000" w:rsidRDefault="00000000">
      <w:pPr>
        <w:numPr>
          <w:ilvl w:val="0"/>
          <w:numId w:val="158"/>
        </w:numPr>
        <w:tabs>
          <w:tab w:val="clear" w:pos="360"/>
          <w:tab w:val="left" w:pos="340"/>
          <w:tab w:val="left" w:pos="680"/>
        </w:tabs>
        <w:spacing w:before="240" w:line="260" w:lineRule="exact"/>
        <w:ind w:left="340" w:hanging="340"/>
        <w:jc w:val="both"/>
        <w:rPr>
          <w:spacing w:val="-4"/>
          <w:sz w:val="22"/>
        </w:rPr>
      </w:pPr>
      <w:r>
        <w:rPr>
          <w:spacing w:val="-4"/>
          <w:sz w:val="22"/>
        </w:rPr>
        <w:t>Отрегулировать Национальную систему предотвращения насилия в семьях и помощи его жертвам посредством закона, предусматривающего создание специального секретариата при ИНАМУ, занимающегося вопросами насилия в отношении женщин, а также инспекционной службы и постоянного комитета по оценке и контролю. Обеспечить необходимое бюджетное финансирование для эффективного функционирования указанной Системы.</w:t>
      </w:r>
    </w:p>
    <w:p w:rsidR="00000000" w:rsidRDefault="00000000">
      <w:pPr>
        <w:numPr>
          <w:ilvl w:val="0"/>
          <w:numId w:val="158"/>
        </w:numPr>
        <w:tabs>
          <w:tab w:val="clear" w:pos="360"/>
          <w:tab w:val="left" w:pos="340"/>
          <w:tab w:val="left" w:pos="680"/>
        </w:tabs>
        <w:spacing w:before="240" w:line="260" w:lineRule="exact"/>
        <w:ind w:left="340" w:hanging="340"/>
        <w:jc w:val="both"/>
        <w:rPr>
          <w:sz w:val="22"/>
        </w:rPr>
      </w:pPr>
      <w:r>
        <w:rPr>
          <w:sz w:val="22"/>
        </w:rPr>
        <w:t>Создать информационную систему регистрации данных о фактах насилия в семье, представляемых учреждениями и органами, действующими в рамках Системы, для того чтобы иметь представление о ходе выполнения задач и полученных результатах. В результате изучения методов сбора информации и источников ее получения, которыми пользуются соответствующие структуры, станет возможным разработать показатели увеличения или сокращения случаев насилия, а также получить представление о различных направлениях деятельности Системы.</w:t>
      </w:r>
    </w:p>
    <w:p w:rsidR="00000000" w:rsidRDefault="00000000">
      <w:pPr>
        <w:numPr>
          <w:ilvl w:val="0"/>
          <w:numId w:val="158"/>
        </w:numPr>
        <w:tabs>
          <w:tab w:val="clear" w:pos="360"/>
          <w:tab w:val="left" w:pos="340"/>
          <w:tab w:val="left" w:pos="680"/>
        </w:tabs>
        <w:spacing w:before="240" w:line="260" w:lineRule="exact"/>
        <w:ind w:left="340" w:hanging="340"/>
        <w:jc w:val="both"/>
        <w:rPr>
          <w:sz w:val="22"/>
        </w:rPr>
      </w:pPr>
      <w:r>
        <w:rPr>
          <w:sz w:val="22"/>
        </w:rPr>
        <w:t>Разработать и осуществить программу исследований с использованием университетских дипломных проектов и опыта работы различных учреждений, что положительно скажется на качестве принимаемых решений.</w:t>
      </w:r>
    </w:p>
    <w:p w:rsidR="00000000" w:rsidRDefault="00000000">
      <w:pPr>
        <w:numPr>
          <w:ilvl w:val="0"/>
          <w:numId w:val="158"/>
        </w:numPr>
        <w:tabs>
          <w:tab w:val="clear" w:pos="360"/>
          <w:tab w:val="left" w:pos="340"/>
          <w:tab w:val="left" w:pos="680"/>
        </w:tabs>
        <w:spacing w:before="240" w:line="260" w:lineRule="exact"/>
        <w:ind w:left="340" w:hanging="340"/>
        <w:jc w:val="both"/>
        <w:rPr>
          <w:sz w:val="22"/>
        </w:rPr>
      </w:pPr>
      <w:r>
        <w:rPr>
          <w:sz w:val="22"/>
        </w:rPr>
        <w:t xml:space="preserve">Расширить сеть служб по предупреждению насилия в семье и помощи пострадавшим, распространив их действие на ранее не охваченные районы, и сделать эти службы доступными для пожилых женщин, афрокостариканок, представительниц коренного индейского населения и инвалидов. </w:t>
      </w:r>
    </w:p>
    <w:p w:rsidR="00000000" w:rsidRDefault="00000000">
      <w:pPr>
        <w:numPr>
          <w:ilvl w:val="0"/>
          <w:numId w:val="158"/>
        </w:numPr>
        <w:tabs>
          <w:tab w:val="clear" w:pos="360"/>
          <w:tab w:val="left" w:pos="340"/>
          <w:tab w:val="left" w:pos="680"/>
        </w:tabs>
        <w:spacing w:before="240" w:line="260" w:lineRule="exact"/>
        <w:ind w:left="340" w:hanging="340"/>
        <w:jc w:val="both"/>
        <w:rPr>
          <w:sz w:val="22"/>
        </w:rPr>
      </w:pPr>
      <w:r>
        <w:rPr>
          <w:sz w:val="22"/>
        </w:rPr>
        <w:t>Создать условия для психологической реабилитации, групповой и индивидуальной терапии и аутотренинга для сотрудников государственных и частных служб помощи пострадавшим от насилия.</w:t>
      </w:r>
    </w:p>
    <w:p w:rsidR="00000000" w:rsidRDefault="00000000">
      <w:pPr>
        <w:numPr>
          <w:ilvl w:val="0"/>
          <w:numId w:val="158"/>
        </w:numPr>
        <w:tabs>
          <w:tab w:val="clear" w:pos="360"/>
          <w:tab w:val="left" w:pos="340"/>
          <w:tab w:val="left" w:pos="680"/>
        </w:tabs>
        <w:spacing w:before="240" w:line="260" w:lineRule="exact"/>
        <w:ind w:left="340" w:hanging="340"/>
        <w:jc w:val="both"/>
        <w:rPr>
          <w:sz w:val="22"/>
        </w:rPr>
      </w:pPr>
      <w:r>
        <w:rPr>
          <w:sz w:val="22"/>
        </w:rPr>
        <w:t>Расширять сеть муниципальных и министерских отделений, занимающихся проблемами женщин и гендерной тематикой, повышать их компетенцию в вопросах, связанных с насилием в семье, в целях повышения эффективности их работы.</w:t>
      </w:r>
    </w:p>
    <w:p w:rsidR="00000000" w:rsidRDefault="00000000">
      <w:pPr>
        <w:numPr>
          <w:ilvl w:val="0"/>
          <w:numId w:val="158"/>
        </w:numPr>
        <w:tabs>
          <w:tab w:val="clear" w:pos="360"/>
          <w:tab w:val="left" w:pos="340"/>
          <w:tab w:val="left" w:pos="680"/>
        </w:tabs>
        <w:spacing w:before="240" w:line="260" w:lineRule="exact"/>
        <w:ind w:left="340" w:hanging="340"/>
        <w:jc w:val="both"/>
        <w:rPr>
          <w:sz w:val="22"/>
        </w:rPr>
      </w:pPr>
      <w:r>
        <w:rPr>
          <w:sz w:val="22"/>
        </w:rPr>
        <w:t>Разрабатывать и внедрять политику предупреждения насилия в семье под руководством Министерства образования и при активном участии Министерства юстиции, Министерства по делам культуры, молодежи и спорта, Национального совета по делам молодежи, Государственного детского благотворительного фонда и ИНАМУ, неправительственных и молодежных организаций, имеющих опыт в деле предупреждения насилия в семье.</w:t>
      </w:r>
    </w:p>
    <w:p w:rsidR="00000000" w:rsidRDefault="00000000">
      <w:pPr>
        <w:numPr>
          <w:ilvl w:val="0"/>
          <w:numId w:val="158"/>
        </w:numPr>
        <w:tabs>
          <w:tab w:val="clear" w:pos="360"/>
          <w:tab w:val="left" w:pos="340"/>
          <w:tab w:val="left" w:pos="680"/>
        </w:tabs>
        <w:spacing w:before="240" w:line="260" w:lineRule="exact"/>
        <w:ind w:left="340" w:hanging="340"/>
        <w:jc w:val="both"/>
        <w:rPr>
          <w:sz w:val="22"/>
        </w:rPr>
      </w:pPr>
      <w:r>
        <w:rPr>
          <w:sz w:val="22"/>
        </w:rPr>
        <w:t xml:space="preserve">Добиваться от правительства выделения средств для финансирования пропагандистской кампании "За жизнь без насилия", а также для оценки результатов ее проведения. </w:t>
      </w:r>
    </w:p>
    <w:p w:rsidR="00000000" w:rsidRDefault="00000000">
      <w:pPr>
        <w:numPr>
          <w:ilvl w:val="0"/>
          <w:numId w:val="158"/>
        </w:numPr>
        <w:tabs>
          <w:tab w:val="clear" w:pos="360"/>
          <w:tab w:val="left" w:pos="340"/>
          <w:tab w:val="left" w:pos="680"/>
        </w:tabs>
        <w:spacing w:before="240" w:line="260" w:lineRule="exact"/>
        <w:ind w:left="340" w:hanging="340"/>
        <w:jc w:val="both"/>
        <w:rPr>
          <w:sz w:val="22"/>
        </w:rPr>
      </w:pPr>
      <w:r>
        <w:rPr>
          <w:sz w:val="22"/>
        </w:rPr>
        <w:t>Добиваться принятия законопроекта об уголовном наказании за совершение насилия в отношении женщины.</w:t>
      </w:r>
    </w:p>
    <w:p w:rsidR="00000000" w:rsidRDefault="00000000">
      <w:pPr>
        <w:numPr>
          <w:ilvl w:val="0"/>
          <w:numId w:val="158"/>
        </w:numPr>
        <w:tabs>
          <w:tab w:val="clear" w:pos="360"/>
          <w:tab w:val="left" w:pos="340"/>
          <w:tab w:val="left" w:pos="680"/>
        </w:tabs>
        <w:spacing w:before="240" w:line="260" w:lineRule="exact"/>
        <w:ind w:left="340" w:hanging="340"/>
        <w:jc w:val="both"/>
        <w:rPr>
          <w:sz w:val="22"/>
        </w:rPr>
      </w:pPr>
      <w:r>
        <w:rPr>
          <w:sz w:val="22"/>
        </w:rPr>
        <w:t>Совершенствовать модель взаимообучения в области предупреждения насилия в семье, обогатив ее опытом работы различных секторов общества, приобретенным за три года действия этой модели.</w:t>
      </w:r>
    </w:p>
    <w:p w:rsidR="00000000" w:rsidRDefault="00000000">
      <w:pPr>
        <w:numPr>
          <w:ilvl w:val="0"/>
          <w:numId w:val="158"/>
        </w:numPr>
        <w:tabs>
          <w:tab w:val="clear" w:pos="360"/>
          <w:tab w:val="left" w:pos="340"/>
          <w:tab w:val="left" w:pos="680"/>
        </w:tabs>
        <w:spacing w:before="240" w:line="260" w:lineRule="exact"/>
        <w:ind w:left="340" w:hanging="340"/>
        <w:jc w:val="both"/>
        <w:rPr>
          <w:sz w:val="22"/>
        </w:rPr>
      </w:pPr>
      <w:r>
        <w:rPr>
          <w:sz w:val="22"/>
        </w:rPr>
        <w:t>Должным образом применять действующее законодательство и направить усилия различных учреждений на предотвращение безнаказанности, а также усилить механизмы защиты жертв домашнего насилия (обезопасить жизнь женщин в их домах и в то же время контролировать виновных в агрессивном поведении и подвергать их наказанию). (Если это станет возможным, то резко сократятся случаи обращения в специальные приюты женщин, подвергшихся жестокому обращению.)</w:t>
      </w:r>
    </w:p>
    <w:p w:rsidR="00000000" w:rsidRDefault="00000000">
      <w:pPr>
        <w:numPr>
          <w:ilvl w:val="0"/>
          <w:numId w:val="149"/>
        </w:numPr>
        <w:tabs>
          <w:tab w:val="clear" w:pos="360"/>
          <w:tab w:val="left" w:pos="680"/>
        </w:tabs>
        <w:spacing w:before="240" w:line="260" w:lineRule="exact"/>
        <w:jc w:val="both"/>
        <w:rPr>
          <w:sz w:val="22"/>
        </w:rPr>
      </w:pPr>
      <w:r>
        <w:rPr>
          <w:sz w:val="22"/>
        </w:rPr>
        <w:t>Следует принимать меры по устранению несоответствий между нормами, содержащимися в законе и постановлениях о борьбе с сексуальными домогательствами на работе и в учебных заведениях, и их интерпретацией, так как это ограничивает действие закона и не позволяет обеспечить полноценную защиту прав. Ведущая роль в этом процессе принадлежит Министерству труда, Коллегии адвокатов по защите прав граждан, Национальному механизму и женским организациям, которые активно контролировали действие Закона о борьбе с сексуальными домогательствами.</w:t>
      </w:r>
    </w:p>
    <w:p w:rsidR="00000000" w:rsidRDefault="00000000">
      <w:pPr>
        <w:numPr>
          <w:ilvl w:val="0"/>
          <w:numId w:val="149"/>
        </w:numPr>
        <w:tabs>
          <w:tab w:val="clear" w:pos="360"/>
          <w:tab w:val="left" w:pos="680"/>
        </w:tabs>
        <w:spacing w:before="240" w:line="260" w:lineRule="exact"/>
        <w:jc w:val="both"/>
        <w:rPr>
          <w:sz w:val="22"/>
        </w:rPr>
      </w:pPr>
      <w:r>
        <w:rPr>
          <w:sz w:val="22"/>
        </w:rPr>
        <w:t>Не удалось достичь серьезных успехов в сфере, определяемой Конвенцией как "социально направленные выплаты". Здесь все еще имеют место проявления дискриминации по половому признаку. Можно говорить лишь о двух значительных достижениях, ставших отправной точкой для будущей политики государства в этой области:</w:t>
      </w:r>
    </w:p>
    <w:p w:rsidR="00000000" w:rsidRDefault="00000000">
      <w:pPr>
        <w:numPr>
          <w:ilvl w:val="0"/>
          <w:numId w:val="159"/>
        </w:numPr>
        <w:tabs>
          <w:tab w:val="clear" w:pos="360"/>
          <w:tab w:val="left" w:pos="340"/>
          <w:tab w:val="left" w:pos="680"/>
        </w:tabs>
        <w:spacing w:before="240" w:line="260" w:lineRule="exact"/>
        <w:ind w:left="340" w:hanging="340"/>
        <w:jc w:val="both"/>
        <w:rPr>
          <w:sz w:val="22"/>
        </w:rPr>
      </w:pPr>
      <w:r>
        <w:rPr>
          <w:sz w:val="22"/>
        </w:rPr>
        <w:t>Коста-риканское законодательство гарантирует женщинам правоспособность для получения кредитов, осуществления ипотечных операций, операций купли-продажи и проведения коммерческих сделок на тех же условиях, которые предоставляются в подобных случаях мужчинам.</w:t>
      </w:r>
    </w:p>
    <w:p w:rsidR="00000000" w:rsidRDefault="00000000">
      <w:pPr>
        <w:numPr>
          <w:ilvl w:val="0"/>
          <w:numId w:val="159"/>
        </w:numPr>
        <w:tabs>
          <w:tab w:val="clear" w:pos="360"/>
          <w:tab w:val="left" w:pos="340"/>
          <w:tab w:val="left" w:pos="680"/>
        </w:tabs>
        <w:spacing w:before="240" w:line="260" w:lineRule="exact"/>
        <w:ind w:left="340" w:hanging="340"/>
        <w:jc w:val="both"/>
        <w:rPr>
          <w:sz w:val="22"/>
        </w:rPr>
      </w:pPr>
      <w:r>
        <w:rPr>
          <w:sz w:val="22"/>
        </w:rPr>
        <w:t>Существует несколько специальных линий кредитования для женщин, хотя их немного. В этом направлении действуют также различные государственные и частные структуры, организации по международному сотрудничеству, имеющие специальные программы поддержки малого бизнеса.</w:t>
      </w:r>
    </w:p>
    <w:p w:rsidR="00000000" w:rsidRDefault="00000000">
      <w:pPr>
        <w:numPr>
          <w:ilvl w:val="0"/>
          <w:numId w:val="149"/>
        </w:numPr>
        <w:tabs>
          <w:tab w:val="clear" w:pos="360"/>
          <w:tab w:val="left" w:pos="680"/>
        </w:tabs>
        <w:spacing w:before="240" w:line="260" w:lineRule="exact"/>
        <w:jc w:val="both"/>
        <w:rPr>
          <w:spacing w:val="-2"/>
          <w:sz w:val="22"/>
        </w:rPr>
      </w:pPr>
      <w:r>
        <w:rPr>
          <w:spacing w:val="-2"/>
          <w:sz w:val="22"/>
        </w:rPr>
        <w:t>Конвенция и Пекинская платформа действий обязывают страну проводить политику в макроэкономической сфере и внедрять стратегии развития, учитывающие нужды женщин и поддерживающие их инициативы по преодолению бедности. Согласно указанным документам следует также гарантировать женщинам доступ к ресурсам, необходимым для организации производства, таким как кредиты и технологии. Для выполнения этих обязательств государство должно принять неотложные меры по следующим направлениям:</w:t>
      </w:r>
    </w:p>
    <w:p w:rsidR="00000000" w:rsidRDefault="00000000">
      <w:pPr>
        <w:numPr>
          <w:ilvl w:val="0"/>
          <w:numId w:val="168"/>
        </w:numPr>
        <w:tabs>
          <w:tab w:val="left" w:pos="680"/>
        </w:tabs>
        <w:spacing w:before="180" w:line="260" w:lineRule="exact"/>
        <w:jc w:val="both"/>
        <w:rPr>
          <w:spacing w:val="-4"/>
          <w:sz w:val="22"/>
        </w:rPr>
      </w:pPr>
      <w:r>
        <w:rPr>
          <w:spacing w:val="-4"/>
          <w:sz w:val="22"/>
        </w:rPr>
        <w:t>Совершенствовать программы, ориентированные на предоставление женщинам финансовых средств на развитие производства. Некоторые действующие меры, которые следует поддержать, имеют целью направить как минимум 50 процентов кредитов, предоставляемых Национальной программой поддержки микропредприятий и предприятий малого бизнеса (ПРОНАМИПЕ), на производственные нужды женщин. Следует также обсудить вопрос о более низких процентных ставках для неимущих женщин и сделать более гибким процесс регулирования гарантий. С другой стороны, рекомендуется расширить возможности для вмешательства в процесс предоставления кредитов и внедрять дифференцированные модели кредитования для женщин с учетом их потребностей.</w:t>
      </w:r>
    </w:p>
    <w:p w:rsidR="00000000" w:rsidRDefault="00000000">
      <w:pPr>
        <w:numPr>
          <w:ilvl w:val="0"/>
          <w:numId w:val="168"/>
        </w:numPr>
        <w:tabs>
          <w:tab w:val="left" w:pos="680"/>
        </w:tabs>
        <w:spacing w:before="180" w:line="260" w:lineRule="exact"/>
        <w:jc w:val="both"/>
        <w:rPr>
          <w:sz w:val="22"/>
        </w:rPr>
      </w:pPr>
      <w:r>
        <w:rPr>
          <w:sz w:val="22"/>
        </w:rPr>
        <w:t>Установить более четкие критерии для определения той роли, которая отводится женским организациям в разработке стратегических направлений программ по кредитованию и занятости женщин.</w:t>
      </w:r>
    </w:p>
    <w:p w:rsidR="00000000" w:rsidRDefault="00000000">
      <w:pPr>
        <w:numPr>
          <w:ilvl w:val="0"/>
          <w:numId w:val="168"/>
        </w:numPr>
        <w:tabs>
          <w:tab w:val="left" w:pos="680"/>
        </w:tabs>
        <w:spacing w:before="180" w:line="260" w:lineRule="exact"/>
        <w:jc w:val="both"/>
        <w:rPr>
          <w:sz w:val="22"/>
        </w:rPr>
      </w:pPr>
      <w:r>
        <w:rPr>
          <w:sz w:val="22"/>
        </w:rPr>
        <w:t xml:space="preserve">Создать Национальный фонд поручительств и гарантий, в который войдут механизмы, обеспечивающие женщинам предоставление кредитов на особых условиях. </w:t>
      </w:r>
    </w:p>
    <w:p w:rsidR="00000000" w:rsidRDefault="00000000">
      <w:pPr>
        <w:numPr>
          <w:ilvl w:val="0"/>
          <w:numId w:val="168"/>
        </w:numPr>
        <w:tabs>
          <w:tab w:val="left" w:pos="680"/>
        </w:tabs>
        <w:spacing w:before="180" w:line="260" w:lineRule="exact"/>
        <w:jc w:val="both"/>
        <w:rPr>
          <w:sz w:val="22"/>
        </w:rPr>
      </w:pPr>
      <w:r>
        <w:rPr>
          <w:sz w:val="22"/>
        </w:rPr>
        <w:t>Добиться того, чтобы средства из доверительного фонда Объединенного института социальной помощи (ИМАС) в соответствии с Законом об оказании помощи женщинам, живущим в бедности, направлялись в основном на развитие малых предприятий, возглавляемых женщинами.</w:t>
      </w:r>
    </w:p>
    <w:p w:rsidR="00000000" w:rsidRDefault="00000000">
      <w:pPr>
        <w:numPr>
          <w:ilvl w:val="0"/>
          <w:numId w:val="169"/>
        </w:numPr>
        <w:tabs>
          <w:tab w:val="left" w:pos="680"/>
        </w:tabs>
        <w:spacing w:before="180" w:line="260" w:lineRule="exact"/>
        <w:jc w:val="both"/>
        <w:rPr>
          <w:sz w:val="22"/>
        </w:rPr>
      </w:pPr>
      <w:r>
        <w:rPr>
          <w:sz w:val="22"/>
        </w:rPr>
        <w:t xml:space="preserve">Добиваться того, чтобы Институт социальной помощи (ИМАС) внедрил в свою Стратегию оперативной помощи женщинам гендерный подход, особенно в таких направлениях деятельности, как профессиональная подготовка, планирование и оказание технической помощи. </w:t>
      </w:r>
    </w:p>
    <w:p w:rsidR="00000000" w:rsidRDefault="00000000">
      <w:pPr>
        <w:numPr>
          <w:ilvl w:val="0"/>
          <w:numId w:val="167"/>
        </w:numPr>
        <w:tabs>
          <w:tab w:val="left" w:pos="680"/>
        </w:tabs>
        <w:spacing w:before="180" w:line="260" w:lineRule="exact"/>
        <w:jc w:val="both"/>
        <w:rPr>
          <w:sz w:val="22"/>
        </w:rPr>
      </w:pPr>
      <w:r>
        <w:rPr>
          <w:sz w:val="22"/>
        </w:rPr>
        <w:t>Внедрять в деятельность Фонда ФОДЕМИПИМЕ Народного банка новую технологию в сфере предоставления информации и создания стимулов для женщин-предпринимателей.</w:t>
      </w:r>
    </w:p>
    <w:p w:rsidR="00000000" w:rsidRDefault="00000000">
      <w:pPr>
        <w:numPr>
          <w:ilvl w:val="0"/>
          <w:numId w:val="149"/>
        </w:numPr>
        <w:tabs>
          <w:tab w:val="clear" w:pos="360"/>
          <w:tab w:val="left" w:pos="680"/>
        </w:tabs>
        <w:spacing w:before="240" w:line="260" w:lineRule="exact"/>
        <w:jc w:val="both"/>
        <w:rPr>
          <w:sz w:val="22"/>
        </w:rPr>
      </w:pPr>
      <w:r>
        <w:rPr>
          <w:sz w:val="22"/>
        </w:rPr>
        <w:t>За указанный период Коста-Рика достигла определенных успехов в решении проблем сельских женщин. Были пересмотрены и приведены в соответствие с законодательством уставы государственных учреждений, отвечающих за сельскохозяйственный сектор. Это было сделано в целях обеспечения сельским женщинам и сельской молодежи доступа к кредитам для финансирования производственных проектов. С этой же целью были подписаны соглашения с банковскими учреждениями.</w:t>
      </w:r>
    </w:p>
    <w:p w:rsidR="00000000" w:rsidRDefault="00000000">
      <w:pPr>
        <w:numPr>
          <w:ilvl w:val="0"/>
          <w:numId w:val="149"/>
        </w:numPr>
        <w:tabs>
          <w:tab w:val="clear" w:pos="360"/>
          <w:tab w:val="left" w:pos="680"/>
        </w:tabs>
        <w:spacing w:before="240" w:line="260" w:lineRule="exact"/>
        <w:jc w:val="both"/>
        <w:rPr>
          <w:sz w:val="22"/>
        </w:rPr>
      </w:pPr>
      <w:r>
        <w:rPr>
          <w:sz w:val="22"/>
        </w:rPr>
        <w:t>Между ИНАМУ и Министерством сельского хозяйства и животноводства действует соглашение, предусматривающее внедрение гендерного подхода в деятельность учреждений сельскохозяйственного сектора. Частью этой инициативы является создание во всех учреждениях сельскохозяйственного сектора органов, занимающихся гендерными вопросами, вопросами развития и региональных связей по гендерной тематике. Эти органы представляют собой сеть региональных служб поддержки сельских женщин, занимающихся предпринимательской деятельностью. Также при Министерстве сельского хозяйства и животноводства создан один из комитетов высокого политического и технического уровня в целях внедрения гендерного подхода в деятельность различных ведомств в рамках их компетенции. В таких условиях стало возможным продвинуться вперед в деле подготовки людских ресурсов для учреждений сельскохозяйственного сектора по гендерной тематике и по преодолению стереотипов в процессе набора персонала.</w:t>
      </w:r>
    </w:p>
    <w:p w:rsidR="00000000" w:rsidRDefault="00000000">
      <w:pPr>
        <w:numPr>
          <w:ilvl w:val="0"/>
          <w:numId w:val="149"/>
        </w:numPr>
        <w:tabs>
          <w:tab w:val="clear" w:pos="360"/>
          <w:tab w:val="left" w:pos="680"/>
        </w:tabs>
        <w:spacing w:before="240" w:line="260" w:lineRule="exact"/>
        <w:jc w:val="both"/>
        <w:rPr>
          <w:sz w:val="22"/>
        </w:rPr>
      </w:pPr>
      <w:r>
        <w:rPr>
          <w:sz w:val="22"/>
        </w:rPr>
        <w:t>Некоторые успехи наметились в процессе профессиональной подготовки сельских женщин, проводимой в целях повышения их организационной и политической активности.</w:t>
      </w:r>
    </w:p>
    <w:p w:rsidR="00000000" w:rsidRDefault="00000000">
      <w:pPr>
        <w:numPr>
          <w:ilvl w:val="0"/>
          <w:numId w:val="149"/>
        </w:numPr>
        <w:tabs>
          <w:tab w:val="clear" w:pos="360"/>
          <w:tab w:val="left" w:pos="680"/>
        </w:tabs>
        <w:spacing w:before="240" w:line="260" w:lineRule="exact"/>
        <w:jc w:val="both"/>
        <w:rPr>
          <w:sz w:val="22"/>
        </w:rPr>
      </w:pPr>
      <w:r>
        <w:rPr>
          <w:sz w:val="22"/>
        </w:rPr>
        <w:t>Министерство энергетики и охраны окружающей среды (МИНАЭ) приняло политику гендерного равенства и разработало соответствующий План действий. Учреждение по гендерным вопросам и проблемам окружающей среды следит за выполнением Плана действий. Одной из мер, принятых в рамках этой политики, стало осуществление Системы мониторинга всех мероприятий по гендерной тематике, проводимых природными зонами, находящимися под охраной государства. Национальная система охраняемых зон является подразделением Министерства энергетики и охраны окружающей среды, которое начало активно проводить гендерную политику в сфере профессиональной подготовки.</w:t>
      </w:r>
    </w:p>
    <w:p w:rsidR="00000000" w:rsidRDefault="00000000">
      <w:pPr>
        <w:numPr>
          <w:ilvl w:val="0"/>
          <w:numId w:val="149"/>
        </w:numPr>
        <w:tabs>
          <w:tab w:val="clear" w:pos="360"/>
          <w:tab w:val="left" w:pos="680"/>
        </w:tabs>
        <w:spacing w:before="240" w:line="260" w:lineRule="exact"/>
        <w:jc w:val="both"/>
        <w:rPr>
          <w:sz w:val="22"/>
        </w:rPr>
      </w:pPr>
      <w:r>
        <w:rPr>
          <w:sz w:val="22"/>
        </w:rPr>
        <w:t>Основным обстоятельством, мешающим сельским женщинам обеспечить себе достойные условия жизни, является непризнание их в качестве участников производственного, экономического и социального процессов. Подобная недооценка роли женщин усиливает проявления дискриминации во всех сферах экономической и общественной деятельности, например в доступе к средствам производства, к образованию, специальной подготовке, здравоохранению и социальному страхованию. Политика по преодолению бедности среди женщин не имеет широкого применения. Ее принадлежность к социальной сфере не позволяет ей влиять на экономическую политику в данном секторе.</w:t>
      </w:r>
    </w:p>
    <w:p w:rsidR="00000000" w:rsidRDefault="00000000">
      <w:pPr>
        <w:numPr>
          <w:ilvl w:val="0"/>
          <w:numId w:val="149"/>
        </w:numPr>
        <w:tabs>
          <w:tab w:val="clear" w:pos="360"/>
          <w:tab w:val="left" w:pos="680"/>
        </w:tabs>
        <w:spacing w:before="240" w:line="260" w:lineRule="exact"/>
        <w:jc w:val="both"/>
        <w:rPr>
          <w:sz w:val="22"/>
        </w:rPr>
      </w:pPr>
      <w:r>
        <w:rPr>
          <w:sz w:val="22"/>
        </w:rPr>
        <w:t>Остается еще множество нерешенных проблем, связанных с оказанием эффективной и своевременной помощи сельским женщинам, которые сталкиваются с проявлениями дискриминации. Это заставляет государство предпринимать следующие шаги:</w:t>
      </w:r>
    </w:p>
    <w:p w:rsidR="00000000" w:rsidRDefault="00000000">
      <w:pPr>
        <w:numPr>
          <w:ilvl w:val="0"/>
          <w:numId w:val="161"/>
        </w:numPr>
        <w:tabs>
          <w:tab w:val="clear" w:pos="360"/>
          <w:tab w:val="left" w:pos="340"/>
          <w:tab w:val="left" w:pos="680"/>
        </w:tabs>
        <w:spacing w:before="240" w:line="260" w:lineRule="exact"/>
        <w:ind w:left="340" w:hanging="340"/>
        <w:jc w:val="both"/>
        <w:rPr>
          <w:sz w:val="22"/>
        </w:rPr>
      </w:pPr>
      <w:r>
        <w:rPr>
          <w:sz w:val="22"/>
        </w:rPr>
        <w:t>Проводить исследования с целью получения сведений о доступе женщин к средствам производства и собственности.</w:t>
      </w:r>
    </w:p>
    <w:p w:rsidR="00000000" w:rsidRDefault="00000000">
      <w:pPr>
        <w:numPr>
          <w:ilvl w:val="0"/>
          <w:numId w:val="161"/>
        </w:numPr>
        <w:tabs>
          <w:tab w:val="clear" w:pos="360"/>
          <w:tab w:val="left" w:pos="340"/>
          <w:tab w:val="left" w:pos="680"/>
        </w:tabs>
        <w:spacing w:before="240" w:line="260" w:lineRule="exact"/>
        <w:ind w:left="340" w:hanging="340"/>
        <w:jc w:val="both"/>
        <w:rPr>
          <w:sz w:val="22"/>
        </w:rPr>
      </w:pPr>
      <w:r>
        <w:rPr>
          <w:sz w:val="22"/>
        </w:rPr>
        <w:t>Способствовать принятию Системы финансирования развития сельских районов (СФДР), предусматривающей создание специальных условий для женщин – производителей сельскохозяйственной продукции. Такие условия учитывают соотношение общего объема производства (нужд производителя) и его целесообразности (финансовой эффективности). Здесь не должен быть приоритетным критерий прибыльности, а должны учитываться потребности женщин, производящих сельскохозяйственную продукцию. Следует привлекать к этому процессу крестьянских женщин и их организации.</w:t>
      </w:r>
    </w:p>
    <w:p w:rsidR="00000000" w:rsidRDefault="00000000">
      <w:pPr>
        <w:numPr>
          <w:ilvl w:val="0"/>
          <w:numId w:val="161"/>
        </w:numPr>
        <w:tabs>
          <w:tab w:val="clear" w:pos="360"/>
          <w:tab w:val="left" w:pos="340"/>
          <w:tab w:val="left" w:pos="680"/>
        </w:tabs>
        <w:spacing w:before="220" w:line="260" w:lineRule="exact"/>
        <w:ind w:left="340" w:hanging="340"/>
        <w:jc w:val="both"/>
        <w:rPr>
          <w:sz w:val="22"/>
        </w:rPr>
      </w:pPr>
      <w:r>
        <w:rPr>
          <w:sz w:val="22"/>
        </w:rPr>
        <w:t>Поддерживать мероприятия по обеспечению доступа женщин – производителей сельскохозяйственной продукции на рынки труда (в сельскохозяйственном секторе и других сферах), выхода на государственные рынки сбыта товаров агропромышленного производства и др., что станет гарантией развития их бизнеса.</w:t>
      </w:r>
    </w:p>
    <w:p w:rsidR="00000000" w:rsidRDefault="00000000">
      <w:pPr>
        <w:numPr>
          <w:ilvl w:val="0"/>
          <w:numId w:val="161"/>
        </w:numPr>
        <w:tabs>
          <w:tab w:val="clear" w:pos="360"/>
          <w:tab w:val="left" w:pos="340"/>
          <w:tab w:val="left" w:pos="680"/>
        </w:tabs>
        <w:spacing w:before="220" w:line="260" w:lineRule="exact"/>
        <w:ind w:left="340" w:hanging="340"/>
        <w:jc w:val="both"/>
        <w:rPr>
          <w:sz w:val="22"/>
        </w:rPr>
      </w:pPr>
      <w:r>
        <w:rPr>
          <w:sz w:val="22"/>
        </w:rPr>
        <w:t xml:space="preserve">Осуществлять официальный бухгалтерский учет производительного труда сельских женщин и включать эти сведения в государственные отчеты. Это позволит выяснить, насколько сельские женщины охвачены социальным страхованием (имеют ли доступ к здравоохранению, получают ли пенсии по инвалидности, старости, в случае смерти </w:t>
      </w:r>
      <w:r>
        <w:rPr>
          <w:sz w:val="22"/>
        </w:rPr>
        <w:br/>
        <w:t>и т. д.).</w:t>
      </w:r>
    </w:p>
    <w:p w:rsidR="00000000" w:rsidRDefault="00000000">
      <w:pPr>
        <w:numPr>
          <w:ilvl w:val="0"/>
          <w:numId w:val="161"/>
        </w:numPr>
        <w:tabs>
          <w:tab w:val="clear" w:pos="360"/>
          <w:tab w:val="left" w:pos="340"/>
          <w:tab w:val="left" w:pos="680"/>
        </w:tabs>
        <w:spacing w:before="220" w:line="260" w:lineRule="exact"/>
        <w:ind w:left="340" w:hanging="340"/>
        <w:jc w:val="both"/>
        <w:rPr>
          <w:sz w:val="22"/>
        </w:rPr>
      </w:pPr>
      <w:r>
        <w:rPr>
          <w:sz w:val="22"/>
        </w:rPr>
        <w:t>Продвигать специальную программу помощи малым женским предприятиям по производству сельскохозяйственной продукции в целях их привлечения к программам по конверсии производства, оказания технической и консультативной помощи, а также способствовать их объединению в сети по производству и сбыту продукции и совместному приобретению средств производства.</w:t>
      </w:r>
    </w:p>
    <w:p w:rsidR="00000000" w:rsidRDefault="00000000">
      <w:pPr>
        <w:numPr>
          <w:ilvl w:val="0"/>
          <w:numId w:val="161"/>
        </w:numPr>
        <w:tabs>
          <w:tab w:val="clear" w:pos="360"/>
          <w:tab w:val="left" w:pos="340"/>
          <w:tab w:val="left" w:pos="680"/>
        </w:tabs>
        <w:spacing w:before="220" w:line="260" w:lineRule="exact"/>
        <w:ind w:left="340" w:hanging="340"/>
        <w:jc w:val="both"/>
        <w:rPr>
          <w:sz w:val="22"/>
        </w:rPr>
      </w:pPr>
      <w:r>
        <w:rPr>
          <w:sz w:val="22"/>
        </w:rPr>
        <w:t>Проводить в жизнь государственную политику гендерного равенства, разработанную для агропромышленного сектора и для природоохранной деятельности.</w:t>
      </w:r>
    </w:p>
    <w:p w:rsidR="00000000" w:rsidRDefault="00000000">
      <w:pPr>
        <w:numPr>
          <w:ilvl w:val="0"/>
          <w:numId w:val="161"/>
        </w:numPr>
        <w:tabs>
          <w:tab w:val="clear" w:pos="360"/>
          <w:tab w:val="left" w:pos="340"/>
          <w:tab w:val="left" w:pos="680"/>
        </w:tabs>
        <w:spacing w:before="220" w:line="260" w:lineRule="exact"/>
        <w:ind w:left="340" w:hanging="340"/>
        <w:jc w:val="both"/>
        <w:rPr>
          <w:sz w:val="22"/>
        </w:rPr>
      </w:pPr>
      <w:r>
        <w:rPr>
          <w:sz w:val="22"/>
        </w:rPr>
        <w:t>Разрабатывать общую стратегию действий для различных ведомств, занимающихся проблемами сельских районов и сферой производства. Разного рода программы – по организации производства, по оказанию консультативной помощи и помощи в распределении земель под посевы, по содействию в продвижении товаров на рынок, по финансированию – помогут решить проблемы сельских женщин-предпринимателей.</w:t>
      </w:r>
    </w:p>
    <w:p w:rsidR="00000000" w:rsidRDefault="00000000">
      <w:pPr>
        <w:numPr>
          <w:ilvl w:val="0"/>
          <w:numId w:val="161"/>
        </w:numPr>
        <w:tabs>
          <w:tab w:val="clear" w:pos="360"/>
          <w:tab w:val="left" w:pos="340"/>
          <w:tab w:val="left" w:pos="680"/>
        </w:tabs>
        <w:spacing w:before="220" w:line="260" w:lineRule="exact"/>
        <w:ind w:left="340" w:hanging="340"/>
        <w:jc w:val="both"/>
        <w:rPr>
          <w:sz w:val="22"/>
        </w:rPr>
      </w:pPr>
      <w:r>
        <w:rPr>
          <w:sz w:val="22"/>
        </w:rPr>
        <w:t>Усиливать организационные процессы и способствовать профессиональному обучению сельских женщин и их лидеров с целью активизации их участия в процессе устойчивого развития, на общинном уровне способствовать выдвижению женщин для работы в местных органах власти и в центральном правительстве.</w:t>
      </w:r>
    </w:p>
    <w:p w:rsidR="00000000" w:rsidRDefault="00000000">
      <w:pPr>
        <w:numPr>
          <w:ilvl w:val="0"/>
          <w:numId w:val="149"/>
        </w:numPr>
        <w:tabs>
          <w:tab w:val="clear" w:pos="360"/>
          <w:tab w:val="left" w:pos="680"/>
        </w:tabs>
        <w:spacing w:before="240" w:line="260" w:lineRule="exact"/>
        <w:jc w:val="both"/>
        <w:rPr>
          <w:spacing w:val="-4"/>
          <w:sz w:val="22"/>
        </w:rPr>
      </w:pPr>
      <w:r>
        <w:rPr>
          <w:spacing w:val="-4"/>
          <w:sz w:val="22"/>
        </w:rPr>
        <w:t>Как уже было отмечено, в 90-е годы прошлого века и в первые два года нового столетия Коста-Рика включала важные темы гендерного равенства в программу действий государства. Таким образом были заложены основы для принятия соответствующих законов и разработки государственной политики. Формально равенство женщин и мужчин провозглашено в Конституции и многих законах. За истекший период гендерная тематика широко обсуждалась в обществе, другими словами – она уже не является сферой компетенции отдельных людей. В результате удалось сформировать общественное мнение и обратить внимание общественности на культурно-политические аспекты права. В то же время в результате этого процесса общество больше не принимает как нечто естественное такие явления, как внутрисемейное насилие в отношении женщин. Сложились условия для создания правовых норм, регулирующих все происходящее с женщинами только в силу того, что они являются женщинами (например, сексуальное домогательство, которое ранее квалифицировалось как проступок). Следует создать новые по форме и содержанию правовые документы, которые покончат с патриархальными представлениями, и разрушить ложный барьер между общественным и частным для внедрения демократических ценностей в частную жизнь граждан (изменить представления о насилии в семье, юридической и экономической ответственности, обусловленной отцовством). Несколько проведенных реформ способствовали устранению некоторых преимуществ, которыми ранее пользовались мужчины в ущерб женщинам. В целом, как было отмечено вначале, страна добилась значительных успехов в правовой сфере.</w:t>
      </w:r>
    </w:p>
    <w:p w:rsidR="00000000" w:rsidRDefault="00000000">
      <w:pPr>
        <w:numPr>
          <w:ilvl w:val="0"/>
          <w:numId w:val="149"/>
        </w:numPr>
        <w:tabs>
          <w:tab w:val="clear" w:pos="360"/>
          <w:tab w:val="left" w:pos="680"/>
        </w:tabs>
        <w:spacing w:before="240" w:line="260" w:lineRule="exact"/>
        <w:jc w:val="both"/>
        <w:rPr>
          <w:sz w:val="22"/>
        </w:rPr>
      </w:pPr>
      <w:r>
        <w:rPr>
          <w:sz w:val="22"/>
        </w:rPr>
        <w:t>В развитии и усилении организационных процессов следует отметить следующие важные шаги:</w:t>
      </w:r>
    </w:p>
    <w:p w:rsidR="00000000" w:rsidRDefault="00000000">
      <w:pPr>
        <w:numPr>
          <w:ilvl w:val="0"/>
          <w:numId w:val="161"/>
        </w:numPr>
        <w:tabs>
          <w:tab w:val="clear" w:pos="360"/>
          <w:tab w:val="left" w:pos="340"/>
          <w:tab w:val="left" w:pos="680"/>
        </w:tabs>
        <w:spacing w:before="240" w:line="260" w:lineRule="exact"/>
        <w:ind w:left="340" w:hanging="340"/>
        <w:jc w:val="both"/>
        <w:rPr>
          <w:sz w:val="22"/>
        </w:rPr>
      </w:pPr>
      <w:r>
        <w:rPr>
          <w:sz w:val="22"/>
        </w:rPr>
        <w:t>Объединение Отделения по делам женщин и Коллегии адвокатов по защите прав граждан в единое учреждение для защиты прав, расследования жалоб, распространения информации о правовом статусе женщин. Это явилось эффективным шагом на пути укрепления механизмов защиты гражданских прав женщин.</w:t>
      </w:r>
    </w:p>
    <w:p w:rsidR="00000000" w:rsidRDefault="00000000">
      <w:pPr>
        <w:numPr>
          <w:ilvl w:val="0"/>
          <w:numId w:val="161"/>
        </w:numPr>
        <w:tabs>
          <w:tab w:val="clear" w:pos="360"/>
          <w:tab w:val="left" w:pos="340"/>
          <w:tab w:val="left" w:pos="680"/>
        </w:tabs>
        <w:spacing w:before="240" w:line="260" w:lineRule="exact"/>
        <w:ind w:left="340" w:hanging="340"/>
        <w:jc w:val="both"/>
        <w:rPr>
          <w:sz w:val="22"/>
        </w:rPr>
      </w:pPr>
      <w:r>
        <w:rPr>
          <w:sz w:val="22"/>
        </w:rPr>
        <w:t>Создание при Законодательном собрании Постоянной специальной комиссии по делам женщин, которая рассматривает законопроекты о положении женщин и имеет полномочия для внесения поправок в законы и для осуществления политического контроля за деятельностью правительства.</w:t>
      </w:r>
    </w:p>
    <w:p w:rsidR="00000000" w:rsidRDefault="00000000">
      <w:pPr>
        <w:numPr>
          <w:ilvl w:val="0"/>
          <w:numId w:val="161"/>
        </w:numPr>
        <w:tabs>
          <w:tab w:val="clear" w:pos="360"/>
          <w:tab w:val="left" w:pos="340"/>
          <w:tab w:val="left" w:pos="680"/>
        </w:tabs>
        <w:spacing w:before="240" w:line="260" w:lineRule="exact"/>
        <w:ind w:left="340" w:hanging="340"/>
        <w:jc w:val="both"/>
        <w:rPr>
          <w:sz w:val="22"/>
        </w:rPr>
      </w:pPr>
      <w:r>
        <w:rPr>
          <w:sz w:val="22"/>
        </w:rPr>
        <w:t>В сфере компетенции судебной власти – создание нескольких специализированных учреждений, занимающихся расследованием причин негативных явлений, проблемами уплаты алиментов и бытового насилия.</w:t>
      </w:r>
    </w:p>
    <w:p w:rsidR="00000000" w:rsidRDefault="00000000">
      <w:pPr>
        <w:numPr>
          <w:ilvl w:val="0"/>
          <w:numId w:val="161"/>
        </w:numPr>
        <w:tabs>
          <w:tab w:val="clear" w:pos="360"/>
          <w:tab w:val="left" w:pos="340"/>
          <w:tab w:val="left" w:pos="680"/>
        </w:tabs>
        <w:spacing w:before="240" w:line="260" w:lineRule="exact"/>
        <w:ind w:left="340" w:hanging="340"/>
        <w:jc w:val="both"/>
        <w:rPr>
          <w:sz w:val="22"/>
        </w:rPr>
      </w:pPr>
      <w:r>
        <w:rPr>
          <w:sz w:val="22"/>
        </w:rPr>
        <w:t>В рамках программы Латиноамериканского института Организации Объединенных Наций по предупреждению преступности и обращению с правонарушителями "Интересы женщины в области правосудия и гендерного равенства" – проведение мероприятий, направленных на внедрение гендерного подхода в судебно-процессуальную практику: исследовательская деятельность, профессиональная подготовка, техническая помощь, распространение информации.</w:t>
      </w:r>
    </w:p>
    <w:p w:rsidR="00000000" w:rsidRDefault="00000000">
      <w:pPr>
        <w:numPr>
          <w:ilvl w:val="0"/>
          <w:numId w:val="149"/>
        </w:numPr>
        <w:tabs>
          <w:tab w:val="clear" w:pos="360"/>
          <w:tab w:val="left" w:pos="680"/>
        </w:tabs>
        <w:spacing w:before="240" w:line="260" w:lineRule="exact"/>
        <w:jc w:val="both"/>
        <w:rPr>
          <w:spacing w:val="-4"/>
          <w:sz w:val="22"/>
        </w:rPr>
      </w:pPr>
      <w:r>
        <w:rPr>
          <w:spacing w:val="-4"/>
          <w:sz w:val="22"/>
        </w:rPr>
        <w:t xml:space="preserve">Государству предстоит преодолеть множество препятствий при принятии стратегических решений, направленных на повышение профессионализма лиц, занимающихся правовыми вопросами. Благодаря этому станет возможным сократить разрыв между существующими на бумаге правовыми нормами и их практическим применением. Укоренившаяся в судебной практике патриархальная система понятий проявляется в предвзятом отношении к женщине при ведении дел и в интерпретации законов. Ликвидация дискриминации и нетерпимости в отношении женщин подразумевает решение множества задач. Необходимо укреплять механизмы и структуры, занимающиеся оказанием консультативной правовой помощи женщинам, нуждающимся в соответствующих услугах, а также совершенствовать механизмы доступа к правосудию. Граждане должны заявлять о своих правах, обращаясь к правосудию, и права эти должны соблюдаться. Только так возможно гарантировать их реальную защиту. Наряду с этим для закрепления данного процесса следует создавать специализированные учреждения по защите прав женщин, выделив на эти цели необходимые людские ресурсы и бюджетные средства. </w:t>
      </w:r>
    </w:p>
    <w:p w:rsidR="00000000" w:rsidRDefault="00000000">
      <w:pPr>
        <w:numPr>
          <w:ilvl w:val="0"/>
          <w:numId w:val="149"/>
        </w:numPr>
        <w:tabs>
          <w:tab w:val="clear" w:pos="360"/>
          <w:tab w:val="left" w:pos="680"/>
        </w:tabs>
        <w:spacing w:before="240" w:line="260" w:lineRule="exact"/>
        <w:jc w:val="both"/>
        <w:rPr>
          <w:sz w:val="22"/>
        </w:rPr>
      </w:pPr>
      <w:r>
        <w:rPr>
          <w:sz w:val="22"/>
        </w:rPr>
        <w:t>Неоднократно было отмечено, что сохраняется ряд проблем, требующих официального решения, для того чтобы гарантировать равенство мужчин и женщин перед законом. Некоторые сферы деятельности обозначены в законопроектах, находящихся в процессе рассмотрения: реформа статей 5 и 6 Закона о содействии социальному равенству женщин; проект закона о политических партиях; внесение изменений в Закон о сексуальных домогательствах; и проект закона об уголовном наказании за совершение насилия в отношении женщин.</w:t>
      </w:r>
    </w:p>
    <w:p w:rsidR="00000000" w:rsidRDefault="00000000">
      <w:pPr>
        <w:numPr>
          <w:ilvl w:val="0"/>
          <w:numId w:val="149"/>
        </w:numPr>
        <w:tabs>
          <w:tab w:val="clear" w:pos="360"/>
          <w:tab w:val="left" w:pos="680"/>
        </w:tabs>
        <w:spacing w:before="240" w:line="260" w:lineRule="exact"/>
        <w:jc w:val="both"/>
        <w:rPr>
          <w:sz w:val="22"/>
        </w:rPr>
      </w:pPr>
      <w:r>
        <w:rPr>
          <w:sz w:val="22"/>
        </w:rPr>
        <w:t>Принятие Закона об ответственном отцовстве явилось исторической вехой в борьбе женских организаций и Национального механизма за искоренение позорных проявлений дискриминации в сфере признания отцовства и распределения семейных обязанностей. В этой борьбе был приобретен полезный опыт. Данным законом удалось ликвидировать проявления дискриминации в отношении женщин, имеющих детей вне брака, а также в отношении самих детей, которых воспитывают одинокие матери. Была назначена Межведомственная комиссия по контролю за выполнением родительских обязанностей, которая разработала документ "Направления политики по поощрению ответственного отцовства". Данный документ накладывает на ведомства ряд обязательств, подлежащих выполнению при решении поставленной задачи. Это позволило скоординировать функции различных государственных структур, отвечающих, в соответствии с законом, за предупреждение безответственного отцовства и оказание помощи лицам и группам лиц, подпадающим под защиту закона. ИНАМУ, являясь проводником политики в этой области, послужил катализатором и координирующим звеном в реализации инициатив, при этом не снимая ответственности с учреждений, участвовавших в процессе выполнения положений закона.</w:t>
      </w:r>
    </w:p>
    <w:p w:rsidR="00000000" w:rsidRDefault="00000000">
      <w:pPr>
        <w:numPr>
          <w:ilvl w:val="0"/>
          <w:numId w:val="149"/>
        </w:numPr>
        <w:tabs>
          <w:tab w:val="clear" w:pos="360"/>
          <w:tab w:val="left" w:pos="680"/>
        </w:tabs>
        <w:spacing w:before="240" w:line="260" w:lineRule="exact"/>
        <w:jc w:val="both"/>
        <w:rPr>
          <w:sz w:val="22"/>
        </w:rPr>
      </w:pPr>
      <w:r>
        <w:rPr>
          <w:sz w:val="22"/>
        </w:rPr>
        <w:t>Остаются еще сферы деятельности, требующие повышения компетентности, улучшения работы служб и разработки специальной политики по предупреждению дискриминации по половому признаку. Задачей особой важности является разработка политики в области воспитания уважительного отношения к женщине и ее гражданским правам, а также в сфере репродуктивного здоровья женщин в соответствии с целями, содержащимися в Пекинской платформе действий. Решение этой задачи осложняется тем, что отдельные слои общества (неоконсервативные организации, медицинский персонал, представители Католической церкви, некоторые средства массовой информации) оказывают сопротивление переменам и выступают их противниками.</w:t>
      </w:r>
    </w:p>
    <w:p w:rsidR="00000000" w:rsidRDefault="00000000">
      <w:pPr>
        <w:numPr>
          <w:ilvl w:val="0"/>
          <w:numId w:val="149"/>
        </w:numPr>
        <w:tabs>
          <w:tab w:val="clear" w:pos="360"/>
          <w:tab w:val="left" w:pos="680"/>
        </w:tabs>
        <w:spacing w:before="240" w:line="260" w:lineRule="exact"/>
        <w:jc w:val="both"/>
        <w:rPr>
          <w:sz w:val="22"/>
        </w:rPr>
      </w:pPr>
      <w:r>
        <w:rPr>
          <w:sz w:val="22"/>
        </w:rPr>
        <w:t>Предстоит решить также проблемы, связанные с применением законодательства, то есть гарантировать защиту прав матери и ребенка и возможность пользоваться этими правами. Необходимо повышать квалификацию сотрудников Министерства социального обеспечения, для того чтобы они могли должным образом выполнять свои обязанности, а также проводить обучение работников регистратур и медперсонала Фонда социального обеспечения Коста-Рики (ККСС), работающих с матерями. Кроме того, следует уделять особое внимание тому, чтобы в ходе применения законов соблюдались исходные принципы, давшие начало этим законам. Само по себе принятие закона не гарантирует поддержку со стороны государства и различных ведомств в деле достижения намеченных целей по повышению отцовской ответственности и сознательности. В связи с этим Национальный механизм и Коллегия адвокатов по защите прав граждан, являясь координаторами действий комиссий по контролю за выполнением положений законодательства и государственной политики, должны использовать эти механизмы в качестве гарантий выполнения обязательств со стороны правительства и компетентных органов. Поэтому следует широко пропагандировать Закон об ответственном отцовстве, механизмы его применения и разъяснять цель его принятия, для того чтобы повысить сознательность населения в вопросах признания отцовства. В то же время необходимо усилить и расширить межведомственную деятельность посредством учрежденных комиссий и координировать работу различных ведомств, выполняющих общую задачу обеспечения ответственного исполнения родительских обязанностей.</w:t>
      </w:r>
    </w:p>
    <w:p w:rsidR="00000000" w:rsidRDefault="00000000">
      <w:pPr>
        <w:tabs>
          <w:tab w:val="left" w:pos="680"/>
        </w:tabs>
        <w:spacing w:before="240" w:line="260" w:lineRule="exact"/>
        <w:jc w:val="both"/>
        <w:rPr>
          <w:sz w:val="22"/>
        </w:rPr>
      </w:pPr>
    </w:p>
    <w:p w:rsidR="00000000" w:rsidRDefault="00000000">
      <w:pPr>
        <w:pStyle w:val="FR2"/>
        <w:tabs>
          <w:tab w:val="left" w:pos="680"/>
        </w:tabs>
        <w:spacing w:before="240" w:line="260" w:lineRule="exact"/>
        <w:jc w:val="both"/>
        <w:rPr>
          <w:rFonts w:ascii="Times New Roman" w:hAnsi="Times New Roman"/>
          <w:sz w:val="22"/>
          <w:u w:val="single"/>
        </w:rPr>
      </w:pPr>
    </w:p>
    <w:p w:rsidR="00000000" w:rsidRDefault="00000000">
      <w:pPr>
        <w:pStyle w:val="FR2"/>
        <w:tabs>
          <w:tab w:val="left" w:pos="680"/>
        </w:tabs>
        <w:spacing w:line="240" w:lineRule="auto"/>
        <w:jc w:val="center"/>
        <w:rPr>
          <w:rFonts w:ascii="Times New Roman" w:hAnsi="Times New Roman"/>
          <w:sz w:val="24"/>
          <w:lang w:val="en-US"/>
        </w:rPr>
      </w:pPr>
      <w:r>
        <w:rPr>
          <w:rFonts w:ascii="Times New Roman" w:hAnsi="Times New Roman"/>
          <w:sz w:val="22"/>
          <w:lang w:val="ru-RU"/>
        </w:rPr>
        <w:br w:type="page"/>
      </w:r>
      <w:r>
        <w:rPr>
          <w:rFonts w:ascii="Times New Roman" w:hAnsi="Times New Roman"/>
          <w:sz w:val="24"/>
          <w:lang w:val="ru-RU"/>
        </w:rPr>
        <w:t>БИБЛИОГРАФИЯ</w:t>
      </w:r>
    </w:p>
    <w:p w:rsidR="00000000" w:rsidRDefault="00000000">
      <w:pPr>
        <w:pStyle w:val="BodyText"/>
        <w:tabs>
          <w:tab w:val="left" w:pos="680"/>
        </w:tabs>
        <w:spacing w:before="240" w:line="260" w:lineRule="exact"/>
        <w:rPr>
          <w:sz w:val="22"/>
          <w:lang w:val="es-CR"/>
        </w:rPr>
      </w:pPr>
      <w:r>
        <w:rPr>
          <w:sz w:val="22"/>
          <w:lang w:val="es-CR"/>
        </w:rPr>
        <w:t>Aguilar, Lorena y otras (1999). La ineludible corriente. Políticas de equidad de género en el sector ambiental mesoamericano, UICN, Editorial Absoluto, San José, Costa Rica.</w:t>
      </w:r>
    </w:p>
    <w:p w:rsidR="00000000" w:rsidRDefault="00000000">
      <w:pPr>
        <w:tabs>
          <w:tab w:val="left" w:pos="680"/>
        </w:tabs>
        <w:spacing w:before="240" w:line="260" w:lineRule="exact"/>
        <w:jc w:val="both"/>
        <w:rPr>
          <w:sz w:val="22"/>
          <w:lang w:val="es-CR"/>
        </w:rPr>
      </w:pPr>
      <w:r>
        <w:rPr>
          <w:sz w:val="22"/>
          <w:lang w:val="es-CR"/>
        </w:rPr>
        <w:t>Alfaro, Patricia y otras (2001). Sistematización Nacional de la ejecución del Programa Creciendo Juntas. Agosto 1999-2000. Programa Creciendo Juntas. San José, Costa Rica.</w:t>
      </w:r>
    </w:p>
    <w:p w:rsidR="00000000" w:rsidRDefault="00000000">
      <w:pPr>
        <w:tabs>
          <w:tab w:val="left" w:pos="680"/>
        </w:tabs>
        <w:spacing w:before="240" w:line="260" w:lineRule="exact"/>
        <w:jc w:val="both"/>
        <w:rPr>
          <w:sz w:val="22"/>
          <w:lang w:val="es-CR"/>
        </w:rPr>
      </w:pPr>
      <w:r>
        <w:rPr>
          <w:sz w:val="22"/>
          <w:lang w:val="es-CR"/>
        </w:rPr>
        <w:t>AMES y ADC (1999). Mejorando la Calidad de los Servicios Públicos de Salud para las Mujeres con Énfasis en la Salud Sexual y Reproductiva: Clínicas Maternidad Carit y Solón Nuñez. Consultora Anna Arroba, Fondo de Población de Naciones Unidas. San José, Costa Rica.</w:t>
      </w:r>
    </w:p>
    <w:p w:rsidR="00000000" w:rsidRDefault="00000000">
      <w:pPr>
        <w:tabs>
          <w:tab w:val="left" w:pos="680"/>
        </w:tabs>
        <w:spacing w:before="240" w:line="260" w:lineRule="exact"/>
        <w:jc w:val="both"/>
        <w:rPr>
          <w:sz w:val="22"/>
          <w:lang w:val="es-CR"/>
        </w:rPr>
      </w:pPr>
      <w:r>
        <w:rPr>
          <w:sz w:val="22"/>
          <w:lang w:val="es-CR"/>
        </w:rPr>
        <w:t>AMES (S. f.) (a). Humillación y Maltrato en el Parto Hospitalario. Asociación de Mujeres en Salud. San José, Costa Rica.</w:t>
      </w:r>
    </w:p>
    <w:p w:rsidR="00000000" w:rsidRDefault="00000000">
      <w:pPr>
        <w:pStyle w:val="BodyText"/>
        <w:tabs>
          <w:tab w:val="left" w:pos="680"/>
        </w:tabs>
        <w:spacing w:before="240" w:line="260" w:lineRule="exact"/>
        <w:rPr>
          <w:spacing w:val="-2"/>
          <w:sz w:val="22"/>
          <w:lang w:val="es-CR"/>
        </w:rPr>
      </w:pPr>
      <w:r>
        <w:rPr>
          <w:spacing w:val="-2"/>
          <w:sz w:val="22"/>
          <w:lang w:val="es-CR"/>
        </w:rPr>
        <w:t>AMES (S. f.) (b). Parir y Nacer Dignamente. Asociación de Mujeres en Salud. San José, Costa Rica.</w:t>
      </w:r>
    </w:p>
    <w:p w:rsidR="00000000" w:rsidRDefault="00000000">
      <w:pPr>
        <w:pStyle w:val="BodyText"/>
        <w:tabs>
          <w:tab w:val="left" w:pos="680"/>
        </w:tabs>
        <w:spacing w:before="240" w:line="260" w:lineRule="exact"/>
        <w:rPr>
          <w:sz w:val="22"/>
          <w:lang w:val="es-CR"/>
        </w:rPr>
      </w:pPr>
      <w:r>
        <w:rPr>
          <w:sz w:val="22"/>
          <w:lang w:val="es-CR"/>
        </w:rPr>
        <w:t>Anderson, Jeanine (1994). La Feminización de la Pobreza en América Latina. Red Entre Mujeres: Diálogo Sur-Norte. Lima, Perú.</w:t>
      </w:r>
    </w:p>
    <w:p w:rsidR="00000000" w:rsidRDefault="00000000">
      <w:pPr>
        <w:pStyle w:val="BodyText"/>
        <w:tabs>
          <w:tab w:val="left" w:pos="680"/>
        </w:tabs>
        <w:spacing w:before="240" w:line="260" w:lineRule="exact"/>
        <w:rPr>
          <w:sz w:val="22"/>
          <w:lang w:val="es-CR"/>
        </w:rPr>
      </w:pPr>
      <w:r>
        <w:rPr>
          <w:sz w:val="22"/>
          <w:lang w:val="es-CR"/>
        </w:rPr>
        <w:t>Arroba, Anna y Guzmán, Laura (2001). "La Salud de las Mujeres". Artículo elaborado para el Capítulo Especial, VII Informe del Estado de la Nación sobre el Desarrollo Humano Sostenible 2000. San José, Costa Rica.</w:t>
      </w:r>
    </w:p>
    <w:p w:rsidR="00000000" w:rsidRDefault="00000000">
      <w:pPr>
        <w:pStyle w:val="BodyText"/>
        <w:tabs>
          <w:tab w:val="left" w:pos="680"/>
        </w:tabs>
        <w:spacing w:before="240" w:line="260" w:lineRule="exact"/>
        <w:rPr>
          <w:sz w:val="22"/>
          <w:lang w:val="es-CR"/>
        </w:rPr>
      </w:pPr>
      <w:r>
        <w:rPr>
          <w:sz w:val="22"/>
          <w:lang w:val="es-CR"/>
        </w:rPr>
        <w:t>Asamblea Legislativa (S. f.) Leyes y Decretos década 1990-2000. San José, Costa Rica.</w:t>
      </w:r>
    </w:p>
    <w:p w:rsidR="00000000" w:rsidRDefault="00000000">
      <w:pPr>
        <w:pStyle w:val="FR2"/>
        <w:tabs>
          <w:tab w:val="left" w:pos="680"/>
        </w:tabs>
        <w:spacing w:before="240" w:line="260" w:lineRule="exact"/>
        <w:jc w:val="both"/>
        <w:rPr>
          <w:rFonts w:ascii="Times New Roman" w:hAnsi="Times New Roman"/>
          <w:b w:val="0"/>
          <w:sz w:val="22"/>
          <w:lang w:val="es-CR"/>
        </w:rPr>
      </w:pPr>
      <w:r>
        <w:rPr>
          <w:rFonts w:ascii="Times New Roman" w:hAnsi="Times New Roman"/>
          <w:b w:val="0"/>
          <w:sz w:val="22"/>
          <w:lang w:val="es-CR"/>
        </w:rPr>
        <w:t>Asamblea Legislativa (1995). Ley Contra el Hostigamiento Sexual en el Empleo y la Docencia. Centro nacional Para el Desarrollo de la Mujer y la Familia. San José, Costa Rica.</w:t>
      </w:r>
    </w:p>
    <w:p w:rsidR="00000000" w:rsidRDefault="00000000">
      <w:pPr>
        <w:pStyle w:val="BodyText"/>
        <w:tabs>
          <w:tab w:val="left" w:pos="680"/>
        </w:tabs>
        <w:spacing w:before="240" w:line="260" w:lineRule="exact"/>
        <w:rPr>
          <w:sz w:val="22"/>
          <w:lang w:val="es-CR"/>
        </w:rPr>
      </w:pPr>
      <w:r>
        <w:rPr>
          <w:sz w:val="22"/>
          <w:lang w:val="es-CR"/>
        </w:rPr>
        <w:t>Asamblea Legislativa (1996). Ley de Igualdad de Oportunidades Para las Personas Con Discapacidad en Costa Rica. Consejo Nacional de Rehabilitación y Educación Especial. San José, Costa Rica.</w:t>
      </w:r>
    </w:p>
    <w:p w:rsidR="00000000" w:rsidRDefault="00000000">
      <w:pPr>
        <w:tabs>
          <w:tab w:val="left" w:pos="680"/>
        </w:tabs>
        <w:spacing w:before="240" w:line="260" w:lineRule="exact"/>
        <w:jc w:val="both"/>
        <w:rPr>
          <w:sz w:val="22"/>
          <w:lang w:val="es-CR"/>
        </w:rPr>
      </w:pPr>
      <w:r>
        <w:rPr>
          <w:sz w:val="22"/>
          <w:lang w:val="es-CR"/>
        </w:rPr>
        <w:t>Asamblea Legislativa (1999) (a). Ley Integral Para la Persona Adulta Mayor. Defensoría de los Habitantes. San José, Costa Rica.</w:t>
      </w:r>
    </w:p>
    <w:p w:rsidR="00000000" w:rsidRDefault="00000000">
      <w:pPr>
        <w:pStyle w:val="BodyText"/>
        <w:tabs>
          <w:tab w:val="left" w:pos="680"/>
        </w:tabs>
        <w:spacing w:before="240" w:line="260" w:lineRule="exact"/>
        <w:rPr>
          <w:sz w:val="22"/>
          <w:lang w:val="es-CR"/>
        </w:rPr>
      </w:pPr>
      <w:r>
        <w:rPr>
          <w:sz w:val="22"/>
          <w:lang w:val="es-CR"/>
        </w:rPr>
        <w:t>Asamblea Legislativa (1999) (b). Ley Contra la Explotación Sexual de las Personas Menores de Edad. INAMU. San José, Costa Rica.</w:t>
      </w:r>
    </w:p>
    <w:p w:rsidR="00000000" w:rsidRDefault="00000000">
      <w:pPr>
        <w:pStyle w:val="BodyText"/>
        <w:tabs>
          <w:tab w:val="left" w:pos="680"/>
        </w:tabs>
        <w:spacing w:before="240" w:line="260" w:lineRule="exact"/>
        <w:rPr>
          <w:sz w:val="22"/>
          <w:lang w:val="es-CR"/>
        </w:rPr>
      </w:pPr>
      <w:r>
        <w:rPr>
          <w:sz w:val="22"/>
          <w:lang w:val="es-CR"/>
        </w:rPr>
        <w:t>Asociación Demográfica Costarricense (1992). Características generales de las Entrevistadas. El embarazo no deseado. San José, Costa Rica.</w:t>
      </w:r>
    </w:p>
    <w:p w:rsidR="00000000" w:rsidRDefault="00000000">
      <w:pPr>
        <w:tabs>
          <w:tab w:val="left" w:pos="680"/>
        </w:tabs>
        <w:spacing w:before="240" w:line="260" w:lineRule="exact"/>
        <w:jc w:val="both"/>
        <w:rPr>
          <w:sz w:val="22"/>
          <w:lang w:val="es-CR"/>
        </w:rPr>
      </w:pPr>
      <w:r>
        <w:rPr>
          <w:sz w:val="22"/>
          <w:lang w:val="es-CR"/>
        </w:rPr>
        <w:t>ASTRADOMES (1993). Las trabajadoras domésticas. En Nosotras #3. San José, Costa Rica.</w:t>
      </w:r>
    </w:p>
    <w:p w:rsidR="00000000" w:rsidRDefault="00000000">
      <w:pPr>
        <w:pStyle w:val="BodyText2"/>
        <w:tabs>
          <w:tab w:val="left" w:pos="680"/>
        </w:tabs>
        <w:spacing w:before="240" w:line="260" w:lineRule="exact"/>
        <w:jc w:val="both"/>
        <w:rPr>
          <w:sz w:val="22"/>
          <w:lang w:val="es-CR"/>
        </w:rPr>
      </w:pPr>
      <w:r>
        <w:rPr>
          <w:sz w:val="22"/>
          <w:lang w:val="es-CR"/>
        </w:rPr>
        <w:t>ASTRADOMES (1997). Situación de las Trabajadoras de Oficio Doméstico: Estudios por Muestra 1996/1997. San José, Costa Rica.</w:t>
      </w:r>
    </w:p>
    <w:p w:rsidR="00000000" w:rsidRDefault="00000000">
      <w:pPr>
        <w:tabs>
          <w:tab w:val="left" w:pos="680"/>
        </w:tabs>
        <w:spacing w:before="240" w:line="260" w:lineRule="exact"/>
        <w:jc w:val="both"/>
        <w:rPr>
          <w:sz w:val="22"/>
          <w:lang w:val="es-CR"/>
        </w:rPr>
      </w:pPr>
      <w:r>
        <w:rPr>
          <w:sz w:val="22"/>
          <w:lang w:val="es-CR"/>
        </w:rPr>
        <w:t>Bartolomei, María Luisa (1996). Universalismo y Diversidad Cultural en América Latina. Estudios Básicos de Derechos Humanos VI, Instituto Interamericano de Derechos Humanos. San José, Costa Rica.</w:t>
      </w:r>
    </w:p>
    <w:p w:rsidR="00000000" w:rsidRDefault="00000000">
      <w:pPr>
        <w:tabs>
          <w:tab w:val="left" w:pos="680"/>
        </w:tabs>
        <w:spacing w:before="240" w:line="260" w:lineRule="exact"/>
        <w:jc w:val="both"/>
        <w:rPr>
          <w:sz w:val="22"/>
          <w:lang w:val="es-CR"/>
        </w:rPr>
      </w:pPr>
      <w:r>
        <w:rPr>
          <w:sz w:val="22"/>
          <w:lang w:val="es-CR"/>
        </w:rPr>
        <w:t>Blanco, Lara y otras (2001) "La situación del Sector Agropecuario centroamericano: retos para la incorporación del enfoque de equidad de género", UICN - Fundación Arias para la Paz y el Progreso Humano. San José, Costa Rica.</w:t>
      </w:r>
    </w:p>
    <w:p w:rsidR="00000000" w:rsidRDefault="00000000">
      <w:pPr>
        <w:pStyle w:val="FR2"/>
        <w:tabs>
          <w:tab w:val="left" w:pos="680"/>
        </w:tabs>
        <w:spacing w:before="240" w:line="260" w:lineRule="exact"/>
        <w:jc w:val="both"/>
        <w:rPr>
          <w:rFonts w:ascii="Times New Roman" w:hAnsi="Times New Roman"/>
          <w:b w:val="0"/>
          <w:sz w:val="22"/>
          <w:lang w:val="es-CR"/>
        </w:rPr>
      </w:pPr>
      <w:r>
        <w:rPr>
          <w:rFonts w:ascii="Times New Roman" w:hAnsi="Times New Roman"/>
          <w:b w:val="0"/>
          <w:sz w:val="22"/>
          <w:lang w:val="es-CR"/>
        </w:rPr>
        <w:t>Blanco, Lara; Ramírez, Felicia; y Blanco, Montserrat (2001). La situación del Sector Agropecuario centroamericano: Retos para la incorporación del enfoque de equidad de género. UICN - FUNDACIÓN ARIAS PARA LA PAZ Y EL PROGRESO HUMANO, San José, Costa Rica.</w:t>
      </w:r>
    </w:p>
    <w:p w:rsidR="00000000" w:rsidRDefault="00000000">
      <w:pPr>
        <w:tabs>
          <w:tab w:val="left" w:pos="680"/>
        </w:tabs>
        <w:spacing w:before="240" w:line="260" w:lineRule="exact"/>
        <w:jc w:val="both"/>
        <w:rPr>
          <w:sz w:val="22"/>
          <w:lang w:val="es-CR"/>
        </w:rPr>
      </w:pPr>
      <w:r>
        <w:rPr>
          <w:sz w:val="22"/>
          <w:lang w:val="es-CR"/>
        </w:rPr>
        <w:t>Bonilla Leiva, Alejandra (2001). "Propuesta. Lineamientos de Equidad de Género para el Sistema de Financiamiento de Desarrollo Rural - SDFR", CNTMC, San José, Costa Rica.</w:t>
      </w:r>
    </w:p>
    <w:p w:rsidR="00000000" w:rsidRDefault="00000000">
      <w:pPr>
        <w:tabs>
          <w:tab w:val="left" w:pos="680"/>
        </w:tabs>
        <w:spacing w:before="240" w:line="260" w:lineRule="exact"/>
        <w:jc w:val="both"/>
        <w:rPr>
          <w:sz w:val="22"/>
          <w:lang w:val="es-CR"/>
        </w:rPr>
      </w:pPr>
      <w:r>
        <w:rPr>
          <w:sz w:val="22"/>
          <w:lang w:val="es-CR"/>
        </w:rPr>
        <w:t>Brenes Irene y Méndez Nineth-consultoras (2002). El Sistema Nacional de Atención y Prevención de la Violencia Intrafamiliar en el período 1998-2001. Sistematización sobre avances y desafíos. Instituto Nacional de las Mujeres. San José, Costa Rica.</w:t>
      </w:r>
    </w:p>
    <w:p w:rsidR="00000000" w:rsidRDefault="00000000">
      <w:pPr>
        <w:tabs>
          <w:tab w:val="left" w:pos="680"/>
        </w:tabs>
        <w:spacing w:before="240" w:line="260" w:lineRule="exact"/>
        <w:jc w:val="both"/>
        <w:rPr>
          <w:sz w:val="22"/>
          <w:lang w:val="es-CR"/>
        </w:rPr>
      </w:pPr>
      <w:r>
        <w:rPr>
          <w:sz w:val="22"/>
          <w:lang w:val="es-CR"/>
        </w:rPr>
        <w:t>Caja Costarricense del Seguro Social (1999). Cambios en la morbilidad y mortalidad por edad y sexo en Costa Rica: 1987, 1992 y 1997. Serie Estadísticas de la Salud No 8 B.</w:t>
      </w:r>
    </w:p>
    <w:p w:rsidR="00000000" w:rsidRDefault="00000000">
      <w:pPr>
        <w:tabs>
          <w:tab w:val="left" w:pos="680"/>
        </w:tabs>
        <w:spacing w:before="240" w:line="260" w:lineRule="exact"/>
        <w:jc w:val="both"/>
        <w:rPr>
          <w:sz w:val="22"/>
          <w:lang w:val="es-CR"/>
        </w:rPr>
      </w:pPr>
      <w:r>
        <w:rPr>
          <w:sz w:val="22"/>
          <w:lang w:val="es-CR"/>
        </w:rPr>
        <w:t>Caja Costarricense del Seguro Social (2000). Estadísticas de Patronos, Trabajadores y salarios. Dirección Actuarial y Planificación Económica. San José, Costa Rica.</w:t>
      </w:r>
    </w:p>
    <w:p w:rsidR="00000000" w:rsidRDefault="00000000">
      <w:pPr>
        <w:tabs>
          <w:tab w:val="left" w:pos="680"/>
        </w:tabs>
        <w:spacing w:before="240" w:line="260" w:lineRule="exact"/>
        <w:jc w:val="both"/>
        <w:rPr>
          <w:sz w:val="22"/>
          <w:lang w:val="es-CR"/>
        </w:rPr>
      </w:pPr>
      <w:r>
        <w:rPr>
          <w:sz w:val="22"/>
          <w:lang w:val="es-CR"/>
        </w:rPr>
        <w:t>Camacho De La O, Lorena (2001). "Oficinas Municipales de la Mujer. Mecanismo para el Avance de los Derechos y Ciudadanía de las Mujeres". INAMU. San José, Costa Rica.</w:t>
      </w:r>
    </w:p>
    <w:p w:rsidR="00000000" w:rsidRDefault="00000000">
      <w:pPr>
        <w:tabs>
          <w:tab w:val="left" w:pos="680"/>
        </w:tabs>
        <w:spacing w:before="240" w:line="260" w:lineRule="exact"/>
        <w:jc w:val="both"/>
        <w:rPr>
          <w:sz w:val="22"/>
          <w:lang w:val="es-CR"/>
        </w:rPr>
      </w:pPr>
      <w:r>
        <w:rPr>
          <w:sz w:val="22"/>
          <w:lang w:val="es-CR"/>
        </w:rPr>
        <w:t>Campell, Epsy (2001). "Situación de las Mujeres Afrocostarricenses". Artículo elaborado para el Capítulo Especial, VII Informe del Estado de la Nación sobre el Desarrollo Humano Sostenible 2000. San José, Costa Rica.</w:t>
      </w:r>
    </w:p>
    <w:p w:rsidR="00000000" w:rsidRDefault="00000000">
      <w:pPr>
        <w:tabs>
          <w:tab w:val="left" w:pos="680"/>
        </w:tabs>
        <w:spacing w:before="240" w:line="260" w:lineRule="exact"/>
        <w:jc w:val="both"/>
        <w:rPr>
          <w:sz w:val="22"/>
          <w:lang w:val="es-CR"/>
        </w:rPr>
      </w:pPr>
      <w:r>
        <w:rPr>
          <w:sz w:val="22"/>
          <w:lang w:val="es-CR"/>
        </w:rPr>
        <w:t>Campos Alvaro y Salas José M. (2001). "La Masculinidad en Costa Rica. El Estado de la Cuestión, Retos y Perspectivas". Artículo elaborado para el Capítulo Especial, VII Informe del Estado de la Nación sobre el Desarrollo Humano Sostenible 2000. San José, Costa Rica.</w:t>
      </w:r>
    </w:p>
    <w:p w:rsidR="00000000" w:rsidRDefault="00000000">
      <w:pPr>
        <w:tabs>
          <w:tab w:val="left" w:pos="680"/>
        </w:tabs>
        <w:spacing w:before="240" w:line="260" w:lineRule="exact"/>
        <w:jc w:val="both"/>
        <w:rPr>
          <w:sz w:val="22"/>
          <w:lang w:val="es-CR"/>
        </w:rPr>
      </w:pPr>
      <w:r>
        <w:rPr>
          <w:sz w:val="22"/>
          <w:lang w:val="es-CR"/>
        </w:rPr>
        <w:t>Carcedo, Ana y Sagot Montserrat (2001). Femicidio en Costa Rica: 1990-1999. Inédito, OPS. San José, Costa Rica.</w:t>
      </w:r>
    </w:p>
    <w:p w:rsidR="00000000" w:rsidRDefault="00000000">
      <w:pPr>
        <w:tabs>
          <w:tab w:val="left" w:pos="680"/>
        </w:tabs>
        <w:spacing w:before="240" w:line="260" w:lineRule="exact"/>
        <w:jc w:val="both"/>
        <w:rPr>
          <w:sz w:val="22"/>
          <w:lang w:val="es-CR"/>
        </w:rPr>
      </w:pPr>
      <w:r>
        <w:rPr>
          <w:sz w:val="22"/>
          <w:lang w:val="es-CR"/>
        </w:rPr>
        <w:t>Carcedo, Ana y Zamora Alicia (1999). Ruta Crítica de las Mujeres Afectadas por la Violencia Intrafamiliar. OPS. San José, Costa Rica.</w:t>
      </w:r>
    </w:p>
    <w:p w:rsidR="00000000" w:rsidRDefault="00000000">
      <w:pPr>
        <w:pStyle w:val="BodyText"/>
        <w:tabs>
          <w:tab w:val="left" w:pos="680"/>
        </w:tabs>
        <w:spacing w:before="240" w:line="260" w:lineRule="exact"/>
        <w:rPr>
          <w:sz w:val="22"/>
          <w:lang w:val="es-CR"/>
        </w:rPr>
      </w:pPr>
      <w:r>
        <w:rPr>
          <w:sz w:val="22"/>
          <w:lang w:val="es-CR"/>
        </w:rPr>
        <w:t>Carcedo, Ana (1993). La Paz Comienza en Casa: La Violencia contra las Mujeres en Centroamérica y la Cooperación Holandesa. Embajada Real de los Países Bajos. San José, Costa Rica.</w:t>
      </w:r>
    </w:p>
    <w:p w:rsidR="00000000" w:rsidRDefault="00000000">
      <w:pPr>
        <w:pStyle w:val="BodyText"/>
        <w:tabs>
          <w:tab w:val="left" w:pos="680"/>
        </w:tabs>
        <w:spacing w:before="240" w:line="260" w:lineRule="exact"/>
        <w:rPr>
          <w:sz w:val="22"/>
          <w:lang w:val="es-CR"/>
        </w:rPr>
      </w:pPr>
      <w:r>
        <w:rPr>
          <w:sz w:val="22"/>
          <w:lang w:val="es-CR"/>
        </w:rPr>
        <w:t>Carcedo, Ana (2001). "Violencia contra las mujeres en la década de los noventa". Artículo elaborado para el Capítulo Especial, VII Informe del Estado de la Nación sobre el Desarrollo Humano Sostenible 2000. San José, Costa Rica.</w:t>
      </w:r>
    </w:p>
    <w:p w:rsidR="00000000" w:rsidRDefault="00000000">
      <w:pPr>
        <w:pStyle w:val="BodyText"/>
        <w:tabs>
          <w:tab w:val="left" w:pos="680"/>
        </w:tabs>
        <w:spacing w:before="240" w:line="260" w:lineRule="exact"/>
        <w:rPr>
          <w:sz w:val="22"/>
          <w:lang w:val="es-CR"/>
        </w:rPr>
      </w:pPr>
      <w:r>
        <w:rPr>
          <w:sz w:val="22"/>
          <w:lang w:val="es-CR"/>
        </w:rPr>
        <w:t>Centro de Investigaciones en Estudios de la Mujer (2002). Sistematización de las estrategias pedagógicas implementadas por las organizaciones no gubernamentales: componente fortalecimiento para la vida. Programa Construyendo Oportunidades. Universidad de Costa Rica/ Instituto de Ayuda Mixta. San José, Costa Rica.</w:t>
      </w:r>
    </w:p>
    <w:p w:rsidR="00000000" w:rsidRDefault="00000000">
      <w:pPr>
        <w:tabs>
          <w:tab w:val="left" w:pos="680"/>
        </w:tabs>
        <w:spacing w:before="240" w:line="260" w:lineRule="exact"/>
        <w:jc w:val="both"/>
        <w:rPr>
          <w:sz w:val="22"/>
          <w:lang w:val="es-CR"/>
        </w:rPr>
      </w:pPr>
      <w:r>
        <w:rPr>
          <w:sz w:val="22"/>
          <w:lang w:val="es-CR"/>
        </w:rPr>
        <w:t>CEFEMINA (1993). "Sobre las Mujeres que Acuden al Programa Mujer No Estás Sola". Mujeres Hacia el 2000. San José, Costa Rica.</w:t>
      </w:r>
    </w:p>
    <w:p w:rsidR="00000000" w:rsidRDefault="00000000">
      <w:pPr>
        <w:pStyle w:val="BodyText2"/>
        <w:tabs>
          <w:tab w:val="left" w:pos="680"/>
        </w:tabs>
        <w:spacing w:before="240" w:line="260" w:lineRule="exact"/>
        <w:jc w:val="both"/>
        <w:rPr>
          <w:sz w:val="22"/>
          <w:lang w:val="es-CR"/>
        </w:rPr>
      </w:pPr>
      <w:r>
        <w:rPr>
          <w:sz w:val="22"/>
          <w:lang w:val="es-CR"/>
        </w:rPr>
        <w:t>CEFEMINA (2001). Informe de Avance del Proyecto Consolidación de La Red Nacional Mujer No Estás Sola. San José, Costa Rica.</w:t>
      </w:r>
    </w:p>
    <w:p w:rsidR="00000000" w:rsidRDefault="00000000">
      <w:pPr>
        <w:pStyle w:val="FR2"/>
        <w:tabs>
          <w:tab w:val="left" w:pos="680"/>
        </w:tabs>
        <w:spacing w:before="240" w:line="260" w:lineRule="exact"/>
        <w:jc w:val="both"/>
        <w:rPr>
          <w:rFonts w:ascii="Times New Roman" w:hAnsi="Times New Roman"/>
          <w:b w:val="0"/>
          <w:sz w:val="22"/>
          <w:lang w:val="es-CR"/>
        </w:rPr>
      </w:pPr>
      <w:r>
        <w:rPr>
          <w:rFonts w:ascii="Times New Roman" w:hAnsi="Times New Roman"/>
          <w:b w:val="0"/>
          <w:sz w:val="22"/>
          <w:lang w:val="es-CR"/>
        </w:rPr>
        <w:t>CEPAL (1993). Desarrollo y equidad de género: una tarea pendiente. Unidad Mujer y Desarrollo, Santiago, Chile.</w:t>
      </w:r>
    </w:p>
    <w:p w:rsidR="00000000" w:rsidRDefault="00000000">
      <w:pPr>
        <w:tabs>
          <w:tab w:val="left" w:pos="680"/>
        </w:tabs>
        <w:spacing w:before="240" w:line="260" w:lineRule="exact"/>
        <w:jc w:val="both"/>
        <w:rPr>
          <w:sz w:val="22"/>
          <w:lang w:val="es-CR"/>
        </w:rPr>
      </w:pPr>
      <w:r>
        <w:rPr>
          <w:sz w:val="22"/>
          <w:lang w:val="es-CR"/>
        </w:rPr>
        <w:t>CEPAL (1995). Plataforma de Acción Regional para las Mujeres de América Latina y el Caribe, 1995-2001. UNIFEM, Naciones Unidas. Santiago, Chile.</w:t>
      </w:r>
    </w:p>
    <w:p w:rsidR="00000000" w:rsidRDefault="00000000">
      <w:pPr>
        <w:tabs>
          <w:tab w:val="left" w:pos="680"/>
        </w:tabs>
        <w:spacing w:before="240" w:line="260" w:lineRule="exact"/>
        <w:jc w:val="both"/>
        <w:rPr>
          <w:sz w:val="22"/>
          <w:lang w:val="es-CR"/>
        </w:rPr>
      </w:pPr>
      <w:r>
        <w:rPr>
          <w:sz w:val="22"/>
          <w:lang w:val="es-CR"/>
        </w:rPr>
        <w:t>Chen Mok, Mario y otros (2001). Salud Reproductiva y Migración Nicaragüense en Costa Rica 1999-2000: Resultados de una Encuesta Nacional de Salud Reproductiva. San José, Costa Rica: Universidad de Costa Rica, PCP, INISA.</w:t>
      </w:r>
    </w:p>
    <w:p w:rsidR="00000000" w:rsidRDefault="00000000">
      <w:pPr>
        <w:tabs>
          <w:tab w:val="left" w:pos="680"/>
        </w:tabs>
        <w:spacing w:before="240" w:line="260" w:lineRule="exact"/>
        <w:jc w:val="both"/>
        <w:rPr>
          <w:sz w:val="22"/>
          <w:lang w:val="es-CR"/>
        </w:rPr>
      </w:pPr>
      <w:r>
        <w:rPr>
          <w:sz w:val="22"/>
          <w:lang w:val="es-CR"/>
        </w:rPr>
        <w:t>Chiriboga Manuel, Grynspan Rebeca, Pérez Laura (1995). Mujeres de Maíz. Programa de Análisis de la Política del Sector Agropecuario Frente a la Mujer Productora de Alimentos en Centroamérica y Panamá. San José, Costa Rica: Instituto Interamericano de Cooperación para la Agricultura.</w:t>
      </w:r>
    </w:p>
    <w:p w:rsidR="00000000" w:rsidRDefault="00000000">
      <w:pPr>
        <w:tabs>
          <w:tab w:val="left" w:pos="680"/>
        </w:tabs>
        <w:spacing w:before="240" w:line="260" w:lineRule="exact"/>
        <w:jc w:val="both"/>
        <w:rPr>
          <w:sz w:val="22"/>
          <w:lang w:val="es-CR"/>
        </w:rPr>
      </w:pPr>
      <w:r>
        <w:rPr>
          <w:sz w:val="22"/>
          <w:lang w:val="es-CR"/>
        </w:rPr>
        <w:t>Claramunt, Cecilia (1998). Explotación sexual en Costa Rica: Análisis de la Ruta Crítica de Niñas, Niños y Adolescentes Hacia la Prostitución. San José, Costa Rica: UNICEF.</w:t>
      </w:r>
    </w:p>
    <w:p w:rsidR="00000000" w:rsidRDefault="00000000">
      <w:pPr>
        <w:tabs>
          <w:tab w:val="left" w:pos="680"/>
        </w:tabs>
        <w:spacing w:before="240" w:line="260" w:lineRule="exact"/>
        <w:jc w:val="both"/>
        <w:rPr>
          <w:sz w:val="22"/>
          <w:lang w:val="es-CR"/>
        </w:rPr>
      </w:pPr>
      <w:r>
        <w:rPr>
          <w:sz w:val="22"/>
          <w:lang w:val="es-CR"/>
        </w:rPr>
        <w:t>Claramunt, Cecilia (2001). Explotación Sexual Comercial de Niñas, Niños y Adolescentes. Informe de Investigación para el Estado de los Derechos de la Niñez y la Adolescencia, Inédito. San José, Costa Rica.</w:t>
      </w:r>
    </w:p>
    <w:p w:rsidR="00000000" w:rsidRDefault="00000000">
      <w:pPr>
        <w:pStyle w:val="BodyText"/>
        <w:tabs>
          <w:tab w:val="left" w:pos="680"/>
        </w:tabs>
        <w:spacing w:before="240" w:line="260" w:lineRule="exact"/>
        <w:rPr>
          <w:spacing w:val="-4"/>
          <w:sz w:val="22"/>
          <w:lang w:val="es-CR"/>
        </w:rPr>
      </w:pPr>
      <w:r>
        <w:rPr>
          <w:spacing w:val="-4"/>
          <w:sz w:val="22"/>
          <w:lang w:val="es-CR"/>
        </w:rPr>
        <w:t>Comisión Técnica Interinstitucional, Ministerio de Salud, Instituto Nacional de las Mujeres, Caja Costarricense de Seguro Social, Hospital de las Mujeres Dr. Adolfo Carit Eva (2000)</w:t>
      </w:r>
      <w:r>
        <w:rPr>
          <w:spacing w:val="-4"/>
          <w:sz w:val="22"/>
        </w:rPr>
        <w:t>.</w:t>
      </w:r>
      <w:r>
        <w:rPr>
          <w:spacing w:val="-4"/>
          <w:sz w:val="22"/>
          <w:lang w:val="es-CR"/>
        </w:rPr>
        <w:t xml:space="preserve"> Modelo de Atención Integral de la Salud de las Mujeres: Una Propuesta para su Construcción. San José, Costa Rica.</w:t>
      </w:r>
    </w:p>
    <w:p w:rsidR="00000000" w:rsidRDefault="00000000">
      <w:pPr>
        <w:tabs>
          <w:tab w:val="left" w:pos="680"/>
        </w:tabs>
        <w:spacing w:before="240" w:line="260" w:lineRule="exact"/>
        <w:jc w:val="both"/>
        <w:rPr>
          <w:sz w:val="22"/>
          <w:lang w:val="es-CR"/>
        </w:rPr>
      </w:pPr>
      <w:r>
        <w:rPr>
          <w:sz w:val="22"/>
          <w:lang w:val="es-CR"/>
        </w:rPr>
        <w:t>Comisión Técnica Interinstitucional (2000). Modelo de Atención Integral de la Salud de las Mujeres: Una Propuesta para su Construcción. Ministerio de Salud, Instituto Nacional de las Mujeres, Caja Costarricense de Seguro Social, Hospital de las Mujeres Dr. Adolfo Carit Eva. San José, Costa Rica.</w:t>
      </w:r>
    </w:p>
    <w:p w:rsidR="00000000" w:rsidRDefault="00000000">
      <w:pPr>
        <w:tabs>
          <w:tab w:val="left" w:pos="680"/>
        </w:tabs>
        <w:spacing w:before="240" w:line="260" w:lineRule="exact"/>
        <w:jc w:val="both"/>
        <w:rPr>
          <w:sz w:val="22"/>
          <w:lang w:val="es-CR"/>
        </w:rPr>
      </w:pPr>
      <w:r>
        <w:rPr>
          <w:sz w:val="22"/>
          <w:lang w:val="es-CR"/>
        </w:rPr>
        <w:t>Conferencia Mundial sobre la Mujer (1996). 4 Plataforma de Acción: Declaración de Beijing; Información general y selección de documentos. Centro Nacional para el Desarrollo de la Mujer y la Familia; Ministerio de Planificación y Política Económica. San José, Costa Rica.</w:t>
      </w:r>
    </w:p>
    <w:p w:rsidR="00000000" w:rsidRDefault="00000000">
      <w:pPr>
        <w:pStyle w:val="BodyText2"/>
        <w:tabs>
          <w:tab w:val="left" w:pos="680"/>
        </w:tabs>
        <w:spacing w:before="240" w:line="260" w:lineRule="exact"/>
        <w:jc w:val="both"/>
        <w:rPr>
          <w:sz w:val="22"/>
          <w:lang w:val="es-CR"/>
        </w:rPr>
      </w:pPr>
      <w:r>
        <w:rPr>
          <w:sz w:val="22"/>
          <w:lang w:val="es-CR"/>
        </w:rPr>
        <w:t>Consejo Nacional de Atención Integral del VIH-SIDA (2001). Plan Nacional Estratégico para el Abordaje Integral del VIH/SIDA 2001-2004. San José, Costa Rica.</w:t>
      </w:r>
    </w:p>
    <w:p w:rsidR="00000000" w:rsidRDefault="00000000">
      <w:pPr>
        <w:pStyle w:val="FR2"/>
        <w:tabs>
          <w:tab w:val="left" w:pos="680"/>
        </w:tabs>
        <w:spacing w:before="240" w:line="260" w:lineRule="exact"/>
        <w:jc w:val="both"/>
        <w:rPr>
          <w:rFonts w:ascii="Times New Roman" w:hAnsi="Times New Roman"/>
          <w:b w:val="0"/>
          <w:sz w:val="22"/>
          <w:lang w:val="es-CR"/>
        </w:rPr>
      </w:pPr>
      <w:r>
        <w:rPr>
          <w:rFonts w:ascii="Times New Roman" w:hAnsi="Times New Roman"/>
          <w:b w:val="0"/>
          <w:sz w:val="22"/>
          <w:lang w:val="es-CR"/>
        </w:rPr>
        <w:t>Consejo Nacional de Rectores (2001). Características Sociodemográficas de los Estudiantes de las Universidades Estatales. 2000. Oficina de la Planificación de la Educación Superior, San José, Costa Rica.</w:t>
      </w:r>
    </w:p>
    <w:p w:rsidR="00000000" w:rsidRDefault="00000000">
      <w:pPr>
        <w:pStyle w:val="BodyText2"/>
        <w:tabs>
          <w:tab w:val="left" w:pos="680"/>
        </w:tabs>
        <w:spacing w:before="240" w:line="260" w:lineRule="exact"/>
        <w:jc w:val="both"/>
        <w:rPr>
          <w:sz w:val="22"/>
          <w:lang w:val="en-US"/>
        </w:rPr>
      </w:pPr>
      <w:r>
        <w:rPr>
          <w:sz w:val="22"/>
          <w:lang w:val="es-CR"/>
        </w:rPr>
        <w:t>Coordinadora Nacional para el Trabajo con las Mujeres Campesinas - CNTMC (1999). Informe Estudio sobre Oferta y Demanda de Crédito para Productoras Rurales en Costa Rica. San José, Costa Rica</w:t>
      </w:r>
      <w:r>
        <w:rPr>
          <w:sz w:val="22"/>
          <w:lang w:val="en-US"/>
        </w:rPr>
        <w:t>.</w:t>
      </w:r>
    </w:p>
    <w:p w:rsidR="00000000" w:rsidRDefault="00000000">
      <w:pPr>
        <w:pStyle w:val="FR2"/>
        <w:tabs>
          <w:tab w:val="left" w:pos="680"/>
        </w:tabs>
        <w:spacing w:before="240" w:line="260" w:lineRule="exact"/>
        <w:jc w:val="both"/>
        <w:rPr>
          <w:rFonts w:ascii="Times New Roman" w:hAnsi="Times New Roman"/>
          <w:b w:val="0"/>
          <w:sz w:val="22"/>
          <w:lang w:val="es-CR"/>
        </w:rPr>
      </w:pPr>
      <w:r>
        <w:rPr>
          <w:rFonts w:ascii="Times New Roman" w:hAnsi="Times New Roman"/>
          <w:b w:val="0"/>
          <w:sz w:val="22"/>
          <w:lang w:val="es-CR"/>
        </w:rPr>
        <w:t>Defensoría de los Habitantes (1994). Informes Anual 1993-1994. San José, Costa Rica.</w:t>
      </w:r>
    </w:p>
    <w:p w:rsidR="00000000" w:rsidRDefault="00000000">
      <w:pPr>
        <w:pStyle w:val="FR2"/>
        <w:tabs>
          <w:tab w:val="left" w:pos="680"/>
        </w:tabs>
        <w:spacing w:before="240" w:line="260" w:lineRule="exact"/>
        <w:jc w:val="both"/>
        <w:rPr>
          <w:rFonts w:ascii="Times New Roman" w:hAnsi="Times New Roman"/>
          <w:b w:val="0"/>
          <w:sz w:val="22"/>
          <w:lang w:val="es-CR"/>
        </w:rPr>
      </w:pPr>
      <w:r>
        <w:rPr>
          <w:rFonts w:ascii="Times New Roman" w:hAnsi="Times New Roman"/>
          <w:b w:val="0"/>
          <w:sz w:val="22"/>
          <w:lang w:val="es-CR"/>
        </w:rPr>
        <w:t>Defensoría de los Habitantes (1998). Informe Anual 1997-1998. San José, Costa Rica.</w:t>
      </w:r>
    </w:p>
    <w:p w:rsidR="00000000" w:rsidRDefault="00000000">
      <w:pPr>
        <w:tabs>
          <w:tab w:val="left" w:pos="680"/>
        </w:tabs>
        <w:spacing w:before="240" w:line="260" w:lineRule="exact"/>
        <w:jc w:val="both"/>
        <w:rPr>
          <w:sz w:val="22"/>
          <w:lang w:val="es-CR"/>
        </w:rPr>
      </w:pPr>
      <w:r>
        <w:rPr>
          <w:sz w:val="22"/>
          <w:lang w:val="es-CR"/>
        </w:rPr>
        <w:t>Defensoría de los Habitantes (2000). Compendio de Resoluciones de la Defensoría de la Mujer. Compiladoras Ligia Martín y Alejandra Mora. San José, Costa Rica.</w:t>
      </w:r>
    </w:p>
    <w:p w:rsidR="00000000" w:rsidRDefault="00000000">
      <w:pPr>
        <w:tabs>
          <w:tab w:val="left" w:pos="680"/>
        </w:tabs>
        <w:spacing w:before="240" w:line="260" w:lineRule="exact"/>
        <w:jc w:val="both"/>
        <w:rPr>
          <w:sz w:val="22"/>
          <w:lang w:val="es-CR"/>
        </w:rPr>
      </w:pPr>
      <w:r>
        <w:rPr>
          <w:sz w:val="22"/>
          <w:lang w:val="es-CR"/>
        </w:rPr>
        <w:t>Defensoría de los Habitantes (2000). Informe Anual 1999-2000. San José, Costa Rica.</w:t>
      </w:r>
    </w:p>
    <w:p w:rsidR="00000000" w:rsidRDefault="00000000">
      <w:pPr>
        <w:pStyle w:val="FR2"/>
        <w:tabs>
          <w:tab w:val="left" w:pos="680"/>
        </w:tabs>
        <w:spacing w:before="240" w:line="260" w:lineRule="exact"/>
        <w:jc w:val="both"/>
        <w:rPr>
          <w:rFonts w:ascii="Times New Roman" w:hAnsi="Times New Roman"/>
          <w:b w:val="0"/>
          <w:sz w:val="22"/>
          <w:lang w:val="es-CR"/>
        </w:rPr>
      </w:pPr>
      <w:r>
        <w:rPr>
          <w:rFonts w:ascii="Times New Roman" w:hAnsi="Times New Roman"/>
          <w:b w:val="0"/>
          <w:sz w:val="22"/>
          <w:lang w:val="es-CR"/>
        </w:rPr>
        <w:t>Defensoría de los Habitantes (s. f.)</w:t>
      </w:r>
      <w:r>
        <w:rPr>
          <w:rFonts w:ascii="Times New Roman" w:hAnsi="Times New Roman"/>
          <w:b w:val="0"/>
          <w:sz w:val="22"/>
          <w:lang w:val="ru-RU"/>
        </w:rPr>
        <w:t>.</w:t>
      </w:r>
      <w:r>
        <w:rPr>
          <w:rFonts w:ascii="Times New Roman" w:hAnsi="Times New Roman"/>
          <w:b w:val="0"/>
          <w:sz w:val="22"/>
          <w:lang w:val="es-CR"/>
        </w:rPr>
        <w:t xml:space="preserve"> Observaciones al Proyecto de Reforma al Régimen de Servidoras Domésticas. Documento. San José, Costa Rica.</w:t>
      </w:r>
    </w:p>
    <w:p w:rsidR="00000000" w:rsidRDefault="00000000">
      <w:pPr>
        <w:tabs>
          <w:tab w:val="left" w:pos="680"/>
        </w:tabs>
        <w:spacing w:before="240" w:line="260" w:lineRule="exact"/>
        <w:jc w:val="both"/>
        <w:rPr>
          <w:sz w:val="22"/>
          <w:lang w:val="es-CR"/>
        </w:rPr>
      </w:pPr>
      <w:r>
        <w:rPr>
          <w:sz w:val="22"/>
          <w:lang w:val="es-CR"/>
        </w:rPr>
        <w:t>Defensoría de los Habitantes (2001). Compendio de Resoluciones de la Defensoría de la Mujer. San José, Costa Rica.</w:t>
      </w:r>
    </w:p>
    <w:p w:rsidR="00000000" w:rsidRDefault="00000000">
      <w:pPr>
        <w:tabs>
          <w:tab w:val="left" w:pos="680"/>
        </w:tabs>
        <w:spacing w:before="240" w:line="260" w:lineRule="exact"/>
        <w:jc w:val="both"/>
        <w:rPr>
          <w:sz w:val="22"/>
          <w:lang w:val="es-CR"/>
        </w:rPr>
      </w:pPr>
      <w:r>
        <w:rPr>
          <w:sz w:val="22"/>
          <w:lang w:val="es-CR"/>
        </w:rPr>
        <w:t>Defensoría de los Habitantes (2002). Informe de Labores 2000-2001. San José, Costa Rica.</w:t>
      </w:r>
    </w:p>
    <w:p w:rsidR="00000000" w:rsidRDefault="00000000">
      <w:pPr>
        <w:pStyle w:val="BodyText2"/>
        <w:tabs>
          <w:tab w:val="left" w:pos="680"/>
        </w:tabs>
        <w:spacing w:before="240" w:line="260" w:lineRule="exact"/>
        <w:jc w:val="both"/>
        <w:rPr>
          <w:sz w:val="22"/>
          <w:lang w:val="es-CR"/>
        </w:rPr>
      </w:pPr>
      <w:r>
        <w:rPr>
          <w:sz w:val="22"/>
          <w:lang w:val="es-CR"/>
        </w:rPr>
        <w:t>Delgado, Yolanda (2000). Respuesta Social a Nivel Local Ante la Violencia Intrafamiliar. San José, Costa Rica: Organización Panamericana de la Salud.</w:t>
      </w:r>
    </w:p>
    <w:p w:rsidR="00000000" w:rsidRDefault="00000000">
      <w:pPr>
        <w:tabs>
          <w:tab w:val="left" w:pos="680"/>
        </w:tabs>
        <w:spacing w:before="240" w:line="260" w:lineRule="exact"/>
        <w:jc w:val="both"/>
        <w:rPr>
          <w:sz w:val="22"/>
          <w:lang w:val="es-CR"/>
        </w:rPr>
      </w:pPr>
      <w:r>
        <w:rPr>
          <w:sz w:val="22"/>
          <w:lang w:val="es-CR"/>
        </w:rPr>
        <w:t>Devandas, Catalina (2000). "Mujer y Discapacidad en Costa Rica". En La Plataforma de Acción de la IV Conferencia Mundial de la Mujer: Una Mirada Desde la Diversidad en Costa Rica, UNIFEM-HIVOS. San José, Costa Rica.</w:t>
      </w:r>
    </w:p>
    <w:p w:rsidR="00000000" w:rsidRDefault="00000000">
      <w:pPr>
        <w:tabs>
          <w:tab w:val="left" w:pos="680"/>
        </w:tabs>
        <w:spacing w:before="240" w:line="260" w:lineRule="exact"/>
        <w:jc w:val="both"/>
        <w:rPr>
          <w:sz w:val="22"/>
          <w:lang w:val="es-CR"/>
        </w:rPr>
      </w:pPr>
      <w:r>
        <w:rPr>
          <w:sz w:val="22"/>
          <w:lang w:val="es-CR"/>
        </w:rPr>
        <w:t>Díaz Alvarado, Marco y otros (2002). Bases Programáticas. Programa Atención Integral a la Adolescencia. Caja Costarricense de Seguro Social, Gerencia de División Médica, Dirección Técnica de Servicios de Salud, Departamento de Medicina Preventiva. San José, Costa Rica.</w:t>
      </w:r>
    </w:p>
    <w:p w:rsidR="00000000" w:rsidRDefault="00000000">
      <w:pPr>
        <w:tabs>
          <w:tab w:val="left" w:pos="680"/>
        </w:tabs>
        <w:spacing w:before="240" w:line="260" w:lineRule="exact"/>
        <w:jc w:val="both"/>
        <w:rPr>
          <w:sz w:val="22"/>
          <w:lang w:val="es-CR"/>
        </w:rPr>
      </w:pPr>
      <w:r>
        <w:rPr>
          <w:sz w:val="22"/>
          <w:lang w:val="es-CR"/>
        </w:rPr>
        <w:t>Dierckxsens Wim (1996). "Impacto del ajuste estructural sobre la mujer trabajadora en Costa Rica". En Nuevos Enfoques Económicos. Contribuciones al Debate sobre Género y Economía. San José, Costa Rica.</w:t>
      </w:r>
    </w:p>
    <w:p w:rsidR="00000000" w:rsidRDefault="00000000">
      <w:pPr>
        <w:pStyle w:val="BodyText2"/>
        <w:tabs>
          <w:tab w:val="left" w:pos="680"/>
        </w:tabs>
        <w:spacing w:before="240" w:line="260" w:lineRule="exact"/>
        <w:jc w:val="both"/>
        <w:rPr>
          <w:sz w:val="22"/>
          <w:lang w:val="es-CR"/>
        </w:rPr>
      </w:pPr>
      <w:r>
        <w:rPr>
          <w:sz w:val="22"/>
          <w:lang w:val="es-CR"/>
        </w:rPr>
        <w:t>Duncan, Quince y Carlos Meléndez (1972). El Negro en Costa Rica. Editorial Costa Rica. San José, Costa Rica.</w:t>
      </w:r>
    </w:p>
    <w:p w:rsidR="00000000" w:rsidRDefault="00000000">
      <w:pPr>
        <w:tabs>
          <w:tab w:val="left" w:pos="680"/>
        </w:tabs>
        <w:spacing w:before="240" w:line="260" w:lineRule="exact"/>
        <w:jc w:val="both"/>
        <w:rPr>
          <w:sz w:val="22"/>
          <w:lang w:val="es-CR"/>
        </w:rPr>
      </w:pPr>
      <w:r>
        <w:rPr>
          <w:sz w:val="22"/>
          <w:lang w:val="es-CR"/>
        </w:rPr>
        <w:t>Edgerton, Lilly (1994). "Costa Rica: tranquilizantes en un mundo feliz". En: Mujeres, No 346, Servicio de Noticias de la Mujer. San José, Costa Rica.</w:t>
      </w:r>
    </w:p>
    <w:p w:rsidR="00000000" w:rsidRDefault="00000000">
      <w:pPr>
        <w:tabs>
          <w:tab w:val="left" w:pos="680"/>
        </w:tabs>
        <w:spacing w:before="240" w:line="260" w:lineRule="exact"/>
        <w:jc w:val="both"/>
        <w:rPr>
          <w:sz w:val="22"/>
          <w:lang w:val="es-CR"/>
        </w:rPr>
      </w:pPr>
      <w:r>
        <w:rPr>
          <w:sz w:val="22"/>
          <w:lang w:val="es-CR"/>
        </w:rPr>
        <w:t>Escalante, Ana Cecilia (1999). "Las condiciones laborales y de vida de las trabajadoras de la maquila en Costa Rica". Proyecto RLA/97/07/MNET Mejoramiento de las condiciones laborales y de vida de las trabajadoras de la maquila, OIT. San José, Costa Rica.</w:t>
      </w:r>
    </w:p>
    <w:p w:rsidR="00000000" w:rsidRDefault="00000000">
      <w:pPr>
        <w:tabs>
          <w:tab w:val="left" w:pos="680"/>
        </w:tabs>
        <w:spacing w:before="240" w:line="260" w:lineRule="exact"/>
        <w:jc w:val="both"/>
        <w:rPr>
          <w:sz w:val="22"/>
          <w:lang w:val="es-CR"/>
        </w:rPr>
      </w:pPr>
      <w:r>
        <w:rPr>
          <w:sz w:val="22"/>
          <w:lang w:val="es-CR"/>
        </w:rPr>
        <w:t>Escalante, Ana Cecilia (2000). "La Contribución de los movimientos de mujeres contemporáneos en la construcción de la democracia costarricense: mirando hacia el futuro". Ponencia presentada en la Conferencia La democracia de Costa Rica ante el nuevo siglo (1986-2000): Tendencias, problemas y perspectivas. Universidad de Costa Rica. Inédito. San José, Costa Rica.</w:t>
      </w:r>
    </w:p>
    <w:p w:rsidR="00000000" w:rsidRDefault="00000000">
      <w:pPr>
        <w:tabs>
          <w:tab w:val="left" w:pos="680"/>
        </w:tabs>
        <w:spacing w:before="240" w:line="260" w:lineRule="exact"/>
        <w:jc w:val="both"/>
        <w:rPr>
          <w:sz w:val="22"/>
          <w:lang w:val="es-CR"/>
        </w:rPr>
      </w:pPr>
      <w:r>
        <w:rPr>
          <w:sz w:val="22"/>
          <w:lang w:val="es-CR"/>
        </w:rPr>
        <w:t>Fació Alda. (1992) Cuando el género suena cambios trae. Programa Mujer, Justicia y Género, ILANUD. San José, Costa Rica.</w:t>
      </w:r>
    </w:p>
    <w:p w:rsidR="00000000" w:rsidRDefault="00000000">
      <w:pPr>
        <w:tabs>
          <w:tab w:val="left" w:pos="680"/>
        </w:tabs>
        <w:spacing w:before="240" w:line="260" w:lineRule="exact"/>
        <w:jc w:val="both"/>
        <w:rPr>
          <w:sz w:val="22"/>
          <w:lang w:val="es-CR"/>
        </w:rPr>
      </w:pPr>
      <w:r>
        <w:rPr>
          <w:sz w:val="22"/>
          <w:lang w:val="es-CR"/>
        </w:rPr>
        <w:t>Fació Alda (2001). Declaración Universal de Derechos Humanos: texto y comentarios inusuales. Programa Mujer, Justicia y Género, ILANUD. San José, Costa Rica.</w:t>
      </w:r>
    </w:p>
    <w:p w:rsidR="00000000" w:rsidRDefault="00000000">
      <w:pPr>
        <w:tabs>
          <w:tab w:val="left" w:pos="680"/>
        </w:tabs>
        <w:spacing w:before="240" w:line="260" w:lineRule="exact"/>
        <w:jc w:val="both"/>
        <w:rPr>
          <w:sz w:val="22"/>
          <w:lang w:val="es-CR"/>
        </w:rPr>
      </w:pPr>
      <w:r>
        <w:rPr>
          <w:sz w:val="22"/>
          <w:lang w:val="es-CR"/>
        </w:rPr>
        <w:t>Faerron Ángel, Ana Lucía (2002). La educación para la sexualidad en el contexto de la sociedad costarricense: análisis del proceso de diseño y gestión del Programa Amor Joven (1998-2001). Tesis sometida a la consideración del Tribunal Examinador de Posgrado en Estudio de la Mujer para optar por el grado de Magíster Scientae. Universidad de Costa Rica/ Universidad Nacional/ Maestría Regional en Estudios de la Mujer. San José, Costa Rica.</w:t>
      </w:r>
    </w:p>
    <w:p w:rsidR="00000000" w:rsidRDefault="00000000">
      <w:pPr>
        <w:tabs>
          <w:tab w:val="left" w:pos="680"/>
        </w:tabs>
        <w:spacing w:before="240" w:line="260" w:lineRule="exact"/>
        <w:jc w:val="both"/>
        <w:rPr>
          <w:sz w:val="22"/>
          <w:lang w:val="es-CR"/>
        </w:rPr>
      </w:pPr>
      <w:r>
        <w:rPr>
          <w:sz w:val="22"/>
          <w:lang w:val="es-CR"/>
        </w:rPr>
        <w:t>Fernández, Janina (2001). 'Tendencias en la inserción laboral de las mujeres en Costa Rica 1980-2000". Proyecto Maquila OIT, Oficina Regional. San José, Costa Rica.</w:t>
      </w:r>
    </w:p>
    <w:p w:rsidR="00000000" w:rsidRDefault="00000000">
      <w:pPr>
        <w:pStyle w:val="FR2"/>
        <w:tabs>
          <w:tab w:val="left" w:pos="680"/>
        </w:tabs>
        <w:spacing w:before="240" w:line="260" w:lineRule="exact"/>
        <w:jc w:val="both"/>
        <w:rPr>
          <w:rFonts w:ascii="Times New Roman" w:hAnsi="Times New Roman"/>
          <w:b w:val="0"/>
          <w:sz w:val="22"/>
          <w:lang w:val="es-CR"/>
        </w:rPr>
      </w:pPr>
      <w:r>
        <w:rPr>
          <w:rFonts w:ascii="Times New Roman" w:hAnsi="Times New Roman"/>
          <w:b w:val="0"/>
          <w:sz w:val="22"/>
          <w:lang w:val="es-CR"/>
        </w:rPr>
        <w:t>FIRE-UNIFEM-HIVOS (2000). La Plataforma de Acción de la IV Conferencia Mundial de la Mujer: una mirada desde la diversidad en Costa Rica 1999-2000, Iniciativa Raíces de la Diversidad. San José, Costa Rica.</w:t>
      </w:r>
    </w:p>
    <w:p w:rsidR="00000000" w:rsidRDefault="00000000">
      <w:pPr>
        <w:tabs>
          <w:tab w:val="left" w:pos="680"/>
        </w:tabs>
        <w:spacing w:before="240" w:line="260" w:lineRule="exact"/>
        <w:jc w:val="both"/>
        <w:rPr>
          <w:sz w:val="22"/>
          <w:lang w:val="es-CR"/>
        </w:rPr>
      </w:pPr>
      <w:r>
        <w:rPr>
          <w:sz w:val="22"/>
          <w:lang w:val="es-CR"/>
        </w:rPr>
        <w:t xml:space="preserve">Flores Villareal, Eileen </w:t>
      </w:r>
      <w:r>
        <w:rPr>
          <w:sz w:val="22"/>
          <w:lang w:val="en-US"/>
        </w:rPr>
        <w:t>(</w:t>
      </w:r>
      <w:r>
        <w:rPr>
          <w:sz w:val="22"/>
          <w:lang w:val="es-CR"/>
        </w:rPr>
        <w:t>2000</w:t>
      </w:r>
      <w:r>
        <w:rPr>
          <w:sz w:val="22"/>
          <w:lang w:val="en-US"/>
        </w:rPr>
        <w:t>)</w:t>
      </w:r>
      <w:r>
        <w:rPr>
          <w:sz w:val="22"/>
          <w:lang w:val="es-CR"/>
        </w:rPr>
        <w:t>. Aplicación de la ley contra el Hostigamiento Sexual en las Universidades. Tesis para optar por el grado de Licenciatura en Derecho, Universidad Internacional de las Américas. San José, Costa Rica.</w:t>
      </w:r>
    </w:p>
    <w:p w:rsidR="00000000" w:rsidRDefault="00000000">
      <w:pPr>
        <w:tabs>
          <w:tab w:val="left" w:pos="680"/>
        </w:tabs>
        <w:spacing w:before="240" w:line="260" w:lineRule="exact"/>
        <w:jc w:val="both"/>
        <w:rPr>
          <w:sz w:val="22"/>
          <w:lang w:val="es-CR"/>
        </w:rPr>
      </w:pPr>
      <w:r>
        <w:rPr>
          <w:sz w:val="22"/>
          <w:lang w:val="es-CR"/>
        </w:rPr>
        <w:t>Fundación Arias para la Paz y el Progreso Humano (1998). Mujeres, derechos a la tierra y contrarreformas en América Latina. San José, Costa Rica.</w:t>
      </w:r>
    </w:p>
    <w:p w:rsidR="00000000" w:rsidRDefault="00000000">
      <w:pPr>
        <w:tabs>
          <w:tab w:val="left" w:pos="680"/>
        </w:tabs>
        <w:spacing w:before="240" w:line="260" w:lineRule="exact"/>
        <w:jc w:val="both"/>
        <w:rPr>
          <w:sz w:val="22"/>
          <w:lang w:val="es-CR"/>
        </w:rPr>
      </w:pPr>
      <w:r>
        <w:rPr>
          <w:sz w:val="22"/>
          <w:lang w:val="es-CR"/>
        </w:rPr>
        <w:t>Fundación Arias para la Paz y el Progreso Humano (S. f.) (a). Diagnóstico sobre la organización de las mujeres rurales en Centroamérica. San José, Costa Rica.</w:t>
      </w:r>
    </w:p>
    <w:p w:rsidR="00000000" w:rsidRDefault="00000000">
      <w:pPr>
        <w:pStyle w:val="FR2"/>
        <w:tabs>
          <w:tab w:val="left" w:pos="680"/>
        </w:tabs>
        <w:spacing w:before="240" w:line="260" w:lineRule="exact"/>
        <w:jc w:val="both"/>
        <w:rPr>
          <w:rFonts w:ascii="Times New Roman" w:hAnsi="Times New Roman"/>
          <w:b w:val="0"/>
          <w:sz w:val="22"/>
          <w:lang w:val="es-CR"/>
        </w:rPr>
      </w:pPr>
      <w:r>
        <w:rPr>
          <w:rFonts w:ascii="Times New Roman" w:hAnsi="Times New Roman"/>
          <w:b w:val="0"/>
          <w:sz w:val="22"/>
          <w:lang w:val="es-CR"/>
        </w:rPr>
        <w:t>Fundación Arias para la Paz y el Progreso Humano (S. f.) (b). La legislación nacional relacionada con el acceso de las mujeres a la tierra y a la propiedad en Costa Rica. San José, Costa Rica.</w:t>
      </w:r>
    </w:p>
    <w:p w:rsidR="00000000" w:rsidRDefault="00000000">
      <w:pPr>
        <w:tabs>
          <w:tab w:val="left" w:pos="680"/>
        </w:tabs>
        <w:spacing w:before="240" w:line="260" w:lineRule="exact"/>
        <w:jc w:val="both"/>
        <w:rPr>
          <w:sz w:val="22"/>
          <w:lang w:val="es-CR"/>
        </w:rPr>
      </w:pPr>
      <w:r>
        <w:rPr>
          <w:sz w:val="22"/>
          <w:lang w:val="es-CR"/>
        </w:rPr>
        <w:t>Gámez, Loma (2001). "Presencia y condiciones de vida de mujeres inmigrantes nicaragüenses en Costa Rica". Síntesis elaborada para el VII Informe del Estado de la Nación en Desarrollo Humano Sostenible 2000. San José, Costa Rica.</w:t>
      </w:r>
    </w:p>
    <w:p w:rsidR="00000000" w:rsidRDefault="00000000">
      <w:pPr>
        <w:pStyle w:val="BodyText2"/>
        <w:tabs>
          <w:tab w:val="left" w:pos="680"/>
        </w:tabs>
        <w:spacing w:before="240" w:line="260" w:lineRule="exact"/>
        <w:jc w:val="both"/>
        <w:rPr>
          <w:sz w:val="22"/>
          <w:lang w:val="es-CR"/>
        </w:rPr>
      </w:pPr>
      <w:r>
        <w:rPr>
          <w:sz w:val="22"/>
          <w:lang w:val="es-CR"/>
        </w:rPr>
        <w:t>Goldenberg, Olga (2001). "Indicadores de Género para el seguimiento y la evaluación de la Plataforma de Acción de Beijing. Propuesta CEPAL. Indicadores No Cuantitativos". Informe, INAMU-Proyecto Estado de la Nación-PNUD. San José, Costa Rica.</w:t>
      </w:r>
    </w:p>
    <w:p w:rsidR="00000000" w:rsidRDefault="00000000">
      <w:pPr>
        <w:tabs>
          <w:tab w:val="left" w:pos="680"/>
        </w:tabs>
        <w:spacing w:before="240" w:line="260" w:lineRule="exact"/>
        <w:jc w:val="both"/>
        <w:rPr>
          <w:sz w:val="22"/>
          <w:lang w:val="es-CR"/>
        </w:rPr>
      </w:pPr>
      <w:r>
        <w:rPr>
          <w:sz w:val="22"/>
          <w:lang w:val="es-CR"/>
        </w:rPr>
        <w:t>Gómez, M. Elena (2001). Avances en el Abordaje de la Violencia Doméstica en el Poder Judicial. Comisión Permanente Para el Seguimiento de la Violencia Doméstica en el Poder Judicial. Inédito. San José, Costa Rica.</w:t>
      </w:r>
    </w:p>
    <w:p w:rsidR="00000000" w:rsidRDefault="00000000">
      <w:pPr>
        <w:tabs>
          <w:tab w:val="left" w:pos="680"/>
        </w:tabs>
        <w:spacing w:before="240" w:line="260" w:lineRule="exact"/>
        <w:jc w:val="both"/>
        <w:rPr>
          <w:sz w:val="22"/>
          <w:lang w:val="es-CR"/>
        </w:rPr>
      </w:pPr>
      <w:r>
        <w:rPr>
          <w:sz w:val="22"/>
          <w:lang w:val="es-CR"/>
        </w:rPr>
        <w:t>González Mirta (2000). El sexismo en la educación. La discriminación cotidiana. San José, Costa Rica: Editorial UCR.</w:t>
      </w:r>
    </w:p>
    <w:p w:rsidR="00000000" w:rsidRDefault="00000000">
      <w:pPr>
        <w:tabs>
          <w:tab w:val="left" w:pos="680"/>
        </w:tabs>
        <w:spacing w:before="240" w:line="260" w:lineRule="exact"/>
        <w:jc w:val="both"/>
        <w:rPr>
          <w:sz w:val="22"/>
          <w:lang w:val="es-CR"/>
        </w:rPr>
      </w:pPr>
      <w:r>
        <w:rPr>
          <w:sz w:val="22"/>
          <w:lang w:val="es-CR"/>
        </w:rPr>
        <w:t>González Mirta (S. f.) La perspectiva de igualdad de género y los procesos pedagógicos. Inédito. San José, Costa Rica.</w:t>
      </w:r>
    </w:p>
    <w:p w:rsidR="00000000" w:rsidRDefault="00000000">
      <w:pPr>
        <w:tabs>
          <w:tab w:val="left" w:pos="680"/>
        </w:tabs>
        <w:spacing w:before="240" w:line="260" w:lineRule="exact"/>
        <w:jc w:val="both"/>
        <w:rPr>
          <w:sz w:val="22"/>
          <w:lang w:val="es-CR"/>
        </w:rPr>
      </w:pPr>
      <w:r>
        <w:rPr>
          <w:sz w:val="22"/>
          <w:lang w:val="es-CR"/>
        </w:rPr>
        <w:t>Grupo Agenda Política de Mujeres Costarricenses (1997). Agenda Política de Mujeres Costarricenses. San José, Costa Rica.</w:t>
      </w:r>
    </w:p>
    <w:p w:rsidR="00000000" w:rsidRDefault="00000000">
      <w:pPr>
        <w:tabs>
          <w:tab w:val="left" w:pos="680"/>
        </w:tabs>
        <w:spacing w:before="240" w:line="260" w:lineRule="exact"/>
        <w:jc w:val="both"/>
        <w:rPr>
          <w:sz w:val="22"/>
          <w:lang w:val="es-CR"/>
        </w:rPr>
      </w:pPr>
      <w:r>
        <w:rPr>
          <w:sz w:val="22"/>
          <w:lang w:val="es-CR"/>
        </w:rPr>
        <w:t>Guzmán, Virginia y otras (1991). Una Nueva Lectura: Género en el Desarrollo. Compilación, Entre Mujeres-Flora Tristán Ediciones. Lima, Perú.</w:t>
      </w:r>
    </w:p>
    <w:p w:rsidR="00000000" w:rsidRDefault="00000000">
      <w:pPr>
        <w:tabs>
          <w:tab w:val="left" w:pos="680"/>
        </w:tabs>
        <w:spacing w:before="240" w:line="260" w:lineRule="exact"/>
        <w:jc w:val="both"/>
        <w:rPr>
          <w:sz w:val="22"/>
          <w:lang w:val="es-CR"/>
        </w:rPr>
      </w:pPr>
      <w:r>
        <w:rPr>
          <w:sz w:val="22"/>
          <w:lang w:val="es-CR"/>
        </w:rPr>
        <w:t>Heise, Lorie, J. Pitanguy y A. Germain (1996). Violencia Contra las Mujeres: La Carga Oculta Sobre la Salud. OPS. Washington, Estados Unidos.</w:t>
      </w:r>
    </w:p>
    <w:p w:rsidR="00000000" w:rsidRDefault="00000000">
      <w:pPr>
        <w:tabs>
          <w:tab w:val="left" w:pos="680"/>
        </w:tabs>
        <w:spacing w:before="240" w:line="260" w:lineRule="exact"/>
        <w:jc w:val="both"/>
        <w:rPr>
          <w:sz w:val="22"/>
          <w:lang w:val="es-CR"/>
        </w:rPr>
      </w:pPr>
      <w:r>
        <w:rPr>
          <w:sz w:val="22"/>
          <w:lang w:val="es-CR"/>
        </w:rPr>
        <w:t>HERA (1999). Hojas de Acción sobre Salud y Derechos Sexuales y Reproductivos de las Mujeres. Nueva York, Estados Unidos.</w:t>
      </w:r>
    </w:p>
    <w:p w:rsidR="00000000" w:rsidRDefault="00000000">
      <w:pPr>
        <w:tabs>
          <w:tab w:val="left" w:pos="680"/>
        </w:tabs>
        <w:spacing w:before="240" w:line="260" w:lineRule="exact"/>
        <w:jc w:val="both"/>
        <w:rPr>
          <w:sz w:val="22"/>
          <w:lang w:val="es-CR"/>
        </w:rPr>
      </w:pPr>
      <w:r>
        <w:rPr>
          <w:sz w:val="22"/>
          <w:lang w:val="es-CR"/>
        </w:rPr>
        <w:t>ILANUD y Programa Mujer, Justicia y Género (1997). Caminando hacia la Igualdad Real. Manual de Capacitación. San José, Costa Rica.</w:t>
      </w:r>
    </w:p>
    <w:p w:rsidR="00000000" w:rsidRDefault="00000000">
      <w:pPr>
        <w:tabs>
          <w:tab w:val="left" w:pos="680"/>
        </w:tabs>
        <w:spacing w:before="240" w:line="260" w:lineRule="exact"/>
        <w:jc w:val="both"/>
        <w:rPr>
          <w:sz w:val="22"/>
          <w:lang w:val="es-CR"/>
        </w:rPr>
      </w:pPr>
      <w:r>
        <w:rPr>
          <w:sz w:val="22"/>
          <w:lang w:val="es-CR"/>
        </w:rPr>
        <w:t>INCIENSA, CCSS, OPS (1998). Situación de las enfermedades crónicas no transmisibles en Costa Rica. Cartago, Costa Rica.</w:t>
      </w:r>
    </w:p>
    <w:p w:rsidR="00000000" w:rsidRDefault="00000000">
      <w:pPr>
        <w:tabs>
          <w:tab w:val="left" w:pos="680"/>
        </w:tabs>
        <w:spacing w:before="240" w:line="260" w:lineRule="exact"/>
        <w:jc w:val="both"/>
        <w:rPr>
          <w:sz w:val="22"/>
          <w:lang w:val="es-CR"/>
        </w:rPr>
      </w:pPr>
      <w:r>
        <w:rPr>
          <w:sz w:val="22"/>
          <w:lang w:val="es-CR"/>
        </w:rPr>
        <w:t>Iniciativa Centroamericana de Seguimiento a Beijing (Capítulo Costa Rica) (1999). Informe Alternativo sobre el Cumplimiento de la Plataforma de Acción Mundial de la IV Conferencia Mundial de las Mujeres por parte del Gobierno Costarricense. Auspiciado por la Fundación Ford. San José, Costa Rica.</w:t>
      </w:r>
    </w:p>
    <w:p w:rsidR="00000000" w:rsidRDefault="00000000">
      <w:pPr>
        <w:tabs>
          <w:tab w:val="left" w:pos="680"/>
        </w:tabs>
        <w:spacing w:before="240" w:line="260" w:lineRule="exact"/>
        <w:jc w:val="both"/>
        <w:rPr>
          <w:spacing w:val="-2"/>
          <w:sz w:val="22"/>
          <w:lang w:val="es-CR"/>
        </w:rPr>
      </w:pPr>
      <w:r>
        <w:rPr>
          <w:spacing w:val="-2"/>
          <w:sz w:val="22"/>
          <w:lang w:val="es-CR"/>
        </w:rPr>
        <w:t>Instituto Interamericano de Derechos Humanos (1999) (b). Guía de Capacitación Derechos Humanos de las Mujeres, Tomo 2, Programa de Acción de Derechos de las Humanas. San José, Costa Rica.</w:t>
      </w:r>
    </w:p>
    <w:p w:rsidR="00000000" w:rsidRDefault="00000000">
      <w:pPr>
        <w:tabs>
          <w:tab w:val="left" w:pos="680"/>
        </w:tabs>
        <w:spacing w:before="240" w:line="260" w:lineRule="exact"/>
        <w:jc w:val="both"/>
        <w:rPr>
          <w:sz w:val="22"/>
          <w:lang w:val="es-CR"/>
        </w:rPr>
      </w:pPr>
      <w:r>
        <w:rPr>
          <w:sz w:val="22"/>
          <w:lang w:val="es-CR"/>
        </w:rPr>
        <w:t>Instituto Interamericano de Derechos Humanos y Red de las Defensorías de las mujeres (1998). Lineamientos para la integración de la perspectiva de género en los organismos de la Federación Iberoamericana. Lima, Perú.</w:t>
      </w:r>
    </w:p>
    <w:p w:rsidR="00000000" w:rsidRDefault="00000000">
      <w:pPr>
        <w:tabs>
          <w:tab w:val="left" w:pos="680"/>
        </w:tabs>
        <w:spacing w:before="240" w:line="260" w:lineRule="exact"/>
        <w:jc w:val="both"/>
        <w:rPr>
          <w:sz w:val="22"/>
          <w:lang w:val="es-CR"/>
        </w:rPr>
      </w:pPr>
      <w:r>
        <w:rPr>
          <w:sz w:val="22"/>
          <w:lang w:val="es-CR"/>
        </w:rPr>
        <w:t>Instituto Interamericano de Derechos Humanos (1999) (a). Instrumentos Internacionales de Protección de los derechos Humanos, 3</w:t>
      </w:r>
      <w:r>
        <w:rPr>
          <w:sz w:val="22"/>
          <w:vertAlign w:val="superscript"/>
          <w:lang w:val="es-CR"/>
        </w:rPr>
        <w:t>a</w:t>
      </w:r>
      <w:r>
        <w:rPr>
          <w:sz w:val="22"/>
          <w:lang w:val="es-CR"/>
        </w:rPr>
        <w:t xml:space="preserve"> Edición ampliada y actualizada. San José, Costa Rica.</w:t>
      </w:r>
    </w:p>
    <w:p w:rsidR="00000000" w:rsidRDefault="00000000">
      <w:pPr>
        <w:pStyle w:val="BodyText"/>
        <w:tabs>
          <w:tab w:val="left" w:pos="680"/>
        </w:tabs>
        <w:spacing w:before="240" w:line="260" w:lineRule="exact"/>
        <w:rPr>
          <w:sz w:val="22"/>
          <w:lang w:val="es-CR"/>
        </w:rPr>
      </w:pPr>
      <w:r>
        <w:rPr>
          <w:sz w:val="22"/>
          <w:lang w:val="es-CR"/>
        </w:rPr>
        <w:t>Instituto Nacional de Estadísticas y Censos (1999). Encuesta de Hogares de propósitos múltiples. Instructivo del Entrevistador. San José, Costa Rica.</w:t>
      </w:r>
    </w:p>
    <w:p w:rsidR="00000000" w:rsidRDefault="00000000">
      <w:pPr>
        <w:tabs>
          <w:tab w:val="left" w:pos="680"/>
        </w:tabs>
        <w:spacing w:before="240" w:line="260" w:lineRule="exact"/>
        <w:jc w:val="both"/>
        <w:rPr>
          <w:sz w:val="22"/>
          <w:lang w:val="es-CR"/>
        </w:rPr>
      </w:pPr>
      <w:r>
        <w:rPr>
          <w:sz w:val="22"/>
          <w:lang w:val="es-CR"/>
        </w:rPr>
        <w:t>Instituto Nacional de Estadísticas y Censos (2001). Encuesta de Hogares de propósitos múltiples. San José, Costa Rica.</w:t>
      </w:r>
    </w:p>
    <w:p w:rsidR="00000000" w:rsidRDefault="00000000">
      <w:pPr>
        <w:tabs>
          <w:tab w:val="left" w:pos="680"/>
        </w:tabs>
        <w:spacing w:before="240" w:line="260" w:lineRule="exact"/>
        <w:jc w:val="both"/>
        <w:rPr>
          <w:sz w:val="22"/>
          <w:lang w:val="es-CR"/>
        </w:rPr>
      </w:pPr>
      <w:r>
        <w:rPr>
          <w:sz w:val="22"/>
          <w:lang w:val="es-CR"/>
        </w:rPr>
        <w:t>Instituto Nacional de Estadísticas y Censos (2001). IX Censo Nacional de Población, 2000.</w:t>
      </w:r>
    </w:p>
    <w:p w:rsidR="00000000" w:rsidRDefault="00000000">
      <w:pPr>
        <w:tabs>
          <w:tab w:val="left" w:pos="680"/>
        </w:tabs>
        <w:spacing w:before="240" w:line="260" w:lineRule="exact"/>
        <w:jc w:val="both"/>
        <w:rPr>
          <w:sz w:val="22"/>
          <w:lang w:val="es-CR"/>
        </w:rPr>
      </w:pPr>
      <w:r>
        <w:rPr>
          <w:sz w:val="22"/>
          <w:lang w:val="es-CR"/>
        </w:rPr>
        <w:t>Instituto Nacional de las Mujeres (1999). Línea 800-300-3000. Estadísticas de las Llamadas Año 1998. Área de Violencia de Género. Inédito. San José, Costa Rica.</w:t>
      </w:r>
    </w:p>
    <w:p w:rsidR="00000000" w:rsidRDefault="00000000">
      <w:pPr>
        <w:tabs>
          <w:tab w:val="left" w:pos="680"/>
        </w:tabs>
        <w:spacing w:before="240" w:line="260" w:lineRule="exact"/>
        <w:jc w:val="both"/>
        <w:rPr>
          <w:sz w:val="22"/>
          <w:lang w:val="es-CR"/>
        </w:rPr>
      </w:pPr>
      <w:r>
        <w:rPr>
          <w:sz w:val="22"/>
          <w:lang w:val="es-CR"/>
        </w:rPr>
        <w:t>Instituto Nacional de las Mujere (2000) (a). Balance del Estado de Costa Rica de la implementación de la Plataforma de Acción. Logros y Desafíos. Cuarta Conferencia Mundial sobre la Mujer. Instituto Nacional de las Mujeres. San José, Costa Rica.</w:t>
      </w:r>
    </w:p>
    <w:p w:rsidR="00000000" w:rsidRDefault="00000000">
      <w:pPr>
        <w:tabs>
          <w:tab w:val="left" w:pos="680"/>
        </w:tabs>
        <w:spacing w:before="240" w:line="260" w:lineRule="exact"/>
        <w:jc w:val="both"/>
        <w:rPr>
          <w:sz w:val="22"/>
          <w:lang w:val="es-CR"/>
        </w:rPr>
      </w:pPr>
      <w:r>
        <w:rPr>
          <w:sz w:val="22"/>
          <w:lang w:val="es-CR"/>
        </w:rPr>
        <w:t>Instituto Nacional de las Mujeres (2000) (b). Comisión Técnica Interinstitucional: Contabilización del trabajo femenino. San José, Costa Rica.</w:t>
      </w:r>
    </w:p>
    <w:p w:rsidR="00000000" w:rsidRDefault="00000000">
      <w:pPr>
        <w:tabs>
          <w:tab w:val="left" w:pos="680"/>
        </w:tabs>
        <w:spacing w:before="240" w:line="260" w:lineRule="exact"/>
        <w:jc w:val="both"/>
        <w:rPr>
          <w:sz w:val="22"/>
          <w:lang w:val="es-CR"/>
        </w:rPr>
      </w:pPr>
      <w:r>
        <w:rPr>
          <w:sz w:val="22"/>
          <w:lang w:val="es-CR"/>
        </w:rPr>
        <w:t>Instituto Nacional de las Mujeres (2000) (c). Línea 800-300-3000. Estadísticas de las Llamadas Año 1999. Área de Violencia de Género. Inédito. San José, Costa Rica.</w:t>
      </w:r>
    </w:p>
    <w:p w:rsidR="00000000" w:rsidRDefault="00000000">
      <w:pPr>
        <w:tabs>
          <w:tab w:val="left" w:pos="680"/>
        </w:tabs>
        <w:spacing w:before="220" w:line="260" w:lineRule="exact"/>
        <w:jc w:val="both"/>
        <w:rPr>
          <w:sz w:val="22"/>
          <w:lang w:val="es-CR"/>
        </w:rPr>
      </w:pPr>
      <w:r>
        <w:rPr>
          <w:sz w:val="22"/>
          <w:lang w:val="es-CR"/>
        </w:rPr>
        <w:t>Instituto Nacional de las Mujeres (2000) (d). Página Web http//www.inamu.go.cr</w:t>
      </w:r>
    </w:p>
    <w:p w:rsidR="00000000" w:rsidRDefault="00000000">
      <w:pPr>
        <w:tabs>
          <w:tab w:val="left" w:pos="680"/>
        </w:tabs>
        <w:spacing w:before="220" w:line="260" w:lineRule="exact"/>
        <w:jc w:val="both"/>
        <w:rPr>
          <w:sz w:val="22"/>
          <w:lang w:val="es-CR"/>
        </w:rPr>
      </w:pPr>
      <w:r>
        <w:rPr>
          <w:sz w:val="22"/>
          <w:lang w:val="es-CR"/>
        </w:rPr>
        <w:t>Instituto Nacional de las Mujeres (2001) (a). Línea 800-300-3000. Estadísticas de las Llamadas Año 2000. Área de Violencia de Género. Inédito. San José, Costa Rica.</w:t>
      </w:r>
    </w:p>
    <w:p w:rsidR="00000000" w:rsidRDefault="00000000">
      <w:pPr>
        <w:tabs>
          <w:tab w:val="left" w:pos="680"/>
        </w:tabs>
        <w:spacing w:before="220" w:line="260" w:lineRule="exact"/>
        <w:jc w:val="both"/>
        <w:rPr>
          <w:sz w:val="22"/>
          <w:lang w:val="es-CR"/>
        </w:rPr>
      </w:pPr>
      <w:r>
        <w:rPr>
          <w:sz w:val="22"/>
          <w:lang w:val="es-CR"/>
        </w:rPr>
        <w:t>Instituto Nacional de las Mujeres (2002) (a). Caracterización de los tres principales proyectos de ley que actualmente se encuentran en la Asamblea Legislativa los cuales fortalecen los derechos políticos de las mujeres. San José, Costa Rica.</w:t>
      </w:r>
    </w:p>
    <w:p w:rsidR="00000000" w:rsidRDefault="00000000">
      <w:pPr>
        <w:tabs>
          <w:tab w:val="left" w:pos="680"/>
        </w:tabs>
        <w:spacing w:before="220" w:line="260" w:lineRule="exact"/>
        <w:jc w:val="both"/>
        <w:rPr>
          <w:sz w:val="22"/>
          <w:lang w:val="es-CR"/>
        </w:rPr>
      </w:pPr>
      <w:r>
        <w:rPr>
          <w:sz w:val="22"/>
          <w:lang w:val="es-CR"/>
        </w:rPr>
        <w:t>Instituto Nacional de las Mujeres (2002) (c). Resultados de la revisión de resoluciones emitidas por la Dirección General del Registro Civil y el Tribunal Supremo de Elecciones a los partidos políticos. Nóminas aprobadas y cumplimiento del 40% mínimo de participación femenina. Período Electoral 2002-2006. Área de Ciudadanía Activa, Liderazgo y Gestión Local. San José, Costa Rica.</w:t>
      </w:r>
    </w:p>
    <w:p w:rsidR="00000000" w:rsidRDefault="00000000">
      <w:pPr>
        <w:tabs>
          <w:tab w:val="left" w:pos="680"/>
        </w:tabs>
        <w:spacing w:before="220" w:line="260" w:lineRule="exact"/>
        <w:jc w:val="both"/>
        <w:rPr>
          <w:sz w:val="22"/>
          <w:lang w:val="es-CR"/>
        </w:rPr>
      </w:pPr>
      <w:r>
        <w:rPr>
          <w:sz w:val="22"/>
          <w:lang w:val="es-CR"/>
        </w:rPr>
        <w:t>Instituto Nacional de las Mujeres y Sistema de Emergencias 911 (2000). Propuesta de Centro Operativo de Atención de las Llamadas de Violencia Intrafamiliar. INAMU. San José, Costa Rica.</w:t>
      </w:r>
    </w:p>
    <w:p w:rsidR="00000000" w:rsidRDefault="00000000">
      <w:pPr>
        <w:tabs>
          <w:tab w:val="left" w:pos="680"/>
        </w:tabs>
        <w:spacing w:before="220" w:line="260" w:lineRule="exact"/>
        <w:jc w:val="both"/>
        <w:rPr>
          <w:sz w:val="22"/>
          <w:lang w:val="es-CR"/>
        </w:rPr>
      </w:pPr>
      <w:r>
        <w:rPr>
          <w:sz w:val="22"/>
          <w:lang w:val="es-CR"/>
        </w:rPr>
        <w:t>Instituto Nacional de las Mujeres (2001) (b). Política Nacional para la Igualdad y Equidad de Género. Informe Anual de Labores. San José, Costa Rica.</w:t>
      </w:r>
    </w:p>
    <w:p w:rsidR="00000000" w:rsidRDefault="00000000">
      <w:pPr>
        <w:tabs>
          <w:tab w:val="left" w:pos="680"/>
        </w:tabs>
        <w:spacing w:before="220" w:line="260" w:lineRule="exact"/>
        <w:jc w:val="both"/>
        <w:rPr>
          <w:sz w:val="22"/>
          <w:lang w:val="es-CR"/>
        </w:rPr>
      </w:pPr>
      <w:r>
        <w:rPr>
          <w:sz w:val="22"/>
          <w:lang w:val="es-CR"/>
        </w:rPr>
        <w:t>Instituto Nacional de las Mujeres (2001) (c). Política Nacional para la Igualdad y Equidad de Género. Informe de labores mayo 2000 – abril 2001. San José, Costa Rica.</w:t>
      </w:r>
    </w:p>
    <w:p w:rsidR="00000000" w:rsidRDefault="00000000">
      <w:pPr>
        <w:pStyle w:val="FR2"/>
        <w:tabs>
          <w:tab w:val="left" w:pos="680"/>
        </w:tabs>
        <w:spacing w:before="220" w:line="260" w:lineRule="exact"/>
        <w:jc w:val="both"/>
        <w:rPr>
          <w:rFonts w:ascii="Times New Roman" w:hAnsi="Times New Roman"/>
          <w:b w:val="0"/>
          <w:sz w:val="22"/>
          <w:lang w:val="es-CR"/>
        </w:rPr>
      </w:pPr>
      <w:r>
        <w:rPr>
          <w:rFonts w:ascii="Times New Roman" w:hAnsi="Times New Roman"/>
          <w:b w:val="0"/>
          <w:sz w:val="22"/>
          <w:lang w:val="es-CR"/>
        </w:rPr>
        <w:t>Instituto Nacional de las Mujeres (2002). Informe de Labores 1998-2002. San José, Costa Rica.</w:t>
      </w:r>
    </w:p>
    <w:p w:rsidR="00000000" w:rsidRDefault="00000000">
      <w:pPr>
        <w:tabs>
          <w:tab w:val="left" w:pos="680"/>
        </w:tabs>
        <w:spacing w:before="220" w:line="260" w:lineRule="exact"/>
        <w:jc w:val="both"/>
        <w:rPr>
          <w:sz w:val="22"/>
          <w:lang w:val="es-CR"/>
        </w:rPr>
      </w:pPr>
      <w:r>
        <w:rPr>
          <w:sz w:val="22"/>
          <w:lang w:val="es-CR"/>
        </w:rPr>
        <w:t>Instituto Nacional de las Mujeres (2002) (b). Programas Amor Joven y Construyendo Oportunidades 1998-2002. Programa Amor Joven, Programa Construyendo Oportunidades, INAMU, Primera Dama de la República. San José, Costa Rica.</w:t>
      </w:r>
    </w:p>
    <w:p w:rsidR="00000000" w:rsidRDefault="00000000">
      <w:pPr>
        <w:tabs>
          <w:tab w:val="left" w:pos="680"/>
        </w:tabs>
        <w:spacing w:before="220" w:line="260" w:lineRule="exact"/>
        <w:jc w:val="both"/>
        <w:rPr>
          <w:sz w:val="22"/>
          <w:lang w:val="es-CR"/>
        </w:rPr>
      </w:pPr>
      <w:r>
        <w:rPr>
          <w:sz w:val="22"/>
          <w:lang w:val="es-CR"/>
        </w:rPr>
        <w:t>Instituto Nacional de las Mujeres/Programa Nacional de Apoyo a la Micro y Pequeña empresa de Costa Rica/ PROMICRO-OIT (2000). La mujer microempresaria en Costa Rica: años 90. San José, Costa Rica.</w:t>
      </w:r>
    </w:p>
    <w:p w:rsidR="00000000" w:rsidRDefault="00000000">
      <w:pPr>
        <w:tabs>
          <w:tab w:val="left" w:pos="680"/>
        </w:tabs>
        <w:spacing w:before="220" w:line="260" w:lineRule="exact"/>
        <w:jc w:val="both"/>
        <w:rPr>
          <w:sz w:val="22"/>
          <w:lang w:val="es-CR"/>
        </w:rPr>
      </w:pPr>
      <w:r>
        <w:rPr>
          <w:sz w:val="22"/>
          <w:lang w:val="es-CR"/>
        </w:rPr>
        <w:t>Juzgado de Familia del Primer Circuito Judicial de Alajuela (1999). "Sentencia en Primera Instancia en Proceso de Declaratoria de Abandono Planteado por el Patronato Nacional de la Infancia de las 8 horas del 31 de agosto de 1999". Alajuela, Costa Rica.</w:t>
      </w:r>
    </w:p>
    <w:p w:rsidR="00000000" w:rsidRDefault="00000000">
      <w:pPr>
        <w:pStyle w:val="FR2"/>
        <w:tabs>
          <w:tab w:val="left" w:pos="680"/>
        </w:tabs>
        <w:spacing w:before="220" w:line="260" w:lineRule="exact"/>
        <w:jc w:val="both"/>
        <w:rPr>
          <w:rFonts w:ascii="Times New Roman" w:hAnsi="Times New Roman"/>
          <w:b w:val="0"/>
          <w:sz w:val="22"/>
          <w:lang w:val="es-CR"/>
        </w:rPr>
      </w:pPr>
      <w:r>
        <w:rPr>
          <w:rFonts w:ascii="Times New Roman" w:hAnsi="Times New Roman"/>
          <w:b w:val="0"/>
          <w:sz w:val="22"/>
          <w:lang w:val="es-CR"/>
        </w:rPr>
        <w:t>Kurian, Rachel (1996). "Las mujeres y el crecimiento económico sostenible" en Nuevos Enfoques Económicos. Contribuciones al debate sobre Género y Economía. San José, Costa Rica.</w:t>
      </w:r>
    </w:p>
    <w:p w:rsidR="00000000" w:rsidRDefault="00000000">
      <w:pPr>
        <w:tabs>
          <w:tab w:val="left" w:pos="680"/>
        </w:tabs>
        <w:spacing w:before="220" w:line="260" w:lineRule="exact"/>
        <w:jc w:val="both"/>
        <w:rPr>
          <w:sz w:val="22"/>
          <w:lang w:val="es-CR"/>
        </w:rPr>
      </w:pPr>
      <w:r>
        <w:rPr>
          <w:sz w:val="22"/>
          <w:lang w:val="es-CR"/>
        </w:rPr>
        <w:t>La Plataforma de Acción de la IV Conferencia Mundial de la Mujer: Una Mirada Desde la Diversidad en Costa Rica. UNIFEM-HIVOS. San José, Costa Rica.</w:t>
      </w:r>
    </w:p>
    <w:p w:rsidR="00000000" w:rsidRDefault="00000000">
      <w:pPr>
        <w:tabs>
          <w:tab w:val="left" w:pos="680"/>
        </w:tabs>
        <w:spacing w:before="220" w:line="260" w:lineRule="exact"/>
        <w:jc w:val="both"/>
        <w:rPr>
          <w:sz w:val="22"/>
          <w:lang w:val="es-CR"/>
        </w:rPr>
      </w:pPr>
      <w:r>
        <w:rPr>
          <w:sz w:val="22"/>
          <w:lang w:val="es-CR"/>
        </w:rPr>
        <w:t>Lagarde Marcela (1997). Género y feminismo. Desarrollo humano y democracia. Segunda edición, Editorial Horas y horas. Madrid, España.</w:t>
      </w:r>
    </w:p>
    <w:p w:rsidR="00000000" w:rsidRDefault="00000000">
      <w:pPr>
        <w:tabs>
          <w:tab w:val="left" w:pos="680"/>
        </w:tabs>
        <w:spacing w:before="220" w:line="260" w:lineRule="exact"/>
        <w:jc w:val="both"/>
        <w:rPr>
          <w:sz w:val="22"/>
          <w:lang w:val="es-CR"/>
        </w:rPr>
      </w:pPr>
      <w:r>
        <w:rPr>
          <w:sz w:val="22"/>
          <w:lang w:val="es-CR"/>
        </w:rPr>
        <w:t>Lagarde, Marcela (1996). "Identidad de Género y Derechos Humanos". Estudios Básicos de Derechos Humanos IV, IIDH, págs. 85 a 126. San José, Costa Rica.</w:t>
      </w:r>
    </w:p>
    <w:p w:rsidR="00000000" w:rsidRDefault="00000000">
      <w:pPr>
        <w:tabs>
          <w:tab w:val="left" w:pos="680"/>
        </w:tabs>
        <w:spacing w:before="220" w:line="260" w:lineRule="exact"/>
        <w:jc w:val="both"/>
        <w:rPr>
          <w:sz w:val="22"/>
          <w:lang w:val="es-CR"/>
        </w:rPr>
      </w:pPr>
      <w:r>
        <w:rPr>
          <w:sz w:val="22"/>
          <w:lang w:val="es-CR"/>
        </w:rPr>
        <w:t>Lagarde, Marcela (1994). Organización de Género y Poder. Conferencia poligrafiada. FUNDETEC/UNICEF. Género e Identidades. Servicios Editoriales. Quito, Ecuador.</w:t>
      </w:r>
    </w:p>
    <w:p w:rsidR="00000000" w:rsidRDefault="00000000">
      <w:pPr>
        <w:tabs>
          <w:tab w:val="left" w:pos="680"/>
        </w:tabs>
        <w:spacing w:before="220" w:line="260" w:lineRule="exact"/>
        <w:jc w:val="both"/>
        <w:rPr>
          <w:sz w:val="22"/>
          <w:lang w:val="es-CR"/>
        </w:rPr>
      </w:pPr>
      <w:r>
        <w:rPr>
          <w:sz w:val="22"/>
          <w:lang w:val="es-CR"/>
        </w:rPr>
        <w:t>Loria Bolaños, Rocío (2000). Complementariedad entre géneros u ocultamiento de la violencia: Relatos de mujeres ngábe de Conté Burica, Tesis para optar al grado de Licenciatura en Antropología, Escuela de Antropología y Sociología, Facultad de Ciencias Sociales, Universidad de Costa Rica. San José, Costa Rica.</w:t>
      </w:r>
    </w:p>
    <w:p w:rsidR="00000000" w:rsidRDefault="00000000">
      <w:pPr>
        <w:tabs>
          <w:tab w:val="left" w:pos="680"/>
        </w:tabs>
        <w:spacing w:before="220" w:line="260" w:lineRule="exact"/>
        <w:jc w:val="both"/>
        <w:rPr>
          <w:sz w:val="22"/>
          <w:lang w:val="es-CR"/>
        </w:rPr>
      </w:pPr>
      <w:r>
        <w:rPr>
          <w:sz w:val="22"/>
          <w:lang w:val="es-CR"/>
        </w:rPr>
        <w:t>Loria Bolaños, Rocío (2001). "Las mujeres Ngabe y su situación de vida", Artículo elaborado para el Capítulo Especial, VII Informe del Estado de la Nación sobre el Desarrollo Humano Sostenible 2000, San José, Costa Rica.</w:t>
      </w:r>
    </w:p>
    <w:p w:rsidR="00000000" w:rsidRDefault="00000000">
      <w:pPr>
        <w:tabs>
          <w:tab w:val="left" w:pos="680"/>
        </w:tabs>
        <w:spacing w:before="220" w:line="260" w:lineRule="exact"/>
        <w:jc w:val="both"/>
        <w:rPr>
          <w:sz w:val="22"/>
          <w:lang w:val="es-CR"/>
        </w:rPr>
      </w:pPr>
      <w:r>
        <w:rPr>
          <w:sz w:val="22"/>
          <w:lang w:val="es-CR"/>
        </w:rPr>
        <w:t>Martínez, Juliana (2002). Acceso de las mujeres a los beneficios de los seguros sociales en Costa Rica: situación actual y recomendaciones para mejorarla. Instituto Nacional de las Mujeres. San José, Costa Rica.</w:t>
      </w:r>
    </w:p>
    <w:p w:rsidR="00000000" w:rsidRDefault="00000000">
      <w:pPr>
        <w:pStyle w:val="BodyText2"/>
        <w:tabs>
          <w:tab w:val="left" w:pos="680"/>
        </w:tabs>
        <w:spacing w:before="220" w:line="260" w:lineRule="exact"/>
        <w:jc w:val="both"/>
        <w:rPr>
          <w:sz w:val="22"/>
          <w:lang w:val="es-CR"/>
        </w:rPr>
      </w:pPr>
      <w:r>
        <w:rPr>
          <w:sz w:val="22"/>
          <w:lang w:val="es-CR"/>
        </w:rPr>
        <w:t>Maxera, Rita (2000). "Investigación sobre acceso a la justicia en la República de Costa Rica". En Acceso a la Justicia y Equidad, BID/IIDH. San José, Costa Rica.</w:t>
      </w:r>
    </w:p>
    <w:p w:rsidR="00000000" w:rsidRDefault="00000000">
      <w:pPr>
        <w:tabs>
          <w:tab w:val="left" w:pos="680"/>
        </w:tabs>
        <w:spacing w:before="220" w:line="260" w:lineRule="exact"/>
        <w:jc w:val="both"/>
        <w:rPr>
          <w:sz w:val="22"/>
          <w:lang w:val="es-CR"/>
        </w:rPr>
      </w:pPr>
      <w:r>
        <w:rPr>
          <w:sz w:val="22"/>
          <w:lang w:val="es-CR"/>
        </w:rPr>
        <w:t>Medina, Cecilia (S. f.) "Hacia una manera más efectiva de garantizar que las mujeres gocen de sus Derechos Humanos en el Sistema Interamericano".</w:t>
      </w:r>
    </w:p>
    <w:p w:rsidR="00000000" w:rsidRDefault="00000000">
      <w:pPr>
        <w:tabs>
          <w:tab w:val="left" w:pos="680"/>
        </w:tabs>
        <w:spacing w:before="220" w:line="260" w:lineRule="exact"/>
        <w:jc w:val="both"/>
        <w:rPr>
          <w:sz w:val="22"/>
          <w:lang w:val="es-CR"/>
        </w:rPr>
      </w:pPr>
      <w:r>
        <w:rPr>
          <w:sz w:val="22"/>
          <w:lang w:val="es-CR"/>
        </w:rPr>
        <w:t>MIDEPLAN (1999). Mujeres jefas de hogar y tasas de jefatura femenina según condición d epobreza de los hogares y zona, período 1987-1998: http: //www.mideplan.go.cr/ s'des/ social/ 09-02.htm. 21 de octubre de 1999.</w:t>
      </w:r>
    </w:p>
    <w:p w:rsidR="00000000" w:rsidRDefault="00000000">
      <w:pPr>
        <w:tabs>
          <w:tab w:val="left" w:pos="680"/>
        </w:tabs>
        <w:spacing w:before="220" w:line="260" w:lineRule="exact"/>
        <w:jc w:val="both"/>
        <w:rPr>
          <w:sz w:val="22"/>
          <w:lang w:val="es-CR"/>
        </w:rPr>
      </w:pPr>
      <w:r>
        <w:rPr>
          <w:sz w:val="22"/>
          <w:lang w:val="es-CR"/>
        </w:rPr>
        <w:t>Ministerio de Planificación Nacional y Política Económica (2000) (a). Rindiendo Cuentas: Mujeres. Año 2, Número 11, Marzo. San José, Costa Rica.</w:t>
      </w:r>
    </w:p>
    <w:p w:rsidR="00000000" w:rsidRDefault="00000000">
      <w:pPr>
        <w:tabs>
          <w:tab w:val="left" w:pos="680"/>
        </w:tabs>
        <w:spacing w:before="220" w:line="260" w:lineRule="exact"/>
        <w:jc w:val="both"/>
        <w:rPr>
          <w:sz w:val="22"/>
          <w:lang w:val="es-CR"/>
        </w:rPr>
      </w:pPr>
      <w:r>
        <w:rPr>
          <w:sz w:val="22"/>
          <w:lang w:val="es-CR"/>
        </w:rPr>
        <w:t>Ministerio de Planificación Nacional y Política Económica (2000) (b). Rindiendo Cuentas: Trabajo y Calidad del Empleo. Año 2, Número 22, Setiembre. San José, Costa Rica.</w:t>
      </w:r>
    </w:p>
    <w:p w:rsidR="00000000" w:rsidRDefault="00000000">
      <w:pPr>
        <w:pStyle w:val="BodyText"/>
        <w:tabs>
          <w:tab w:val="left" w:pos="680"/>
        </w:tabs>
        <w:spacing w:before="220" w:line="260" w:lineRule="exact"/>
        <w:rPr>
          <w:sz w:val="22"/>
          <w:lang w:val="es-CR"/>
        </w:rPr>
      </w:pPr>
      <w:r>
        <w:rPr>
          <w:sz w:val="22"/>
          <w:lang w:val="es-CR"/>
        </w:rPr>
        <w:t>Ministerio de Salud (2000) (a). Plan Nacional de Salud 1999-2004. San José, Costa Rica.</w:t>
      </w:r>
    </w:p>
    <w:p w:rsidR="00000000" w:rsidRDefault="00000000">
      <w:pPr>
        <w:tabs>
          <w:tab w:val="left" w:pos="680"/>
        </w:tabs>
        <w:spacing w:before="220" w:line="260" w:lineRule="exact"/>
        <w:jc w:val="both"/>
        <w:rPr>
          <w:sz w:val="22"/>
          <w:lang w:val="es-CR"/>
        </w:rPr>
      </w:pPr>
      <w:r>
        <w:rPr>
          <w:sz w:val="22"/>
          <w:lang w:val="es-CR"/>
        </w:rPr>
        <w:t>Ministerio de Salud (2000) (b). Política Nacional de Salud 1998-2002. San José, Costa Rica.</w:t>
      </w:r>
    </w:p>
    <w:p w:rsidR="00000000" w:rsidRDefault="00000000">
      <w:pPr>
        <w:tabs>
          <w:tab w:val="left" w:pos="680"/>
        </w:tabs>
        <w:spacing w:before="220" w:line="260" w:lineRule="exact"/>
        <w:jc w:val="both"/>
        <w:rPr>
          <w:sz w:val="22"/>
          <w:lang w:val="es-CR"/>
        </w:rPr>
      </w:pPr>
      <w:r>
        <w:rPr>
          <w:sz w:val="22"/>
          <w:lang w:val="es-CR"/>
        </w:rPr>
        <w:t>Ministerio de Salud (2001) Memoria Anual 2000. San José, Costa Rica.</w:t>
      </w:r>
    </w:p>
    <w:p w:rsidR="00000000" w:rsidRDefault="00000000">
      <w:pPr>
        <w:tabs>
          <w:tab w:val="left" w:pos="680"/>
        </w:tabs>
        <w:spacing w:before="220" w:line="260" w:lineRule="exact"/>
        <w:jc w:val="both"/>
        <w:rPr>
          <w:sz w:val="22"/>
          <w:lang w:val="es-CR"/>
        </w:rPr>
      </w:pPr>
      <w:r>
        <w:rPr>
          <w:sz w:val="22"/>
          <w:lang w:val="es-CR"/>
        </w:rPr>
        <w:t>Ministerio de Salud/Caja Costarricense de Seguro Social (2000). Normas de Atención en salud a las personas afectadas por la violencia intrafamiliar. San José, Costa Rica.</w:t>
      </w:r>
    </w:p>
    <w:p w:rsidR="00000000" w:rsidRDefault="00000000">
      <w:pPr>
        <w:tabs>
          <w:tab w:val="left" w:pos="680"/>
        </w:tabs>
        <w:spacing w:before="220" w:line="260" w:lineRule="exact"/>
        <w:jc w:val="both"/>
        <w:rPr>
          <w:spacing w:val="-2"/>
          <w:sz w:val="22"/>
          <w:lang w:val="es-CR"/>
        </w:rPr>
      </w:pPr>
      <w:r>
        <w:rPr>
          <w:spacing w:val="-2"/>
          <w:sz w:val="22"/>
          <w:lang w:val="es-CR"/>
        </w:rPr>
        <w:t>Ministerio de Trabajo y Seguridad Social (2000). Estadísticas de la Dirección Nacional de Inspección de Trabajo. Unidad de Asesoría para la Investigación y la Calidad de la Gestión. San José, Costa Rica.</w:t>
      </w:r>
    </w:p>
    <w:p w:rsidR="00000000" w:rsidRDefault="00000000">
      <w:pPr>
        <w:tabs>
          <w:tab w:val="left" w:pos="680"/>
        </w:tabs>
        <w:spacing w:before="220" w:line="260" w:lineRule="exact"/>
        <w:jc w:val="both"/>
        <w:rPr>
          <w:sz w:val="22"/>
          <w:lang w:val="es-CR"/>
        </w:rPr>
      </w:pPr>
      <w:r>
        <w:rPr>
          <w:sz w:val="22"/>
          <w:lang w:val="es-CR"/>
        </w:rPr>
        <w:t>Miranda, Guido y Del Valle, Luis (2002). Violencia en Costa Rica: visión desde la salud pública. Proyecto Estado de la Nación 2000. (Serie Aportes para el Análisis del Desarrollo Humano Sostenible No 6, San José, Costa Rica.</w:t>
      </w:r>
    </w:p>
    <w:p w:rsidR="00000000" w:rsidRDefault="00000000">
      <w:pPr>
        <w:tabs>
          <w:tab w:val="left" w:pos="680"/>
        </w:tabs>
        <w:spacing w:before="220" w:line="260" w:lineRule="exact"/>
        <w:jc w:val="both"/>
        <w:rPr>
          <w:sz w:val="22"/>
          <w:lang w:val="es-CR"/>
        </w:rPr>
      </w:pPr>
      <w:r>
        <w:rPr>
          <w:sz w:val="22"/>
          <w:lang w:val="es-CR"/>
        </w:rPr>
        <w:t>Mora, Alejandra (2001). "Un acercamiento género sensitivo al fenómeno jurídico", Artículo elaborado para el Capítulo Especial, VII Informe del Estado de la Nación sobre el Desarrollo Humano Sostenible 2000. San José, Costa Rica.</w:t>
      </w:r>
    </w:p>
    <w:p w:rsidR="00000000" w:rsidRDefault="00000000">
      <w:pPr>
        <w:tabs>
          <w:tab w:val="left" w:pos="680"/>
        </w:tabs>
        <w:spacing w:before="240" w:line="260" w:lineRule="exact"/>
        <w:jc w:val="both"/>
        <w:rPr>
          <w:sz w:val="22"/>
          <w:lang w:val="es-CR"/>
        </w:rPr>
      </w:pPr>
      <w:r>
        <w:rPr>
          <w:sz w:val="22"/>
          <w:lang w:val="es-CR"/>
        </w:rPr>
        <w:t>Morales, Lourdes y Dávila, Ana Lorena (2000). "Pago de Servicios Ambientales", FONAFIFO, MINAE, San José, Costa Rica.</w:t>
      </w:r>
    </w:p>
    <w:p w:rsidR="00000000" w:rsidRDefault="00000000">
      <w:pPr>
        <w:tabs>
          <w:tab w:val="left" w:pos="680"/>
        </w:tabs>
        <w:spacing w:before="210" w:line="260" w:lineRule="exact"/>
        <w:jc w:val="both"/>
        <w:rPr>
          <w:sz w:val="22"/>
          <w:lang w:val="es-CR"/>
        </w:rPr>
      </w:pPr>
      <w:r>
        <w:rPr>
          <w:sz w:val="22"/>
          <w:lang w:val="es-CR"/>
        </w:rPr>
        <w:t>Morice, Ana y Solís Marlen (1998). Situación de las enfermedades crónicas no transmisibles en Costa Rica. Cartago, Costa Rica: INCIENSA.</w:t>
      </w:r>
    </w:p>
    <w:p w:rsidR="00000000" w:rsidRDefault="00000000">
      <w:pPr>
        <w:tabs>
          <w:tab w:val="left" w:pos="680"/>
        </w:tabs>
        <w:spacing w:before="210" w:line="260" w:lineRule="exact"/>
        <w:jc w:val="both"/>
        <w:rPr>
          <w:sz w:val="22"/>
          <w:lang w:val="es-CR"/>
        </w:rPr>
      </w:pPr>
      <w:r>
        <w:rPr>
          <w:sz w:val="22"/>
          <w:lang w:val="es-CR"/>
        </w:rPr>
        <w:t>Naciones Unidas/Asamblea General (1994). Convención sobre la eliminación de todas las formas de discriminación contra la mujer. Asamblea General, Centro Nacional para el Desarrollo de la Mujer y la Familia. San José, Costa Rica.</w:t>
      </w:r>
    </w:p>
    <w:p w:rsidR="00000000" w:rsidRDefault="00000000">
      <w:pPr>
        <w:tabs>
          <w:tab w:val="left" w:pos="680"/>
        </w:tabs>
        <w:spacing w:before="210" w:line="260" w:lineRule="exact"/>
        <w:jc w:val="both"/>
        <w:rPr>
          <w:sz w:val="22"/>
          <w:lang w:val="es-CR"/>
        </w:rPr>
      </w:pPr>
      <w:r>
        <w:rPr>
          <w:sz w:val="22"/>
          <w:lang w:val="es-CR"/>
        </w:rPr>
        <w:t>Oficina de la Primera Dama (2002). Informe de los programas ejecutados durante 1998-2002. Sin publicar.</w:t>
      </w:r>
    </w:p>
    <w:p w:rsidR="00000000" w:rsidRDefault="00000000">
      <w:pPr>
        <w:tabs>
          <w:tab w:val="left" w:pos="680"/>
        </w:tabs>
        <w:spacing w:before="210" w:line="260" w:lineRule="exact"/>
        <w:jc w:val="both"/>
        <w:rPr>
          <w:sz w:val="22"/>
          <w:lang w:val="es-CR"/>
        </w:rPr>
      </w:pPr>
      <w:r>
        <w:rPr>
          <w:sz w:val="22"/>
          <w:lang w:val="es-CR"/>
        </w:rPr>
        <w:t>Organismo Internacional del Trabajo (2000). Equidad de Género en el Mundo del Trabajo en América latina y El Caribe. Avances y Desafíos 5 Años después de Beijing. Oficina Regional para América Latina y El Caribe. Lima, Perú.</w:t>
      </w:r>
    </w:p>
    <w:p w:rsidR="00000000" w:rsidRDefault="00000000">
      <w:pPr>
        <w:tabs>
          <w:tab w:val="left" w:pos="680"/>
        </w:tabs>
        <w:spacing w:before="210" w:line="260" w:lineRule="exact"/>
        <w:jc w:val="both"/>
        <w:rPr>
          <w:sz w:val="22"/>
          <w:lang w:val="es-CR"/>
        </w:rPr>
      </w:pPr>
      <w:r>
        <w:rPr>
          <w:sz w:val="22"/>
          <w:lang w:val="es-CR"/>
        </w:rPr>
        <w:t>Palma Campos, Claudia (2001) (a). Concepciones de Salud en un grupo de mujeres con dos enfermedades crónicas, Diabetes e Hipertensión, y la relación con su autocuidado a partir de la construcción de la identidad femenina. Tesis para optar al grado de Licenciada en Antropología Social, Escuela de Antropología y sociología, Facultad de Ciencias Sociales, Universidad de Costa Rica. San José, Costa Rica.</w:t>
      </w:r>
    </w:p>
    <w:p w:rsidR="00000000" w:rsidRDefault="00000000">
      <w:pPr>
        <w:tabs>
          <w:tab w:val="left" w:pos="680"/>
        </w:tabs>
        <w:spacing w:before="210" w:line="260" w:lineRule="exact"/>
        <w:jc w:val="both"/>
        <w:rPr>
          <w:sz w:val="22"/>
          <w:lang w:val="es-CR"/>
        </w:rPr>
      </w:pPr>
      <w:r>
        <w:rPr>
          <w:sz w:val="22"/>
          <w:lang w:val="es-CR"/>
        </w:rPr>
        <w:t>Palma, Claudia (2001) (b). "La salud de las Mujeres en Costa Rica: algunos datos y algo más". Artículo elaborado para el Capítulo Especial, VII Informe del Estado de la Nación sobre el Desarrollo Humano Sostenible 2000. San José, Costa Rica.</w:t>
      </w:r>
    </w:p>
    <w:p w:rsidR="00000000" w:rsidRDefault="00000000">
      <w:pPr>
        <w:tabs>
          <w:tab w:val="left" w:pos="680"/>
        </w:tabs>
        <w:spacing w:before="210" w:line="260" w:lineRule="exact"/>
        <w:jc w:val="both"/>
        <w:rPr>
          <w:sz w:val="22"/>
          <w:lang w:val="es-CR"/>
        </w:rPr>
      </w:pPr>
      <w:r>
        <w:rPr>
          <w:sz w:val="22"/>
          <w:lang w:val="es-CR"/>
        </w:rPr>
        <w:t>Piedra, Evelyn (2001). El Programa "Creciendo Juntas": Un Balance desde el INMAU. INAMU. Área de Ciudadanía Activa, Liderazgo y Gestión Local. San José, Costa Rica.</w:t>
      </w:r>
    </w:p>
    <w:p w:rsidR="00000000" w:rsidRDefault="00000000">
      <w:pPr>
        <w:pStyle w:val="BodyText"/>
        <w:tabs>
          <w:tab w:val="left" w:pos="680"/>
        </w:tabs>
        <w:spacing w:before="210" w:line="260" w:lineRule="exact"/>
        <w:rPr>
          <w:sz w:val="22"/>
          <w:lang w:val="es-CR"/>
        </w:rPr>
      </w:pPr>
      <w:r>
        <w:rPr>
          <w:sz w:val="22"/>
          <w:lang w:val="es-CR"/>
        </w:rPr>
        <w:t xml:space="preserve">Poder Judicial (1991). Anuario de Estadísticas Judiciales. San José, Costa Rica. </w:t>
      </w:r>
    </w:p>
    <w:p w:rsidR="00000000" w:rsidRDefault="00000000">
      <w:pPr>
        <w:pStyle w:val="BodyText"/>
        <w:tabs>
          <w:tab w:val="left" w:pos="680"/>
        </w:tabs>
        <w:spacing w:before="210" w:line="260" w:lineRule="exact"/>
        <w:rPr>
          <w:sz w:val="22"/>
          <w:lang w:val="es-CR"/>
        </w:rPr>
      </w:pPr>
      <w:r>
        <w:rPr>
          <w:sz w:val="22"/>
          <w:lang w:val="es-CR"/>
        </w:rPr>
        <w:t xml:space="preserve">Poder Judicial (1992). Anuario de Estadísticas Judiciales. San José, Costa Rica. </w:t>
      </w:r>
    </w:p>
    <w:p w:rsidR="00000000" w:rsidRDefault="00000000">
      <w:pPr>
        <w:pStyle w:val="BodyText"/>
        <w:tabs>
          <w:tab w:val="left" w:pos="680"/>
        </w:tabs>
        <w:spacing w:before="210" w:line="260" w:lineRule="exact"/>
        <w:rPr>
          <w:sz w:val="22"/>
          <w:lang w:val="es-CR"/>
        </w:rPr>
      </w:pPr>
      <w:r>
        <w:rPr>
          <w:sz w:val="22"/>
          <w:lang w:val="es-CR"/>
        </w:rPr>
        <w:t xml:space="preserve">Poder Judicial (1993). Anuario de Estadísticas Judiciales. San José, Costa Rica. </w:t>
      </w:r>
    </w:p>
    <w:p w:rsidR="00000000" w:rsidRDefault="00000000">
      <w:pPr>
        <w:pStyle w:val="BodyText"/>
        <w:tabs>
          <w:tab w:val="left" w:pos="680"/>
        </w:tabs>
        <w:spacing w:before="210" w:line="260" w:lineRule="exact"/>
        <w:rPr>
          <w:sz w:val="22"/>
          <w:lang w:val="es-CR"/>
        </w:rPr>
      </w:pPr>
      <w:r>
        <w:rPr>
          <w:sz w:val="22"/>
          <w:lang w:val="es-CR"/>
        </w:rPr>
        <w:t xml:space="preserve">Poder Judicial (1994). Anuario de Estadísticas Judiciales. San José, Costa Rica. </w:t>
      </w:r>
    </w:p>
    <w:p w:rsidR="00000000" w:rsidRDefault="00000000">
      <w:pPr>
        <w:pStyle w:val="BodyText"/>
        <w:tabs>
          <w:tab w:val="left" w:pos="680"/>
        </w:tabs>
        <w:spacing w:before="210" w:line="260" w:lineRule="exact"/>
        <w:rPr>
          <w:sz w:val="22"/>
          <w:lang w:val="es-CR"/>
        </w:rPr>
      </w:pPr>
      <w:r>
        <w:rPr>
          <w:sz w:val="22"/>
          <w:lang w:val="es-CR"/>
        </w:rPr>
        <w:t>Poder Judicial (1995). Anuario de Estadísticas Judiciales. San José, Costa Rica.</w:t>
      </w:r>
    </w:p>
    <w:p w:rsidR="00000000" w:rsidRDefault="00000000">
      <w:pPr>
        <w:pStyle w:val="BodyText"/>
        <w:tabs>
          <w:tab w:val="left" w:pos="680"/>
        </w:tabs>
        <w:spacing w:before="210" w:line="260" w:lineRule="exact"/>
        <w:rPr>
          <w:sz w:val="22"/>
          <w:lang w:val="es-CR"/>
        </w:rPr>
      </w:pPr>
      <w:r>
        <w:rPr>
          <w:sz w:val="22"/>
          <w:lang w:val="es-CR"/>
        </w:rPr>
        <w:t xml:space="preserve">Poder Judicial (1996). Anuario de Estadísticas Judiciales. San José, Costa Rica. </w:t>
      </w:r>
    </w:p>
    <w:p w:rsidR="00000000" w:rsidRDefault="00000000">
      <w:pPr>
        <w:pStyle w:val="BodyText"/>
        <w:tabs>
          <w:tab w:val="left" w:pos="680"/>
        </w:tabs>
        <w:spacing w:before="210" w:line="260" w:lineRule="exact"/>
        <w:rPr>
          <w:sz w:val="22"/>
          <w:lang w:val="es-CR"/>
        </w:rPr>
      </w:pPr>
      <w:r>
        <w:rPr>
          <w:sz w:val="22"/>
          <w:lang w:val="es-CR"/>
        </w:rPr>
        <w:t xml:space="preserve">Poder Judicial (1997). Anuario de Estadísticas Judiciales. San José, Costa Rica. </w:t>
      </w:r>
    </w:p>
    <w:p w:rsidR="00000000" w:rsidRDefault="00000000">
      <w:pPr>
        <w:pStyle w:val="BodyText"/>
        <w:tabs>
          <w:tab w:val="left" w:pos="680"/>
        </w:tabs>
        <w:spacing w:before="210" w:line="260" w:lineRule="exact"/>
        <w:rPr>
          <w:sz w:val="22"/>
          <w:lang w:val="es-CR"/>
        </w:rPr>
      </w:pPr>
      <w:r>
        <w:rPr>
          <w:sz w:val="22"/>
          <w:lang w:val="es-CR"/>
        </w:rPr>
        <w:t>Poder Judicial (1998). Anuario de Estadísticas Judiciales. San José, Costa Rica.</w:t>
      </w:r>
    </w:p>
    <w:p w:rsidR="00000000" w:rsidRDefault="00000000">
      <w:pPr>
        <w:pStyle w:val="BodyText"/>
        <w:tabs>
          <w:tab w:val="left" w:pos="680"/>
        </w:tabs>
        <w:spacing w:before="210" w:line="260" w:lineRule="exact"/>
        <w:rPr>
          <w:sz w:val="22"/>
          <w:lang w:val="es-CR"/>
        </w:rPr>
      </w:pPr>
      <w:r>
        <w:rPr>
          <w:sz w:val="22"/>
          <w:lang w:val="es-CR"/>
        </w:rPr>
        <w:t>Poder Judicial (1999) (a). Anuario de Estadísticas Judiciales. San José, Costa Rica.</w:t>
      </w:r>
    </w:p>
    <w:p w:rsidR="00000000" w:rsidRDefault="00000000">
      <w:pPr>
        <w:pStyle w:val="BodyText"/>
        <w:tabs>
          <w:tab w:val="left" w:pos="680"/>
        </w:tabs>
        <w:spacing w:before="210" w:line="260" w:lineRule="exact"/>
        <w:rPr>
          <w:sz w:val="22"/>
          <w:lang w:val="es-CR"/>
        </w:rPr>
      </w:pPr>
      <w:r>
        <w:rPr>
          <w:sz w:val="22"/>
          <w:lang w:val="es-CR"/>
        </w:rPr>
        <w:t>Poder Judicial (1999) (b). Análisis Estadístico Sobre las denuncias Presentadas por Violencia Doméstica en Oficinas Judiciales. Inédito. San José, Costa Rica.</w:t>
      </w:r>
    </w:p>
    <w:p w:rsidR="00000000" w:rsidRDefault="00000000">
      <w:pPr>
        <w:tabs>
          <w:tab w:val="left" w:pos="680"/>
        </w:tabs>
        <w:spacing w:before="210" w:line="260" w:lineRule="exact"/>
        <w:jc w:val="both"/>
        <w:rPr>
          <w:sz w:val="22"/>
          <w:lang w:val="es-CR"/>
        </w:rPr>
      </w:pPr>
      <w:r>
        <w:rPr>
          <w:sz w:val="22"/>
          <w:lang w:val="es-CR"/>
        </w:rPr>
        <w:t>Poder Judicial (1999) (c). "Circular No 60-99." Boletín Judicial. San José, Costa Rica.</w:t>
      </w:r>
    </w:p>
    <w:p w:rsidR="00000000" w:rsidRDefault="00000000">
      <w:pPr>
        <w:tabs>
          <w:tab w:val="left" w:pos="680"/>
        </w:tabs>
        <w:spacing w:before="220" w:line="260" w:lineRule="exact"/>
        <w:jc w:val="both"/>
        <w:rPr>
          <w:sz w:val="22"/>
          <w:lang w:val="es-CR"/>
        </w:rPr>
      </w:pPr>
      <w:r>
        <w:rPr>
          <w:sz w:val="22"/>
          <w:lang w:val="es-CR"/>
        </w:rPr>
        <w:t>Poder Judicial (2000). "Duración de la Medida Cautelar en Violencia Doméstica". Jurisprudencia, No 27. San José, Costa Rica.</w:t>
      </w:r>
    </w:p>
    <w:p w:rsidR="00000000" w:rsidRDefault="00000000">
      <w:pPr>
        <w:tabs>
          <w:tab w:val="left" w:pos="680"/>
        </w:tabs>
        <w:spacing w:before="240" w:line="260" w:lineRule="exact"/>
        <w:jc w:val="both"/>
        <w:rPr>
          <w:sz w:val="22"/>
          <w:lang w:val="es-CR"/>
        </w:rPr>
      </w:pPr>
      <w:r>
        <w:rPr>
          <w:sz w:val="22"/>
          <w:lang w:val="es-CR"/>
        </w:rPr>
        <w:t>Poder Judicial (2001). Casos Penales Entrados en las Oficinas Judiciales (1990-2000). Sección de Estadísticas del Poder Judicial. San José, Costa Rica.</w:t>
      </w:r>
    </w:p>
    <w:p w:rsidR="00000000" w:rsidRDefault="00000000">
      <w:pPr>
        <w:tabs>
          <w:tab w:val="left" w:pos="680"/>
        </w:tabs>
        <w:spacing w:before="240" w:line="260" w:lineRule="exact"/>
        <w:jc w:val="both"/>
        <w:rPr>
          <w:sz w:val="22"/>
          <w:lang w:val="es-CR"/>
        </w:rPr>
      </w:pPr>
      <w:r>
        <w:rPr>
          <w:sz w:val="22"/>
          <w:lang w:val="es-CR"/>
        </w:rPr>
        <w:t>Poder Judicial (S. f.) (a). Manual de Procedimientos en Violencia Doméstica. San José, Costa Rica.</w:t>
      </w:r>
    </w:p>
    <w:p w:rsidR="00000000" w:rsidRDefault="00000000">
      <w:pPr>
        <w:pStyle w:val="FR1"/>
        <w:tabs>
          <w:tab w:val="left" w:pos="680"/>
        </w:tabs>
        <w:spacing w:before="240" w:line="260" w:lineRule="exact"/>
        <w:ind w:left="0"/>
        <w:jc w:val="both"/>
        <w:rPr>
          <w:b w:val="0"/>
          <w:lang w:val="es-CR"/>
        </w:rPr>
      </w:pPr>
      <w:r>
        <w:rPr>
          <w:b w:val="0"/>
          <w:lang w:val="es-CR"/>
        </w:rPr>
        <w:t>Poder Judicial (S. f.) (b). Ley Contra la Violencia Doméstica Anotada y Concordada. San José, Costa Rica.</w:t>
      </w:r>
    </w:p>
    <w:p w:rsidR="00000000" w:rsidRDefault="00000000">
      <w:pPr>
        <w:tabs>
          <w:tab w:val="left" w:pos="680"/>
        </w:tabs>
        <w:spacing w:before="240" w:line="260" w:lineRule="exact"/>
        <w:jc w:val="both"/>
        <w:rPr>
          <w:sz w:val="22"/>
          <w:lang w:val="es-CR"/>
        </w:rPr>
      </w:pPr>
      <w:r>
        <w:rPr>
          <w:sz w:val="22"/>
          <w:lang w:val="es-CR"/>
        </w:rPr>
        <w:t>Portafolio de Estudio del Curso Los Derechos Humanos de las Mujeres: Fortaleciendo su promoción y protección internacional, IlDH. San José, Costa Rica.</w:t>
      </w:r>
    </w:p>
    <w:p w:rsidR="00000000" w:rsidRDefault="00000000">
      <w:pPr>
        <w:pStyle w:val="BodyText"/>
        <w:tabs>
          <w:tab w:val="left" w:pos="680"/>
        </w:tabs>
        <w:spacing w:before="240" w:line="260" w:lineRule="exact"/>
        <w:rPr>
          <w:sz w:val="22"/>
          <w:lang w:val="es-CR"/>
        </w:rPr>
      </w:pPr>
      <w:r>
        <w:rPr>
          <w:sz w:val="22"/>
          <w:lang w:val="es-CR"/>
        </w:rPr>
        <w:t>Poveda, Alejandra (2000). Manifestaciones de Violencia en las Mujeres con Discapacidad. Inédito. San José, Costa Rica.</w:t>
      </w:r>
    </w:p>
    <w:p w:rsidR="00000000" w:rsidRDefault="00000000">
      <w:pPr>
        <w:tabs>
          <w:tab w:val="left" w:pos="680"/>
        </w:tabs>
        <w:spacing w:before="240" w:line="260" w:lineRule="exact"/>
        <w:jc w:val="both"/>
        <w:rPr>
          <w:sz w:val="22"/>
          <w:lang w:val="es-CR"/>
        </w:rPr>
      </w:pPr>
      <w:r>
        <w:rPr>
          <w:sz w:val="22"/>
          <w:lang w:val="es-CR"/>
        </w:rPr>
        <w:t>Preinfalk Fernández, María Luisa (1998). Vivencias y prácticas sexuales de las mujeres jóvenes: El caso de rincón Grande de Pavas. Tesis de Maestría en Estudios de la Mujer. San José, Costa Rica: Universidad Nacional y Universidad de Costa Rica.</w:t>
      </w:r>
    </w:p>
    <w:p w:rsidR="00000000" w:rsidRDefault="00000000">
      <w:pPr>
        <w:tabs>
          <w:tab w:val="left" w:pos="680"/>
        </w:tabs>
        <w:spacing w:before="240" w:line="260" w:lineRule="exact"/>
        <w:jc w:val="both"/>
        <w:rPr>
          <w:sz w:val="22"/>
          <w:lang w:val="es-CR"/>
        </w:rPr>
      </w:pPr>
      <w:r>
        <w:rPr>
          <w:sz w:val="22"/>
          <w:lang w:val="es-CR"/>
        </w:rPr>
        <w:t>Programa Regional La Corriente (PRC) (1999). Movimiento de Mujeres en Centroamérica. Managua, Nicaragua.</w:t>
      </w:r>
    </w:p>
    <w:p w:rsidR="00000000" w:rsidRDefault="00000000">
      <w:pPr>
        <w:tabs>
          <w:tab w:val="left" w:pos="680"/>
        </w:tabs>
        <w:spacing w:before="240" w:line="260" w:lineRule="exact"/>
        <w:jc w:val="both"/>
        <w:rPr>
          <w:sz w:val="22"/>
          <w:lang w:val="es-CR"/>
        </w:rPr>
      </w:pPr>
      <w:r>
        <w:rPr>
          <w:sz w:val="22"/>
          <w:lang w:val="es-CR"/>
        </w:rPr>
        <w:t>PRONAMYPE y PROMICRO/OIT (S.f.) "La microempresa en los noventa en Costa Rica". San José, Costa Rica.</w:t>
      </w:r>
    </w:p>
    <w:p w:rsidR="00000000" w:rsidRDefault="00000000">
      <w:pPr>
        <w:tabs>
          <w:tab w:val="left" w:pos="680"/>
        </w:tabs>
        <w:spacing w:before="240" w:line="260" w:lineRule="exact"/>
        <w:jc w:val="both"/>
        <w:rPr>
          <w:sz w:val="22"/>
          <w:lang w:val="es-CR"/>
        </w:rPr>
      </w:pPr>
      <w:r>
        <w:rPr>
          <w:sz w:val="22"/>
          <w:lang w:val="es-CR"/>
        </w:rPr>
        <w:t>Proyecto Estado de la Nación (1997). III Informe Estado de la Nación en Desarrollo Humano Sostenible (1996). San José, Costa Rica.</w:t>
      </w:r>
    </w:p>
    <w:p w:rsidR="00000000" w:rsidRDefault="00000000">
      <w:pPr>
        <w:tabs>
          <w:tab w:val="left" w:pos="680"/>
        </w:tabs>
        <w:spacing w:before="240" w:line="260" w:lineRule="exact"/>
        <w:jc w:val="both"/>
        <w:rPr>
          <w:sz w:val="22"/>
          <w:lang w:val="es-CR"/>
        </w:rPr>
      </w:pPr>
      <w:r>
        <w:rPr>
          <w:sz w:val="22"/>
          <w:lang w:val="es-CR"/>
        </w:rPr>
        <w:t>Proyecto Estado de la Nación (1999). V Informe Estado de la Nación en Desarrollo Humano Sostenible (1998). San José, Costa Rica.</w:t>
      </w:r>
    </w:p>
    <w:p w:rsidR="00000000" w:rsidRDefault="00000000">
      <w:pPr>
        <w:tabs>
          <w:tab w:val="left" w:pos="680"/>
        </w:tabs>
        <w:spacing w:before="240" w:line="260" w:lineRule="exact"/>
        <w:jc w:val="both"/>
        <w:rPr>
          <w:sz w:val="22"/>
          <w:lang w:val="es-CR"/>
        </w:rPr>
      </w:pPr>
      <w:r>
        <w:rPr>
          <w:sz w:val="22"/>
          <w:lang w:val="es-CR"/>
        </w:rPr>
        <w:t>Proyecto Estado de la Nación (2000). V Informe Estado de la Nación en Desarrollo Humano Sostenible (1999). San José, Costa Rica.</w:t>
      </w:r>
    </w:p>
    <w:p w:rsidR="00000000" w:rsidRDefault="00000000">
      <w:pPr>
        <w:tabs>
          <w:tab w:val="left" w:pos="680"/>
        </w:tabs>
        <w:spacing w:before="240" w:line="260" w:lineRule="exact"/>
        <w:jc w:val="both"/>
        <w:rPr>
          <w:sz w:val="22"/>
          <w:lang w:val="es-CR"/>
        </w:rPr>
      </w:pPr>
      <w:r>
        <w:rPr>
          <w:sz w:val="22"/>
          <w:lang w:val="es-CR"/>
        </w:rPr>
        <w:t>Proyecto Estado de la Nación (2001). Estado de la Nación en Desarrollo Humano Sostenible: resumen del sétimo informe 2000. Proyecto Estado de la Nación. San José, Costa Rica.</w:t>
      </w:r>
    </w:p>
    <w:p w:rsidR="00000000" w:rsidRDefault="00000000">
      <w:pPr>
        <w:tabs>
          <w:tab w:val="left" w:pos="680"/>
        </w:tabs>
        <w:spacing w:before="240" w:line="260" w:lineRule="exact"/>
        <w:jc w:val="both"/>
        <w:rPr>
          <w:sz w:val="22"/>
          <w:lang w:val="es-CR"/>
        </w:rPr>
      </w:pPr>
      <w:r>
        <w:rPr>
          <w:sz w:val="22"/>
          <w:lang w:val="es-CR"/>
        </w:rPr>
        <w:t>Proyecto Estado de la Nación (2001). Vil Informe Estado de la Nación en Desarrollo Humano Sostenible (2000). San José, Costa Rica.</w:t>
      </w:r>
    </w:p>
    <w:p w:rsidR="00000000" w:rsidRDefault="00000000">
      <w:pPr>
        <w:pStyle w:val="FR2"/>
        <w:tabs>
          <w:tab w:val="left" w:pos="680"/>
        </w:tabs>
        <w:spacing w:before="240" w:line="260" w:lineRule="exact"/>
        <w:jc w:val="both"/>
        <w:rPr>
          <w:rFonts w:ascii="Times New Roman" w:hAnsi="Times New Roman"/>
          <w:b w:val="0"/>
          <w:sz w:val="22"/>
          <w:lang w:val="es-CR"/>
        </w:rPr>
      </w:pPr>
      <w:r>
        <w:rPr>
          <w:rFonts w:ascii="Times New Roman" w:hAnsi="Times New Roman"/>
          <w:b w:val="0"/>
          <w:sz w:val="22"/>
          <w:lang w:val="es-CR"/>
        </w:rPr>
        <w:t>Proyecto La Sala (2000). Situación Actual de las Trabajadoras del Sexo en Costa Rica. En el marco del Proceso Beijing + 5. En: FIRE - UNIFEM - HIVOS. La Plataforma de Acción de la IV Conferencia Mundial de la Mujer: una mirada desde la diversidad en Costa Rica 1999-2000, Iniciativa Raíces de la Diversidad, San José, Costa Rica.</w:t>
      </w:r>
    </w:p>
    <w:p w:rsidR="00000000" w:rsidRDefault="00000000">
      <w:pPr>
        <w:tabs>
          <w:tab w:val="left" w:pos="680"/>
        </w:tabs>
        <w:spacing w:before="240" w:line="260" w:lineRule="exact"/>
        <w:jc w:val="both"/>
        <w:rPr>
          <w:sz w:val="22"/>
          <w:lang w:val="es-CR"/>
        </w:rPr>
      </w:pPr>
      <w:r>
        <w:rPr>
          <w:sz w:val="22"/>
          <w:lang w:val="es-CR"/>
        </w:rPr>
        <w:t>Quirós, Edda (2000). La salud de las mujeres, un derecho humano. Algunos indicadores de la situación y acciones realizadas en Costa Rica. Inédito. San José, Costa Rica.</w:t>
      </w:r>
    </w:p>
    <w:p w:rsidR="00000000" w:rsidRDefault="00000000">
      <w:pPr>
        <w:tabs>
          <w:tab w:val="left" w:pos="680"/>
        </w:tabs>
        <w:spacing w:before="240" w:line="260" w:lineRule="exact"/>
        <w:jc w:val="both"/>
        <w:rPr>
          <w:sz w:val="22"/>
          <w:lang w:val="es-CR"/>
        </w:rPr>
      </w:pPr>
      <w:r>
        <w:rPr>
          <w:sz w:val="22"/>
          <w:lang w:val="es-CR"/>
        </w:rPr>
        <w:t>Ramellini, Teresita (2000). La Situación de la Violencia de Género Contra las Mujeres en Costa Rica. PNUD. San José, Costa Rica.</w:t>
      </w:r>
    </w:p>
    <w:p w:rsidR="00000000" w:rsidRDefault="00000000">
      <w:pPr>
        <w:pStyle w:val="BodyText2"/>
        <w:tabs>
          <w:tab w:val="left" w:pos="680"/>
        </w:tabs>
        <w:spacing w:before="240" w:line="260" w:lineRule="exact"/>
        <w:jc w:val="both"/>
        <w:rPr>
          <w:sz w:val="22"/>
          <w:lang w:val="es-CR"/>
        </w:rPr>
      </w:pPr>
      <w:r>
        <w:rPr>
          <w:sz w:val="22"/>
          <w:lang w:val="es-CR"/>
        </w:rPr>
        <w:t>Ramos, Pilar (2001). "Revisión para Costa Rica. Propuesta de indicadores de la CEPAL para el seguimiento de la Plataforma de Acción de Beijing". Informe Final de la Consultoría, INAMU-PROYECTO ESTADO DE LA NACIÓN-PNUD. San José, Costa Rica.</w:t>
      </w:r>
    </w:p>
    <w:p w:rsidR="00000000" w:rsidRDefault="00000000">
      <w:pPr>
        <w:pStyle w:val="FR2"/>
        <w:tabs>
          <w:tab w:val="left" w:pos="680"/>
        </w:tabs>
        <w:spacing w:before="240" w:line="260" w:lineRule="exact"/>
        <w:jc w:val="both"/>
        <w:rPr>
          <w:rFonts w:ascii="Times New Roman" w:hAnsi="Times New Roman"/>
          <w:b w:val="0"/>
          <w:sz w:val="22"/>
          <w:lang w:val="es-CR"/>
        </w:rPr>
      </w:pPr>
      <w:r>
        <w:rPr>
          <w:rFonts w:ascii="Times New Roman" w:hAnsi="Times New Roman"/>
          <w:b w:val="0"/>
          <w:sz w:val="22"/>
          <w:lang w:val="es-CR"/>
        </w:rPr>
        <w:t>Ramos, Pilar (2002). "Segregación por género en la estructura ocupacional de Costa Rica", Simposio "Costa Rica a la luz del Censo del 2000, Academia Nacional de Ciencias, CCP, Proyecto Estado de la Nación, INEC. San José, Costa Rica.</w:t>
      </w:r>
    </w:p>
    <w:p w:rsidR="00000000" w:rsidRDefault="00000000">
      <w:pPr>
        <w:tabs>
          <w:tab w:val="left" w:pos="680"/>
        </w:tabs>
        <w:spacing w:before="240" w:line="260" w:lineRule="exact"/>
        <w:jc w:val="both"/>
        <w:rPr>
          <w:sz w:val="22"/>
          <w:lang w:val="es-CR"/>
        </w:rPr>
      </w:pPr>
      <w:r>
        <w:rPr>
          <w:sz w:val="22"/>
          <w:lang w:val="es-CR"/>
        </w:rPr>
        <w:t>Reyes, Roxana (2000). "La Condición de las Lesbianas en Costa Rica y la Plataforma de Acción de Beijing". En La Plataforma de Acción de la IV Conferencia Mundial de la Mujer: Una Mirada Desde la Diversidad en Costa Rica. San José, Costa Rica: UNIFEM-HIVOS.</w:t>
      </w:r>
    </w:p>
    <w:p w:rsidR="00000000" w:rsidRDefault="00000000">
      <w:pPr>
        <w:tabs>
          <w:tab w:val="left" w:pos="680"/>
        </w:tabs>
        <w:spacing w:before="240" w:line="260" w:lineRule="exact"/>
        <w:jc w:val="both"/>
        <w:rPr>
          <w:sz w:val="22"/>
          <w:lang w:val="es-CR"/>
        </w:rPr>
      </w:pPr>
      <w:r>
        <w:rPr>
          <w:sz w:val="22"/>
          <w:lang w:val="es-CR"/>
        </w:rPr>
        <w:t>Rojas, Ana Isabel (1998). Mujer y Salud. INAMU. San José, Costa Rica.</w:t>
      </w:r>
    </w:p>
    <w:p w:rsidR="00000000" w:rsidRDefault="00000000">
      <w:pPr>
        <w:tabs>
          <w:tab w:val="left" w:pos="680"/>
        </w:tabs>
        <w:spacing w:before="240" w:line="260" w:lineRule="exact"/>
        <w:jc w:val="both"/>
        <w:rPr>
          <w:sz w:val="22"/>
          <w:lang w:val="es-CR"/>
        </w:rPr>
      </w:pPr>
      <w:r>
        <w:rPr>
          <w:sz w:val="22"/>
          <w:lang w:val="es-CR"/>
        </w:rPr>
        <w:t>S.C.I. Consultores (1997). Síntesis gráfica de trabajos sobre la participación de las mujeres en las Organizaciones Sociales, PLN y PUSC. San José, Costa Rica.</w:t>
      </w:r>
    </w:p>
    <w:p w:rsidR="00000000" w:rsidRDefault="00000000">
      <w:pPr>
        <w:pStyle w:val="BodyText2"/>
        <w:tabs>
          <w:tab w:val="left" w:pos="680"/>
        </w:tabs>
        <w:spacing w:before="240" w:line="260" w:lineRule="exact"/>
        <w:jc w:val="both"/>
        <w:rPr>
          <w:sz w:val="22"/>
          <w:lang w:val="es-CR"/>
        </w:rPr>
      </w:pPr>
      <w:r>
        <w:rPr>
          <w:sz w:val="22"/>
          <w:lang w:val="es-CR"/>
        </w:rPr>
        <w:t>Sagot, Montserrat y Carcedo</w:t>
      </w:r>
      <w:r>
        <w:rPr>
          <w:sz w:val="22"/>
        </w:rPr>
        <w:t>,</w:t>
      </w:r>
      <w:r>
        <w:rPr>
          <w:sz w:val="22"/>
          <w:lang w:val="es-CR"/>
        </w:rPr>
        <w:t xml:space="preserve"> Ana (S. f.)</w:t>
      </w:r>
      <w:r>
        <w:rPr>
          <w:sz w:val="22"/>
        </w:rPr>
        <w:t>.</w:t>
      </w:r>
      <w:r>
        <w:rPr>
          <w:sz w:val="22"/>
          <w:lang w:val="es-CR"/>
        </w:rPr>
        <w:t xml:space="preserve"> "La Invisibilidad de las Niñas y las Adolescentes: Problemas para el Seguimiento de sus Derechos". Inédito. San José, Costa Rica.</w:t>
      </w:r>
    </w:p>
    <w:p w:rsidR="00000000" w:rsidRDefault="00000000">
      <w:pPr>
        <w:pStyle w:val="FR2"/>
        <w:tabs>
          <w:tab w:val="left" w:pos="680"/>
        </w:tabs>
        <w:spacing w:before="240" w:line="260" w:lineRule="exact"/>
        <w:jc w:val="both"/>
        <w:rPr>
          <w:rFonts w:ascii="Times New Roman" w:hAnsi="Times New Roman"/>
          <w:b w:val="0"/>
          <w:sz w:val="22"/>
          <w:lang w:val="es-CR"/>
        </w:rPr>
      </w:pPr>
      <w:r>
        <w:rPr>
          <w:rFonts w:ascii="Times New Roman" w:hAnsi="Times New Roman"/>
          <w:b w:val="0"/>
          <w:sz w:val="22"/>
          <w:lang w:val="es-CR"/>
        </w:rPr>
        <w:t>Secretaría Ejecutiva de Planificación Sectorial Agropecuaria - SEPSA (1999). Políticas Públicas para el desarrollo agropecuario y del medio rural costarricense, Documento Oficial del Gobierno de Costa Rica. San José, Costa Rica.</w:t>
      </w:r>
    </w:p>
    <w:p w:rsidR="00000000" w:rsidRDefault="00000000">
      <w:pPr>
        <w:tabs>
          <w:tab w:val="left" w:pos="680"/>
        </w:tabs>
        <w:spacing w:before="240" w:line="260" w:lineRule="exact"/>
        <w:jc w:val="both"/>
        <w:rPr>
          <w:sz w:val="22"/>
          <w:lang w:val="es-CR"/>
        </w:rPr>
      </w:pPr>
      <w:r>
        <w:rPr>
          <w:sz w:val="22"/>
          <w:lang w:val="es-CR"/>
        </w:rPr>
        <w:t>Solís, Afilia Eva (2001). Todo lo que tengo que saber como migrante: Guía Informativa para mujeres nicaragüenses en Costa Rica. San José, Costa Rica: Cenderos/ Alforja.</w:t>
      </w:r>
    </w:p>
    <w:p w:rsidR="00000000" w:rsidRDefault="00000000">
      <w:pPr>
        <w:tabs>
          <w:tab w:val="left" w:pos="680"/>
        </w:tabs>
        <w:spacing w:before="240" w:line="260" w:lineRule="exact"/>
        <w:jc w:val="both"/>
        <w:rPr>
          <w:sz w:val="22"/>
          <w:lang w:val="es-CR"/>
        </w:rPr>
      </w:pPr>
      <w:r>
        <w:rPr>
          <w:sz w:val="22"/>
          <w:lang w:val="es-CR"/>
        </w:rPr>
        <w:t>Torres García, Isabel (2001). La Aplicación de la Cuota Mínima de Participación de las Mujeres: ¿Ficción o Realidad? Un Diagnóstico para Costa Rica.</w:t>
      </w:r>
    </w:p>
    <w:p w:rsidR="00000000" w:rsidRDefault="00000000">
      <w:pPr>
        <w:tabs>
          <w:tab w:val="left" w:pos="680"/>
        </w:tabs>
        <w:spacing w:before="240" w:line="260" w:lineRule="exact"/>
        <w:jc w:val="both"/>
        <w:rPr>
          <w:sz w:val="22"/>
          <w:lang w:val="es-CR"/>
        </w:rPr>
      </w:pPr>
      <w:r>
        <w:rPr>
          <w:sz w:val="22"/>
          <w:lang w:val="es-CR"/>
        </w:rPr>
        <w:t>Treguear, Tatiana y Carro Carmen (1994). Niñas prostituidas: El caso de Costa Rica. UNICEF. San José, Costa Rica.</w:t>
      </w:r>
    </w:p>
    <w:p w:rsidR="00000000" w:rsidRDefault="00000000">
      <w:pPr>
        <w:pStyle w:val="BodyText"/>
        <w:tabs>
          <w:tab w:val="left" w:pos="680"/>
        </w:tabs>
        <w:spacing w:before="240" w:line="260" w:lineRule="exact"/>
        <w:rPr>
          <w:sz w:val="22"/>
          <w:lang w:val="es-CR"/>
        </w:rPr>
      </w:pPr>
      <w:r>
        <w:rPr>
          <w:sz w:val="22"/>
          <w:lang w:val="es-CR"/>
        </w:rPr>
        <w:t>Treguear, Tatiana y Carro Carmen (1996). Niñas y adolescentes prostituidas: Silencio social y violación de derechos. UNICEF. San José, Costa Rica.</w:t>
      </w:r>
    </w:p>
    <w:p w:rsidR="00000000" w:rsidRDefault="00000000">
      <w:pPr>
        <w:tabs>
          <w:tab w:val="left" w:pos="680"/>
        </w:tabs>
        <w:spacing w:before="240" w:line="260" w:lineRule="exact"/>
        <w:jc w:val="both"/>
        <w:rPr>
          <w:sz w:val="22"/>
          <w:lang w:val="es-CR"/>
        </w:rPr>
      </w:pPr>
      <w:r>
        <w:rPr>
          <w:sz w:val="22"/>
          <w:lang w:val="es-CR"/>
        </w:rPr>
        <w:t>Trejos, J. D. (2000). La mujer microempresaria en Costa Rica: años 90. PROMICRO-OIT. San José, Costa Rica.</w:t>
      </w:r>
    </w:p>
    <w:p w:rsidR="00000000" w:rsidRDefault="00000000">
      <w:pPr>
        <w:pStyle w:val="BodyText2"/>
        <w:tabs>
          <w:tab w:val="left" w:pos="680"/>
        </w:tabs>
        <w:spacing w:before="240" w:line="260" w:lineRule="exact"/>
        <w:jc w:val="both"/>
        <w:rPr>
          <w:spacing w:val="-2"/>
          <w:sz w:val="22"/>
          <w:lang w:val="es-CR"/>
        </w:rPr>
      </w:pPr>
      <w:r>
        <w:rPr>
          <w:spacing w:val="-2"/>
          <w:sz w:val="22"/>
          <w:lang w:val="es-CR"/>
        </w:rPr>
        <w:t>Tribunal Supremo de Elecciones (2002). Estadísticas electorales. Informe sobre los resultados de las elecciones presidenciales, legislativas y municipales del 4 de febrero de 2002. San José, Costa Rica.</w:t>
      </w:r>
    </w:p>
    <w:p w:rsidR="00000000" w:rsidRDefault="00000000">
      <w:pPr>
        <w:tabs>
          <w:tab w:val="left" w:pos="680"/>
        </w:tabs>
        <w:spacing w:before="240" w:line="260" w:lineRule="exact"/>
        <w:jc w:val="both"/>
        <w:rPr>
          <w:sz w:val="22"/>
          <w:lang w:val="es-CR"/>
        </w:rPr>
      </w:pPr>
      <w:r>
        <w:rPr>
          <w:sz w:val="22"/>
          <w:lang w:val="es-CR"/>
        </w:rPr>
        <w:t>UNICEF (2001). II Estado de los derechos de la niñez y la adolescencia en Costa Rica. Universidad de Costa Rica, UNICEF. San José, Costa Rica.</w:t>
      </w:r>
    </w:p>
    <w:p w:rsidR="00000000" w:rsidRDefault="00000000">
      <w:pPr>
        <w:tabs>
          <w:tab w:val="left" w:pos="680"/>
        </w:tabs>
        <w:spacing w:before="240" w:line="260" w:lineRule="exact"/>
        <w:jc w:val="both"/>
        <w:rPr>
          <w:sz w:val="22"/>
          <w:lang w:val="es-CR"/>
        </w:rPr>
      </w:pPr>
      <w:r>
        <w:rPr>
          <w:sz w:val="22"/>
          <w:lang w:val="es-CR"/>
        </w:rPr>
        <w:t>UNICEF-UCR-FLACSO (2000). Estado de los Derechos de la Niñez y la Adolescencia en Costa Rica. San José, Costa Rica.</w:t>
      </w:r>
    </w:p>
    <w:p w:rsidR="00000000" w:rsidRDefault="00000000">
      <w:pPr>
        <w:tabs>
          <w:tab w:val="left" w:pos="680"/>
        </w:tabs>
        <w:spacing w:before="240" w:line="260" w:lineRule="exact"/>
        <w:jc w:val="both"/>
        <w:rPr>
          <w:sz w:val="22"/>
          <w:lang w:val="es-CR"/>
        </w:rPr>
      </w:pPr>
      <w:r>
        <w:rPr>
          <w:sz w:val="22"/>
          <w:lang w:val="es-CR"/>
        </w:rPr>
        <w:t>Universidad de Costa Rica (2001). Balance Sobre el Estado de la Equidad de Género en la Universidad de Costa Rica. Rectoría de la Universidad de Costa Rica. San José, Costa Rica.</w:t>
      </w:r>
    </w:p>
    <w:p w:rsidR="00000000" w:rsidRDefault="00000000">
      <w:pPr>
        <w:tabs>
          <w:tab w:val="left" w:pos="680"/>
        </w:tabs>
        <w:spacing w:before="240" w:line="260" w:lineRule="exact"/>
        <w:jc w:val="both"/>
        <w:rPr>
          <w:sz w:val="22"/>
          <w:lang w:val="es-CR"/>
        </w:rPr>
      </w:pPr>
      <w:r>
        <w:rPr>
          <w:sz w:val="22"/>
          <w:lang w:val="es-CR"/>
        </w:rPr>
        <w:t>Valerín, Gloria (2002). Crónica Legislativa. Ley de Penalización de la Violencia contra las Mujeres. San José, Costa Rica.</w:t>
      </w:r>
    </w:p>
    <w:p w:rsidR="00000000" w:rsidRDefault="00000000">
      <w:pPr>
        <w:tabs>
          <w:tab w:val="left" w:pos="680"/>
        </w:tabs>
        <w:spacing w:before="240" w:line="260" w:lineRule="exact"/>
        <w:jc w:val="both"/>
        <w:rPr>
          <w:sz w:val="22"/>
          <w:lang w:val="es-CR"/>
        </w:rPr>
      </w:pPr>
      <w:r>
        <w:rPr>
          <w:sz w:val="22"/>
          <w:lang w:val="es-CR"/>
        </w:rPr>
        <w:t>Villanueva, Zarela y Alexandra Bogantes (1996). Principio de Igualdad y Jurisprudencia Constitucional. Corte Suprema de Justicia, Poder Judicial. San José, Costa Rica.</w:t>
      </w:r>
    </w:p>
    <w:p w:rsidR="00000000" w:rsidRDefault="00000000">
      <w:pPr>
        <w:tabs>
          <w:tab w:val="left" w:pos="680"/>
        </w:tabs>
        <w:spacing w:before="240" w:line="260" w:lineRule="exact"/>
        <w:jc w:val="both"/>
        <w:rPr>
          <w:sz w:val="22"/>
          <w:lang w:val="es-CR"/>
        </w:rPr>
      </w:pPr>
      <w:r>
        <w:rPr>
          <w:sz w:val="22"/>
          <w:lang w:val="es-CR"/>
        </w:rPr>
        <w:t>Young Kate (1991). "Reflexiones sobre como enfrentar las necesidades de las mujeres". Una Nueva Lectura: Género en el Desarrollo, Virginia Guzmán y otras (Compiladoras), Entre Mujeres, Ediciones Populares Feministas. Lima , Perú.</w:t>
      </w:r>
    </w:p>
    <w:p w:rsidR="00000000" w:rsidRDefault="00000000">
      <w:pPr>
        <w:pStyle w:val="BodyText2"/>
        <w:tabs>
          <w:tab w:val="left" w:pos="680"/>
        </w:tabs>
        <w:spacing w:before="240" w:line="260" w:lineRule="exact"/>
        <w:jc w:val="both"/>
        <w:rPr>
          <w:sz w:val="22"/>
          <w:lang w:val="es-CR"/>
        </w:rPr>
      </w:pPr>
      <w:r>
        <w:rPr>
          <w:sz w:val="22"/>
          <w:lang w:val="es-CR"/>
        </w:rPr>
        <w:t>Zeledón, Fernando (2000-2002). Elecciones Municipales en Costa Rica: Construcción de una serie estadística: 1953-1998. Proyecto de Investigación. Escuela de Ciencias Políticas. Vicerrectoría de Investigación. Universidad de Costa Rica.</w:t>
      </w:r>
    </w:p>
    <w:p w:rsidR="00000000" w:rsidRDefault="00000000">
      <w:pPr>
        <w:tabs>
          <w:tab w:val="left" w:pos="680"/>
        </w:tabs>
        <w:spacing w:before="240" w:line="260" w:lineRule="exact"/>
        <w:jc w:val="both"/>
        <w:rPr>
          <w:sz w:val="22"/>
          <w:lang w:val="en-US"/>
        </w:rPr>
      </w:pPr>
    </w:p>
    <w:p w:rsidR="00000000" w:rsidRDefault="00000000">
      <w:pPr>
        <w:tabs>
          <w:tab w:val="left" w:pos="680"/>
        </w:tabs>
        <w:spacing w:before="240" w:line="260" w:lineRule="exact"/>
        <w:jc w:val="both"/>
        <w:rPr>
          <w:sz w:val="22"/>
          <w:lang w:val="en-US"/>
        </w:rPr>
      </w:pPr>
    </w:p>
    <w:p w:rsidR="00000000" w:rsidRDefault="00000000">
      <w:pPr>
        <w:pStyle w:val="Heading1"/>
        <w:tabs>
          <w:tab w:val="left" w:pos="680"/>
        </w:tabs>
        <w:spacing w:line="260" w:lineRule="exact"/>
        <w:jc w:val="center"/>
      </w:pPr>
      <w:r>
        <w:rPr>
          <w:sz w:val="22"/>
        </w:rPr>
        <w:br w:type="page"/>
      </w:r>
      <w:r>
        <w:t>ПРОВЕДЕННЫЕ ВСТРЕЧИ</w:t>
      </w:r>
    </w:p>
    <w:p w:rsidR="00000000" w:rsidRDefault="00000000">
      <w:pPr>
        <w:pStyle w:val="BodyText"/>
        <w:tabs>
          <w:tab w:val="left" w:pos="680"/>
        </w:tabs>
        <w:spacing w:before="240" w:line="260" w:lineRule="exact"/>
        <w:rPr>
          <w:sz w:val="22"/>
        </w:rPr>
      </w:pPr>
      <w:r>
        <w:rPr>
          <w:sz w:val="22"/>
        </w:rPr>
        <w:t>Арагон Маргарита. Специалист по гендерным вопросам, проблемам юношества и миграции, отвечает за координацию работы в общинах, проводимой в рамках Модели комплексного медицинского обслуживания на базе Национальной женской больницы.</w:t>
      </w:r>
    </w:p>
    <w:p w:rsidR="00000000" w:rsidRDefault="00000000">
      <w:pPr>
        <w:pStyle w:val="BodyText"/>
        <w:tabs>
          <w:tab w:val="left" w:pos="680"/>
        </w:tabs>
        <w:spacing w:before="240" w:line="260" w:lineRule="exact"/>
        <w:rPr>
          <w:sz w:val="22"/>
        </w:rPr>
      </w:pPr>
      <w:r>
        <w:rPr>
          <w:sz w:val="22"/>
        </w:rPr>
        <w:t>Камачо Лорена. Координатор. Сфера деятельности: проблемы личности и проекты жизни.</w:t>
      </w:r>
    </w:p>
    <w:p w:rsidR="00000000" w:rsidRDefault="00000000">
      <w:pPr>
        <w:pStyle w:val="BodyText"/>
        <w:tabs>
          <w:tab w:val="left" w:pos="680"/>
        </w:tabs>
        <w:spacing w:before="240" w:line="260" w:lineRule="exact"/>
        <w:rPr>
          <w:sz w:val="22"/>
        </w:rPr>
      </w:pPr>
      <w:r>
        <w:rPr>
          <w:sz w:val="22"/>
        </w:rPr>
        <w:t>Фигероа Мабель и Ибарра Марта. Сфера деятельности: государственное управление в области равноправия. ИНАМУ.</w:t>
      </w:r>
    </w:p>
    <w:p w:rsidR="00000000" w:rsidRDefault="00000000">
      <w:pPr>
        <w:pStyle w:val="BodyText"/>
        <w:tabs>
          <w:tab w:val="left" w:pos="680"/>
        </w:tabs>
        <w:spacing w:before="240" w:line="260" w:lineRule="exact"/>
        <w:rPr>
          <w:sz w:val="22"/>
        </w:rPr>
      </w:pPr>
      <w:r>
        <w:rPr>
          <w:sz w:val="22"/>
        </w:rPr>
        <w:t>Флорес Лорена. Бывший координатор. Сфера деятельности: формирование личности и проекты жизни. ИНАМУ.</w:t>
      </w:r>
    </w:p>
    <w:p w:rsidR="00000000" w:rsidRDefault="00000000">
      <w:pPr>
        <w:pStyle w:val="BodyText"/>
        <w:tabs>
          <w:tab w:val="left" w:pos="680"/>
        </w:tabs>
        <w:spacing w:before="240" w:line="260" w:lineRule="exact"/>
        <w:rPr>
          <w:sz w:val="22"/>
        </w:rPr>
      </w:pPr>
      <w:r>
        <w:rPr>
          <w:sz w:val="22"/>
        </w:rPr>
        <w:t>Гонсалес Ирма. Технический отдел ИНАМУ.</w:t>
      </w:r>
    </w:p>
    <w:p w:rsidR="00000000" w:rsidRDefault="00000000">
      <w:pPr>
        <w:pStyle w:val="BodyText"/>
        <w:tabs>
          <w:tab w:val="left" w:pos="680"/>
        </w:tabs>
        <w:spacing w:before="240" w:line="260" w:lineRule="exact"/>
        <w:rPr>
          <w:sz w:val="22"/>
        </w:rPr>
      </w:pPr>
      <w:r>
        <w:rPr>
          <w:sz w:val="22"/>
        </w:rPr>
        <w:t>Гонсалес Мирта. Представитель общественных организаций в правлении ИНАМУ (2000–2002 годы).</w:t>
      </w:r>
    </w:p>
    <w:p w:rsidR="00000000" w:rsidRDefault="00000000">
      <w:pPr>
        <w:pStyle w:val="BodyText"/>
        <w:tabs>
          <w:tab w:val="left" w:pos="680"/>
        </w:tabs>
        <w:spacing w:before="240" w:line="260" w:lineRule="exact"/>
        <w:rPr>
          <w:sz w:val="22"/>
        </w:rPr>
      </w:pPr>
      <w:r>
        <w:rPr>
          <w:sz w:val="22"/>
        </w:rPr>
        <w:t>Лара Сильвия. Технический директор ИНАМУ (1998–2002 годы).</w:t>
      </w:r>
    </w:p>
    <w:p w:rsidR="00000000" w:rsidRDefault="00000000">
      <w:pPr>
        <w:pStyle w:val="BodyText"/>
        <w:tabs>
          <w:tab w:val="left" w:pos="680"/>
        </w:tabs>
        <w:spacing w:before="240" w:line="260" w:lineRule="exact"/>
        <w:rPr>
          <w:sz w:val="22"/>
        </w:rPr>
      </w:pPr>
      <w:r>
        <w:rPr>
          <w:sz w:val="22"/>
        </w:rPr>
        <w:t>Максера Рита. Специалист по семейному праву, член редакционной комиссии Закона об ответственном отцовстве.</w:t>
      </w:r>
    </w:p>
    <w:p w:rsidR="00000000" w:rsidRDefault="00000000">
      <w:pPr>
        <w:pStyle w:val="BodyText"/>
        <w:tabs>
          <w:tab w:val="left" w:pos="680"/>
        </w:tabs>
        <w:spacing w:before="240" w:line="260" w:lineRule="exact"/>
        <w:rPr>
          <w:sz w:val="22"/>
        </w:rPr>
      </w:pPr>
      <w:r>
        <w:rPr>
          <w:sz w:val="22"/>
        </w:rPr>
        <w:t>Мора Алехандра. Отделение по делам женщин, Коллегия адвокатов по защите прав граждан.</w:t>
      </w:r>
    </w:p>
    <w:p w:rsidR="00000000" w:rsidRDefault="00000000">
      <w:pPr>
        <w:pStyle w:val="BodyText"/>
        <w:tabs>
          <w:tab w:val="left" w:pos="680"/>
        </w:tabs>
        <w:spacing w:before="240" w:line="260" w:lineRule="exact"/>
        <w:rPr>
          <w:sz w:val="22"/>
        </w:rPr>
      </w:pPr>
      <w:r>
        <w:rPr>
          <w:sz w:val="22"/>
        </w:rPr>
        <w:t>Перес Ниельсен. Координатор. Сфера деятельности: активная гражданская позиция, лидерство и местное управление, ИНАМУ.</w:t>
      </w:r>
    </w:p>
    <w:p w:rsidR="00000000" w:rsidRDefault="00000000">
      <w:pPr>
        <w:pStyle w:val="BodyText"/>
        <w:tabs>
          <w:tab w:val="left" w:pos="680"/>
        </w:tabs>
        <w:spacing w:before="240" w:line="260" w:lineRule="exact"/>
        <w:rPr>
          <w:sz w:val="22"/>
        </w:rPr>
      </w:pPr>
      <w:r>
        <w:rPr>
          <w:sz w:val="22"/>
        </w:rPr>
        <w:t>Рамеллини Тересита. Руководитель курса по подготовке специалистов по проблемам женщин, Университет Коста-Рики – Национальный университет. Сотрудник отдела по проблемам насилия в отношении женщин, ИНАМУ.</w:t>
      </w:r>
    </w:p>
    <w:p w:rsidR="00000000" w:rsidRDefault="00000000">
      <w:pPr>
        <w:pStyle w:val="BodyText"/>
        <w:tabs>
          <w:tab w:val="left" w:pos="680"/>
        </w:tabs>
        <w:spacing w:before="240" w:line="260" w:lineRule="exact"/>
        <w:rPr>
          <w:sz w:val="22"/>
        </w:rPr>
      </w:pPr>
      <w:r>
        <w:rPr>
          <w:sz w:val="22"/>
        </w:rPr>
        <w:t>Сагот Монтсеррат. Специалист по вопросам насилия в отношении женщин. Совместно с Аной Карседо провела исследование на тему "Геноцид женщин в Коста-Рике". Координировала для Университета Коста-Рики – ЮНИСЕФ Государственный проект о правовом положении девочек и девушек.</w:t>
      </w:r>
    </w:p>
    <w:p w:rsidR="00000000" w:rsidRDefault="00000000">
      <w:pPr>
        <w:pStyle w:val="BodyText"/>
        <w:tabs>
          <w:tab w:val="left" w:pos="680"/>
        </w:tabs>
        <w:spacing w:before="240" w:line="260" w:lineRule="exact"/>
        <w:rPr>
          <w:sz w:val="22"/>
        </w:rPr>
      </w:pPr>
      <w:r>
        <w:rPr>
          <w:sz w:val="22"/>
        </w:rPr>
        <w:t>Сото Татьяна. Адвокат. Сфера деятельности: правовой статус и защита прав женщин, ИНАМУ.</w:t>
      </w:r>
    </w:p>
    <w:p w:rsidR="00000000" w:rsidRDefault="00000000">
      <w:pPr>
        <w:pStyle w:val="BodyText"/>
        <w:tabs>
          <w:tab w:val="left" w:pos="680"/>
        </w:tabs>
        <w:spacing w:before="240" w:line="260" w:lineRule="exact"/>
        <w:rPr>
          <w:sz w:val="22"/>
        </w:rPr>
      </w:pPr>
      <w:r>
        <w:rPr>
          <w:sz w:val="22"/>
        </w:rPr>
        <w:t>Торрес Ана Фелисия. Президент Женского фонда ИНАМУ (2000–2002 годы).</w:t>
      </w:r>
    </w:p>
    <w:p w:rsidR="00000000" w:rsidRDefault="00000000">
      <w:pPr>
        <w:tabs>
          <w:tab w:val="left" w:pos="680"/>
        </w:tabs>
        <w:spacing w:before="240" w:line="260" w:lineRule="exact"/>
        <w:jc w:val="both"/>
        <w:rPr>
          <w:sz w:val="22"/>
        </w:rPr>
      </w:pPr>
    </w:p>
    <w:p w:rsidR="00000000" w:rsidRDefault="00000000">
      <w:pPr>
        <w:tabs>
          <w:tab w:val="left" w:pos="680"/>
        </w:tabs>
        <w:jc w:val="center"/>
        <w:rPr>
          <w:b/>
        </w:rPr>
      </w:pPr>
      <w:r>
        <w:rPr>
          <w:sz w:val="22"/>
        </w:rPr>
        <w:br w:type="page"/>
      </w:r>
      <w:r>
        <w:rPr>
          <w:b/>
        </w:rPr>
        <w:t>Приложение № 1</w:t>
      </w:r>
    </w:p>
    <w:p w:rsidR="00000000" w:rsidRDefault="00000000">
      <w:pPr>
        <w:pStyle w:val="Heading3"/>
        <w:spacing w:after="120"/>
        <w:jc w:val="center"/>
        <w:rPr>
          <w:caps/>
        </w:rPr>
      </w:pPr>
      <w:r>
        <w:rPr>
          <w:caps/>
        </w:rPr>
        <w:t xml:space="preserve">СВОДНАЯ ТАЛИЦА ПОКАЗАТЕЛЕЙ ПОЛОЖЕНИЯ </w:t>
      </w:r>
      <w:r>
        <w:rPr>
          <w:caps/>
        </w:rPr>
        <w:br/>
        <w:t>И СТАТУСА ЖЕНЩИН В КОСТА-РИКЕ</w:t>
      </w:r>
    </w:p>
    <w:p w:rsidR="00000000" w:rsidRDefault="00000000">
      <w:pPr>
        <w:pStyle w:val="Heading3"/>
        <w:spacing w:before="120" w:after="120"/>
        <w:jc w:val="center"/>
      </w:pPr>
      <w:r>
        <w:t>1990–2000 годы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4026"/>
        <w:gridCol w:w="680"/>
        <w:gridCol w:w="680"/>
        <w:gridCol w:w="680"/>
        <w:gridCol w:w="680"/>
        <w:gridCol w:w="680"/>
        <w:gridCol w:w="680"/>
        <w:gridCol w:w="680"/>
      </w:tblGrid>
      <w:tr w:rsidR="00000000">
        <w:tblPrEx>
          <w:tblCellMar>
            <w:top w:w="0" w:type="dxa"/>
            <w:bottom w:w="0" w:type="dxa"/>
          </w:tblCellMar>
        </w:tblPrEx>
        <w:trPr>
          <w:tblHeader/>
          <w:jc w:val="center"/>
        </w:trPr>
        <w:tc>
          <w:tcPr>
            <w:tcW w:w="4026" w:type="dxa"/>
          </w:tcPr>
          <w:p w:rsidR="00000000" w:rsidRDefault="00000000">
            <w:pPr>
              <w:pStyle w:val="Heading1"/>
              <w:tabs>
                <w:tab w:val="left" w:pos="680"/>
              </w:tabs>
              <w:spacing w:before="40" w:after="40"/>
              <w:rPr>
                <w:sz w:val="18"/>
              </w:rPr>
            </w:pPr>
            <w:r>
              <w:rPr>
                <w:sz w:val="18"/>
              </w:rPr>
              <w:t>Показатель</w:t>
            </w:r>
          </w:p>
        </w:tc>
        <w:tc>
          <w:tcPr>
            <w:tcW w:w="680" w:type="dxa"/>
          </w:tcPr>
          <w:p w:rsidR="00000000" w:rsidRDefault="00000000">
            <w:pPr>
              <w:tabs>
                <w:tab w:val="decimal" w:pos="340"/>
              </w:tabs>
              <w:spacing w:before="40" w:after="40"/>
              <w:jc w:val="center"/>
              <w:rPr>
                <w:b/>
                <w:sz w:val="18"/>
              </w:rPr>
            </w:pPr>
            <w:r>
              <w:rPr>
                <w:b/>
                <w:sz w:val="18"/>
              </w:rPr>
              <w:t>1990</w:t>
            </w:r>
          </w:p>
        </w:tc>
        <w:tc>
          <w:tcPr>
            <w:tcW w:w="680" w:type="dxa"/>
          </w:tcPr>
          <w:p w:rsidR="00000000" w:rsidRDefault="00000000">
            <w:pPr>
              <w:tabs>
                <w:tab w:val="decimal" w:pos="340"/>
              </w:tabs>
              <w:spacing w:before="40" w:after="40"/>
              <w:jc w:val="center"/>
              <w:rPr>
                <w:b/>
                <w:sz w:val="18"/>
              </w:rPr>
            </w:pPr>
            <w:r>
              <w:rPr>
                <w:b/>
                <w:sz w:val="18"/>
              </w:rPr>
              <w:t>1995</w:t>
            </w:r>
          </w:p>
        </w:tc>
        <w:tc>
          <w:tcPr>
            <w:tcW w:w="680" w:type="dxa"/>
          </w:tcPr>
          <w:p w:rsidR="00000000" w:rsidRDefault="00000000">
            <w:pPr>
              <w:tabs>
                <w:tab w:val="decimal" w:pos="340"/>
              </w:tabs>
              <w:spacing w:before="40" w:after="40"/>
              <w:jc w:val="center"/>
              <w:rPr>
                <w:b/>
                <w:sz w:val="18"/>
              </w:rPr>
            </w:pPr>
            <w:r>
              <w:rPr>
                <w:b/>
                <w:sz w:val="18"/>
              </w:rPr>
              <w:t>1996</w:t>
            </w:r>
          </w:p>
        </w:tc>
        <w:tc>
          <w:tcPr>
            <w:tcW w:w="680" w:type="dxa"/>
          </w:tcPr>
          <w:p w:rsidR="00000000" w:rsidRDefault="00000000">
            <w:pPr>
              <w:tabs>
                <w:tab w:val="decimal" w:pos="340"/>
              </w:tabs>
              <w:spacing w:before="40" w:after="40"/>
              <w:jc w:val="center"/>
              <w:rPr>
                <w:b/>
                <w:sz w:val="18"/>
              </w:rPr>
            </w:pPr>
            <w:r>
              <w:rPr>
                <w:b/>
                <w:sz w:val="18"/>
              </w:rPr>
              <w:t>1997</w:t>
            </w:r>
          </w:p>
        </w:tc>
        <w:tc>
          <w:tcPr>
            <w:tcW w:w="680" w:type="dxa"/>
          </w:tcPr>
          <w:p w:rsidR="00000000" w:rsidRDefault="00000000">
            <w:pPr>
              <w:tabs>
                <w:tab w:val="decimal" w:pos="340"/>
              </w:tabs>
              <w:spacing w:before="40" w:after="40"/>
              <w:jc w:val="center"/>
              <w:rPr>
                <w:b/>
                <w:sz w:val="18"/>
              </w:rPr>
            </w:pPr>
            <w:r>
              <w:rPr>
                <w:b/>
                <w:sz w:val="18"/>
              </w:rPr>
              <w:t>1998</w:t>
            </w:r>
          </w:p>
        </w:tc>
        <w:tc>
          <w:tcPr>
            <w:tcW w:w="680" w:type="dxa"/>
          </w:tcPr>
          <w:p w:rsidR="00000000" w:rsidRDefault="00000000">
            <w:pPr>
              <w:tabs>
                <w:tab w:val="decimal" w:pos="340"/>
              </w:tabs>
              <w:spacing w:before="40" w:after="40"/>
              <w:jc w:val="center"/>
              <w:rPr>
                <w:b/>
                <w:sz w:val="18"/>
              </w:rPr>
            </w:pPr>
            <w:r>
              <w:rPr>
                <w:b/>
                <w:sz w:val="18"/>
              </w:rPr>
              <w:t>1999</w:t>
            </w:r>
          </w:p>
        </w:tc>
        <w:tc>
          <w:tcPr>
            <w:tcW w:w="680" w:type="dxa"/>
          </w:tcPr>
          <w:p w:rsidR="00000000" w:rsidRDefault="00000000">
            <w:pPr>
              <w:tabs>
                <w:tab w:val="decimal" w:pos="340"/>
              </w:tabs>
              <w:spacing w:before="40" w:after="40"/>
              <w:jc w:val="center"/>
              <w:rPr>
                <w:b/>
                <w:sz w:val="18"/>
              </w:rPr>
            </w:pPr>
            <w:r>
              <w:rPr>
                <w:b/>
                <w:sz w:val="18"/>
              </w:rPr>
              <w:t>2000</w:t>
            </w:r>
          </w:p>
        </w:tc>
      </w:tr>
      <w:tr w:rsidR="00000000">
        <w:tblPrEx>
          <w:tblCellMar>
            <w:top w:w="0" w:type="dxa"/>
            <w:bottom w:w="0" w:type="dxa"/>
          </w:tblCellMar>
        </w:tblPrEx>
        <w:trPr>
          <w:cantSplit/>
          <w:jc w:val="center"/>
        </w:trPr>
        <w:tc>
          <w:tcPr>
            <w:tcW w:w="8786" w:type="dxa"/>
            <w:gridSpan w:val="8"/>
          </w:tcPr>
          <w:p w:rsidR="00000000" w:rsidRDefault="00000000">
            <w:pPr>
              <w:tabs>
                <w:tab w:val="decimal" w:pos="340"/>
              </w:tabs>
              <w:spacing w:before="40" w:after="40"/>
              <w:jc w:val="both"/>
              <w:rPr>
                <w:b/>
                <w:sz w:val="18"/>
              </w:rPr>
            </w:pPr>
            <w:r>
              <w:rPr>
                <w:b/>
                <w:sz w:val="18"/>
              </w:rPr>
              <w:t>Развитие человеческого потенциала</w:t>
            </w:r>
          </w:p>
        </w:tc>
      </w:tr>
      <w:tr w:rsidR="00000000">
        <w:tblPrEx>
          <w:tblCellMar>
            <w:top w:w="0" w:type="dxa"/>
            <w:bottom w:w="0" w:type="dxa"/>
          </w:tblCellMar>
        </w:tblPrEx>
        <w:trPr>
          <w:jc w:val="center"/>
        </w:trPr>
        <w:tc>
          <w:tcPr>
            <w:tcW w:w="4026" w:type="dxa"/>
            <w:tcBorders>
              <w:bottom w:val="nil"/>
            </w:tcBorders>
          </w:tcPr>
          <w:p w:rsidR="00000000" w:rsidRDefault="00000000">
            <w:pPr>
              <w:tabs>
                <w:tab w:val="left" w:pos="680"/>
              </w:tabs>
              <w:spacing w:before="40" w:after="40"/>
              <w:rPr>
                <w:sz w:val="18"/>
                <w:highlight w:val="yellow"/>
              </w:rPr>
            </w:pPr>
            <w:r>
              <w:rPr>
                <w:sz w:val="18"/>
              </w:rPr>
              <w:t>Показатель развития человеческого потенциала (значение)</w:t>
            </w:r>
          </w:p>
        </w:tc>
        <w:tc>
          <w:tcPr>
            <w:tcW w:w="680" w:type="dxa"/>
            <w:tcBorders>
              <w:bottom w:val="nil"/>
            </w:tcBorders>
          </w:tcPr>
          <w:p w:rsidR="00000000" w:rsidRDefault="00000000">
            <w:pPr>
              <w:tabs>
                <w:tab w:val="decimal" w:pos="340"/>
              </w:tabs>
              <w:spacing w:before="40" w:after="40"/>
              <w:jc w:val="both"/>
              <w:rPr>
                <w:sz w:val="18"/>
              </w:rPr>
            </w:pPr>
          </w:p>
        </w:tc>
        <w:tc>
          <w:tcPr>
            <w:tcW w:w="680" w:type="dxa"/>
            <w:tcBorders>
              <w:bottom w:val="nil"/>
            </w:tcBorders>
          </w:tcPr>
          <w:p w:rsidR="00000000" w:rsidRDefault="00000000">
            <w:pPr>
              <w:tabs>
                <w:tab w:val="decimal" w:pos="340"/>
              </w:tabs>
              <w:spacing w:before="40" w:after="40"/>
              <w:jc w:val="both"/>
              <w:rPr>
                <w:sz w:val="18"/>
              </w:rPr>
            </w:pPr>
            <w:r>
              <w:rPr>
                <w:sz w:val="18"/>
              </w:rPr>
              <w:t>0,883</w:t>
            </w:r>
          </w:p>
        </w:tc>
        <w:tc>
          <w:tcPr>
            <w:tcW w:w="680" w:type="dxa"/>
            <w:tcBorders>
              <w:bottom w:val="nil"/>
            </w:tcBorders>
          </w:tcPr>
          <w:p w:rsidR="00000000" w:rsidRDefault="00000000">
            <w:pPr>
              <w:tabs>
                <w:tab w:val="decimal" w:pos="340"/>
              </w:tabs>
              <w:spacing w:before="40" w:after="40"/>
              <w:jc w:val="both"/>
              <w:rPr>
                <w:sz w:val="18"/>
              </w:rPr>
            </w:pPr>
            <w:r>
              <w:rPr>
                <w:sz w:val="18"/>
              </w:rPr>
              <w:t>0,884</w:t>
            </w:r>
          </w:p>
        </w:tc>
        <w:tc>
          <w:tcPr>
            <w:tcW w:w="680" w:type="dxa"/>
            <w:tcBorders>
              <w:bottom w:val="nil"/>
            </w:tcBorders>
          </w:tcPr>
          <w:p w:rsidR="00000000" w:rsidRDefault="00000000">
            <w:pPr>
              <w:tabs>
                <w:tab w:val="decimal" w:pos="340"/>
              </w:tabs>
              <w:spacing w:before="40" w:after="40"/>
              <w:jc w:val="both"/>
              <w:rPr>
                <w:sz w:val="18"/>
              </w:rPr>
            </w:pPr>
            <w:r>
              <w:rPr>
                <w:sz w:val="18"/>
              </w:rPr>
              <w:t>0,889</w:t>
            </w:r>
          </w:p>
        </w:tc>
        <w:tc>
          <w:tcPr>
            <w:tcW w:w="680" w:type="dxa"/>
            <w:tcBorders>
              <w:bottom w:val="nil"/>
            </w:tcBorders>
          </w:tcPr>
          <w:p w:rsidR="00000000" w:rsidRDefault="00000000">
            <w:pPr>
              <w:tabs>
                <w:tab w:val="decimal" w:pos="340"/>
              </w:tabs>
              <w:spacing w:before="40" w:after="40"/>
              <w:jc w:val="both"/>
              <w:rPr>
                <w:sz w:val="18"/>
              </w:rPr>
            </w:pPr>
            <w:r>
              <w:rPr>
                <w:sz w:val="18"/>
              </w:rPr>
              <w:t>0,889</w:t>
            </w:r>
          </w:p>
        </w:tc>
        <w:tc>
          <w:tcPr>
            <w:tcW w:w="680" w:type="dxa"/>
            <w:tcBorders>
              <w:bottom w:val="nil"/>
            </w:tcBorders>
          </w:tcPr>
          <w:p w:rsidR="00000000" w:rsidRDefault="00000000">
            <w:pPr>
              <w:tabs>
                <w:tab w:val="decimal" w:pos="340"/>
              </w:tabs>
              <w:spacing w:before="40" w:after="40"/>
              <w:jc w:val="both"/>
              <w:rPr>
                <w:sz w:val="18"/>
              </w:rPr>
            </w:pPr>
            <w:r>
              <w:rPr>
                <w:sz w:val="18"/>
              </w:rPr>
              <w:t>0,801</w:t>
            </w:r>
          </w:p>
        </w:tc>
        <w:tc>
          <w:tcPr>
            <w:tcW w:w="680" w:type="dxa"/>
            <w:tcBorders>
              <w:bottom w:val="nil"/>
            </w:tcBorders>
          </w:tcPr>
          <w:p w:rsidR="00000000" w:rsidRDefault="00000000">
            <w:pPr>
              <w:tabs>
                <w:tab w:val="decimal" w:pos="340"/>
              </w:tabs>
              <w:spacing w:before="40" w:after="40"/>
              <w:jc w:val="both"/>
              <w:rPr>
                <w:sz w:val="18"/>
              </w:rPr>
            </w:pPr>
            <w:r>
              <w:rPr>
                <w:sz w:val="18"/>
              </w:rPr>
              <w:t>0,797</w:t>
            </w:r>
          </w:p>
        </w:tc>
      </w:tr>
      <w:tr w:rsidR="00000000">
        <w:tblPrEx>
          <w:tblCellMar>
            <w:top w:w="0" w:type="dxa"/>
            <w:bottom w:w="0" w:type="dxa"/>
          </w:tblCellMar>
        </w:tblPrEx>
        <w:trPr>
          <w:jc w:val="center"/>
        </w:trPr>
        <w:tc>
          <w:tcPr>
            <w:tcW w:w="4026" w:type="dxa"/>
            <w:tcBorders>
              <w:top w:val="nil"/>
              <w:bottom w:val="nil"/>
            </w:tcBorders>
          </w:tcPr>
          <w:p w:rsidR="00000000" w:rsidRDefault="00000000">
            <w:pPr>
              <w:tabs>
                <w:tab w:val="left" w:pos="680"/>
              </w:tabs>
              <w:spacing w:before="40" w:after="40"/>
              <w:rPr>
                <w:sz w:val="18"/>
              </w:rPr>
            </w:pPr>
            <w:r>
              <w:rPr>
                <w:sz w:val="18"/>
              </w:rPr>
              <w:t xml:space="preserve">Показатель развития в гендерном отношении (значение) </w:t>
            </w:r>
          </w:p>
        </w:tc>
        <w:tc>
          <w:tcPr>
            <w:tcW w:w="680" w:type="dxa"/>
            <w:tcBorders>
              <w:top w:val="nil"/>
              <w:bottom w:val="nil"/>
            </w:tcBorders>
          </w:tcPr>
          <w:p w:rsidR="00000000" w:rsidRDefault="00000000">
            <w:pPr>
              <w:tabs>
                <w:tab w:val="decimal" w:pos="340"/>
              </w:tabs>
              <w:spacing w:before="40" w:after="40"/>
              <w:jc w:val="both"/>
              <w:rPr>
                <w:sz w:val="18"/>
              </w:rPr>
            </w:pPr>
          </w:p>
        </w:tc>
        <w:tc>
          <w:tcPr>
            <w:tcW w:w="680" w:type="dxa"/>
            <w:tcBorders>
              <w:top w:val="nil"/>
              <w:bottom w:val="nil"/>
            </w:tcBorders>
          </w:tcPr>
          <w:p w:rsidR="00000000" w:rsidRDefault="00000000">
            <w:pPr>
              <w:tabs>
                <w:tab w:val="decimal" w:pos="340"/>
              </w:tabs>
              <w:spacing w:before="40" w:after="40"/>
              <w:jc w:val="both"/>
              <w:rPr>
                <w:sz w:val="18"/>
              </w:rPr>
            </w:pPr>
            <w:r>
              <w:rPr>
                <w:sz w:val="18"/>
              </w:rPr>
              <w:t>0,763</w:t>
            </w:r>
          </w:p>
        </w:tc>
        <w:tc>
          <w:tcPr>
            <w:tcW w:w="680" w:type="dxa"/>
            <w:tcBorders>
              <w:top w:val="nil"/>
              <w:bottom w:val="nil"/>
            </w:tcBorders>
          </w:tcPr>
          <w:p w:rsidR="00000000" w:rsidRDefault="00000000">
            <w:pPr>
              <w:tabs>
                <w:tab w:val="decimal" w:pos="340"/>
              </w:tabs>
              <w:spacing w:before="40" w:after="40"/>
              <w:jc w:val="both"/>
              <w:rPr>
                <w:sz w:val="18"/>
              </w:rPr>
            </w:pPr>
            <w:r>
              <w:rPr>
                <w:sz w:val="18"/>
              </w:rPr>
              <w:t>0,813</w:t>
            </w:r>
          </w:p>
        </w:tc>
        <w:tc>
          <w:tcPr>
            <w:tcW w:w="680" w:type="dxa"/>
            <w:tcBorders>
              <w:top w:val="nil"/>
              <w:bottom w:val="nil"/>
            </w:tcBorders>
          </w:tcPr>
          <w:p w:rsidR="00000000" w:rsidRDefault="00000000">
            <w:pPr>
              <w:tabs>
                <w:tab w:val="decimal" w:pos="340"/>
              </w:tabs>
              <w:spacing w:before="40" w:after="40"/>
              <w:jc w:val="both"/>
              <w:rPr>
                <w:sz w:val="18"/>
              </w:rPr>
            </w:pPr>
            <w:r>
              <w:rPr>
                <w:sz w:val="18"/>
              </w:rPr>
              <w:t>0,825</w:t>
            </w:r>
          </w:p>
        </w:tc>
        <w:tc>
          <w:tcPr>
            <w:tcW w:w="680" w:type="dxa"/>
            <w:tcBorders>
              <w:top w:val="nil"/>
              <w:bottom w:val="nil"/>
            </w:tcBorders>
          </w:tcPr>
          <w:p w:rsidR="00000000" w:rsidRDefault="00000000">
            <w:pPr>
              <w:tabs>
                <w:tab w:val="decimal" w:pos="340"/>
              </w:tabs>
              <w:spacing w:before="40" w:after="40"/>
              <w:jc w:val="both"/>
              <w:rPr>
                <w:sz w:val="18"/>
              </w:rPr>
            </w:pPr>
            <w:r>
              <w:rPr>
                <w:sz w:val="18"/>
              </w:rPr>
              <w:t>0,818</w:t>
            </w:r>
          </w:p>
        </w:tc>
        <w:tc>
          <w:tcPr>
            <w:tcW w:w="680" w:type="dxa"/>
            <w:tcBorders>
              <w:top w:val="nil"/>
              <w:bottom w:val="nil"/>
            </w:tcBorders>
          </w:tcPr>
          <w:p w:rsidR="00000000" w:rsidRDefault="00000000">
            <w:pPr>
              <w:tabs>
                <w:tab w:val="decimal" w:pos="340"/>
              </w:tabs>
              <w:spacing w:before="40" w:after="40"/>
              <w:jc w:val="both"/>
              <w:rPr>
                <w:sz w:val="18"/>
              </w:rPr>
            </w:pPr>
            <w:r>
              <w:rPr>
                <w:sz w:val="18"/>
              </w:rPr>
              <w:t>0,795</w:t>
            </w:r>
          </w:p>
        </w:tc>
        <w:tc>
          <w:tcPr>
            <w:tcW w:w="680" w:type="dxa"/>
            <w:tcBorders>
              <w:top w:val="nil"/>
              <w:bottom w:val="nil"/>
            </w:tcBorders>
          </w:tcPr>
          <w:p w:rsidR="00000000" w:rsidRDefault="00000000">
            <w:pPr>
              <w:tabs>
                <w:tab w:val="decimal" w:pos="340"/>
              </w:tabs>
              <w:spacing w:before="40" w:after="40"/>
              <w:jc w:val="both"/>
              <w:rPr>
                <w:sz w:val="18"/>
              </w:rPr>
            </w:pPr>
            <w:r>
              <w:rPr>
                <w:sz w:val="18"/>
              </w:rPr>
              <w:t>0,789</w:t>
            </w:r>
          </w:p>
        </w:tc>
      </w:tr>
      <w:tr w:rsidR="00000000">
        <w:tblPrEx>
          <w:tblCellMar>
            <w:top w:w="0" w:type="dxa"/>
            <w:bottom w:w="0" w:type="dxa"/>
          </w:tblCellMar>
        </w:tblPrEx>
        <w:trPr>
          <w:jc w:val="center"/>
        </w:trPr>
        <w:tc>
          <w:tcPr>
            <w:tcW w:w="4026" w:type="dxa"/>
            <w:tcBorders>
              <w:top w:val="nil"/>
            </w:tcBorders>
          </w:tcPr>
          <w:p w:rsidR="00000000" w:rsidRDefault="00000000">
            <w:pPr>
              <w:tabs>
                <w:tab w:val="left" w:pos="680"/>
              </w:tabs>
              <w:spacing w:before="40" w:after="40"/>
              <w:rPr>
                <w:sz w:val="18"/>
              </w:rPr>
            </w:pPr>
            <w:r>
              <w:rPr>
                <w:sz w:val="18"/>
              </w:rPr>
              <w:t>Показатель повышения компетентности в гендерных вопросах (значение)</w:t>
            </w:r>
          </w:p>
        </w:tc>
        <w:tc>
          <w:tcPr>
            <w:tcW w:w="680" w:type="dxa"/>
            <w:tcBorders>
              <w:top w:val="nil"/>
            </w:tcBorders>
          </w:tcPr>
          <w:p w:rsidR="00000000" w:rsidRDefault="00000000">
            <w:pPr>
              <w:tabs>
                <w:tab w:val="decimal" w:pos="340"/>
              </w:tabs>
              <w:spacing w:before="40" w:after="40"/>
              <w:jc w:val="both"/>
              <w:rPr>
                <w:sz w:val="18"/>
              </w:rPr>
            </w:pPr>
          </w:p>
        </w:tc>
        <w:tc>
          <w:tcPr>
            <w:tcW w:w="680" w:type="dxa"/>
            <w:tcBorders>
              <w:top w:val="nil"/>
            </w:tcBorders>
          </w:tcPr>
          <w:p w:rsidR="00000000" w:rsidRDefault="00000000">
            <w:pPr>
              <w:tabs>
                <w:tab w:val="decimal" w:pos="340"/>
              </w:tabs>
              <w:spacing w:before="40" w:after="40"/>
              <w:jc w:val="both"/>
              <w:rPr>
                <w:sz w:val="18"/>
              </w:rPr>
            </w:pPr>
            <w:r>
              <w:rPr>
                <w:sz w:val="18"/>
              </w:rPr>
              <w:t>0,474</w:t>
            </w:r>
          </w:p>
        </w:tc>
        <w:tc>
          <w:tcPr>
            <w:tcW w:w="680" w:type="dxa"/>
            <w:tcBorders>
              <w:top w:val="nil"/>
            </w:tcBorders>
          </w:tcPr>
          <w:p w:rsidR="00000000" w:rsidRDefault="00000000">
            <w:pPr>
              <w:tabs>
                <w:tab w:val="decimal" w:pos="340"/>
              </w:tabs>
              <w:spacing w:before="40" w:after="40"/>
              <w:jc w:val="both"/>
              <w:rPr>
                <w:sz w:val="18"/>
              </w:rPr>
            </w:pPr>
          </w:p>
        </w:tc>
        <w:tc>
          <w:tcPr>
            <w:tcW w:w="680" w:type="dxa"/>
            <w:tcBorders>
              <w:top w:val="nil"/>
            </w:tcBorders>
          </w:tcPr>
          <w:p w:rsidR="00000000" w:rsidRDefault="00000000">
            <w:pPr>
              <w:tabs>
                <w:tab w:val="decimal" w:pos="340"/>
              </w:tabs>
              <w:spacing w:before="40" w:after="40"/>
              <w:jc w:val="both"/>
              <w:rPr>
                <w:sz w:val="18"/>
              </w:rPr>
            </w:pPr>
            <w:r>
              <w:rPr>
                <w:sz w:val="18"/>
              </w:rPr>
              <w:t>0,494</w:t>
            </w:r>
          </w:p>
        </w:tc>
        <w:tc>
          <w:tcPr>
            <w:tcW w:w="680" w:type="dxa"/>
            <w:tcBorders>
              <w:top w:val="nil"/>
            </w:tcBorders>
          </w:tcPr>
          <w:p w:rsidR="00000000" w:rsidRDefault="00000000">
            <w:pPr>
              <w:tabs>
                <w:tab w:val="decimal" w:pos="340"/>
              </w:tabs>
              <w:spacing w:before="40" w:after="40"/>
              <w:jc w:val="both"/>
              <w:rPr>
                <w:sz w:val="18"/>
              </w:rPr>
            </w:pPr>
            <w:r>
              <w:rPr>
                <w:sz w:val="18"/>
              </w:rPr>
              <w:t>0,503</w:t>
            </w:r>
          </w:p>
        </w:tc>
        <w:tc>
          <w:tcPr>
            <w:tcW w:w="680" w:type="dxa"/>
            <w:tcBorders>
              <w:top w:val="nil"/>
            </w:tcBorders>
          </w:tcPr>
          <w:p w:rsidR="00000000" w:rsidRDefault="00000000">
            <w:pPr>
              <w:tabs>
                <w:tab w:val="decimal" w:pos="340"/>
              </w:tabs>
              <w:spacing w:before="40" w:after="40"/>
              <w:jc w:val="both"/>
              <w:rPr>
                <w:sz w:val="18"/>
              </w:rPr>
            </w:pPr>
            <w:r>
              <w:rPr>
                <w:sz w:val="18"/>
              </w:rPr>
              <w:t>0,550</w:t>
            </w:r>
          </w:p>
        </w:tc>
        <w:tc>
          <w:tcPr>
            <w:tcW w:w="680" w:type="dxa"/>
            <w:tcBorders>
              <w:top w:val="nil"/>
            </w:tcBorders>
          </w:tcPr>
          <w:p w:rsidR="00000000" w:rsidRDefault="00000000">
            <w:pPr>
              <w:tabs>
                <w:tab w:val="decimal" w:pos="340"/>
              </w:tabs>
              <w:spacing w:before="40" w:after="40"/>
              <w:jc w:val="both"/>
              <w:rPr>
                <w:sz w:val="18"/>
              </w:rPr>
            </w:pPr>
            <w:r>
              <w:rPr>
                <w:sz w:val="18"/>
              </w:rPr>
              <w:t>0,553</w:t>
            </w:r>
          </w:p>
        </w:tc>
      </w:tr>
      <w:tr w:rsidR="00000000">
        <w:tblPrEx>
          <w:tblCellMar>
            <w:top w:w="0" w:type="dxa"/>
            <w:bottom w:w="0" w:type="dxa"/>
          </w:tblCellMar>
        </w:tblPrEx>
        <w:trPr>
          <w:cantSplit/>
          <w:jc w:val="center"/>
        </w:trPr>
        <w:tc>
          <w:tcPr>
            <w:tcW w:w="8786" w:type="dxa"/>
            <w:gridSpan w:val="8"/>
          </w:tcPr>
          <w:p w:rsidR="00000000" w:rsidRDefault="00000000">
            <w:pPr>
              <w:tabs>
                <w:tab w:val="decimal" w:pos="340"/>
              </w:tabs>
              <w:spacing w:before="40" w:after="40"/>
              <w:jc w:val="both"/>
              <w:rPr>
                <w:sz w:val="18"/>
              </w:rPr>
            </w:pPr>
            <w:r>
              <w:rPr>
                <w:b/>
                <w:sz w:val="18"/>
              </w:rPr>
              <w:t>Экономика</w:t>
            </w:r>
          </w:p>
        </w:tc>
      </w:tr>
      <w:tr w:rsidR="00000000">
        <w:tblPrEx>
          <w:tblCellMar>
            <w:top w:w="0" w:type="dxa"/>
            <w:bottom w:w="0" w:type="dxa"/>
          </w:tblCellMar>
        </w:tblPrEx>
        <w:trPr>
          <w:jc w:val="center"/>
        </w:trPr>
        <w:tc>
          <w:tcPr>
            <w:tcW w:w="4026" w:type="dxa"/>
          </w:tcPr>
          <w:p w:rsidR="00000000" w:rsidRDefault="00000000">
            <w:pPr>
              <w:pStyle w:val="Heading8"/>
              <w:tabs>
                <w:tab w:val="left" w:pos="680"/>
              </w:tabs>
              <w:spacing w:before="40" w:after="40" w:line="240" w:lineRule="auto"/>
              <w:ind w:right="0"/>
              <w:rPr>
                <w:sz w:val="18"/>
              </w:rPr>
            </w:pPr>
            <w:r>
              <w:rPr>
                <w:sz w:val="18"/>
              </w:rPr>
              <w:t xml:space="preserve">Разница в показателе бедности среди </w:t>
            </w:r>
          </w:p>
          <w:p w:rsidR="00000000" w:rsidRDefault="00000000">
            <w:pPr>
              <w:tabs>
                <w:tab w:val="left" w:pos="680"/>
              </w:tabs>
              <w:spacing w:before="40" w:after="40"/>
              <w:rPr>
                <w:sz w:val="18"/>
              </w:rPr>
            </w:pPr>
            <w:r>
              <w:rPr>
                <w:sz w:val="18"/>
              </w:rPr>
              <w:t xml:space="preserve">мужчин и женщин – глав семей </w:t>
            </w:r>
            <w:r>
              <w:rPr>
                <w:sz w:val="18"/>
                <w:vertAlign w:val="superscript"/>
                <w:lang w:val="en-US"/>
              </w:rPr>
              <w:t>a</w:t>
            </w:r>
            <w:r>
              <w:rPr>
                <w:sz w:val="18"/>
                <w:vertAlign w:val="superscript"/>
              </w:rPr>
              <w:t>)</w:t>
            </w:r>
          </w:p>
        </w:tc>
        <w:tc>
          <w:tcPr>
            <w:tcW w:w="680" w:type="dxa"/>
          </w:tcPr>
          <w:p w:rsidR="00000000" w:rsidRDefault="00000000">
            <w:pPr>
              <w:tabs>
                <w:tab w:val="decimal" w:pos="340"/>
              </w:tabs>
              <w:spacing w:before="40" w:after="40"/>
              <w:jc w:val="both"/>
              <w:rPr>
                <w:sz w:val="18"/>
              </w:rPr>
            </w:pPr>
            <w:r>
              <w:rPr>
                <w:sz w:val="18"/>
              </w:rPr>
              <w:t>-3,2</w:t>
            </w:r>
          </w:p>
        </w:tc>
        <w:tc>
          <w:tcPr>
            <w:tcW w:w="680" w:type="dxa"/>
          </w:tcPr>
          <w:p w:rsidR="00000000" w:rsidRDefault="00000000">
            <w:pPr>
              <w:tabs>
                <w:tab w:val="decimal" w:pos="340"/>
              </w:tabs>
              <w:spacing w:before="40" w:after="40"/>
              <w:jc w:val="both"/>
              <w:rPr>
                <w:sz w:val="18"/>
              </w:rPr>
            </w:pPr>
            <w:r>
              <w:rPr>
                <w:sz w:val="18"/>
              </w:rPr>
              <w:t>-6,7</w:t>
            </w:r>
          </w:p>
        </w:tc>
        <w:tc>
          <w:tcPr>
            <w:tcW w:w="680" w:type="dxa"/>
          </w:tcPr>
          <w:p w:rsidR="00000000" w:rsidRDefault="00000000">
            <w:pPr>
              <w:tabs>
                <w:tab w:val="decimal" w:pos="340"/>
              </w:tabs>
              <w:spacing w:before="40" w:after="40"/>
              <w:jc w:val="both"/>
              <w:rPr>
                <w:sz w:val="18"/>
              </w:rPr>
            </w:pPr>
            <w:r>
              <w:rPr>
                <w:sz w:val="18"/>
              </w:rPr>
              <w:t>-5,8</w:t>
            </w:r>
          </w:p>
        </w:tc>
        <w:tc>
          <w:tcPr>
            <w:tcW w:w="680" w:type="dxa"/>
          </w:tcPr>
          <w:p w:rsidR="00000000" w:rsidRDefault="00000000">
            <w:pPr>
              <w:tabs>
                <w:tab w:val="decimal" w:pos="340"/>
              </w:tabs>
              <w:spacing w:before="40" w:after="40"/>
              <w:jc w:val="both"/>
              <w:rPr>
                <w:sz w:val="18"/>
              </w:rPr>
            </w:pPr>
            <w:r>
              <w:rPr>
                <w:sz w:val="18"/>
              </w:rPr>
              <w:t>-6,0</w:t>
            </w:r>
          </w:p>
        </w:tc>
        <w:tc>
          <w:tcPr>
            <w:tcW w:w="680" w:type="dxa"/>
          </w:tcPr>
          <w:p w:rsidR="00000000" w:rsidRDefault="00000000">
            <w:pPr>
              <w:tabs>
                <w:tab w:val="decimal" w:pos="340"/>
              </w:tabs>
              <w:spacing w:before="40" w:after="40"/>
              <w:jc w:val="both"/>
              <w:rPr>
                <w:sz w:val="18"/>
              </w:rPr>
            </w:pPr>
            <w:r>
              <w:rPr>
                <w:sz w:val="18"/>
              </w:rPr>
              <w:t>-5,7</w:t>
            </w:r>
          </w:p>
        </w:tc>
        <w:tc>
          <w:tcPr>
            <w:tcW w:w="680" w:type="dxa"/>
          </w:tcPr>
          <w:p w:rsidR="00000000" w:rsidRDefault="00000000">
            <w:pPr>
              <w:tabs>
                <w:tab w:val="decimal" w:pos="340"/>
              </w:tabs>
              <w:spacing w:before="40" w:after="40"/>
              <w:jc w:val="both"/>
              <w:rPr>
                <w:sz w:val="18"/>
              </w:rPr>
            </w:pPr>
            <w:r>
              <w:rPr>
                <w:sz w:val="18"/>
              </w:rPr>
              <w:t>-9,9</w:t>
            </w:r>
          </w:p>
        </w:tc>
        <w:tc>
          <w:tcPr>
            <w:tcW w:w="680" w:type="dxa"/>
          </w:tcPr>
          <w:p w:rsidR="00000000" w:rsidRDefault="00000000">
            <w:pPr>
              <w:tabs>
                <w:tab w:val="decimal" w:pos="340"/>
              </w:tabs>
              <w:spacing w:before="40" w:after="40"/>
              <w:jc w:val="both"/>
              <w:rPr>
                <w:sz w:val="18"/>
              </w:rPr>
            </w:pPr>
            <w:r>
              <w:rPr>
                <w:sz w:val="18"/>
              </w:rPr>
              <w:t>-7,9</w:t>
            </w:r>
          </w:p>
        </w:tc>
      </w:tr>
      <w:tr w:rsidR="00000000">
        <w:tblPrEx>
          <w:tblCellMar>
            <w:top w:w="0" w:type="dxa"/>
            <w:bottom w:w="0" w:type="dxa"/>
          </w:tblCellMar>
        </w:tblPrEx>
        <w:trPr>
          <w:cantSplit/>
          <w:jc w:val="center"/>
        </w:trPr>
        <w:tc>
          <w:tcPr>
            <w:tcW w:w="8786" w:type="dxa"/>
            <w:gridSpan w:val="8"/>
          </w:tcPr>
          <w:p w:rsidR="00000000" w:rsidRDefault="00000000">
            <w:pPr>
              <w:tabs>
                <w:tab w:val="decimal" w:pos="340"/>
              </w:tabs>
              <w:spacing w:before="40" w:after="40"/>
              <w:jc w:val="both"/>
              <w:rPr>
                <w:sz w:val="18"/>
              </w:rPr>
            </w:pPr>
            <w:r>
              <w:rPr>
                <w:i/>
                <w:sz w:val="18"/>
              </w:rPr>
              <w:t>Процент женщин, занятых в какой-либо сфере трудовой деятельности (характерной для женщин)</w:t>
            </w:r>
          </w:p>
        </w:tc>
      </w:tr>
      <w:tr w:rsidR="00000000">
        <w:tblPrEx>
          <w:tblCellMar>
            <w:top w:w="0" w:type="dxa"/>
            <w:bottom w:w="0" w:type="dxa"/>
          </w:tblCellMar>
        </w:tblPrEx>
        <w:trPr>
          <w:jc w:val="center"/>
        </w:trPr>
        <w:tc>
          <w:tcPr>
            <w:tcW w:w="4026" w:type="dxa"/>
            <w:tcBorders>
              <w:bottom w:val="nil"/>
            </w:tcBorders>
          </w:tcPr>
          <w:p w:rsidR="00000000" w:rsidRDefault="00000000">
            <w:pPr>
              <w:tabs>
                <w:tab w:val="left" w:pos="680"/>
              </w:tabs>
              <w:spacing w:before="40" w:after="40"/>
              <w:rPr>
                <w:sz w:val="18"/>
              </w:rPr>
            </w:pPr>
            <w:r>
              <w:rPr>
                <w:sz w:val="18"/>
              </w:rPr>
              <w:t>Социальные и коммунальные службы, сфера услуг</w:t>
            </w:r>
          </w:p>
        </w:tc>
        <w:tc>
          <w:tcPr>
            <w:tcW w:w="680" w:type="dxa"/>
            <w:tcBorders>
              <w:bottom w:val="nil"/>
            </w:tcBorders>
          </w:tcPr>
          <w:p w:rsidR="00000000" w:rsidRDefault="00000000">
            <w:pPr>
              <w:tabs>
                <w:tab w:val="decimal" w:pos="340"/>
              </w:tabs>
              <w:spacing w:before="40" w:after="40"/>
              <w:jc w:val="both"/>
              <w:rPr>
                <w:sz w:val="18"/>
              </w:rPr>
            </w:pPr>
            <w:r>
              <w:rPr>
                <w:sz w:val="18"/>
              </w:rPr>
              <w:t>44,4</w:t>
            </w:r>
          </w:p>
        </w:tc>
        <w:tc>
          <w:tcPr>
            <w:tcW w:w="680" w:type="dxa"/>
            <w:tcBorders>
              <w:bottom w:val="nil"/>
            </w:tcBorders>
          </w:tcPr>
          <w:p w:rsidR="00000000" w:rsidRDefault="00000000">
            <w:pPr>
              <w:tabs>
                <w:tab w:val="decimal" w:pos="340"/>
              </w:tabs>
              <w:spacing w:before="40" w:after="40"/>
              <w:jc w:val="both"/>
              <w:rPr>
                <w:sz w:val="18"/>
              </w:rPr>
            </w:pPr>
            <w:r>
              <w:rPr>
                <w:sz w:val="18"/>
              </w:rPr>
              <w:t>41,7</w:t>
            </w:r>
          </w:p>
        </w:tc>
        <w:tc>
          <w:tcPr>
            <w:tcW w:w="680" w:type="dxa"/>
            <w:tcBorders>
              <w:bottom w:val="nil"/>
            </w:tcBorders>
          </w:tcPr>
          <w:p w:rsidR="00000000" w:rsidRDefault="00000000">
            <w:pPr>
              <w:tabs>
                <w:tab w:val="decimal" w:pos="340"/>
              </w:tabs>
              <w:spacing w:before="40" w:after="40"/>
              <w:jc w:val="both"/>
              <w:rPr>
                <w:sz w:val="18"/>
              </w:rPr>
            </w:pPr>
            <w:r>
              <w:rPr>
                <w:sz w:val="18"/>
              </w:rPr>
              <w:t>44,6</w:t>
            </w:r>
          </w:p>
        </w:tc>
        <w:tc>
          <w:tcPr>
            <w:tcW w:w="680" w:type="dxa"/>
            <w:tcBorders>
              <w:bottom w:val="nil"/>
            </w:tcBorders>
          </w:tcPr>
          <w:p w:rsidR="00000000" w:rsidRDefault="00000000">
            <w:pPr>
              <w:tabs>
                <w:tab w:val="decimal" w:pos="340"/>
              </w:tabs>
              <w:spacing w:before="40" w:after="40"/>
              <w:jc w:val="both"/>
              <w:rPr>
                <w:sz w:val="18"/>
              </w:rPr>
            </w:pPr>
            <w:r>
              <w:rPr>
                <w:sz w:val="18"/>
              </w:rPr>
              <w:t>46,2</w:t>
            </w:r>
          </w:p>
        </w:tc>
        <w:tc>
          <w:tcPr>
            <w:tcW w:w="680" w:type="dxa"/>
            <w:tcBorders>
              <w:bottom w:val="nil"/>
            </w:tcBorders>
          </w:tcPr>
          <w:p w:rsidR="00000000" w:rsidRDefault="00000000">
            <w:pPr>
              <w:tabs>
                <w:tab w:val="decimal" w:pos="340"/>
              </w:tabs>
              <w:spacing w:before="40" w:after="40"/>
              <w:jc w:val="both"/>
              <w:rPr>
                <w:sz w:val="18"/>
              </w:rPr>
            </w:pPr>
            <w:r>
              <w:rPr>
                <w:sz w:val="18"/>
              </w:rPr>
              <w:t>45,5</w:t>
            </w:r>
          </w:p>
        </w:tc>
        <w:tc>
          <w:tcPr>
            <w:tcW w:w="680" w:type="dxa"/>
            <w:tcBorders>
              <w:bottom w:val="nil"/>
            </w:tcBorders>
          </w:tcPr>
          <w:p w:rsidR="00000000" w:rsidRDefault="00000000">
            <w:pPr>
              <w:tabs>
                <w:tab w:val="decimal" w:pos="340"/>
              </w:tabs>
              <w:spacing w:before="40" w:after="40"/>
              <w:jc w:val="both"/>
              <w:rPr>
                <w:sz w:val="18"/>
              </w:rPr>
            </w:pPr>
            <w:r>
              <w:rPr>
                <w:sz w:val="18"/>
              </w:rPr>
              <w:t>44,0</w:t>
            </w:r>
          </w:p>
        </w:tc>
        <w:tc>
          <w:tcPr>
            <w:tcW w:w="680" w:type="dxa"/>
            <w:tcBorders>
              <w:bottom w:val="nil"/>
            </w:tcBorders>
          </w:tcPr>
          <w:p w:rsidR="00000000" w:rsidRDefault="00000000">
            <w:pPr>
              <w:tabs>
                <w:tab w:val="decimal" w:pos="340"/>
              </w:tabs>
              <w:spacing w:before="40" w:after="40"/>
              <w:jc w:val="both"/>
              <w:rPr>
                <w:sz w:val="18"/>
              </w:rPr>
            </w:pPr>
            <w:r>
              <w:rPr>
                <w:sz w:val="18"/>
              </w:rPr>
              <w:t>44,5</w:t>
            </w:r>
          </w:p>
        </w:tc>
      </w:tr>
      <w:tr w:rsidR="00000000">
        <w:tblPrEx>
          <w:tblCellMar>
            <w:top w:w="0" w:type="dxa"/>
            <w:bottom w:w="0" w:type="dxa"/>
          </w:tblCellMar>
        </w:tblPrEx>
        <w:trPr>
          <w:jc w:val="center"/>
        </w:trPr>
        <w:tc>
          <w:tcPr>
            <w:tcW w:w="4026" w:type="dxa"/>
            <w:tcBorders>
              <w:top w:val="nil"/>
              <w:bottom w:val="nil"/>
            </w:tcBorders>
          </w:tcPr>
          <w:p w:rsidR="00000000" w:rsidRDefault="00000000">
            <w:pPr>
              <w:tabs>
                <w:tab w:val="left" w:pos="680"/>
              </w:tabs>
              <w:spacing w:before="40" w:after="40"/>
              <w:rPr>
                <w:sz w:val="18"/>
              </w:rPr>
            </w:pPr>
            <w:r>
              <w:rPr>
                <w:sz w:val="18"/>
              </w:rPr>
              <w:t>Торговля, рестораны и гостиницы</w:t>
            </w:r>
          </w:p>
        </w:tc>
        <w:tc>
          <w:tcPr>
            <w:tcW w:w="680" w:type="dxa"/>
            <w:tcBorders>
              <w:top w:val="nil"/>
              <w:bottom w:val="nil"/>
            </w:tcBorders>
          </w:tcPr>
          <w:p w:rsidR="00000000" w:rsidRDefault="00000000">
            <w:pPr>
              <w:tabs>
                <w:tab w:val="decimal" w:pos="340"/>
              </w:tabs>
              <w:spacing w:before="40" w:after="40"/>
              <w:jc w:val="both"/>
              <w:rPr>
                <w:sz w:val="18"/>
              </w:rPr>
            </w:pPr>
            <w:r>
              <w:rPr>
                <w:sz w:val="18"/>
              </w:rPr>
              <w:t>20,9</w:t>
            </w:r>
          </w:p>
        </w:tc>
        <w:tc>
          <w:tcPr>
            <w:tcW w:w="680" w:type="dxa"/>
            <w:tcBorders>
              <w:top w:val="nil"/>
              <w:bottom w:val="nil"/>
            </w:tcBorders>
          </w:tcPr>
          <w:p w:rsidR="00000000" w:rsidRDefault="00000000">
            <w:pPr>
              <w:tabs>
                <w:tab w:val="decimal" w:pos="340"/>
              </w:tabs>
              <w:spacing w:before="40" w:after="40"/>
              <w:jc w:val="both"/>
              <w:rPr>
                <w:sz w:val="18"/>
              </w:rPr>
            </w:pPr>
            <w:r>
              <w:rPr>
                <w:sz w:val="18"/>
              </w:rPr>
              <w:t>25,3</w:t>
            </w:r>
          </w:p>
        </w:tc>
        <w:tc>
          <w:tcPr>
            <w:tcW w:w="680" w:type="dxa"/>
            <w:tcBorders>
              <w:top w:val="nil"/>
              <w:bottom w:val="nil"/>
            </w:tcBorders>
          </w:tcPr>
          <w:p w:rsidR="00000000" w:rsidRDefault="00000000">
            <w:pPr>
              <w:tabs>
                <w:tab w:val="decimal" w:pos="340"/>
              </w:tabs>
              <w:spacing w:before="40" w:after="40"/>
              <w:jc w:val="both"/>
              <w:rPr>
                <w:sz w:val="18"/>
              </w:rPr>
            </w:pPr>
            <w:r>
              <w:rPr>
                <w:sz w:val="18"/>
              </w:rPr>
              <w:t>24,8</w:t>
            </w:r>
          </w:p>
        </w:tc>
        <w:tc>
          <w:tcPr>
            <w:tcW w:w="680" w:type="dxa"/>
            <w:tcBorders>
              <w:top w:val="nil"/>
              <w:bottom w:val="nil"/>
            </w:tcBorders>
          </w:tcPr>
          <w:p w:rsidR="00000000" w:rsidRDefault="00000000">
            <w:pPr>
              <w:tabs>
                <w:tab w:val="decimal" w:pos="340"/>
              </w:tabs>
              <w:spacing w:before="40" w:after="40"/>
              <w:jc w:val="both"/>
              <w:rPr>
                <w:sz w:val="18"/>
              </w:rPr>
            </w:pPr>
            <w:r>
              <w:rPr>
                <w:sz w:val="18"/>
              </w:rPr>
              <w:t>23,7</w:t>
            </w:r>
          </w:p>
        </w:tc>
        <w:tc>
          <w:tcPr>
            <w:tcW w:w="680" w:type="dxa"/>
            <w:tcBorders>
              <w:top w:val="nil"/>
              <w:bottom w:val="nil"/>
            </w:tcBorders>
          </w:tcPr>
          <w:p w:rsidR="00000000" w:rsidRDefault="00000000">
            <w:pPr>
              <w:tabs>
                <w:tab w:val="decimal" w:pos="340"/>
              </w:tabs>
              <w:spacing w:before="40" w:after="40"/>
              <w:jc w:val="both"/>
              <w:rPr>
                <w:sz w:val="18"/>
              </w:rPr>
            </w:pPr>
            <w:r>
              <w:rPr>
                <w:sz w:val="18"/>
              </w:rPr>
              <w:t>23,3</w:t>
            </w:r>
          </w:p>
        </w:tc>
        <w:tc>
          <w:tcPr>
            <w:tcW w:w="680" w:type="dxa"/>
            <w:tcBorders>
              <w:top w:val="nil"/>
              <w:bottom w:val="nil"/>
            </w:tcBorders>
          </w:tcPr>
          <w:p w:rsidR="00000000" w:rsidRDefault="00000000">
            <w:pPr>
              <w:tabs>
                <w:tab w:val="decimal" w:pos="340"/>
              </w:tabs>
              <w:spacing w:before="40" w:after="40"/>
              <w:jc w:val="both"/>
              <w:rPr>
                <w:sz w:val="18"/>
              </w:rPr>
            </w:pPr>
            <w:r>
              <w:rPr>
                <w:sz w:val="18"/>
              </w:rPr>
              <w:t>26,7</w:t>
            </w:r>
          </w:p>
        </w:tc>
        <w:tc>
          <w:tcPr>
            <w:tcW w:w="680" w:type="dxa"/>
            <w:tcBorders>
              <w:top w:val="nil"/>
              <w:bottom w:val="nil"/>
            </w:tcBorders>
          </w:tcPr>
          <w:p w:rsidR="00000000" w:rsidRDefault="00000000">
            <w:pPr>
              <w:tabs>
                <w:tab w:val="decimal" w:pos="340"/>
              </w:tabs>
              <w:spacing w:before="40" w:after="40"/>
              <w:jc w:val="both"/>
              <w:rPr>
                <w:sz w:val="18"/>
              </w:rPr>
            </w:pPr>
            <w:r>
              <w:rPr>
                <w:sz w:val="18"/>
              </w:rPr>
              <w:t>26,1</w:t>
            </w:r>
          </w:p>
        </w:tc>
      </w:tr>
      <w:tr w:rsidR="00000000">
        <w:tblPrEx>
          <w:tblCellMar>
            <w:top w:w="0" w:type="dxa"/>
            <w:bottom w:w="0" w:type="dxa"/>
          </w:tblCellMar>
        </w:tblPrEx>
        <w:trPr>
          <w:jc w:val="center"/>
        </w:trPr>
        <w:tc>
          <w:tcPr>
            <w:tcW w:w="4026" w:type="dxa"/>
            <w:tcBorders>
              <w:top w:val="nil"/>
              <w:bottom w:val="nil"/>
            </w:tcBorders>
          </w:tcPr>
          <w:p w:rsidR="00000000" w:rsidRDefault="00000000">
            <w:pPr>
              <w:tabs>
                <w:tab w:val="left" w:pos="680"/>
              </w:tabs>
              <w:spacing w:before="40" w:after="40"/>
              <w:rPr>
                <w:sz w:val="18"/>
              </w:rPr>
            </w:pPr>
            <w:r>
              <w:rPr>
                <w:sz w:val="18"/>
              </w:rPr>
              <w:t>Промышленность</w:t>
            </w:r>
          </w:p>
        </w:tc>
        <w:tc>
          <w:tcPr>
            <w:tcW w:w="680" w:type="dxa"/>
            <w:tcBorders>
              <w:top w:val="nil"/>
              <w:bottom w:val="nil"/>
            </w:tcBorders>
          </w:tcPr>
          <w:p w:rsidR="00000000" w:rsidRDefault="00000000">
            <w:pPr>
              <w:tabs>
                <w:tab w:val="decimal" w:pos="340"/>
              </w:tabs>
              <w:spacing w:before="40" w:after="40"/>
              <w:jc w:val="both"/>
              <w:rPr>
                <w:sz w:val="18"/>
              </w:rPr>
            </w:pPr>
            <w:r>
              <w:rPr>
                <w:sz w:val="18"/>
              </w:rPr>
              <w:t>23,5</w:t>
            </w:r>
          </w:p>
        </w:tc>
        <w:tc>
          <w:tcPr>
            <w:tcW w:w="680" w:type="dxa"/>
            <w:tcBorders>
              <w:top w:val="nil"/>
              <w:bottom w:val="nil"/>
            </w:tcBorders>
          </w:tcPr>
          <w:p w:rsidR="00000000" w:rsidRDefault="00000000">
            <w:pPr>
              <w:tabs>
                <w:tab w:val="decimal" w:pos="340"/>
              </w:tabs>
              <w:spacing w:before="40" w:after="40"/>
              <w:jc w:val="both"/>
              <w:rPr>
                <w:sz w:val="18"/>
              </w:rPr>
            </w:pPr>
            <w:r>
              <w:rPr>
                <w:sz w:val="18"/>
              </w:rPr>
              <w:t>20,0</w:t>
            </w:r>
          </w:p>
        </w:tc>
        <w:tc>
          <w:tcPr>
            <w:tcW w:w="680" w:type="dxa"/>
            <w:tcBorders>
              <w:top w:val="nil"/>
              <w:bottom w:val="nil"/>
            </w:tcBorders>
          </w:tcPr>
          <w:p w:rsidR="00000000" w:rsidRDefault="00000000">
            <w:pPr>
              <w:tabs>
                <w:tab w:val="decimal" w:pos="340"/>
              </w:tabs>
              <w:spacing w:before="40" w:after="40"/>
              <w:jc w:val="both"/>
              <w:rPr>
                <w:sz w:val="18"/>
              </w:rPr>
            </w:pPr>
            <w:r>
              <w:rPr>
                <w:sz w:val="18"/>
              </w:rPr>
              <w:t>17,9</w:t>
            </w:r>
          </w:p>
        </w:tc>
        <w:tc>
          <w:tcPr>
            <w:tcW w:w="680" w:type="dxa"/>
            <w:tcBorders>
              <w:top w:val="nil"/>
              <w:bottom w:val="nil"/>
            </w:tcBorders>
          </w:tcPr>
          <w:p w:rsidR="00000000" w:rsidRDefault="00000000">
            <w:pPr>
              <w:tabs>
                <w:tab w:val="decimal" w:pos="340"/>
              </w:tabs>
              <w:spacing w:before="40" w:after="40"/>
              <w:jc w:val="both"/>
              <w:rPr>
                <w:sz w:val="18"/>
              </w:rPr>
            </w:pPr>
            <w:r>
              <w:rPr>
                <w:sz w:val="18"/>
              </w:rPr>
              <w:t>16,3</w:t>
            </w:r>
          </w:p>
        </w:tc>
        <w:tc>
          <w:tcPr>
            <w:tcW w:w="680" w:type="dxa"/>
            <w:tcBorders>
              <w:top w:val="nil"/>
              <w:bottom w:val="nil"/>
            </w:tcBorders>
          </w:tcPr>
          <w:p w:rsidR="00000000" w:rsidRDefault="00000000">
            <w:pPr>
              <w:tabs>
                <w:tab w:val="decimal" w:pos="340"/>
              </w:tabs>
              <w:spacing w:before="40" w:after="40"/>
              <w:jc w:val="both"/>
              <w:rPr>
                <w:sz w:val="18"/>
              </w:rPr>
            </w:pPr>
            <w:r>
              <w:rPr>
                <w:sz w:val="18"/>
              </w:rPr>
              <w:t>17,2</w:t>
            </w:r>
          </w:p>
        </w:tc>
        <w:tc>
          <w:tcPr>
            <w:tcW w:w="680" w:type="dxa"/>
            <w:tcBorders>
              <w:top w:val="nil"/>
              <w:bottom w:val="nil"/>
            </w:tcBorders>
          </w:tcPr>
          <w:p w:rsidR="00000000" w:rsidRDefault="00000000">
            <w:pPr>
              <w:tabs>
                <w:tab w:val="decimal" w:pos="340"/>
              </w:tabs>
              <w:spacing w:before="40" w:after="40"/>
              <w:jc w:val="both"/>
              <w:rPr>
                <w:sz w:val="18"/>
              </w:rPr>
            </w:pPr>
            <w:r>
              <w:rPr>
                <w:sz w:val="18"/>
              </w:rPr>
              <w:t>16,8</w:t>
            </w:r>
          </w:p>
        </w:tc>
        <w:tc>
          <w:tcPr>
            <w:tcW w:w="680" w:type="dxa"/>
            <w:tcBorders>
              <w:top w:val="nil"/>
              <w:bottom w:val="nil"/>
            </w:tcBorders>
          </w:tcPr>
          <w:p w:rsidR="00000000" w:rsidRDefault="00000000">
            <w:pPr>
              <w:tabs>
                <w:tab w:val="decimal" w:pos="340"/>
              </w:tabs>
              <w:spacing w:before="40" w:after="40"/>
              <w:jc w:val="both"/>
              <w:rPr>
                <w:sz w:val="18"/>
              </w:rPr>
            </w:pPr>
            <w:r>
              <w:rPr>
                <w:sz w:val="18"/>
              </w:rPr>
              <w:t>15,6</w:t>
            </w:r>
          </w:p>
        </w:tc>
      </w:tr>
      <w:tr w:rsidR="00000000">
        <w:tblPrEx>
          <w:tblCellMar>
            <w:top w:w="0" w:type="dxa"/>
            <w:bottom w:w="0" w:type="dxa"/>
          </w:tblCellMar>
        </w:tblPrEx>
        <w:trPr>
          <w:jc w:val="center"/>
        </w:trPr>
        <w:tc>
          <w:tcPr>
            <w:tcW w:w="4026" w:type="dxa"/>
            <w:tcBorders>
              <w:top w:val="nil"/>
            </w:tcBorders>
          </w:tcPr>
          <w:p w:rsidR="00000000" w:rsidRDefault="00000000">
            <w:pPr>
              <w:tabs>
                <w:tab w:val="left" w:pos="680"/>
              </w:tabs>
              <w:spacing w:before="40" w:after="40"/>
              <w:rPr>
                <w:sz w:val="18"/>
              </w:rPr>
            </w:pPr>
            <w:r>
              <w:rPr>
                <w:sz w:val="18"/>
              </w:rPr>
              <w:t>Сельское хозяйство, охота, лесное хозяйство, рыболовство</w:t>
            </w:r>
          </w:p>
        </w:tc>
        <w:tc>
          <w:tcPr>
            <w:tcW w:w="680" w:type="dxa"/>
            <w:tcBorders>
              <w:top w:val="nil"/>
            </w:tcBorders>
          </w:tcPr>
          <w:p w:rsidR="00000000" w:rsidRDefault="00000000">
            <w:pPr>
              <w:tabs>
                <w:tab w:val="decimal" w:pos="340"/>
              </w:tabs>
              <w:spacing w:before="40" w:after="40"/>
              <w:jc w:val="both"/>
              <w:rPr>
                <w:sz w:val="18"/>
              </w:rPr>
            </w:pPr>
            <w:r>
              <w:rPr>
                <w:sz w:val="18"/>
              </w:rPr>
              <w:t>6,4</w:t>
            </w:r>
          </w:p>
        </w:tc>
        <w:tc>
          <w:tcPr>
            <w:tcW w:w="680" w:type="dxa"/>
            <w:tcBorders>
              <w:top w:val="nil"/>
            </w:tcBorders>
          </w:tcPr>
          <w:p w:rsidR="00000000" w:rsidRDefault="00000000">
            <w:pPr>
              <w:tabs>
                <w:tab w:val="decimal" w:pos="340"/>
              </w:tabs>
              <w:spacing w:before="40" w:after="40"/>
              <w:jc w:val="both"/>
              <w:rPr>
                <w:sz w:val="18"/>
              </w:rPr>
            </w:pPr>
            <w:r>
              <w:rPr>
                <w:sz w:val="18"/>
              </w:rPr>
              <w:t>6,3</w:t>
            </w:r>
          </w:p>
        </w:tc>
        <w:tc>
          <w:tcPr>
            <w:tcW w:w="680" w:type="dxa"/>
            <w:tcBorders>
              <w:top w:val="nil"/>
            </w:tcBorders>
          </w:tcPr>
          <w:p w:rsidR="00000000" w:rsidRDefault="00000000">
            <w:pPr>
              <w:tabs>
                <w:tab w:val="decimal" w:pos="340"/>
              </w:tabs>
              <w:spacing w:before="40" w:after="40"/>
              <w:jc w:val="both"/>
              <w:rPr>
                <w:sz w:val="18"/>
              </w:rPr>
            </w:pPr>
            <w:r>
              <w:rPr>
                <w:sz w:val="18"/>
              </w:rPr>
              <w:t>5,7</w:t>
            </w:r>
          </w:p>
        </w:tc>
        <w:tc>
          <w:tcPr>
            <w:tcW w:w="680" w:type="dxa"/>
            <w:tcBorders>
              <w:top w:val="nil"/>
            </w:tcBorders>
          </w:tcPr>
          <w:p w:rsidR="00000000" w:rsidRDefault="00000000">
            <w:pPr>
              <w:tabs>
                <w:tab w:val="decimal" w:pos="340"/>
              </w:tabs>
              <w:spacing w:before="40" w:after="40"/>
              <w:jc w:val="both"/>
              <w:rPr>
                <w:sz w:val="18"/>
              </w:rPr>
            </w:pPr>
            <w:r>
              <w:rPr>
                <w:sz w:val="18"/>
              </w:rPr>
              <w:t>5,9</w:t>
            </w:r>
          </w:p>
        </w:tc>
        <w:tc>
          <w:tcPr>
            <w:tcW w:w="680" w:type="dxa"/>
            <w:tcBorders>
              <w:top w:val="nil"/>
            </w:tcBorders>
          </w:tcPr>
          <w:p w:rsidR="00000000" w:rsidRDefault="00000000">
            <w:pPr>
              <w:tabs>
                <w:tab w:val="decimal" w:pos="340"/>
              </w:tabs>
              <w:spacing w:before="40" w:after="40"/>
              <w:jc w:val="both"/>
              <w:rPr>
                <w:sz w:val="18"/>
              </w:rPr>
            </w:pPr>
            <w:r>
              <w:rPr>
                <w:sz w:val="18"/>
              </w:rPr>
              <w:t>5,5</w:t>
            </w:r>
          </w:p>
        </w:tc>
        <w:tc>
          <w:tcPr>
            <w:tcW w:w="680" w:type="dxa"/>
            <w:tcBorders>
              <w:top w:val="nil"/>
            </w:tcBorders>
          </w:tcPr>
          <w:p w:rsidR="00000000" w:rsidRDefault="00000000">
            <w:pPr>
              <w:tabs>
                <w:tab w:val="decimal" w:pos="340"/>
              </w:tabs>
              <w:spacing w:before="40" w:after="40"/>
              <w:jc w:val="both"/>
              <w:rPr>
                <w:sz w:val="18"/>
              </w:rPr>
            </w:pPr>
            <w:r>
              <w:rPr>
                <w:sz w:val="18"/>
              </w:rPr>
              <w:t>4,7</w:t>
            </w:r>
          </w:p>
        </w:tc>
        <w:tc>
          <w:tcPr>
            <w:tcW w:w="680" w:type="dxa"/>
            <w:tcBorders>
              <w:top w:val="nil"/>
            </w:tcBorders>
          </w:tcPr>
          <w:p w:rsidR="00000000" w:rsidRDefault="00000000">
            <w:pPr>
              <w:tabs>
                <w:tab w:val="decimal" w:pos="340"/>
              </w:tabs>
              <w:spacing w:before="40" w:after="40"/>
              <w:jc w:val="both"/>
              <w:rPr>
                <w:sz w:val="18"/>
              </w:rPr>
            </w:pPr>
            <w:r>
              <w:rPr>
                <w:sz w:val="18"/>
              </w:rPr>
              <w:t>5,4</w:t>
            </w:r>
          </w:p>
        </w:tc>
      </w:tr>
      <w:tr w:rsidR="00000000">
        <w:tblPrEx>
          <w:tblCellMar>
            <w:top w:w="0" w:type="dxa"/>
            <w:bottom w:w="0" w:type="dxa"/>
          </w:tblCellMar>
        </w:tblPrEx>
        <w:trPr>
          <w:cantSplit/>
          <w:jc w:val="center"/>
        </w:trPr>
        <w:tc>
          <w:tcPr>
            <w:tcW w:w="8786" w:type="dxa"/>
            <w:gridSpan w:val="8"/>
          </w:tcPr>
          <w:p w:rsidR="00000000" w:rsidRDefault="00000000">
            <w:pPr>
              <w:tabs>
                <w:tab w:val="decimal" w:pos="340"/>
              </w:tabs>
              <w:spacing w:before="40" w:after="40"/>
              <w:jc w:val="both"/>
              <w:rPr>
                <w:sz w:val="18"/>
              </w:rPr>
            </w:pPr>
            <w:r>
              <w:rPr>
                <w:i/>
                <w:sz w:val="18"/>
              </w:rPr>
              <w:t>Процент работающих женщин по категориям занятости</w:t>
            </w:r>
          </w:p>
        </w:tc>
      </w:tr>
      <w:tr w:rsidR="00000000">
        <w:tblPrEx>
          <w:tblCellMar>
            <w:top w:w="0" w:type="dxa"/>
            <w:bottom w:w="0" w:type="dxa"/>
          </w:tblCellMar>
        </w:tblPrEx>
        <w:trPr>
          <w:jc w:val="center"/>
        </w:trPr>
        <w:tc>
          <w:tcPr>
            <w:tcW w:w="4026" w:type="dxa"/>
            <w:tcBorders>
              <w:bottom w:val="nil"/>
            </w:tcBorders>
          </w:tcPr>
          <w:p w:rsidR="00000000" w:rsidRDefault="00000000">
            <w:pPr>
              <w:pStyle w:val="Heading8"/>
              <w:tabs>
                <w:tab w:val="left" w:pos="680"/>
              </w:tabs>
              <w:spacing w:before="40" w:after="40" w:line="240" w:lineRule="auto"/>
              <w:ind w:right="0"/>
              <w:rPr>
                <w:sz w:val="18"/>
              </w:rPr>
            </w:pPr>
            <w:r>
              <w:rPr>
                <w:sz w:val="18"/>
              </w:rPr>
              <w:t>Работающие по найму</w:t>
            </w:r>
          </w:p>
        </w:tc>
        <w:tc>
          <w:tcPr>
            <w:tcW w:w="680" w:type="dxa"/>
            <w:tcBorders>
              <w:bottom w:val="nil"/>
            </w:tcBorders>
          </w:tcPr>
          <w:p w:rsidR="00000000" w:rsidRDefault="00000000">
            <w:pPr>
              <w:tabs>
                <w:tab w:val="decimal" w:pos="340"/>
              </w:tabs>
              <w:spacing w:before="40" w:after="40"/>
              <w:jc w:val="both"/>
              <w:rPr>
                <w:sz w:val="18"/>
              </w:rPr>
            </w:pPr>
            <w:r>
              <w:rPr>
                <w:sz w:val="18"/>
              </w:rPr>
              <w:t>77,6</w:t>
            </w:r>
          </w:p>
        </w:tc>
        <w:tc>
          <w:tcPr>
            <w:tcW w:w="680" w:type="dxa"/>
            <w:tcBorders>
              <w:bottom w:val="nil"/>
            </w:tcBorders>
          </w:tcPr>
          <w:p w:rsidR="00000000" w:rsidRDefault="00000000">
            <w:pPr>
              <w:tabs>
                <w:tab w:val="decimal" w:pos="340"/>
              </w:tabs>
              <w:spacing w:before="40" w:after="40"/>
              <w:jc w:val="both"/>
              <w:rPr>
                <w:sz w:val="18"/>
              </w:rPr>
            </w:pPr>
            <w:r>
              <w:rPr>
                <w:sz w:val="18"/>
              </w:rPr>
              <w:t>75,6</w:t>
            </w:r>
          </w:p>
        </w:tc>
        <w:tc>
          <w:tcPr>
            <w:tcW w:w="680" w:type="dxa"/>
            <w:tcBorders>
              <w:bottom w:val="nil"/>
            </w:tcBorders>
          </w:tcPr>
          <w:p w:rsidR="00000000" w:rsidRDefault="00000000">
            <w:pPr>
              <w:tabs>
                <w:tab w:val="decimal" w:pos="340"/>
              </w:tabs>
              <w:spacing w:before="40" w:after="40"/>
              <w:jc w:val="both"/>
              <w:rPr>
                <w:sz w:val="18"/>
              </w:rPr>
            </w:pPr>
          </w:p>
        </w:tc>
        <w:tc>
          <w:tcPr>
            <w:tcW w:w="680" w:type="dxa"/>
            <w:tcBorders>
              <w:bottom w:val="nil"/>
            </w:tcBorders>
          </w:tcPr>
          <w:p w:rsidR="00000000" w:rsidRDefault="00000000">
            <w:pPr>
              <w:tabs>
                <w:tab w:val="decimal" w:pos="340"/>
              </w:tabs>
              <w:spacing w:before="40" w:after="40"/>
              <w:jc w:val="both"/>
              <w:rPr>
                <w:sz w:val="18"/>
              </w:rPr>
            </w:pPr>
          </w:p>
        </w:tc>
        <w:tc>
          <w:tcPr>
            <w:tcW w:w="680" w:type="dxa"/>
            <w:tcBorders>
              <w:bottom w:val="nil"/>
            </w:tcBorders>
          </w:tcPr>
          <w:p w:rsidR="00000000" w:rsidRDefault="00000000">
            <w:pPr>
              <w:tabs>
                <w:tab w:val="decimal" w:pos="340"/>
              </w:tabs>
              <w:spacing w:before="40" w:after="40"/>
              <w:jc w:val="both"/>
              <w:rPr>
                <w:sz w:val="18"/>
              </w:rPr>
            </w:pPr>
          </w:p>
        </w:tc>
        <w:tc>
          <w:tcPr>
            <w:tcW w:w="680" w:type="dxa"/>
            <w:tcBorders>
              <w:bottom w:val="nil"/>
            </w:tcBorders>
          </w:tcPr>
          <w:p w:rsidR="00000000" w:rsidRDefault="00000000">
            <w:pPr>
              <w:tabs>
                <w:tab w:val="decimal" w:pos="340"/>
              </w:tabs>
              <w:spacing w:before="40" w:after="40"/>
              <w:jc w:val="both"/>
              <w:rPr>
                <w:sz w:val="18"/>
              </w:rPr>
            </w:pPr>
            <w:r>
              <w:rPr>
                <w:sz w:val="18"/>
              </w:rPr>
              <w:t>74,9</w:t>
            </w:r>
          </w:p>
        </w:tc>
        <w:tc>
          <w:tcPr>
            <w:tcW w:w="680" w:type="dxa"/>
            <w:tcBorders>
              <w:bottom w:val="nil"/>
            </w:tcBorders>
          </w:tcPr>
          <w:p w:rsidR="00000000" w:rsidRDefault="00000000">
            <w:pPr>
              <w:tabs>
                <w:tab w:val="decimal" w:pos="340"/>
              </w:tabs>
              <w:spacing w:before="40" w:after="40"/>
              <w:jc w:val="both"/>
              <w:rPr>
                <w:sz w:val="18"/>
              </w:rPr>
            </w:pPr>
            <w:r>
              <w:rPr>
                <w:sz w:val="18"/>
              </w:rPr>
              <w:t>76,6</w:t>
            </w:r>
          </w:p>
        </w:tc>
      </w:tr>
      <w:tr w:rsidR="00000000">
        <w:tblPrEx>
          <w:tblCellMar>
            <w:top w:w="0" w:type="dxa"/>
            <w:bottom w:w="0" w:type="dxa"/>
          </w:tblCellMar>
        </w:tblPrEx>
        <w:trPr>
          <w:jc w:val="center"/>
        </w:trPr>
        <w:tc>
          <w:tcPr>
            <w:tcW w:w="4026" w:type="dxa"/>
            <w:tcBorders>
              <w:top w:val="nil"/>
              <w:bottom w:val="nil"/>
            </w:tcBorders>
          </w:tcPr>
          <w:p w:rsidR="00000000" w:rsidRDefault="00000000">
            <w:pPr>
              <w:tabs>
                <w:tab w:val="left" w:pos="680"/>
              </w:tabs>
              <w:spacing w:before="40" w:after="40"/>
              <w:rPr>
                <w:sz w:val="18"/>
              </w:rPr>
            </w:pPr>
            <w:r>
              <w:rPr>
                <w:sz w:val="18"/>
              </w:rPr>
              <w:t>Занимающиеся индивидуальной трудовой деятельностью</w:t>
            </w:r>
          </w:p>
        </w:tc>
        <w:tc>
          <w:tcPr>
            <w:tcW w:w="680" w:type="dxa"/>
            <w:tcBorders>
              <w:top w:val="nil"/>
              <w:bottom w:val="nil"/>
            </w:tcBorders>
          </w:tcPr>
          <w:p w:rsidR="00000000" w:rsidRDefault="00000000">
            <w:pPr>
              <w:tabs>
                <w:tab w:val="decimal" w:pos="340"/>
              </w:tabs>
              <w:spacing w:before="40" w:after="40"/>
              <w:jc w:val="both"/>
              <w:rPr>
                <w:sz w:val="18"/>
              </w:rPr>
            </w:pPr>
            <w:r>
              <w:rPr>
                <w:sz w:val="18"/>
              </w:rPr>
              <w:t>14,2</w:t>
            </w:r>
          </w:p>
        </w:tc>
        <w:tc>
          <w:tcPr>
            <w:tcW w:w="680" w:type="dxa"/>
            <w:tcBorders>
              <w:top w:val="nil"/>
              <w:bottom w:val="nil"/>
            </w:tcBorders>
          </w:tcPr>
          <w:p w:rsidR="00000000" w:rsidRDefault="00000000">
            <w:pPr>
              <w:tabs>
                <w:tab w:val="decimal" w:pos="340"/>
              </w:tabs>
              <w:spacing w:before="40" w:after="40"/>
              <w:jc w:val="both"/>
              <w:rPr>
                <w:sz w:val="18"/>
              </w:rPr>
            </w:pPr>
            <w:r>
              <w:rPr>
                <w:sz w:val="18"/>
              </w:rPr>
              <w:t>16,0</w:t>
            </w:r>
          </w:p>
        </w:tc>
        <w:tc>
          <w:tcPr>
            <w:tcW w:w="680" w:type="dxa"/>
            <w:tcBorders>
              <w:top w:val="nil"/>
              <w:bottom w:val="nil"/>
            </w:tcBorders>
          </w:tcPr>
          <w:p w:rsidR="00000000" w:rsidRDefault="00000000">
            <w:pPr>
              <w:tabs>
                <w:tab w:val="decimal" w:pos="340"/>
              </w:tabs>
              <w:spacing w:before="40" w:after="40"/>
              <w:jc w:val="both"/>
              <w:rPr>
                <w:sz w:val="18"/>
              </w:rPr>
            </w:pPr>
          </w:p>
        </w:tc>
        <w:tc>
          <w:tcPr>
            <w:tcW w:w="680" w:type="dxa"/>
            <w:tcBorders>
              <w:top w:val="nil"/>
              <w:bottom w:val="nil"/>
            </w:tcBorders>
          </w:tcPr>
          <w:p w:rsidR="00000000" w:rsidRDefault="00000000">
            <w:pPr>
              <w:tabs>
                <w:tab w:val="decimal" w:pos="340"/>
              </w:tabs>
              <w:spacing w:before="40" w:after="40"/>
              <w:jc w:val="both"/>
              <w:rPr>
                <w:sz w:val="18"/>
              </w:rPr>
            </w:pPr>
          </w:p>
        </w:tc>
        <w:tc>
          <w:tcPr>
            <w:tcW w:w="680" w:type="dxa"/>
            <w:tcBorders>
              <w:top w:val="nil"/>
              <w:bottom w:val="nil"/>
            </w:tcBorders>
          </w:tcPr>
          <w:p w:rsidR="00000000" w:rsidRDefault="00000000">
            <w:pPr>
              <w:tabs>
                <w:tab w:val="decimal" w:pos="340"/>
              </w:tabs>
              <w:spacing w:before="40" w:after="40"/>
              <w:jc w:val="both"/>
              <w:rPr>
                <w:sz w:val="18"/>
              </w:rPr>
            </w:pPr>
          </w:p>
        </w:tc>
        <w:tc>
          <w:tcPr>
            <w:tcW w:w="680" w:type="dxa"/>
            <w:tcBorders>
              <w:top w:val="nil"/>
              <w:bottom w:val="nil"/>
            </w:tcBorders>
          </w:tcPr>
          <w:p w:rsidR="00000000" w:rsidRDefault="00000000">
            <w:pPr>
              <w:tabs>
                <w:tab w:val="decimal" w:pos="340"/>
              </w:tabs>
              <w:spacing w:before="40" w:after="40"/>
              <w:jc w:val="both"/>
              <w:rPr>
                <w:sz w:val="18"/>
              </w:rPr>
            </w:pPr>
            <w:r>
              <w:rPr>
                <w:sz w:val="18"/>
              </w:rPr>
              <w:t>16,7</w:t>
            </w:r>
          </w:p>
        </w:tc>
        <w:tc>
          <w:tcPr>
            <w:tcW w:w="680" w:type="dxa"/>
            <w:tcBorders>
              <w:top w:val="nil"/>
              <w:bottom w:val="nil"/>
            </w:tcBorders>
          </w:tcPr>
          <w:p w:rsidR="00000000" w:rsidRDefault="00000000">
            <w:pPr>
              <w:tabs>
                <w:tab w:val="decimal" w:pos="340"/>
              </w:tabs>
              <w:spacing w:before="40" w:after="40"/>
              <w:jc w:val="both"/>
              <w:rPr>
                <w:sz w:val="18"/>
              </w:rPr>
            </w:pPr>
            <w:r>
              <w:rPr>
                <w:sz w:val="18"/>
              </w:rPr>
              <w:t>17,2</w:t>
            </w:r>
          </w:p>
        </w:tc>
      </w:tr>
      <w:tr w:rsidR="00000000">
        <w:tblPrEx>
          <w:tblCellMar>
            <w:top w:w="0" w:type="dxa"/>
            <w:bottom w:w="0" w:type="dxa"/>
          </w:tblCellMar>
        </w:tblPrEx>
        <w:trPr>
          <w:jc w:val="center"/>
        </w:trPr>
        <w:tc>
          <w:tcPr>
            <w:tcW w:w="4026" w:type="dxa"/>
            <w:tcBorders>
              <w:top w:val="nil"/>
              <w:bottom w:val="nil"/>
            </w:tcBorders>
          </w:tcPr>
          <w:p w:rsidR="00000000" w:rsidRDefault="00000000">
            <w:pPr>
              <w:tabs>
                <w:tab w:val="left" w:pos="680"/>
              </w:tabs>
              <w:spacing w:before="40" w:after="40"/>
              <w:rPr>
                <w:sz w:val="18"/>
              </w:rPr>
            </w:pPr>
            <w:r>
              <w:rPr>
                <w:sz w:val="18"/>
              </w:rPr>
              <w:t>Занятые неоплачиваемым трудом</w:t>
            </w:r>
          </w:p>
        </w:tc>
        <w:tc>
          <w:tcPr>
            <w:tcW w:w="680" w:type="dxa"/>
            <w:tcBorders>
              <w:top w:val="nil"/>
              <w:bottom w:val="nil"/>
            </w:tcBorders>
          </w:tcPr>
          <w:p w:rsidR="00000000" w:rsidRDefault="00000000">
            <w:pPr>
              <w:tabs>
                <w:tab w:val="decimal" w:pos="340"/>
              </w:tabs>
              <w:spacing w:before="40" w:after="40"/>
              <w:jc w:val="both"/>
              <w:rPr>
                <w:sz w:val="18"/>
              </w:rPr>
            </w:pPr>
            <w:r>
              <w:rPr>
                <w:sz w:val="18"/>
              </w:rPr>
              <w:t>6,4</w:t>
            </w:r>
          </w:p>
        </w:tc>
        <w:tc>
          <w:tcPr>
            <w:tcW w:w="680" w:type="dxa"/>
            <w:tcBorders>
              <w:top w:val="nil"/>
              <w:bottom w:val="nil"/>
            </w:tcBorders>
          </w:tcPr>
          <w:p w:rsidR="00000000" w:rsidRDefault="00000000">
            <w:pPr>
              <w:tabs>
                <w:tab w:val="decimal" w:pos="340"/>
              </w:tabs>
              <w:spacing w:before="40" w:after="40"/>
              <w:jc w:val="both"/>
              <w:rPr>
                <w:sz w:val="18"/>
              </w:rPr>
            </w:pPr>
            <w:r>
              <w:rPr>
                <w:sz w:val="18"/>
              </w:rPr>
              <w:t>5,1</w:t>
            </w:r>
          </w:p>
        </w:tc>
        <w:tc>
          <w:tcPr>
            <w:tcW w:w="680" w:type="dxa"/>
            <w:tcBorders>
              <w:top w:val="nil"/>
              <w:bottom w:val="nil"/>
            </w:tcBorders>
          </w:tcPr>
          <w:p w:rsidR="00000000" w:rsidRDefault="00000000">
            <w:pPr>
              <w:tabs>
                <w:tab w:val="decimal" w:pos="340"/>
              </w:tabs>
              <w:spacing w:before="40" w:after="40"/>
              <w:jc w:val="both"/>
              <w:rPr>
                <w:sz w:val="18"/>
              </w:rPr>
            </w:pPr>
          </w:p>
        </w:tc>
        <w:tc>
          <w:tcPr>
            <w:tcW w:w="680" w:type="dxa"/>
            <w:tcBorders>
              <w:top w:val="nil"/>
              <w:bottom w:val="nil"/>
            </w:tcBorders>
          </w:tcPr>
          <w:p w:rsidR="00000000" w:rsidRDefault="00000000">
            <w:pPr>
              <w:tabs>
                <w:tab w:val="decimal" w:pos="340"/>
              </w:tabs>
              <w:spacing w:before="40" w:after="40"/>
              <w:jc w:val="both"/>
              <w:rPr>
                <w:sz w:val="18"/>
              </w:rPr>
            </w:pPr>
          </w:p>
        </w:tc>
        <w:tc>
          <w:tcPr>
            <w:tcW w:w="680" w:type="dxa"/>
            <w:tcBorders>
              <w:top w:val="nil"/>
              <w:bottom w:val="nil"/>
            </w:tcBorders>
          </w:tcPr>
          <w:p w:rsidR="00000000" w:rsidRDefault="00000000">
            <w:pPr>
              <w:tabs>
                <w:tab w:val="decimal" w:pos="340"/>
              </w:tabs>
              <w:spacing w:before="40" w:after="40"/>
              <w:jc w:val="both"/>
              <w:rPr>
                <w:sz w:val="18"/>
              </w:rPr>
            </w:pPr>
          </w:p>
        </w:tc>
        <w:tc>
          <w:tcPr>
            <w:tcW w:w="680" w:type="dxa"/>
            <w:tcBorders>
              <w:top w:val="nil"/>
              <w:bottom w:val="nil"/>
            </w:tcBorders>
          </w:tcPr>
          <w:p w:rsidR="00000000" w:rsidRDefault="00000000">
            <w:pPr>
              <w:tabs>
                <w:tab w:val="decimal" w:pos="340"/>
              </w:tabs>
              <w:spacing w:before="40" w:after="40"/>
              <w:jc w:val="both"/>
              <w:rPr>
                <w:sz w:val="18"/>
              </w:rPr>
            </w:pPr>
            <w:r>
              <w:rPr>
                <w:sz w:val="18"/>
              </w:rPr>
              <w:t>4,3</w:t>
            </w:r>
          </w:p>
        </w:tc>
        <w:tc>
          <w:tcPr>
            <w:tcW w:w="680" w:type="dxa"/>
            <w:tcBorders>
              <w:top w:val="nil"/>
              <w:bottom w:val="nil"/>
            </w:tcBorders>
          </w:tcPr>
          <w:p w:rsidR="00000000" w:rsidRDefault="00000000">
            <w:pPr>
              <w:tabs>
                <w:tab w:val="decimal" w:pos="340"/>
              </w:tabs>
              <w:spacing w:before="40" w:after="40"/>
              <w:jc w:val="both"/>
              <w:rPr>
                <w:sz w:val="18"/>
              </w:rPr>
            </w:pPr>
            <w:r>
              <w:rPr>
                <w:sz w:val="18"/>
              </w:rPr>
              <w:t>3,3</w:t>
            </w:r>
          </w:p>
        </w:tc>
      </w:tr>
      <w:tr w:rsidR="00000000">
        <w:tblPrEx>
          <w:tblCellMar>
            <w:top w:w="0" w:type="dxa"/>
            <w:bottom w:w="0" w:type="dxa"/>
          </w:tblCellMar>
        </w:tblPrEx>
        <w:trPr>
          <w:jc w:val="center"/>
        </w:trPr>
        <w:tc>
          <w:tcPr>
            <w:tcW w:w="4026" w:type="dxa"/>
            <w:tcBorders>
              <w:top w:val="nil"/>
            </w:tcBorders>
          </w:tcPr>
          <w:p w:rsidR="00000000" w:rsidRDefault="00000000">
            <w:pPr>
              <w:tabs>
                <w:tab w:val="left" w:pos="680"/>
              </w:tabs>
              <w:spacing w:before="40" w:after="40"/>
              <w:rPr>
                <w:sz w:val="18"/>
              </w:rPr>
            </w:pPr>
            <w:r>
              <w:rPr>
                <w:sz w:val="18"/>
              </w:rPr>
              <w:t>Владелицы предприятий</w:t>
            </w:r>
          </w:p>
        </w:tc>
        <w:tc>
          <w:tcPr>
            <w:tcW w:w="680" w:type="dxa"/>
            <w:tcBorders>
              <w:top w:val="nil"/>
            </w:tcBorders>
          </w:tcPr>
          <w:p w:rsidR="00000000" w:rsidRDefault="00000000">
            <w:pPr>
              <w:tabs>
                <w:tab w:val="decimal" w:pos="340"/>
              </w:tabs>
              <w:spacing w:before="40" w:after="40"/>
              <w:jc w:val="both"/>
              <w:rPr>
                <w:sz w:val="18"/>
              </w:rPr>
            </w:pPr>
            <w:r>
              <w:rPr>
                <w:sz w:val="18"/>
              </w:rPr>
              <w:t>1,8</w:t>
            </w:r>
          </w:p>
        </w:tc>
        <w:tc>
          <w:tcPr>
            <w:tcW w:w="680" w:type="dxa"/>
            <w:tcBorders>
              <w:top w:val="nil"/>
            </w:tcBorders>
          </w:tcPr>
          <w:p w:rsidR="00000000" w:rsidRDefault="00000000">
            <w:pPr>
              <w:tabs>
                <w:tab w:val="decimal" w:pos="340"/>
              </w:tabs>
              <w:spacing w:before="40" w:after="40"/>
              <w:jc w:val="both"/>
              <w:rPr>
                <w:sz w:val="18"/>
              </w:rPr>
            </w:pPr>
            <w:r>
              <w:rPr>
                <w:sz w:val="18"/>
              </w:rPr>
              <w:t>3,3</w:t>
            </w:r>
          </w:p>
        </w:tc>
        <w:tc>
          <w:tcPr>
            <w:tcW w:w="680" w:type="dxa"/>
            <w:tcBorders>
              <w:top w:val="nil"/>
            </w:tcBorders>
          </w:tcPr>
          <w:p w:rsidR="00000000" w:rsidRDefault="00000000">
            <w:pPr>
              <w:tabs>
                <w:tab w:val="decimal" w:pos="340"/>
              </w:tabs>
              <w:spacing w:before="40" w:after="40"/>
              <w:jc w:val="both"/>
              <w:rPr>
                <w:sz w:val="18"/>
              </w:rPr>
            </w:pPr>
          </w:p>
        </w:tc>
        <w:tc>
          <w:tcPr>
            <w:tcW w:w="680" w:type="dxa"/>
            <w:tcBorders>
              <w:top w:val="nil"/>
            </w:tcBorders>
          </w:tcPr>
          <w:p w:rsidR="00000000" w:rsidRDefault="00000000">
            <w:pPr>
              <w:tabs>
                <w:tab w:val="decimal" w:pos="340"/>
              </w:tabs>
              <w:spacing w:before="40" w:after="40"/>
              <w:jc w:val="both"/>
              <w:rPr>
                <w:sz w:val="18"/>
              </w:rPr>
            </w:pPr>
          </w:p>
        </w:tc>
        <w:tc>
          <w:tcPr>
            <w:tcW w:w="680" w:type="dxa"/>
            <w:tcBorders>
              <w:top w:val="nil"/>
            </w:tcBorders>
          </w:tcPr>
          <w:p w:rsidR="00000000" w:rsidRDefault="00000000">
            <w:pPr>
              <w:tabs>
                <w:tab w:val="decimal" w:pos="340"/>
              </w:tabs>
              <w:spacing w:before="40" w:after="40"/>
              <w:jc w:val="both"/>
              <w:rPr>
                <w:sz w:val="18"/>
              </w:rPr>
            </w:pPr>
          </w:p>
        </w:tc>
        <w:tc>
          <w:tcPr>
            <w:tcW w:w="680" w:type="dxa"/>
            <w:tcBorders>
              <w:top w:val="nil"/>
            </w:tcBorders>
          </w:tcPr>
          <w:p w:rsidR="00000000" w:rsidRDefault="00000000">
            <w:pPr>
              <w:tabs>
                <w:tab w:val="decimal" w:pos="340"/>
              </w:tabs>
              <w:spacing w:before="40" w:after="40"/>
              <w:jc w:val="both"/>
              <w:rPr>
                <w:sz w:val="18"/>
              </w:rPr>
            </w:pPr>
            <w:r>
              <w:rPr>
                <w:sz w:val="18"/>
              </w:rPr>
              <w:t>4,3</w:t>
            </w:r>
          </w:p>
        </w:tc>
        <w:tc>
          <w:tcPr>
            <w:tcW w:w="680" w:type="dxa"/>
            <w:tcBorders>
              <w:top w:val="nil"/>
            </w:tcBorders>
          </w:tcPr>
          <w:p w:rsidR="00000000" w:rsidRDefault="00000000">
            <w:pPr>
              <w:tabs>
                <w:tab w:val="decimal" w:pos="340"/>
              </w:tabs>
              <w:spacing w:before="40" w:after="40"/>
              <w:jc w:val="both"/>
              <w:rPr>
                <w:sz w:val="18"/>
              </w:rPr>
            </w:pPr>
            <w:r>
              <w:rPr>
                <w:sz w:val="18"/>
              </w:rPr>
              <w:t>2,9</w:t>
            </w:r>
          </w:p>
        </w:tc>
      </w:tr>
      <w:tr w:rsidR="00000000">
        <w:tblPrEx>
          <w:tblCellMar>
            <w:top w:w="0" w:type="dxa"/>
            <w:bottom w:w="0" w:type="dxa"/>
          </w:tblCellMar>
        </w:tblPrEx>
        <w:trPr>
          <w:cantSplit/>
          <w:jc w:val="center"/>
        </w:trPr>
        <w:tc>
          <w:tcPr>
            <w:tcW w:w="8786" w:type="dxa"/>
            <w:gridSpan w:val="8"/>
          </w:tcPr>
          <w:p w:rsidR="00000000" w:rsidRDefault="00000000">
            <w:pPr>
              <w:tabs>
                <w:tab w:val="decimal" w:pos="340"/>
              </w:tabs>
              <w:spacing w:before="40" w:after="40"/>
              <w:jc w:val="both"/>
              <w:rPr>
                <w:sz w:val="18"/>
              </w:rPr>
            </w:pPr>
            <w:r>
              <w:rPr>
                <w:i/>
                <w:sz w:val="18"/>
              </w:rPr>
              <w:t>Соотношение мужчин и женщин по среднемесячной заработной плате</w:t>
            </w:r>
            <w:r>
              <w:rPr>
                <w:i/>
                <w:sz w:val="18"/>
                <w:vertAlign w:val="superscript"/>
              </w:rPr>
              <w:t xml:space="preserve"> </w:t>
            </w:r>
            <w:r>
              <w:rPr>
                <w:i/>
                <w:sz w:val="18"/>
                <w:vertAlign w:val="superscript"/>
                <w:lang w:val="en-US"/>
              </w:rPr>
              <w:t>b</w:t>
            </w:r>
            <w:r>
              <w:rPr>
                <w:i/>
                <w:sz w:val="18"/>
                <w:vertAlign w:val="superscript"/>
              </w:rPr>
              <w:t>)</w:t>
            </w:r>
          </w:p>
        </w:tc>
      </w:tr>
      <w:tr w:rsidR="00000000">
        <w:tblPrEx>
          <w:tblCellMar>
            <w:top w:w="0" w:type="dxa"/>
            <w:bottom w:w="0" w:type="dxa"/>
          </w:tblCellMar>
        </w:tblPrEx>
        <w:trPr>
          <w:jc w:val="center"/>
        </w:trPr>
        <w:tc>
          <w:tcPr>
            <w:tcW w:w="4026" w:type="dxa"/>
            <w:tcBorders>
              <w:bottom w:val="nil"/>
            </w:tcBorders>
          </w:tcPr>
          <w:p w:rsidR="00000000" w:rsidRDefault="00000000">
            <w:pPr>
              <w:pStyle w:val="Heading8"/>
              <w:tabs>
                <w:tab w:val="left" w:pos="680"/>
              </w:tabs>
              <w:spacing w:before="40" w:after="40" w:line="240" w:lineRule="auto"/>
              <w:ind w:right="0"/>
              <w:rPr>
                <w:sz w:val="18"/>
              </w:rPr>
            </w:pPr>
            <w:r>
              <w:rPr>
                <w:sz w:val="18"/>
              </w:rPr>
              <w:t>Работающие по найму</w:t>
            </w:r>
          </w:p>
        </w:tc>
        <w:tc>
          <w:tcPr>
            <w:tcW w:w="680" w:type="dxa"/>
            <w:tcBorders>
              <w:bottom w:val="nil"/>
            </w:tcBorders>
          </w:tcPr>
          <w:p w:rsidR="00000000" w:rsidRDefault="00000000">
            <w:pPr>
              <w:tabs>
                <w:tab w:val="decimal" w:pos="340"/>
              </w:tabs>
              <w:spacing w:before="40" w:after="40"/>
              <w:jc w:val="both"/>
              <w:rPr>
                <w:sz w:val="18"/>
              </w:rPr>
            </w:pPr>
            <w:r>
              <w:rPr>
                <w:sz w:val="18"/>
              </w:rPr>
              <w:t>84,0</w:t>
            </w:r>
          </w:p>
        </w:tc>
        <w:tc>
          <w:tcPr>
            <w:tcW w:w="680" w:type="dxa"/>
            <w:tcBorders>
              <w:bottom w:val="nil"/>
            </w:tcBorders>
          </w:tcPr>
          <w:p w:rsidR="00000000" w:rsidRDefault="00000000">
            <w:pPr>
              <w:tabs>
                <w:tab w:val="decimal" w:pos="340"/>
              </w:tabs>
              <w:spacing w:before="40" w:after="40"/>
              <w:jc w:val="both"/>
              <w:rPr>
                <w:sz w:val="18"/>
              </w:rPr>
            </w:pPr>
            <w:r>
              <w:rPr>
                <w:sz w:val="18"/>
              </w:rPr>
              <w:t>84,4</w:t>
            </w:r>
          </w:p>
        </w:tc>
        <w:tc>
          <w:tcPr>
            <w:tcW w:w="680" w:type="dxa"/>
            <w:tcBorders>
              <w:bottom w:val="nil"/>
            </w:tcBorders>
          </w:tcPr>
          <w:p w:rsidR="00000000" w:rsidRDefault="00000000">
            <w:pPr>
              <w:tabs>
                <w:tab w:val="decimal" w:pos="340"/>
              </w:tabs>
              <w:spacing w:before="40" w:after="40"/>
              <w:jc w:val="both"/>
              <w:rPr>
                <w:sz w:val="18"/>
              </w:rPr>
            </w:pPr>
            <w:r>
              <w:rPr>
                <w:sz w:val="18"/>
              </w:rPr>
              <w:t>92,1</w:t>
            </w:r>
          </w:p>
        </w:tc>
        <w:tc>
          <w:tcPr>
            <w:tcW w:w="680" w:type="dxa"/>
            <w:tcBorders>
              <w:bottom w:val="nil"/>
            </w:tcBorders>
          </w:tcPr>
          <w:p w:rsidR="00000000" w:rsidRDefault="00000000">
            <w:pPr>
              <w:tabs>
                <w:tab w:val="decimal" w:pos="340"/>
              </w:tabs>
              <w:spacing w:before="40" w:after="40"/>
              <w:jc w:val="both"/>
              <w:rPr>
                <w:sz w:val="18"/>
              </w:rPr>
            </w:pPr>
            <w:r>
              <w:rPr>
                <w:sz w:val="18"/>
              </w:rPr>
              <w:t>97,1</w:t>
            </w:r>
          </w:p>
        </w:tc>
        <w:tc>
          <w:tcPr>
            <w:tcW w:w="680" w:type="dxa"/>
            <w:tcBorders>
              <w:bottom w:val="nil"/>
            </w:tcBorders>
          </w:tcPr>
          <w:p w:rsidR="00000000" w:rsidRDefault="00000000">
            <w:pPr>
              <w:tabs>
                <w:tab w:val="decimal" w:pos="340"/>
              </w:tabs>
              <w:spacing w:before="40" w:after="40"/>
              <w:jc w:val="both"/>
              <w:rPr>
                <w:sz w:val="18"/>
              </w:rPr>
            </w:pPr>
            <w:r>
              <w:rPr>
                <w:sz w:val="18"/>
              </w:rPr>
              <w:t>93,3</w:t>
            </w:r>
          </w:p>
        </w:tc>
        <w:tc>
          <w:tcPr>
            <w:tcW w:w="680" w:type="dxa"/>
            <w:tcBorders>
              <w:bottom w:val="nil"/>
            </w:tcBorders>
          </w:tcPr>
          <w:p w:rsidR="00000000" w:rsidRDefault="00000000">
            <w:pPr>
              <w:tabs>
                <w:tab w:val="decimal" w:pos="340"/>
              </w:tabs>
              <w:spacing w:before="40" w:after="40"/>
              <w:jc w:val="both"/>
              <w:rPr>
                <w:sz w:val="18"/>
              </w:rPr>
            </w:pPr>
            <w:r>
              <w:rPr>
                <w:sz w:val="18"/>
              </w:rPr>
              <w:t>90,3</w:t>
            </w:r>
          </w:p>
        </w:tc>
        <w:tc>
          <w:tcPr>
            <w:tcW w:w="680" w:type="dxa"/>
            <w:tcBorders>
              <w:bottom w:val="nil"/>
            </w:tcBorders>
          </w:tcPr>
          <w:p w:rsidR="00000000" w:rsidRDefault="00000000">
            <w:pPr>
              <w:tabs>
                <w:tab w:val="decimal" w:pos="340"/>
              </w:tabs>
              <w:spacing w:before="40" w:after="40"/>
              <w:jc w:val="both"/>
              <w:rPr>
                <w:sz w:val="18"/>
              </w:rPr>
            </w:pPr>
            <w:r>
              <w:rPr>
                <w:sz w:val="18"/>
              </w:rPr>
              <w:t>91,7</w:t>
            </w:r>
          </w:p>
        </w:tc>
      </w:tr>
      <w:tr w:rsidR="00000000">
        <w:tblPrEx>
          <w:tblCellMar>
            <w:top w:w="0" w:type="dxa"/>
            <w:bottom w:w="0" w:type="dxa"/>
          </w:tblCellMar>
        </w:tblPrEx>
        <w:trPr>
          <w:jc w:val="center"/>
        </w:trPr>
        <w:tc>
          <w:tcPr>
            <w:tcW w:w="4026" w:type="dxa"/>
            <w:tcBorders>
              <w:top w:val="nil"/>
              <w:bottom w:val="nil"/>
            </w:tcBorders>
          </w:tcPr>
          <w:p w:rsidR="00000000" w:rsidRDefault="00000000">
            <w:pPr>
              <w:tabs>
                <w:tab w:val="left" w:pos="680"/>
              </w:tabs>
              <w:spacing w:before="40" w:after="40"/>
              <w:rPr>
                <w:sz w:val="18"/>
              </w:rPr>
            </w:pPr>
            <w:r>
              <w:rPr>
                <w:sz w:val="18"/>
              </w:rPr>
              <w:t>Законченное начальное образование</w:t>
            </w:r>
          </w:p>
        </w:tc>
        <w:tc>
          <w:tcPr>
            <w:tcW w:w="680" w:type="dxa"/>
            <w:tcBorders>
              <w:top w:val="nil"/>
              <w:bottom w:val="nil"/>
            </w:tcBorders>
          </w:tcPr>
          <w:p w:rsidR="00000000" w:rsidRDefault="00000000">
            <w:pPr>
              <w:tabs>
                <w:tab w:val="decimal" w:pos="340"/>
              </w:tabs>
              <w:spacing w:before="40" w:after="40"/>
              <w:jc w:val="both"/>
              <w:rPr>
                <w:sz w:val="18"/>
              </w:rPr>
            </w:pPr>
            <w:r>
              <w:rPr>
                <w:sz w:val="18"/>
              </w:rPr>
              <w:t>72,5</w:t>
            </w:r>
          </w:p>
        </w:tc>
        <w:tc>
          <w:tcPr>
            <w:tcW w:w="680" w:type="dxa"/>
            <w:tcBorders>
              <w:top w:val="nil"/>
              <w:bottom w:val="nil"/>
            </w:tcBorders>
          </w:tcPr>
          <w:p w:rsidR="00000000" w:rsidRDefault="00000000">
            <w:pPr>
              <w:tabs>
                <w:tab w:val="decimal" w:pos="340"/>
              </w:tabs>
              <w:spacing w:before="40" w:after="40"/>
              <w:jc w:val="both"/>
              <w:rPr>
                <w:sz w:val="18"/>
              </w:rPr>
            </w:pPr>
            <w:r>
              <w:rPr>
                <w:sz w:val="18"/>
              </w:rPr>
              <w:t>71,9</w:t>
            </w:r>
          </w:p>
        </w:tc>
        <w:tc>
          <w:tcPr>
            <w:tcW w:w="680" w:type="dxa"/>
            <w:tcBorders>
              <w:top w:val="nil"/>
              <w:bottom w:val="nil"/>
            </w:tcBorders>
          </w:tcPr>
          <w:p w:rsidR="00000000" w:rsidRDefault="00000000">
            <w:pPr>
              <w:tabs>
                <w:tab w:val="decimal" w:pos="340"/>
              </w:tabs>
              <w:spacing w:before="40" w:after="40"/>
              <w:jc w:val="both"/>
              <w:rPr>
                <w:sz w:val="18"/>
              </w:rPr>
            </w:pPr>
            <w:r>
              <w:rPr>
                <w:sz w:val="18"/>
              </w:rPr>
              <w:t>74,6</w:t>
            </w:r>
          </w:p>
        </w:tc>
        <w:tc>
          <w:tcPr>
            <w:tcW w:w="680" w:type="dxa"/>
            <w:tcBorders>
              <w:top w:val="nil"/>
              <w:bottom w:val="nil"/>
            </w:tcBorders>
          </w:tcPr>
          <w:p w:rsidR="00000000" w:rsidRDefault="00000000">
            <w:pPr>
              <w:tabs>
                <w:tab w:val="decimal" w:pos="340"/>
              </w:tabs>
              <w:spacing w:before="40" w:after="40"/>
              <w:jc w:val="both"/>
              <w:rPr>
                <w:sz w:val="18"/>
              </w:rPr>
            </w:pPr>
            <w:r>
              <w:rPr>
                <w:sz w:val="18"/>
              </w:rPr>
              <w:t>75,2</w:t>
            </w:r>
          </w:p>
        </w:tc>
        <w:tc>
          <w:tcPr>
            <w:tcW w:w="680" w:type="dxa"/>
            <w:tcBorders>
              <w:top w:val="nil"/>
              <w:bottom w:val="nil"/>
            </w:tcBorders>
          </w:tcPr>
          <w:p w:rsidR="00000000" w:rsidRDefault="00000000">
            <w:pPr>
              <w:tabs>
                <w:tab w:val="decimal" w:pos="340"/>
              </w:tabs>
              <w:spacing w:before="40" w:after="40"/>
              <w:jc w:val="both"/>
              <w:rPr>
                <w:sz w:val="18"/>
              </w:rPr>
            </w:pPr>
            <w:r>
              <w:rPr>
                <w:sz w:val="18"/>
              </w:rPr>
              <w:t>73,0</w:t>
            </w:r>
          </w:p>
        </w:tc>
        <w:tc>
          <w:tcPr>
            <w:tcW w:w="680" w:type="dxa"/>
            <w:tcBorders>
              <w:top w:val="nil"/>
              <w:bottom w:val="nil"/>
            </w:tcBorders>
          </w:tcPr>
          <w:p w:rsidR="00000000" w:rsidRDefault="00000000">
            <w:pPr>
              <w:tabs>
                <w:tab w:val="decimal" w:pos="340"/>
              </w:tabs>
              <w:spacing w:before="40" w:after="40"/>
              <w:jc w:val="both"/>
              <w:rPr>
                <w:sz w:val="18"/>
              </w:rPr>
            </w:pPr>
            <w:r>
              <w:rPr>
                <w:sz w:val="18"/>
              </w:rPr>
              <w:t>74,4</w:t>
            </w:r>
          </w:p>
        </w:tc>
        <w:tc>
          <w:tcPr>
            <w:tcW w:w="680" w:type="dxa"/>
            <w:tcBorders>
              <w:top w:val="nil"/>
              <w:bottom w:val="nil"/>
            </w:tcBorders>
          </w:tcPr>
          <w:p w:rsidR="00000000" w:rsidRDefault="00000000">
            <w:pPr>
              <w:tabs>
                <w:tab w:val="decimal" w:pos="340"/>
              </w:tabs>
              <w:spacing w:before="40" w:after="40"/>
              <w:jc w:val="both"/>
              <w:rPr>
                <w:sz w:val="18"/>
              </w:rPr>
            </w:pPr>
            <w:r>
              <w:rPr>
                <w:sz w:val="18"/>
              </w:rPr>
              <w:t>75,2</w:t>
            </w:r>
          </w:p>
        </w:tc>
      </w:tr>
      <w:tr w:rsidR="00000000">
        <w:tblPrEx>
          <w:tblCellMar>
            <w:top w:w="0" w:type="dxa"/>
            <w:bottom w:w="0" w:type="dxa"/>
          </w:tblCellMar>
        </w:tblPrEx>
        <w:trPr>
          <w:jc w:val="center"/>
        </w:trPr>
        <w:tc>
          <w:tcPr>
            <w:tcW w:w="4026" w:type="dxa"/>
            <w:tcBorders>
              <w:top w:val="nil"/>
              <w:bottom w:val="nil"/>
            </w:tcBorders>
          </w:tcPr>
          <w:p w:rsidR="00000000" w:rsidRDefault="00000000">
            <w:pPr>
              <w:tabs>
                <w:tab w:val="left" w:pos="680"/>
              </w:tabs>
              <w:spacing w:before="40" w:after="40"/>
              <w:rPr>
                <w:sz w:val="18"/>
              </w:rPr>
            </w:pPr>
            <w:r>
              <w:rPr>
                <w:sz w:val="18"/>
              </w:rPr>
              <w:t>Полное среднее образование</w:t>
            </w:r>
          </w:p>
        </w:tc>
        <w:tc>
          <w:tcPr>
            <w:tcW w:w="680" w:type="dxa"/>
            <w:tcBorders>
              <w:top w:val="nil"/>
              <w:bottom w:val="nil"/>
            </w:tcBorders>
          </w:tcPr>
          <w:p w:rsidR="00000000" w:rsidRDefault="00000000">
            <w:pPr>
              <w:tabs>
                <w:tab w:val="decimal" w:pos="340"/>
              </w:tabs>
              <w:spacing w:before="40" w:after="40"/>
              <w:jc w:val="both"/>
              <w:rPr>
                <w:sz w:val="18"/>
              </w:rPr>
            </w:pPr>
            <w:r>
              <w:rPr>
                <w:sz w:val="18"/>
              </w:rPr>
              <w:t>81,4</w:t>
            </w:r>
          </w:p>
        </w:tc>
        <w:tc>
          <w:tcPr>
            <w:tcW w:w="680" w:type="dxa"/>
            <w:tcBorders>
              <w:top w:val="nil"/>
              <w:bottom w:val="nil"/>
            </w:tcBorders>
          </w:tcPr>
          <w:p w:rsidR="00000000" w:rsidRDefault="00000000">
            <w:pPr>
              <w:tabs>
                <w:tab w:val="decimal" w:pos="340"/>
              </w:tabs>
              <w:spacing w:before="40" w:after="40"/>
              <w:jc w:val="both"/>
              <w:rPr>
                <w:sz w:val="18"/>
              </w:rPr>
            </w:pPr>
            <w:r>
              <w:rPr>
                <w:sz w:val="18"/>
              </w:rPr>
              <w:t>75,5</w:t>
            </w:r>
          </w:p>
        </w:tc>
        <w:tc>
          <w:tcPr>
            <w:tcW w:w="680" w:type="dxa"/>
            <w:tcBorders>
              <w:top w:val="nil"/>
              <w:bottom w:val="nil"/>
            </w:tcBorders>
          </w:tcPr>
          <w:p w:rsidR="00000000" w:rsidRDefault="00000000">
            <w:pPr>
              <w:tabs>
                <w:tab w:val="decimal" w:pos="340"/>
              </w:tabs>
              <w:spacing w:before="40" w:after="40"/>
              <w:jc w:val="both"/>
              <w:rPr>
                <w:sz w:val="18"/>
              </w:rPr>
            </w:pPr>
            <w:r>
              <w:rPr>
                <w:sz w:val="18"/>
              </w:rPr>
              <w:t>79,3</w:t>
            </w:r>
          </w:p>
        </w:tc>
        <w:tc>
          <w:tcPr>
            <w:tcW w:w="680" w:type="dxa"/>
            <w:tcBorders>
              <w:top w:val="nil"/>
              <w:bottom w:val="nil"/>
            </w:tcBorders>
          </w:tcPr>
          <w:p w:rsidR="00000000" w:rsidRDefault="00000000">
            <w:pPr>
              <w:tabs>
                <w:tab w:val="decimal" w:pos="340"/>
              </w:tabs>
              <w:spacing w:before="40" w:after="40"/>
              <w:jc w:val="both"/>
              <w:rPr>
                <w:sz w:val="18"/>
              </w:rPr>
            </w:pPr>
            <w:r>
              <w:rPr>
                <w:sz w:val="18"/>
              </w:rPr>
              <w:t>84,0</w:t>
            </w:r>
          </w:p>
        </w:tc>
        <w:tc>
          <w:tcPr>
            <w:tcW w:w="680" w:type="dxa"/>
            <w:tcBorders>
              <w:top w:val="nil"/>
              <w:bottom w:val="nil"/>
            </w:tcBorders>
          </w:tcPr>
          <w:p w:rsidR="00000000" w:rsidRDefault="00000000">
            <w:pPr>
              <w:tabs>
                <w:tab w:val="decimal" w:pos="340"/>
              </w:tabs>
              <w:spacing w:before="40" w:after="40"/>
              <w:jc w:val="both"/>
              <w:rPr>
                <w:sz w:val="18"/>
              </w:rPr>
            </w:pPr>
            <w:r>
              <w:rPr>
                <w:sz w:val="18"/>
              </w:rPr>
              <w:t>79,6</w:t>
            </w:r>
          </w:p>
        </w:tc>
        <w:tc>
          <w:tcPr>
            <w:tcW w:w="680" w:type="dxa"/>
            <w:tcBorders>
              <w:top w:val="nil"/>
              <w:bottom w:val="nil"/>
            </w:tcBorders>
          </w:tcPr>
          <w:p w:rsidR="00000000" w:rsidRDefault="00000000">
            <w:pPr>
              <w:tabs>
                <w:tab w:val="decimal" w:pos="340"/>
              </w:tabs>
              <w:spacing w:before="40" w:after="40"/>
              <w:jc w:val="both"/>
              <w:rPr>
                <w:sz w:val="18"/>
              </w:rPr>
            </w:pPr>
            <w:r>
              <w:rPr>
                <w:sz w:val="18"/>
              </w:rPr>
              <w:t>74,3</w:t>
            </w:r>
          </w:p>
        </w:tc>
        <w:tc>
          <w:tcPr>
            <w:tcW w:w="680" w:type="dxa"/>
            <w:tcBorders>
              <w:top w:val="nil"/>
              <w:bottom w:val="nil"/>
            </w:tcBorders>
          </w:tcPr>
          <w:p w:rsidR="00000000" w:rsidRDefault="00000000">
            <w:pPr>
              <w:tabs>
                <w:tab w:val="decimal" w:pos="340"/>
              </w:tabs>
              <w:spacing w:before="40" w:after="40"/>
              <w:jc w:val="both"/>
              <w:rPr>
                <w:sz w:val="18"/>
              </w:rPr>
            </w:pPr>
            <w:r>
              <w:rPr>
                <w:sz w:val="18"/>
              </w:rPr>
              <w:t>78,4</w:t>
            </w:r>
          </w:p>
        </w:tc>
      </w:tr>
      <w:tr w:rsidR="00000000">
        <w:tblPrEx>
          <w:tblCellMar>
            <w:top w:w="0" w:type="dxa"/>
            <w:bottom w:w="0" w:type="dxa"/>
          </w:tblCellMar>
        </w:tblPrEx>
        <w:trPr>
          <w:jc w:val="center"/>
        </w:trPr>
        <w:tc>
          <w:tcPr>
            <w:tcW w:w="4026" w:type="dxa"/>
            <w:tcBorders>
              <w:top w:val="nil"/>
            </w:tcBorders>
          </w:tcPr>
          <w:p w:rsidR="00000000" w:rsidRDefault="00000000">
            <w:pPr>
              <w:tabs>
                <w:tab w:val="left" w:pos="680"/>
              </w:tabs>
              <w:spacing w:before="40" w:after="40"/>
              <w:rPr>
                <w:sz w:val="18"/>
              </w:rPr>
            </w:pPr>
            <w:r>
              <w:rPr>
                <w:sz w:val="18"/>
              </w:rPr>
              <w:t>Университетское образование</w:t>
            </w:r>
          </w:p>
        </w:tc>
        <w:tc>
          <w:tcPr>
            <w:tcW w:w="680" w:type="dxa"/>
            <w:tcBorders>
              <w:top w:val="nil"/>
            </w:tcBorders>
          </w:tcPr>
          <w:p w:rsidR="00000000" w:rsidRDefault="00000000">
            <w:pPr>
              <w:tabs>
                <w:tab w:val="decimal" w:pos="340"/>
              </w:tabs>
              <w:spacing w:before="40" w:after="40"/>
              <w:jc w:val="both"/>
              <w:rPr>
                <w:sz w:val="18"/>
              </w:rPr>
            </w:pPr>
            <w:r>
              <w:rPr>
                <w:sz w:val="18"/>
              </w:rPr>
              <w:t>65,6</w:t>
            </w:r>
          </w:p>
        </w:tc>
        <w:tc>
          <w:tcPr>
            <w:tcW w:w="680" w:type="dxa"/>
            <w:tcBorders>
              <w:top w:val="nil"/>
            </w:tcBorders>
          </w:tcPr>
          <w:p w:rsidR="00000000" w:rsidRDefault="00000000">
            <w:pPr>
              <w:tabs>
                <w:tab w:val="decimal" w:pos="340"/>
              </w:tabs>
              <w:spacing w:before="40" w:after="40"/>
              <w:jc w:val="both"/>
              <w:rPr>
                <w:sz w:val="18"/>
              </w:rPr>
            </w:pPr>
            <w:r>
              <w:rPr>
                <w:sz w:val="18"/>
              </w:rPr>
              <w:t>74,3</w:t>
            </w:r>
          </w:p>
        </w:tc>
        <w:tc>
          <w:tcPr>
            <w:tcW w:w="680" w:type="dxa"/>
            <w:tcBorders>
              <w:top w:val="nil"/>
            </w:tcBorders>
          </w:tcPr>
          <w:p w:rsidR="00000000" w:rsidRDefault="00000000">
            <w:pPr>
              <w:tabs>
                <w:tab w:val="decimal" w:pos="340"/>
              </w:tabs>
              <w:spacing w:before="40" w:after="40"/>
              <w:jc w:val="both"/>
              <w:rPr>
                <w:sz w:val="18"/>
              </w:rPr>
            </w:pPr>
            <w:r>
              <w:rPr>
                <w:sz w:val="18"/>
              </w:rPr>
              <w:t>74,5</w:t>
            </w:r>
          </w:p>
        </w:tc>
        <w:tc>
          <w:tcPr>
            <w:tcW w:w="680" w:type="dxa"/>
            <w:tcBorders>
              <w:top w:val="nil"/>
            </w:tcBorders>
          </w:tcPr>
          <w:p w:rsidR="00000000" w:rsidRDefault="00000000">
            <w:pPr>
              <w:tabs>
                <w:tab w:val="decimal" w:pos="340"/>
              </w:tabs>
              <w:spacing w:before="40" w:after="40"/>
              <w:jc w:val="both"/>
              <w:rPr>
                <w:sz w:val="18"/>
              </w:rPr>
            </w:pPr>
            <w:r>
              <w:rPr>
                <w:sz w:val="18"/>
              </w:rPr>
              <w:t>82,0</w:t>
            </w:r>
          </w:p>
        </w:tc>
        <w:tc>
          <w:tcPr>
            <w:tcW w:w="680" w:type="dxa"/>
            <w:tcBorders>
              <w:top w:val="nil"/>
            </w:tcBorders>
          </w:tcPr>
          <w:p w:rsidR="00000000" w:rsidRDefault="00000000">
            <w:pPr>
              <w:tabs>
                <w:tab w:val="decimal" w:pos="340"/>
              </w:tabs>
              <w:spacing w:before="40" w:after="40"/>
              <w:jc w:val="both"/>
              <w:rPr>
                <w:sz w:val="18"/>
              </w:rPr>
            </w:pPr>
            <w:r>
              <w:rPr>
                <w:sz w:val="18"/>
              </w:rPr>
              <w:t>79,1</w:t>
            </w:r>
          </w:p>
        </w:tc>
        <w:tc>
          <w:tcPr>
            <w:tcW w:w="680" w:type="dxa"/>
            <w:tcBorders>
              <w:top w:val="nil"/>
            </w:tcBorders>
          </w:tcPr>
          <w:p w:rsidR="00000000" w:rsidRDefault="00000000">
            <w:pPr>
              <w:tabs>
                <w:tab w:val="decimal" w:pos="340"/>
              </w:tabs>
              <w:spacing w:before="40" w:after="40"/>
              <w:jc w:val="both"/>
              <w:rPr>
                <w:sz w:val="18"/>
              </w:rPr>
            </w:pPr>
            <w:r>
              <w:rPr>
                <w:sz w:val="18"/>
              </w:rPr>
              <w:t>76,4</w:t>
            </w:r>
          </w:p>
        </w:tc>
        <w:tc>
          <w:tcPr>
            <w:tcW w:w="680" w:type="dxa"/>
            <w:tcBorders>
              <w:top w:val="nil"/>
            </w:tcBorders>
          </w:tcPr>
          <w:p w:rsidR="00000000" w:rsidRDefault="00000000">
            <w:pPr>
              <w:tabs>
                <w:tab w:val="decimal" w:pos="340"/>
              </w:tabs>
              <w:spacing w:before="40" w:after="40"/>
              <w:jc w:val="both"/>
              <w:rPr>
                <w:sz w:val="18"/>
              </w:rPr>
            </w:pPr>
            <w:r>
              <w:rPr>
                <w:sz w:val="18"/>
              </w:rPr>
              <w:t>73,0</w:t>
            </w:r>
          </w:p>
        </w:tc>
      </w:tr>
      <w:tr w:rsidR="00000000">
        <w:tblPrEx>
          <w:tblCellMar>
            <w:top w:w="0" w:type="dxa"/>
            <w:bottom w:w="0" w:type="dxa"/>
          </w:tblCellMar>
        </w:tblPrEx>
        <w:trPr>
          <w:cantSplit/>
          <w:jc w:val="center"/>
        </w:trPr>
        <w:tc>
          <w:tcPr>
            <w:tcW w:w="8786" w:type="dxa"/>
            <w:gridSpan w:val="8"/>
          </w:tcPr>
          <w:p w:rsidR="00000000" w:rsidRDefault="00000000">
            <w:pPr>
              <w:tabs>
                <w:tab w:val="decimal" w:pos="340"/>
              </w:tabs>
              <w:spacing w:before="40" w:after="40"/>
              <w:jc w:val="both"/>
              <w:rPr>
                <w:sz w:val="18"/>
              </w:rPr>
            </w:pPr>
            <w:r>
              <w:rPr>
                <w:i/>
                <w:sz w:val="18"/>
              </w:rPr>
              <w:t>Категория занятости</w:t>
            </w:r>
          </w:p>
        </w:tc>
      </w:tr>
      <w:tr w:rsidR="00000000">
        <w:tblPrEx>
          <w:tblCellMar>
            <w:top w:w="0" w:type="dxa"/>
            <w:bottom w:w="0" w:type="dxa"/>
          </w:tblCellMar>
        </w:tblPrEx>
        <w:trPr>
          <w:jc w:val="center"/>
        </w:trPr>
        <w:tc>
          <w:tcPr>
            <w:tcW w:w="4026" w:type="dxa"/>
            <w:tcBorders>
              <w:bottom w:val="nil"/>
            </w:tcBorders>
          </w:tcPr>
          <w:p w:rsidR="00000000" w:rsidRDefault="00000000">
            <w:pPr>
              <w:tabs>
                <w:tab w:val="left" w:pos="680"/>
              </w:tabs>
              <w:spacing w:before="40" w:after="40"/>
              <w:rPr>
                <w:sz w:val="18"/>
              </w:rPr>
            </w:pPr>
            <w:r>
              <w:rPr>
                <w:sz w:val="18"/>
              </w:rPr>
              <w:t>Специалисты-профессионалы</w:t>
            </w:r>
          </w:p>
        </w:tc>
        <w:tc>
          <w:tcPr>
            <w:tcW w:w="680" w:type="dxa"/>
            <w:tcBorders>
              <w:bottom w:val="nil"/>
            </w:tcBorders>
          </w:tcPr>
          <w:p w:rsidR="00000000" w:rsidRDefault="00000000">
            <w:pPr>
              <w:tabs>
                <w:tab w:val="decimal" w:pos="340"/>
              </w:tabs>
              <w:spacing w:before="40" w:after="40"/>
              <w:jc w:val="both"/>
              <w:rPr>
                <w:sz w:val="18"/>
              </w:rPr>
            </w:pPr>
            <w:r>
              <w:rPr>
                <w:sz w:val="18"/>
              </w:rPr>
              <w:t>68,6</w:t>
            </w:r>
          </w:p>
        </w:tc>
        <w:tc>
          <w:tcPr>
            <w:tcW w:w="680" w:type="dxa"/>
            <w:tcBorders>
              <w:bottom w:val="nil"/>
            </w:tcBorders>
          </w:tcPr>
          <w:p w:rsidR="00000000" w:rsidRDefault="00000000">
            <w:pPr>
              <w:tabs>
                <w:tab w:val="decimal" w:pos="340"/>
              </w:tabs>
              <w:spacing w:before="40" w:after="40"/>
              <w:jc w:val="both"/>
              <w:rPr>
                <w:sz w:val="18"/>
              </w:rPr>
            </w:pPr>
            <w:r>
              <w:rPr>
                <w:sz w:val="18"/>
              </w:rPr>
              <w:t>80,4</w:t>
            </w:r>
          </w:p>
        </w:tc>
        <w:tc>
          <w:tcPr>
            <w:tcW w:w="680" w:type="dxa"/>
            <w:tcBorders>
              <w:bottom w:val="nil"/>
            </w:tcBorders>
          </w:tcPr>
          <w:p w:rsidR="00000000" w:rsidRDefault="00000000">
            <w:pPr>
              <w:tabs>
                <w:tab w:val="decimal" w:pos="340"/>
              </w:tabs>
              <w:spacing w:before="40" w:after="40"/>
              <w:jc w:val="both"/>
              <w:rPr>
                <w:sz w:val="18"/>
              </w:rPr>
            </w:pPr>
            <w:r>
              <w:rPr>
                <w:sz w:val="18"/>
              </w:rPr>
              <w:t>77,5</w:t>
            </w:r>
          </w:p>
        </w:tc>
        <w:tc>
          <w:tcPr>
            <w:tcW w:w="680" w:type="dxa"/>
            <w:tcBorders>
              <w:bottom w:val="nil"/>
            </w:tcBorders>
          </w:tcPr>
          <w:p w:rsidR="00000000" w:rsidRDefault="00000000">
            <w:pPr>
              <w:tabs>
                <w:tab w:val="decimal" w:pos="340"/>
              </w:tabs>
              <w:spacing w:before="40" w:after="40"/>
              <w:jc w:val="both"/>
              <w:rPr>
                <w:sz w:val="18"/>
              </w:rPr>
            </w:pPr>
            <w:r>
              <w:rPr>
                <w:sz w:val="18"/>
              </w:rPr>
              <w:t>89,6</w:t>
            </w:r>
          </w:p>
        </w:tc>
        <w:tc>
          <w:tcPr>
            <w:tcW w:w="680" w:type="dxa"/>
            <w:tcBorders>
              <w:bottom w:val="nil"/>
            </w:tcBorders>
          </w:tcPr>
          <w:p w:rsidR="00000000" w:rsidRDefault="00000000">
            <w:pPr>
              <w:tabs>
                <w:tab w:val="decimal" w:pos="340"/>
              </w:tabs>
              <w:spacing w:before="40" w:after="40"/>
              <w:jc w:val="both"/>
              <w:rPr>
                <w:sz w:val="18"/>
              </w:rPr>
            </w:pPr>
            <w:r>
              <w:rPr>
                <w:sz w:val="18"/>
              </w:rPr>
              <w:t>85,9</w:t>
            </w:r>
          </w:p>
        </w:tc>
        <w:tc>
          <w:tcPr>
            <w:tcW w:w="680" w:type="dxa"/>
            <w:tcBorders>
              <w:bottom w:val="nil"/>
            </w:tcBorders>
          </w:tcPr>
          <w:p w:rsidR="00000000" w:rsidRDefault="00000000">
            <w:pPr>
              <w:tabs>
                <w:tab w:val="decimal" w:pos="340"/>
              </w:tabs>
              <w:spacing w:before="40" w:after="40"/>
              <w:jc w:val="both"/>
              <w:rPr>
                <w:sz w:val="18"/>
              </w:rPr>
            </w:pPr>
            <w:r>
              <w:rPr>
                <w:sz w:val="18"/>
              </w:rPr>
              <w:t>80,4</w:t>
            </w:r>
          </w:p>
        </w:tc>
        <w:tc>
          <w:tcPr>
            <w:tcW w:w="680" w:type="dxa"/>
            <w:tcBorders>
              <w:bottom w:val="nil"/>
            </w:tcBorders>
          </w:tcPr>
          <w:p w:rsidR="00000000" w:rsidRDefault="00000000">
            <w:pPr>
              <w:tabs>
                <w:tab w:val="decimal" w:pos="340"/>
              </w:tabs>
              <w:spacing w:before="40" w:after="40"/>
              <w:jc w:val="both"/>
              <w:rPr>
                <w:sz w:val="18"/>
              </w:rPr>
            </w:pPr>
            <w:r>
              <w:rPr>
                <w:sz w:val="18"/>
              </w:rPr>
              <w:t>80,3</w:t>
            </w:r>
          </w:p>
        </w:tc>
      </w:tr>
      <w:tr w:rsidR="00000000">
        <w:tblPrEx>
          <w:tblCellMar>
            <w:top w:w="0" w:type="dxa"/>
            <w:bottom w:w="0" w:type="dxa"/>
          </w:tblCellMar>
        </w:tblPrEx>
        <w:trPr>
          <w:jc w:val="center"/>
        </w:trPr>
        <w:tc>
          <w:tcPr>
            <w:tcW w:w="4026" w:type="dxa"/>
            <w:tcBorders>
              <w:top w:val="nil"/>
              <w:bottom w:val="nil"/>
            </w:tcBorders>
          </w:tcPr>
          <w:p w:rsidR="00000000" w:rsidRDefault="00000000">
            <w:pPr>
              <w:pStyle w:val="Heading8"/>
              <w:tabs>
                <w:tab w:val="left" w:pos="680"/>
              </w:tabs>
              <w:spacing w:before="40" w:after="40" w:line="240" w:lineRule="auto"/>
              <w:ind w:right="0"/>
              <w:rPr>
                <w:sz w:val="18"/>
              </w:rPr>
            </w:pPr>
            <w:r>
              <w:rPr>
                <w:sz w:val="18"/>
              </w:rPr>
              <w:t>Руководящие работники</w:t>
            </w:r>
          </w:p>
        </w:tc>
        <w:tc>
          <w:tcPr>
            <w:tcW w:w="680" w:type="dxa"/>
            <w:tcBorders>
              <w:top w:val="nil"/>
              <w:bottom w:val="nil"/>
            </w:tcBorders>
          </w:tcPr>
          <w:p w:rsidR="00000000" w:rsidRDefault="00000000">
            <w:pPr>
              <w:tabs>
                <w:tab w:val="decimal" w:pos="340"/>
              </w:tabs>
              <w:spacing w:before="40" w:after="40"/>
              <w:jc w:val="both"/>
              <w:rPr>
                <w:sz w:val="18"/>
              </w:rPr>
            </w:pPr>
            <w:r>
              <w:rPr>
                <w:sz w:val="18"/>
              </w:rPr>
              <w:t>75,6</w:t>
            </w:r>
          </w:p>
        </w:tc>
        <w:tc>
          <w:tcPr>
            <w:tcW w:w="680" w:type="dxa"/>
            <w:tcBorders>
              <w:top w:val="nil"/>
              <w:bottom w:val="nil"/>
            </w:tcBorders>
          </w:tcPr>
          <w:p w:rsidR="00000000" w:rsidRDefault="00000000">
            <w:pPr>
              <w:tabs>
                <w:tab w:val="decimal" w:pos="340"/>
              </w:tabs>
              <w:spacing w:before="40" w:after="40"/>
              <w:jc w:val="both"/>
              <w:rPr>
                <w:sz w:val="18"/>
              </w:rPr>
            </w:pPr>
            <w:r>
              <w:rPr>
                <w:sz w:val="18"/>
              </w:rPr>
              <w:t>83,1</w:t>
            </w:r>
          </w:p>
        </w:tc>
        <w:tc>
          <w:tcPr>
            <w:tcW w:w="680" w:type="dxa"/>
            <w:tcBorders>
              <w:top w:val="nil"/>
              <w:bottom w:val="nil"/>
            </w:tcBorders>
          </w:tcPr>
          <w:p w:rsidR="00000000" w:rsidRDefault="00000000">
            <w:pPr>
              <w:tabs>
                <w:tab w:val="decimal" w:pos="340"/>
              </w:tabs>
              <w:spacing w:before="40" w:after="40"/>
              <w:jc w:val="both"/>
              <w:rPr>
                <w:sz w:val="18"/>
              </w:rPr>
            </w:pPr>
            <w:r>
              <w:rPr>
                <w:sz w:val="18"/>
              </w:rPr>
              <w:t>85,3</w:t>
            </w:r>
          </w:p>
        </w:tc>
        <w:tc>
          <w:tcPr>
            <w:tcW w:w="680" w:type="dxa"/>
            <w:tcBorders>
              <w:top w:val="nil"/>
              <w:bottom w:val="nil"/>
            </w:tcBorders>
          </w:tcPr>
          <w:p w:rsidR="00000000" w:rsidRDefault="00000000">
            <w:pPr>
              <w:tabs>
                <w:tab w:val="decimal" w:pos="340"/>
              </w:tabs>
              <w:spacing w:before="40" w:after="40"/>
              <w:jc w:val="both"/>
              <w:rPr>
                <w:sz w:val="18"/>
              </w:rPr>
            </w:pPr>
            <w:r>
              <w:rPr>
                <w:sz w:val="18"/>
              </w:rPr>
              <w:t>88,3</w:t>
            </w:r>
          </w:p>
        </w:tc>
        <w:tc>
          <w:tcPr>
            <w:tcW w:w="680" w:type="dxa"/>
            <w:tcBorders>
              <w:top w:val="nil"/>
              <w:bottom w:val="nil"/>
            </w:tcBorders>
          </w:tcPr>
          <w:p w:rsidR="00000000" w:rsidRDefault="00000000">
            <w:pPr>
              <w:tabs>
                <w:tab w:val="decimal" w:pos="340"/>
              </w:tabs>
              <w:spacing w:before="40" w:after="40"/>
              <w:jc w:val="both"/>
              <w:rPr>
                <w:sz w:val="18"/>
              </w:rPr>
            </w:pPr>
            <w:r>
              <w:rPr>
                <w:sz w:val="18"/>
              </w:rPr>
              <w:t>95,2</w:t>
            </w:r>
          </w:p>
        </w:tc>
        <w:tc>
          <w:tcPr>
            <w:tcW w:w="680" w:type="dxa"/>
            <w:tcBorders>
              <w:top w:val="nil"/>
              <w:bottom w:val="nil"/>
            </w:tcBorders>
          </w:tcPr>
          <w:p w:rsidR="00000000" w:rsidRDefault="00000000">
            <w:pPr>
              <w:tabs>
                <w:tab w:val="decimal" w:pos="340"/>
              </w:tabs>
              <w:spacing w:before="40" w:after="40"/>
              <w:jc w:val="both"/>
              <w:rPr>
                <w:sz w:val="18"/>
              </w:rPr>
            </w:pPr>
            <w:r>
              <w:rPr>
                <w:sz w:val="18"/>
              </w:rPr>
              <w:t>84,3</w:t>
            </w:r>
          </w:p>
        </w:tc>
        <w:tc>
          <w:tcPr>
            <w:tcW w:w="680" w:type="dxa"/>
            <w:tcBorders>
              <w:top w:val="nil"/>
              <w:bottom w:val="nil"/>
            </w:tcBorders>
          </w:tcPr>
          <w:p w:rsidR="00000000" w:rsidRDefault="00000000">
            <w:pPr>
              <w:tabs>
                <w:tab w:val="decimal" w:pos="340"/>
              </w:tabs>
              <w:spacing w:before="40" w:after="40"/>
              <w:jc w:val="both"/>
              <w:rPr>
                <w:sz w:val="18"/>
              </w:rPr>
            </w:pPr>
            <w:r>
              <w:rPr>
                <w:sz w:val="18"/>
              </w:rPr>
              <w:t>82,5</w:t>
            </w:r>
          </w:p>
        </w:tc>
      </w:tr>
      <w:tr w:rsidR="00000000">
        <w:tblPrEx>
          <w:tblCellMar>
            <w:top w:w="0" w:type="dxa"/>
            <w:bottom w:w="0" w:type="dxa"/>
          </w:tblCellMar>
        </w:tblPrEx>
        <w:trPr>
          <w:jc w:val="center"/>
        </w:trPr>
        <w:tc>
          <w:tcPr>
            <w:tcW w:w="4026" w:type="dxa"/>
            <w:tcBorders>
              <w:top w:val="nil"/>
              <w:bottom w:val="nil"/>
            </w:tcBorders>
          </w:tcPr>
          <w:p w:rsidR="00000000" w:rsidRDefault="00000000">
            <w:pPr>
              <w:tabs>
                <w:tab w:val="left" w:pos="680"/>
              </w:tabs>
              <w:spacing w:before="40" w:after="40"/>
              <w:rPr>
                <w:sz w:val="18"/>
              </w:rPr>
            </w:pPr>
            <w:r>
              <w:rPr>
                <w:sz w:val="18"/>
              </w:rPr>
              <w:t>Бизнесмены и работники торговли</w:t>
            </w:r>
          </w:p>
        </w:tc>
        <w:tc>
          <w:tcPr>
            <w:tcW w:w="680" w:type="dxa"/>
            <w:tcBorders>
              <w:top w:val="nil"/>
              <w:bottom w:val="nil"/>
            </w:tcBorders>
          </w:tcPr>
          <w:p w:rsidR="00000000" w:rsidRDefault="00000000">
            <w:pPr>
              <w:tabs>
                <w:tab w:val="decimal" w:pos="340"/>
              </w:tabs>
              <w:spacing w:before="40" w:after="40"/>
              <w:jc w:val="both"/>
              <w:rPr>
                <w:sz w:val="18"/>
              </w:rPr>
            </w:pPr>
            <w:r>
              <w:rPr>
                <w:sz w:val="18"/>
              </w:rPr>
              <w:t>66,9</w:t>
            </w:r>
          </w:p>
        </w:tc>
        <w:tc>
          <w:tcPr>
            <w:tcW w:w="680" w:type="dxa"/>
            <w:tcBorders>
              <w:top w:val="nil"/>
              <w:bottom w:val="nil"/>
            </w:tcBorders>
          </w:tcPr>
          <w:p w:rsidR="00000000" w:rsidRDefault="00000000">
            <w:pPr>
              <w:tabs>
                <w:tab w:val="decimal" w:pos="340"/>
              </w:tabs>
              <w:spacing w:before="40" w:after="40"/>
              <w:jc w:val="both"/>
              <w:rPr>
                <w:sz w:val="18"/>
              </w:rPr>
            </w:pPr>
            <w:r>
              <w:rPr>
                <w:sz w:val="18"/>
              </w:rPr>
              <w:t>66,7</w:t>
            </w:r>
          </w:p>
        </w:tc>
        <w:tc>
          <w:tcPr>
            <w:tcW w:w="680" w:type="dxa"/>
            <w:tcBorders>
              <w:top w:val="nil"/>
              <w:bottom w:val="nil"/>
            </w:tcBorders>
          </w:tcPr>
          <w:p w:rsidR="00000000" w:rsidRDefault="00000000">
            <w:pPr>
              <w:tabs>
                <w:tab w:val="decimal" w:pos="340"/>
              </w:tabs>
              <w:spacing w:before="40" w:after="40"/>
              <w:jc w:val="both"/>
              <w:rPr>
                <w:sz w:val="18"/>
              </w:rPr>
            </w:pPr>
            <w:r>
              <w:rPr>
                <w:sz w:val="18"/>
              </w:rPr>
              <w:t>76,0</w:t>
            </w:r>
          </w:p>
        </w:tc>
        <w:tc>
          <w:tcPr>
            <w:tcW w:w="680" w:type="dxa"/>
            <w:tcBorders>
              <w:top w:val="nil"/>
              <w:bottom w:val="nil"/>
            </w:tcBorders>
          </w:tcPr>
          <w:p w:rsidR="00000000" w:rsidRDefault="00000000">
            <w:pPr>
              <w:tabs>
                <w:tab w:val="decimal" w:pos="340"/>
              </w:tabs>
              <w:spacing w:before="40" w:after="40"/>
              <w:jc w:val="both"/>
              <w:rPr>
                <w:sz w:val="18"/>
              </w:rPr>
            </w:pPr>
            <w:r>
              <w:rPr>
                <w:sz w:val="18"/>
              </w:rPr>
              <w:t>73,1</w:t>
            </w:r>
          </w:p>
        </w:tc>
        <w:tc>
          <w:tcPr>
            <w:tcW w:w="680" w:type="dxa"/>
            <w:tcBorders>
              <w:top w:val="nil"/>
              <w:bottom w:val="nil"/>
            </w:tcBorders>
          </w:tcPr>
          <w:p w:rsidR="00000000" w:rsidRDefault="00000000">
            <w:pPr>
              <w:tabs>
                <w:tab w:val="decimal" w:pos="340"/>
              </w:tabs>
              <w:spacing w:before="40" w:after="40"/>
              <w:jc w:val="both"/>
              <w:rPr>
                <w:sz w:val="18"/>
              </w:rPr>
            </w:pPr>
            <w:r>
              <w:rPr>
                <w:sz w:val="18"/>
              </w:rPr>
              <w:t>76,7</w:t>
            </w:r>
          </w:p>
        </w:tc>
        <w:tc>
          <w:tcPr>
            <w:tcW w:w="680" w:type="dxa"/>
            <w:tcBorders>
              <w:top w:val="nil"/>
              <w:bottom w:val="nil"/>
            </w:tcBorders>
          </w:tcPr>
          <w:p w:rsidR="00000000" w:rsidRDefault="00000000">
            <w:pPr>
              <w:tabs>
                <w:tab w:val="decimal" w:pos="340"/>
              </w:tabs>
              <w:spacing w:before="40" w:after="40"/>
              <w:jc w:val="both"/>
              <w:rPr>
                <w:sz w:val="18"/>
              </w:rPr>
            </w:pPr>
            <w:r>
              <w:rPr>
                <w:sz w:val="18"/>
              </w:rPr>
              <w:t>75,8</w:t>
            </w:r>
          </w:p>
        </w:tc>
        <w:tc>
          <w:tcPr>
            <w:tcW w:w="680" w:type="dxa"/>
            <w:tcBorders>
              <w:top w:val="nil"/>
              <w:bottom w:val="nil"/>
            </w:tcBorders>
          </w:tcPr>
          <w:p w:rsidR="00000000" w:rsidRDefault="00000000">
            <w:pPr>
              <w:tabs>
                <w:tab w:val="decimal" w:pos="340"/>
              </w:tabs>
              <w:spacing w:before="40" w:after="40"/>
              <w:jc w:val="both"/>
              <w:rPr>
                <w:sz w:val="18"/>
              </w:rPr>
            </w:pPr>
            <w:r>
              <w:rPr>
                <w:sz w:val="18"/>
              </w:rPr>
              <w:t>71,6</w:t>
            </w:r>
          </w:p>
        </w:tc>
      </w:tr>
      <w:tr w:rsidR="00000000">
        <w:tblPrEx>
          <w:tblCellMar>
            <w:top w:w="0" w:type="dxa"/>
            <w:bottom w:w="0" w:type="dxa"/>
          </w:tblCellMar>
        </w:tblPrEx>
        <w:trPr>
          <w:jc w:val="center"/>
        </w:trPr>
        <w:tc>
          <w:tcPr>
            <w:tcW w:w="4026" w:type="dxa"/>
            <w:tcBorders>
              <w:top w:val="nil"/>
              <w:bottom w:val="nil"/>
            </w:tcBorders>
          </w:tcPr>
          <w:p w:rsidR="00000000" w:rsidRDefault="00000000">
            <w:pPr>
              <w:tabs>
                <w:tab w:val="left" w:pos="680"/>
              </w:tabs>
              <w:spacing w:before="40" w:after="40"/>
              <w:rPr>
                <w:sz w:val="18"/>
              </w:rPr>
            </w:pPr>
            <w:r>
              <w:rPr>
                <w:sz w:val="18"/>
              </w:rPr>
              <w:t>Рабочие и ремесленники</w:t>
            </w:r>
          </w:p>
        </w:tc>
        <w:tc>
          <w:tcPr>
            <w:tcW w:w="680" w:type="dxa"/>
            <w:tcBorders>
              <w:top w:val="nil"/>
              <w:bottom w:val="nil"/>
            </w:tcBorders>
          </w:tcPr>
          <w:p w:rsidR="00000000" w:rsidRDefault="00000000">
            <w:pPr>
              <w:tabs>
                <w:tab w:val="decimal" w:pos="340"/>
              </w:tabs>
              <w:spacing w:before="40" w:after="40"/>
              <w:jc w:val="both"/>
              <w:rPr>
                <w:sz w:val="18"/>
              </w:rPr>
            </w:pPr>
            <w:r>
              <w:rPr>
                <w:sz w:val="18"/>
              </w:rPr>
              <w:t>73,3</w:t>
            </w:r>
          </w:p>
        </w:tc>
        <w:tc>
          <w:tcPr>
            <w:tcW w:w="680" w:type="dxa"/>
            <w:tcBorders>
              <w:top w:val="nil"/>
              <w:bottom w:val="nil"/>
            </w:tcBorders>
          </w:tcPr>
          <w:p w:rsidR="00000000" w:rsidRDefault="00000000">
            <w:pPr>
              <w:tabs>
                <w:tab w:val="decimal" w:pos="340"/>
              </w:tabs>
              <w:spacing w:before="40" w:after="40"/>
              <w:jc w:val="both"/>
              <w:rPr>
                <w:sz w:val="18"/>
              </w:rPr>
            </w:pPr>
            <w:r>
              <w:rPr>
                <w:sz w:val="18"/>
              </w:rPr>
              <w:t>76,6</w:t>
            </w:r>
          </w:p>
        </w:tc>
        <w:tc>
          <w:tcPr>
            <w:tcW w:w="680" w:type="dxa"/>
            <w:tcBorders>
              <w:top w:val="nil"/>
              <w:bottom w:val="nil"/>
            </w:tcBorders>
          </w:tcPr>
          <w:p w:rsidR="00000000" w:rsidRDefault="00000000">
            <w:pPr>
              <w:tabs>
                <w:tab w:val="decimal" w:pos="340"/>
              </w:tabs>
              <w:spacing w:before="40" w:after="40"/>
              <w:jc w:val="both"/>
              <w:rPr>
                <w:sz w:val="18"/>
              </w:rPr>
            </w:pPr>
            <w:r>
              <w:rPr>
                <w:sz w:val="18"/>
              </w:rPr>
              <w:t>77,6</w:t>
            </w:r>
          </w:p>
        </w:tc>
        <w:tc>
          <w:tcPr>
            <w:tcW w:w="680" w:type="dxa"/>
            <w:tcBorders>
              <w:top w:val="nil"/>
              <w:bottom w:val="nil"/>
            </w:tcBorders>
          </w:tcPr>
          <w:p w:rsidR="00000000" w:rsidRDefault="00000000">
            <w:pPr>
              <w:tabs>
                <w:tab w:val="decimal" w:pos="340"/>
              </w:tabs>
              <w:spacing w:before="40" w:after="40"/>
              <w:jc w:val="both"/>
              <w:rPr>
                <w:sz w:val="18"/>
              </w:rPr>
            </w:pPr>
            <w:r>
              <w:rPr>
                <w:sz w:val="18"/>
              </w:rPr>
              <w:t>84,2</w:t>
            </w:r>
          </w:p>
        </w:tc>
        <w:tc>
          <w:tcPr>
            <w:tcW w:w="680" w:type="dxa"/>
            <w:tcBorders>
              <w:top w:val="nil"/>
              <w:bottom w:val="nil"/>
            </w:tcBorders>
          </w:tcPr>
          <w:p w:rsidR="00000000" w:rsidRDefault="00000000">
            <w:pPr>
              <w:tabs>
                <w:tab w:val="decimal" w:pos="340"/>
              </w:tabs>
              <w:spacing w:before="40" w:after="40"/>
              <w:jc w:val="both"/>
              <w:rPr>
                <w:sz w:val="18"/>
              </w:rPr>
            </w:pPr>
            <w:r>
              <w:rPr>
                <w:sz w:val="18"/>
              </w:rPr>
              <w:t>77,2</w:t>
            </w:r>
          </w:p>
        </w:tc>
        <w:tc>
          <w:tcPr>
            <w:tcW w:w="680" w:type="dxa"/>
            <w:tcBorders>
              <w:top w:val="nil"/>
              <w:bottom w:val="nil"/>
            </w:tcBorders>
          </w:tcPr>
          <w:p w:rsidR="00000000" w:rsidRDefault="00000000">
            <w:pPr>
              <w:tabs>
                <w:tab w:val="decimal" w:pos="340"/>
              </w:tabs>
              <w:spacing w:before="40" w:after="40"/>
              <w:jc w:val="both"/>
              <w:rPr>
                <w:sz w:val="18"/>
              </w:rPr>
            </w:pPr>
            <w:r>
              <w:rPr>
                <w:sz w:val="18"/>
              </w:rPr>
              <w:t>77,8</w:t>
            </w:r>
          </w:p>
        </w:tc>
        <w:tc>
          <w:tcPr>
            <w:tcW w:w="680" w:type="dxa"/>
            <w:tcBorders>
              <w:top w:val="nil"/>
              <w:bottom w:val="nil"/>
            </w:tcBorders>
          </w:tcPr>
          <w:p w:rsidR="00000000" w:rsidRDefault="00000000">
            <w:pPr>
              <w:tabs>
                <w:tab w:val="decimal" w:pos="340"/>
              </w:tabs>
              <w:spacing w:before="40" w:after="40"/>
              <w:jc w:val="both"/>
              <w:rPr>
                <w:sz w:val="18"/>
              </w:rPr>
            </w:pPr>
            <w:r>
              <w:rPr>
                <w:sz w:val="18"/>
              </w:rPr>
              <w:t>81,8</w:t>
            </w:r>
          </w:p>
        </w:tc>
      </w:tr>
      <w:tr w:rsidR="00000000">
        <w:tblPrEx>
          <w:tblCellMar>
            <w:top w:w="0" w:type="dxa"/>
            <w:bottom w:w="0" w:type="dxa"/>
          </w:tblCellMar>
        </w:tblPrEx>
        <w:trPr>
          <w:jc w:val="center"/>
        </w:trPr>
        <w:tc>
          <w:tcPr>
            <w:tcW w:w="4026" w:type="dxa"/>
            <w:tcBorders>
              <w:top w:val="nil"/>
              <w:bottom w:val="nil"/>
            </w:tcBorders>
          </w:tcPr>
          <w:p w:rsidR="00000000" w:rsidRDefault="00000000">
            <w:pPr>
              <w:tabs>
                <w:tab w:val="left" w:pos="680"/>
              </w:tabs>
              <w:spacing w:before="40" w:after="40"/>
              <w:rPr>
                <w:sz w:val="18"/>
              </w:rPr>
            </w:pPr>
            <w:r>
              <w:rPr>
                <w:sz w:val="18"/>
              </w:rPr>
              <w:t>Индивидуальная трудовая деятельность</w:t>
            </w:r>
          </w:p>
        </w:tc>
        <w:tc>
          <w:tcPr>
            <w:tcW w:w="680" w:type="dxa"/>
            <w:tcBorders>
              <w:top w:val="nil"/>
              <w:bottom w:val="nil"/>
            </w:tcBorders>
          </w:tcPr>
          <w:p w:rsidR="00000000" w:rsidRDefault="00000000">
            <w:pPr>
              <w:tabs>
                <w:tab w:val="decimal" w:pos="340"/>
              </w:tabs>
              <w:spacing w:before="40" w:after="40"/>
              <w:jc w:val="both"/>
              <w:rPr>
                <w:sz w:val="18"/>
              </w:rPr>
            </w:pPr>
            <w:r>
              <w:rPr>
                <w:sz w:val="18"/>
              </w:rPr>
              <w:t>58,4</w:t>
            </w:r>
          </w:p>
        </w:tc>
        <w:tc>
          <w:tcPr>
            <w:tcW w:w="680" w:type="dxa"/>
            <w:tcBorders>
              <w:top w:val="nil"/>
              <w:bottom w:val="nil"/>
            </w:tcBorders>
          </w:tcPr>
          <w:p w:rsidR="00000000" w:rsidRDefault="00000000">
            <w:pPr>
              <w:tabs>
                <w:tab w:val="decimal" w:pos="340"/>
              </w:tabs>
              <w:spacing w:before="40" w:after="40"/>
              <w:jc w:val="both"/>
              <w:rPr>
                <w:sz w:val="18"/>
              </w:rPr>
            </w:pPr>
            <w:r>
              <w:rPr>
                <w:sz w:val="18"/>
              </w:rPr>
              <w:t>57,1</w:t>
            </w:r>
          </w:p>
        </w:tc>
        <w:tc>
          <w:tcPr>
            <w:tcW w:w="680" w:type="dxa"/>
            <w:tcBorders>
              <w:top w:val="nil"/>
              <w:bottom w:val="nil"/>
            </w:tcBorders>
          </w:tcPr>
          <w:p w:rsidR="00000000" w:rsidRDefault="00000000">
            <w:pPr>
              <w:tabs>
                <w:tab w:val="decimal" w:pos="340"/>
              </w:tabs>
              <w:spacing w:before="40" w:after="40"/>
              <w:jc w:val="both"/>
              <w:rPr>
                <w:sz w:val="18"/>
              </w:rPr>
            </w:pPr>
            <w:r>
              <w:rPr>
                <w:sz w:val="18"/>
              </w:rPr>
              <w:t>62,0</w:t>
            </w:r>
          </w:p>
        </w:tc>
        <w:tc>
          <w:tcPr>
            <w:tcW w:w="680" w:type="dxa"/>
            <w:tcBorders>
              <w:top w:val="nil"/>
              <w:bottom w:val="nil"/>
            </w:tcBorders>
          </w:tcPr>
          <w:p w:rsidR="00000000" w:rsidRDefault="00000000">
            <w:pPr>
              <w:tabs>
                <w:tab w:val="decimal" w:pos="340"/>
              </w:tabs>
              <w:spacing w:before="40" w:after="40"/>
              <w:jc w:val="both"/>
              <w:rPr>
                <w:sz w:val="18"/>
              </w:rPr>
            </w:pPr>
            <w:r>
              <w:rPr>
                <w:sz w:val="18"/>
              </w:rPr>
              <w:t>60,2</w:t>
            </w:r>
          </w:p>
        </w:tc>
        <w:tc>
          <w:tcPr>
            <w:tcW w:w="680" w:type="dxa"/>
            <w:tcBorders>
              <w:top w:val="nil"/>
              <w:bottom w:val="nil"/>
            </w:tcBorders>
          </w:tcPr>
          <w:p w:rsidR="00000000" w:rsidRDefault="00000000">
            <w:pPr>
              <w:tabs>
                <w:tab w:val="decimal" w:pos="340"/>
              </w:tabs>
              <w:spacing w:before="40" w:after="40"/>
              <w:jc w:val="both"/>
              <w:rPr>
                <w:sz w:val="18"/>
              </w:rPr>
            </w:pPr>
            <w:r>
              <w:rPr>
                <w:sz w:val="18"/>
              </w:rPr>
              <w:t>61,0</w:t>
            </w:r>
          </w:p>
        </w:tc>
        <w:tc>
          <w:tcPr>
            <w:tcW w:w="680" w:type="dxa"/>
            <w:tcBorders>
              <w:top w:val="nil"/>
              <w:bottom w:val="nil"/>
            </w:tcBorders>
          </w:tcPr>
          <w:p w:rsidR="00000000" w:rsidRDefault="00000000">
            <w:pPr>
              <w:tabs>
                <w:tab w:val="decimal" w:pos="340"/>
              </w:tabs>
              <w:spacing w:before="40" w:after="40"/>
              <w:jc w:val="both"/>
              <w:rPr>
                <w:sz w:val="18"/>
              </w:rPr>
            </w:pPr>
            <w:r>
              <w:rPr>
                <w:sz w:val="18"/>
              </w:rPr>
              <w:t>57,4</w:t>
            </w:r>
          </w:p>
        </w:tc>
        <w:tc>
          <w:tcPr>
            <w:tcW w:w="680" w:type="dxa"/>
            <w:tcBorders>
              <w:top w:val="nil"/>
              <w:bottom w:val="nil"/>
            </w:tcBorders>
          </w:tcPr>
          <w:p w:rsidR="00000000" w:rsidRDefault="00000000">
            <w:pPr>
              <w:tabs>
                <w:tab w:val="decimal" w:pos="340"/>
              </w:tabs>
              <w:spacing w:before="40" w:after="40"/>
              <w:jc w:val="both"/>
              <w:rPr>
                <w:sz w:val="18"/>
              </w:rPr>
            </w:pPr>
            <w:r>
              <w:rPr>
                <w:sz w:val="18"/>
              </w:rPr>
              <w:t>68,1</w:t>
            </w:r>
          </w:p>
        </w:tc>
      </w:tr>
      <w:tr w:rsidR="00000000">
        <w:tblPrEx>
          <w:tblCellMar>
            <w:top w:w="0" w:type="dxa"/>
            <w:bottom w:w="0" w:type="dxa"/>
          </w:tblCellMar>
        </w:tblPrEx>
        <w:trPr>
          <w:jc w:val="center"/>
        </w:trPr>
        <w:tc>
          <w:tcPr>
            <w:tcW w:w="4026" w:type="dxa"/>
            <w:tcBorders>
              <w:top w:val="nil"/>
              <w:bottom w:val="nil"/>
            </w:tcBorders>
          </w:tcPr>
          <w:p w:rsidR="00000000" w:rsidRDefault="00000000">
            <w:pPr>
              <w:tabs>
                <w:tab w:val="left" w:pos="680"/>
              </w:tabs>
              <w:spacing w:before="40" w:after="40"/>
              <w:rPr>
                <w:sz w:val="18"/>
              </w:rPr>
            </w:pPr>
            <w:r>
              <w:rPr>
                <w:sz w:val="18"/>
              </w:rPr>
              <w:t>Значимость домашнего труда для ВВП</w:t>
            </w:r>
          </w:p>
        </w:tc>
        <w:tc>
          <w:tcPr>
            <w:tcW w:w="680" w:type="dxa"/>
            <w:tcBorders>
              <w:top w:val="nil"/>
              <w:bottom w:val="nil"/>
            </w:tcBorders>
          </w:tcPr>
          <w:p w:rsidR="00000000" w:rsidRDefault="00000000">
            <w:pPr>
              <w:tabs>
                <w:tab w:val="decimal" w:pos="340"/>
              </w:tabs>
              <w:spacing w:before="40" w:after="40"/>
              <w:jc w:val="both"/>
              <w:rPr>
                <w:sz w:val="18"/>
              </w:rPr>
            </w:pPr>
          </w:p>
        </w:tc>
        <w:tc>
          <w:tcPr>
            <w:tcW w:w="680" w:type="dxa"/>
            <w:tcBorders>
              <w:top w:val="nil"/>
              <w:bottom w:val="nil"/>
            </w:tcBorders>
          </w:tcPr>
          <w:p w:rsidR="00000000" w:rsidRDefault="00000000">
            <w:pPr>
              <w:tabs>
                <w:tab w:val="decimal" w:pos="340"/>
              </w:tabs>
              <w:spacing w:before="40" w:after="40"/>
              <w:jc w:val="both"/>
              <w:rPr>
                <w:sz w:val="18"/>
              </w:rPr>
            </w:pPr>
            <w:r>
              <w:rPr>
                <w:sz w:val="18"/>
              </w:rPr>
              <w:t>9,4</w:t>
            </w:r>
          </w:p>
        </w:tc>
        <w:tc>
          <w:tcPr>
            <w:tcW w:w="680" w:type="dxa"/>
            <w:tcBorders>
              <w:top w:val="nil"/>
              <w:bottom w:val="nil"/>
            </w:tcBorders>
          </w:tcPr>
          <w:p w:rsidR="00000000" w:rsidRDefault="00000000">
            <w:pPr>
              <w:tabs>
                <w:tab w:val="decimal" w:pos="340"/>
              </w:tabs>
              <w:spacing w:before="40" w:after="40"/>
              <w:jc w:val="both"/>
              <w:rPr>
                <w:sz w:val="18"/>
              </w:rPr>
            </w:pPr>
            <w:r>
              <w:rPr>
                <w:sz w:val="18"/>
              </w:rPr>
              <w:t>10,5</w:t>
            </w:r>
          </w:p>
        </w:tc>
        <w:tc>
          <w:tcPr>
            <w:tcW w:w="680" w:type="dxa"/>
            <w:tcBorders>
              <w:top w:val="nil"/>
              <w:bottom w:val="nil"/>
            </w:tcBorders>
          </w:tcPr>
          <w:p w:rsidR="00000000" w:rsidRDefault="00000000">
            <w:pPr>
              <w:tabs>
                <w:tab w:val="decimal" w:pos="340"/>
              </w:tabs>
              <w:spacing w:before="40" w:after="40"/>
              <w:jc w:val="both"/>
              <w:rPr>
                <w:sz w:val="18"/>
              </w:rPr>
            </w:pPr>
            <w:r>
              <w:rPr>
                <w:sz w:val="18"/>
              </w:rPr>
              <w:t>10,5</w:t>
            </w:r>
          </w:p>
        </w:tc>
        <w:tc>
          <w:tcPr>
            <w:tcW w:w="680" w:type="dxa"/>
            <w:tcBorders>
              <w:top w:val="nil"/>
              <w:bottom w:val="nil"/>
            </w:tcBorders>
          </w:tcPr>
          <w:p w:rsidR="00000000" w:rsidRDefault="00000000">
            <w:pPr>
              <w:tabs>
                <w:tab w:val="decimal" w:pos="340"/>
              </w:tabs>
              <w:spacing w:before="40" w:after="40"/>
              <w:jc w:val="both"/>
              <w:rPr>
                <w:sz w:val="18"/>
              </w:rPr>
            </w:pPr>
            <w:r>
              <w:rPr>
                <w:sz w:val="18"/>
              </w:rPr>
              <w:t>10,1</w:t>
            </w:r>
          </w:p>
        </w:tc>
        <w:tc>
          <w:tcPr>
            <w:tcW w:w="680" w:type="dxa"/>
            <w:tcBorders>
              <w:top w:val="nil"/>
              <w:bottom w:val="nil"/>
            </w:tcBorders>
          </w:tcPr>
          <w:p w:rsidR="00000000" w:rsidRDefault="00000000">
            <w:pPr>
              <w:tabs>
                <w:tab w:val="decimal" w:pos="340"/>
              </w:tabs>
              <w:spacing w:before="40" w:after="40"/>
              <w:jc w:val="both"/>
              <w:rPr>
                <w:sz w:val="18"/>
              </w:rPr>
            </w:pPr>
            <w:r>
              <w:rPr>
                <w:sz w:val="18"/>
              </w:rPr>
              <w:t>9,2</w:t>
            </w:r>
          </w:p>
        </w:tc>
        <w:tc>
          <w:tcPr>
            <w:tcW w:w="680" w:type="dxa"/>
            <w:tcBorders>
              <w:top w:val="nil"/>
              <w:bottom w:val="nil"/>
            </w:tcBorders>
          </w:tcPr>
          <w:p w:rsidR="00000000" w:rsidRDefault="00000000">
            <w:pPr>
              <w:tabs>
                <w:tab w:val="decimal" w:pos="340"/>
              </w:tabs>
              <w:spacing w:before="40" w:after="40"/>
              <w:jc w:val="both"/>
              <w:rPr>
                <w:sz w:val="18"/>
              </w:rPr>
            </w:pPr>
            <w:r>
              <w:rPr>
                <w:sz w:val="18"/>
              </w:rPr>
              <w:t>9,8</w:t>
            </w:r>
          </w:p>
        </w:tc>
      </w:tr>
      <w:tr w:rsidR="00000000">
        <w:tblPrEx>
          <w:tblCellMar>
            <w:top w:w="0" w:type="dxa"/>
            <w:bottom w:w="0" w:type="dxa"/>
          </w:tblCellMar>
        </w:tblPrEx>
        <w:trPr>
          <w:jc w:val="center"/>
        </w:trPr>
        <w:tc>
          <w:tcPr>
            <w:tcW w:w="4026" w:type="dxa"/>
            <w:tcBorders>
              <w:top w:val="nil"/>
            </w:tcBorders>
          </w:tcPr>
          <w:p w:rsidR="00000000" w:rsidRDefault="00000000">
            <w:pPr>
              <w:tabs>
                <w:tab w:val="left" w:pos="680"/>
              </w:tabs>
              <w:spacing w:before="40" w:after="40"/>
              <w:rPr>
                <w:sz w:val="18"/>
              </w:rPr>
            </w:pPr>
            <w:r>
              <w:rPr>
                <w:sz w:val="18"/>
              </w:rPr>
              <w:t>Процент женщин среди получивших  помощь на приобретение жилья</w:t>
            </w:r>
          </w:p>
        </w:tc>
        <w:tc>
          <w:tcPr>
            <w:tcW w:w="680" w:type="dxa"/>
            <w:tcBorders>
              <w:top w:val="nil"/>
            </w:tcBorders>
          </w:tcPr>
          <w:p w:rsidR="00000000" w:rsidRDefault="00000000">
            <w:pPr>
              <w:tabs>
                <w:tab w:val="decimal" w:pos="340"/>
              </w:tabs>
              <w:spacing w:before="40" w:after="40"/>
              <w:jc w:val="both"/>
              <w:rPr>
                <w:sz w:val="18"/>
              </w:rPr>
            </w:pPr>
          </w:p>
        </w:tc>
        <w:tc>
          <w:tcPr>
            <w:tcW w:w="680" w:type="dxa"/>
            <w:tcBorders>
              <w:top w:val="nil"/>
            </w:tcBorders>
          </w:tcPr>
          <w:p w:rsidR="00000000" w:rsidRDefault="00000000">
            <w:pPr>
              <w:tabs>
                <w:tab w:val="decimal" w:pos="340"/>
              </w:tabs>
              <w:spacing w:before="40" w:after="40"/>
              <w:jc w:val="both"/>
              <w:rPr>
                <w:sz w:val="18"/>
              </w:rPr>
            </w:pPr>
            <w:r>
              <w:rPr>
                <w:sz w:val="18"/>
              </w:rPr>
              <w:t>28,0</w:t>
            </w:r>
          </w:p>
        </w:tc>
        <w:tc>
          <w:tcPr>
            <w:tcW w:w="680" w:type="dxa"/>
            <w:tcBorders>
              <w:top w:val="nil"/>
            </w:tcBorders>
          </w:tcPr>
          <w:p w:rsidR="00000000" w:rsidRDefault="00000000">
            <w:pPr>
              <w:tabs>
                <w:tab w:val="decimal" w:pos="340"/>
              </w:tabs>
              <w:spacing w:before="40" w:after="40"/>
              <w:jc w:val="both"/>
              <w:rPr>
                <w:sz w:val="18"/>
              </w:rPr>
            </w:pPr>
            <w:r>
              <w:rPr>
                <w:sz w:val="18"/>
              </w:rPr>
              <w:t>29,4</w:t>
            </w:r>
          </w:p>
        </w:tc>
        <w:tc>
          <w:tcPr>
            <w:tcW w:w="680" w:type="dxa"/>
            <w:tcBorders>
              <w:top w:val="nil"/>
            </w:tcBorders>
          </w:tcPr>
          <w:p w:rsidR="00000000" w:rsidRDefault="00000000">
            <w:pPr>
              <w:tabs>
                <w:tab w:val="decimal" w:pos="340"/>
              </w:tabs>
              <w:spacing w:before="40" w:after="40"/>
              <w:jc w:val="both"/>
              <w:rPr>
                <w:sz w:val="18"/>
              </w:rPr>
            </w:pPr>
            <w:r>
              <w:rPr>
                <w:sz w:val="18"/>
              </w:rPr>
              <w:t>31,5</w:t>
            </w:r>
          </w:p>
        </w:tc>
        <w:tc>
          <w:tcPr>
            <w:tcW w:w="680" w:type="dxa"/>
            <w:tcBorders>
              <w:top w:val="nil"/>
            </w:tcBorders>
          </w:tcPr>
          <w:p w:rsidR="00000000" w:rsidRDefault="00000000">
            <w:pPr>
              <w:tabs>
                <w:tab w:val="decimal" w:pos="340"/>
              </w:tabs>
              <w:spacing w:before="40" w:after="40"/>
              <w:jc w:val="both"/>
              <w:rPr>
                <w:sz w:val="18"/>
              </w:rPr>
            </w:pPr>
            <w:r>
              <w:rPr>
                <w:sz w:val="18"/>
              </w:rPr>
              <w:t>37,2</w:t>
            </w:r>
          </w:p>
        </w:tc>
        <w:tc>
          <w:tcPr>
            <w:tcW w:w="680" w:type="dxa"/>
            <w:tcBorders>
              <w:top w:val="nil"/>
            </w:tcBorders>
          </w:tcPr>
          <w:p w:rsidR="00000000" w:rsidRDefault="00000000">
            <w:pPr>
              <w:tabs>
                <w:tab w:val="decimal" w:pos="340"/>
              </w:tabs>
              <w:spacing w:before="40" w:after="40"/>
              <w:jc w:val="both"/>
              <w:rPr>
                <w:sz w:val="18"/>
              </w:rPr>
            </w:pPr>
            <w:r>
              <w:rPr>
                <w:sz w:val="18"/>
              </w:rPr>
              <w:t>40,2</w:t>
            </w:r>
          </w:p>
        </w:tc>
        <w:tc>
          <w:tcPr>
            <w:tcW w:w="680" w:type="dxa"/>
            <w:tcBorders>
              <w:top w:val="nil"/>
            </w:tcBorders>
          </w:tcPr>
          <w:p w:rsidR="00000000" w:rsidRDefault="00000000">
            <w:pPr>
              <w:tabs>
                <w:tab w:val="decimal" w:pos="340"/>
              </w:tabs>
              <w:spacing w:before="40" w:after="40"/>
              <w:jc w:val="both"/>
              <w:rPr>
                <w:sz w:val="18"/>
              </w:rPr>
            </w:pPr>
            <w:r>
              <w:rPr>
                <w:sz w:val="18"/>
              </w:rPr>
              <w:t>41,5</w:t>
            </w:r>
          </w:p>
        </w:tc>
      </w:tr>
      <w:tr w:rsidR="00000000">
        <w:tblPrEx>
          <w:tblCellMar>
            <w:top w:w="0" w:type="dxa"/>
            <w:bottom w:w="0" w:type="dxa"/>
          </w:tblCellMar>
        </w:tblPrEx>
        <w:trPr>
          <w:cantSplit/>
          <w:jc w:val="center"/>
        </w:trPr>
        <w:tc>
          <w:tcPr>
            <w:tcW w:w="8786" w:type="dxa"/>
            <w:gridSpan w:val="8"/>
          </w:tcPr>
          <w:p w:rsidR="00000000" w:rsidRDefault="00000000">
            <w:pPr>
              <w:tabs>
                <w:tab w:val="decimal" w:pos="340"/>
              </w:tabs>
              <w:spacing w:before="40" w:after="40"/>
              <w:jc w:val="both"/>
              <w:rPr>
                <w:sz w:val="18"/>
              </w:rPr>
            </w:pPr>
            <w:r>
              <w:rPr>
                <w:b/>
                <w:sz w:val="18"/>
              </w:rPr>
              <w:t>Работа</w:t>
            </w:r>
          </w:p>
        </w:tc>
      </w:tr>
      <w:tr w:rsidR="00000000">
        <w:tblPrEx>
          <w:tblCellMar>
            <w:top w:w="0" w:type="dxa"/>
            <w:bottom w:w="0" w:type="dxa"/>
          </w:tblCellMar>
        </w:tblPrEx>
        <w:trPr>
          <w:jc w:val="center"/>
        </w:trPr>
        <w:tc>
          <w:tcPr>
            <w:tcW w:w="4026" w:type="dxa"/>
          </w:tcPr>
          <w:p w:rsidR="00000000" w:rsidRDefault="00000000">
            <w:pPr>
              <w:tabs>
                <w:tab w:val="left" w:pos="680"/>
              </w:tabs>
              <w:spacing w:before="40" w:after="40"/>
              <w:rPr>
                <w:sz w:val="18"/>
              </w:rPr>
            </w:pPr>
            <w:r>
              <w:rPr>
                <w:sz w:val="18"/>
              </w:rPr>
              <w:t>Расширенный показатель женского участия</w:t>
            </w:r>
            <w:r>
              <w:rPr>
                <w:sz w:val="18"/>
                <w:vertAlign w:val="superscript"/>
              </w:rPr>
              <w:t xml:space="preserve"> </w:t>
            </w:r>
            <w:r>
              <w:rPr>
                <w:sz w:val="18"/>
                <w:vertAlign w:val="superscript"/>
                <w:lang w:val="en-US"/>
              </w:rPr>
              <w:t>c</w:t>
            </w:r>
            <w:r>
              <w:rPr>
                <w:sz w:val="18"/>
                <w:vertAlign w:val="superscript"/>
              </w:rPr>
              <w:t>)</w:t>
            </w:r>
          </w:p>
        </w:tc>
        <w:tc>
          <w:tcPr>
            <w:tcW w:w="680" w:type="dxa"/>
          </w:tcPr>
          <w:p w:rsidR="00000000" w:rsidRDefault="00000000">
            <w:pPr>
              <w:tabs>
                <w:tab w:val="decimal" w:pos="340"/>
              </w:tabs>
              <w:spacing w:before="40" w:after="40"/>
              <w:jc w:val="both"/>
              <w:rPr>
                <w:sz w:val="18"/>
              </w:rPr>
            </w:pPr>
            <w:r>
              <w:rPr>
                <w:sz w:val="18"/>
              </w:rPr>
              <w:t>41,1</w:t>
            </w:r>
          </w:p>
        </w:tc>
        <w:tc>
          <w:tcPr>
            <w:tcW w:w="680" w:type="dxa"/>
          </w:tcPr>
          <w:p w:rsidR="00000000" w:rsidRDefault="00000000">
            <w:pPr>
              <w:tabs>
                <w:tab w:val="decimal" w:pos="340"/>
              </w:tabs>
              <w:spacing w:before="40" w:after="40"/>
              <w:jc w:val="both"/>
              <w:rPr>
                <w:sz w:val="18"/>
              </w:rPr>
            </w:pPr>
            <w:r>
              <w:rPr>
                <w:sz w:val="18"/>
              </w:rPr>
              <w:t>41,2</w:t>
            </w:r>
          </w:p>
        </w:tc>
        <w:tc>
          <w:tcPr>
            <w:tcW w:w="680" w:type="dxa"/>
          </w:tcPr>
          <w:p w:rsidR="00000000" w:rsidRDefault="00000000">
            <w:pPr>
              <w:tabs>
                <w:tab w:val="decimal" w:pos="340"/>
              </w:tabs>
              <w:spacing w:before="40" w:after="40"/>
              <w:jc w:val="both"/>
              <w:rPr>
                <w:sz w:val="18"/>
              </w:rPr>
            </w:pPr>
            <w:r>
              <w:rPr>
                <w:sz w:val="18"/>
              </w:rPr>
              <w:t>42,2</w:t>
            </w:r>
          </w:p>
        </w:tc>
        <w:tc>
          <w:tcPr>
            <w:tcW w:w="680" w:type="dxa"/>
          </w:tcPr>
          <w:p w:rsidR="00000000" w:rsidRDefault="00000000">
            <w:pPr>
              <w:tabs>
                <w:tab w:val="decimal" w:pos="340"/>
              </w:tabs>
              <w:spacing w:before="40" w:after="40"/>
              <w:jc w:val="both"/>
              <w:rPr>
                <w:sz w:val="18"/>
              </w:rPr>
            </w:pPr>
            <w:r>
              <w:rPr>
                <w:sz w:val="18"/>
              </w:rPr>
              <w:t>41,5</w:t>
            </w:r>
          </w:p>
        </w:tc>
        <w:tc>
          <w:tcPr>
            <w:tcW w:w="680" w:type="dxa"/>
          </w:tcPr>
          <w:p w:rsidR="00000000" w:rsidRDefault="00000000">
            <w:pPr>
              <w:tabs>
                <w:tab w:val="decimal" w:pos="340"/>
              </w:tabs>
              <w:spacing w:before="40" w:after="40"/>
              <w:jc w:val="both"/>
              <w:rPr>
                <w:sz w:val="18"/>
              </w:rPr>
            </w:pPr>
            <w:r>
              <w:rPr>
                <w:sz w:val="18"/>
              </w:rPr>
              <w:t>44,1</w:t>
            </w:r>
          </w:p>
        </w:tc>
        <w:tc>
          <w:tcPr>
            <w:tcW w:w="680" w:type="dxa"/>
          </w:tcPr>
          <w:p w:rsidR="00000000" w:rsidRDefault="00000000">
            <w:pPr>
              <w:tabs>
                <w:tab w:val="decimal" w:pos="340"/>
              </w:tabs>
              <w:spacing w:before="40" w:after="40"/>
              <w:jc w:val="both"/>
              <w:rPr>
                <w:sz w:val="18"/>
              </w:rPr>
            </w:pPr>
            <w:r>
              <w:rPr>
                <w:sz w:val="18"/>
              </w:rPr>
              <w:t>43,3</w:t>
            </w:r>
          </w:p>
        </w:tc>
        <w:tc>
          <w:tcPr>
            <w:tcW w:w="680" w:type="dxa"/>
          </w:tcPr>
          <w:p w:rsidR="00000000" w:rsidRDefault="00000000">
            <w:pPr>
              <w:tabs>
                <w:tab w:val="decimal" w:pos="340"/>
              </w:tabs>
              <w:spacing w:before="40" w:after="40"/>
              <w:jc w:val="both"/>
              <w:rPr>
                <w:sz w:val="18"/>
              </w:rPr>
            </w:pPr>
            <w:r>
              <w:rPr>
                <w:sz w:val="18"/>
              </w:rPr>
              <w:t>40,8</w:t>
            </w:r>
          </w:p>
        </w:tc>
      </w:tr>
      <w:tr w:rsidR="00000000">
        <w:tblPrEx>
          <w:tblCellMar>
            <w:top w:w="0" w:type="dxa"/>
            <w:bottom w:w="0" w:type="dxa"/>
          </w:tblCellMar>
        </w:tblPrEx>
        <w:trPr>
          <w:jc w:val="center"/>
        </w:trPr>
        <w:tc>
          <w:tcPr>
            <w:tcW w:w="4026" w:type="dxa"/>
          </w:tcPr>
          <w:p w:rsidR="00000000" w:rsidRDefault="00000000">
            <w:pPr>
              <w:tabs>
                <w:tab w:val="left" w:pos="680"/>
              </w:tabs>
              <w:spacing w:before="40" w:after="40"/>
              <w:rPr>
                <w:sz w:val="18"/>
              </w:rPr>
            </w:pPr>
            <w:r>
              <w:rPr>
                <w:sz w:val="18"/>
              </w:rPr>
              <w:t>Разница в показателях дополнительной  занятости среди мужчин и женщин</w:t>
            </w:r>
            <w:r>
              <w:rPr>
                <w:sz w:val="18"/>
                <w:vertAlign w:val="superscript"/>
              </w:rPr>
              <w:t xml:space="preserve"> </w:t>
            </w:r>
            <w:r>
              <w:rPr>
                <w:sz w:val="18"/>
                <w:vertAlign w:val="superscript"/>
                <w:lang w:val="en-US"/>
              </w:rPr>
              <w:t>a</w:t>
            </w:r>
            <w:r>
              <w:rPr>
                <w:sz w:val="18"/>
                <w:vertAlign w:val="superscript"/>
              </w:rPr>
              <w:t>)</w:t>
            </w:r>
          </w:p>
        </w:tc>
        <w:tc>
          <w:tcPr>
            <w:tcW w:w="680" w:type="dxa"/>
          </w:tcPr>
          <w:p w:rsidR="00000000" w:rsidRDefault="00000000">
            <w:pPr>
              <w:tabs>
                <w:tab w:val="decimal" w:pos="340"/>
              </w:tabs>
              <w:spacing w:before="40" w:after="40"/>
              <w:jc w:val="both"/>
              <w:rPr>
                <w:sz w:val="18"/>
              </w:rPr>
            </w:pPr>
            <w:r>
              <w:rPr>
                <w:sz w:val="18"/>
              </w:rPr>
              <w:t>-2,5</w:t>
            </w:r>
          </w:p>
        </w:tc>
        <w:tc>
          <w:tcPr>
            <w:tcW w:w="680" w:type="dxa"/>
          </w:tcPr>
          <w:p w:rsidR="00000000" w:rsidRDefault="00000000">
            <w:pPr>
              <w:tabs>
                <w:tab w:val="decimal" w:pos="340"/>
              </w:tabs>
              <w:spacing w:before="40" w:after="40"/>
              <w:jc w:val="both"/>
              <w:rPr>
                <w:sz w:val="18"/>
              </w:rPr>
            </w:pPr>
            <w:r>
              <w:rPr>
                <w:sz w:val="18"/>
              </w:rPr>
              <w:t>-2,4</w:t>
            </w:r>
          </w:p>
        </w:tc>
        <w:tc>
          <w:tcPr>
            <w:tcW w:w="680" w:type="dxa"/>
          </w:tcPr>
          <w:p w:rsidR="00000000" w:rsidRDefault="00000000">
            <w:pPr>
              <w:tabs>
                <w:tab w:val="decimal" w:pos="340"/>
              </w:tabs>
              <w:spacing w:before="40" w:after="40"/>
              <w:jc w:val="both"/>
              <w:rPr>
                <w:sz w:val="18"/>
              </w:rPr>
            </w:pPr>
            <w:r>
              <w:rPr>
                <w:sz w:val="18"/>
              </w:rPr>
              <w:t>-2,5</w:t>
            </w:r>
          </w:p>
        </w:tc>
        <w:tc>
          <w:tcPr>
            <w:tcW w:w="680" w:type="dxa"/>
          </w:tcPr>
          <w:p w:rsidR="00000000" w:rsidRDefault="00000000">
            <w:pPr>
              <w:tabs>
                <w:tab w:val="decimal" w:pos="340"/>
              </w:tabs>
              <w:spacing w:before="40" w:after="40"/>
              <w:jc w:val="both"/>
              <w:rPr>
                <w:sz w:val="18"/>
              </w:rPr>
            </w:pPr>
            <w:r>
              <w:rPr>
                <w:sz w:val="18"/>
              </w:rPr>
              <w:t>-2,9</w:t>
            </w:r>
          </w:p>
        </w:tc>
        <w:tc>
          <w:tcPr>
            <w:tcW w:w="680" w:type="dxa"/>
          </w:tcPr>
          <w:p w:rsidR="00000000" w:rsidRDefault="00000000">
            <w:pPr>
              <w:tabs>
                <w:tab w:val="decimal" w:pos="340"/>
              </w:tabs>
              <w:spacing w:before="40" w:after="40"/>
              <w:jc w:val="both"/>
              <w:rPr>
                <w:sz w:val="18"/>
              </w:rPr>
            </w:pPr>
            <w:r>
              <w:rPr>
                <w:sz w:val="18"/>
              </w:rPr>
              <w:t>-4,5</w:t>
            </w:r>
          </w:p>
        </w:tc>
        <w:tc>
          <w:tcPr>
            <w:tcW w:w="680" w:type="dxa"/>
          </w:tcPr>
          <w:p w:rsidR="00000000" w:rsidRDefault="00000000">
            <w:pPr>
              <w:tabs>
                <w:tab w:val="decimal" w:pos="340"/>
              </w:tabs>
              <w:spacing w:before="40" w:after="40"/>
              <w:jc w:val="both"/>
              <w:rPr>
                <w:sz w:val="18"/>
              </w:rPr>
            </w:pPr>
            <w:r>
              <w:rPr>
                <w:sz w:val="18"/>
              </w:rPr>
              <w:t>-4,6</w:t>
            </w:r>
          </w:p>
        </w:tc>
        <w:tc>
          <w:tcPr>
            <w:tcW w:w="680" w:type="dxa"/>
          </w:tcPr>
          <w:p w:rsidR="00000000" w:rsidRDefault="00000000">
            <w:pPr>
              <w:tabs>
                <w:tab w:val="decimal" w:pos="340"/>
              </w:tabs>
              <w:spacing w:before="40" w:after="40"/>
              <w:jc w:val="both"/>
              <w:rPr>
                <w:sz w:val="18"/>
              </w:rPr>
            </w:pPr>
            <w:r>
              <w:rPr>
                <w:sz w:val="18"/>
              </w:rPr>
              <w:t>-2,7</w:t>
            </w:r>
          </w:p>
        </w:tc>
      </w:tr>
      <w:tr w:rsidR="00000000">
        <w:tblPrEx>
          <w:tblCellMar>
            <w:top w:w="0" w:type="dxa"/>
            <w:bottom w:w="0" w:type="dxa"/>
          </w:tblCellMar>
        </w:tblPrEx>
        <w:trPr>
          <w:cantSplit/>
          <w:jc w:val="center"/>
        </w:trPr>
        <w:tc>
          <w:tcPr>
            <w:tcW w:w="8786" w:type="dxa"/>
            <w:gridSpan w:val="8"/>
          </w:tcPr>
          <w:p w:rsidR="00000000" w:rsidRDefault="00000000">
            <w:pPr>
              <w:tabs>
                <w:tab w:val="decimal" w:pos="340"/>
              </w:tabs>
              <w:spacing w:before="40" w:after="40"/>
              <w:jc w:val="both"/>
              <w:rPr>
                <w:sz w:val="18"/>
              </w:rPr>
            </w:pPr>
            <w:r>
              <w:rPr>
                <w:i/>
                <w:sz w:val="18"/>
              </w:rPr>
              <w:t>Процент женщин – квалифицированных специалистов</w:t>
            </w:r>
          </w:p>
        </w:tc>
      </w:tr>
      <w:tr w:rsidR="00000000">
        <w:tblPrEx>
          <w:tblCellMar>
            <w:top w:w="0" w:type="dxa"/>
            <w:bottom w:w="0" w:type="dxa"/>
          </w:tblCellMar>
        </w:tblPrEx>
        <w:trPr>
          <w:jc w:val="center"/>
        </w:trPr>
        <w:tc>
          <w:tcPr>
            <w:tcW w:w="4026" w:type="dxa"/>
            <w:tcBorders>
              <w:bottom w:val="nil"/>
            </w:tcBorders>
          </w:tcPr>
          <w:p w:rsidR="00000000" w:rsidRDefault="00000000">
            <w:pPr>
              <w:tabs>
                <w:tab w:val="left" w:pos="680"/>
              </w:tabs>
              <w:spacing w:before="40" w:after="40"/>
              <w:rPr>
                <w:sz w:val="18"/>
              </w:rPr>
            </w:pPr>
            <w:r>
              <w:rPr>
                <w:sz w:val="18"/>
              </w:rPr>
              <w:t>Специалисты-профессионалы</w:t>
            </w:r>
          </w:p>
        </w:tc>
        <w:tc>
          <w:tcPr>
            <w:tcW w:w="680" w:type="dxa"/>
            <w:tcBorders>
              <w:bottom w:val="nil"/>
            </w:tcBorders>
          </w:tcPr>
          <w:p w:rsidR="00000000" w:rsidRDefault="00000000">
            <w:pPr>
              <w:tabs>
                <w:tab w:val="decimal" w:pos="340"/>
              </w:tabs>
              <w:spacing w:before="40" w:after="40"/>
              <w:jc w:val="both"/>
              <w:rPr>
                <w:sz w:val="18"/>
              </w:rPr>
            </w:pPr>
            <w:r>
              <w:rPr>
                <w:sz w:val="18"/>
              </w:rPr>
              <w:t>44,5</w:t>
            </w:r>
          </w:p>
        </w:tc>
        <w:tc>
          <w:tcPr>
            <w:tcW w:w="680" w:type="dxa"/>
            <w:tcBorders>
              <w:bottom w:val="nil"/>
            </w:tcBorders>
          </w:tcPr>
          <w:p w:rsidR="00000000" w:rsidRDefault="00000000">
            <w:pPr>
              <w:tabs>
                <w:tab w:val="decimal" w:pos="340"/>
              </w:tabs>
              <w:spacing w:before="40" w:after="40"/>
              <w:jc w:val="both"/>
              <w:rPr>
                <w:sz w:val="18"/>
              </w:rPr>
            </w:pPr>
            <w:r>
              <w:rPr>
                <w:sz w:val="18"/>
              </w:rPr>
              <w:t>45,4</w:t>
            </w:r>
          </w:p>
        </w:tc>
        <w:tc>
          <w:tcPr>
            <w:tcW w:w="680" w:type="dxa"/>
            <w:tcBorders>
              <w:bottom w:val="nil"/>
            </w:tcBorders>
          </w:tcPr>
          <w:p w:rsidR="00000000" w:rsidRDefault="00000000">
            <w:pPr>
              <w:tabs>
                <w:tab w:val="decimal" w:pos="340"/>
              </w:tabs>
              <w:spacing w:before="40" w:after="40"/>
              <w:jc w:val="both"/>
              <w:rPr>
                <w:sz w:val="18"/>
              </w:rPr>
            </w:pPr>
            <w:r>
              <w:rPr>
                <w:sz w:val="18"/>
              </w:rPr>
              <w:t>47,8</w:t>
            </w:r>
          </w:p>
        </w:tc>
        <w:tc>
          <w:tcPr>
            <w:tcW w:w="680" w:type="dxa"/>
            <w:tcBorders>
              <w:bottom w:val="nil"/>
            </w:tcBorders>
          </w:tcPr>
          <w:p w:rsidR="00000000" w:rsidRDefault="00000000">
            <w:pPr>
              <w:tabs>
                <w:tab w:val="decimal" w:pos="340"/>
              </w:tabs>
              <w:spacing w:before="40" w:after="40"/>
              <w:jc w:val="both"/>
              <w:rPr>
                <w:sz w:val="18"/>
              </w:rPr>
            </w:pPr>
            <w:r>
              <w:rPr>
                <w:sz w:val="18"/>
              </w:rPr>
              <w:t>48,3</w:t>
            </w:r>
          </w:p>
        </w:tc>
        <w:tc>
          <w:tcPr>
            <w:tcW w:w="680" w:type="dxa"/>
            <w:tcBorders>
              <w:bottom w:val="nil"/>
            </w:tcBorders>
          </w:tcPr>
          <w:p w:rsidR="00000000" w:rsidRDefault="00000000">
            <w:pPr>
              <w:tabs>
                <w:tab w:val="decimal" w:pos="340"/>
              </w:tabs>
              <w:spacing w:before="40" w:after="40"/>
              <w:jc w:val="both"/>
              <w:rPr>
                <w:sz w:val="18"/>
              </w:rPr>
            </w:pPr>
            <w:r>
              <w:rPr>
                <w:sz w:val="18"/>
              </w:rPr>
              <w:t>45,1</w:t>
            </w:r>
          </w:p>
        </w:tc>
        <w:tc>
          <w:tcPr>
            <w:tcW w:w="680" w:type="dxa"/>
            <w:tcBorders>
              <w:bottom w:val="nil"/>
            </w:tcBorders>
          </w:tcPr>
          <w:p w:rsidR="00000000" w:rsidRDefault="00000000">
            <w:pPr>
              <w:tabs>
                <w:tab w:val="decimal" w:pos="340"/>
              </w:tabs>
              <w:spacing w:before="40" w:after="40"/>
              <w:jc w:val="both"/>
              <w:rPr>
                <w:sz w:val="18"/>
              </w:rPr>
            </w:pPr>
            <w:r>
              <w:rPr>
                <w:sz w:val="18"/>
              </w:rPr>
              <w:t>47,1</w:t>
            </w:r>
          </w:p>
        </w:tc>
        <w:tc>
          <w:tcPr>
            <w:tcW w:w="680" w:type="dxa"/>
            <w:tcBorders>
              <w:bottom w:val="nil"/>
            </w:tcBorders>
          </w:tcPr>
          <w:p w:rsidR="00000000" w:rsidRDefault="00000000">
            <w:pPr>
              <w:tabs>
                <w:tab w:val="decimal" w:pos="340"/>
              </w:tabs>
              <w:spacing w:before="40" w:after="40"/>
              <w:jc w:val="both"/>
              <w:rPr>
                <w:sz w:val="18"/>
              </w:rPr>
            </w:pPr>
            <w:r>
              <w:rPr>
                <w:sz w:val="18"/>
              </w:rPr>
              <w:t>46,2</w:t>
            </w:r>
          </w:p>
        </w:tc>
      </w:tr>
      <w:tr w:rsidR="00000000">
        <w:tblPrEx>
          <w:tblCellMar>
            <w:top w:w="0" w:type="dxa"/>
            <w:bottom w:w="0" w:type="dxa"/>
          </w:tblCellMar>
        </w:tblPrEx>
        <w:trPr>
          <w:jc w:val="center"/>
        </w:trPr>
        <w:tc>
          <w:tcPr>
            <w:tcW w:w="4026" w:type="dxa"/>
            <w:tcBorders>
              <w:top w:val="nil"/>
              <w:bottom w:val="nil"/>
            </w:tcBorders>
          </w:tcPr>
          <w:p w:rsidR="00000000" w:rsidRDefault="00000000">
            <w:pPr>
              <w:tabs>
                <w:tab w:val="left" w:pos="680"/>
              </w:tabs>
              <w:spacing w:before="40" w:after="40"/>
              <w:rPr>
                <w:sz w:val="18"/>
              </w:rPr>
            </w:pPr>
            <w:r>
              <w:rPr>
                <w:sz w:val="18"/>
              </w:rPr>
              <w:t>Руководящие работники</w:t>
            </w:r>
          </w:p>
        </w:tc>
        <w:tc>
          <w:tcPr>
            <w:tcW w:w="680" w:type="dxa"/>
            <w:tcBorders>
              <w:top w:val="nil"/>
              <w:bottom w:val="nil"/>
            </w:tcBorders>
          </w:tcPr>
          <w:p w:rsidR="00000000" w:rsidRDefault="00000000">
            <w:pPr>
              <w:tabs>
                <w:tab w:val="decimal" w:pos="340"/>
              </w:tabs>
              <w:spacing w:before="40" w:after="40"/>
              <w:jc w:val="both"/>
              <w:rPr>
                <w:sz w:val="18"/>
              </w:rPr>
            </w:pPr>
            <w:r>
              <w:rPr>
                <w:sz w:val="18"/>
              </w:rPr>
              <w:t>23,3</w:t>
            </w:r>
          </w:p>
        </w:tc>
        <w:tc>
          <w:tcPr>
            <w:tcW w:w="680" w:type="dxa"/>
            <w:tcBorders>
              <w:top w:val="nil"/>
              <w:bottom w:val="nil"/>
            </w:tcBorders>
          </w:tcPr>
          <w:p w:rsidR="00000000" w:rsidRDefault="00000000">
            <w:pPr>
              <w:tabs>
                <w:tab w:val="decimal" w:pos="340"/>
              </w:tabs>
              <w:spacing w:before="40" w:after="40"/>
              <w:jc w:val="both"/>
              <w:rPr>
                <w:sz w:val="18"/>
              </w:rPr>
            </w:pPr>
            <w:r>
              <w:rPr>
                <w:sz w:val="18"/>
              </w:rPr>
              <w:t>23,4</w:t>
            </w:r>
          </w:p>
        </w:tc>
        <w:tc>
          <w:tcPr>
            <w:tcW w:w="680" w:type="dxa"/>
            <w:tcBorders>
              <w:top w:val="nil"/>
              <w:bottom w:val="nil"/>
            </w:tcBorders>
          </w:tcPr>
          <w:p w:rsidR="00000000" w:rsidRDefault="00000000">
            <w:pPr>
              <w:tabs>
                <w:tab w:val="decimal" w:pos="340"/>
              </w:tabs>
              <w:spacing w:before="40" w:after="40"/>
              <w:jc w:val="both"/>
              <w:rPr>
                <w:sz w:val="18"/>
              </w:rPr>
            </w:pPr>
            <w:r>
              <w:rPr>
                <w:sz w:val="18"/>
              </w:rPr>
              <w:t>26,7</w:t>
            </w:r>
          </w:p>
        </w:tc>
        <w:tc>
          <w:tcPr>
            <w:tcW w:w="680" w:type="dxa"/>
            <w:tcBorders>
              <w:top w:val="nil"/>
              <w:bottom w:val="nil"/>
            </w:tcBorders>
          </w:tcPr>
          <w:p w:rsidR="00000000" w:rsidRDefault="00000000">
            <w:pPr>
              <w:tabs>
                <w:tab w:val="decimal" w:pos="340"/>
              </w:tabs>
              <w:spacing w:before="40" w:after="40"/>
              <w:jc w:val="both"/>
              <w:rPr>
                <w:sz w:val="18"/>
              </w:rPr>
            </w:pPr>
            <w:r>
              <w:rPr>
                <w:sz w:val="18"/>
              </w:rPr>
              <w:t>27,5</w:t>
            </w:r>
          </w:p>
        </w:tc>
        <w:tc>
          <w:tcPr>
            <w:tcW w:w="680" w:type="dxa"/>
            <w:tcBorders>
              <w:top w:val="nil"/>
              <w:bottom w:val="nil"/>
            </w:tcBorders>
          </w:tcPr>
          <w:p w:rsidR="00000000" w:rsidRDefault="00000000">
            <w:pPr>
              <w:tabs>
                <w:tab w:val="decimal" w:pos="340"/>
              </w:tabs>
              <w:spacing w:before="40" w:after="40"/>
              <w:jc w:val="both"/>
              <w:rPr>
                <w:sz w:val="18"/>
              </w:rPr>
            </w:pPr>
            <w:r>
              <w:rPr>
                <w:sz w:val="18"/>
              </w:rPr>
              <w:t>30,1</w:t>
            </w:r>
          </w:p>
        </w:tc>
        <w:tc>
          <w:tcPr>
            <w:tcW w:w="680" w:type="dxa"/>
            <w:tcBorders>
              <w:top w:val="nil"/>
              <w:bottom w:val="nil"/>
            </w:tcBorders>
          </w:tcPr>
          <w:p w:rsidR="00000000" w:rsidRDefault="00000000">
            <w:pPr>
              <w:tabs>
                <w:tab w:val="decimal" w:pos="340"/>
              </w:tabs>
              <w:spacing w:before="40" w:after="40"/>
              <w:jc w:val="both"/>
              <w:rPr>
                <w:sz w:val="18"/>
              </w:rPr>
            </w:pPr>
            <w:r>
              <w:rPr>
                <w:sz w:val="18"/>
              </w:rPr>
              <w:t>30,6</w:t>
            </w:r>
          </w:p>
        </w:tc>
        <w:tc>
          <w:tcPr>
            <w:tcW w:w="680" w:type="dxa"/>
            <w:tcBorders>
              <w:top w:val="nil"/>
              <w:bottom w:val="nil"/>
            </w:tcBorders>
          </w:tcPr>
          <w:p w:rsidR="00000000" w:rsidRDefault="00000000">
            <w:pPr>
              <w:tabs>
                <w:tab w:val="decimal" w:pos="340"/>
              </w:tabs>
              <w:spacing w:before="40" w:after="40"/>
              <w:jc w:val="both"/>
              <w:rPr>
                <w:sz w:val="18"/>
              </w:rPr>
            </w:pPr>
            <w:r>
              <w:rPr>
                <w:sz w:val="18"/>
              </w:rPr>
              <w:t>29,9</w:t>
            </w:r>
          </w:p>
        </w:tc>
      </w:tr>
      <w:tr w:rsidR="00000000">
        <w:tblPrEx>
          <w:tblCellMar>
            <w:top w:w="0" w:type="dxa"/>
            <w:bottom w:w="0" w:type="dxa"/>
          </w:tblCellMar>
        </w:tblPrEx>
        <w:trPr>
          <w:jc w:val="center"/>
        </w:trPr>
        <w:tc>
          <w:tcPr>
            <w:tcW w:w="4026" w:type="dxa"/>
            <w:tcBorders>
              <w:top w:val="nil"/>
              <w:bottom w:val="nil"/>
            </w:tcBorders>
          </w:tcPr>
          <w:p w:rsidR="00000000" w:rsidRDefault="00000000">
            <w:pPr>
              <w:tabs>
                <w:tab w:val="left" w:pos="680"/>
              </w:tabs>
              <w:spacing w:before="40" w:after="40"/>
              <w:rPr>
                <w:sz w:val="18"/>
              </w:rPr>
            </w:pPr>
            <w:r>
              <w:rPr>
                <w:sz w:val="18"/>
              </w:rPr>
              <w:t>Показатель сегрегации по половому признаку в сфере занятости</w:t>
            </w:r>
            <w:r>
              <w:rPr>
                <w:sz w:val="18"/>
                <w:vertAlign w:val="superscript"/>
              </w:rPr>
              <w:t xml:space="preserve"> </w:t>
            </w:r>
            <w:r>
              <w:rPr>
                <w:sz w:val="18"/>
                <w:vertAlign w:val="superscript"/>
                <w:lang w:val="en-US"/>
              </w:rPr>
              <w:t>d</w:t>
            </w:r>
            <w:r>
              <w:rPr>
                <w:sz w:val="18"/>
                <w:vertAlign w:val="superscript"/>
              </w:rPr>
              <w:t>)</w:t>
            </w:r>
          </w:p>
        </w:tc>
        <w:tc>
          <w:tcPr>
            <w:tcW w:w="680" w:type="dxa"/>
            <w:tcBorders>
              <w:top w:val="nil"/>
              <w:bottom w:val="nil"/>
            </w:tcBorders>
          </w:tcPr>
          <w:p w:rsidR="00000000" w:rsidRDefault="00000000">
            <w:pPr>
              <w:tabs>
                <w:tab w:val="decimal" w:pos="340"/>
              </w:tabs>
              <w:spacing w:before="40" w:after="40"/>
              <w:jc w:val="both"/>
              <w:rPr>
                <w:sz w:val="18"/>
              </w:rPr>
            </w:pPr>
            <w:r>
              <w:rPr>
                <w:sz w:val="18"/>
              </w:rPr>
              <w:t>24,9</w:t>
            </w:r>
          </w:p>
        </w:tc>
        <w:tc>
          <w:tcPr>
            <w:tcW w:w="680" w:type="dxa"/>
            <w:tcBorders>
              <w:top w:val="nil"/>
              <w:bottom w:val="nil"/>
            </w:tcBorders>
          </w:tcPr>
          <w:p w:rsidR="00000000" w:rsidRDefault="00000000">
            <w:pPr>
              <w:tabs>
                <w:tab w:val="decimal" w:pos="340"/>
              </w:tabs>
              <w:spacing w:before="40" w:after="40"/>
              <w:jc w:val="both"/>
              <w:rPr>
                <w:sz w:val="18"/>
              </w:rPr>
            </w:pPr>
            <w:r>
              <w:rPr>
                <w:sz w:val="18"/>
              </w:rPr>
              <w:t>23,0</w:t>
            </w:r>
          </w:p>
        </w:tc>
        <w:tc>
          <w:tcPr>
            <w:tcW w:w="680" w:type="dxa"/>
            <w:tcBorders>
              <w:top w:val="nil"/>
              <w:bottom w:val="nil"/>
            </w:tcBorders>
          </w:tcPr>
          <w:p w:rsidR="00000000" w:rsidRDefault="00000000">
            <w:pPr>
              <w:tabs>
                <w:tab w:val="decimal" w:pos="340"/>
              </w:tabs>
              <w:spacing w:before="40" w:after="40"/>
              <w:jc w:val="both"/>
              <w:rPr>
                <w:sz w:val="18"/>
              </w:rPr>
            </w:pPr>
            <w:r>
              <w:rPr>
                <w:sz w:val="18"/>
              </w:rPr>
              <w:t>23,6</w:t>
            </w:r>
          </w:p>
        </w:tc>
        <w:tc>
          <w:tcPr>
            <w:tcW w:w="680" w:type="dxa"/>
            <w:tcBorders>
              <w:top w:val="nil"/>
              <w:bottom w:val="nil"/>
            </w:tcBorders>
          </w:tcPr>
          <w:p w:rsidR="00000000" w:rsidRDefault="00000000">
            <w:pPr>
              <w:tabs>
                <w:tab w:val="decimal" w:pos="340"/>
              </w:tabs>
              <w:spacing w:before="40" w:after="40"/>
              <w:jc w:val="both"/>
              <w:rPr>
                <w:sz w:val="18"/>
              </w:rPr>
            </w:pPr>
            <w:r>
              <w:rPr>
                <w:sz w:val="18"/>
              </w:rPr>
              <w:t>24,7</w:t>
            </w:r>
          </w:p>
        </w:tc>
        <w:tc>
          <w:tcPr>
            <w:tcW w:w="680" w:type="dxa"/>
            <w:tcBorders>
              <w:top w:val="nil"/>
              <w:bottom w:val="nil"/>
            </w:tcBorders>
          </w:tcPr>
          <w:p w:rsidR="00000000" w:rsidRDefault="00000000">
            <w:pPr>
              <w:tabs>
                <w:tab w:val="decimal" w:pos="340"/>
              </w:tabs>
              <w:spacing w:before="40" w:after="40"/>
              <w:jc w:val="both"/>
              <w:rPr>
                <w:sz w:val="18"/>
              </w:rPr>
            </w:pPr>
            <w:r>
              <w:rPr>
                <w:sz w:val="18"/>
              </w:rPr>
              <w:t>25,5</w:t>
            </w:r>
          </w:p>
        </w:tc>
        <w:tc>
          <w:tcPr>
            <w:tcW w:w="680" w:type="dxa"/>
            <w:tcBorders>
              <w:top w:val="nil"/>
              <w:bottom w:val="nil"/>
            </w:tcBorders>
          </w:tcPr>
          <w:p w:rsidR="00000000" w:rsidRDefault="00000000">
            <w:pPr>
              <w:tabs>
                <w:tab w:val="decimal" w:pos="340"/>
              </w:tabs>
              <w:spacing w:before="40" w:after="40"/>
              <w:jc w:val="both"/>
              <w:rPr>
                <w:sz w:val="18"/>
              </w:rPr>
            </w:pPr>
            <w:r>
              <w:rPr>
                <w:sz w:val="18"/>
              </w:rPr>
              <w:t>25,8</w:t>
            </w:r>
          </w:p>
        </w:tc>
        <w:tc>
          <w:tcPr>
            <w:tcW w:w="680" w:type="dxa"/>
            <w:tcBorders>
              <w:top w:val="nil"/>
              <w:bottom w:val="nil"/>
            </w:tcBorders>
          </w:tcPr>
          <w:p w:rsidR="00000000" w:rsidRDefault="00000000">
            <w:pPr>
              <w:tabs>
                <w:tab w:val="decimal" w:pos="340"/>
              </w:tabs>
              <w:spacing w:before="40" w:after="40"/>
              <w:jc w:val="both"/>
              <w:rPr>
                <w:sz w:val="18"/>
              </w:rPr>
            </w:pPr>
            <w:r>
              <w:rPr>
                <w:sz w:val="18"/>
              </w:rPr>
              <w:t>24,8</w:t>
            </w:r>
          </w:p>
        </w:tc>
      </w:tr>
      <w:tr w:rsidR="00000000">
        <w:tblPrEx>
          <w:tblCellMar>
            <w:top w:w="0" w:type="dxa"/>
            <w:bottom w:w="0" w:type="dxa"/>
          </w:tblCellMar>
        </w:tblPrEx>
        <w:trPr>
          <w:jc w:val="center"/>
        </w:trPr>
        <w:tc>
          <w:tcPr>
            <w:tcW w:w="4026" w:type="dxa"/>
            <w:tcBorders>
              <w:top w:val="nil"/>
              <w:bottom w:val="nil"/>
            </w:tcBorders>
          </w:tcPr>
          <w:p w:rsidR="00000000" w:rsidRDefault="00000000">
            <w:pPr>
              <w:tabs>
                <w:tab w:val="left" w:pos="680"/>
              </w:tabs>
              <w:spacing w:before="40" w:after="40"/>
              <w:rPr>
                <w:sz w:val="18"/>
              </w:rPr>
            </w:pPr>
            <w:r>
              <w:rPr>
                <w:sz w:val="18"/>
              </w:rPr>
              <w:t>Неравномерная занятость мужчин и женщин в низкопродуктивном секторе</w:t>
            </w:r>
            <w:r>
              <w:rPr>
                <w:sz w:val="18"/>
                <w:vertAlign w:val="superscript"/>
              </w:rPr>
              <w:t xml:space="preserve"> </w:t>
            </w:r>
            <w:r>
              <w:rPr>
                <w:sz w:val="18"/>
                <w:vertAlign w:val="superscript"/>
                <w:lang w:val="en-US"/>
              </w:rPr>
              <w:t>a</w:t>
            </w:r>
            <w:r>
              <w:rPr>
                <w:sz w:val="18"/>
                <w:vertAlign w:val="superscript"/>
              </w:rPr>
              <w:t>)</w:t>
            </w:r>
          </w:p>
        </w:tc>
        <w:tc>
          <w:tcPr>
            <w:tcW w:w="680" w:type="dxa"/>
            <w:tcBorders>
              <w:top w:val="nil"/>
              <w:bottom w:val="nil"/>
            </w:tcBorders>
          </w:tcPr>
          <w:p w:rsidR="00000000" w:rsidRDefault="00000000">
            <w:pPr>
              <w:tabs>
                <w:tab w:val="decimal" w:pos="340"/>
              </w:tabs>
              <w:spacing w:before="40" w:after="40"/>
              <w:jc w:val="both"/>
              <w:rPr>
                <w:sz w:val="18"/>
              </w:rPr>
            </w:pPr>
          </w:p>
        </w:tc>
        <w:tc>
          <w:tcPr>
            <w:tcW w:w="680" w:type="dxa"/>
            <w:tcBorders>
              <w:top w:val="nil"/>
              <w:bottom w:val="nil"/>
            </w:tcBorders>
          </w:tcPr>
          <w:p w:rsidR="00000000" w:rsidRDefault="00000000">
            <w:pPr>
              <w:tabs>
                <w:tab w:val="decimal" w:pos="340"/>
              </w:tabs>
              <w:spacing w:before="40" w:after="40"/>
              <w:jc w:val="both"/>
              <w:rPr>
                <w:sz w:val="18"/>
              </w:rPr>
            </w:pPr>
            <w:r>
              <w:rPr>
                <w:sz w:val="18"/>
              </w:rPr>
              <w:t>-16,0</w:t>
            </w:r>
          </w:p>
        </w:tc>
        <w:tc>
          <w:tcPr>
            <w:tcW w:w="680" w:type="dxa"/>
            <w:tcBorders>
              <w:top w:val="nil"/>
              <w:bottom w:val="nil"/>
            </w:tcBorders>
          </w:tcPr>
          <w:p w:rsidR="00000000" w:rsidRDefault="00000000">
            <w:pPr>
              <w:tabs>
                <w:tab w:val="decimal" w:pos="340"/>
              </w:tabs>
              <w:spacing w:before="40" w:after="40"/>
              <w:jc w:val="both"/>
              <w:rPr>
                <w:sz w:val="18"/>
              </w:rPr>
            </w:pPr>
            <w:r>
              <w:rPr>
                <w:sz w:val="18"/>
              </w:rPr>
              <w:t>-13,0</w:t>
            </w:r>
          </w:p>
        </w:tc>
        <w:tc>
          <w:tcPr>
            <w:tcW w:w="680" w:type="dxa"/>
            <w:tcBorders>
              <w:top w:val="nil"/>
              <w:bottom w:val="nil"/>
            </w:tcBorders>
          </w:tcPr>
          <w:p w:rsidR="00000000" w:rsidRDefault="00000000">
            <w:pPr>
              <w:tabs>
                <w:tab w:val="decimal" w:pos="340"/>
              </w:tabs>
              <w:spacing w:before="40" w:after="40"/>
              <w:jc w:val="both"/>
              <w:rPr>
                <w:sz w:val="18"/>
              </w:rPr>
            </w:pPr>
            <w:r>
              <w:rPr>
                <w:sz w:val="18"/>
              </w:rPr>
              <w:t>-15,2</w:t>
            </w:r>
          </w:p>
        </w:tc>
        <w:tc>
          <w:tcPr>
            <w:tcW w:w="680" w:type="dxa"/>
            <w:tcBorders>
              <w:top w:val="nil"/>
              <w:bottom w:val="nil"/>
            </w:tcBorders>
          </w:tcPr>
          <w:p w:rsidR="00000000" w:rsidRDefault="00000000">
            <w:pPr>
              <w:tabs>
                <w:tab w:val="decimal" w:pos="340"/>
              </w:tabs>
              <w:spacing w:before="40" w:after="40"/>
              <w:jc w:val="both"/>
              <w:rPr>
                <w:sz w:val="18"/>
              </w:rPr>
            </w:pPr>
            <w:r>
              <w:rPr>
                <w:sz w:val="18"/>
              </w:rPr>
              <w:t>-16,4</w:t>
            </w:r>
          </w:p>
        </w:tc>
        <w:tc>
          <w:tcPr>
            <w:tcW w:w="680" w:type="dxa"/>
            <w:tcBorders>
              <w:top w:val="nil"/>
              <w:bottom w:val="nil"/>
            </w:tcBorders>
          </w:tcPr>
          <w:p w:rsidR="00000000" w:rsidRDefault="00000000">
            <w:pPr>
              <w:tabs>
                <w:tab w:val="decimal" w:pos="340"/>
              </w:tabs>
              <w:spacing w:before="40" w:after="40"/>
              <w:jc w:val="both"/>
              <w:rPr>
                <w:sz w:val="18"/>
              </w:rPr>
            </w:pPr>
          </w:p>
        </w:tc>
        <w:tc>
          <w:tcPr>
            <w:tcW w:w="680" w:type="dxa"/>
            <w:tcBorders>
              <w:top w:val="nil"/>
              <w:bottom w:val="nil"/>
            </w:tcBorders>
          </w:tcPr>
          <w:p w:rsidR="00000000" w:rsidRDefault="00000000">
            <w:pPr>
              <w:tabs>
                <w:tab w:val="decimal" w:pos="340"/>
              </w:tabs>
              <w:spacing w:before="40" w:after="40"/>
              <w:jc w:val="both"/>
              <w:rPr>
                <w:sz w:val="18"/>
              </w:rPr>
            </w:pPr>
            <w:r>
              <w:rPr>
                <w:sz w:val="18"/>
              </w:rPr>
              <w:t>-15,5</w:t>
            </w:r>
          </w:p>
        </w:tc>
      </w:tr>
      <w:tr w:rsidR="00000000">
        <w:tblPrEx>
          <w:tblCellMar>
            <w:top w:w="0" w:type="dxa"/>
            <w:bottom w:w="0" w:type="dxa"/>
          </w:tblCellMar>
        </w:tblPrEx>
        <w:trPr>
          <w:jc w:val="center"/>
        </w:trPr>
        <w:tc>
          <w:tcPr>
            <w:tcW w:w="4026" w:type="dxa"/>
            <w:tcBorders>
              <w:top w:val="nil"/>
              <w:bottom w:val="nil"/>
            </w:tcBorders>
          </w:tcPr>
          <w:p w:rsidR="00000000" w:rsidRDefault="00000000">
            <w:pPr>
              <w:tabs>
                <w:tab w:val="left" w:pos="680"/>
              </w:tabs>
              <w:spacing w:before="40" w:after="40"/>
              <w:rPr>
                <w:sz w:val="18"/>
              </w:rPr>
            </w:pPr>
            <w:r>
              <w:rPr>
                <w:sz w:val="18"/>
              </w:rPr>
              <w:t>Образование и профессиональное обучение</w:t>
            </w:r>
          </w:p>
        </w:tc>
        <w:tc>
          <w:tcPr>
            <w:tcW w:w="680" w:type="dxa"/>
            <w:tcBorders>
              <w:top w:val="nil"/>
              <w:bottom w:val="nil"/>
            </w:tcBorders>
          </w:tcPr>
          <w:p w:rsidR="00000000" w:rsidRDefault="00000000">
            <w:pPr>
              <w:tabs>
                <w:tab w:val="decimal" w:pos="340"/>
              </w:tabs>
              <w:spacing w:before="40" w:after="40"/>
              <w:jc w:val="both"/>
              <w:rPr>
                <w:sz w:val="18"/>
              </w:rPr>
            </w:pPr>
          </w:p>
        </w:tc>
        <w:tc>
          <w:tcPr>
            <w:tcW w:w="680" w:type="dxa"/>
            <w:tcBorders>
              <w:top w:val="nil"/>
              <w:bottom w:val="nil"/>
            </w:tcBorders>
          </w:tcPr>
          <w:p w:rsidR="00000000" w:rsidRDefault="00000000">
            <w:pPr>
              <w:tabs>
                <w:tab w:val="decimal" w:pos="340"/>
              </w:tabs>
              <w:spacing w:before="40" w:after="40"/>
              <w:jc w:val="both"/>
              <w:rPr>
                <w:sz w:val="18"/>
              </w:rPr>
            </w:pPr>
          </w:p>
        </w:tc>
        <w:tc>
          <w:tcPr>
            <w:tcW w:w="680" w:type="dxa"/>
            <w:tcBorders>
              <w:top w:val="nil"/>
              <w:bottom w:val="nil"/>
            </w:tcBorders>
          </w:tcPr>
          <w:p w:rsidR="00000000" w:rsidRDefault="00000000">
            <w:pPr>
              <w:tabs>
                <w:tab w:val="decimal" w:pos="340"/>
              </w:tabs>
              <w:spacing w:before="40" w:after="40"/>
              <w:jc w:val="both"/>
              <w:rPr>
                <w:sz w:val="18"/>
              </w:rPr>
            </w:pPr>
          </w:p>
        </w:tc>
        <w:tc>
          <w:tcPr>
            <w:tcW w:w="680" w:type="dxa"/>
            <w:tcBorders>
              <w:top w:val="nil"/>
              <w:bottom w:val="nil"/>
            </w:tcBorders>
          </w:tcPr>
          <w:p w:rsidR="00000000" w:rsidRDefault="00000000">
            <w:pPr>
              <w:tabs>
                <w:tab w:val="decimal" w:pos="340"/>
              </w:tabs>
              <w:spacing w:before="40" w:after="40"/>
              <w:jc w:val="both"/>
              <w:rPr>
                <w:sz w:val="18"/>
              </w:rPr>
            </w:pPr>
          </w:p>
        </w:tc>
        <w:tc>
          <w:tcPr>
            <w:tcW w:w="680" w:type="dxa"/>
            <w:tcBorders>
              <w:top w:val="nil"/>
              <w:bottom w:val="nil"/>
            </w:tcBorders>
          </w:tcPr>
          <w:p w:rsidR="00000000" w:rsidRDefault="00000000">
            <w:pPr>
              <w:tabs>
                <w:tab w:val="decimal" w:pos="340"/>
              </w:tabs>
              <w:spacing w:before="40" w:after="40"/>
              <w:jc w:val="both"/>
              <w:rPr>
                <w:sz w:val="18"/>
              </w:rPr>
            </w:pPr>
          </w:p>
        </w:tc>
        <w:tc>
          <w:tcPr>
            <w:tcW w:w="680" w:type="dxa"/>
            <w:tcBorders>
              <w:top w:val="nil"/>
              <w:bottom w:val="nil"/>
            </w:tcBorders>
          </w:tcPr>
          <w:p w:rsidR="00000000" w:rsidRDefault="00000000">
            <w:pPr>
              <w:tabs>
                <w:tab w:val="decimal" w:pos="340"/>
              </w:tabs>
              <w:spacing w:before="40" w:after="40"/>
              <w:jc w:val="both"/>
              <w:rPr>
                <w:sz w:val="18"/>
              </w:rPr>
            </w:pPr>
          </w:p>
        </w:tc>
        <w:tc>
          <w:tcPr>
            <w:tcW w:w="680" w:type="dxa"/>
            <w:tcBorders>
              <w:top w:val="nil"/>
              <w:bottom w:val="nil"/>
            </w:tcBorders>
          </w:tcPr>
          <w:p w:rsidR="00000000" w:rsidRDefault="00000000">
            <w:pPr>
              <w:tabs>
                <w:tab w:val="decimal" w:pos="340"/>
              </w:tabs>
              <w:spacing w:before="40" w:after="40"/>
              <w:jc w:val="both"/>
              <w:rPr>
                <w:sz w:val="18"/>
              </w:rPr>
            </w:pPr>
          </w:p>
        </w:tc>
      </w:tr>
      <w:tr w:rsidR="00000000">
        <w:tblPrEx>
          <w:tblCellMar>
            <w:top w:w="0" w:type="dxa"/>
            <w:bottom w:w="0" w:type="dxa"/>
          </w:tblCellMar>
        </w:tblPrEx>
        <w:trPr>
          <w:jc w:val="center"/>
        </w:trPr>
        <w:tc>
          <w:tcPr>
            <w:tcW w:w="4026" w:type="dxa"/>
            <w:tcBorders>
              <w:top w:val="nil"/>
            </w:tcBorders>
          </w:tcPr>
          <w:p w:rsidR="00000000" w:rsidRDefault="00000000">
            <w:pPr>
              <w:tabs>
                <w:tab w:val="left" w:pos="680"/>
              </w:tabs>
              <w:spacing w:before="40" w:after="40"/>
              <w:rPr>
                <w:sz w:val="18"/>
              </w:rPr>
            </w:pPr>
            <w:r>
              <w:rPr>
                <w:sz w:val="18"/>
              </w:rPr>
              <w:t>Различия в степени охваченности средним образованием мужчин и женщин</w:t>
            </w:r>
            <w:r>
              <w:rPr>
                <w:sz w:val="18"/>
                <w:vertAlign w:val="superscript"/>
              </w:rPr>
              <w:t xml:space="preserve"> </w:t>
            </w:r>
            <w:r>
              <w:rPr>
                <w:sz w:val="18"/>
                <w:vertAlign w:val="superscript"/>
                <w:lang w:val="en-US"/>
              </w:rPr>
              <w:t>e</w:t>
            </w:r>
            <w:r>
              <w:rPr>
                <w:sz w:val="18"/>
                <w:vertAlign w:val="superscript"/>
              </w:rPr>
              <w:t>)</w:t>
            </w:r>
          </w:p>
        </w:tc>
        <w:tc>
          <w:tcPr>
            <w:tcW w:w="680" w:type="dxa"/>
            <w:tcBorders>
              <w:top w:val="nil"/>
            </w:tcBorders>
          </w:tcPr>
          <w:p w:rsidR="00000000" w:rsidRDefault="00000000">
            <w:pPr>
              <w:tabs>
                <w:tab w:val="decimal" w:pos="340"/>
              </w:tabs>
              <w:spacing w:before="40" w:after="40"/>
              <w:jc w:val="both"/>
              <w:rPr>
                <w:sz w:val="18"/>
              </w:rPr>
            </w:pPr>
          </w:p>
        </w:tc>
        <w:tc>
          <w:tcPr>
            <w:tcW w:w="680" w:type="dxa"/>
            <w:tcBorders>
              <w:top w:val="nil"/>
            </w:tcBorders>
          </w:tcPr>
          <w:p w:rsidR="00000000" w:rsidRDefault="00000000">
            <w:pPr>
              <w:tabs>
                <w:tab w:val="decimal" w:pos="340"/>
              </w:tabs>
              <w:spacing w:before="40" w:after="40"/>
              <w:jc w:val="both"/>
              <w:rPr>
                <w:sz w:val="18"/>
              </w:rPr>
            </w:pPr>
          </w:p>
        </w:tc>
        <w:tc>
          <w:tcPr>
            <w:tcW w:w="680" w:type="dxa"/>
            <w:tcBorders>
              <w:top w:val="nil"/>
            </w:tcBorders>
          </w:tcPr>
          <w:p w:rsidR="00000000" w:rsidRDefault="00000000">
            <w:pPr>
              <w:tabs>
                <w:tab w:val="decimal" w:pos="340"/>
              </w:tabs>
              <w:spacing w:before="40" w:after="40"/>
              <w:jc w:val="both"/>
              <w:rPr>
                <w:sz w:val="18"/>
              </w:rPr>
            </w:pPr>
          </w:p>
        </w:tc>
        <w:tc>
          <w:tcPr>
            <w:tcW w:w="680" w:type="dxa"/>
            <w:tcBorders>
              <w:top w:val="nil"/>
            </w:tcBorders>
          </w:tcPr>
          <w:p w:rsidR="00000000" w:rsidRDefault="00000000">
            <w:pPr>
              <w:tabs>
                <w:tab w:val="decimal" w:pos="340"/>
              </w:tabs>
              <w:spacing w:before="40" w:after="40"/>
              <w:jc w:val="both"/>
              <w:rPr>
                <w:sz w:val="18"/>
              </w:rPr>
            </w:pPr>
            <w:r>
              <w:rPr>
                <w:sz w:val="18"/>
              </w:rPr>
              <w:t>4,6</w:t>
            </w:r>
          </w:p>
        </w:tc>
        <w:tc>
          <w:tcPr>
            <w:tcW w:w="680" w:type="dxa"/>
            <w:tcBorders>
              <w:top w:val="nil"/>
            </w:tcBorders>
          </w:tcPr>
          <w:p w:rsidR="00000000" w:rsidRDefault="00000000">
            <w:pPr>
              <w:tabs>
                <w:tab w:val="decimal" w:pos="340"/>
              </w:tabs>
              <w:spacing w:before="40" w:after="40"/>
              <w:jc w:val="both"/>
              <w:rPr>
                <w:sz w:val="18"/>
              </w:rPr>
            </w:pPr>
            <w:r>
              <w:rPr>
                <w:sz w:val="18"/>
              </w:rPr>
              <w:t>4,9</w:t>
            </w:r>
          </w:p>
        </w:tc>
        <w:tc>
          <w:tcPr>
            <w:tcW w:w="680" w:type="dxa"/>
            <w:tcBorders>
              <w:top w:val="nil"/>
            </w:tcBorders>
          </w:tcPr>
          <w:p w:rsidR="00000000" w:rsidRDefault="00000000">
            <w:pPr>
              <w:tabs>
                <w:tab w:val="decimal" w:pos="340"/>
              </w:tabs>
              <w:spacing w:before="40" w:after="40"/>
              <w:jc w:val="both"/>
              <w:rPr>
                <w:sz w:val="18"/>
              </w:rPr>
            </w:pPr>
            <w:r>
              <w:rPr>
                <w:sz w:val="18"/>
              </w:rPr>
              <w:t>4,9</w:t>
            </w:r>
          </w:p>
        </w:tc>
        <w:tc>
          <w:tcPr>
            <w:tcW w:w="680" w:type="dxa"/>
            <w:tcBorders>
              <w:top w:val="nil"/>
            </w:tcBorders>
          </w:tcPr>
          <w:p w:rsidR="00000000" w:rsidRDefault="00000000">
            <w:pPr>
              <w:tabs>
                <w:tab w:val="decimal" w:pos="340"/>
              </w:tabs>
              <w:spacing w:before="40" w:after="40"/>
              <w:jc w:val="both"/>
              <w:rPr>
                <w:sz w:val="18"/>
              </w:rPr>
            </w:pPr>
          </w:p>
        </w:tc>
      </w:tr>
      <w:tr w:rsidR="00000000">
        <w:tblPrEx>
          <w:tblCellMar>
            <w:top w:w="0" w:type="dxa"/>
            <w:bottom w:w="0" w:type="dxa"/>
          </w:tblCellMar>
        </w:tblPrEx>
        <w:trPr>
          <w:cantSplit/>
          <w:jc w:val="center"/>
        </w:trPr>
        <w:tc>
          <w:tcPr>
            <w:tcW w:w="8786" w:type="dxa"/>
            <w:gridSpan w:val="8"/>
          </w:tcPr>
          <w:p w:rsidR="00000000" w:rsidRDefault="00000000">
            <w:pPr>
              <w:tabs>
                <w:tab w:val="decimal" w:pos="340"/>
              </w:tabs>
              <w:spacing w:before="40" w:after="40"/>
              <w:jc w:val="both"/>
              <w:rPr>
                <w:sz w:val="18"/>
              </w:rPr>
            </w:pPr>
            <w:r>
              <w:rPr>
                <w:i/>
                <w:sz w:val="18"/>
              </w:rPr>
              <w:t>Соотношение юношей и девушек в возрасте от 12 лет и старше, охваченных школьным образованием</w:t>
            </w:r>
            <w:r>
              <w:rPr>
                <w:sz w:val="18"/>
                <w:vertAlign w:val="superscript"/>
              </w:rPr>
              <w:t xml:space="preserve"> </w:t>
            </w:r>
            <w:r>
              <w:rPr>
                <w:i/>
                <w:sz w:val="18"/>
                <w:vertAlign w:val="superscript"/>
                <w:lang w:val="en-US"/>
              </w:rPr>
              <w:t>b</w:t>
            </w:r>
            <w:r>
              <w:rPr>
                <w:i/>
                <w:sz w:val="18"/>
                <w:vertAlign w:val="superscript"/>
              </w:rPr>
              <w:t>)</w:t>
            </w:r>
          </w:p>
        </w:tc>
      </w:tr>
      <w:tr w:rsidR="00000000">
        <w:tblPrEx>
          <w:tblCellMar>
            <w:top w:w="0" w:type="dxa"/>
            <w:bottom w:w="0" w:type="dxa"/>
          </w:tblCellMar>
        </w:tblPrEx>
        <w:trPr>
          <w:jc w:val="center"/>
        </w:trPr>
        <w:tc>
          <w:tcPr>
            <w:tcW w:w="4026" w:type="dxa"/>
            <w:tcBorders>
              <w:bottom w:val="nil"/>
            </w:tcBorders>
          </w:tcPr>
          <w:p w:rsidR="00000000" w:rsidRDefault="00000000">
            <w:pPr>
              <w:tabs>
                <w:tab w:val="left" w:pos="680"/>
              </w:tabs>
              <w:spacing w:before="40" w:after="40"/>
              <w:rPr>
                <w:sz w:val="18"/>
              </w:rPr>
            </w:pPr>
            <w:r>
              <w:rPr>
                <w:sz w:val="18"/>
              </w:rPr>
              <w:t>От 12 до 17 лет</w:t>
            </w:r>
          </w:p>
        </w:tc>
        <w:tc>
          <w:tcPr>
            <w:tcW w:w="680" w:type="dxa"/>
            <w:tcBorders>
              <w:bottom w:val="nil"/>
            </w:tcBorders>
          </w:tcPr>
          <w:p w:rsidR="00000000" w:rsidRDefault="00000000">
            <w:pPr>
              <w:tabs>
                <w:tab w:val="decimal" w:pos="340"/>
              </w:tabs>
              <w:spacing w:before="40" w:after="40"/>
              <w:jc w:val="both"/>
              <w:rPr>
                <w:sz w:val="18"/>
              </w:rPr>
            </w:pPr>
          </w:p>
        </w:tc>
        <w:tc>
          <w:tcPr>
            <w:tcW w:w="680" w:type="dxa"/>
            <w:tcBorders>
              <w:bottom w:val="nil"/>
            </w:tcBorders>
          </w:tcPr>
          <w:p w:rsidR="00000000" w:rsidRDefault="00000000">
            <w:pPr>
              <w:tabs>
                <w:tab w:val="decimal" w:pos="340"/>
              </w:tabs>
              <w:spacing w:before="40" w:after="40"/>
              <w:jc w:val="both"/>
              <w:rPr>
                <w:sz w:val="18"/>
              </w:rPr>
            </w:pPr>
          </w:p>
        </w:tc>
        <w:tc>
          <w:tcPr>
            <w:tcW w:w="680" w:type="dxa"/>
            <w:tcBorders>
              <w:bottom w:val="nil"/>
            </w:tcBorders>
          </w:tcPr>
          <w:p w:rsidR="00000000" w:rsidRDefault="00000000">
            <w:pPr>
              <w:tabs>
                <w:tab w:val="decimal" w:pos="340"/>
              </w:tabs>
              <w:spacing w:before="40" w:after="40"/>
              <w:jc w:val="both"/>
              <w:rPr>
                <w:sz w:val="18"/>
              </w:rPr>
            </w:pPr>
          </w:p>
        </w:tc>
        <w:tc>
          <w:tcPr>
            <w:tcW w:w="680" w:type="dxa"/>
            <w:tcBorders>
              <w:bottom w:val="nil"/>
            </w:tcBorders>
          </w:tcPr>
          <w:p w:rsidR="00000000" w:rsidRDefault="00000000">
            <w:pPr>
              <w:tabs>
                <w:tab w:val="decimal" w:pos="340"/>
              </w:tabs>
              <w:spacing w:before="40" w:after="40"/>
              <w:jc w:val="both"/>
              <w:rPr>
                <w:sz w:val="18"/>
              </w:rPr>
            </w:pPr>
          </w:p>
        </w:tc>
        <w:tc>
          <w:tcPr>
            <w:tcW w:w="680" w:type="dxa"/>
            <w:tcBorders>
              <w:bottom w:val="nil"/>
            </w:tcBorders>
          </w:tcPr>
          <w:p w:rsidR="00000000" w:rsidRDefault="00000000">
            <w:pPr>
              <w:tabs>
                <w:tab w:val="decimal" w:pos="340"/>
              </w:tabs>
              <w:spacing w:before="40" w:after="40"/>
              <w:jc w:val="both"/>
              <w:rPr>
                <w:sz w:val="18"/>
              </w:rPr>
            </w:pPr>
            <w:r>
              <w:rPr>
                <w:sz w:val="18"/>
              </w:rPr>
              <w:t>101,7</w:t>
            </w:r>
          </w:p>
        </w:tc>
        <w:tc>
          <w:tcPr>
            <w:tcW w:w="680" w:type="dxa"/>
            <w:tcBorders>
              <w:bottom w:val="nil"/>
            </w:tcBorders>
          </w:tcPr>
          <w:p w:rsidR="00000000" w:rsidRDefault="00000000">
            <w:pPr>
              <w:tabs>
                <w:tab w:val="decimal" w:pos="340"/>
              </w:tabs>
              <w:spacing w:before="40" w:after="40"/>
              <w:jc w:val="both"/>
              <w:rPr>
                <w:sz w:val="18"/>
              </w:rPr>
            </w:pPr>
            <w:r>
              <w:rPr>
                <w:sz w:val="18"/>
              </w:rPr>
              <w:t>104,1</w:t>
            </w:r>
          </w:p>
        </w:tc>
        <w:tc>
          <w:tcPr>
            <w:tcW w:w="680" w:type="dxa"/>
            <w:tcBorders>
              <w:bottom w:val="nil"/>
            </w:tcBorders>
          </w:tcPr>
          <w:p w:rsidR="00000000" w:rsidRDefault="00000000">
            <w:pPr>
              <w:tabs>
                <w:tab w:val="decimal" w:pos="340"/>
              </w:tabs>
              <w:spacing w:before="40" w:after="40"/>
              <w:jc w:val="both"/>
              <w:rPr>
                <w:sz w:val="18"/>
              </w:rPr>
            </w:pPr>
            <w:r>
              <w:rPr>
                <w:sz w:val="18"/>
              </w:rPr>
              <w:t>104,1</w:t>
            </w:r>
          </w:p>
        </w:tc>
      </w:tr>
      <w:tr w:rsidR="00000000">
        <w:tblPrEx>
          <w:tblCellMar>
            <w:top w:w="0" w:type="dxa"/>
            <w:bottom w:w="0" w:type="dxa"/>
          </w:tblCellMar>
        </w:tblPrEx>
        <w:trPr>
          <w:jc w:val="center"/>
        </w:trPr>
        <w:tc>
          <w:tcPr>
            <w:tcW w:w="4026" w:type="dxa"/>
            <w:tcBorders>
              <w:top w:val="nil"/>
              <w:bottom w:val="nil"/>
            </w:tcBorders>
          </w:tcPr>
          <w:p w:rsidR="00000000" w:rsidRDefault="00000000">
            <w:pPr>
              <w:tabs>
                <w:tab w:val="left" w:pos="680"/>
              </w:tabs>
              <w:spacing w:before="40" w:after="40"/>
              <w:rPr>
                <w:sz w:val="18"/>
              </w:rPr>
            </w:pPr>
            <w:r>
              <w:rPr>
                <w:sz w:val="18"/>
              </w:rPr>
              <w:t>От 18 до 29 лет</w:t>
            </w:r>
          </w:p>
        </w:tc>
        <w:tc>
          <w:tcPr>
            <w:tcW w:w="680" w:type="dxa"/>
            <w:tcBorders>
              <w:top w:val="nil"/>
              <w:bottom w:val="nil"/>
            </w:tcBorders>
          </w:tcPr>
          <w:p w:rsidR="00000000" w:rsidRDefault="00000000">
            <w:pPr>
              <w:tabs>
                <w:tab w:val="decimal" w:pos="340"/>
              </w:tabs>
              <w:spacing w:before="40" w:after="40"/>
              <w:jc w:val="both"/>
              <w:rPr>
                <w:sz w:val="18"/>
              </w:rPr>
            </w:pPr>
          </w:p>
        </w:tc>
        <w:tc>
          <w:tcPr>
            <w:tcW w:w="680" w:type="dxa"/>
            <w:tcBorders>
              <w:top w:val="nil"/>
              <w:bottom w:val="nil"/>
            </w:tcBorders>
          </w:tcPr>
          <w:p w:rsidR="00000000" w:rsidRDefault="00000000">
            <w:pPr>
              <w:tabs>
                <w:tab w:val="decimal" w:pos="340"/>
              </w:tabs>
              <w:spacing w:before="40" w:after="40"/>
              <w:jc w:val="both"/>
              <w:rPr>
                <w:sz w:val="18"/>
              </w:rPr>
            </w:pPr>
          </w:p>
        </w:tc>
        <w:tc>
          <w:tcPr>
            <w:tcW w:w="680" w:type="dxa"/>
            <w:tcBorders>
              <w:top w:val="nil"/>
              <w:bottom w:val="nil"/>
            </w:tcBorders>
          </w:tcPr>
          <w:p w:rsidR="00000000" w:rsidRDefault="00000000">
            <w:pPr>
              <w:tabs>
                <w:tab w:val="decimal" w:pos="340"/>
              </w:tabs>
              <w:spacing w:before="40" w:after="40"/>
              <w:jc w:val="both"/>
              <w:rPr>
                <w:sz w:val="18"/>
              </w:rPr>
            </w:pPr>
          </w:p>
        </w:tc>
        <w:tc>
          <w:tcPr>
            <w:tcW w:w="680" w:type="dxa"/>
            <w:tcBorders>
              <w:top w:val="nil"/>
              <w:bottom w:val="nil"/>
            </w:tcBorders>
          </w:tcPr>
          <w:p w:rsidR="00000000" w:rsidRDefault="00000000">
            <w:pPr>
              <w:tabs>
                <w:tab w:val="decimal" w:pos="340"/>
              </w:tabs>
              <w:spacing w:before="40" w:after="40"/>
              <w:jc w:val="both"/>
              <w:rPr>
                <w:sz w:val="18"/>
              </w:rPr>
            </w:pPr>
          </w:p>
        </w:tc>
        <w:tc>
          <w:tcPr>
            <w:tcW w:w="680" w:type="dxa"/>
            <w:tcBorders>
              <w:top w:val="nil"/>
              <w:bottom w:val="nil"/>
            </w:tcBorders>
          </w:tcPr>
          <w:p w:rsidR="00000000" w:rsidRDefault="00000000">
            <w:pPr>
              <w:tabs>
                <w:tab w:val="decimal" w:pos="340"/>
              </w:tabs>
              <w:spacing w:before="40" w:after="40"/>
              <w:jc w:val="both"/>
              <w:rPr>
                <w:sz w:val="18"/>
              </w:rPr>
            </w:pPr>
            <w:r>
              <w:rPr>
                <w:sz w:val="18"/>
              </w:rPr>
              <w:t>106,2</w:t>
            </w:r>
          </w:p>
        </w:tc>
        <w:tc>
          <w:tcPr>
            <w:tcW w:w="680" w:type="dxa"/>
            <w:tcBorders>
              <w:top w:val="nil"/>
              <w:bottom w:val="nil"/>
            </w:tcBorders>
          </w:tcPr>
          <w:p w:rsidR="00000000" w:rsidRDefault="00000000">
            <w:pPr>
              <w:tabs>
                <w:tab w:val="decimal" w:pos="340"/>
              </w:tabs>
              <w:spacing w:before="40" w:after="40"/>
              <w:jc w:val="both"/>
              <w:rPr>
                <w:sz w:val="18"/>
              </w:rPr>
            </w:pPr>
            <w:r>
              <w:rPr>
                <w:sz w:val="18"/>
              </w:rPr>
              <w:t>104,9</w:t>
            </w:r>
          </w:p>
        </w:tc>
        <w:tc>
          <w:tcPr>
            <w:tcW w:w="680" w:type="dxa"/>
            <w:tcBorders>
              <w:top w:val="nil"/>
              <w:bottom w:val="nil"/>
            </w:tcBorders>
          </w:tcPr>
          <w:p w:rsidR="00000000" w:rsidRDefault="00000000">
            <w:pPr>
              <w:tabs>
                <w:tab w:val="decimal" w:pos="340"/>
              </w:tabs>
              <w:spacing w:before="40" w:after="40"/>
              <w:jc w:val="both"/>
              <w:rPr>
                <w:sz w:val="18"/>
              </w:rPr>
            </w:pPr>
            <w:r>
              <w:rPr>
                <w:sz w:val="18"/>
              </w:rPr>
              <w:t>105,9</w:t>
            </w:r>
          </w:p>
        </w:tc>
      </w:tr>
      <w:tr w:rsidR="00000000">
        <w:tblPrEx>
          <w:tblCellMar>
            <w:top w:w="0" w:type="dxa"/>
            <w:bottom w:w="0" w:type="dxa"/>
          </w:tblCellMar>
        </w:tblPrEx>
        <w:trPr>
          <w:jc w:val="center"/>
        </w:trPr>
        <w:tc>
          <w:tcPr>
            <w:tcW w:w="4026" w:type="dxa"/>
            <w:tcBorders>
              <w:top w:val="nil"/>
              <w:bottom w:val="nil"/>
            </w:tcBorders>
          </w:tcPr>
          <w:p w:rsidR="00000000" w:rsidRDefault="00000000">
            <w:pPr>
              <w:tabs>
                <w:tab w:val="left" w:pos="680"/>
              </w:tabs>
              <w:spacing w:before="40" w:after="40"/>
              <w:rPr>
                <w:sz w:val="18"/>
              </w:rPr>
            </w:pPr>
            <w:r>
              <w:rPr>
                <w:sz w:val="18"/>
              </w:rPr>
              <w:t>От 30 до 49 лет</w:t>
            </w:r>
          </w:p>
        </w:tc>
        <w:tc>
          <w:tcPr>
            <w:tcW w:w="680" w:type="dxa"/>
            <w:tcBorders>
              <w:top w:val="nil"/>
              <w:bottom w:val="nil"/>
            </w:tcBorders>
          </w:tcPr>
          <w:p w:rsidR="00000000" w:rsidRDefault="00000000">
            <w:pPr>
              <w:tabs>
                <w:tab w:val="decimal" w:pos="340"/>
              </w:tabs>
              <w:spacing w:before="40" w:after="40"/>
              <w:jc w:val="both"/>
              <w:rPr>
                <w:sz w:val="18"/>
              </w:rPr>
            </w:pPr>
          </w:p>
        </w:tc>
        <w:tc>
          <w:tcPr>
            <w:tcW w:w="680" w:type="dxa"/>
            <w:tcBorders>
              <w:top w:val="nil"/>
              <w:bottom w:val="nil"/>
            </w:tcBorders>
          </w:tcPr>
          <w:p w:rsidR="00000000" w:rsidRDefault="00000000">
            <w:pPr>
              <w:tabs>
                <w:tab w:val="decimal" w:pos="340"/>
              </w:tabs>
              <w:spacing w:before="40" w:after="40"/>
              <w:jc w:val="both"/>
              <w:rPr>
                <w:sz w:val="18"/>
              </w:rPr>
            </w:pPr>
          </w:p>
        </w:tc>
        <w:tc>
          <w:tcPr>
            <w:tcW w:w="680" w:type="dxa"/>
            <w:tcBorders>
              <w:top w:val="nil"/>
              <w:bottom w:val="nil"/>
            </w:tcBorders>
          </w:tcPr>
          <w:p w:rsidR="00000000" w:rsidRDefault="00000000">
            <w:pPr>
              <w:tabs>
                <w:tab w:val="decimal" w:pos="340"/>
              </w:tabs>
              <w:spacing w:before="40" w:after="40"/>
              <w:jc w:val="both"/>
              <w:rPr>
                <w:sz w:val="18"/>
              </w:rPr>
            </w:pPr>
          </w:p>
        </w:tc>
        <w:tc>
          <w:tcPr>
            <w:tcW w:w="680" w:type="dxa"/>
            <w:tcBorders>
              <w:top w:val="nil"/>
              <w:bottom w:val="nil"/>
            </w:tcBorders>
          </w:tcPr>
          <w:p w:rsidR="00000000" w:rsidRDefault="00000000">
            <w:pPr>
              <w:tabs>
                <w:tab w:val="decimal" w:pos="340"/>
              </w:tabs>
              <w:spacing w:before="40" w:after="40"/>
              <w:jc w:val="both"/>
              <w:rPr>
                <w:sz w:val="18"/>
              </w:rPr>
            </w:pPr>
          </w:p>
        </w:tc>
        <w:tc>
          <w:tcPr>
            <w:tcW w:w="680" w:type="dxa"/>
            <w:tcBorders>
              <w:top w:val="nil"/>
              <w:bottom w:val="nil"/>
            </w:tcBorders>
          </w:tcPr>
          <w:p w:rsidR="00000000" w:rsidRDefault="00000000">
            <w:pPr>
              <w:tabs>
                <w:tab w:val="decimal" w:pos="340"/>
              </w:tabs>
              <w:spacing w:before="40" w:after="40"/>
              <w:jc w:val="both"/>
              <w:rPr>
                <w:sz w:val="18"/>
              </w:rPr>
            </w:pPr>
            <w:r>
              <w:rPr>
                <w:sz w:val="18"/>
              </w:rPr>
              <w:t>90,7</w:t>
            </w:r>
          </w:p>
        </w:tc>
        <w:tc>
          <w:tcPr>
            <w:tcW w:w="680" w:type="dxa"/>
            <w:tcBorders>
              <w:top w:val="nil"/>
              <w:bottom w:val="nil"/>
            </w:tcBorders>
          </w:tcPr>
          <w:p w:rsidR="00000000" w:rsidRDefault="00000000">
            <w:pPr>
              <w:tabs>
                <w:tab w:val="decimal" w:pos="340"/>
              </w:tabs>
              <w:spacing w:before="40" w:after="40"/>
              <w:jc w:val="both"/>
              <w:rPr>
                <w:sz w:val="18"/>
              </w:rPr>
            </w:pPr>
            <w:r>
              <w:rPr>
                <w:sz w:val="18"/>
              </w:rPr>
              <w:t>99,3</w:t>
            </w:r>
          </w:p>
        </w:tc>
        <w:tc>
          <w:tcPr>
            <w:tcW w:w="680" w:type="dxa"/>
            <w:tcBorders>
              <w:top w:val="nil"/>
              <w:bottom w:val="nil"/>
            </w:tcBorders>
          </w:tcPr>
          <w:p w:rsidR="00000000" w:rsidRDefault="00000000">
            <w:pPr>
              <w:tabs>
                <w:tab w:val="decimal" w:pos="340"/>
              </w:tabs>
              <w:spacing w:before="40" w:after="40"/>
              <w:jc w:val="both"/>
              <w:rPr>
                <w:sz w:val="18"/>
              </w:rPr>
            </w:pPr>
            <w:r>
              <w:rPr>
                <w:sz w:val="18"/>
              </w:rPr>
              <w:t>100,1</w:t>
            </w:r>
          </w:p>
        </w:tc>
      </w:tr>
      <w:tr w:rsidR="00000000">
        <w:tblPrEx>
          <w:tblCellMar>
            <w:top w:w="0" w:type="dxa"/>
            <w:bottom w:w="0" w:type="dxa"/>
          </w:tblCellMar>
        </w:tblPrEx>
        <w:trPr>
          <w:jc w:val="center"/>
        </w:trPr>
        <w:tc>
          <w:tcPr>
            <w:tcW w:w="4026" w:type="dxa"/>
            <w:tcBorders>
              <w:top w:val="nil"/>
              <w:bottom w:val="nil"/>
            </w:tcBorders>
          </w:tcPr>
          <w:p w:rsidR="00000000" w:rsidRDefault="00000000">
            <w:pPr>
              <w:tabs>
                <w:tab w:val="left" w:pos="680"/>
              </w:tabs>
              <w:spacing w:before="40" w:after="40"/>
              <w:rPr>
                <w:sz w:val="18"/>
              </w:rPr>
            </w:pPr>
            <w:r>
              <w:rPr>
                <w:sz w:val="18"/>
              </w:rPr>
              <w:t>От 50 лет и старше</w:t>
            </w:r>
          </w:p>
        </w:tc>
        <w:tc>
          <w:tcPr>
            <w:tcW w:w="680" w:type="dxa"/>
            <w:tcBorders>
              <w:top w:val="nil"/>
              <w:bottom w:val="nil"/>
            </w:tcBorders>
          </w:tcPr>
          <w:p w:rsidR="00000000" w:rsidRDefault="00000000">
            <w:pPr>
              <w:tabs>
                <w:tab w:val="decimal" w:pos="340"/>
              </w:tabs>
              <w:spacing w:before="40" w:after="40"/>
              <w:jc w:val="both"/>
              <w:rPr>
                <w:sz w:val="18"/>
              </w:rPr>
            </w:pPr>
          </w:p>
        </w:tc>
        <w:tc>
          <w:tcPr>
            <w:tcW w:w="680" w:type="dxa"/>
            <w:tcBorders>
              <w:top w:val="nil"/>
              <w:bottom w:val="nil"/>
            </w:tcBorders>
          </w:tcPr>
          <w:p w:rsidR="00000000" w:rsidRDefault="00000000">
            <w:pPr>
              <w:tabs>
                <w:tab w:val="decimal" w:pos="340"/>
              </w:tabs>
              <w:spacing w:before="40" w:after="40"/>
              <w:jc w:val="both"/>
              <w:rPr>
                <w:sz w:val="18"/>
              </w:rPr>
            </w:pPr>
          </w:p>
        </w:tc>
        <w:tc>
          <w:tcPr>
            <w:tcW w:w="680" w:type="dxa"/>
            <w:tcBorders>
              <w:top w:val="nil"/>
              <w:bottom w:val="nil"/>
            </w:tcBorders>
          </w:tcPr>
          <w:p w:rsidR="00000000" w:rsidRDefault="00000000">
            <w:pPr>
              <w:tabs>
                <w:tab w:val="decimal" w:pos="340"/>
              </w:tabs>
              <w:spacing w:before="40" w:after="40"/>
              <w:jc w:val="both"/>
              <w:rPr>
                <w:sz w:val="18"/>
              </w:rPr>
            </w:pPr>
          </w:p>
        </w:tc>
        <w:tc>
          <w:tcPr>
            <w:tcW w:w="680" w:type="dxa"/>
            <w:tcBorders>
              <w:top w:val="nil"/>
              <w:bottom w:val="nil"/>
            </w:tcBorders>
          </w:tcPr>
          <w:p w:rsidR="00000000" w:rsidRDefault="00000000">
            <w:pPr>
              <w:tabs>
                <w:tab w:val="decimal" w:pos="340"/>
              </w:tabs>
              <w:spacing w:before="40" w:after="40"/>
              <w:jc w:val="both"/>
              <w:rPr>
                <w:sz w:val="18"/>
              </w:rPr>
            </w:pPr>
          </w:p>
        </w:tc>
        <w:tc>
          <w:tcPr>
            <w:tcW w:w="680" w:type="dxa"/>
            <w:tcBorders>
              <w:top w:val="nil"/>
              <w:bottom w:val="nil"/>
            </w:tcBorders>
          </w:tcPr>
          <w:p w:rsidR="00000000" w:rsidRDefault="00000000">
            <w:pPr>
              <w:tabs>
                <w:tab w:val="decimal" w:pos="340"/>
              </w:tabs>
              <w:spacing w:before="40" w:after="40"/>
              <w:jc w:val="both"/>
              <w:rPr>
                <w:sz w:val="18"/>
              </w:rPr>
            </w:pPr>
            <w:r>
              <w:rPr>
                <w:sz w:val="18"/>
              </w:rPr>
              <w:t>87,2</w:t>
            </w:r>
          </w:p>
        </w:tc>
        <w:tc>
          <w:tcPr>
            <w:tcW w:w="680" w:type="dxa"/>
            <w:tcBorders>
              <w:top w:val="nil"/>
              <w:bottom w:val="nil"/>
            </w:tcBorders>
          </w:tcPr>
          <w:p w:rsidR="00000000" w:rsidRDefault="00000000">
            <w:pPr>
              <w:tabs>
                <w:tab w:val="decimal" w:pos="340"/>
              </w:tabs>
              <w:spacing w:before="40" w:after="40"/>
              <w:jc w:val="both"/>
              <w:rPr>
                <w:sz w:val="18"/>
              </w:rPr>
            </w:pPr>
            <w:r>
              <w:rPr>
                <w:sz w:val="18"/>
              </w:rPr>
              <w:t>94,0</w:t>
            </w:r>
          </w:p>
        </w:tc>
        <w:tc>
          <w:tcPr>
            <w:tcW w:w="680" w:type="dxa"/>
            <w:tcBorders>
              <w:top w:val="nil"/>
              <w:bottom w:val="nil"/>
            </w:tcBorders>
          </w:tcPr>
          <w:p w:rsidR="00000000" w:rsidRDefault="00000000">
            <w:pPr>
              <w:tabs>
                <w:tab w:val="decimal" w:pos="340"/>
              </w:tabs>
              <w:spacing w:before="40" w:after="40"/>
              <w:jc w:val="both"/>
              <w:rPr>
                <w:sz w:val="18"/>
              </w:rPr>
            </w:pPr>
            <w:r>
              <w:rPr>
                <w:sz w:val="18"/>
              </w:rPr>
              <w:t>93,2</w:t>
            </w:r>
          </w:p>
        </w:tc>
      </w:tr>
      <w:tr w:rsidR="00000000">
        <w:tblPrEx>
          <w:tblCellMar>
            <w:top w:w="0" w:type="dxa"/>
            <w:bottom w:w="0" w:type="dxa"/>
          </w:tblCellMar>
        </w:tblPrEx>
        <w:trPr>
          <w:jc w:val="center"/>
        </w:trPr>
        <w:tc>
          <w:tcPr>
            <w:tcW w:w="4026" w:type="dxa"/>
            <w:tcBorders>
              <w:top w:val="nil"/>
              <w:bottom w:val="nil"/>
            </w:tcBorders>
          </w:tcPr>
          <w:p w:rsidR="00000000" w:rsidRDefault="00000000">
            <w:pPr>
              <w:tabs>
                <w:tab w:val="left" w:pos="680"/>
              </w:tabs>
              <w:spacing w:before="40" w:after="40"/>
              <w:rPr>
                <w:sz w:val="18"/>
              </w:rPr>
            </w:pPr>
            <w:r>
              <w:rPr>
                <w:sz w:val="18"/>
              </w:rPr>
              <w:t>Показатель сегрегации по половому признаку при выпуске из Университета</w:t>
            </w:r>
            <w:r>
              <w:rPr>
                <w:sz w:val="18"/>
                <w:vertAlign w:val="superscript"/>
              </w:rPr>
              <w:t xml:space="preserve"> </w:t>
            </w:r>
            <w:r>
              <w:rPr>
                <w:sz w:val="18"/>
                <w:vertAlign w:val="superscript"/>
                <w:lang w:val="en-US"/>
              </w:rPr>
              <w:t>d</w:t>
            </w:r>
            <w:r>
              <w:rPr>
                <w:sz w:val="18"/>
                <w:vertAlign w:val="superscript"/>
              </w:rPr>
              <w:t>)</w:t>
            </w:r>
          </w:p>
        </w:tc>
        <w:tc>
          <w:tcPr>
            <w:tcW w:w="680" w:type="dxa"/>
            <w:tcBorders>
              <w:top w:val="nil"/>
              <w:bottom w:val="nil"/>
            </w:tcBorders>
          </w:tcPr>
          <w:p w:rsidR="00000000" w:rsidRDefault="00000000">
            <w:pPr>
              <w:tabs>
                <w:tab w:val="decimal" w:pos="340"/>
              </w:tabs>
              <w:spacing w:before="40" w:after="40"/>
              <w:jc w:val="both"/>
              <w:rPr>
                <w:sz w:val="18"/>
              </w:rPr>
            </w:pPr>
            <w:r>
              <w:rPr>
                <w:sz w:val="18"/>
              </w:rPr>
              <w:t>16,2</w:t>
            </w:r>
          </w:p>
        </w:tc>
        <w:tc>
          <w:tcPr>
            <w:tcW w:w="680" w:type="dxa"/>
            <w:tcBorders>
              <w:top w:val="nil"/>
              <w:bottom w:val="nil"/>
            </w:tcBorders>
          </w:tcPr>
          <w:p w:rsidR="00000000" w:rsidRDefault="00000000">
            <w:pPr>
              <w:tabs>
                <w:tab w:val="decimal" w:pos="340"/>
              </w:tabs>
              <w:spacing w:before="40" w:after="40"/>
              <w:jc w:val="both"/>
              <w:rPr>
                <w:sz w:val="18"/>
              </w:rPr>
            </w:pPr>
            <w:r>
              <w:rPr>
                <w:sz w:val="18"/>
              </w:rPr>
              <w:t>16,7</w:t>
            </w:r>
          </w:p>
        </w:tc>
        <w:tc>
          <w:tcPr>
            <w:tcW w:w="680" w:type="dxa"/>
            <w:tcBorders>
              <w:top w:val="nil"/>
              <w:bottom w:val="nil"/>
            </w:tcBorders>
          </w:tcPr>
          <w:p w:rsidR="00000000" w:rsidRDefault="00000000">
            <w:pPr>
              <w:tabs>
                <w:tab w:val="decimal" w:pos="340"/>
              </w:tabs>
              <w:spacing w:before="40" w:after="40"/>
              <w:jc w:val="both"/>
              <w:rPr>
                <w:sz w:val="18"/>
              </w:rPr>
            </w:pPr>
            <w:r>
              <w:rPr>
                <w:sz w:val="18"/>
              </w:rPr>
              <w:t>15,6</w:t>
            </w:r>
          </w:p>
        </w:tc>
        <w:tc>
          <w:tcPr>
            <w:tcW w:w="680" w:type="dxa"/>
            <w:tcBorders>
              <w:top w:val="nil"/>
              <w:bottom w:val="nil"/>
            </w:tcBorders>
          </w:tcPr>
          <w:p w:rsidR="00000000" w:rsidRDefault="00000000">
            <w:pPr>
              <w:tabs>
                <w:tab w:val="decimal" w:pos="340"/>
              </w:tabs>
              <w:spacing w:before="40" w:after="40"/>
              <w:jc w:val="both"/>
              <w:rPr>
                <w:sz w:val="18"/>
              </w:rPr>
            </w:pPr>
            <w:r>
              <w:rPr>
                <w:sz w:val="18"/>
              </w:rPr>
              <w:t>15,7</w:t>
            </w:r>
          </w:p>
        </w:tc>
        <w:tc>
          <w:tcPr>
            <w:tcW w:w="680" w:type="dxa"/>
            <w:tcBorders>
              <w:top w:val="nil"/>
              <w:bottom w:val="nil"/>
            </w:tcBorders>
          </w:tcPr>
          <w:p w:rsidR="00000000" w:rsidRDefault="00000000">
            <w:pPr>
              <w:tabs>
                <w:tab w:val="decimal" w:pos="340"/>
              </w:tabs>
              <w:spacing w:before="40" w:after="40"/>
              <w:jc w:val="both"/>
              <w:rPr>
                <w:sz w:val="18"/>
              </w:rPr>
            </w:pPr>
            <w:r>
              <w:rPr>
                <w:sz w:val="18"/>
              </w:rPr>
              <w:t>15,3</w:t>
            </w:r>
          </w:p>
        </w:tc>
        <w:tc>
          <w:tcPr>
            <w:tcW w:w="680" w:type="dxa"/>
            <w:tcBorders>
              <w:top w:val="nil"/>
              <w:bottom w:val="nil"/>
            </w:tcBorders>
          </w:tcPr>
          <w:p w:rsidR="00000000" w:rsidRDefault="00000000">
            <w:pPr>
              <w:tabs>
                <w:tab w:val="decimal" w:pos="340"/>
              </w:tabs>
              <w:spacing w:before="40" w:after="40"/>
              <w:jc w:val="both"/>
              <w:rPr>
                <w:sz w:val="18"/>
              </w:rPr>
            </w:pPr>
            <w:r>
              <w:rPr>
                <w:sz w:val="18"/>
              </w:rPr>
              <w:t>14,5</w:t>
            </w:r>
          </w:p>
        </w:tc>
        <w:tc>
          <w:tcPr>
            <w:tcW w:w="680" w:type="dxa"/>
            <w:tcBorders>
              <w:top w:val="nil"/>
              <w:bottom w:val="nil"/>
            </w:tcBorders>
          </w:tcPr>
          <w:p w:rsidR="00000000" w:rsidRDefault="00000000">
            <w:pPr>
              <w:tabs>
                <w:tab w:val="decimal" w:pos="340"/>
              </w:tabs>
              <w:spacing w:before="40" w:after="40"/>
              <w:jc w:val="both"/>
              <w:rPr>
                <w:sz w:val="18"/>
              </w:rPr>
            </w:pPr>
            <w:r>
              <w:rPr>
                <w:sz w:val="18"/>
              </w:rPr>
              <w:t>15,5</w:t>
            </w:r>
          </w:p>
        </w:tc>
      </w:tr>
      <w:tr w:rsidR="00000000">
        <w:tblPrEx>
          <w:tblCellMar>
            <w:top w:w="0" w:type="dxa"/>
            <w:bottom w:w="0" w:type="dxa"/>
          </w:tblCellMar>
        </w:tblPrEx>
        <w:trPr>
          <w:jc w:val="center"/>
        </w:trPr>
        <w:tc>
          <w:tcPr>
            <w:tcW w:w="4026" w:type="dxa"/>
            <w:tcBorders>
              <w:top w:val="nil"/>
              <w:bottom w:val="nil"/>
            </w:tcBorders>
          </w:tcPr>
          <w:p w:rsidR="00000000" w:rsidRDefault="00000000">
            <w:pPr>
              <w:tabs>
                <w:tab w:val="left" w:pos="680"/>
              </w:tabs>
              <w:spacing w:before="40" w:after="40"/>
              <w:rPr>
                <w:sz w:val="18"/>
              </w:rPr>
            </w:pPr>
            <w:r>
              <w:rPr>
                <w:sz w:val="18"/>
              </w:rPr>
              <w:t xml:space="preserve">Показатель сегрегации по половому признаку при проведении обучающих мероприятий на базе Национальной школы профессионального обучения </w:t>
            </w:r>
            <w:r>
              <w:rPr>
                <w:sz w:val="18"/>
                <w:vertAlign w:val="superscript"/>
                <w:lang w:val="en-US"/>
              </w:rPr>
              <w:t>d</w:t>
            </w:r>
            <w:r>
              <w:rPr>
                <w:sz w:val="18"/>
                <w:vertAlign w:val="superscript"/>
              </w:rPr>
              <w:t>)</w:t>
            </w:r>
          </w:p>
        </w:tc>
        <w:tc>
          <w:tcPr>
            <w:tcW w:w="680" w:type="dxa"/>
            <w:tcBorders>
              <w:top w:val="nil"/>
              <w:bottom w:val="nil"/>
            </w:tcBorders>
          </w:tcPr>
          <w:p w:rsidR="00000000" w:rsidRDefault="00000000">
            <w:pPr>
              <w:tabs>
                <w:tab w:val="decimal" w:pos="340"/>
              </w:tabs>
              <w:spacing w:before="40" w:after="40"/>
              <w:jc w:val="both"/>
              <w:rPr>
                <w:sz w:val="18"/>
              </w:rPr>
            </w:pPr>
            <w:r>
              <w:rPr>
                <w:sz w:val="18"/>
              </w:rPr>
              <w:t>29,20</w:t>
            </w:r>
          </w:p>
        </w:tc>
        <w:tc>
          <w:tcPr>
            <w:tcW w:w="680" w:type="dxa"/>
            <w:tcBorders>
              <w:top w:val="nil"/>
              <w:bottom w:val="nil"/>
            </w:tcBorders>
          </w:tcPr>
          <w:p w:rsidR="00000000" w:rsidRDefault="00000000">
            <w:pPr>
              <w:tabs>
                <w:tab w:val="decimal" w:pos="340"/>
              </w:tabs>
              <w:spacing w:before="40" w:after="40"/>
              <w:jc w:val="both"/>
              <w:rPr>
                <w:sz w:val="18"/>
              </w:rPr>
            </w:pPr>
            <w:r>
              <w:rPr>
                <w:sz w:val="18"/>
              </w:rPr>
              <w:t>20,00</w:t>
            </w:r>
          </w:p>
        </w:tc>
        <w:tc>
          <w:tcPr>
            <w:tcW w:w="680" w:type="dxa"/>
            <w:tcBorders>
              <w:top w:val="nil"/>
              <w:bottom w:val="nil"/>
            </w:tcBorders>
          </w:tcPr>
          <w:p w:rsidR="00000000" w:rsidRDefault="00000000">
            <w:pPr>
              <w:tabs>
                <w:tab w:val="decimal" w:pos="340"/>
              </w:tabs>
              <w:spacing w:before="40" w:after="40"/>
              <w:jc w:val="both"/>
              <w:rPr>
                <w:sz w:val="18"/>
              </w:rPr>
            </w:pPr>
            <w:r>
              <w:rPr>
                <w:sz w:val="18"/>
              </w:rPr>
              <w:t>20,50</w:t>
            </w:r>
          </w:p>
        </w:tc>
        <w:tc>
          <w:tcPr>
            <w:tcW w:w="680" w:type="dxa"/>
            <w:tcBorders>
              <w:top w:val="nil"/>
              <w:bottom w:val="nil"/>
            </w:tcBorders>
          </w:tcPr>
          <w:p w:rsidR="00000000" w:rsidRDefault="00000000">
            <w:pPr>
              <w:tabs>
                <w:tab w:val="decimal" w:pos="340"/>
              </w:tabs>
              <w:spacing w:before="40" w:after="40"/>
              <w:jc w:val="both"/>
              <w:rPr>
                <w:sz w:val="18"/>
              </w:rPr>
            </w:pPr>
            <w:r>
              <w:rPr>
                <w:sz w:val="18"/>
              </w:rPr>
              <w:t>20,90</w:t>
            </w:r>
          </w:p>
        </w:tc>
        <w:tc>
          <w:tcPr>
            <w:tcW w:w="680" w:type="dxa"/>
            <w:tcBorders>
              <w:top w:val="nil"/>
              <w:bottom w:val="nil"/>
            </w:tcBorders>
          </w:tcPr>
          <w:p w:rsidR="00000000" w:rsidRDefault="00000000">
            <w:pPr>
              <w:tabs>
                <w:tab w:val="decimal" w:pos="340"/>
              </w:tabs>
              <w:spacing w:before="40" w:after="40"/>
              <w:jc w:val="both"/>
              <w:rPr>
                <w:sz w:val="18"/>
              </w:rPr>
            </w:pPr>
            <w:r>
              <w:rPr>
                <w:sz w:val="18"/>
              </w:rPr>
              <w:t>21,60</w:t>
            </w:r>
          </w:p>
        </w:tc>
        <w:tc>
          <w:tcPr>
            <w:tcW w:w="680" w:type="dxa"/>
            <w:tcBorders>
              <w:top w:val="nil"/>
              <w:bottom w:val="nil"/>
            </w:tcBorders>
          </w:tcPr>
          <w:p w:rsidR="00000000" w:rsidRDefault="00000000">
            <w:pPr>
              <w:tabs>
                <w:tab w:val="decimal" w:pos="340"/>
              </w:tabs>
              <w:spacing w:before="40" w:after="40"/>
              <w:jc w:val="both"/>
              <w:rPr>
                <w:sz w:val="18"/>
              </w:rPr>
            </w:pPr>
            <w:r>
              <w:rPr>
                <w:sz w:val="18"/>
              </w:rPr>
              <w:t>21,00</w:t>
            </w:r>
          </w:p>
        </w:tc>
        <w:tc>
          <w:tcPr>
            <w:tcW w:w="680" w:type="dxa"/>
            <w:tcBorders>
              <w:top w:val="nil"/>
              <w:bottom w:val="nil"/>
            </w:tcBorders>
          </w:tcPr>
          <w:p w:rsidR="00000000" w:rsidRDefault="00000000">
            <w:pPr>
              <w:tabs>
                <w:tab w:val="decimal" w:pos="340"/>
              </w:tabs>
              <w:spacing w:before="40" w:after="40"/>
              <w:jc w:val="both"/>
              <w:rPr>
                <w:sz w:val="18"/>
              </w:rPr>
            </w:pPr>
          </w:p>
        </w:tc>
      </w:tr>
      <w:tr w:rsidR="00000000">
        <w:tblPrEx>
          <w:tblCellMar>
            <w:top w:w="0" w:type="dxa"/>
            <w:bottom w:w="0" w:type="dxa"/>
          </w:tblCellMar>
        </w:tblPrEx>
        <w:trPr>
          <w:jc w:val="center"/>
        </w:trPr>
        <w:tc>
          <w:tcPr>
            <w:tcW w:w="4026" w:type="dxa"/>
            <w:tcBorders>
              <w:top w:val="nil"/>
              <w:bottom w:val="nil"/>
            </w:tcBorders>
          </w:tcPr>
          <w:p w:rsidR="00000000" w:rsidRDefault="00000000">
            <w:pPr>
              <w:tabs>
                <w:tab w:val="left" w:pos="680"/>
              </w:tabs>
              <w:spacing w:before="40" w:after="40"/>
              <w:rPr>
                <w:sz w:val="18"/>
              </w:rPr>
            </w:pPr>
            <w:r>
              <w:rPr>
                <w:sz w:val="18"/>
              </w:rPr>
              <w:t>Здравоохранение</w:t>
            </w:r>
          </w:p>
        </w:tc>
        <w:tc>
          <w:tcPr>
            <w:tcW w:w="680" w:type="dxa"/>
            <w:tcBorders>
              <w:top w:val="nil"/>
              <w:bottom w:val="nil"/>
            </w:tcBorders>
          </w:tcPr>
          <w:p w:rsidR="00000000" w:rsidRDefault="00000000">
            <w:pPr>
              <w:tabs>
                <w:tab w:val="decimal" w:pos="340"/>
              </w:tabs>
              <w:spacing w:before="40" w:after="40"/>
              <w:jc w:val="both"/>
              <w:rPr>
                <w:sz w:val="18"/>
              </w:rPr>
            </w:pPr>
          </w:p>
        </w:tc>
        <w:tc>
          <w:tcPr>
            <w:tcW w:w="680" w:type="dxa"/>
            <w:tcBorders>
              <w:top w:val="nil"/>
              <w:bottom w:val="nil"/>
            </w:tcBorders>
          </w:tcPr>
          <w:p w:rsidR="00000000" w:rsidRDefault="00000000">
            <w:pPr>
              <w:tabs>
                <w:tab w:val="decimal" w:pos="340"/>
              </w:tabs>
              <w:spacing w:before="40" w:after="40"/>
              <w:jc w:val="both"/>
              <w:rPr>
                <w:sz w:val="18"/>
              </w:rPr>
            </w:pPr>
          </w:p>
        </w:tc>
        <w:tc>
          <w:tcPr>
            <w:tcW w:w="680" w:type="dxa"/>
            <w:tcBorders>
              <w:top w:val="nil"/>
              <w:bottom w:val="nil"/>
            </w:tcBorders>
          </w:tcPr>
          <w:p w:rsidR="00000000" w:rsidRDefault="00000000">
            <w:pPr>
              <w:tabs>
                <w:tab w:val="decimal" w:pos="340"/>
              </w:tabs>
              <w:spacing w:before="40" w:after="40"/>
              <w:jc w:val="both"/>
              <w:rPr>
                <w:sz w:val="18"/>
              </w:rPr>
            </w:pPr>
          </w:p>
        </w:tc>
        <w:tc>
          <w:tcPr>
            <w:tcW w:w="680" w:type="dxa"/>
            <w:tcBorders>
              <w:top w:val="nil"/>
              <w:bottom w:val="nil"/>
            </w:tcBorders>
          </w:tcPr>
          <w:p w:rsidR="00000000" w:rsidRDefault="00000000">
            <w:pPr>
              <w:tabs>
                <w:tab w:val="decimal" w:pos="340"/>
              </w:tabs>
              <w:spacing w:before="40" w:after="40"/>
              <w:jc w:val="both"/>
              <w:rPr>
                <w:sz w:val="18"/>
              </w:rPr>
            </w:pPr>
          </w:p>
        </w:tc>
        <w:tc>
          <w:tcPr>
            <w:tcW w:w="680" w:type="dxa"/>
            <w:tcBorders>
              <w:top w:val="nil"/>
              <w:bottom w:val="nil"/>
            </w:tcBorders>
          </w:tcPr>
          <w:p w:rsidR="00000000" w:rsidRDefault="00000000">
            <w:pPr>
              <w:tabs>
                <w:tab w:val="decimal" w:pos="340"/>
              </w:tabs>
              <w:spacing w:before="40" w:after="40"/>
              <w:jc w:val="both"/>
              <w:rPr>
                <w:sz w:val="18"/>
              </w:rPr>
            </w:pPr>
          </w:p>
        </w:tc>
        <w:tc>
          <w:tcPr>
            <w:tcW w:w="680" w:type="dxa"/>
            <w:tcBorders>
              <w:top w:val="nil"/>
              <w:bottom w:val="nil"/>
            </w:tcBorders>
          </w:tcPr>
          <w:p w:rsidR="00000000" w:rsidRDefault="00000000">
            <w:pPr>
              <w:tabs>
                <w:tab w:val="decimal" w:pos="340"/>
              </w:tabs>
              <w:spacing w:before="40" w:after="40"/>
              <w:jc w:val="both"/>
              <w:rPr>
                <w:sz w:val="18"/>
              </w:rPr>
            </w:pPr>
          </w:p>
        </w:tc>
        <w:tc>
          <w:tcPr>
            <w:tcW w:w="680" w:type="dxa"/>
            <w:tcBorders>
              <w:top w:val="nil"/>
              <w:bottom w:val="nil"/>
            </w:tcBorders>
          </w:tcPr>
          <w:p w:rsidR="00000000" w:rsidRDefault="00000000">
            <w:pPr>
              <w:tabs>
                <w:tab w:val="decimal" w:pos="340"/>
              </w:tabs>
              <w:spacing w:before="40" w:after="40"/>
              <w:jc w:val="both"/>
              <w:rPr>
                <w:sz w:val="18"/>
              </w:rPr>
            </w:pPr>
          </w:p>
        </w:tc>
      </w:tr>
      <w:tr w:rsidR="00000000">
        <w:tblPrEx>
          <w:tblCellMar>
            <w:top w:w="0" w:type="dxa"/>
            <w:bottom w:w="0" w:type="dxa"/>
          </w:tblCellMar>
        </w:tblPrEx>
        <w:trPr>
          <w:jc w:val="center"/>
        </w:trPr>
        <w:tc>
          <w:tcPr>
            <w:tcW w:w="4026" w:type="dxa"/>
            <w:tcBorders>
              <w:top w:val="nil"/>
            </w:tcBorders>
          </w:tcPr>
          <w:p w:rsidR="00000000" w:rsidRDefault="00000000">
            <w:pPr>
              <w:tabs>
                <w:tab w:val="left" w:pos="680"/>
              </w:tabs>
              <w:spacing w:before="40" w:after="40"/>
              <w:rPr>
                <w:sz w:val="18"/>
              </w:rPr>
            </w:pPr>
            <w:r>
              <w:rPr>
                <w:sz w:val="18"/>
              </w:rPr>
              <w:t xml:space="preserve">Разница в прогнозе продолжительности жизни при рождении для мужчин и женщин </w:t>
            </w:r>
            <w:r>
              <w:rPr>
                <w:sz w:val="18"/>
                <w:vertAlign w:val="superscript"/>
                <w:lang w:val="en-US"/>
              </w:rPr>
              <w:t>b</w:t>
            </w:r>
            <w:r>
              <w:rPr>
                <w:sz w:val="18"/>
                <w:vertAlign w:val="superscript"/>
              </w:rPr>
              <w:t>)</w:t>
            </w:r>
          </w:p>
        </w:tc>
        <w:tc>
          <w:tcPr>
            <w:tcW w:w="680" w:type="dxa"/>
            <w:tcBorders>
              <w:top w:val="nil"/>
            </w:tcBorders>
          </w:tcPr>
          <w:p w:rsidR="00000000" w:rsidRDefault="00000000">
            <w:pPr>
              <w:tabs>
                <w:tab w:val="decimal" w:pos="340"/>
              </w:tabs>
              <w:spacing w:before="40" w:after="40"/>
              <w:jc w:val="both"/>
              <w:rPr>
                <w:sz w:val="18"/>
              </w:rPr>
            </w:pPr>
            <w:r>
              <w:rPr>
                <w:sz w:val="18"/>
              </w:rPr>
              <w:t>4,9</w:t>
            </w:r>
          </w:p>
        </w:tc>
        <w:tc>
          <w:tcPr>
            <w:tcW w:w="680" w:type="dxa"/>
            <w:tcBorders>
              <w:top w:val="nil"/>
            </w:tcBorders>
          </w:tcPr>
          <w:p w:rsidR="00000000" w:rsidRDefault="00000000">
            <w:pPr>
              <w:tabs>
                <w:tab w:val="decimal" w:pos="340"/>
              </w:tabs>
              <w:spacing w:before="40" w:after="40"/>
              <w:jc w:val="both"/>
              <w:rPr>
                <w:sz w:val="18"/>
              </w:rPr>
            </w:pPr>
            <w:r>
              <w:rPr>
                <w:sz w:val="18"/>
              </w:rPr>
              <w:t>5,2</w:t>
            </w:r>
          </w:p>
        </w:tc>
        <w:tc>
          <w:tcPr>
            <w:tcW w:w="680" w:type="dxa"/>
            <w:tcBorders>
              <w:top w:val="nil"/>
            </w:tcBorders>
          </w:tcPr>
          <w:p w:rsidR="00000000" w:rsidRDefault="00000000">
            <w:pPr>
              <w:tabs>
                <w:tab w:val="decimal" w:pos="340"/>
              </w:tabs>
              <w:spacing w:before="40" w:after="40"/>
              <w:jc w:val="both"/>
              <w:rPr>
                <w:sz w:val="18"/>
              </w:rPr>
            </w:pPr>
            <w:r>
              <w:rPr>
                <w:sz w:val="18"/>
              </w:rPr>
              <w:t>5,0</w:t>
            </w:r>
          </w:p>
        </w:tc>
        <w:tc>
          <w:tcPr>
            <w:tcW w:w="680" w:type="dxa"/>
            <w:tcBorders>
              <w:top w:val="nil"/>
            </w:tcBorders>
          </w:tcPr>
          <w:p w:rsidR="00000000" w:rsidRDefault="00000000">
            <w:pPr>
              <w:tabs>
                <w:tab w:val="decimal" w:pos="340"/>
              </w:tabs>
              <w:spacing w:before="40" w:after="40"/>
              <w:jc w:val="both"/>
              <w:rPr>
                <w:sz w:val="18"/>
              </w:rPr>
            </w:pPr>
            <w:r>
              <w:rPr>
                <w:sz w:val="18"/>
              </w:rPr>
              <w:t>5,6</w:t>
            </w:r>
          </w:p>
        </w:tc>
        <w:tc>
          <w:tcPr>
            <w:tcW w:w="680" w:type="dxa"/>
            <w:tcBorders>
              <w:top w:val="nil"/>
            </w:tcBorders>
          </w:tcPr>
          <w:p w:rsidR="00000000" w:rsidRDefault="00000000">
            <w:pPr>
              <w:tabs>
                <w:tab w:val="decimal" w:pos="340"/>
              </w:tabs>
              <w:spacing w:before="40" w:after="40"/>
              <w:jc w:val="both"/>
              <w:rPr>
                <w:sz w:val="18"/>
              </w:rPr>
            </w:pPr>
            <w:r>
              <w:rPr>
                <w:sz w:val="18"/>
              </w:rPr>
              <w:t>5,1</w:t>
            </w:r>
          </w:p>
        </w:tc>
        <w:tc>
          <w:tcPr>
            <w:tcW w:w="680" w:type="dxa"/>
            <w:tcBorders>
              <w:top w:val="nil"/>
            </w:tcBorders>
          </w:tcPr>
          <w:p w:rsidR="00000000" w:rsidRDefault="00000000">
            <w:pPr>
              <w:tabs>
                <w:tab w:val="decimal" w:pos="340"/>
              </w:tabs>
              <w:spacing w:before="40" w:after="40"/>
              <w:jc w:val="both"/>
              <w:rPr>
                <w:sz w:val="18"/>
              </w:rPr>
            </w:pPr>
            <w:r>
              <w:rPr>
                <w:sz w:val="18"/>
              </w:rPr>
              <w:t>5,7</w:t>
            </w:r>
          </w:p>
        </w:tc>
        <w:tc>
          <w:tcPr>
            <w:tcW w:w="680" w:type="dxa"/>
            <w:tcBorders>
              <w:top w:val="nil"/>
            </w:tcBorders>
          </w:tcPr>
          <w:p w:rsidR="00000000" w:rsidRDefault="00000000">
            <w:pPr>
              <w:tabs>
                <w:tab w:val="decimal" w:pos="340"/>
              </w:tabs>
              <w:spacing w:before="40" w:after="40"/>
              <w:jc w:val="both"/>
              <w:rPr>
                <w:sz w:val="18"/>
              </w:rPr>
            </w:pPr>
            <w:r>
              <w:rPr>
                <w:sz w:val="18"/>
              </w:rPr>
              <w:t>5,5</w:t>
            </w:r>
          </w:p>
        </w:tc>
      </w:tr>
      <w:tr w:rsidR="00000000">
        <w:tblPrEx>
          <w:tblCellMar>
            <w:top w:w="0" w:type="dxa"/>
            <w:bottom w:w="0" w:type="dxa"/>
          </w:tblCellMar>
        </w:tblPrEx>
        <w:trPr>
          <w:cantSplit/>
          <w:jc w:val="center"/>
        </w:trPr>
        <w:tc>
          <w:tcPr>
            <w:tcW w:w="8786" w:type="dxa"/>
            <w:gridSpan w:val="8"/>
          </w:tcPr>
          <w:p w:rsidR="00000000" w:rsidRDefault="00000000">
            <w:pPr>
              <w:tabs>
                <w:tab w:val="decimal" w:pos="340"/>
              </w:tabs>
              <w:spacing w:before="40" w:after="40"/>
              <w:rPr>
                <w:sz w:val="18"/>
              </w:rPr>
            </w:pPr>
            <w:r>
              <w:rPr>
                <w:i/>
                <w:sz w:val="18"/>
              </w:rPr>
              <w:t xml:space="preserve">Показатели мужской смертности от наиболее распространенных злокачественных опухолей </w:t>
            </w:r>
            <w:r>
              <w:rPr>
                <w:i/>
                <w:sz w:val="18"/>
              </w:rPr>
              <w:br/>
              <w:t>(на 100 000 мужчин)</w:t>
            </w:r>
          </w:p>
        </w:tc>
      </w:tr>
      <w:tr w:rsidR="00000000">
        <w:tblPrEx>
          <w:tblCellMar>
            <w:top w:w="0" w:type="dxa"/>
            <w:bottom w:w="0" w:type="dxa"/>
          </w:tblCellMar>
        </w:tblPrEx>
        <w:trPr>
          <w:jc w:val="center"/>
        </w:trPr>
        <w:tc>
          <w:tcPr>
            <w:tcW w:w="4026" w:type="dxa"/>
            <w:tcBorders>
              <w:bottom w:val="nil"/>
            </w:tcBorders>
          </w:tcPr>
          <w:p w:rsidR="00000000" w:rsidRDefault="00000000">
            <w:pPr>
              <w:tabs>
                <w:tab w:val="left" w:pos="680"/>
              </w:tabs>
              <w:spacing w:before="40" w:after="40"/>
              <w:rPr>
                <w:sz w:val="18"/>
              </w:rPr>
            </w:pPr>
            <w:r>
              <w:rPr>
                <w:sz w:val="18"/>
              </w:rPr>
              <w:t>Желудка</w:t>
            </w:r>
          </w:p>
        </w:tc>
        <w:tc>
          <w:tcPr>
            <w:tcW w:w="680" w:type="dxa"/>
            <w:tcBorders>
              <w:bottom w:val="nil"/>
            </w:tcBorders>
          </w:tcPr>
          <w:p w:rsidR="00000000" w:rsidRDefault="00000000">
            <w:pPr>
              <w:tabs>
                <w:tab w:val="decimal" w:pos="340"/>
              </w:tabs>
              <w:spacing w:before="40" w:after="40"/>
              <w:jc w:val="both"/>
              <w:rPr>
                <w:sz w:val="18"/>
              </w:rPr>
            </w:pPr>
            <w:r>
              <w:rPr>
                <w:sz w:val="18"/>
              </w:rPr>
              <w:t>24,8</w:t>
            </w:r>
          </w:p>
        </w:tc>
        <w:tc>
          <w:tcPr>
            <w:tcW w:w="680" w:type="dxa"/>
            <w:tcBorders>
              <w:bottom w:val="nil"/>
            </w:tcBorders>
          </w:tcPr>
          <w:p w:rsidR="00000000" w:rsidRDefault="00000000">
            <w:pPr>
              <w:tabs>
                <w:tab w:val="decimal" w:pos="340"/>
              </w:tabs>
              <w:spacing w:before="40" w:after="40"/>
              <w:jc w:val="both"/>
              <w:rPr>
                <w:sz w:val="18"/>
              </w:rPr>
            </w:pPr>
            <w:r>
              <w:rPr>
                <w:sz w:val="18"/>
              </w:rPr>
              <w:t>24,2</w:t>
            </w:r>
          </w:p>
        </w:tc>
        <w:tc>
          <w:tcPr>
            <w:tcW w:w="680" w:type="dxa"/>
            <w:tcBorders>
              <w:bottom w:val="nil"/>
            </w:tcBorders>
          </w:tcPr>
          <w:p w:rsidR="00000000" w:rsidRDefault="00000000">
            <w:pPr>
              <w:tabs>
                <w:tab w:val="decimal" w:pos="340"/>
              </w:tabs>
              <w:spacing w:before="40" w:after="40"/>
              <w:jc w:val="both"/>
              <w:rPr>
                <w:sz w:val="18"/>
              </w:rPr>
            </w:pPr>
            <w:r>
              <w:rPr>
                <w:sz w:val="18"/>
              </w:rPr>
              <w:t>22,2</w:t>
            </w:r>
          </w:p>
        </w:tc>
        <w:tc>
          <w:tcPr>
            <w:tcW w:w="680" w:type="dxa"/>
            <w:tcBorders>
              <w:bottom w:val="nil"/>
            </w:tcBorders>
          </w:tcPr>
          <w:p w:rsidR="00000000" w:rsidRDefault="00000000">
            <w:pPr>
              <w:tabs>
                <w:tab w:val="decimal" w:pos="340"/>
              </w:tabs>
              <w:spacing w:before="40" w:after="40"/>
              <w:jc w:val="both"/>
              <w:rPr>
                <w:sz w:val="18"/>
              </w:rPr>
            </w:pPr>
            <w:r>
              <w:rPr>
                <w:sz w:val="18"/>
              </w:rPr>
              <w:t>21,2</w:t>
            </w:r>
          </w:p>
        </w:tc>
        <w:tc>
          <w:tcPr>
            <w:tcW w:w="680" w:type="dxa"/>
            <w:tcBorders>
              <w:bottom w:val="nil"/>
            </w:tcBorders>
          </w:tcPr>
          <w:p w:rsidR="00000000" w:rsidRDefault="00000000">
            <w:pPr>
              <w:tabs>
                <w:tab w:val="decimal" w:pos="340"/>
              </w:tabs>
              <w:spacing w:before="40" w:after="40"/>
              <w:jc w:val="both"/>
              <w:rPr>
                <w:sz w:val="18"/>
              </w:rPr>
            </w:pPr>
            <w:r>
              <w:rPr>
                <w:sz w:val="18"/>
              </w:rPr>
              <w:t>21,1</w:t>
            </w:r>
          </w:p>
        </w:tc>
        <w:tc>
          <w:tcPr>
            <w:tcW w:w="680" w:type="dxa"/>
            <w:tcBorders>
              <w:bottom w:val="nil"/>
            </w:tcBorders>
          </w:tcPr>
          <w:p w:rsidR="00000000" w:rsidRDefault="00000000">
            <w:pPr>
              <w:tabs>
                <w:tab w:val="decimal" w:pos="340"/>
              </w:tabs>
              <w:spacing w:before="40" w:after="40"/>
              <w:jc w:val="both"/>
              <w:rPr>
                <w:sz w:val="18"/>
              </w:rPr>
            </w:pPr>
            <w:r>
              <w:rPr>
                <w:sz w:val="18"/>
              </w:rPr>
              <w:t>18,2</w:t>
            </w:r>
          </w:p>
        </w:tc>
        <w:tc>
          <w:tcPr>
            <w:tcW w:w="680" w:type="dxa"/>
            <w:tcBorders>
              <w:bottom w:val="nil"/>
            </w:tcBorders>
          </w:tcPr>
          <w:p w:rsidR="00000000" w:rsidRDefault="00000000">
            <w:pPr>
              <w:tabs>
                <w:tab w:val="decimal" w:pos="340"/>
              </w:tabs>
              <w:spacing w:before="40" w:after="40"/>
              <w:jc w:val="both"/>
              <w:rPr>
                <w:sz w:val="18"/>
              </w:rPr>
            </w:pPr>
            <w:r>
              <w:rPr>
                <w:sz w:val="18"/>
              </w:rPr>
              <w:t>17,6</w:t>
            </w:r>
          </w:p>
        </w:tc>
      </w:tr>
      <w:tr w:rsidR="00000000">
        <w:tblPrEx>
          <w:tblCellMar>
            <w:top w:w="0" w:type="dxa"/>
            <w:bottom w:w="0" w:type="dxa"/>
          </w:tblCellMar>
        </w:tblPrEx>
        <w:trPr>
          <w:jc w:val="center"/>
        </w:trPr>
        <w:tc>
          <w:tcPr>
            <w:tcW w:w="4026" w:type="dxa"/>
            <w:tcBorders>
              <w:top w:val="nil"/>
              <w:bottom w:val="nil"/>
            </w:tcBorders>
          </w:tcPr>
          <w:p w:rsidR="00000000" w:rsidRDefault="00000000">
            <w:pPr>
              <w:tabs>
                <w:tab w:val="left" w:pos="680"/>
              </w:tabs>
              <w:spacing w:before="40" w:after="40"/>
              <w:rPr>
                <w:sz w:val="18"/>
              </w:rPr>
            </w:pPr>
            <w:r>
              <w:rPr>
                <w:sz w:val="18"/>
              </w:rPr>
              <w:t>Предстательной железы</w:t>
            </w:r>
          </w:p>
        </w:tc>
        <w:tc>
          <w:tcPr>
            <w:tcW w:w="680" w:type="dxa"/>
            <w:tcBorders>
              <w:top w:val="nil"/>
              <w:bottom w:val="nil"/>
            </w:tcBorders>
          </w:tcPr>
          <w:p w:rsidR="00000000" w:rsidRDefault="00000000">
            <w:pPr>
              <w:tabs>
                <w:tab w:val="decimal" w:pos="340"/>
              </w:tabs>
              <w:spacing w:before="40" w:after="40"/>
              <w:jc w:val="both"/>
              <w:rPr>
                <w:sz w:val="18"/>
              </w:rPr>
            </w:pPr>
            <w:r>
              <w:rPr>
                <w:sz w:val="18"/>
              </w:rPr>
              <w:t>7,7</w:t>
            </w:r>
          </w:p>
        </w:tc>
        <w:tc>
          <w:tcPr>
            <w:tcW w:w="680" w:type="dxa"/>
            <w:tcBorders>
              <w:top w:val="nil"/>
              <w:bottom w:val="nil"/>
            </w:tcBorders>
          </w:tcPr>
          <w:p w:rsidR="00000000" w:rsidRDefault="00000000">
            <w:pPr>
              <w:tabs>
                <w:tab w:val="decimal" w:pos="340"/>
              </w:tabs>
              <w:spacing w:before="40" w:after="40"/>
              <w:jc w:val="both"/>
              <w:rPr>
                <w:sz w:val="18"/>
              </w:rPr>
            </w:pPr>
            <w:r>
              <w:rPr>
                <w:sz w:val="18"/>
              </w:rPr>
              <w:t>13,4</w:t>
            </w:r>
          </w:p>
        </w:tc>
        <w:tc>
          <w:tcPr>
            <w:tcW w:w="680" w:type="dxa"/>
            <w:tcBorders>
              <w:top w:val="nil"/>
              <w:bottom w:val="nil"/>
            </w:tcBorders>
          </w:tcPr>
          <w:p w:rsidR="00000000" w:rsidRDefault="00000000">
            <w:pPr>
              <w:tabs>
                <w:tab w:val="decimal" w:pos="340"/>
              </w:tabs>
              <w:spacing w:before="40" w:after="40"/>
              <w:jc w:val="both"/>
              <w:rPr>
                <w:sz w:val="18"/>
              </w:rPr>
            </w:pPr>
            <w:r>
              <w:rPr>
                <w:sz w:val="18"/>
              </w:rPr>
              <w:t>12,80</w:t>
            </w:r>
          </w:p>
        </w:tc>
        <w:tc>
          <w:tcPr>
            <w:tcW w:w="680" w:type="dxa"/>
            <w:tcBorders>
              <w:top w:val="nil"/>
              <w:bottom w:val="nil"/>
            </w:tcBorders>
          </w:tcPr>
          <w:p w:rsidR="00000000" w:rsidRDefault="00000000">
            <w:pPr>
              <w:tabs>
                <w:tab w:val="decimal" w:pos="340"/>
              </w:tabs>
              <w:spacing w:before="40" w:after="40"/>
              <w:jc w:val="both"/>
              <w:rPr>
                <w:sz w:val="18"/>
              </w:rPr>
            </w:pPr>
            <w:r>
              <w:rPr>
                <w:sz w:val="18"/>
              </w:rPr>
              <w:t>10,70</w:t>
            </w:r>
          </w:p>
        </w:tc>
        <w:tc>
          <w:tcPr>
            <w:tcW w:w="680" w:type="dxa"/>
            <w:tcBorders>
              <w:top w:val="nil"/>
              <w:bottom w:val="nil"/>
            </w:tcBorders>
          </w:tcPr>
          <w:p w:rsidR="00000000" w:rsidRDefault="00000000">
            <w:pPr>
              <w:tabs>
                <w:tab w:val="decimal" w:pos="340"/>
              </w:tabs>
              <w:spacing w:before="40" w:after="40"/>
              <w:jc w:val="both"/>
              <w:rPr>
                <w:sz w:val="18"/>
              </w:rPr>
            </w:pPr>
            <w:r>
              <w:rPr>
                <w:sz w:val="18"/>
              </w:rPr>
              <w:t>12,60</w:t>
            </w:r>
          </w:p>
        </w:tc>
        <w:tc>
          <w:tcPr>
            <w:tcW w:w="680" w:type="dxa"/>
            <w:tcBorders>
              <w:top w:val="nil"/>
              <w:bottom w:val="nil"/>
            </w:tcBorders>
          </w:tcPr>
          <w:p w:rsidR="00000000" w:rsidRDefault="00000000">
            <w:pPr>
              <w:tabs>
                <w:tab w:val="decimal" w:pos="340"/>
              </w:tabs>
              <w:spacing w:before="40" w:after="40"/>
              <w:jc w:val="both"/>
              <w:rPr>
                <w:sz w:val="18"/>
              </w:rPr>
            </w:pPr>
            <w:r>
              <w:rPr>
                <w:sz w:val="18"/>
              </w:rPr>
              <w:t>13,53</w:t>
            </w:r>
          </w:p>
        </w:tc>
        <w:tc>
          <w:tcPr>
            <w:tcW w:w="680" w:type="dxa"/>
            <w:tcBorders>
              <w:top w:val="nil"/>
              <w:bottom w:val="nil"/>
            </w:tcBorders>
          </w:tcPr>
          <w:p w:rsidR="00000000" w:rsidRDefault="00000000">
            <w:pPr>
              <w:tabs>
                <w:tab w:val="decimal" w:pos="340"/>
              </w:tabs>
              <w:spacing w:before="40" w:after="40"/>
              <w:jc w:val="both"/>
              <w:rPr>
                <w:sz w:val="18"/>
              </w:rPr>
            </w:pPr>
            <w:r>
              <w:rPr>
                <w:sz w:val="18"/>
              </w:rPr>
              <w:t>14,1</w:t>
            </w:r>
          </w:p>
        </w:tc>
      </w:tr>
      <w:tr w:rsidR="00000000">
        <w:tblPrEx>
          <w:tblCellMar>
            <w:top w:w="0" w:type="dxa"/>
            <w:bottom w:w="0" w:type="dxa"/>
          </w:tblCellMar>
        </w:tblPrEx>
        <w:trPr>
          <w:jc w:val="center"/>
        </w:trPr>
        <w:tc>
          <w:tcPr>
            <w:tcW w:w="4026" w:type="dxa"/>
            <w:tcBorders>
              <w:top w:val="nil"/>
            </w:tcBorders>
          </w:tcPr>
          <w:p w:rsidR="00000000" w:rsidRDefault="00000000">
            <w:pPr>
              <w:tabs>
                <w:tab w:val="left" w:pos="680"/>
              </w:tabs>
              <w:spacing w:before="40" w:after="40"/>
              <w:rPr>
                <w:sz w:val="18"/>
              </w:rPr>
            </w:pPr>
            <w:r>
              <w:rPr>
                <w:sz w:val="18"/>
              </w:rPr>
              <w:t>Легкого</w:t>
            </w:r>
          </w:p>
        </w:tc>
        <w:tc>
          <w:tcPr>
            <w:tcW w:w="680" w:type="dxa"/>
            <w:tcBorders>
              <w:top w:val="nil"/>
            </w:tcBorders>
          </w:tcPr>
          <w:p w:rsidR="00000000" w:rsidRDefault="00000000">
            <w:pPr>
              <w:tabs>
                <w:tab w:val="decimal" w:pos="340"/>
              </w:tabs>
              <w:spacing w:before="40" w:after="40"/>
              <w:jc w:val="both"/>
              <w:rPr>
                <w:sz w:val="18"/>
              </w:rPr>
            </w:pPr>
            <w:r>
              <w:rPr>
                <w:sz w:val="18"/>
              </w:rPr>
              <w:t>9,1</w:t>
            </w:r>
          </w:p>
        </w:tc>
        <w:tc>
          <w:tcPr>
            <w:tcW w:w="680" w:type="dxa"/>
            <w:tcBorders>
              <w:top w:val="nil"/>
            </w:tcBorders>
          </w:tcPr>
          <w:p w:rsidR="00000000" w:rsidRDefault="00000000">
            <w:pPr>
              <w:tabs>
                <w:tab w:val="decimal" w:pos="340"/>
              </w:tabs>
              <w:spacing w:before="40" w:after="40"/>
              <w:jc w:val="both"/>
              <w:rPr>
                <w:sz w:val="18"/>
              </w:rPr>
            </w:pPr>
            <w:r>
              <w:rPr>
                <w:sz w:val="18"/>
              </w:rPr>
              <w:t>8,0</w:t>
            </w:r>
          </w:p>
        </w:tc>
        <w:tc>
          <w:tcPr>
            <w:tcW w:w="680" w:type="dxa"/>
            <w:tcBorders>
              <w:top w:val="nil"/>
            </w:tcBorders>
          </w:tcPr>
          <w:p w:rsidR="00000000" w:rsidRDefault="00000000">
            <w:pPr>
              <w:tabs>
                <w:tab w:val="decimal" w:pos="340"/>
              </w:tabs>
              <w:spacing w:before="40" w:after="40"/>
              <w:jc w:val="both"/>
              <w:rPr>
                <w:sz w:val="18"/>
              </w:rPr>
            </w:pPr>
            <w:r>
              <w:rPr>
                <w:sz w:val="18"/>
              </w:rPr>
              <w:t>10,0</w:t>
            </w:r>
          </w:p>
        </w:tc>
        <w:tc>
          <w:tcPr>
            <w:tcW w:w="680" w:type="dxa"/>
            <w:tcBorders>
              <w:top w:val="nil"/>
            </w:tcBorders>
          </w:tcPr>
          <w:p w:rsidR="00000000" w:rsidRDefault="00000000">
            <w:pPr>
              <w:tabs>
                <w:tab w:val="decimal" w:pos="340"/>
              </w:tabs>
              <w:spacing w:before="40" w:after="40"/>
              <w:jc w:val="both"/>
              <w:rPr>
                <w:sz w:val="18"/>
              </w:rPr>
            </w:pPr>
            <w:r>
              <w:rPr>
                <w:sz w:val="18"/>
              </w:rPr>
              <w:t>8,1</w:t>
            </w:r>
          </w:p>
        </w:tc>
        <w:tc>
          <w:tcPr>
            <w:tcW w:w="680" w:type="dxa"/>
            <w:tcBorders>
              <w:top w:val="nil"/>
            </w:tcBorders>
          </w:tcPr>
          <w:p w:rsidR="00000000" w:rsidRDefault="00000000">
            <w:pPr>
              <w:tabs>
                <w:tab w:val="decimal" w:pos="340"/>
              </w:tabs>
              <w:spacing w:before="40" w:after="40"/>
              <w:jc w:val="both"/>
              <w:rPr>
                <w:sz w:val="18"/>
              </w:rPr>
            </w:pPr>
            <w:r>
              <w:rPr>
                <w:sz w:val="18"/>
              </w:rPr>
              <w:t>7,4</w:t>
            </w:r>
          </w:p>
        </w:tc>
        <w:tc>
          <w:tcPr>
            <w:tcW w:w="680" w:type="dxa"/>
            <w:tcBorders>
              <w:top w:val="nil"/>
            </w:tcBorders>
          </w:tcPr>
          <w:p w:rsidR="00000000" w:rsidRDefault="00000000">
            <w:pPr>
              <w:tabs>
                <w:tab w:val="decimal" w:pos="340"/>
              </w:tabs>
              <w:spacing w:before="40" w:after="40"/>
              <w:jc w:val="both"/>
              <w:rPr>
                <w:sz w:val="18"/>
              </w:rPr>
            </w:pPr>
            <w:r>
              <w:rPr>
                <w:sz w:val="18"/>
              </w:rPr>
              <w:t>8,8</w:t>
            </w:r>
          </w:p>
        </w:tc>
        <w:tc>
          <w:tcPr>
            <w:tcW w:w="680" w:type="dxa"/>
            <w:tcBorders>
              <w:top w:val="nil"/>
            </w:tcBorders>
          </w:tcPr>
          <w:p w:rsidR="00000000" w:rsidRDefault="00000000">
            <w:pPr>
              <w:tabs>
                <w:tab w:val="decimal" w:pos="340"/>
              </w:tabs>
              <w:spacing w:before="40" w:after="40"/>
              <w:jc w:val="both"/>
              <w:rPr>
                <w:sz w:val="18"/>
              </w:rPr>
            </w:pPr>
            <w:r>
              <w:rPr>
                <w:sz w:val="18"/>
              </w:rPr>
              <w:t>8,1</w:t>
            </w:r>
          </w:p>
        </w:tc>
      </w:tr>
      <w:tr w:rsidR="00000000">
        <w:tblPrEx>
          <w:tblCellMar>
            <w:top w:w="0" w:type="dxa"/>
            <w:bottom w:w="0" w:type="dxa"/>
          </w:tblCellMar>
        </w:tblPrEx>
        <w:trPr>
          <w:cantSplit/>
          <w:jc w:val="center"/>
        </w:trPr>
        <w:tc>
          <w:tcPr>
            <w:tcW w:w="8786" w:type="dxa"/>
            <w:gridSpan w:val="8"/>
          </w:tcPr>
          <w:p w:rsidR="00000000" w:rsidRDefault="00000000">
            <w:pPr>
              <w:tabs>
                <w:tab w:val="decimal" w:pos="340"/>
              </w:tabs>
              <w:spacing w:before="40" w:after="40"/>
              <w:rPr>
                <w:sz w:val="18"/>
              </w:rPr>
            </w:pPr>
            <w:r>
              <w:rPr>
                <w:i/>
                <w:sz w:val="18"/>
              </w:rPr>
              <w:t xml:space="preserve">Показатель женской смертности от наиболее распространенных злокачественных опухолей </w:t>
            </w:r>
            <w:r>
              <w:rPr>
                <w:i/>
                <w:sz w:val="18"/>
              </w:rPr>
              <w:br/>
              <w:t>(на 100 000 женщин)</w:t>
            </w:r>
          </w:p>
        </w:tc>
      </w:tr>
      <w:tr w:rsidR="00000000">
        <w:tblPrEx>
          <w:tblCellMar>
            <w:top w:w="0" w:type="dxa"/>
            <w:bottom w:w="0" w:type="dxa"/>
          </w:tblCellMar>
        </w:tblPrEx>
        <w:trPr>
          <w:jc w:val="center"/>
        </w:trPr>
        <w:tc>
          <w:tcPr>
            <w:tcW w:w="4026" w:type="dxa"/>
            <w:tcBorders>
              <w:bottom w:val="nil"/>
            </w:tcBorders>
          </w:tcPr>
          <w:p w:rsidR="00000000" w:rsidRDefault="00000000">
            <w:pPr>
              <w:tabs>
                <w:tab w:val="left" w:pos="680"/>
              </w:tabs>
              <w:spacing w:before="40" w:after="40"/>
              <w:rPr>
                <w:sz w:val="18"/>
              </w:rPr>
            </w:pPr>
            <w:r>
              <w:rPr>
                <w:sz w:val="18"/>
              </w:rPr>
              <w:t>Желудка</w:t>
            </w:r>
          </w:p>
        </w:tc>
        <w:tc>
          <w:tcPr>
            <w:tcW w:w="680" w:type="dxa"/>
            <w:tcBorders>
              <w:bottom w:val="nil"/>
            </w:tcBorders>
          </w:tcPr>
          <w:p w:rsidR="00000000" w:rsidRDefault="00000000">
            <w:pPr>
              <w:tabs>
                <w:tab w:val="decimal" w:pos="340"/>
              </w:tabs>
              <w:spacing w:before="40" w:after="40"/>
              <w:jc w:val="both"/>
              <w:rPr>
                <w:sz w:val="18"/>
              </w:rPr>
            </w:pPr>
            <w:r>
              <w:rPr>
                <w:sz w:val="18"/>
              </w:rPr>
              <w:t>10,9</w:t>
            </w:r>
          </w:p>
        </w:tc>
        <w:tc>
          <w:tcPr>
            <w:tcW w:w="680" w:type="dxa"/>
            <w:tcBorders>
              <w:bottom w:val="nil"/>
            </w:tcBorders>
          </w:tcPr>
          <w:p w:rsidR="00000000" w:rsidRDefault="00000000">
            <w:pPr>
              <w:tabs>
                <w:tab w:val="decimal" w:pos="340"/>
              </w:tabs>
              <w:spacing w:before="40" w:after="40"/>
              <w:jc w:val="both"/>
              <w:rPr>
                <w:sz w:val="18"/>
              </w:rPr>
            </w:pPr>
            <w:r>
              <w:rPr>
                <w:sz w:val="18"/>
              </w:rPr>
              <w:t>14,0</w:t>
            </w:r>
          </w:p>
        </w:tc>
        <w:tc>
          <w:tcPr>
            <w:tcW w:w="680" w:type="dxa"/>
            <w:tcBorders>
              <w:bottom w:val="nil"/>
            </w:tcBorders>
          </w:tcPr>
          <w:p w:rsidR="00000000" w:rsidRDefault="00000000">
            <w:pPr>
              <w:tabs>
                <w:tab w:val="decimal" w:pos="340"/>
              </w:tabs>
              <w:spacing w:before="40" w:after="40"/>
              <w:jc w:val="both"/>
              <w:rPr>
                <w:sz w:val="18"/>
              </w:rPr>
            </w:pPr>
            <w:r>
              <w:rPr>
                <w:sz w:val="18"/>
              </w:rPr>
              <w:t>13,7</w:t>
            </w:r>
          </w:p>
        </w:tc>
        <w:tc>
          <w:tcPr>
            <w:tcW w:w="680" w:type="dxa"/>
            <w:tcBorders>
              <w:bottom w:val="nil"/>
            </w:tcBorders>
          </w:tcPr>
          <w:p w:rsidR="00000000" w:rsidRDefault="00000000">
            <w:pPr>
              <w:tabs>
                <w:tab w:val="decimal" w:pos="340"/>
              </w:tabs>
              <w:spacing w:before="40" w:after="40"/>
              <w:jc w:val="both"/>
              <w:rPr>
                <w:sz w:val="18"/>
              </w:rPr>
            </w:pPr>
            <w:r>
              <w:rPr>
                <w:sz w:val="18"/>
              </w:rPr>
              <w:t>10,3</w:t>
            </w:r>
          </w:p>
        </w:tc>
        <w:tc>
          <w:tcPr>
            <w:tcW w:w="680" w:type="dxa"/>
            <w:tcBorders>
              <w:bottom w:val="nil"/>
            </w:tcBorders>
          </w:tcPr>
          <w:p w:rsidR="00000000" w:rsidRDefault="00000000">
            <w:pPr>
              <w:tabs>
                <w:tab w:val="decimal" w:pos="340"/>
              </w:tabs>
              <w:spacing w:before="40" w:after="40"/>
              <w:jc w:val="both"/>
              <w:rPr>
                <w:sz w:val="18"/>
              </w:rPr>
            </w:pPr>
            <w:r>
              <w:rPr>
                <w:sz w:val="18"/>
              </w:rPr>
              <w:t>12,1</w:t>
            </w:r>
          </w:p>
        </w:tc>
        <w:tc>
          <w:tcPr>
            <w:tcW w:w="680" w:type="dxa"/>
            <w:tcBorders>
              <w:bottom w:val="nil"/>
            </w:tcBorders>
          </w:tcPr>
          <w:p w:rsidR="00000000" w:rsidRDefault="00000000">
            <w:pPr>
              <w:tabs>
                <w:tab w:val="decimal" w:pos="340"/>
              </w:tabs>
              <w:spacing w:before="40" w:after="40"/>
              <w:jc w:val="both"/>
              <w:rPr>
                <w:sz w:val="18"/>
              </w:rPr>
            </w:pPr>
            <w:r>
              <w:rPr>
                <w:sz w:val="18"/>
              </w:rPr>
              <w:t>10,9</w:t>
            </w:r>
          </w:p>
        </w:tc>
        <w:tc>
          <w:tcPr>
            <w:tcW w:w="680" w:type="dxa"/>
            <w:tcBorders>
              <w:bottom w:val="nil"/>
            </w:tcBorders>
          </w:tcPr>
          <w:p w:rsidR="00000000" w:rsidRDefault="00000000">
            <w:pPr>
              <w:tabs>
                <w:tab w:val="decimal" w:pos="340"/>
              </w:tabs>
              <w:spacing w:before="40" w:after="40"/>
              <w:jc w:val="both"/>
              <w:rPr>
                <w:sz w:val="18"/>
              </w:rPr>
            </w:pPr>
            <w:r>
              <w:rPr>
                <w:sz w:val="18"/>
              </w:rPr>
              <w:t>10,6</w:t>
            </w:r>
          </w:p>
        </w:tc>
      </w:tr>
      <w:tr w:rsidR="00000000">
        <w:tblPrEx>
          <w:tblCellMar>
            <w:top w:w="0" w:type="dxa"/>
            <w:bottom w:w="0" w:type="dxa"/>
          </w:tblCellMar>
        </w:tblPrEx>
        <w:trPr>
          <w:jc w:val="center"/>
        </w:trPr>
        <w:tc>
          <w:tcPr>
            <w:tcW w:w="4026" w:type="dxa"/>
            <w:tcBorders>
              <w:top w:val="nil"/>
              <w:bottom w:val="nil"/>
            </w:tcBorders>
          </w:tcPr>
          <w:p w:rsidR="00000000" w:rsidRDefault="00000000">
            <w:pPr>
              <w:tabs>
                <w:tab w:val="left" w:pos="680"/>
              </w:tabs>
              <w:spacing w:before="40" w:after="40"/>
              <w:rPr>
                <w:sz w:val="18"/>
              </w:rPr>
            </w:pPr>
            <w:r>
              <w:rPr>
                <w:sz w:val="18"/>
              </w:rPr>
              <w:t>Шейки матки</w:t>
            </w:r>
          </w:p>
        </w:tc>
        <w:tc>
          <w:tcPr>
            <w:tcW w:w="680" w:type="dxa"/>
            <w:tcBorders>
              <w:top w:val="nil"/>
              <w:bottom w:val="nil"/>
            </w:tcBorders>
          </w:tcPr>
          <w:p w:rsidR="00000000" w:rsidRDefault="00000000">
            <w:pPr>
              <w:tabs>
                <w:tab w:val="decimal" w:pos="340"/>
              </w:tabs>
              <w:spacing w:before="40" w:after="40"/>
              <w:jc w:val="both"/>
              <w:rPr>
                <w:sz w:val="18"/>
              </w:rPr>
            </w:pPr>
            <w:r>
              <w:rPr>
                <w:sz w:val="18"/>
              </w:rPr>
              <w:t>8,7</w:t>
            </w:r>
          </w:p>
        </w:tc>
        <w:tc>
          <w:tcPr>
            <w:tcW w:w="680" w:type="dxa"/>
            <w:tcBorders>
              <w:top w:val="nil"/>
              <w:bottom w:val="nil"/>
            </w:tcBorders>
          </w:tcPr>
          <w:p w:rsidR="00000000" w:rsidRDefault="00000000">
            <w:pPr>
              <w:tabs>
                <w:tab w:val="decimal" w:pos="340"/>
              </w:tabs>
              <w:spacing w:before="40" w:after="40"/>
              <w:jc w:val="both"/>
              <w:rPr>
                <w:sz w:val="18"/>
              </w:rPr>
            </w:pPr>
            <w:r>
              <w:rPr>
                <w:sz w:val="18"/>
              </w:rPr>
              <w:t>10,1</w:t>
            </w:r>
          </w:p>
        </w:tc>
        <w:tc>
          <w:tcPr>
            <w:tcW w:w="680" w:type="dxa"/>
            <w:tcBorders>
              <w:top w:val="nil"/>
              <w:bottom w:val="nil"/>
            </w:tcBorders>
          </w:tcPr>
          <w:p w:rsidR="00000000" w:rsidRDefault="00000000">
            <w:pPr>
              <w:tabs>
                <w:tab w:val="decimal" w:pos="340"/>
              </w:tabs>
              <w:spacing w:before="40" w:after="40"/>
              <w:jc w:val="both"/>
              <w:rPr>
                <w:sz w:val="18"/>
              </w:rPr>
            </w:pPr>
            <w:r>
              <w:rPr>
                <w:sz w:val="18"/>
              </w:rPr>
              <w:t>10,2</w:t>
            </w:r>
          </w:p>
        </w:tc>
        <w:tc>
          <w:tcPr>
            <w:tcW w:w="680" w:type="dxa"/>
            <w:tcBorders>
              <w:top w:val="nil"/>
              <w:bottom w:val="nil"/>
            </w:tcBorders>
          </w:tcPr>
          <w:p w:rsidR="00000000" w:rsidRDefault="00000000">
            <w:pPr>
              <w:tabs>
                <w:tab w:val="decimal" w:pos="340"/>
              </w:tabs>
              <w:spacing w:before="40" w:after="40"/>
              <w:jc w:val="both"/>
              <w:rPr>
                <w:sz w:val="18"/>
              </w:rPr>
            </w:pPr>
            <w:r>
              <w:rPr>
                <w:sz w:val="18"/>
              </w:rPr>
              <w:t>8,7</w:t>
            </w:r>
          </w:p>
        </w:tc>
        <w:tc>
          <w:tcPr>
            <w:tcW w:w="680" w:type="dxa"/>
            <w:tcBorders>
              <w:top w:val="nil"/>
              <w:bottom w:val="nil"/>
            </w:tcBorders>
          </w:tcPr>
          <w:p w:rsidR="00000000" w:rsidRDefault="00000000">
            <w:pPr>
              <w:tabs>
                <w:tab w:val="decimal" w:pos="340"/>
              </w:tabs>
              <w:spacing w:before="40" w:after="40"/>
              <w:jc w:val="both"/>
              <w:rPr>
                <w:sz w:val="18"/>
              </w:rPr>
            </w:pPr>
            <w:r>
              <w:rPr>
                <w:sz w:val="18"/>
              </w:rPr>
              <w:t>9,4</w:t>
            </w:r>
          </w:p>
        </w:tc>
        <w:tc>
          <w:tcPr>
            <w:tcW w:w="680" w:type="dxa"/>
            <w:tcBorders>
              <w:top w:val="nil"/>
              <w:bottom w:val="nil"/>
            </w:tcBorders>
          </w:tcPr>
          <w:p w:rsidR="00000000" w:rsidRDefault="00000000">
            <w:pPr>
              <w:tabs>
                <w:tab w:val="decimal" w:pos="340"/>
              </w:tabs>
              <w:spacing w:before="40" w:after="40"/>
              <w:jc w:val="both"/>
              <w:rPr>
                <w:sz w:val="18"/>
              </w:rPr>
            </w:pPr>
            <w:r>
              <w:rPr>
                <w:sz w:val="18"/>
              </w:rPr>
              <w:t>9,7</w:t>
            </w:r>
          </w:p>
        </w:tc>
        <w:tc>
          <w:tcPr>
            <w:tcW w:w="680" w:type="dxa"/>
            <w:tcBorders>
              <w:top w:val="nil"/>
              <w:bottom w:val="nil"/>
            </w:tcBorders>
          </w:tcPr>
          <w:p w:rsidR="00000000" w:rsidRDefault="00000000">
            <w:pPr>
              <w:tabs>
                <w:tab w:val="decimal" w:pos="340"/>
              </w:tabs>
              <w:spacing w:before="40" w:after="40"/>
              <w:jc w:val="both"/>
              <w:rPr>
                <w:sz w:val="18"/>
              </w:rPr>
            </w:pPr>
            <w:r>
              <w:rPr>
                <w:sz w:val="18"/>
              </w:rPr>
              <w:t>9,3</w:t>
            </w:r>
          </w:p>
        </w:tc>
      </w:tr>
      <w:tr w:rsidR="00000000">
        <w:tblPrEx>
          <w:tblCellMar>
            <w:top w:w="0" w:type="dxa"/>
            <w:bottom w:w="0" w:type="dxa"/>
          </w:tblCellMar>
        </w:tblPrEx>
        <w:trPr>
          <w:jc w:val="center"/>
        </w:trPr>
        <w:tc>
          <w:tcPr>
            <w:tcW w:w="4026" w:type="dxa"/>
            <w:tcBorders>
              <w:top w:val="nil"/>
              <w:bottom w:val="nil"/>
            </w:tcBorders>
          </w:tcPr>
          <w:p w:rsidR="00000000" w:rsidRDefault="00000000">
            <w:pPr>
              <w:tabs>
                <w:tab w:val="left" w:pos="680"/>
              </w:tabs>
              <w:spacing w:before="40" w:after="40"/>
              <w:rPr>
                <w:sz w:val="18"/>
              </w:rPr>
            </w:pPr>
            <w:r>
              <w:rPr>
                <w:sz w:val="18"/>
              </w:rPr>
              <w:t>Молочной железы</w:t>
            </w:r>
          </w:p>
        </w:tc>
        <w:tc>
          <w:tcPr>
            <w:tcW w:w="680" w:type="dxa"/>
            <w:tcBorders>
              <w:top w:val="nil"/>
              <w:bottom w:val="nil"/>
            </w:tcBorders>
          </w:tcPr>
          <w:p w:rsidR="00000000" w:rsidRDefault="00000000">
            <w:pPr>
              <w:tabs>
                <w:tab w:val="decimal" w:pos="340"/>
              </w:tabs>
              <w:spacing w:before="40" w:after="40"/>
              <w:jc w:val="both"/>
              <w:rPr>
                <w:sz w:val="18"/>
              </w:rPr>
            </w:pPr>
            <w:r>
              <w:rPr>
                <w:sz w:val="18"/>
              </w:rPr>
              <w:t>7,2</w:t>
            </w:r>
          </w:p>
        </w:tc>
        <w:tc>
          <w:tcPr>
            <w:tcW w:w="680" w:type="dxa"/>
            <w:tcBorders>
              <w:top w:val="nil"/>
              <w:bottom w:val="nil"/>
            </w:tcBorders>
          </w:tcPr>
          <w:p w:rsidR="00000000" w:rsidRDefault="00000000">
            <w:pPr>
              <w:tabs>
                <w:tab w:val="decimal" w:pos="340"/>
              </w:tabs>
              <w:spacing w:before="40" w:after="40"/>
              <w:jc w:val="both"/>
              <w:rPr>
                <w:sz w:val="18"/>
              </w:rPr>
            </w:pPr>
            <w:r>
              <w:rPr>
                <w:sz w:val="18"/>
              </w:rPr>
              <w:t>9,0</w:t>
            </w:r>
          </w:p>
        </w:tc>
        <w:tc>
          <w:tcPr>
            <w:tcW w:w="680" w:type="dxa"/>
            <w:tcBorders>
              <w:top w:val="nil"/>
              <w:bottom w:val="nil"/>
            </w:tcBorders>
          </w:tcPr>
          <w:p w:rsidR="00000000" w:rsidRDefault="00000000">
            <w:pPr>
              <w:tabs>
                <w:tab w:val="decimal" w:pos="340"/>
              </w:tabs>
              <w:spacing w:before="40" w:after="40"/>
              <w:jc w:val="both"/>
              <w:rPr>
                <w:sz w:val="18"/>
              </w:rPr>
            </w:pPr>
            <w:r>
              <w:rPr>
                <w:sz w:val="18"/>
              </w:rPr>
              <w:t>8,5</w:t>
            </w:r>
          </w:p>
        </w:tc>
        <w:tc>
          <w:tcPr>
            <w:tcW w:w="680" w:type="dxa"/>
            <w:tcBorders>
              <w:top w:val="nil"/>
              <w:bottom w:val="nil"/>
            </w:tcBorders>
          </w:tcPr>
          <w:p w:rsidR="00000000" w:rsidRDefault="00000000">
            <w:pPr>
              <w:tabs>
                <w:tab w:val="decimal" w:pos="340"/>
              </w:tabs>
              <w:spacing w:before="40" w:after="40"/>
              <w:jc w:val="both"/>
              <w:rPr>
                <w:sz w:val="18"/>
              </w:rPr>
            </w:pPr>
            <w:r>
              <w:rPr>
                <w:sz w:val="18"/>
              </w:rPr>
              <w:t>8,1</w:t>
            </w:r>
          </w:p>
        </w:tc>
        <w:tc>
          <w:tcPr>
            <w:tcW w:w="680" w:type="dxa"/>
            <w:tcBorders>
              <w:top w:val="nil"/>
              <w:bottom w:val="nil"/>
            </w:tcBorders>
          </w:tcPr>
          <w:p w:rsidR="00000000" w:rsidRDefault="00000000">
            <w:pPr>
              <w:tabs>
                <w:tab w:val="decimal" w:pos="340"/>
              </w:tabs>
              <w:spacing w:before="40" w:after="40"/>
              <w:jc w:val="both"/>
              <w:rPr>
                <w:sz w:val="18"/>
              </w:rPr>
            </w:pPr>
            <w:r>
              <w:rPr>
                <w:sz w:val="18"/>
              </w:rPr>
              <w:t>7,7</w:t>
            </w:r>
          </w:p>
        </w:tc>
        <w:tc>
          <w:tcPr>
            <w:tcW w:w="680" w:type="dxa"/>
            <w:tcBorders>
              <w:top w:val="nil"/>
              <w:bottom w:val="nil"/>
            </w:tcBorders>
          </w:tcPr>
          <w:p w:rsidR="00000000" w:rsidRDefault="00000000">
            <w:pPr>
              <w:tabs>
                <w:tab w:val="decimal" w:pos="340"/>
              </w:tabs>
              <w:spacing w:before="40" w:after="40"/>
              <w:jc w:val="both"/>
              <w:rPr>
                <w:sz w:val="18"/>
              </w:rPr>
            </w:pPr>
            <w:r>
              <w:rPr>
                <w:sz w:val="18"/>
              </w:rPr>
              <w:t>7,0</w:t>
            </w:r>
          </w:p>
        </w:tc>
        <w:tc>
          <w:tcPr>
            <w:tcW w:w="680" w:type="dxa"/>
            <w:tcBorders>
              <w:top w:val="nil"/>
              <w:bottom w:val="nil"/>
            </w:tcBorders>
          </w:tcPr>
          <w:p w:rsidR="00000000" w:rsidRDefault="00000000">
            <w:pPr>
              <w:tabs>
                <w:tab w:val="decimal" w:pos="340"/>
              </w:tabs>
              <w:spacing w:before="40" w:after="40"/>
              <w:jc w:val="both"/>
              <w:rPr>
                <w:sz w:val="18"/>
              </w:rPr>
            </w:pPr>
            <w:r>
              <w:rPr>
                <w:sz w:val="18"/>
              </w:rPr>
              <w:t>6,3</w:t>
            </w:r>
          </w:p>
        </w:tc>
      </w:tr>
      <w:tr w:rsidR="00000000">
        <w:tblPrEx>
          <w:tblCellMar>
            <w:top w:w="0" w:type="dxa"/>
            <w:bottom w:w="0" w:type="dxa"/>
          </w:tblCellMar>
        </w:tblPrEx>
        <w:trPr>
          <w:jc w:val="center"/>
        </w:trPr>
        <w:tc>
          <w:tcPr>
            <w:tcW w:w="4026" w:type="dxa"/>
            <w:tcBorders>
              <w:top w:val="nil"/>
              <w:bottom w:val="nil"/>
            </w:tcBorders>
          </w:tcPr>
          <w:p w:rsidR="00000000" w:rsidRDefault="00000000">
            <w:pPr>
              <w:tabs>
                <w:tab w:val="left" w:pos="680"/>
              </w:tabs>
              <w:spacing w:before="40" w:after="40"/>
              <w:rPr>
                <w:sz w:val="18"/>
              </w:rPr>
            </w:pPr>
            <w:r>
              <w:rPr>
                <w:sz w:val="18"/>
              </w:rPr>
              <w:t xml:space="preserve">Соотношение женщин моложе 20 лет и от 20 до 39 лет по показателю фертильности </w:t>
            </w:r>
          </w:p>
        </w:tc>
        <w:tc>
          <w:tcPr>
            <w:tcW w:w="680" w:type="dxa"/>
            <w:tcBorders>
              <w:top w:val="nil"/>
              <w:bottom w:val="nil"/>
            </w:tcBorders>
          </w:tcPr>
          <w:p w:rsidR="00000000" w:rsidRDefault="00000000">
            <w:pPr>
              <w:tabs>
                <w:tab w:val="decimal" w:pos="340"/>
              </w:tabs>
              <w:spacing w:before="40" w:after="40"/>
              <w:jc w:val="both"/>
              <w:rPr>
                <w:sz w:val="18"/>
              </w:rPr>
            </w:pPr>
            <w:r>
              <w:rPr>
                <w:sz w:val="18"/>
              </w:rPr>
              <w:t>68,2</w:t>
            </w:r>
          </w:p>
        </w:tc>
        <w:tc>
          <w:tcPr>
            <w:tcW w:w="680" w:type="dxa"/>
            <w:tcBorders>
              <w:top w:val="nil"/>
              <w:bottom w:val="nil"/>
            </w:tcBorders>
          </w:tcPr>
          <w:p w:rsidR="00000000" w:rsidRDefault="00000000">
            <w:pPr>
              <w:tabs>
                <w:tab w:val="decimal" w:pos="340"/>
              </w:tabs>
              <w:spacing w:before="40" w:after="40"/>
              <w:jc w:val="both"/>
              <w:rPr>
                <w:sz w:val="18"/>
              </w:rPr>
            </w:pPr>
            <w:r>
              <w:rPr>
                <w:sz w:val="18"/>
              </w:rPr>
              <w:t>81,4</w:t>
            </w:r>
          </w:p>
        </w:tc>
        <w:tc>
          <w:tcPr>
            <w:tcW w:w="680" w:type="dxa"/>
            <w:tcBorders>
              <w:top w:val="nil"/>
              <w:bottom w:val="nil"/>
            </w:tcBorders>
          </w:tcPr>
          <w:p w:rsidR="00000000" w:rsidRDefault="00000000">
            <w:pPr>
              <w:tabs>
                <w:tab w:val="decimal" w:pos="340"/>
              </w:tabs>
              <w:spacing w:before="40" w:after="40"/>
              <w:jc w:val="both"/>
              <w:rPr>
                <w:sz w:val="18"/>
              </w:rPr>
            </w:pPr>
            <w:r>
              <w:rPr>
                <w:sz w:val="18"/>
              </w:rPr>
              <w:t>82,3</w:t>
            </w:r>
          </w:p>
        </w:tc>
        <w:tc>
          <w:tcPr>
            <w:tcW w:w="680" w:type="dxa"/>
            <w:tcBorders>
              <w:top w:val="nil"/>
              <w:bottom w:val="nil"/>
            </w:tcBorders>
          </w:tcPr>
          <w:p w:rsidR="00000000" w:rsidRDefault="00000000">
            <w:pPr>
              <w:tabs>
                <w:tab w:val="decimal" w:pos="340"/>
              </w:tabs>
              <w:spacing w:before="40" w:after="40"/>
              <w:jc w:val="both"/>
              <w:rPr>
                <w:sz w:val="18"/>
              </w:rPr>
            </w:pPr>
            <w:r>
              <w:rPr>
                <w:sz w:val="18"/>
              </w:rPr>
              <w:t>84,7</w:t>
            </w:r>
          </w:p>
        </w:tc>
        <w:tc>
          <w:tcPr>
            <w:tcW w:w="680" w:type="dxa"/>
            <w:tcBorders>
              <w:top w:val="nil"/>
              <w:bottom w:val="nil"/>
            </w:tcBorders>
          </w:tcPr>
          <w:p w:rsidR="00000000" w:rsidRDefault="00000000">
            <w:pPr>
              <w:tabs>
                <w:tab w:val="decimal" w:pos="340"/>
              </w:tabs>
              <w:spacing w:before="40" w:after="40"/>
              <w:jc w:val="both"/>
              <w:rPr>
                <w:sz w:val="18"/>
              </w:rPr>
            </w:pPr>
            <w:r>
              <w:rPr>
                <w:sz w:val="18"/>
              </w:rPr>
              <w:t>86,6</w:t>
            </w:r>
          </w:p>
        </w:tc>
        <w:tc>
          <w:tcPr>
            <w:tcW w:w="680" w:type="dxa"/>
            <w:tcBorders>
              <w:top w:val="nil"/>
              <w:bottom w:val="nil"/>
            </w:tcBorders>
          </w:tcPr>
          <w:p w:rsidR="00000000" w:rsidRDefault="00000000">
            <w:pPr>
              <w:tabs>
                <w:tab w:val="decimal" w:pos="340"/>
              </w:tabs>
              <w:spacing w:before="40" w:after="40"/>
              <w:jc w:val="both"/>
              <w:rPr>
                <w:sz w:val="18"/>
              </w:rPr>
            </w:pPr>
            <w:r>
              <w:rPr>
                <w:sz w:val="18"/>
              </w:rPr>
              <w:t>87,0</w:t>
            </w:r>
          </w:p>
        </w:tc>
        <w:tc>
          <w:tcPr>
            <w:tcW w:w="680" w:type="dxa"/>
            <w:tcBorders>
              <w:top w:val="nil"/>
              <w:bottom w:val="nil"/>
            </w:tcBorders>
          </w:tcPr>
          <w:p w:rsidR="00000000" w:rsidRDefault="00000000">
            <w:pPr>
              <w:tabs>
                <w:tab w:val="decimal" w:pos="340"/>
              </w:tabs>
              <w:spacing w:before="40" w:after="40"/>
              <w:jc w:val="both"/>
              <w:rPr>
                <w:sz w:val="18"/>
              </w:rPr>
            </w:pPr>
          </w:p>
        </w:tc>
      </w:tr>
      <w:tr w:rsidR="00000000">
        <w:tblPrEx>
          <w:tblCellMar>
            <w:top w:w="0" w:type="dxa"/>
            <w:bottom w:w="0" w:type="dxa"/>
          </w:tblCellMar>
        </w:tblPrEx>
        <w:trPr>
          <w:jc w:val="center"/>
        </w:trPr>
        <w:tc>
          <w:tcPr>
            <w:tcW w:w="4026" w:type="dxa"/>
            <w:tcBorders>
              <w:top w:val="nil"/>
            </w:tcBorders>
          </w:tcPr>
          <w:p w:rsidR="00000000" w:rsidRDefault="00000000">
            <w:pPr>
              <w:tabs>
                <w:tab w:val="left" w:pos="680"/>
              </w:tabs>
              <w:spacing w:before="40" w:after="40"/>
              <w:rPr>
                <w:sz w:val="18"/>
              </w:rPr>
            </w:pPr>
            <w:r>
              <w:rPr>
                <w:sz w:val="18"/>
              </w:rPr>
              <w:t>Соотношение мужчин и женщин среди экономически активного населения, охваченного страхованием в сфере образования и медицины</w:t>
            </w:r>
            <w:r>
              <w:rPr>
                <w:sz w:val="18"/>
                <w:vertAlign w:val="superscript"/>
              </w:rPr>
              <w:t xml:space="preserve"> </w:t>
            </w:r>
            <w:r>
              <w:rPr>
                <w:sz w:val="18"/>
                <w:vertAlign w:val="superscript"/>
                <w:lang w:val="en-US"/>
              </w:rPr>
              <w:t>b</w:t>
            </w:r>
            <w:r>
              <w:rPr>
                <w:sz w:val="18"/>
                <w:vertAlign w:val="superscript"/>
              </w:rPr>
              <w:t>)</w:t>
            </w:r>
          </w:p>
        </w:tc>
        <w:tc>
          <w:tcPr>
            <w:tcW w:w="680" w:type="dxa"/>
            <w:tcBorders>
              <w:top w:val="nil"/>
            </w:tcBorders>
          </w:tcPr>
          <w:p w:rsidR="00000000" w:rsidRDefault="00000000">
            <w:pPr>
              <w:tabs>
                <w:tab w:val="decimal" w:pos="340"/>
              </w:tabs>
              <w:spacing w:before="40" w:after="40"/>
              <w:jc w:val="both"/>
              <w:rPr>
                <w:sz w:val="18"/>
              </w:rPr>
            </w:pPr>
            <w:r>
              <w:rPr>
                <w:sz w:val="18"/>
              </w:rPr>
              <w:t>82,2</w:t>
            </w:r>
          </w:p>
        </w:tc>
        <w:tc>
          <w:tcPr>
            <w:tcW w:w="680" w:type="dxa"/>
            <w:tcBorders>
              <w:top w:val="nil"/>
            </w:tcBorders>
          </w:tcPr>
          <w:p w:rsidR="00000000" w:rsidRDefault="00000000">
            <w:pPr>
              <w:tabs>
                <w:tab w:val="decimal" w:pos="340"/>
              </w:tabs>
              <w:spacing w:before="40" w:after="40"/>
              <w:jc w:val="both"/>
              <w:rPr>
                <w:sz w:val="18"/>
              </w:rPr>
            </w:pPr>
            <w:r>
              <w:rPr>
                <w:sz w:val="18"/>
              </w:rPr>
              <w:t>95,8</w:t>
            </w:r>
          </w:p>
        </w:tc>
        <w:tc>
          <w:tcPr>
            <w:tcW w:w="680" w:type="dxa"/>
            <w:tcBorders>
              <w:top w:val="nil"/>
            </w:tcBorders>
          </w:tcPr>
          <w:p w:rsidR="00000000" w:rsidRDefault="00000000">
            <w:pPr>
              <w:tabs>
                <w:tab w:val="decimal" w:pos="340"/>
              </w:tabs>
              <w:spacing w:before="40" w:after="40"/>
              <w:jc w:val="both"/>
              <w:rPr>
                <w:sz w:val="18"/>
              </w:rPr>
            </w:pPr>
            <w:r>
              <w:rPr>
                <w:sz w:val="18"/>
              </w:rPr>
              <w:t>93</w:t>
            </w:r>
          </w:p>
        </w:tc>
        <w:tc>
          <w:tcPr>
            <w:tcW w:w="680" w:type="dxa"/>
            <w:tcBorders>
              <w:top w:val="nil"/>
            </w:tcBorders>
          </w:tcPr>
          <w:p w:rsidR="00000000" w:rsidRDefault="00000000">
            <w:pPr>
              <w:tabs>
                <w:tab w:val="decimal" w:pos="340"/>
              </w:tabs>
              <w:spacing w:before="40" w:after="40"/>
              <w:jc w:val="both"/>
              <w:rPr>
                <w:sz w:val="18"/>
              </w:rPr>
            </w:pPr>
            <w:r>
              <w:rPr>
                <w:sz w:val="18"/>
              </w:rPr>
              <w:t>97,5</w:t>
            </w:r>
          </w:p>
        </w:tc>
        <w:tc>
          <w:tcPr>
            <w:tcW w:w="680" w:type="dxa"/>
            <w:tcBorders>
              <w:top w:val="nil"/>
            </w:tcBorders>
          </w:tcPr>
          <w:p w:rsidR="00000000" w:rsidRDefault="00000000">
            <w:pPr>
              <w:tabs>
                <w:tab w:val="decimal" w:pos="340"/>
              </w:tabs>
              <w:spacing w:before="40" w:after="40"/>
              <w:jc w:val="both"/>
              <w:rPr>
                <w:sz w:val="18"/>
              </w:rPr>
            </w:pPr>
            <w:r>
              <w:rPr>
                <w:sz w:val="18"/>
              </w:rPr>
              <w:t>102,6</w:t>
            </w:r>
          </w:p>
        </w:tc>
        <w:tc>
          <w:tcPr>
            <w:tcW w:w="680" w:type="dxa"/>
            <w:tcBorders>
              <w:top w:val="nil"/>
            </w:tcBorders>
          </w:tcPr>
          <w:p w:rsidR="00000000" w:rsidRDefault="00000000">
            <w:pPr>
              <w:tabs>
                <w:tab w:val="decimal" w:pos="340"/>
              </w:tabs>
              <w:spacing w:before="40" w:after="40"/>
              <w:jc w:val="both"/>
              <w:rPr>
                <w:sz w:val="18"/>
              </w:rPr>
            </w:pPr>
            <w:r>
              <w:rPr>
                <w:sz w:val="18"/>
              </w:rPr>
              <w:t>80,6</w:t>
            </w:r>
          </w:p>
        </w:tc>
        <w:tc>
          <w:tcPr>
            <w:tcW w:w="680" w:type="dxa"/>
            <w:tcBorders>
              <w:top w:val="nil"/>
            </w:tcBorders>
          </w:tcPr>
          <w:p w:rsidR="00000000" w:rsidRDefault="00000000">
            <w:pPr>
              <w:tabs>
                <w:tab w:val="decimal" w:pos="340"/>
              </w:tabs>
              <w:spacing w:before="40" w:after="40"/>
              <w:jc w:val="both"/>
              <w:rPr>
                <w:sz w:val="18"/>
              </w:rPr>
            </w:pPr>
          </w:p>
        </w:tc>
      </w:tr>
      <w:tr w:rsidR="00000000">
        <w:tblPrEx>
          <w:tblCellMar>
            <w:top w:w="0" w:type="dxa"/>
            <w:bottom w:w="0" w:type="dxa"/>
          </w:tblCellMar>
        </w:tblPrEx>
        <w:trPr>
          <w:cantSplit/>
          <w:jc w:val="center"/>
        </w:trPr>
        <w:tc>
          <w:tcPr>
            <w:tcW w:w="8786" w:type="dxa"/>
            <w:gridSpan w:val="8"/>
            <w:tcBorders>
              <w:bottom w:val="single" w:sz="4" w:space="0" w:color="auto"/>
            </w:tcBorders>
          </w:tcPr>
          <w:p w:rsidR="00000000" w:rsidRDefault="00000000">
            <w:pPr>
              <w:tabs>
                <w:tab w:val="decimal" w:pos="340"/>
              </w:tabs>
              <w:spacing w:before="40" w:after="40"/>
              <w:jc w:val="both"/>
              <w:rPr>
                <w:sz w:val="18"/>
              </w:rPr>
            </w:pPr>
            <w:r>
              <w:rPr>
                <w:b/>
                <w:sz w:val="18"/>
              </w:rPr>
              <w:t>Насилие в семье</w:t>
            </w:r>
          </w:p>
        </w:tc>
      </w:tr>
      <w:tr w:rsidR="00000000">
        <w:tblPrEx>
          <w:tblCellMar>
            <w:top w:w="0" w:type="dxa"/>
            <w:bottom w:w="0" w:type="dxa"/>
          </w:tblCellMar>
        </w:tblPrEx>
        <w:trPr>
          <w:jc w:val="center"/>
        </w:trPr>
        <w:tc>
          <w:tcPr>
            <w:tcW w:w="4026" w:type="dxa"/>
            <w:tcBorders>
              <w:bottom w:val="nil"/>
            </w:tcBorders>
          </w:tcPr>
          <w:p w:rsidR="00000000" w:rsidRDefault="00000000">
            <w:pPr>
              <w:tabs>
                <w:tab w:val="left" w:pos="680"/>
              </w:tabs>
              <w:spacing w:before="40" w:after="40"/>
              <w:rPr>
                <w:sz w:val="18"/>
              </w:rPr>
            </w:pPr>
            <w:r>
              <w:rPr>
                <w:sz w:val="18"/>
              </w:rPr>
              <w:t xml:space="preserve">Процентное соотношение мужчин и женщин среди убитых в результате насилия в семье </w:t>
            </w:r>
            <w:r>
              <w:rPr>
                <w:sz w:val="18"/>
                <w:vertAlign w:val="superscript"/>
                <w:lang w:val="en-US"/>
              </w:rPr>
              <w:t>b</w:t>
            </w:r>
            <w:r>
              <w:rPr>
                <w:sz w:val="18"/>
                <w:vertAlign w:val="superscript"/>
              </w:rPr>
              <w:t>)</w:t>
            </w:r>
          </w:p>
        </w:tc>
        <w:tc>
          <w:tcPr>
            <w:tcW w:w="680" w:type="dxa"/>
            <w:tcBorders>
              <w:bottom w:val="nil"/>
            </w:tcBorders>
          </w:tcPr>
          <w:p w:rsidR="00000000" w:rsidRDefault="00000000">
            <w:pPr>
              <w:tabs>
                <w:tab w:val="decimal" w:pos="340"/>
              </w:tabs>
              <w:spacing w:before="40" w:after="40"/>
              <w:jc w:val="both"/>
              <w:rPr>
                <w:sz w:val="18"/>
              </w:rPr>
            </w:pPr>
          </w:p>
        </w:tc>
        <w:tc>
          <w:tcPr>
            <w:tcW w:w="680" w:type="dxa"/>
            <w:tcBorders>
              <w:bottom w:val="nil"/>
            </w:tcBorders>
          </w:tcPr>
          <w:p w:rsidR="00000000" w:rsidRDefault="00000000">
            <w:pPr>
              <w:tabs>
                <w:tab w:val="decimal" w:pos="340"/>
              </w:tabs>
              <w:spacing w:before="40" w:after="40"/>
              <w:jc w:val="both"/>
              <w:rPr>
                <w:sz w:val="18"/>
              </w:rPr>
            </w:pPr>
          </w:p>
        </w:tc>
        <w:tc>
          <w:tcPr>
            <w:tcW w:w="680" w:type="dxa"/>
            <w:tcBorders>
              <w:bottom w:val="nil"/>
            </w:tcBorders>
          </w:tcPr>
          <w:p w:rsidR="00000000" w:rsidRDefault="00000000">
            <w:pPr>
              <w:tabs>
                <w:tab w:val="decimal" w:pos="340"/>
              </w:tabs>
              <w:spacing w:before="40" w:after="40"/>
              <w:jc w:val="both"/>
              <w:rPr>
                <w:sz w:val="18"/>
              </w:rPr>
            </w:pPr>
          </w:p>
        </w:tc>
        <w:tc>
          <w:tcPr>
            <w:tcW w:w="680" w:type="dxa"/>
            <w:tcBorders>
              <w:bottom w:val="nil"/>
            </w:tcBorders>
          </w:tcPr>
          <w:p w:rsidR="00000000" w:rsidRDefault="00000000">
            <w:pPr>
              <w:tabs>
                <w:tab w:val="decimal" w:pos="340"/>
              </w:tabs>
              <w:spacing w:before="40" w:after="40"/>
              <w:jc w:val="both"/>
              <w:rPr>
                <w:sz w:val="18"/>
              </w:rPr>
            </w:pPr>
          </w:p>
        </w:tc>
        <w:tc>
          <w:tcPr>
            <w:tcW w:w="680" w:type="dxa"/>
            <w:tcBorders>
              <w:bottom w:val="nil"/>
            </w:tcBorders>
          </w:tcPr>
          <w:p w:rsidR="00000000" w:rsidRDefault="00000000">
            <w:pPr>
              <w:tabs>
                <w:tab w:val="decimal" w:pos="340"/>
              </w:tabs>
              <w:spacing w:before="40" w:after="40"/>
              <w:jc w:val="both"/>
              <w:rPr>
                <w:sz w:val="18"/>
              </w:rPr>
            </w:pPr>
          </w:p>
        </w:tc>
        <w:tc>
          <w:tcPr>
            <w:tcW w:w="680" w:type="dxa"/>
            <w:tcBorders>
              <w:bottom w:val="nil"/>
            </w:tcBorders>
          </w:tcPr>
          <w:p w:rsidR="00000000" w:rsidRDefault="00000000">
            <w:pPr>
              <w:tabs>
                <w:tab w:val="decimal" w:pos="340"/>
              </w:tabs>
              <w:spacing w:before="40" w:after="40"/>
              <w:jc w:val="both"/>
              <w:rPr>
                <w:sz w:val="18"/>
              </w:rPr>
            </w:pPr>
            <w:r>
              <w:rPr>
                <w:sz w:val="18"/>
              </w:rPr>
              <w:t>550</w:t>
            </w:r>
          </w:p>
        </w:tc>
        <w:tc>
          <w:tcPr>
            <w:tcW w:w="680" w:type="dxa"/>
            <w:tcBorders>
              <w:bottom w:val="nil"/>
            </w:tcBorders>
          </w:tcPr>
          <w:p w:rsidR="00000000" w:rsidRDefault="00000000">
            <w:pPr>
              <w:tabs>
                <w:tab w:val="decimal" w:pos="340"/>
              </w:tabs>
              <w:spacing w:before="40" w:after="40"/>
              <w:jc w:val="both"/>
              <w:rPr>
                <w:sz w:val="18"/>
              </w:rPr>
            </w:pPr>
          </w:p>
        </w:tc>
      </w:tr>
      <w:tr w:rsidR="00000000">
        <w:tblPrEx>
          <w:tblCellMar>
            <w:top w:w="0" w:type="dxa"/>
            <w:bottom w:w="0" w:type="dxa"/>
          </w:tblCellMar>
        </w:tblPrEx>
        <w:trPr>
          <w:jc w:val="center"/>
        </w:trPr>
        <w:tc>
          <w:tcPr>
            <w:tcW w:w="4026" w:type="dxa"/>
            <w:tcBorders>
              <w:top w:val="nil"/>
            </w:tcBorders>
          </w:tcPr>
          <w:p w:rsidR="00000000" w:rsidRDefault="00000000">
            <w:pPr>
              <w:tabs>
                <w:tab w:val="left" w:pos="680"/>
              </w:tabs>
              <w:spacing w:before="40" w:after="40"/>
              <w:rPr>
                <w:sz w:val="18"/>
              </w:rPr>
            </w:pPr>
            <w:r>
              <w:rPr>
                <w:sz w:val="18"/>
              </w:rPr>
              <w:t>Поступившие заявления о насилии в семье</w:t>
            </w:r>
          </w:p>
        </w:tc>
        <w:tc>
          <w:tcPr>
            <w:tcW w:w="680" w:type="dxa"/>
            <w:tcBorders>
              <w:top w:val="nil"/>
            </w:tcBorders>
          </w:tcPr>
          <w:p w:rsidR="00000000" w:rsidRDefault="00000000">
            <w:pPr>
              <w:tabs>
                <w:tab w:val="decimal" w:pos="340"/>
              </w:tabs>
              <w:spacing w:before="40" w:after="40"/>
              <w:jc w:val="both"/>
              <w:rPr>
                <w:sz w:val="18"/>
              </w:rPr>
            </w:pPr>
          </w:p>
        </w:tc>
        <w:tc>
          <w:tcPr>
            <w:tcW w:w="680" w:type="dxa"/>
            <w:tcBorders>
              <w:top w:val="nil"/>
            </w:tcBorders>
          </w:tcPr>
          <w:p w:rsidR="00000000" w:rsidRDefault="00000000">
            <w:pPr>
              <w:tabs>
                <w:tab w:val="decimal" w:pos="340"/>
              </w:tabs>
              <w:spacing w:before="40" w:after="40"/>
              <w:jc w:val="both"/>
              <w:rPr>
                <w:sz w:val="18"/>
              </w:rPr>
            </w:pPr>
          </w:p>
        </w:tc>
        <w:tc>
          <w:tcPr>
            <w:tcW w:w="680" w:type="dxa"/>
            <w:tcBorders>
              <w:top w:val="nil"/>
            </w:tcBorders>
          </w:tcPr>
          <w:p w:rsidR="00000000" w:rsidRDefault="00000000">
            <w:pPr>
              <w:tabs>
                <w:tab w:val="decimal" w:pos="340"/>
              </w:tabs>
              <w:spacing w:before="40" w:after="40"/>
              <w:jc w:val="both"/>
              <w:rPr>
                <w:sz w:val="18"/>
              </w:rPr>
            </w:pPr>
          </w:p>
        </w:tc>
        <w:tc>
          <w:tcPr>
            <w:tcW w:w="680" w:type="dxa"/>
            <w:tcBorders>
              <w:top w:val="nil"/>
            </w:tcBorders>
          </w:tcPr>
          <w:p w:rsidR="00000000" w:rsidRDefault="00000000">
            <w:pPr>
              <w:tabs>
                <w:tab w:val="decimal" w:pos="340"/>
              </w:tabs>
              <w:spacing w:before="40" w:after="40"/>
              <w:jc w:val="both"/>
              <w:rPr>
                <w:sz w:val="18"/>
              </w:rPr>
            </w:pPr>
            <w:r>
              <w:rPr>
                <w:sz w:val="18"/>
              </w:rPr>
              <w:t>15 336</w:t>
            </w:r>
          </w:p>
        </w:tc>
        <w:tc>
          <w:tcPr>
            <w:tcW w:w="680" w:type="dxa"/>
            <w:tcBorders>
              <w:top w:val="nil"/>
            </w:tcBorders>
          </w:tcPr>
          <w:p w:rsidR="00000000" w:rsidRDefault="00000000">
            <w:pPr>
              <w:tabs>
                <w:tab w:val="decimal" w:pos="340"/>
              </w:tabs>
              <w:spacing w:before="40" w:after="40"/>
              <w:jc w:val="both"/>
              <w:rPr>
                <w:sz w:val="18"/>
              </w:rPr>
            </w:pPr>
            <w:r>
              <w:rPr>
                <w:sz w:val="18"/>
              </w:rPr>
              <w:t>20 996</w:t>
            </w:r>
          </w:p>
        </w:tc>
        <w:tc>
          <w:tcPr>
            <w:tcW w:w="680" w:type="dxa"/>
            <w:tcBorders>
              <w:top w:val="nil"/>
            </w:tcBorders>
          </w:tcPr>
          <w:p w:rsidR="00000000" w:rsidRDefault="00000000">
            <w:pPr>
              <w:tabs>
                <w:tab w:val="decimal" w:pos="340"/>
              </w:tabs>
              <w:spacing w:before="40" w:after="40"/>
              <w:jc w:val="both"/>
              <w:rPr>
                <w:sz w:val="18"/>
              </w:rPr>
            </w:pPr>
            <w:r>
              <w:rPr>
                <w:sz w:val="18"/>
              </w:rPr>
              <w:t>26 437</w:t>
            </w:r>
          </w:p>
        </w:tc>
        <w:tc>
          <w:tcPr>
            <w:tcW w:w="680" w:type="dxa"/>
            <w:tcBorders>
              <w:top w:val="nil"/>
            </w:tcBorders>
          </w:tcPr>
          <w:p w:rsidR="00000000" w:rsidRDefault="00000000">
            <w:pPr>
              <w:tabs>
                <w:tab w:val="decimal" w:pos="340"/>
              </w:tabs>
              <w:spacing w:before="40" w:after="40"/>
              <w:jc w:val="both"/>
              <w:rPr>
                <w:sz w:val="18"/>
              </w:rPr>
            </w:pPr>
            <w:r>
              <w:rPr>
                <w:sz w:val="18"/>
              </w:rPr>
              <w:t>32 643</w:t>
            </w:r>
          </w:p>
        </w:tc>
      </w:tr>
      <w:tr w:rsidR="00000000">
        <w:tblPrEx>
          <w:tblCellMar>
            <w:top w:w="0" w:type="dxa"/>
            <w:bottom w:w="0" w:type="dxa"/>
          </w:tblCellMar>
        </w:tblPrEx>
        <w:trPr>
          <w:jc w:val="center"/>
        </w:trPr>
        <w:tc>
          <w:tcPr>
            <w:tcW w:w="4026" w:type="dxa"/>
          </w:tcPr>
          <w:p w:rsidR="00000000" w:rsidRDefault="00000000">
            <w:pPr>
              <w:pStyle w:val="Heading4"/>
              <w:tabs>
                <w:tab w:val="left" w:pos="680"/>
              </w:tabs>
              <w:spacing w:before="40" w:after="40"/>
              <w:rPr>
                <w:sz w:val="18"/>
              </w:rPr>
            </w:pPr>
            <w:r>
              <w:rPr>
                <w:b/>
                <w:i w:val="0"/>
                <w:smallCaps w:val="0"/>
                <w:sz w:val="18"/>
              </w:rPr>
              <w:t>Участие в политической жизни</w:t>
            </w:r>
            <w:r>
              <w:rPr>
                <w:sz w:val="18"/>
                <w:vertAlign w:val="superscript"/>
              </w:rPr>
              <w:t xml:space="preserve"> </w:t>
            </w:r>
            <w:r>
              <w:rPr>
                <w:i w:val="0"/>
                <w:smallCaps w:val="0"/>
                <w:sz w:val="18"/>
                <w:vertAlign w:val="superscript"/>
                <w:lang w:val="en-US"/>
              </w:rPr>
              <w:t>g</w:t>
            </w:r>
            <w:r>
              <w:rPr>
                <w:i w:val="0"/>
                <w:sz w:val="18"/>
                <w:vertAlign w:val="superscript"/>
              </w:rPr>
              <w:t>)</w:t>
            </w:r>
          </w:p>
        </w:tc>
        <w:tc>
          <w:tcPr>
            <w:tcW w:w="680" w:type="dxa"/>
          </w:tcPr>
          <w:p w:rsidR="00000000" w:rsidRDefault="00000000">
            <w:pPr>
              <w:tabs>
                <w:tab w:val="decimal" w:pos="340"/>
              </w:tabs>
              <w:spacing w:before="40" w:after="40"/>
              <w:jc w:val="both"/>
              <w:rPr>
                <w:sz w:val="18"/>
              </w:rPr>
            </w:pPr>
          </w:p>
        </w:tc>
        <w:tc>
          <w:tcPr>
            <w:tcW w:w="680" w:type="dxa"/>
          </w:tcPr>
          <w:p w:rsidR="00000000" w:rsidRDefault="00000000">
            <w:pPr>
              <w:tabs>
                <w:tab w:val="decimal" w:pos="340"/>
              </w:tabs>
              <w:spacing w:before="40" w:after="40"/>
              <w:jc w:val="both"/>
              <w:rPr>
                <w:sz w:val="18"/>
              </w:rPr>
            </w:pPr>
            <w:r>
              <w:rPr>
                <w:sz w:val="18"/>
              </w:rPr>
              <w:t>1994</w:t>
            </w:r>
          </w:p>
        </w:tc>
        <w:tc>
          <w:tcPr>
            <w:tcW w:w="680" w:type="dxa"/>
          </w:tcPr>
          <w:p w:rsidR="00000000" w:rsidRDefault="00000000">
            <w:pPr>
              <w:tabs>
                <w:tab w:val="decimal" w:pos="340"/>
              </w:tabs>
              <w:spacing w:before="40" w:after="40"/>
              <w:jc w:val="both"/>
              <w:rPr>
                <w:sz w:val="18"/>
              </w:rPr>
            </w:pPr>
          </w:p>
        </w:tc>
        <w:tc>
          <w:tcPr>
            <w:tcW w:w="680" w:type="dxa"/>
          </w:tcPr>
          <w:p w:rsidR="00000000" w:rsidRDefault="00000000">
            <w:pPr>
              <w:tabs>
                <w:tab w:val="decimal" w:pos="340"/>
              </w:tabs>
              <w:spacing w:before="40" w:after="40"/>
              <w:jc w:val="both"/>
              <w:rPr>
                <w:sz w:val="18"/>
              </w:rPr>
            </w:pPr>
          </w:p>
        </w:tc>
        <w:tc>
          <w:tcPr>
            <w:tcW w:w="680" w:type="dxa"/>
          </w:tcPr>
          <w:p w:rsidR="00000000" w:rsidRDefault="00000000">
            <w:pPr>
              <w:tabs>
                <w:tab w:val="decimal" w:pos="340"/>
              </w:tabs>
              <w:spacing w:before="40" w:after="40"/>
              <w:jc w:val="both"/>
              <w:rPr>
                <w:sz w:val="18"/>
              </w:rPr>
            </w:pPr>
          </w:p>
        </w:tc>
        <w:tc>
          <w:tcPr>
            <w:tcW w:w="680" w:type="dxa"/>
          </w:tcPr>
          <w:p w:rsidR="00000000" w:rsidRDefault="00000000">
            <w:pPr>
              <w:tabs>
                <w:tab w:val="decimal" w:pos="340"/>
              </w:tabs>
              <w:spacing w:before="40" w:after="40"/>
              <w:jc w:val="both"/>
              <w:rPr>
                <w:sz w:val="18"/>
              </w:rPr>
            </w:pPr>
          </w:p>
        </w:tc>
        <w:tc>
          <w:tcPr>
            <w:tcW w:w="680" w:type="dxa"/>
          </w:tcPr>
          <w:p w:rsidR="00000000" w:rsidRDefault="00000000">
            <w:pPr>
              <w:tabs>
                <w:tab w:val="decimal" w:pos="340"/>
              </w:tabs>
              <w:spacing w:before="40" w:after="40"/>
              <w:jc w:val="both"/>
              <w:rPr>
                <w:sz w:val="18"/>
              </w:rPr>
            </w:pPr>
          </w:p>
        </w:tc>
      </w:tr>
      <w:tr w:rsidR="00000000">
        <w:tblPrEx>
          <w:tblCellMar>
            <w:top w:w="0" w:type="dxa"/>
            <w:bottom w:w="0" w:type="dxa"/>
          </w:tblCellMar>
        </w:tblPrEx>
        <w:trPr>
          <w:jc w:val="center"/>
        </w:trPr>
        <w:tc>
          <w:tcPr>
            <w:tcW w:w="4026" w:type="dxa"/>
          </w:tcPr>
          <w:p w:rsidR="00000000" w:rsidRDefault="00000000">
            <w:pPr>
              <w:tabs>
                <w:tab w:val="left" w:pos="680"/>
              </w:tabs>
              <w:spacing w:before="40" w:after="40"/>
              <w:rPr>
                <w:sz w:val="18"/>
              </w:rPr>
            </w:pPr>
            <w:r>
              <w:rPr>
                <w:sz w:val="18"/>
              </w:rPr>
              <w:t>Женщин-депутатов (в процентах)</w:t>
            </w:r>
          </w:p>
        </w:tc>
        <w:tc>
          <w:tcPr>
            <w:tcW w:w="680" w:type="dxa"/>
          </w:tcPr>
          <w:p w:rsidR="00000000" w:rsidRDefault="00000000">
            <w:pPr>
              <w:tabs>
                <w:tab w:val="decimal" w:pos="340"/>
              </w:tabs>
              <w:spacing w:before="40" w:after="40"/>
              <w:jc w:val="both"/>
              <w:rPr>
                <w:sz w:val="18"/>
              </w:rPr>
            </w:pPr>
            <w:r>
              <w:rPr>
                <w:sz w:val="18"/>
              </w:rPr>
              <w:t>12,3</w:t>
            </w:r>
          </w:p>
        </w:tc>
        <w:tc>
          <w:tcPr>
            <w:tcW w:w="680" w:type="dxa"/>
          </w:tcPr>
          <w:p w:rsidR="00000000" w:rsidRDefault="00000000">
            <w:pPr>
              <w:tabs>
                <w:tab w:val="decimal" w:pos="340"/>
              </w:tabs>
              <w:spacing w:before="40" w:after="40"/>
              <w:jc w:val="both"/>
              <w:rPr>
                <w:sz w:val="18"/>
              </w:rPr>
            </w:pPr>
            <w:r>
              <w:rPr>
                <w:sz w:val="18"/>
              </w:rPr>
              <w:t>15,8</w:t>
            </w:r>
          </w:p>
        </w:tc>
        <w:tc>
          <w:tcPr>
            <w:tcW w:w="680" w:type="dxa"/>
          </w:tcPr>
          <w:p w:rsidR="00000000" w:rsidRDefault="00000000">
            <w:pPr>
              <w:tabs>
                <w:tab w:val="decimal" w:pos="340"/>
              </w:tabs>
              <w:spacing w:before="40" w:after="40"/>
              <w:jc w:val="both"/>
              <w:rPr>
                <w:sz w:val="18"/>
              </w:rPr>
            </w:pPr>
          </w:p>
        </w:tc>
        <w:tc>
          <w:tcPr>
            <w:tcW w:w="680" w:type="dxa"/>
          </w:tcPr>
          <w:p w:rsidR="00000000" w:rsidRDefault="00000000">
            <w:pPr>
              <w:tabs>
                <w:tab w:val="decimal" w:pos="340"/>
              </w:tabs>
              <w:spacing w:before="40" w:after="40"/>
              <w:jc w:val="both"/>
              <w:rPr>
                <w:sz w:val="18"/>
              </w:rPr>
            </w:pPr>
          </w:p>
        </w:tc>
        <w:tc>
          <w:tcPr>
            <w:tcW w:w="680" w:type="dxa"/>
          </w:tcPr>
          <w:p w:rsidR="00000000" w:rsidRDefault="00000000">
            <w:pPr>
              <w:tabs>
                <w:tab w:val="decimal" w:pos="340"/>
              </w:tabs>
              <w:spacing w:before="40" w:after="40"/>
              <w:jc w:val="both"/>
              <w:rPr>
                <w:sz w:val="18"/>
              </w:rPr>
            </w:pPr>
            <w:r>
              <w:rPr>
                <w:sz w:val="18"/>
              </w:rPr>
              <w:t>19,3</w:t>
            </w:r>
          </w:p>
        </w:tc>
        <w:tc>
          <w:tcPr>
            <w:tcW w:w="680" w:type="dxa"/>
          </w:tcPr>
          <w:p w:rsidR="00000000" w:rsidRDefault="00000000">
            <w:pPr>
              <w:tabs>
                <w:tab w:val="decimal" w:pos="340"/>
              </w:tabs>
              <w:spacing w:before="40" w:after="40"/>
              <w:jc w:val="both"/>
              <w:rPr>
                <w:sz w:val="18"/>
              </w:rPr>
            </w:pPr>
          </w:p>
        </w:tc>
        <w:tc>
          <w:tcPr>
            <w:tcW w:w="680" w:type="dxa"/>
          </w:tcPr>
          <w:p w:rsidR="00000000" w:rsidRDefault="00000000">
            <w:pPr>
              <w:tabs>
                <w:tab w:val="decimal" w:pos="340"/>
              </w:tabs>
              <w:spacing w:before="40" w:after="40"/>
              <w:jc w:val="both"/>
              <w:rPr>
                <w:sz w:val="18"/>
              </w:rPr>
            </w:pPr>
          </w:p>
        </w:tc>
      </w:tr>
      <w:tr w:rsidR="00000000">
        <w:tblPrEx>
          <w:tblCellMar>
            <w:top w:w="0" w:type="dxa"/>
            <w:bottom w:w="0" w:type="dxa"/>
          </w:tblCellMar>
        </w:tblPrEx>
        <w:trPr>
          <w:jc w:val="center"/>
        </w:trPr>
        <w:tc>
          <w:tcPr>
            <w:tcW w:w="4026" w:type="dxa"/>
            <w:tcBorders>
              <w:bottom w:val="nil"/>
            </w:tcBorders>
          </w:tcPr>
          <w:p w:rsidR="00000000" w:rsidRDefault="00000000">
            <w:pPr>
              <w:tabs>
                <w:tab w:val="left" w:pos="680"/>
              </w:tabs>
              <w:spacing w:before="40" w:after="40"/>
              <w:rPr>
                <w:sz w:val="18"/>
              </w:rPr>
            </w:pPr>
            <w:r>
              <w:rPr>
                <w:sz w:val="18"/>
              </w:rPr>
              <w:t>Женщин-кандидатов в депутаты (в процентах) от общего числа кандидатур</w:t>
            </w:r>
          </w:p>
        </w:tc>
        <w:tc>
          <w:tcPr>
            <w:tcW w:w="680" w:type="dxa"/>
            <w:tcBorders>
              <w:bottom w:val="nil"/>
            </w:tcBorders>
          </w:tcPr>
          <w:p w:rsidR="00000000" w:rsidRDefault="00000000">
            <w:pPr>
              <w:tabs>
                <w:tab w:val="decimal" w:pos="340"/>
              </w:tabs>
              <w:spacing w:before="40" w:after="40"/>
              <w:jc w:val="both"/>
              <w:rPr>
                <w:sz w:val="18"/>
              </w:rPr>
            </w:pPr>
            <w:r>
              <w:rPr>
                <w:sz w:val="18"/>
              </w:rPr>
              <w:t>17,8</w:t>
            </w:r>
          </w:p>
        </w:tc>
        <w:tc>
          <w:tcPr>
            <w:tcW w:w="680" w:type="dxa"/>
            <w:tcBorders>
              <w:bottom w:val="nil"/>
            </w:tcBorders>
          </w:tcPr>
          <w:p w:rsidR="00000000" w:rsidRDefault="00000000">
            <w:pPr>
              <w:tabs>
                <w:tab w:val="decimal" w:pos="340"/>
              </w:tabs>
              <w:spacing w:before="40" w:after="40"/>
              <w:jc w:val="both"/>
              <w:rPr>
                <w:sz w:val="18"/>
              </w:rPr>
            </w:pPr>
            <w:r>
              <w:rPr>
                <w:sz w:val="18"/>
              </w:rPr>
              <w:t>23,4</w:t>
            </w:r>
          </w:p>
        </w:tc>
        <w:tc>
          <w:tcPr>
            <w:tcW w:w="680" w:type="dxa"/>
            <w:tcBorders>
              <w:bottom w:val="nil"/>
            </w:tcBorders>
          </w:tcPr>
          <w:p w:rsidR="00000000" w:rsidRDefault="00000000">
            <w:pPr>
              <w:tabs>
                <w:tab w:val="decimal" w:pos="340"/>
              </w:tabs>
              <w:spacing w:before="40" w:after="40"/>
              <w:jc w:val="both"/>
              <w:rPr>
                <w:sz w:val="18"/>
              </w:rPr>
            </w:pPr>
          </w:p>
        </w:tc>
        <w:tc>
          <w:tcPr>
            <w:tcW w:w="680" w:type="dxa"/>
            <w:tcBorders>
              <w:bottom w:val="nil"/>
            </w:tcBorders>
          </w:tcPr>
          <w:p w:rsidR="00000000" w:rsidRDefault="00000000">
            <w:pPr>
              <w:tabs>
                <w:tab w:val="decimal" w:pos="340"/>
              </w:tabs>
              <w:spacing w:before="40" w:after="40"/>
              <w:jc w:val="both"/>
              <w:rPr>
                <w:sz w:val="18"/>
              </w:rPr>
            </w:pPr>
          </w:p>
        </w:tc>
        <w:tc>
          <w:tcPr>
            <w:tcW w:w="680" w:type="dxa"/>
            <w:tcBorders>
              <w:bottom w:val="nil"/>
            </w:tcBorders>
          </w:tcPr>
          <w:p w:rsidR="00000000" w:rsidRDefault="00000000">
            <w:pPr>
              <w:tabs>
                <w:tab w:val="decimal" w:pos="340"/>
              </w:tabs>
              <w:spacing w:before="40" w:after="40"/>
              <w:jc w:val="both"/>
              <w:rPr>
                <w:sz w:val="18"/>
              </w:rPr>
            </w:pPr>
            <w:r>
              <w:rPr>
                <w:sz w:val="18"/>
              </w:rPr>
              <w:t>47,2</w:t>
            </w:r>
          </w:p>
        </w:tc>
        <w:tc>
          <w:tcPr>
            <w:tcW w:w="680" w:type="dxa"/>
            <w:tcBorders>
              <w:bottom w:val="nil"/>
            </w:tcBorders>
          </w:tcPr>
          <w:p w:rsidR="00000000" w:rsidRDefault="00000000">
            <w:pPr>
              <w:tabs>
                <w:tab w:val="decimal" w:pos="340"/>
              </w:tabs>
              <w:spacing w:before="40" w:after="40"/>
              <w:jc w:val="both"/>
              <w:rPr>
                <w:sz w:val="18"/>
              </w:rPr>
            </w:pPr>
          </w:p>
        </w:tc>
        <w:tc>
          <w:tcPr>
            <w:tcW w:w="680" w:type="dxa"/>
            <w:tcBorders>
              <w:bottom w:val="nil"/>
            </w:tcBorders>
          </w:tcPr>
          <w:p w:rsidR="00000000" w:rsidRDefault="00000000">
            <w:pPr>
              <w:tabs>
                <w:tab w:val="decimal" w:pos="340"/>
              </w:tabs>
              <w:spacing w:before="40" w:after="40"/>
              <w:jc w:val="both"/>
              <w:rPr>
                <w:sz w:val="18"/>
              </w:rPr>
            </w:pPr>
          </w:p>
        </w:tc>
      </w:tr>
      <w:tr w:rsidR="00000000">
        <w:tblPrEx>
          <w:tblCellMar>
            <w:top w:w="0" w:type="dxa"/>
            <w:bottom w:w="0" w:type="dxa"/>
          </w:tblCellMar>
        </w:tblPrEx>
        <w:trPr>
          <w:jc w:val="center"/>
        </w:trPr>
        <w:tc>
          <w:tcPr>
            <w:tcW w:w="4026" w:type="dxa"/>
            <w:tcBorders>
              <w:top w:val="nil"/>
              <w:bottom w:val="nil"/>
            </w:tcBorders>
          </w:tcPr>
          <w:p w:rsidR="00000000" w:rsidRDefault="00000000">
            <w:pPr>
              <w:tabs>
                <w:tab w:val="left" w:pos="680"/>
              </w:tabs>
              <w:spacing w:before="40" w:after="40"/>
              <w:rPr>
                <w:sz w:val="18"/>
              </w:rPr>
            </w:pPr>
            <w:r>
              <w:rPr>
                <w:sz w:val="18"/>
              </w:rPr>
              <w:t>Процент женщин-руководителей от общего числа выборных руководителей</w:t>
            </w:r>
          </w:p>
        </w:tc>
        <w:tc>
          <w:tcPr>
            <w:tcW w:w="680" w:type="dxa"/>
            <w:tcBorders>
              <w:top w:val="nil"/>
              <w:bottom w:val="nil"/>
            </w:tcBorders>
          </w:tcPr>
          <w:p w:rsidR="00000000" w:rsidRDefault="00000000">
            <w:pPr>
              <w:tabs>
                <w:tab w:val="decimal" w:pos="340"/>
              </w:tabs>
              <w:spacing w:before="40" w:after="40"/>
              <w:jc w:val="both"/>
              <w:rPr>
                <w:sz w:val="18"/>
              </w:rPr>
            </w:pPr>
            <w:r>
              <w:rPr>
                <w:sz w:val="18"/>
              </w:rPr>
              <w:t>12,4</w:t>
            </w:r>
          </w:p>
        </w:tc>
        <w:tc>
          <w:tcPr>
            <w:tcW w:w="680" w:type="dxa"/>
            <w:tcBorders>
              <w:top w:val="nil"/>
              <w:bottom w:val="nil"/>
            </w:tcBorders>
          </w:tcPr>
          <w:p w:rsidR="00000000" w:rsidRDefault="00000000">
            <w:pPr>
              <w:tabs>
                <w:tab w:val="decimal" w:pos="340"/>
              </w:tabs>
              <w:spacing w:before="40" w:after="40"/>
              <w:jc w:val="both"/>
              <w:rPr>
                <w:sz w:val="18"/>
              </w:rPr>
            </w:pPr>
            <w:r>
              <w:rPr>
                <w:sz w:val="18"/>
              </w:rPr>
              <w:t>14,2</w:t>
            </w:r>
          </w:p>
        </w:tc>
        <w:tc>
          <w:tcPr>
            <w:tcW w:w="680" w:type="dxa"/>
            <w:tcBorders>
              <w:top w:val="nil"/>
              <w:bottom w:val="nil"/>
            </w:tcBorders>
          </w:tcPr>
          <w:p w:rsidR="00000000" w:rsidRDefault="00000000">
            <w:pPr>
              <w:tabs>
                <w:tab w:val="decimal" w:pos="340"/>
              </w:tabs>
              <w:spacing w:before="40" w:after="40"/>
              <w:jc w:val="both"/>
              <w:rPr>
                <w:sz w:val="18"/>
              </w:rPr>
            </w:pPr>
          </w:p>
        </w:tc>
        <w:tc>
          <w:tcPr>
            <w:tcW w:w="680" w:type="dxa"/>
            <w:tcBorders>
              <w:top w:val="nil"/>
              <w:bottom w:val="nil"/>
            </w:tcBorders>
          </w:tcPr>
          <w:p w:rsidR="00000000" w:rsidRDefault="00000000">
            <w:pPr>
              <w:tabs>
                <w:tab w:val="decimal" w:pos="340"/>
              </w:tabs>
              <w:spacing w:before="40" w:after="40"/>
              <w:jc w:val="both"/>
              <w:rPr>
                <w:sz w:val="18"/>
              </w:rPr>
            </w:pPr>
          </w:p>
        </w:tc>
        <w:tc>
          <w:tcPr>
            <w:tcW w:w="680" w:type="dxa"/>
            <w:tcBorders>
              <w:top w:val="nil"/>
              <w:bottom w:val="nil"/>
            </w:tcBorders>
          </w:tcPr>
          <w:p w:rsidR="00000000" w:rsidRDefault="00000000">
            <w:pPr>
              <w:tabs>
                <w:tab w:val="decimal" w:pos="340"/>
              </w:tabs>
              <w:spacing w:before="40" w:after="40"/>
              <w:jc w:val="both"/>
              <w:rPr>
                <w:sz w:val="18"/>
              </w:rPr>
            </w:pPr>
            <w:r>
              <w:rPr>
                <w:sz w:val="18"/>
              </w:rPr>
              <w:t>34,4</w:t>
            </w:r>
          </w:p>
        </w:tc>
        <w:tc>
          <w:tcPr>
            <w:tcW w:w="680" w:type="dxa"/>
            <w:tcBorders>
              <w:top w:val="nil"/>
              <w:bottom w:val="nil"/>
            </w:tcBorders>
          </w:tcPr>
          <w:p w:rsidR="00000000" w:rsidRDefault="00000000">
            <w:pPr>
              <w:tabs>
                <w:tab w:val="decimal" w:pos="340"/>
              </w:tabs>
              <w:spacing w:before="40" w:after="40"/>
              <w:jc w:val="both"/>
              <w:rPr>
                <w:sz w:val="18"/>
              </w:rPr>
            </w:pPr>
          </w:p>
        </w:tc>
        <w:tc>
          <w:tcPr>
            <w:tcW w:w="680" w:type="dxa"/>
            <w:tcBorders>
              <w:top w:val="nil"/>
              <w:bottom w:val="nil"/>
            </w:tcBorders>
          </w:tcPr>
          <w:p w:rsidR="00000000" w:rsidRDefault="00000000">
            <w:pPr>
              <w:tabs>
                <w:tab w:val="decimal" w:pos="340"/>
              </w:tabs>
              <w:spacing w:before="40" w:after="40"/>
              <w:jc w:val="both"/>
              <w:rPr>
                <w:sz w:val="18"/>
              </w:rPr>
            </w:pPr>
          </w:p>
        </w:tc>
      </w:tr>
      <w:tr w:rsidR="00000000">
        <w:tblPrEx>
          <w:tblCellMar>
            <w:top w:w="0" w:type="dxa"/>
            <w:bottom w:w="0" w:type="dxa"/>
          </w:tblCellMar>
        </w:tblPrEx>
        <w:trPr>
          <w:jc w:val="center"/>
        </w:trPr>
        <w:tc>
          <w:tcPr>
            <w:tcW w:w="4026" w:type="dxa"/>
            <w:tcBorders>
              <w:top w:val="nil"/>
              <w:bottom w:val="nil"/>
            </w:tcBorders>
          </w:tcPr>
          <w:p w:rsidR="00000000" w:rsidRDefault="00000000">
            <w:pPr>
              <w:tabs>
                <w:tab w:val="left" w:pos="680"/>
              </w:tabs>
              <w:spacing w:before="40" w:after="40"/>
              <w:rPr>
                <w:sz w:val="18"/>
              </w:rPr>
            </w:pPr>
            <w:r>
              <w:rPr>
                <w:sz w:val="18"/>
              </w:rPr>
              <w:t>Показатель представленности мужчин на выборных должностях</w:t>
            </w:r>
          </w:p>
        </w:tc>
        <w:tc>
          <w:tcPr>
            <w:tcW w:w="680" w:type="dxa"/>
            <w:tcBorders>
              <w:top w:val="nil"/>
              <w:bottom w:val="nil"/>
            </w:tcBorders>
          </w:tcPr>
          <w:p w:rsidR="00000000" w:rsidRDefault="00000000">
            <w:pPr>
              <w:tabs>
                <w:tab w:val="decimal" w:pos="340"/>
              </w:tabs>
              <w:spacing w:before="40" w:after="40"/>
              <w:jc w:val="both"/>
              <w:rPr>
                <w:sz w:val="18"/>
              </w:rPr>
            </w:pPr>
          </w:p>
        </w:tc>
        <w:tc>
          <w:tcPr>
            <w:tcW w:w="680" w:type="dxa"/>
            <w:tcBorders>
              <w:top w:val="nil"/>
              <w:bottom w:val="nil"/>
            </w:tcBorders>
          </w:tcPr>
          <w:p w:rsidR="00000000" w:rsidRDefault="00000000">
            <w:pPr>
              <w:tabs>
                <w:tab w:val="decimal" w:pos="340"/>
              </w:tabs>
              <w:spacing w:before="40" w:after="40"/>
              <w:jc w:val="both"/>
              <w:rPr>
                <w:sz w:val="18"/>
              </w:rPr>
            </w:pPr>
          </w:p>
        </w:tc>
        <w:tc>
          <w:tcPr>
            <w:tcW w:w="680" w:type="dxa"/>
            <w:tcBorders>
              <w:top w:val="nil"/>
              <w:bottom w:val="nil"/>
            </w:tcBorders>
          </w:tcPr>
          <w:p w:rsidR="00000000" w:rsidRDefault="00000000">
            <w:pPr>
              <w:tabs>
                <w:tab w:val="decimal" w:pos="340"/>
              </w:tabs>
              <w:spacing w:before="40" w:after="40"/>
              <w:jc w:val="both"/>
              <w:rPr>
                <w:sz w:val="18"/>
              </w:rPr>
            </w:pPr>
          </w:p>
        </w:tc>
        <w:tc>
          <w:tcPr>
            <w:tcW w:w="680" w:type="dxa"/>
            <w:tcBorders>
              <w:top w:val="nil"/>
              <w:bottom w:val="nil"/>
            </w:tcBorders>
          </w:tcPr>
          <w:p w:rsidR="00000000" w:rsidRDefault="00000000">
            <w:pPr>
              <w:tabs>
                <w:tab w:val="decimal" w:pos="340"/>
              </w:tabs>
              <w:spacing w:before="40" w:after="40"/>
              <w:jc w:val="both"/>
              <w:rPr>
                <w:sz w:val="18"/>
              </w:rPr>
            </w:pPr>
          </w:p>
        </w:tc>
        <w:tc>
          <w:tcPr>
            <w:tcW w:w="680" w:type="dxa"/>
            <w:tcBorders>
              <w:top w:val="nil"/>
              <w:bottom w:val="nil"/>
            </w:tcBorders>
          </w:tcPr>
          <w:p w:rsidR="00000000" w:rsidRDefault="00000000">
            <w:pPr>
              <w:tabs>
                <w:tab w:val="decimal" w:pos="340"/>
              </w:tabs>
              <w:spacing w:before="40" w:after="40"/>
              <w:jc w:val="both"/>
              <w:rPr>
                <w:sz w:val="18"/>
              </w:rPr>
            </w:pPr>
          </w:p>
        </w:tc>
        <w:tc>
          <w:tcPr>
            <w:tcW w:w="680" w:type="dxa"/>
            <w:tcBorders>
              <w:top w:val="nil"/>
              <w:bottom w:val="nil"/>
            </w:tcBorders>
          </w:tcPr>
          <w:p w:rsidR="00000000" w:rsidRDefault="00000000">
            <w:pPr>
              <w:tabs>
                <w:tab w:val="decimal" w:pos="340"/>
              </w:tabs>
              <w:spacing w:before="40" w:after="40"/>
              <w:jc w:val="both"/>
              <w:rPr>
                <w:sz w:val="18"/>
              </w:rPr>
            </w:pPr>
          </w:p>
        </w:tc>
        <w:tc>
          <w:tcPr>
            <w:tcW w:w="680" w:type="dxa"/>
            <w:tcBorders>
              <w:top w:val="nil"/>
              <w:bottom w:val="nil"/>
            </w:tcBorders>
          </w:tcPr>
          <w:p w:rsidR="00000000" w:rsidRDefault="00000000">
            <w:pPr>
              <w:tabs>
                <w:tab w:val="decimal" w:pos="340"/>
              </w:tabs>
              <w:spacing w:before="40" w:after="40"/>
              <w:jc w:val="both"/>
              <w:rPr>
                <w:sz w:val="18"/>
              </w:rPr>
            </w:pPr>
          </w:p>
        </w:tc>
      </w:tr>
      <w:tr w:rsidR="00000000">
        <w:tblPrEx>
          <w:tblCellMar>
            <w:top w:w="0" w:type="dxa"/>
            <w:bottom w:w="0" w:type="dxa"/>
          </w:tblCellMar>
        </w:tblPrEx>
        <w:trPr>
          <w:jc w:val="center"/>
        </w:trPr>
        <w:tc>
          <w:tcPr>
            <w:tcW w:w="4026" w:type="dxa"/>
            <w:tcBorders>
              <w:top w:val="nil"/>
            </w:tcBorders>
          </w:tcPr>
          <w:p w:rsidR="00000000" w:rsidRDefault="00000000">
            <w:pPr>
              <w:tabs>
                <w:tab w:val="left" w:pos="680"/>
              </w:tabs>
              <w:spacing w:before="40" w:after="40"/>
              <w:rPr>
                <w:sz w:val="18"/>
              </w:rPr>
            </w:pPr>
            <w:r>
              <w:rPr>
                <w:sz w:val="18"/>
              </w:rPr>
              <w:t>Показатель представленности мужчин среди электората</w:t>
            </w:r>
            <w:r>
              <w:rPr>
                <w:sz w:val="18"/>
                <w:vertAlign w:val="superscript"/>
              </w:rPr>
              <w:t xml:space="preserve"> </w:t>
            </w:r>
            <w:r>
              <w:rPr>
                <w:sz w:val="18"/>
                <w:vertAlign w:val="superscript"/>
                <w:lang w:val="en-US"/>
              </w:rPr>
              <w:t>f</w:t>
            </w:r>
            <w:r>
              <w:rPr>
                <w:sz w:val="18"/>
                <w:vertAlign w:val="superscript"/>
              </w:rPr>
              <w:t>)</w:t>
            </w:r>
          </w:p>
        </w:tc>
        <w:tc>
          <w:tcPr>
            <w:tcW w:w="680" w:type="dxa"/>
            <w:tcBorders>
              <w:top w:val="nil"/>
            </w:tcBorders>
          </w:tcPr>
          <w:p w:rsidR="00000000" w:rsidRDefault="00000000">
            <w:pPr>
              <w:tabs>
                <w:tab w:val="decimal" w:pos="340"/>
              </w:tabs>
              <w:spacing w:before="40" w:after="40"/>
              <w:jc w:val="both"/>
              <w:rPr>
                <w:sz w:val="18"/>
              </w:rPr>
            </w:pPr>
            <w:r>
              <w:rPr>
                <w:sz w:val="18"/>
              </w:rPr>
              <w:t>105,7</w:t>
            </w:r>
          </w:p>
        </w:tc>
        <w:tc>
          <w:tcPr>
            <w:tcW w:w="680" w:type="dxa"/>
            <w:tcBorders>
              <w:top w:val="nil"/>
            </w:tcBorders>
          </w:tcPr>
          <w:p w:rsidR="00000000" w:rsidRDefault="00000000">
            <w:pPr>
              <w:tabs>
                <w:tab w:val="decimal" w:pos="340"/>
              </w:tabs>
              <w:spacing w:before="40" w:after="40"/>
              <w:jc w:val="both"/>
              <w:rPr>
                <w:sz w:val="18"/>
              </w:rPr>
            </w:pPr>
            <w:r>
              <w:rPr>
                <w:sz w:val="18"/>
              </w:rPr>
              <w:t>105,7</w:t>
            </w:r>
          </w:p>
        </w:tc>
        <w:tc>
          <w:tcPr>
            <w:tcW w:w="680" w:type="dxa"/>
            <w:tcBorders>
              <w:top w:val="nil"/>
            </w:tcBorders>
          </w:tcPr>
          <w:p w:rsidR="00000000" w:rsidRDefault="00000000">
            <w:pPr>
              <w:tabs>
                <w:tab w:val="decimal" w:pos="340"/>
              </w:tabs>
              <w:spacing w:before="40" w:after="40"/>
              <w:jc w:val="both"/>
              <w:rPr>
                <w:sz w:val="18"/>
              </w:rPr>
            </w:pPr>
          </w:p>
        </w:tc>
        <w:tc>
          <w:tcPr>
            <w:tcW w:w="680" w:type="dxa"/>
            <w:tcBorders>
              <w:top w:val="nil"/>
            </w:tcBorders>
          </w:tcPr>
          <w:p w:rsidR="00000000" w:rsidRDefault="00000000">
            <w:pPr>
              <w:tabs>
                <w:tab w:val="decimal" w:pos="340"/>
              </w:tabs>
              <w:spacing w:before="40" w:after="40"/>
              <w:jc w:val="both"/>
              <w:rPr>
                <w:sz w:val="18"/>
              </w:rPr>
            </w:pPr>
          </w:p>
        </w:tc>
        <w:tc>
          <w:tcPr>
            <w:tcW w:w="680" w:type="dxa"/>
            <w:tcBorders>
              <w:top w:val="nil"/>
            </w:tcBorders>
          </w:tcPr>
          <w:p w:rsidR="00000000" w:rsidRDefault="00000000">
            <w:pPr>
              <w:tabs>
                <w:tab w:val="decimal" w:pos="340"/>
              </w:tabs>
              <w:spacing w:before="40" w:after="40"/>
              <w:jc w:val="both"/>
              <w:rPr>
                <w:sz w:val="18"/>
              </w:rPr>
            </w:pPr>
            <w:r>
              <w:rPr>
                <w:sz w:val="18"/>
              </w:rPr>
              <w:t>103,4</w:t>
            </w:r>
          </w:p>
        </w:tc>
        <w:tc>
          <w:tcPr>
            <w:tcW w:w="680" w:type="dxa"/>
            <w:tcBorders>
              <w:top w:val="nil"/>
            </w:tcBorders>
          </w:tcPr>
          <w:p w:rsidR="00000000" w:rsidRDefault="00000000">
            <w:pPr>
              <w:tabs>
                <w:tab w:val="decimal" w:pos="340"/>
              </w:tabs>
              <w:spacing w:before="40" w:after="40"/>
              <w:jc w:val="both"/>
              <w:rPr>
                <w:sz w:val="18"/>
              </w:rPr>
            </w:pPr>
          </w:p>
        </w:tc>
        <w:tc>
          <w:tcPr>
            <w:tcW w:w="680" w:type="dxa"/>
            <w:tcBorders>
              <w:top w:val="nil"/>
            </w:tcBorders>
          </w:tcPr>
          <w:p w:rsidR="00000000" w:rsidRDefault="00000000">
            <w:pPr>
              <w:tabs>
                <w:tab w:val="decimal" w:pos="340"/>
              </w:tabs>
              <w:spacing w:before="40" w:after="40"/>
              <w:jc w:val="both"/>
              <w:rPr>
                <w:sz w:val="18"/>
              </w:rPr>
            </w:pPr>
          </w:p>
        </w:tc>
      </w:tr>
    </w:tbl>
    <w:p w:rsidR="00000000" w:rsidRDefault="00000000">
      <w:pPr>
        <w:tabs>
          <w:tab w:val="left" w:pos="680"/>
        </w:tabs>
        <w:spacing w:before="80"/>
        <w:jc w:val="both"/>
        <w:rPr>
          <w:sz w:val="18"/>
        </w:rPr>
      </w:pPr>
      <w:r>
        <w:rPr>
          <w:sz w:val="22"/>
          <w:vertAlign w:val="superscript"/>
          <w:lang w:val="en-US"/>
        </w:rPr>
        <w:t>a</w:t>
      </w:r>
      <w:r>
        <w:rPr>
          <w:sz w:val="18"/>
          <w:vertAlign w:val="superscript"/>
        </w:rPr>
        <w:t xml:space="preserve">) </w:t>
      </w:r>
      <w:r>
        <w:rPr>
          <w:sz w:val="18"/>
        </w:rPr>
        <w:t>Разница между процентом мужчин и процентом женщин.</w:t>
      </w:r>
    </w:p>
    <w:p w:rsidR="00000000" w:rsidRDefault="00000000">
      <w:pPr>
        <w:tabs>
          <w:tab w:val="left" w:pos="680"/>
        </w:tabs>
        <w:spacing w:before="80"/>
        <w:jc w:val="both"/>
        <w:rPr>
          <w:sz w:val="18"/>
        </w:rPr>
      </w:pPr>
      <w:r>
        <w:rPr>
          <w:sz w:val="18"/>
          <w:vertAlign w:val="superscript"/>
          <w:lang w:val="en-US"/>
        </w:rPr>
        <w:t>b</w:t>
      </w:r>
      <w:r>
        <w:rPr>
          <w:sz w:val="18"/>
          <w:vertAlign w:val="superscript"/>
        </w:rPr>
        <w:t>)</w:t>
      </w:r>
      <w:r>
        <w:rPr>
          <w:sz w:val="18"/>
        </w:rPr>
        <w:t xml:space="preserve"> Соотношение между показателем для женщин, работающих по 40 часов и более, и тем же показателем для мужчин, умноженным на 100.</w:t>
      </w:r>
    </w:p>
    <w:p w:rsidR="00000000" w:rsidRDefault="00000000">
      <w:pPr>
        <w:tabs>
          <w:tab w:val="left" w:pos="680"/>
        </w:tabs>
        <w:spacing w:before="80"/>
        <w:jc w:val="both"/>
        <w:rPr>
          <w:sz w:val="18"/>
        </w:rPr>
      </w:pPr>
      <w:r>
        <w:rPr>
          <w:sz w:val="18"/>
          <w:vertAlign w:val="superscript"/>
          <w:lang w:val="en-US"/>
        </w:rPr>
        <w:t>c</w:t>
      </w:r>
      <w:r>
        <w:rPr>
          <w:sz w:val="18"/>
          <w:vertAlign w:val="superscript"/>
        </w:rPr>
        <w:t>)</w:t>
      </w:r>
      <w:r>
        <w:rPr>
          <w:sz w:val="18"/>
        </w:rPr>
        <w:t xml:space="preserve"> Рабочей силой считается та часть населения, которая работает для удовлетворения собственных насущных потребностей, имеет побочные заработки или занята традиционными видами трудовой деятельности; неработающими же считаются явные безработные, ранее не работавшие, потерявшие надежду найти работу, а также экономически неактивные, нашедшие работу.</w:t>
      </w:r>
    </w:p>
    <w:p w:rsidR="00000000" w:rsidRDefault="00000000">
      <w:pPr>
        <w:tabs>
          <w:tab w:val="left" w:pos="680"/>
        </w:tabs>
        <w:spacing w:before="80"/>
        <w:jc w:val="both"/>
        <w:rPr>
          <w:sz w:val="18"/>
        </w:rPr>
      </w:pPr>
      <w:r>
        <w:rPr>
          <w:sz w:val="18"/>
          <w:vertAlign w:val="superscript"/>
          <w:lang w:val="en-US"/>
        </w:rPr>
        <w:t>d</w:t>
      </w:r>
      <w:r>
        <w:rPr>
          <w:sz w:val="18"/>
          <w:vertAlign w:val="superscript"/>
        </w:rPr>
        <w:t>)</w:t>
      </w:r>
      <w:r>
        <w:rPr>
          <w:sz w:val="18"/>
        </w:rPr>
        <w:t xml:space="preserve"> Отражает общий процент лиц, которым "следовало бы" перейти в другую категорию (занятости, образования) для того, чтобы получить распределение, предусмотренное для всего заинтересованного населения (работающие, выпускники университетов).</w:t>
      </w:r>
    </w:p>
    <w:p w:rsidR="00000000" w:rsidRDefault="00000000">
      <w:pPr>
        <w:tabs>
          <w:tab w:val="left" w:pos="680"/>
        </w:tabs>
        <w:spacing w:before="80"/>
        <w:jc w:val="both"/>
        <w:rPr>
          <w:sz w:val="18"/>
        </w:rPr>
      </w:pPr>
      <w:r>
        <w:rPr>
          <w:sz w:val="18"/>
          <w:vertAlign w:val="superscript"/>
          <w:lang w:val="en-US"/>
        </w:rPr>
        <w:t>e</w:t>
      </w:r>
      <w:r>
        <w:rPr>
          <w:sz w:val="18"/>
          <w:vertAlign w:val="superscript"/>
        </w:rPr>
        <w:t>)</w:t>
      </w:r>
      <w:r>
        <w:rPr>
          <w:sz w:val="18"/>
        </w:rPr>
        <w:t xml:space="preserve"> Относится к разнице между процентом женщин и процентом мужчин.</w:t>
      </w:r>
    </w:p>
    <w:p w:rsidR="00000000" w:rsidRDefault="00000000">
      <w:pPr>
        <w:tabs>
          <w:tab w:val="left" w:pos="680"/>
        </w:tabs>
        <w:spacing w:before="80"/>
        <w:jc w:val="both"/>
        <w:rPr>
          <w:sz w:val="18"/>
        </w:rPr>
      </w:pPr>
      <w:r>
        <w:rPr>
          <w:sz w:val="18"/>
          <w:vertAlign w:val="superscript"/>
          <w:lang w:val="en-US"/>
        </w:rPr>
        <w:t>f</w:t>
      </w:r>
      <w:r>
        <w:rPr>
          <w:sz w:val="18"/>
          <w:vertAlign w:val="superscript"/>
        </w:rPr>
        <w:t>)</w:t>
      </w:r>
      <w:r>
        <w:rPr>
          <w:sz w:val="18"/>
        </w:rPr>
        <w:t xml:space="preserve"> Население, учтенное во время переписи в июле 1999 года.</w:t>
      </w:r>
    </w:p>
    <w:p w:rsidR="00000000" w:rsidRDefault="00000000">
      <w:pPr>
        <w:tabs>
          <w:tab w:val="left" w:pos="680"/>
        </w:tabs>
        <w:spacing w:before="80"/>
        <w:jc w:val="both"/>
        <w:rPr>
          <w:sz w:val="18"/>
        </w:rPr>
      </w:pPr>
      <w:r>
        <w:rPr>
          <w:sz w:val="18"/>
          <w:vertAlign w:val="superscript"/>
          <w:lang w:val="en-US"/>
        </w:rPr>
        <w:t>g</w:t>
      </w:r>
      <w:r>
        <w:rPr>
          <w:sz w:val="18"/>
          <w:vertAlign w:val="superscript"/>
        </w:rPr>
        <w:t>)</w:t>
      </w:r>
      <w:r>
        <w:rPr>
          <w:sz w:val="18"/>
        </w:rPr>
        <w:t xml:space="preserve"> В предвыборных процессах 1990–1994, 1994–1998 и 1998–2000 годов.</w:t>
      </w:r>
    </w:p>
    <w:p w:rsidR="00000000" w:rsidRDefault="00000000">
      <w:pPr>
        <w:tabs>
          <w:tab w:val="left" w:pos="680"/>
        </w:tabs>
        <w:spacing w:before="120"/>
        <w:jc w:val="both"/>
        <w:rPr>
          <w:sz w:val="18"/>
        </w:rPr>
      </w:pPr>
      <w:r>
        <w:rPr>
          <w:b/>
          <w:sz w:val="18"/>
        </w:rPr>
        <w:t>Источники:</w:t>
      </w:r>
      <w:r>
        <w:rPr>
          <w:sz w:val="18"/>
        </w:rPr>
        <w:t xml:space="preserve"> Проект "Состояние нации" (2001 год). </w:t>
      </w:r>
      <w:r>
        <w:rPr>
          <w:sz w:val="18"/>
          <w:lang w:val="en-US"/>
        </w:rPr>
        <w:t>VII</w:t>
      </w:r>
      <w:r>
        <w:rPr>
          <w:sz w:val="18"/>
        </w:rPr>
        <w:t xml:space="preserve"> доклад "О состоянии нации", 2000 год. Сан-Хосе, Коста-Рика: проект "Состояние нации". </w:t>
      </w:r>
    </w:p>
    <w:p w:rsidR="00000000" w:rsidRDefault="00000000">
      <w:pPr>
        <w:tabs>
          <w:tab w:val="left" w:pos="680"/>
        </w:tabs>
        <w:spacing w:before="240" w:line="260" w:lineRule="exact"/>
        <w:jc w:val="both"/>
        <w:rPr>
          <w:sz w:val="22"/>
        </w:rPr>
      </w:pPr>
    </w:p>
    <w:p w:rsidR="00000000" w:rsidRDefault="00000000">
      <w:pPr>
        <w:tabs>
          <w:tab w:val="left" w:pos="680"/>
        </w:tabs>
        <w:jc w:val="center"/>
        <w:rPr>
          <w:b/>
        </w:rPr>
      </w:pPr>
      <w:r>
        <w:rPr>
          <w:sz w:val="22"/>
        </w:rPr>
        <w:br w:type="page"/>
      </w:r>
      <w:r>
        <w:rPr>
          <w:b/>
        </w:rPr>
        <w:t>Приложение № 2</w:t>
      </w:r>
    </w:p>
    <w:p w:rsidR="00000000" w:rsidRDefault="00000000">
      <w:pPr>
        <w:pStyle w:val="Heading3"/>
        <w:spacing w:before="120"/>
        <w:jc w:val="center"/>
      </w:pPr>
      <w:r>
        <w:t>Таблица 1-1</w:t>
      </w:r>
    </w:p>
    <w:p w:rsidR="00000000" w:rsidRDefault="00000000">
      <w:pPr>
        <w:tabs>
          <w:tab w:val="left" w:pos="680"/>
        </w:tabs>
        <w:spacing w:before="120" w:after="120" w:line="260" w:lineRule="exact"/>
        <w:jc w:val="center"/>
        <w:rPr>
          <w:sz w:val="22"/>
        </w:rPr>
      </w:pPr>
      <w:r>
        <w:rPr>
          <w:b/>
          <w:sz w:val="22"/>
        </w:rPr>
        <w:t xml:space="preserve">Общий обзор защищающих права женщин международных </w:t>
      </w:r>
      <w:r>
        <w:rPr>
          <w:b/>
          <w:sz w:val="22"/>
        </w:rPr>
        <w:br/>
        <w:t xml:space="preserve">договоров и соглашений, ратифицированных Коста-Рикой </w:t>
      </w:r>
      <w:r>
        <w:rPr>
          <w:b/>
          <w:sz w:val="22"/>
        </w:rPr>
        <w:br/>
        <w:t>в период с 1951 по 2002 год</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6521"/>
        <w:gridCol w:w="2268"/>
      </w:tblGrid>
      <w:tr w:rsidR="00000000">
        <w:tblPrEx>
          <w:tblCellMar>
            <w:top w:w="0" w:type="dxa"/>
            <w:bottom w:w="0" w:type="dxa"/>
          </w:tblCellMar>
        </w:tblPrEx>
        <w:trPr>
          <w:jc w:val="center"/>
        </w:trPr>
        <w:tc>
          <w:tcPr>
            <w:tcW w:w="6521" w:type="dxa"/>
          </w:tcPr>
          <w:p w:rsidR="00000000" w:rsidRDefault="00000000">
            <w:pPr>
              <w:tabs>
                <w:tab w:val="left" w:pos="680"/>
              </w:tabs>
              <w:spacing w:before="80" w:after="80"/>
              <w:jc w:val="center"/>
              <w:rPr>
                <w:b/>
                <w:sz w:val="20"/>
              </w:rPr>
            </w:pPr>
            <w:r>
              <w:rPr>
                <w:b/>
                <w:sz w:val="20"/>
              </w:rPr>
              <w:t>Международные договоры и соглашения</w:t>
            </w:r>
          </w:p>
        </w:tc>
        <w:tc>
          <w:tcPr>
            <w:tcW w:w="2268" w:type="dxa"/>
          </w:tcPr>
          <w:p w:rsidR="00000000" w:rsidRDefault="00000000">
            <w:pPr>
              <w:tabs>
                <w:tab w:val="left" w:pos="680"/>
              </w:tabs>
              <w:spacing w:before="80" w:after="80"/>
              <w:jc w:val="center"/>
              <w:rPr>
                <w:b/>
                <w:sz w:val="20"/>
              </w:rPr>
            </w:pPr>
            <w:r>
              <w:rPr>
                <w:b/>
                <w:sz w:val="20"/>
              </w:rPr>
              <w:t>Дата ратификации</w:t>
            </w:r>
          </w:p>
        </w:tc>
      </w:tr>
      <w:tr w:rsidR="00000000">
        <w:tblPrEx>
          <w:tblCellMar>
            <w:top w:w="0" w:type="dxa"/>
            <w:bottom w:w="0" w:type="dxa"/>
          </w:tblCellMar>
        </w:tblPrEx>
        <w:trPr>
          <w:jc w:val="center"/>
        </w:trPr>
        <w:tc>
          <w:tcPr>
            <w:tcW w:w="6521" w:type="dxa"/>
          </w:tcPr>
          <w:p w:rsidR="00000000" w:rsidRDefault="00000000">
            <w:pPr>
              <w:tabs>
                <w:tab w:val="left" w:pos="680"/>
              </w:tabs>
              <w:spacing w:before="80" w:after="80"/>
              <w:jc w:val="center"/>
              <w:rPr>
                <w:sz w:val="20"/>
              </w:rPr>
            </w:pPr>
            <w:r>
              <w:rPr>
                <w:sz w:val="20"/>
              </w:rPr>
              <w:t xml:space="preserve">Международный пакт о гражданских и политических правах </w:t>
            </w:r>
            <w:r>
              <w:rPr>
                <w:sz w:val="20"/>
              </w:rPr>
              <w:br/>
              <w:t>(вступил в силу 23 марта 1976 года)</w:t>
            </w:r>
          </w:p>
        </w:tc>
        <w:tc>
          <w:tcPr>
            <w:tcW w:w="2268" w:type="dxa"/>
          </w:tcPr>
          <w:p w:rsidR="00000000" w:rsidRDefault="00000000">
            <w:pPr>
              <w:tabs>
                <w:tab w:val="left" w:pos="680"/>
              </w:tabs>
              <w:spacing w:before="80" w:after="80"/>
              <w:jc w:val="center"/>
              <w:rPr>
                <w:sz w:val="20"/>
              </w:rPr>
            </w:pPr>
            <w:r>
              <w:rPr>
                <w:sz w:val="20"/>
              </w:rPr>
              <w:t>29 ноября 1968 года</w:t>
            </w:r>
          </w:p>
        </w:tc>
      </w:tr>
      <w:tr w:rsidR="00000000">
        <w:tblPrEx>
          <w:tblCellMar>
            <w:top w:w="0" w:type="dxa"/>
            <w:bottom w:w="0" w:type="dxa"/>
          </w:tblCellMar>
        </w:tblPrEx>
        <w:trPr>
          <w:jc w:val="center"/>
        </w:trPr>
        <w:tc>
          <w:tcPr>
            <w:tcW w:w="6521" w:type="dxa"/>
          </w:tcPr>
          <w:p w:rsidR="00000000" w:rsidRDefault="00000000">
            <w:pPr>
              <w:tabs>
                <w:tab w:val="left" w:pos="680"/>
              </w:tabs>
              <w:spacing w:before="80" w:after="80"/>
              <w:jc w:val="center"/>
              <w:rPr>
                <w:sz w:val="20"/>
              </w:rPr>
            </w:pPr>
            <w:r>
              <w:rPr>
                <w:sz w:val="20"/>
              </w:rPr>
              <w:t>Международный пакт об экономических, социальных и культурных правах (вступил в силу 3 января 1976 года)</w:t>
            </w:r>
          </w:p>
        </w:tc>
        <w:tc>
          <w:tcPr>
            <w:tcW w:w="2268" w:type="dxa"/>
          </w:tcPr>
          <w:p w:rsidR="00000000" w:rsidRDefault="00000000">
            <w:pPr>
              <w:tabs>
                <w:tab w:val="left" w:pos="680"/>
              </w:tabs>
              <w:spacing w:before="80" w:after="80"/>
              <w:jc w:val="center"/>
              <w:rPr>
                <w:sz w:val="20"/>
              </w:rPr>
            </w:pPr>
            <w:r>
              <w:rPr>
                <w:sz w:val="20"/>
              </w:rPr>
              <w:t>29 ноября 1988 года</w:t>
            </w:r>
          </w:p>
        </w:tc>
      </w:tr>
      <w:tr w:rsidR="00000000">
        <w:tblPrEx>
          <w:tblCellMar>
            <w:top w:w="0" w:type="dxa"/>
            <w:bottom w:w="0" w:type="dxa"/>
          </w:tblCellMar>
        </w:tblPrEx>
        <w:trPr>
          <w:jc w:val="center"/>
        </w:trPr>
        <w:tc>
          <w:tcPr>
            <w:tcW w:w="6521" w:type="dxa"/>
          </w:tcPr>
          <w:p w:rsidR="00000000" w:rsidRDefault="00000000">
            <w:pPr>
              <w:tabs>
                <w:tab w:val="left" w:pos="680"/>
              </w:tabs>
              <w:spacing w:before="80" w:after="80"/>
              <w:jc w:val="center"/>
              <w:rPr>
                <w:sz w:val="20"/>
              </w:rPr>
            </w:pPr>
            <w:r>
              <w:rPr>
                <w:sz w:val="20"/>
              </w:rPr>
              <w:t>Американская конвенция о правах человека</w:t>
            </w:r>
            <w:r>
              <w:rPr>
                <w:sz w:val="20"/>
              </w:rPr>
              <w:br/>
              <w:t>(вступила в силу 18 июля 1978 года)</w:t>
            </w:r>
          </w:p>
        </w:tc>
        <w:tc>
          <w:tcPr>
            <w:tcW w:w="2268" w:type="dxa"/>
          </w:tcPr>
          <w:p w:rsidR="00000000" w:rsidRDefault="00000000">
            <w:pPr>
              <w:tabs>
                <w:tab w:val="left" w:pos="680"/>
              </w:tabs>
              <w:spacing w:before="80" w:after="80"/>
              <w:jc w:val="center"/>
              <w:rPr>
                <w:sz w:val="20"/>
              </w:rPr>
            </w:pPr>
            <w:r>
              <w:rPr>
                <w:sz w:val="20"/>
              </w:rPr>
              <w:t>2 июля 1980 года</w:t>
            </w:r>
          </w:p>
        </w:tc>
      </w:tr>
      <w:tr w:rsidR="00000000">
        <w:tblPrEx>
          <w:tblCellMar>
            <w:top w:w="0" w:type="dxa"/>
            <w:bottom w:w="0" w:type="dxa"/>
          </w:tblCellMar>
        </w:tblPrEx>
        <w:trPr>
          <w:jc w:val="center"/>
        </w:trPr>
        <w:tc>
          <w:tcPr>
            <w:tcW w:w="6521" w:type="dxa"/>
          </w:tcPr>
          <w:p w:rsidR="00000000" w:rsidRDefault="00000000">
            <w:pPr>
              <w:tabs>
                <w:tab w:val="left" w:pos="680"/>
              </w:tabs>
              <w:spacing w:before="80" w:after="80"/>
              <w:jc w:val="center"/>
              <w:rPr>
                <w:sz w:val="20"/>
              </w:rPr>
            </w:pPr>
            <w:r>
              <w:rPr>
                <w:sz w:val="20"/>
              </w:rPr>
              <w:t>Конвенция о ликвидации всех форм расовой дискриминации</w:t>
            </w:r>
            <w:r>
              <w:rPr>
                <w:sz w:val="20"/>
              </w:rPr>
              <w:br/>
              <w:t>(вступила в силу 4 января 1969 года)</w:t>
            </w:r>
          </w:p>
        </w:tc>
        <w:tc>
          <w:tcPr>
            <w:tcW w:w="2268" w:type="dxa"/>
          </w:tcPr>
          <w:p w:rsidR="00000000" w:rsidRDefault="00000000">
            <w:pPr>
              <w:tabs>
                <w:tab w:val="left" w:pos="680"/>
              </w:tabs>
              <w:spacing w:before="80" w:after="80"/>
              <w:jc w:val="center"/>
              <w:rPr>
                <w:sz w:val="20"/>
              </w:rPr>
            </w:pPr>
            <w:r>
              <w:rPr>
                <w:sz w:val="20"/>
              </w:rPr>
              <w:t>16 января 1967 года</w:t>
            </w:r>
          </w:p>
        </w:tc>
      </w:tr>
      <w:tr w:rsidR="00000000">
        <w:tblPrEx>
          <w:tblCellMar>
            <w:top w:w="0" w:type="dxa"/>
            <w:bottom w:w="0" w:type="dxa"/>
          </w:tblCellMar>
        </w:tblPrEx>
        <w:trPr>
          <w:jc w:val="center"/>
        </w:trPr>
        <w:tc>
          <w:tcPr>
            <w:tcW w:w="6521" w:type="dxa"/>
          </w:tcPr>
          <w:p w:rsidR="00000000" w:rsidRDefault="00000000">
            <w:pPr>
              <w:tabs>
                <w:tab w:val="left" w:pos="680"/>
              </w:tabs>
              <w:spacing w:before="80" w:after="80"/>
              <w:jc w:val="center"/>
              <w:rPr>
                <w:sz w:val="20"/>
              </w:rPr>
            </w:pPr>
            <w:r>
              <w:rPr>
                <w:sz w:val="20"/>
              </w:rPr>
              <w:t>Конвенция о ликвидации всех форм дискриминации в отношении женщин (вступила в силу 2 сентября 1981 года)</w:t>
            </w:r>
          </w:p>
        </w:tc>
        <w:tc>
          <w:tcPr>
            <w:tcW w:w="2268" w:type="dxa"/>
          </w:tcPr>
          <w:p w:rsidR="00000000" w:rsidRDefault="00000000">
            <w:pPr>
              <w:tabs>
                <w:tab w:val="left" w:pos="680"/>
              </w:tabs>
              <w:spacing w:before="80" w:after="80"/>
              <w:jc w:val="center"/>
              <w:rPr>
                <w:sz w:val="20"/>
              </w:rPr>
            </w:pPr>
            <w:r>
              <w:rPr>
                <w:sz w:val="20"/>
              </w:rPr>
              <w:t>2 октября 1984 года</w:t>
            </w:r>
          </w:p>
        </w:tc>
      </w:tr>
      <w:tr w:rsidR="00000000">
        <w:tblPrEx>
          <w:tblCellMar>
            <w:top w:w="0" w:type="dxa"/>
            <w:bottom w:w="0" w:type="dxa"/>
          </w:tblCellMar>
        </w:tblPrEx>
        <w:trPr>
          <w:jc w:val="center"/>
        </w:trPr>
        <w:tc>
          <w:tcPr>
            <w:tcW w:w="6521" w:type="dxa"/>
          </w:tcPr>
          <w:p w:rsidR="00000000" w:rsidRDefault="00000000">
            <w:pPr>
              <w:tabs>
                <w:tab w:val="left" w:pos="680"/>
              </w:tabs>
              <w:spacing w:before="80" w:after="80"/>
              <w:jc w:val="center"/>
              <w:rPr>
                <w:sz w:val="20"/>
              </w:rPr>
            </w:pPr>
            <w:r>
              <w:rPr>
                <w:sz w:val="20"/>
              </w:rPr>
              <w:t>Международная конвенция о правах ребенка</w:t>
            </w:r>
            <w:r>
              <w:rPr>
                <w:sz w:val="20"/>
              </w:rPr>
              <w:br/>
              <w:t>(вступила в силу 2 сентября 1990 года)</w:t>
            </w:r>
          </w:p>
        </w:tc>
        <w:tc>
          <w:tcPr>
            <w:tcW w:w="2268" w:type="dxa"/>
          </w:tcPr>
          <w:p w:rsidR="00000000" w:rsidRDefault="00000000">
            <w:pPr>
              <w:tabs>
                <w:tab w:val="left" w:pos="680"/>
              </w:tabs>
              <w:spacing w:before="80" w:after="80"/>
              <w:jc w:val="center"/>
              <w:rPr>
                <w:sz w:val="20"/>
              </w:rPr>
            </w:pPr>
            <w:r>
              <w:rPr>
                <w:sz w:val="20"/>
              </w:rPr>
              <w:t>21 августа 1990 года</w:t>
            </w:r>
          </w:p>
        </w:tc>
      </w:tr>
      <w:tr w:rsidR="00000000">
        <w:tblPrEx>
          <w:tblCellMar>
            <w:top w:w="0" w:type="dxa"/>
            <w:bottom w:w="0" w:type="dxa"/>
          </w:tblCellMar>
        </w:tblPrEx>
        <w:trPr>
          <w:jc w:val="center"/>
        </w:trPr>
        <w:tc>
          <w:tcPr>
            <w:tcW w:w="6521" w:type="dxa"/>
          </w:tcPr>
          <w:p w:rsidR="00000000" w:rsidRDefault="00000000">
            <w:pPr>
              <w:tabs>
                <w:tab w:val="left" w:pos="680"/>
              </w:tabs>
              <w:spacing w:before="80" w:after="80"/>
              <w:jc w:val="center"/>
              <w:rPr>
                <w:sz w:val="20"/>
              </w:rPr>
            </w:pPr>
            <w:r>
              <w:rPr>
                <w:sz w:val="20"/>
              </w:rPr>
              <w:t>Конвенция № 169 МОТ (вступила в силу 5 сентября 1991 года).</w:t>
            </w:r>
          </w:p>
        </w:tc>
        <w:tc>
          <w:tcPr>
            <w:tcW w:w="2268" w:type="dxa"/>
          </w:tcPr>
          <w:p w:rsidR="00000000" w:rsidRDefault="00000000">
            <w:pPr>
              <w:tabs>
                <w:tab w:val="left" w:pos="680"/>
              </w:tabs>
              <w:spacing w:before="80" w:after="80"/>
              <w:jc w:val="center"/>
              <w:rPr>
                <w:sz w:val="20"/>
              </w:rPr>
            </w:pPr>
            <w:r>
              <w:rPr>
                <w:sz w:val="20"/>
              </w:rPr>
              <w:t>2 апреля 1993 года</w:t>
            </w:r>
          </w:p>
        </w:tc>
      </w:tr>
      <w:tr w:rsidR="00000000">
        <w:tblPrEx>
          <w:tblCellMar>
            <w:top w:w="0" w:type="dxa"/>
            <w:bottom w:w="0" w:type="dxa"/>
          </w:tblCellMar>
        </w:tblPrEx>
        <w:trPr>
          <w:jc w:val="center"/>
        </w:trPr>
        <w:tc>
          <w:tcPr>
            <w:tcW w:w="6521" w:type="dxa"/>
          </w:tcPr>
          <w:p w:rsidR="00000000" w:rsidRDefault="00000000">
            <w:pPr>
              <w:tabs>
                <w:tab w:val="left" w:pos="680"/>
              </w:tabs>
              <w:spacing w:before="80" w:after="80"/>
              <w:jc w:val="center"/>
              <w:rPr>
                <w:sz w:val="20"/>
              </w:rPr>
            </w:pPr>
            <w:r>
              <w:rPr>
                <w:sz w:val="20"/>
              </w:rPr>
              <w:t xml:space="preserve">Межамериканская конвенция о предупреждении, наказании и искоренении насилия в отношении женщин </w:t>
            </w:r>
            <w:r>
              <w:rPr>
                <w:sz w:val="20"/>
              </w:rPr>
              <w:br/>
              <w:t>(вступила в силу 3 марта 1995 года)</w:t>
            </w:r>
          </w:p>
        </w:tc>
        <w:tc>
          <w:tcPr>
            <w:tcW w:w="2268" w:type="dxa"/>
          </w:tcPr>
          <w:p w:rsidR="00000000" w:rsidRDefault="00000000">
            <w:pPr>
              <w:tabs>
                <w:tab w:val="left" w:pos="680"/>
              </w:tabs>
              <w:spacing w:before="80" w:after="80"/>
              <w:jc w:val="center"/>
              <w:rPr>
                <w:sz w:val="20"/>
              </w:rPr>
            </w:pPr>
            <w:r>
              <w:rPr>
                <w:sz w:val="20"/>
              </w:rPr>
              <w:t>5 июля 1995 года</w:t>
            </w:r>
          </w:p>
        </w:tc>
      </w:tr>
    </w:tbl>
    <w:p w:rsidR="00000000" w:rsidRDefault="00000000">
      <w:pPr>
        <w:tabs>
          <w:tab w:val="left" w:pos="680"/>
        </w:tabs>
        <w:spacing w:before="120"/>
        <w:jc w:val="both"/>
        <w:rPr>
          <w:sz w:val="18"/>
        </w:rPr>
      </w:pPr>
      <w:r>
        <w:rPr>
          <w:b/>
          <w:sz w:val="18"/>
        </w:rPr>
        <w:t>Источник:</w:t>
      </w:r>
      <w:r>
        <w:rPr>
          <w:sz w:val="18"/>
        </w:rPr>
        <w:t xml:space="preserve"> На основе собранной информации, 2002 год.</w:t>
      </w:r>
    </w:p>
    <w:p w:rsidR="00000000" w:rsidRDefault="00000000">
      <w:pPr>
        <w:tabs>
          <w:tab w:val="left" w:pos="680"/>
        </w:tabs>
        <w:spacing w:before="240" w:line="260" w:lineRule="exact"/>
        <w:jc w:val="both"/>
        <w:rPr>
          <w:sz w:val="18"/>
        </w:rPr>
      </w:pPr>
    </w:p>
    <w:p w:rsidR="00000000" w:rsidRDefault="00000000">
      <w:pPr>
        <w:tabs>
          <w:tab w:val="left" w:pos="680"/>
        </w:tabs>
        <w:jc w:val="center"/>
        <w:rPr>
          <w:b/>
        </w:rPr>
      </w:pPr>
      <w:r>
        <w:rPr>
          <w:sz w:val="22"/>
        </w:rPr>
        <w:br w:type="page"/>
      </w:r>
      <w:r>
        <w:rPr>
          <w:b/>
        </w:rPr>
        <w:t>Приложение № 3</w:t>
      </w:r>
    </w:p>
    <w:p w:rsidR="00000000" w:rsidRDefault="00000000">
      <w:pPr>
        <w:pStyle w:val="Heading6"/>
        <w:tabs>
          <w:tab w:val="left" w:pos="680"/>
        </w:tabs>
        <w:spacing w:before="240" w:line="260" w:lineRule="exact"/>
        <w:rPr>
          <w:sz w:val="22"/>
        </w:rPr>
      </w:pPr>
      <w:r>
        <w:rPr>
          <w:caps/>
          <w:sz w:val="22"/>
        </w:rPr>
        <w:t>Общая характеристика</w:t>
      </w:r>
      <w:r>
        <w:rPr>
          <w:sz w:val="22"/>
        </w:rPr>
        <w:t xml:space="preserve"> </w:t>
      </w:r>
      <w:r>
        <w:rPr>
          <w:caps/>
          <w:sz w:val="22"/>
        </w:rPr>
        <w:t xml:space="preserve">Национального института </w:t>
      </w:r>
      <w:r>
        <w:rPr>
          <w:caps/>
          <w:sz w:val="22"/>
        </w:rPr>
        <w:br/>
        <w:t>по делам женщин</w:t>
      </w:r>
      <w:r>
        <w:rPr>
          <w:sz w:val="22"/>
        </w:rPr>
        <w:t xml:space="preserve"> (ИНАМУ)</w:t>
      </w:r>
    </w:p>
    <w:p w:rsidR="00000000" w:rsidRDefault="00000000">
      <w:pPr>
        <w:tabs>
          <w:tab w:val="left" w:pos="680"/>
        </w:tabs>
        <w:spacing w:before="240" w:line="260" w:lineRule="exact"/>
        <w:jc w:val="both"/>
        <w:rPr>
          <w:sz w:val="22"/>
        </w:rPr>
      </w:pPr>
      <w:r>
        <w:rPr>
          <w:sz w:val="22"/>
        </w:rPr>
        <w:t>Национальный центр по улучшению положения женщин и семьи с момента его создания в 1986 году стал проводником государственной политики по защите прав женщин. Данный орган имел статус юридического лица и владел имуществом, но относился к Министерству по делам культуры, молодежи и спорта. Это серьезно ограничивало деятельность Центра, и накопленный опыт работы показал:</w:t>
      </w:r>
    </w:p>
    <w:p w:rsidR="00000000" w:rsidRDefault="00000000">
      <w:pPr>
        <w:tabs>
          <w:tab w:val="left" w:pos="680"/>
        </w:tabs>
        <w:spacing w:before="240" w:line="260" w:lineRule="exact"/>
        <w:jc w:val="both"/>
        <w:rPr>
          <w:sz w:val="22"/>
        </w:rPr>
      </w:pPr>
      <w:r>
        <w:rPr>
          <w:sz w:val="22"/>
        </w:rPr>
        <w:t>В проведении государственной политики в области гендерного равноправия должны принимать активное участие высшие эшелоны власти и различные ведомства.</w:t>
      </w:r>
    </w:p>
    <w:p w:rsidR="00000000" w:rsidRDefault="00000000">
      <w:pPr>
        <w:tabs>
          <w:tab w:val="left" w:pos="680"/>
        </w:tabs>
        <w:spacing w:before="240" w:line="260" w:lineRule="exact"/>
        <w:jc w:val="both"/>
        <w:rPr>
          <w:sz w:val="22"/>
        </w:rPr>
      </w:pPr>
      <w:r>
        <w:rPr>
          <w:sz w:val="22"/>
        </w:rPr>
        <w:t>Обладая широкими полномочиями, но в то же время являясь частью государственного аппарата (органом при Министерстве), Центр не мог осуществлять свои функции в полной мере.</w:t>
      </w:r>
    </w:p>
    <w:p w:rsidR="00000000" w:rsidRDefault="00000000">
      <w:pPr>
        <w:tabs>
          <w:tab w:val="left" w:pos="680"/>
        </w:tabs>
        <w:spacing w:before="240" w:line="260" w:lineRule="exact"/>
        <w:jc w:val="both"/>
        <w:rPr>
          <w:sz w:val="22"/>
        </w:rPr>
      </w:pPr>
      <w:r>
        <w:rPr>
          <w:sz w:val="22"/>
        </w:rPr>
        <w:t>Это обстоятельство, а также тот факт, что в параграфе 57 Стратегий, принятых на Конференции в Найроби, обозначена необходимость создания правительственных механизмов по контролю и улучшению положения женщин, повлияли на решение о совершенствовании действующего Национального механизма.</w:t>
      </w:r>
    </w:p>
    <w:p w:rsidR="00000000" w:rsidRDefault="00000000">
      <w:pPr>
        <w:tabs>
          <w:tab w:val="left" w:pos="680"/>
        </w:tabs>
        <w:spacing w:before="240" w:line="260" w:lineRule="exact"/>
        <w:jc w:val="both"/>
        <w:rPr>
          <w:sz w:val="22"/>
        </w:rPr>
      </w:pPr>
      <w:r>
        <w:rPr>
          <w:sz w:val="22"/>
        </w:rPr>
        <w:t xml:space="preserve">Таким образом, необходимость в государственной структуре соответствующего административно-политического уровня и юридического статуса для управления гендерной политикой привела к тому, что в мае 1998 года на основании Закона № 7801 Центр по улучшению положения женщин и семьи был преобразован в Национальный институт по делам женщин, обладающий статусом юридического лица и собственным бюджетом. </w:t>
      </w:r>
    </w:p>
    <w:p w:rsidR="00000000" w:rsidRDefault="00000000">
      <w:pPr>
        <w:tabs>
          <w:tab w:val="left" w:pos="680"/>
        </w:tabs>
        <w:spacing w:before="240" w:line="260" w:lineRule="exact"/>
        <w:jc w:val="both"/>
        <w:rPr>
          <w:sz w:val="22"/>
        </w:rPr>
      </w:pPr>
      <w:r>
        <w:rPr>
          <w:sz w:val="22"/>
        </w:rPr>
        <w:t>Став независимым децентрализованным учреждением высокого уровня, он получил расширенные полномочия и функции, назначил министра по вопросам положения женщины. Министр является уполномоченным представителем Института и принимает участие в работе Совета правительства. Этот факт чрезвычайно важен, так как через назначенного представителя Институт оказывает влияние на процесс принятия государственных решений и стимулирует проведение политики в области равноправия мужчин и женщин.</w:t>
      </w:r>
    </w:p>
    <w:p w:rsidR="00000000" w:rsidRDefault="00000000">
      <w:pPr>
        <w:tabs>
          <w:tab w:val="left" w:pos="680"/>
        </w:tabs>
        <w:spacing w:before="240" w:line="260" w:lineRule="exact"/>
        <w:jc w:val="both"/>
        <w:rPr>
          <w:sz w:val="22"/>
        </w:rPr>
      </w:pPr>
      <w:r>
        <w:rPr>
          <w:sz w:val="22"/>
        </w:rPr>
        <w:t>Это соответствует положениям Пекинской платформы действий, в которой в качестве необходимых условий для эффективной работы механизмов продвижения женщин устанавливается:</w:t>
      </w:r>
    </w:p>
    <w:p w:rsidR="00000000" w:rsidRDefault="00000000">
      <w:pPr>
        <w:tabs>
          <w:tab w:val="left" w:pos="680"/>
        </w:tabs>
        <w:spacing w:before="240" w:line="260" w:lineRule="exact"/>
        <w:jc w:val="both"/>
        <w:rPr>
          <w:sz w:val="22"/>
        </w:rPr>
      </w:pPr>
      <w:r>
        <w:rPr>
          <w:sz w:val="22"/>
        </w:rPr>
        <w:t>Такие механизмы должны действовать на высшем правительственном уровне, и ответственность за их работу возлагается на одного из министров – членов кабинета.</w:t>
      </w:r>
    </w:p>
    <w:p w:rsidR="00000000" w:rsidRDefault="00000000">
      <w:pPr>
        <w:tabs>
          <w:tab w:val="left" w:pos="680"/>
        </w:tabs>
        <w:spacing w:before="240" w:line="260" w:lineRule="exact"/>
        <w:jc w:val="both"/>
        <w:rPr>
          <w:sz w:val="22"/>
        </w:rPr>
      </w:pPr>
      <w:r>
        <w:rPr>
          <w:sz w:val="22"/>
        </w:rPr>
        <w:t>Они должны располагать достаточными бюджетными средствами и квалифицированными кадрами, а также возможностями участвовать в разработке государственной политики и в планировании, с тем чтобы обеспечить учет гендерной проблематики.</w:t>
      </w:r>
    </w:p>
    <w:p w:rsidR="00000000" w:rsidRDefault="00000000">
      <w:pPr>
        <w:tabs>
          <w:tab w:val="left" w:pos="680"/>
        </w:tabs>
        <w:spacing w:line="260" w:lineRule="exact"/>
        <w:jc w:val="both"/>
        <w:rPr>
          <w:sz w:val="22"/>
        </w:rPr>
      </w:pPr>
      <w:r>
        <w:rPr>
          <w:b/>
          <w:sz w:val="22"/>
        </w:rPr>
        <w:br w:type="page"/>
        <w:t>Цели:</w:t>
      </w:r>
    </w:p>
    <w:p w:rsidR="00000000" w:rsidRDefault="00000000">
      <w:pPr>
        <w:tabs>
          <w:tab w:val="left" w:pos="680"/>
        </w:tabs>
        <w:spacing w:before="240" w:line="260" w:lineRule="exact"/>
        <w:jc w:val="both"/>
        <w:rPr>
          <w:sz w:val="22"/>
        </w:rPr>
      </w:pPr>
      <w:r>
        <w:rPr>
          <w:sz w:val="22"/>
        </w:rPr>
        <w:t>Выработка государственной политики при наличии подлинного консенсуса и политической легитимности. Это обеспечит устойчивый характер такой политики, несмотря на возможные перемены политического или иного характера.</w:t>
      </w:r>
    </w:p>
    <w:p w:rsidR="00000000" w:rsidRDefault="00000000">
      <w:pPr>
        <w:tabs>
          <w:tab w:val="left" w:pos="680"/>
        </w:tabs>
        <w:spacing w:before="240" w:line="260" w:lineRule="exact"/>
        <w:jc w:val="both"/>
        <w:rPr>
          <w:sz w:val="22"/>
        </w:rPr>
      </w:pPr>
      <w:r>
        <w:rPr>
          <w:sz w:val="22"/>
        </w:rPr>
        <w:t>Выработка государственной стратегии, имеющей целью качественное изменение подхода к решению гендерных вопросов. Долгое время действия в этом направлении были эпизодическими и несогласованными, и пришло время изменить ситуацию.</w:t>
      </w:r>
    </w:p>
    <w:p w:rsidR="00000000" w:rsidRDefault="00000000">
      <w:pPr>
        <w:tabs>
          <w:tab w:val="left" w:pos="680"/>
        </w:tabs>
        <w:spacing w:before="240" w:line="260" w:lineRule="exact"/>
        <w:jc w:val="both"/>
        <w:rPr>
          <w:sz w:val="22"/>
        </w:rPr>
      </w:pPr>
      <w:r>
        <w:rPr>
          <w:sz w:val="22"/>
        </w:rPr>
        <w:t xml:space="preserve">Разрабатывать политику государственного масштаба, учитывающую нужды и интересы женщин, принадлежащих к различным социальным и этническим группам. </w:t>
      </w:r>
    </w:p>
    <w:p w:rsidR="00000000" w:rsidRDefault="00000000">
      <w:pPr>
        <w:tabs>
          <w:tab w:val="left" w:pos="680"/>
        </w:tabs>
        <w:spacing w:before="240" w:line="260" w:lineRule="exact"/>
        <w:jc w:val="both"/>
        <w:rPr>
          <w:sz w:val="22"/>
        </w:rPr>
      </w:pPr>
      <w:r>
        <w:rPr>
          <w:sz w:val="22"/>
        </w:rPr>
        <w:t>Разрабатывать политику, которая позволит консолидировать деятельность различных политических сил, общественных организаций, женского движения, правительственных структур.</w:t>
      </w:r>
    </w:p>
    <w:p w:rsidR="00000000" w:rsidRDefault="00000000">
      <w:pPr>
        <w:tabs>
          <w:tab w:val="left" w:pos="680"/>
        </w:tabs>
        <w:spacing w:line="260" w:lineRule="exact"/>
        <w:jc w:val="both"/>
        <w:rPr>
          <w:sz w:val="22"/>
        </w:rPr>
      </w:pPr>
    </w:p>
    <w:p w:rsidR="00000000" w:rsidRDefault="00000000">
      <w:pPr>
        <w:tabs>
          <w:tab w:val="left" w:pos="680"/>
        </w:tabs>
        <w:spacing w:before="240" w:line="260" w:lineRule="exact"/>
        <w:jc w:val="both"/>
        <w:rPr>
          <w:sz w:val="22"/>
        </w:rPr>
      </w:pPr>
      <w:r>
        <w:rPr>
          <w:b/>
          <w:sz w:val="22"/>
        </w:rPr>
        <w:t>Задачи:</w:t>
      </w:r>
    </w:p>
    <w:p w:rsidR="00000000" w:rsidRDefault="00000000">
      <w:pPr>
        <w:tabs>
          <w:tab w:val="left" w:pos="680"/>
        </w:tabs>
        <w:spacing w:before="240" w:line="260" w:lineRule="exact"/>
        <w:jc w:val="both"/>
        <w:rPr>
          <w:sz w:val="22"/>
        </w:rPr>
      </w:pPr>
      <w:r>
        <w:rPr>
          <w:sz w:val="22"/>
        </w:rPr>
        <w:t>"Разрабатывать и внедрять государственную политику в области гендерного равноправия в тесном взаимодействии с государственными учреждениями и структурами, занимающимися осуществлением программ по улучшению положения женщин, а также в сотрудничестве с общественными организациями.</w:t>
      </w:r>
    </w:p>
    <w:p w:rsidR="00000000" w:rsidRDefault="00000000">
      <w:pPr>
        <w:tabs>
          <w:tab w:val="left" w:pos="680"/>
        </w:tabs>
        <w:spacing w:before="240" w:line="260" w:lineRule="exact"/>
        <w:jc w:val="both"/>
        <w:rPr>
          <w:sz w:val="22"/>
        </w:rPr>
      </w:pPr>
      <w:r>
        <w:rPr>
          <w:sz w:val="22"/>
        </w:rPr>
        <w:t>Защищать права женщин, провозглашенные в международных декларациях, конвенциях и договорах и в законодательстве Коста-Рики. Способствовать установлению гендерного равноправия и осуществлять мероприятия по улучшению положения женщин.</w:t>
      </w:r>
    </w:p>
    <w:p w:rsidR="00000000" w:rsidRDefault="00000000">
      <w:pPr>
        <w:tabs>
          <w:tab w:val="left" w:pos="680"/>
        </w:tabs>
        <w:spacing w:before="240" w:line="260" w:lineRule="exact"/>
        <w:jc w:val="both"/>
        <w:rPr>
          <w:sz w:val="22"/>
        </w:rPr>
      </w:pPr>
      <w:r>
        <w:rPr>
          <w:sz w:val="22"/>
        </w:rPr>
        <w:t>Координировать работу государственных учреждений и следить за тем, чтобы они проводили надлежащую государственную политику в социальной сфере и в области развития человеческого потенциала. Направлять деятельность различных ведомственных и организационных структур по проведению политики гендерного равенства.</w:t>
      </w:r>
    </w:p>
    <w:p w:rsidR="00000000" w:rsidRDefault="00000000">
      <w:pPr>
        <w:tabs>
          <w:tab w:val="left" w:pos="680"/>
        </w:tabs>
        <w:spacing w:before="240" w:line="260" w:lineRule="exact"/>
        <w:jc w:val="both"/>
        <w:rPr>
          <w:sz w:val="22"/>
        </w:rPr>
      </w:pPr>
      <w:r>
        <w:rPr>
          <w:sz w:val="22"/>
        </w:rPr>
        <w:t>Способствовать участию женщин в общественной, политической, культурной и экономической жизни страны и следить за тем, чтобы они могли в полной мере пользоваться равными с мужчинами правами" (статья 3).</w:t>
      </w:r>
    </w:p>
    <w:p w:rsidR="00000000" w:rsidRDefault="00000000">
      <w:pPr>
        <w:tabs>
          <w:tab w:val="left" w:pos="680"/>
        </w:tabs>
        <w:spacing w:line="260" w:lineRule="exact"/>
        <w:jc w:val="both"/>
        <w:rPr>
          <w:sz w:val="22"/>
        </w:rPr>
      </w:pPr>
    </w:p>
    <w:p w:rsidR="00000000" w:rsidRDefault="00000000">
      <w:pPr>
        <w:tabs>
          <w:tab w:val="left" w:pos="680"/>
        </w:tabs>
        <w:spacing w:before="240" w:line="260" w:lineRule="exact"/>
        <w:jc w:val="both"/>
        <w:rPr>
          <w:b/>
          <w:sz w:val="22"/>
        </w:rPr>
      </w:pPr>
      <w:r>
        <w:rPr>
          <w:b/>
          <w:sz w:val="22"/>
        </w:rPr>
        <w:t>Функции:</w:t>
      </w:r>
    </w:p>
    <w:p w:rsidR="00000000" w:rsidRDefault="00000000">
      <w:pPr>
        <w:pStyle w:val="BodyText"/>
        <w:tabs>
          <w:tab w:val="left" w:pos="680"/>
        </w:tabs>
        <w:spacing w:before="240" w:line="260" w:lineRule="exact"/>
        <w:rPr>
          <w:sz w:val="22"/>
        </w:rPr>
      </w:pPr>
      <w:r>
        <w:rPr>
          <w:sz w:val="22"/>
        </w:rPr>
        <w:t>"Разрабатывать, проводить и координировать государственную политику в интересах женщин и обеспечения равенства прав и возможностей как мужчин, так и женщин.</w:t>
      </w:r>
    </w:p>
    <w:p w:rsidR="00000000" w:rsidRDefault="00000000">
      <w:pPr>
        <w:tabs>
          <w:tab w:val="left" w:pos="680"/>
        </w:tabs>
        <w:spacing w:before="240" w:line="260" w:lineRule="exact"/>
        <w:jc w:val="both"/>
        <w:rPr>
          <w:sz w:val="22"/>
        </w:rPr>
      </w:pPr>
      <w:r>
        <w:rPr>
          <w:sz w:val="22"/>
        </w:rPr>
        <w:t>Координировать всю политику в области развития человеческого потенциала, проводимую государственными учреждениями, с тем чтобы она предусматривала равенство возможностей как для мужчин, так и для женщин.</w:t>
      </w:r>
    </w:p>
    <w:p w:rsidR="00000000" w:rsidRDefault="00000000">
      <w:pPr>
        <w:tabs>
          <w:tab w:val="left" w:pos="680"/>
        </w:tabs>
        <w:spacing w:before="240" w:line="260" w:lineRule="exact"/>
        <w:jc w:val="both"/>
        <w:rPr>
          <w:sz w:val="22"/>
        </w:rPr>
      </w:pPr>
      <w:r>
        <w:rPr>
          <w:sz w:val="22"/>
        </w:rPr>
        <w:t>Разрабатывать и осуществлять планы, программы и проекты Института, которые будут признаны необходимыми для выполнения поставленных задач.</w:t>
      </w:r>
    </w:p>
    <w:p w:rsidR="00000000" w:rsidRDefault="00000000">
      <w:pPr>
        <w:tabs>
          <w:tab w:val="left" w:pos="680"/>
        </w:tabs>
        <w:spacing w:before="240" w:line="260" w:lineRule="exact"/>
        <w:jc w:val="both"/>
        <w:rPr>
          <w:sz w:val="22"/>
        </w:rPr>
      </w:pPr>
      <w:r>
        <w:rPr>
          <w:sz w:val="22"/>
        </w:rPr>
        <w:t>Координировать деятельность органов, являющихся частью государственного аппарата, в целях улучшения положения женщин и обеспечения равноправия.</w:t>
      </w:r>
    </w:p>
    <w:p w:rsidR="00000000" w:rsidRDefault="00000000">
      <w:pPr>
        <w:tabs>
          <w:tab w:val="left" w:pos="680"/>
        </w:tabs>
        <w:spacing w:before="240" w:line="260" w:lineRule="exact"/>
        <w:jc w:val="both"/>
        <w:rPr>
          <w:sz w:val="22"/>
        </w:rPr>
      </w:pPr>
      <w:r>
        <w:rPr>
          <w:sz w:val="22"/>
        </w:rPr>
        <w:t>Способствовать созданию министерских и отраслевых управлений по делам женщин и обеспечивать их согласованную работу.</w:t>
      </w:r>
    </w:p>
    <w:p w:rsidR="00000000" w:rsidRDefault="00000000">
      <w:pPr>
        <w:tabs>
          <w:tab w:val="left" w:pos="680"/>
        </w:tabs>
        <w:spacing w:before="240" w:line="260" w:lineRule="exact"/>
        <w:jc w:val="both"/>
        <w:rPr>
          <w:sz w:val="22"/>
        </w:rPr>
      </w:pPr>
      <w:r>
        <w:rPr>
          <w:sz w:val="22"/>
        </w:rPr>
        <w:t>Разрабатывать, координировать и проводить мероприятия в интересах семьи как общественного института в духе уважения к правам человека и признания равенства возможностей для мужчин и женщин.</w:t>
      </w:r>
    </w:p>
    <w:p w:rsidR="00000000" w:rsidRDefault="00000000">
      <w:pPr>
        <w:tabs>
          <w:tab w:val="left" w:pos="680"/>
        </w:tabs>
        <w:spacing w:before="240" w:line="260" w:lineRule="exact"/>
        <w:jc w:val="both"/>
        <w:rPr>
          <w:sz w:val="22"/>
        </w:rPr>
      </w:pPr>
      <w:r>
        <w:rPr>
          <w:sz w:val="22"/>
        </w:rPr>
        <w:t>Оказывать юридическую помощь и давать консультации всем государственным структурам по вопросам недопустимости в их деятельности проявлений дискриминации по гендерному признаку.</w:t>
      </w:r>
    </w:p>
    <w:p w:rsidR="00000000" w:rsidRDefault="00000000">
      <w:pPr>
        <w:tabs>
          <w:tab w:val="left" w:pos="680"/>
        </w:tabs>
        <w:spacing w:before="240" w:line="260" w:lineRule="exact"/>
        <w:jc w:val="both"/>
        <w:rPr>
          <w:sz w:val="22"/>
        </w:rPr>
      </w:pPr>
      <w:r>
        <w:rPr>
          <w:sz w:val="22"/>
        </w:rPr>
        <w:t>Следить за тем, чтобы распоряжения властей не носили дискриминационного характера и не нарушали права женщин.</w:t>
      </w:r>
    </w:p>
    <w:p w:rsidR="00000000" w:rsidRDefault="00000000">
      <w:pPr>
        <w:tabs>
          <w:tab w:val="left" w:pos="680"/>
        </w:tabs>
        <w:spacing w:before="240" w:line="260" w:lineRule="exact"/>
        <w:jc w:val="both"/>
        <w:rPr>
          <w:sz w:val="22"/>
        </w:rPr>
      </w:pPr>
      <w:r>
        <w:rPr>
          <w:sz w:val="22"/>
        </w:rPr>
        <w:t>Выработать подход в отношении рассмотрения законопроектов, касающихся гендерной проблематики, а также положения женщин и семей.</w:t>
      </w:r>
    </w:p>
    <w:p w:rsidR="00000000" w:rsidRDefault="00000000">
      <w:pPr>
        <w:tabs>
          <w:tab w:val="left" w:pos="680"/>
        </w:tabs>
        <w:spacing w:before="240" w:line="260" w:lineRule="exact"/>
        <w:jc w:val="both"/>
        <w:rPr>
          <w:sz w:val="22"/>
        </w:rPr>
      </w:pPr>
      <w:r>
        <w:rPr>
          <w:sz w:val="22"/>
        </w:rPr>
        <w:t>Способствовать созданию и обеспечить работу фонда содействия производственной и организационной деятельности женщин.</w:t>
      </w:r>
    </w:p>
    <w:p w:rsidR="00000000" w:rsidRDefault="00000000">
      <w:pPr>
        <w:tabs>
          <w:tab w:val="left" w:pos="680"/>
        </w:tabs>
        <w:spacing w:before="240" w:line="260" w:lineRule="exact"/>
        <w:jc w:val="both"/>
        <w:rPr>
          <w:sz w:val="22"/>
        </w:rPr>
      </w:pPr>
      <w:r>
        <w:rPr>
          <w:sz w:val="22"/>
        </w:rPr>
        <w:t>При необходимости вмешиваться в судопроизводство, в ходе которого ущемляются права женщин.</w:t>
      </w:r>
    </w:p>
    <w:p w:rsidR="00000000" w:rsidRDefault="00000000">
      <w:pPr>
        <w:tabs>
          <w:tab w:val="left" w:pos="680"/>
        </w:tabs>
        <w:spacing w:before="240" w:line="260" w:lineRule="exact"/>
        <w:jc w:val="both"/>
        <w:rPr>
          <w:sz w:val="22"/>
        </w:rPr>
      </w:pPr>
      <w:r>
        <w:rPr>
          <w:sz w:val="22"/>
        </w:rPr>
        <w:t>Способствовать проведению исследований по изучению условий жизни женщин, их правового статуса, положения семей, осуществлять инициативы по улучшению ситуации.</w:t>
      </w:r>
    </w:p>
    <w:p w:rsidR="00000000" w:rsidRDefault="00000000">
      <w:pPr>
        <w:tabs>
          <w:tab w:val="left" w:pos="680"/>
        </w:tabs>
        <w:spacing w:before="240" w:line="260" w:lineRule="exact"/>
        <w:jc w:val="both"/>
        <w:rPr>
          <w:sz w:val="22"/>
        </w:rPr>
      </w:pPr>
      <w:r>
        <w:rPr>
          <w:sz w:val="22"/>
        </w:rPr>
        <w:t>Поддерживать сотрудничество с международными организациями, занимающимися проблемами женщин, не вмешиваясь при этом в функции исполнительной власти в сфере внешней политики.</w:t>
      </w:r>
    </w:p>
    <w:p w:rsidR="00000000" w:rsidRDefault="00000000">
      <w:pPr>
        <w:tabs>
          <w:tab w:val="left" w:pos="680"/>
        </w:tabs>
        <w:spacing w:before="240" w:line="260" w:lineRule="exact"/>
        <w:jc w:val="both"/>
        <w:rPr>
          <w:sz w:val="22"/>
        </w:rPr>
      </w:pPr>
      <w:r>
        <w:rPr>
          <w:sz w:val="22"/>
        </w:rPr>
        <w:t>Поощрять объединение женщин в организации и оказывать им необходимую помощь для дальнейшего развития" (статья 4).</w:t>
      </w:r>
    </w:p>
    <w:p w:rsidR="00000000" w:rsidRDefault="00000000">
      <w:pPr>
        <w:tabs>
          <w:tab w:val="left" w:pos="680"/>
        </w:tabs>
        <w:spacing w:before="240" w:line="260" w:lineRule="exact"/>
        <w:jc w:val="both"/>
        <w:rPr>
          <w:sz w:val="22"/>
        </w:rPr>
      </w:pPr>
    </w:p>
    <w:p w:rsidR="00000000" w:rsidRDefault="00000000">
      <w:pPr>
        <w:tabs>
          <w:tab w:val="left" w:pos="680"/>
        </w:tabs>
        <w:jc w:val="center"/>
        <w:rPr>
          <w:b/>
        </w:rPr>
      </w:pPr>
      <w:r>
        <w:rPr>
          <w:b/>
          <w:sz w:val="22"/>
        </w:rPr>
        <w:br w:type="page"/>
      </w:r>
      <w:r>
        <w:rPr>
          <w:b/>
        </w:rPr>
        <w:t>Приложение № 4</w:t>
      </w:r>
    </w:p>
    <w:p w:rsidR="00000000" w:rsidRDefault="00000000">
      <w:pPr>
        <w:pStyle w:val="Heading6"/>
        <w:tabs>
          <w:tab w:val="left" w:pos="680"/>
        </w:tabs>
        <w:spacing w:before="240" w:line="260" w:lineRule="exact"/>
        <w:rPr>
          <w:sz w:val="22"/>
        </w:rPr>
      </w:pPr>
      <w:r>
        <w:rPr>
          <w:sz w:val="22"/>
        </w:rPr>
        <w:t>НАЦИОНАЛЬНЫЙ ИНСТИТУТ ПО ДЕЛАМ ЖЕНЩИН</w:t>
      </w:r>
    </w:p>
    <w:p w:rsidR="00000000" w:rsidRDefault="00000000">
      <w:pPr>
        <w:tabs>
          <w:tab w:val="left" w:pos="680"/>
        </w:tabs>
        <w:spacing w:before="240" w:line="260" w:lineRule="exact"/>
        <w:jc w:val="center"/>
        <w:rPr>
          <w:b/>
          <w:sz w:val="22"/>
        </w:rPr>
      </w:pPr>
      <w:r>
        <w:rPr>
          <w:b/>
          <w:sz w:val="22"/>
        </w:rPr>
        <w:t>Воздействие на государственную политику в области равноправия</w:t>
      </w:r>
    </w:p>
    <w:p w:rsidR="00000000" w:rsidRDefault="00000000">
      <w:pPr>
        <w:tabs>
          <w:tab w:val="left" w:pos="680"/>
        </w:tabs>
        <w:spacing w:before="240" w:line="260" w:lineRule="exact"/>
        <w:rPr>
          <w:b/>
          <w:sz w:val="22"/>
        </w:rPr>
      </w:pPr>
      <w:r>
        <w:rPr>
          <w:b/>
          <w:sz w:val="22"/>
        </w:rPr>
        <w:t xml:space="preserve">Критерии оценки результатов деятельности по внедрению гендерного подхода </w:t>
      </w:r>
      <w:r>
        <w:rPr>
          <w:b/>
          <w:sz w:val="22"/>
        </w:rPr>
        <w:br/>
        <w:t>в работу учреждений</w:t>
      </w:r>
    </w:p>
    <w:p w:rsidR="00000000" w:rsidRDefault="00000000">
      <w:pPr>
        <w:tabs>
          <w:tab w:val="left" w:pos="680"/>
        </w:tabs>
        <w:spacing w:before="240" w:after="120" w:line="260" w:lineRule="exact"/>
        <w:jc w:val="both"/>
        <w:rPr>
          <w:sz w:val="22"/>
        </w:rPr>
      </w:pPr>
      <w:r>
        <w:rPr>
          <w:sz w:val="22"/>
        </w:rPr>
        <w:t xml:space="preserve">Для того чтобы получить представление о внедрении гендерного подхода в работу учреждений через создание отраслевых отделений по делам женщин, предлагаются следующие критерии с указанием целей и задач таких отделений.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5670"/>
      </w:tblGrid>
      <w:tr w:rsidR="00000000">
        <w:tblPrEx>
          <w:tblCellMar>
            <w:top w:w="0" w:type="dxa"/>
            <w:bottom w:w="0" w:type="dxa"/>
          </w:tblCellMar>
        </w:tblPrEx>
        <w:trPr>
          <w:jc w:val="center"/>
        </w:trPr>
        <w:tc>
          <w:tcPr>
            <w:tcW w:w="5670" w:type="dxa"/>
          </w:tcPr>
          <w:p w:rsidR="00000000" w:rsidRDefault="00000000">
            <w:pPr>
              <w:pStyle w:val="Heading2"/>
              <w:tabs>
                <w:tab w:val="left" w:pos="680"/>
              </w:tabs>
              <w:spacing w:before="120" w:after="120" w:line="260" w:lineRule="exact"/>
              <w:jc w:val="both"/>
              <w:rPr>
                <w:sz w:val="22"/>
              </w:rPr>
            </w:pPr>
            <w:r>
              <w:rPr>
                <w:sz w:val="22"/>
              </w:rPr>
              <w:t>ЦЕЛИ</w:t>
            </w:r>
          </w:p>
        </w:tc>
      </w:tr>
      <w:tr w:rsidR="00000000">
        <w:tblPrEx>
          <w:tblCellMar>
            <w:top w:w="0" w:type="dxa"/>
            <w:bottom w:w="0" w:type="dxa"/>
          </w:tblCellMar>
        </w:tblPrEx>
        <w:trPr>
          <w:jc w:val="center"/>
        </w:trPr>
        <w:tc>
          <w:tcPr>
            <w:tcW w:w="5670" w:type="dxa"/>
          </w:tcPr>
          <w:p w:rsidR="00000000" w:rsidRDefault="00000000">
            <w:pPr>
              <w:tabs>
                <w:tab w:val="left" w:pos="680"/>
              </w:tabs>
              <w:spacing w:before="120" w:after="120" w:line="260" w:lineRule="exact"/>
              <w:jc w:val="both"/>
              <w:rPr>
                <w:sz w:val="22"/>
              </w:rPr>
            </w:pPr>
            <w:r>
              <w:rPr>
                <w:sz w:val="22"/>
              </w:rPr>
              <w:t>Целью отраслевых отделений является содействие внедрению гендерного подхода в деятельность учреждений путем активизации, координации и контроля реформирования в сфере организационной культуры, которые подразумевают предоставление услуг на равных условиях и соблюдение принципов равенства прав и возможностей в сфере труда.</w:t>
            </w:r>
          </w:p>
        </w:tc>
      </w:tr>
    </w:tbl>
    <w:p w:rsidR="00000000" w:rsidRDefault="00000000">
      <w:pPr>
        <w:tabs>
          <w:tab w:val="left" w:pos="680"/>
        </w:tabs>
        <w:spacing w:before="240" w:after="120" w:line="260" w:lineRule="exact"/>
        <w:jc w:val="both"/>
        <w:rPr>
          <w:sz w:val="22"/>
        </w:rPr>
      </w:pPr>
      <w:r>
        <w:rPr>
          <w:sz w:val="22"/>
        </w:rPr>
        <w:t>Достижение этих целей связано с выполнением следующих задач:</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5670"/>
      </w:tblGrid>
      <w:tr w:rsidR="00000000">
        <w:tblPrEx>
          <w:tblCellMar>
            <w:top w:w="0" w:type="dxa"/>
            <w:bottom w:w="0" w:type="dxa"/>
          </w:tblCellMar>
        </w:tblPrEx>
        <w:trPr>
          <w:jc w:val="center"/>
        </w:trPr>
        <w:tc>
          <w:tcPr>
            <w:tcW w:w="5670" w:type="dxa"/>
          </w:tcPr>
          <w:p w:rsidR="00000000" w:rsidRDefault="00000000">
            <w:pPr>
              <w:pStyle w:val="Heading2"/>
              <w:tabs>
                <w:tab w:val="left" w:pos="680"/>
              </w:tabs>
              <w:spacing w:before="120" w:after="120" w:line="260" w:lineRule="exact"/>
              <w:jc w:val="both"/>
              <w:rPr>
                <w:sz w:val="22"/>
              </w:rPr>
            </w:pPr>
            <w:r>
              <w:rPr>
                <w:sz w:val="22"/>
              </w:rPr>
              <w:t>ЗАДАЧИ</w:t>
            </w:r>
          </w:p>
        </w:tc>
      </w:tr>
      <w:tr w:rsidR="00000000">
        <w:tblPrEx>
          <w:tblCellMar>
            <w:top w:w="0" w:type="dxa"/>
            <w:bottom w:w="0" w:type="dxa"/>
          </w:tblCellMar>
        </w:tblPrEx>
        <w:trPr>
          <w:jc w:val="center"/>
        </w:trPr>
        <w:tc>
          <w:tcPr>
            <w:tcW w:w="5670" w:type="dxa"/>
          </w:tcPr>
          <w:p w:rsidR="00000000" w:rsidRDefault="00000000">
            <w:pPr>
              <w:numPr>
                <w:ilvl w:val="0"/>
                <w:numId w:val="163"/>
              </w:numPr>
              <w:tabs>
                <w:tab w:val="clear" w:pos="360"/>
                <w:tab w:val="left" w:pos="340"/>
                <w:tab w:val="left" w:pos="680"/>
              </w:tabs>
              <w:spacing w:before="120" w:after="120" w:line="260" w:lineRule="exact"/>
              <w:ind w:left="340" w:hanging="340"/>
              <w:jc w:val="both"/>
              <w:rPr>
                <w:sz w:val="22"/>
              </w:rPr>
            </w:pPr>
            <w:r>
              <w:rPr>
                <w:sz w:val="22"/>
              </w:rPr>
              <w:t>Способствовать применению гендерного подхода в планировании деятельности ведомств и во внутренних административных процессах.</w:t>
            </w:r>
          </w:p>
          <w:p w:rsidR="00000000" w:rsidRDefault="00000000">
            <w:pPr>
              <w:numPr>
                <w:ilvl w:val="0"/>
                <w:numId w:val="163"/>
              </w:numPr>
              <w:tabs>
                <w:tab w:val="clear" w:pos="360"/>
                <w:tab w:val="left" w:pos="340"/>
                <w:tab w:val="left" w:pos="680"/>
              </w:tabs>
              <w:spacing w:before="120" w:after="120" w:line="260" w:lineRule="exact"/>
              <w:ind w:left="340" w:hanging="340"/>
              <w:jc w:val="both"/>
              <w:rPr>
                <w:sz w:val="22"/>
              </w:rPr>
            </w:pPr>
            <w:r>
              <w:rPr>
                <w:sz w:val="22"/>
              </w:rPr>
              <w:t>Контролировать и поддерживать государственную политику в области гендерного равенства в деятельности ведомств.</w:t>
            </w:r>
          </w:p>
          <w:p w:rsidR="00000000" w:rsidRDefault="00000000">
            <w:pPr>
              <w:numPr>
                <w:ilvl w:val="0"/>
                <w:numId w:val="163"/>
              </w:numPr>
              <w:tabs>
                <w:tab w:val="clear" w:pos="360"/>
                <w:tab w:val="left" w:pos="340"/>
                <w:tab w:val="left" w:pos="680"/>
              </w:tabs>
              <w:spacing w:before="120" w:after="120" w:line="260" w:lineRule="exact"/>
              <w:ind w:left="340" w:hanging="340"/>
              <w:jc w:val="both"/>
              <w:rPr>
                <w:sz w:val="22"/>
              </w:rPr>
            </w:pPr>
            <w:r>
              <w:rPr>
                <w:sz w:val="22"/>
              </w:rPr>
              <w:t>Влиять на принятие решений, связанных со стратегическими программами поддержки женщин, со стороны чиновников высшего звена.</w:t>
            </w:r>
          </w:p>
          <w:p w:rsidR="00000000" w:rsidRDefault="00000000">
            <w:pPr>
              <w:numPr>
                <w:ilvl w:val="0"/>
                <w:numId w:val="163"/>
              </w:numPr>
              <w:tabs>
                <w:tab w:val="clear" w:pos="360"/>
                <w:tab w:val="left" w:pos="340"/>
                <w:tab w:val="left" w:pos="680"/>
              </w:tabs>
              <w:spacing w:before="120" w:after="120" w:line="260" w:lineRule="exact"/>
              <w:ind w:left="340" w:hanging="340"/>
              <w:jc w:val="both"/>
              <w:rPr>
                <w:sz w:val="22"/>
              </w:rPr>
            </w:pPr>
            <w:r>
              <w:rPr>
                <w:sz w:val="22"/>
              </w:rPr>
              <w:t>Координировать выполнение отраслевых обязательств по выполнению правительственных планов и программ, направленных на обеспечение равноправия мужчин и женщин.</w:t>
            </w:r>
          </w:p>
          <w:p w:rsidR="00000000" w:rsidRDefault="00000000">
            <w:pPr>
              <w:numPr>
                <w:ilvl w:val="0"/>
                <w:numId w:val="163"/>
              </w:numPr>
              <w:tabs>
                <w:tab w:val="clear" w:pos="360"/>
                <w:tab w:val="left" w:pos="340"/>
                <w:tab w:val="left" w:pos="680"/>
              </w:tabs>
              <w:spacing w:before="120" w:after="120" w:line="260" w:lineRule="exact"/>
              <w:ind w:left="340" w:hanging="340"/>
              <w:jc w:val="both"/>
              <w:rPr>
                <w:sz w:val="22"/>
              </w:rPr>
            </w:pPr>
            <w:r>
              <w:rPr>
                <w:sz w:val="22"/>
              </w:rPr>
              <w:t>Получать консультации по случаям дискриминации по гендерному признаку в отношении служащих и поручать решение таких вопросов компетентным органам.</w:t>
            </w:r>
          </w:p>
        </w:tc>
      </w:tr>
    </w:tbl>
    <w:p w:rsidR="00000000" w:rsidRDefault="00000000">
      <w:pPr>
        <w:pStyle w:val="BodyText"/>
        <w:tabs>
          <w:tab w:val="left" w:pos="680"/>
        </w:tabs>
        <w:spacing w:before="240" w:line="260" w:lineRule="exact"/>
        <w:rPr>
          <w:sz w:val="22"/>
        </w:rPr>
      </w:pPr>
      <w:r>
        <w:rPr>
          <w:sz w:val="22"/>
        </w:rPr>
        <w:t>Исходя из поставленных целей и задач, предлагаются следующие показатели их выполнения.</w:t>
      </w:r>
    </w:p>
    <w:p w:rsidR="00000000" w:rsidRDefault="00000000">
      <w:pPr>
        <w:pStyle w:val="Heading7"/>
        <w:tabs>
          <w:tab w:val="left" w:pos="680"/>
        </w:tabs>
        <w:spacing w:before="480" w:line="260" w:lineRule="exact"/>
        <w:jc w:val="both"/>
        <w:rPr>
          <w:sz w:val="22"/>
        </w:rPr>
      </w:pPr>
      <w:r>
        <w:rPr>
          <w:sz w:val="22"/>
        </w:rPr>
        <w:t>Показатели выполнения поставленных задач</w:t>
      </w:r>
    </w:p>
    <w:p w:rsidR="00000000" w:rsidRDefault="00000000">
      <w:pPr>
        <w:tabs>
          <w:tab w:val="left" w:pos="680"/>
        </w:tabs>
        <w:spacing w:before="240" w:line="260" w:lineRule="exact"/>
        <w:jc w:val="both"/>
        <w:rPr>
          <w:sz w:val="22"/>
        </w:rPr>
      </w:pPr>
      <w:r>
        <w:rPr>
          <w:sz w:val="22"/>
        </w:rPr>
        <w:t xml:space="preserve">Данные показатели обусловлены теми </w:t>
      </w:r>
      <w:r>
        <w:rPr>
          <w:b/>
          <w:sz w:val="22"/>
        </w:rPr>
        <w:t>функциями</w:t>
      </w:r>
      <w:r>
        <w:rPr>
          <w:sz w:val="22"/>
        </w:rPr>
        <w:t>, которые ИНАМУ предложил для отделений по делам женщин:</w:t>
      </w:r>
    </w:p>
    <w:p w:rsidR="00000000" w:rsidRDefault="00000000">
      <w:pPr>
        <w:numPr>
          <w:ilvl w:val="0"/>
          <w:numId w:val="164"/>
        </w:numPr>
        <w:tabs>
          <w:tab w:val="clear" w:pos="360"/>
          <w:tab w:val="left" w:pos="340"/>
          <w:tab w:val="left" w:pos="680"/>
        </w:tabs>
        <w:spacing w:before="240" w:line="260" w:lineRule="exact"/>
        <w:ind w:left="340" w:hanging="340"/>
        <w:jc w:val="both"/>
        <w:rPr>
          <w:sz w:val="22"/>
        </w:rPr>
      </w:pPr>
      <w:r>
        <w:rPr>
          <w:sz w:val="22"/>
        </w:rPr>
        <w:t>Обозначить стратегические сферы деятельности учреждений в целях внедрения принципа равенства прав и возможностей для женщин, пользующихся услугами этих учреждений.</w:t>
      </w:r>
    </w:p>
    <w:p w:rsidR="00000000" w:rsidRDefault="00000000">
      <w:pPr>
        <w:numPr>
          <w:ilvl w:val="0"/>
          <w:numId w:val="164"/>
        </w:numPr>
        <w:tabs>
          <w:tab w:val="clear" w:pos="360"/>
          <w:tab w:val="left" w:pos="340"/>
          <w:tab w:val="left" w:pos="680"/>
        </w:tabs>
        <w:spacing w:before="240" w:line="260" w:lineRule="exact"/>
        <w:ind w:left="340" w:hanging="340"/>
        <w:jc w:val="both"/>
        <w:rPr>
          <w:sz w:val="22"/>
        </w:rPr>
      </w:pPr>
      <w:r>
        <w:rPr>
          <w:sz w:val="22"/>
        </w:rPr>
        <w:t>Поддерживать руководство учреждений в процессе принятия ключевых решений, касающихся содействия женщинам в сфере компетенции данного учреждения.</w:t>
      </w:r>
    </w:p>
    <w:p w:rsidR="00000000" w:rsidRDefault="00000000">
      <w:pPr>
        <w:numPr>
          <w:ilvl w:val="0"/>
          <w:numId w:val="164"/>
        </w:numPr>
        <w:tabs>
          <w:tab w:val="clear" w:pos="360"/>
          <w:tab w:val="left" w:pos="340"/>
          <w:tab w:val="left" w:pos="680"/>
        </w:tabs>
        <w:spacing w:before="240" w:line="260" w:lineRule="exact"/>
        <w:ind w:left="340" w:hanging="340"/>
        <w:jc w:val="both"/>
        <w:rPr>
          <w:sz w:val="22"/>
        </w:rPr>
      </w:pPr>
      <w:r>
        <w:rPr>
          <w:sz w:val="22"/>
        </w:rPr>
        <w:t>Объединять в стратегические союзы ключевые органы учреждения, развивая практику гендерного равноправия.</w:t>
      </w:r>
    </w:p>
    <w:p w:rsidR="00000000" w:rsidRDefault="00000000">
      <w:pPr>
        <w:numPr>
          <w:ilvl w:val="0"/>
          <w:numId w:val="164"/>
        </w:numPr>
        <w:tabs>
          <w:tab w:val="clear" w:pos="360"/>
          <w:tab w:val="left" w:pos="340"/>
          <w:tab w:val="left" w:pos="680"/>
        </w:tabs>
        <w:spacing w:before="240" w:line="260" w:lineRule="exact"/>
        <w:ind w:left="340" w:hanging="340"/>
        <w:jc w:val="both"/>
        <w:rPr>
          <w:sz w:val="22"/>
        </w:rPr>
      </w:pPr>
      <w:r>
        <w:rPr>
          <w:sz w:val="22"/>
        </w:rPr>
        <w:t>Способствовать оказанию консультативной помощи и повышению квалификации в вопросах внедрения гендерного подхода в процессы управления, стратегического планирования и внутренние административные процессы.</w:t>
      </w:r>
    </w:p>
    <w:p w:rsidR="00000000" w:rsidRDefault="00000000">
      <w:pPr>
        <w:numPr>
          <w:ilvl w:val="0"/>
          <w:numId w:val="164"/>
        </w:numPr>
        <w:tabs>
          <w:tab w:val="clear" w:pos="360"/>
          <w:tab w:val="left" w:pos="340"/>
          <w:tab w:val="left" w:pos="680"/>
        </w:tabs>
        <w:spacing w:before="240" w:line="260" w:lineRule="exact"/>
        <w:ind w:left="340" w:hanging="340"/>
        <w:jc w:val="both"/>
        <w:rPr>
          <w:sz w:val="22"/>
        </w:rPr>
      </w:pPr>
      <w:r>
        <w:rPr>
          <w:sz w:val="22"/>
        </w:rPr>
        <w:t>Координировать действия с ИНАМУ в продвижении и применении государственной политики в области равноправия в своей отрасли и учреждении.</w:t>
      </w:r>
    </w:p>
    <w:p w:rsidR="00000000" w:rsidRDefault="00000000">
      <w:pPr>
        <w:numPr>
          <w:ilvl w:val="0"/>
          <w:numId w:val="164"/>
        </w:numPr>
        <w:tabs>
          <w:tab w:val="clear" w:pos="360"/>
          <w:tab w:val="left" w:pos="340"/>
          <w:tab w:val="left" w:pos="680"/>
        </w:tabs>
        <w:spacing w:before="240" w:line="260" w:lineRule="exact"/>
        <w:ind w:left="340" w:hanging="340"/>
        <w:jc w:val="both"/>
        <w:rPr>
          <w:sz w:val="22"/>
        </w:rPr>
      </w:pPr>
      <w:r>
        <w:rPr>
          <w:sz w:val="22"/>
        </w:rPr>
        <w:t>Участвовать в разработке Стратегического плана действий по преобразованию организационной культуры, с тем чтобы строить отношения в трудовом коллективе и предоставлять услуги женщинам на принципах равноправия.</w:t>
      </w:r>
    </w:p>
    <w:p w:rsidR="00000000" w:rsidRDefault="00000000">
      <w:pPr>
        <w:numPr>
          <w:ilvl w:val="0"/>
          <w:numId w:val="164"/>
        </w:numPr>
        <w:tabs>
          <w:tab w:val="clear" w:pos="360"/>
          <w:tab w:val="left" w:pos="340"/>
          <w:tab w:val="left" w:pos="680"/>
        </w:tabs>
        <w:spacing w:before="240" w:line="260" w:lineRule="exact"/>
        <w:ind w:left="340" w:hanging="340"/>
        <w:jc w:val="both"/>
        <w:rPr>
          <w:sz w:val="22"/>
        </w:rPr>
      </w:pPr>
      <w:r>
        <w:rPr>
          <w:sz w:val="22"/>
        </w:rPr>
        <w:t>Вместе с ИНАМУ оказывать техническую помощь специальным комиссиям и органам, созданным для выполнения Стратегического плана действий.</w:t>
      </w:r>
    </w:p>
    <w:p w:rsidR="00000000" w:rsidRDefault="00000000">
      <w:pPr>
        <w:numPr>
          <w:ilvl w:val="0"/>
          <w:numId w:val="164"/>
        </w:numPr>
        <w:tabs>
          <w:tab w:val="clear" w:pos="360"/>
          <w:tab w:val="left" w:pos="340"/>
          <w:tab w:val="left" w:pos="680"/>
        </w:tabs>
        <w:spacing w:before="240" w:line="260" w:lineRule="exact"/>
        <w:ind w:left="340" w:hanging="340"/>
        <w:jc w:val="both"/>
        <w:rPr>
          <w:sz w:val="22"/>
        </w:rPr>
      </w:pPr>
      <w:r>
        <w:rPr>
          <w:sz w:val="22"/>
        </w:rPr>
        <w:t>Участвовать в разработке механизма контроля и оценки выполнения положений, содержащихся в Стратегическом плане действий.</w:t>
      </w:r>
    </w:p>
    <w:p w:rsidR="00000000" w:rsidRDefault="00000000">
      <w:pPr>
        <w:numPr>
          <w:ilvl w:val="0"/>
          <w:numId w:val="164"/>
        </w:numPr>
        <w:tabs>
          <w:tab w:val="clear" w:pos="360"/>
          <w:tab w:val="left" w:pos="340"/>
          <w:tab w:val="left" w:pos="680"/>
        </w:tabs>
        <w:spacing w:before="240" w:line="260" w:lineRule="exact"/>
        <w:ind w:left="340" w:hanging="340"/>
        <w:jc w:val="both"/>
        <w:rPr>
          <w:sz w:val="22"/>
        </w:rPr>
      </w:pPr>
      <w:r>
        <w:rPr>
          <w:sz w:val="22"/>
        </w:rPr>
        <w:t xml:space="preserve">Распределять между отделами учреждения и ответственными лицами обязательства по обеспечению равноправия и равенства возможностей для мужчин и женщин. </w:t>
      </w:r>
    </w:p>
    <w:p w:rsidR="00000000" w:rsidRDefault="00000000">
      <w:pPr>
        <w:numPr>
          <w:ilvl w:val="0"/>
          <w:numId w:val="164"/>
        </w:numPr>
        <w:tabs>
          <w:tab w:val="clear" w:pos="360"/>
          <w:tab w:val="left" w:pos="340"/>
          <w:tab w:val="left" w:pos="680"/>
        </w:tabs>
        <w:spacing w:before="240" w:line="260" w:lineRule="exact"/>
        <w:ind w:left="340" w:hanging="340"/>
        <w:jc w:val="both"/>
        <w:rPr>
          <w:sz w:val="22"/>
        </w:rPr>
      </w:pPr>
      <w:r>
        <w:rPr>
          <w:sz w:val="22"/>
        </w:rPr>
        <w:t>Координировать и проводить совместные мероприятия с отделениями по делам женщин других министерств и ведомств, обмениваться опытом, накопленным в процессе работы.</w:t>
      </w:r>
    </w:p>
    <w:p w:rsidR="00000000" w:rsidRDefault="00000000">
      <w:pPr>
        <w:numPr>
          <w:ilvl w:val="0"/>
          <w:numId w:val="164"/>
        </w:numPr>
        <w:tabs>
          <w:tab w:val="clear" w:pos="360"/>
          <w:tab w:val="left" w:pos="340"/>
          <w:tab w:val="left" w:pos="680"/>
        </w:tabs>
        <w:spacing w:before="240" w:line="260" w:lineRule="exact"/>
        <w:ind w:left="340" w:hanging="340"/>
        <w:jc w:val="both"/>
        <w:rPr>
          <w:sz w:val="22"/>
        </w:rPr>
      </w:pPr>
      <w:r>
        <w:rPr>
          <w:sz w:val="22"/>
        </w:rPr>
        <w:t>Координировать составление отчетов о достижениях в сфере обеспечения равноправия и равенства возможностей в конкретном учреждении, с тем чтобы представить их Совету правительства или министру по делам женщин.</w:t>
      </w:r>
    </w:p>
    <w:p w:rsidR="00000000" w:rsidRDefault="00000000">
      <w:pPr>
        <w:tabs>
          <w:tab w:val="left" w:pos="680"/>
        </w:tabs>
        <w:spacing w:before="240" w:line="260" w:lineRule="exact"/>
        <w:jc w:val="both"/>
        <w:rPr>
          <w:sz w:val="22"/>
        </w:rPr>
      </w:pPr>
      <w:r>
        <w:rPr>
          <w:sz w:val="22"/>
        </w:rPr>
        <w:t>Принимая во внимание, что внедрение гендерного подхода является основной функцией отделений по делам женщин, предлагается оценивать результаты их работы в конкретном учреждении, руководствуясь следующими критериями:</w:t>
      </w:r>
    </w:p>
    <w:p w:rsidR="00000000" w:rsidRDefault="00000000">
      <w:pPr>
        <w:tabs>
          <w:tab w:val="left" w:pos="680"/>
        </w:tabs>
        <w:spacing w:line="260" w:lineRule="exact"/>
        <w:jc w:val="both"/>
        <w:rPr>
          <w:b/>
          <w:sz w:val="22"/>
        </w:rPr>
      </w:pPr>
      <w:r>
        <w:rPr>
          <w:b/>
          <w:sz w:val="22"/>
        </w:rPr>
        <w:br w:type="page"/>
        <w:t>Критерии оценки внедрения гендерного подхода</w:t>
      </w:r>
    </w:p>
    <w:p w:rsidR="00000000" w:rsidRDefault="00000000">
      <w:pPr>
        <w:numPr>
          <w:ilvl w:val="0"/>
          <w:numId w:val="165"/>
        </w:numPr>
        <w:tabs>
          <w:tab w:val="clear" w:pos="360"/>
          <w:tab w:val="left" w:pos="340"/>
          <w:tab w:val="left" w:pos="680"/>
        </w:tabs>
        <w:spacing w:before="240" w:line="260" w:lineRule="exact"/>
        <w:ind w:left="340" w:hanging="340"/>
        <w:jc w:val="both"/>
        <w:rPr>
          <w:sz w:val="22"/>
        </w:rPr>
      </w:pPr>
      <w:r>
        <w:rPr>
          <w:sz w:val="22"/>
        </w:rPr>
        <w:t>На всех основных направлениях деятельности учреждений вводятся критерии дифференцированного подхода к мужчинам и женщинам, которыми руководствуется учреждение для реального достижения равноправия и равенства возможностей. Среди основных направлений деятельности можно отметить:</w:t>
      </w:r>
    </w:p>
    <w:p w:rsidR="00000000" w:rsidRDefault="00000000">
      <w:pPr>
        <w:tabs>
          <w:tab w:val="right" w:pos="680"/>
          <w:tab w:val="left" w:pos="1021"/>
        </w:tabs>
        <w:spacing w:before="240" w:line="260" w:lineRule="exact"/>
        <w:ind w:left="1021" w:hanging="1021"/>
        <w:jc w:val="both"/>
        <w:rPr>
          <w:sz w:val="22"/>
        </w:rPr>
      </w:pPr>
      <w:r>
        <w:rPr>
          <w:sz w:val="22"/>
          <w:lang w:val="en-US"/>
        </w:rPr>
        <w:tab/>
        <w:t>i</w:t>
      </w:r>
      <w:r>
        <w:rPr>
          <w:sz w:val="22"/>
        </w:rPr>
        <w:t>.</w:t>
      </w:r>
      <w:r>
        <w:rPr>
          <w:sz w:val="22"/>
        </w:rPr>
        <w:tab/>
        <w:t>Стратегическое планирование, в том числе определение общей политики отрасли (квартальный или более долгосрочный план).</w:t>
      </w:r>
    </w:p>
    <w:p w:rsidR="00000000" w:rsidRDefault="00000000">
      <w:pPr>
        <w:tabs>
          <w:tab w:val="right" w:pos="680"/>
          <w:tab w:val="left" w:pos="1021"/>
        </w:tabs>
        <w:spacing w:before="240" w:line="260" w:lineRule="exact"/>
        <w:jc w:val="both"/>
        <w:rPr>
          <w:sz w:val="22"/>
        </w:rPr>
      </w:pPr>
      <w:r>
        <w:rPr>
          <w:sz w:val="22"/>
        </w:rPr>
        <w:tab/>
      </w:r>
      <w:r>
        <w:rPr>
          <w:sz w:val="22"/>
          <w:lang w:val="en-US"/>
        </w:rPr>
        <w:t>ii</w:t>
      </w:r>
      <w:r>
        <w:rPr>
          <w:sz w:val="22"/>
        </w:rPr>
        <w:t>.</w:t>
      </w:r>
      <w:r>
        <w:rPr>
          <w:sz w:val="22"/>
        </w:rPr>
        <w:tab/>
        <w:t>План работы учреждения (годовой оперативный план).</w:t>
      </w:r>
    </w:p>
    <w:p w:rsidR="00000000" w:rsidRDefault="00000000">
      <w:pPr>
        <w:tabs>
          <w:tab w:val="right" w:pos="680"/>
          <w:tab w:val="left" w:pos="1021"/>
        </w:tabs>
        <w:spacing w:before="240" w:line="260" w:lineRule="exact"/>
        <w:jc w:val="both"/>
        <w:rPr>
          <w:sz w:val="22"/>
        </w:rPr>
      </w:pPr>
      <w:r>
        <w:rPr>
          <w:sz w:val="22"/>
        </w:rPr>
        <w:tab/>
      </w:r>
      <w:r>
        <w:rPr>
          <w:sz w:val="22"/>
          <w:lang w:val="en-US"/>
        </w:rPr>
        <w:t>ii</w:t>
      </w:r>
      <w:r>
        <w:rPr>
          <w:sz w:val="22"/>
        </w:rPr>
        <w:t>.</w:t>
      </w:r>
      <w:r>
        <w:rPr>
          <w:sz w:val="22"/>
        </w:rPr>
        <w:tab/>
        <w:t>Выделение бюджетных средств (бюджетный план учреждения).</w:t>
      </w:r>
    </w:p>
    <w:p w:rsidR="00000000" w:rsidRDefault="00000000">
      <w:pPr>
        <w:tabs>
          <w:tab w:val="right" w:pos="680"/>
          <w:tab w:val="left" w:pos="1021"/>
        </w:tabs>
        <w:spacing w:before="240" w:line="260" w:lineRule="exact"/>
        <w:ind w:left="1021" w:hanging="1021"/>
        <w:jc w:val="both"/>
        <w:rPr>
          <w:sz w:val="22"/>
        </w:rPr>
      </w:pPr>
      <w:r>
        <w:rPr>
          <w:sz w:val="22"/>
        </w:rPr>
        <w:tab/>
      </w:r>
      <w:r>
        <w:rPr>
          <w:sz w:val="22"/>
          <w:lang w:val="en-US"/>
        </w:rPr>
        <w:t>iv</w:t>
      </w:r>
      <w:r>
        <w:rPr>
          <w:sz w:val="22"/>
        </w:rPr>
        <w:t>.</w:t>
      </w:r>
      <w:r>
        <w:rPr>
          <w:sz w:val="22"/>
        </w:rPr>
        <w:tab/>
        <w:t>Ведение статистики гендерных показателей (сбор, регистрация, обработка, расшифровка и представление информационных данных).</w:t>
      </w:r>
    </w:p>
    <w:p w:rsidR="00000000" w:rsidRDefault="00000000">
      <w:pPr>
        <w:tabs>
          <w:tab w:val="right" w:pos="680"/>
          <w:tab w:val="left" w:pos="1021"/>
        </w:tabs>
        <w:spacing w:before="240" w:line="260" w:lineRule="exact"/>
        <w:ind w:left="1021" w:hanging="1021"/>
        <w:jc w:val="both"/>
        <w:rPr>
          <w:sz w:val="22"/>
        </w:rPr>
      </w:pPr>
      <w:r>
        <w:rPr>
          <w:sz w:val="22"/>
        </w:rPr>
        <w:tab/>
      </w:r>
      <w:r>
        <w:rPr>
          <w:sz w:val="22"/>
          <w:lang w:val="en-US"/>
        </w:rPr>
        <w:t>v</w:t>
      </w:r>
      <w:r>
        <w:rPr>
          <w:sz w:val="22"/>
        </w:rPr>
        <w:t>.</w:t>
      </w:r>
      <w:r>
        <w:rPr>
          <w:sz w:val="22"/>
        </w:rPr>
        <w:tab/>
        <w:t>Пересмотр действующих и создание новых законов, норм и положений, регулирующих деятельность учреждения.</w:t>
      </w:r>
    </w:p>
    <w:p w:rsidR="00000000" w:rsidRDefault="00000000">
      <w:pPr>
        <w:tabs>
          <w:tab w:val="right" w:pos="680"/>
          <w:tab w:val="left" w:pos="1021"/>
        </w:tabs>
        <w:spacing w:before="240" w:line="260" w:lineRule="exact"/>
        <w:ind w:left="1021" w:hanging="1021"/>
        <w:jc w:val="both"/>
        <w:rPr>
          <w:sz w:val="22"/>
        </w:rPr>
      </w:pPr>
      <w:r>
        <w:rPr>
          <w:sz w:val="22"/>
        </w:rPr>
        <w:tab/>
      </w:r>
      <w:r>
        <w:rPr>
          <w:sz w:val="22"/>
          <w:lang w:val="en-US"/>
        </w:rPr>
        <w:t>vi</w:t>
      </w:r>
      <w:r>
        <w:rPr>
          <w:sz w:val="22"/>
        </w:rPr>
        <w:t>.</w:t>
      </w:r>
      <w:r>
        <w:rPr>
          <w:sz w:val="22"/>
        </w:rPr>
        <w:tab/>
        <w:t>Развитие людских ресурсов (системы подбора кадров, обучения и повышения квалификации персонала, стимулов и поощрений, а также оценки качества работы).</w:t>
      </w:r>
    </w:p>
    <w:p w:rsidR="00000000" w:rsidRDefault="00000000">
      <w:pPr>
        <w:tabs>
          <w:tab w:val="right" w:pos="680"/>
          <w:tab w:val="left" w:pos="1021"/>
        </w:tabs>
        <w:spacing w:before="240" w:line="260" w:lineRule="exact"/>
        <w:ind w:left="1021" w:hanging="1021"/>
        <w:jc w:val="both"/>
        <w:rPr>
          <w:sz w:val="22"/>
        </w:rPr>
      </w:pPr>
      <w:r>
        <w:rPr>
          <w:sz w:val="22"/>
        </w:rPr>
        <w:tab/>
      </w:r>
      <w:r>
        <w:rPr>
          <w:sz w:val="22"/>
          <w:lang w:val="en-US"/>
        </w:rPr>
        <w:t>vii</w:t>
      </w:r>
      <w:r>
        <w:rPr>
          <w:sz w:val="22"/>
        </w:rPr>
        <w:t>.</w:t>
      </w:r>
      <w:r>
        <w:rPr>
          <w:sz w:val="22"/>
        </w:rPr>
        <w:tab/>
        <w:t>Продвижение по служебной лестнице работающих женщин (возможности занятия руководящих должностей).</w:t>
      </w:r>
    </w:p>
    <w:p w:rsidR="00000000" w:rsidRDefault="00000000">
      <w:pPr>
        <w:tabs>
          <w:tab w:val="right" w:pos="680"/>
          <w:tab w:val="left" w:pos="1021"/>
        </w:tabs>
        <w:spacing w:before="240" w:line="260" w:lineRule="exact"/>
        <w:ind w:left="1021" w:hanging="1021"/>
        <w:jc w:val="both"/>
        <w:rPr>
          <w:sz w:val="22"/>
        </w:rPr>
      </w:pPr>
      <w:r>
        <w:rPr>
          <w:sz w:val="22"/>
        </w:rPr>
        <w:tab/>
      </w:r>
      <w:r>
        <w:rPr>
          <w:sz w:val="22"/>
          <w:lang w:val="en-US"/>
        </w:rPr>
        <w:t>viii</w:t>
      </w:r>
      <w:r>
        <w:rPr>
          <w:sz w:val="22"/>
        </w:rPr>
        <w:t>.</w:t>
      </w:r>
      <w:r>
        <w:rPr>
          <w:sz w:val="22"/>
        </w:rPr>
        <w:tab/>
        <w:t>Техническое и административное управление (нормы и процедуры, установленные для предоставления услуг со стороны учреждения и для управления организационными процессами).</w:t>
      </w:r>
    </w:p>
    <w:p w:rsidR="00000000" w:rsidRDefault="00000000">
      <w:pPr>
        <w:numPr>
          <w:ilvl w:val="0"/>
          <w:numId w:val="166"/>
        </w:numPr>
        <w:tabs>
          <w:tab w:val="clear" w:pos="360"/>
          <w:tab w:val="left" w:pos="340"/>
          <w:tab w:val="left" w:pos="680"/>
        </w:tabs>
        <w:spacing w:before="240" w:line="260" w:lineRule="exact"/>
        <w:ind w:left="340" w:hanging="340"/>
        <w:jc w:val="both"/>
        <w:rPr>
          <w:sz w:val="22"/>
        </w:rPr>
      </w:pPr>
      <w:r>
        <w:rPr>
          <w:sz w:val="22"/>
        </w:rPr>
        <w:t>Критерии, которые вводятся на постоянной основе, являются частью повседневной работы учреждений и их организационной культуры (ценности и опыт).</w:t>
      </w:r>
    </w:p>
    <w:p w:rsidR="00000000" w:rsidRDefault="00000000">
      <w:pPr>
        <w:numPr>
          <w:ilvl w:val="0"/>
          <w:numId w:val="166"/>
        </w:numPr>
        <w:tabs>
          <w:tab w:val="clear" w:pos="360"/>
          <w:tab w:val="left" w:pos="340"/>
          <w:tab w:val="left" w:pos="680"/>
        </w:tabs>
        <w:spacing w:before="240" w:line="260" w:lineRule="exact"/>
        <w:ind w:left="340" w:hanging="340"/>
        <w:jc w:val="both"/>
        <w:rPr>
          <w:sz w:val="22"/>
        </w:rPr>
      </w:pPr>
      <w:r>
        <w:rPr>
          <w:sz w:val="22"/>
        </w:rPr>
        <w:t>Они являются объектом контроля и оценки результатов работы конкретного учреждения.</w:t>
      </w:r>
    </w:p>
    <w:p w:rsidR="00000000" w:rsidRDefault="00000000">
      <w:pPr>
        <w:numPr>
          <w:ilvl w:val="0"/>
          <w:numId w:val="166"/>
        </w:numPr>
        <w:tabs>
          <w:tab w:val="clear" w:pos="360"/>
          <w:tab w:val="left" w:pos="340"/>
          <w:tab w:val="left" w:pos="680"/>
        </w:tabs>
        <w:spacing w:before="240" w:line="260" w:lineRule="exact"/>
        <w:ind w:left="340" w:hanging="340"/>
        <w:jc w:val="both"/>
        <w:rPr>
          <w:sz w:val="22"/>
        </w:rPr>
      </w:pPr>
      <w:r>
        <w:rPr>
          <w:sz w:val="22"/>
        </w:rPr>
        <w:t>Составляют часть обязательств по управлению работой учреждения и выявлению показателей результатов работы Национальной системы оценки (СИНЕ/МИДЕПЛАН).</w:t>
      </w:r>
    </w:p>
    <w:p w:rsidR="00000000" w:rsidRDefault="00000000">
      <w:pPr>
        <w:numPr>
          <w:ilvl w:val="0"/>
          <w:numId w:val="166"/>
        </w:numPr>
        <w:tabs>
          <w:tab w:val="clear" w:pos="360"/>
          <w:tab w:val="left" w:pos="340"/>
          <w:tab w:val="left" w:pos="680"/>
        </w:tabs>
        <w:spacing w:before="240" w:line="260" w:lineRule="exact"/>
        <w:ind w:left="340" w:hanging="340"/>
        <w:jc w:val="both"/>
        <w:rPr>
          <w:sz w:val="22"/>
        </w:rPr>
      </w:pPr>
      <w:r>
        <w:rPr>
          <w:sz w:val="22"/>
        </w:rPr>
        <w:t>Устанавливаются связи с общественностью, что является механизмом активизации гражданской позиции женщин в процессе обсуждения и выявления характерных проблем.</w:t>
      </w:r>
    </w:p>
    <w:p w:rsidR="00000000" w:rsidRDefault="00000000">
      <w:pPr>
        <w:numPr>
          <w:ilvl w:val="0"/>
          <w:numId w:val="166"/>
        </w:numPr>
        <w:tabs>
          <w:tab w:val="clear" w:pos="360"/>
          <w:tab w:val="left" w:pos="340"/>
          <w:tab w:val="left" w:pos="680"/>
        </w:tabs>
        <w:spacing w:before="240" w:line="260" w:lineRule="exact"/>
        <w:ind w:left="340" w:hanging="340"/>
        <w:jc w:val="both"/>
        <w:rPr>
          <w:sz w:val="22"/>
        </w:rPr>
      </w:pPr>
      <w:r>
        <w:rPr>
          <w:sz w:val="22"/>
        </w:rPr>
        <w:t>Вопросы равноправия и равенства возможностей для мужчин и женщин составляют существенную часть отчетности учреждений (годовой отчет, отчет перед гражданами, отчет перед президентом Республики).</w:t>
      </w:r>
    </w:p>
    <w:p w:rsidR="00000000" w:rsidRDefault="00000000">
      <w:pPr>
        <w:numPr>
          <w:ilvl w:val="0"/>
          <w:numId w:val="166"/>
        </w:numPr>
        <w:tabs>
          <w:tab w:val="clear" w:pos="360"/>
          <w:tab w:val="left" w:pos="340"/>
          <w:tab w:val="left" w:pos="680"/>
        </w:tabs>
        <w:spacing w:before="240" w:line="260" w:lineRule="exact"/>
        <w:ind w:left="340" w:hanging="340"/>
        <w:jc w:val="both"/>
        <w:rPr>
          <w:sz w:val="22"/>
        </w:rPr>
      </w:pPr>
      <w:r>
        <w:rPr>
          <w:sz w:val="22"/>
        </w:rPr>
        <w:t>Разрабатывается Стратегический план действий, направленный на преобразование организационной культуры, с тем чтобы предоставлять услуги женщинам и строить взаимоотношения в трудовом коллективе на принципах равноправия (механизмы для внедрения гендерного подхода и уделения особого внимания положению женщин).</w:t>
      </w:r>
    </w:p>
    <w:p w:rsidR="00000000" w:rsidRDefault="00000000">
      <w:pPr>
        <w:numPr>
          <w:ilvl w:val="0"/>
          <w:numId w:val="166"/>
        </w:numPr>
        <w:tabs>
          <w:tab w:val="clear" w:pos="360"/>
          <w:tab w:val="left" w:pos="340"/>
          <w:tab w:val="left" w:pos="680"/>
        </w:tabs>
        <w:spacing w:before="240" w:line="260" w:lineRule="exact"/>
        <w:ind w:left="340" w:hanging="340"/>
        <w:jc w:val="both"/>
        <w:rPr>
          <w:sz w:val="22"/>
        </w:rPr>
      </w:pPr>
      <w:r>
        <w:rPr>
          <w:sz w:val="22"/>
        </w:rPr>
        <w:t>Международные и национальные юридические нормы по содействию женщинам и защите их прав являются составной частью регламента работы учреждения (Конвенция о ликвидации всех форм дискриминации в отношении женщин, Конвенция Белен-ду-Пара, Закон о содействии реальному равноправию женщин, Закон о борьбе с сексуальными домогательствами на работе и в учебных заведениях, законы об охране материнства, детских воспитательных учреждениях, законы, касающиеся обеспечения достойных условий труда, и т. д.).</w:t>
      </w:r>
    </w:p>
    <w:p w:rsidR="00000000" w:rsidRDefault="00000000">
      <w:pPr>
        <w:numPr>
          <w:ilvl w:val="0"/>
          <w:numId w:val="166"/>
        </w:numPr>
        <w:tabs>
          <w:tab w:val="clear" w:pos="360"/>
          <w:tab w:val="left" w:pos="340"/>
          <w:tab w:val="left" w:pos="680"/>
        </w:tabs>
        <w:spacing w:before="240" w:line="260" w:lineRule="exact"/>
        <w:ind w:left="340" w:hanging="340"/>
        <w:jc w:val="both"/>
        <w:rPr>
          <w:sz w:val="22"/>
        </w:rPr>
      </w:pPr>
      <w:r>
        <w:rPr>
          <w:sz w:val="22"/>
        </w:rPr>
        <w:t>Пропаганда социальной роли женщин и гендерного равноправия среди работников учреждения посредством СМИ.</w:t>
      </w:r>
    </w:p>
    <w:p w:rsidR="00000000" w:rsidRDefault="00000000">
      <w:pPr>
        <w:tabs>
          <w:tab w:val="left" w:pos="680"/>
        </w:tabs>
        <w:spacing w:before="240" w:line="260" w:lineRule="exact"/>
        <w:jc w:val="both"/>
        <w:rPr>
          <w:sz w:val="22"/>
        </w:rPr>
      </w:pPr>
    </w:p>
    <w:p w:rsidR="00000000" w:rsidRDefault="00000000">
      <w:pPr>
        <w:tabs>
          <w:tab w:val="left" w:pos="680"/>
        </w:tabs>
        <w:spacing w:before="240" w:line="260" w:lineRule="exact"/>
        <w:jc w:val="both"/>
        <w:rPr>
          <w:sz w:val="22"/>
        </w:rPr>
      </w:pPr>
    </w:p>
    <w:p w:rsidR="00000000" w:rsidRDefault="00000000">
      <w:pPr>
        <w:tabs>
          <w:tab w:val="left" w:pos="680"/>
        </w:tabs>
        <w:spacing w:before="240" w:line="260" w:lineRule="exact"/>
        <w:jc w:val="both"/>
        <w:rPr>
          <w:sz w:val="22"/>
        </w:rPr>
      </w:pPr>
    </w:p>
    <w:p w:rsidR="00000000" w:rsidRDefault="00000000">
      <w:pPr>
        <w:tabs>
          <w:tab w:val="left" w:pos="680"/>
        </w:tabs>
        <w:jc w:val="center"/>
        <w:rPr>
          <w:b/>
        </w:rPr>
      </w:pPr>
      <w:r>
        <w:rPr>
          <w:sz w:val="22"/>
        </w:rPr>
        <w:br w:type="page"/>
      </w:r>
      <w:r>
        <w:rPr>
          <w:b/>
        </w:rPr>
        <w:t>Приложение № 5</w:t>
      </w:r>
    </w:p>
    <w:p w:rsidR="00000000" w:rsidRDefault="00000000">
      <w:pPr>
        <w:pStyle w:val="Heading6"/>
        <w:tabs>
          <w:tab w:val="left" w:pos="680"/>
        </w:tabs>
        <w:spacing w:before="240" w:line="260" w:lineRule="exact"/>
        <w:rPr>
          <w:caps/>
          <w:sz w:val="22"/>
        </w:rPr>
      </w:pPr>
      <w:r>
        <w:rPr>
          <w:caps/>
          <w:sz w:val="22"/>
        </w:rPr>
        <w:t xml:space="preserve">Функции Национальной системы предупреждения </w:t>
      </w:r>
      <w:r>
        <w:rPr>
          <w:caps/>
          <w:sz w:val="22"/>
        </w:rPr>
        <w:br/>
        <w:t>насилия в семье и оказания помощи</w:t>
      </w:r>
    </w:p>
    <w:p w:rsidR="00000000" w:rsidRDefault="00000000">
      <w:pPr>
        <w:pStyle w:val="BodyText"/>
        <w:tabs>
          <w:tab w:val="left" w:pos="680"/>
        </w:tabs>
        <w:spacing w:before="240" w:line="260" w:lineRule="exact"/>
        <w:rPr>
          <w:sz w:val="22"/>
        </w:rPr>
      </w:pPr>
      <w:r>
        <w:rPr>
          <w:sz w:val="22"/>
        </w:rPr>
        <w:t>Следить за тем, чтобы представители властей, чиновники и сотрудники учреждений воздерживались от проявлений насилия в отношении женщин, детей, пожилых людей и инвалидов.</w:t>
      </w:r>
    </w:p>
    <w:p w:rsidR="00000000" w:rsidRDefault="00000000">
      <w:pPr>
        <w:tabs>
          <w:tab w:val="left" w:pos="680"/>
        </w:tabs>
        <w:spacing w:before="240" w:line="260" w:lineRule="exact"/>
        <w:jc w:val="both"/>
        <w:rPr>
          <w:sz w:val="22"/>
        </w:rPr>
      </w:pPr>
      <w:r>
        <w:rPr>
          <w:sz w:val="22"/>
        </w:rPr>
        <w:t>Делать все возможное для предупреждения насилия в отношении женщин, детей, пожилых людей и инвалидов.</w:t>
      </w:r>
    </w:p>
    <w:p w:rsidR="00000000" w:rsidRDefault="00000000">
      <w:pPr>
        <w:tabs>
          <w:tab w:val="left" w:pos="680"/>
        </w:tabs>
        <w:spacing w:before="240" w:line="260" w:lineRule="exact"/>
        <w:jc w:val="both"/>
        <w:rPr>
          <w:sz w:val="22"/>
        </w:rPr>
      </w:pPr>
      <w:r>
        <w:rPr>
          <w:sz w:val="22"/>
        </w:rPr>
        <w:t>Принимать все необходимые административные меры по обеспечению сотрудничества в области предупреждения и искоренения насилия в семье и наказания за него.</w:t>
      </w:r>
    </w:p>
    <w:p w:rsidR="00000000" w:rsidRDefault="00000000">
      <w:pPr>
        <w:tabs>
          <w:tab w:val="left" w:pos="680"/>
        </w:tabs>
        <w:spacing w:before="240" w:line="260" w:lineRule="exact"/>
        <w:jc w:val="both"/>
        <w:rPr>
          <w:sz w:val="22"/>
        </w:rPr>
      </w:pPr>
      <w:r>
        <w:rPr>
          <w:sz w:val="22"/>
        </w:rPr>
        <w:t>Принимать все необходимые меры по изменению стереотипов поведения, допускающих насилие в семье как естественное явление.</w:t>
      </w:r>
    </w:p>
    <w:p w:rsidR="00000000" w:rsidRDefault="00000000">
      <w:pPr>
        <w:tabs>
          <w:tab w:val="left" w:pos="680"/>
        </w:tabs>
        <w:spacing w:before="240" w:line="260" w:lineRule="exact"/>
        <w:jc w:val="both"/>
        <w:rPr>
          <w:sz w:val="22"/>
        </w:rPr>
      </w:pPr>
      <w:r>
        <w:rPr>
          <w:sz w:val="22"/>
        </w:rPr>
        <w:t>Устанавливать необходимые административные механизмы для обеспечения действенной социальной помощи со стороны государства жертвам насилия в семье.</w:t>
      </w:r>
    </w:p>
    <w:p w:rsidR="00000000" w:rsidRDefault="00000000">
      <w:pPr>
        <w:tabs>
          <w:tab w:val="left" w:pos="680"/>
        </w:tabs>
        <w:spacing w:before="240" w:line="260" w:lineRule="exact"/>
        <w:jc w:val="both"/>
        <w:rPr>
          <w:sz w:val="22"/>
        </w:rPr>
      </w:pPr>
      <w:r>
        <w:rPr>
          <w:sz w:val="22"/>
        </w:rPr>
        <w:t>Укреплять правовое самосознание женщин, детей, пожилых людей и инвалидов, следить за соблюдением их права на жизнь без насилия.</w:t>
      </w:r>
    </w:p>
    <w:p w:rsidR="00000000" w:rsidRDefault="00000000">
      <w:pPr>
        <w:tabs>
          <w:tab w:val="left" w:pos="680"/>
        </w:tabs>
        <w:spacing w:before="240" w:line="260" w:lineRule="exact"/>
        <w:jc w:val="both"/>
        <w:rPr>
          <w:sz w:val="22"/>
        </w:rPr>
      </w:pPr>
      <w:r>
        <w:rPr>
          <w:sz w:val="22"/>
        </w:rPr>
        <w:t>Изменять культурные стереотипы поведения мужчин и женщин, разрабатывать соответствующие формальные и неформальные программы просвещения на всех ступенях образования в целях искоренения стереотипов, оправдывающих насилие в отношении женщин.</w:t>
      </w:r>
    </w:p>
    <w:p w:rsidR="00000000" w:rsidRDefault="00000000">
      <w:pPr>
        <w:tabs>
          <w:tab w:val="left" w:pos="680"/>
        </w:tabs>
        <w:spacing w:before="240" w:line="260" w:lineRule="exact"/>
        <w:jc w:val="both"/>
        <w:rPr>
          <w:spacing w:val="-2"/>
          <w:sz w:val="22"/>
        </w:rPr>
      </w:pPr>
      <w:r>
        <w:rPr>
          <w:spacing w:val="-2"/>
          <w:sz w:val="22"/>
        </w:rPr>
        <w:t>Способствовать обучению и повышению квалификации персонала правоохранительных органов и полиции, чиновников, отвечающих за применение законов, а также персонала, в чьи функции входит проведение мероприятий по предупреждению, наказанию и искоренению проявлений насилия в отношении женщин, детей, пожилых людей и инвалидов.</w:t>
      </w:r>
    </w:p>
    <w:p w:rsidR="00000000" w:rsidRDefault="00000000">
      <w:pPr>
        <w:tabs>
          <w:tab w:val="left" w:pos="680"/>
        </w:tabs>
        <w:spacing w:before="240" w:line="260" w:lineRule="exact"/>
        <w:jc w:val="both"/>
        <w:rPr>
          <w:sz w:val="22"/>
        </w:rPr>
      </w:pPr>
      <w:r>
        <w:rPr>
          <w:sz w:val="22"/>
        </w:rPr>
        <w:t>Предоставлять по мере возможности соответствующие услуги пострадавшим от насилия со стороны государственных и частных учреждений, в том числе приютов, семейных консультаций, а также обеспечивать уход за пострадавшими несовершеннолетними.</w:t>
      </w:r>
    </w:p>
    <w:p w:rsidR="00000000" w:rsidRDefault="00000000">
      <w:pPr>
        <w:tabs>
          <w:tab w:val="left" w:pos="680"/>
        </w:tabs>
        <w:spacing w:before="240" w:line="260" w:lineRule="exact"/>
        <w:jc w:val="both"/>
        <w:rPr>
          <w:sz w:val="22"/>
        </w:rPr>
      </w:pPr>
      <w:r>
        <w:rPr>
          <w:sz w:val="22"/>
        </w:rPr>
        <w:t xml:space="preserve">Поддерживать государственные и частные программы, призванные привлечь внимание общественности к проблемам насилия в отношении женщин, детей, пожилых людей и инвалидов, задействовать правовые механизмы и обеспечить возмещение ущерба пострадавшим. </w:t>
      </w:r>
    </w:p>
    <w:p w:rsidR="00000000" w:rsidRDefault="00000000">
      <w:pPr>
        <w:tabs>
          <w:tab w:val="left" w:pos="680"/>
        </w:tabs>
        <w:spacing w:before="240" w:line="260" w:lineRule="exact"/>
        <w:jc w:val="both"/>
        <w:rPr>
          <w:sz w:val="22"/>
        </w:rPr>
      </w:pPr>
      <w:r>
        <w:rPr>
          <w:sz w:val="22"/>
        </w:rPr>
        <w:t>По мере возможности предоставлять пострадавшим от насилия доступ к программам по реабилитации и обучению, что позволит им активно участвовать в жизни общества, стать полноценными гражданами и вести нормальную личную жизнь.</w:t>
      </w:r>
    </w:p>
    <w:p w:rsidR="00000000" w:rsidRDefault="00000000">
      <w:pPr>
        <w:tabs>
          <w:tab w:val="left" w:pos="680"/>
        </w:tabs>
        <w:spacing w:before="240" w:line="260" w:lineRule="exact"/>
        <w:jc w:val="both"/>
        <w:rPr>
          <w:sz w:val="22"/>
        </w:rPr>
      </w:pPr>
      <w:r>
        <w:rPr>
          <w:sz w:val="22"/>
        </w:rPr>
        <w:t>Призвать средства массовой информации к разработке соответствующих программ, пропагандирующих искоренение всех форм насилия в семье и уважение достоинства личности пострадавших.</w:t>
      </w:r>
    </w:p>
    <w:p w:rsidR="00000000" w:rsidRDefault="00000000">
      <w:pPr>
        <w:tabs>
          <w:tab w:val="left" w:pos="680"/>
        </w:tabs>
        <w:spacing w:before="240" w:line="260" w:lineRule="exact"/>
        <w:jc w:val="both"/>
        <w:rPr>
          <w:sz w:val="22"/>
        </w:rPr>
      </w:pPr>
      <w:r>
        <w:rPr>
          <w:sz w:val="22"/>
        </w:rPr>
        <w:t>Обеспечить проведение исследований и сбор статистических и других данных о причинах, последствиях и числе случаев насилия в семье с целью оценки эффективности принятых мер по предупреждению, наказанию и искоренению всех форм бытового насилия и для внесения соответствующих изменений в проводимую политику.</w:t>
      </w:r>
    </w:p>
    <w:p w:rsidR="00000000" w:rsidRDefault="00000000">
      <w:pPr>
        <w:tabs>
          <w:tab w:val="left" w:pos="680"/>
        </w:tabs>
        <w:spacing w:before="240" w:line="260" w:lineRule="exact"/>
        <w:jc w:val="both"/>
        <w:rPr>
          <w:sz w:val="22"/>
        </w:rPr>
      </w:pPr>
      <w:r>
        <w:rPr>
          <w:sz w:val="22"/>
        </w:rPr>
        <w:t xml:space="preserve">Осуществлять международное сотрудничество по обмену опытом в области осуществления программ оказания помощи жертвам насилия. </w:t>
      </w:r>
    </w:p>
    <w:p w:rsidR="00000000" w:rsidRDefault="00000000">
      <w:pPr>
        <w:tabs>
          <w:tab w:val="left" w:pos="680"/>
        </w:tabs>
        <w:spacing w:before="240" w:line="260" w:lineRule="exact"/>
        <w:jc w:val="both"/>
        <w:rPr>
          <w:sz w:val="22"/>
        </w:rPr>
      </w:pPr>
    </w:p>
    <w:p w:rsidR="00000000" w:rsidRDefault="00000000">
      <w:pPr>
        <w:tabs>
          <w:tab w:val="left" w:pos="680"/>
        </w:tabs>
        <w:jc w:val="center"/>
        <w:rPr>
          <w:b/>
        </w:rPr>
      </w:pPr>
      <w:r>
        <w:rPr>
          <w:sz w:val="22"/>
        </w:rPr>
        <w:br w:type="page"/>
      </w:r>
      <w:r>
        <w:rPr>
          <w:b/>
        </w:rPr>
        <w:t>Приложение № 6</w:t>
      </w:r>
    </w:p>
    <w:p w:rsidR="00000000" w:rsidRDefault="00000000">
      <w:pPr>
        <w:tabs>
          <w:tab w:val="left" w:pos="680"/>
        </w:tabs>
        <w:spacing w:before="240" w:line="260" w:lineRule="exact"/>
        <w:jc w:val="center"/>
        <w:rPr>
          <w:b/>
          <w:sz w:val="22"/>
        </w:rPr>
      </w:pPr>
      <w:r>
        <w:rPr>
          <w:b/>
          <w:sz w:val="22"/>
        </w:rPr>
        <w:t>ЗАКОНЫ</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О принятии Факультативного протокола к Конвенции о ликвидации всех форм дискриминации в отношении женщин, Закон № 8089. Сан-Хосе, Коста-Рика: Законодательное собрание. 2001 год.</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О присоединении к Межамериканской конвенции об обязательствах по выплате алиментов, Закон № 8053. Сан-Хосе, Коста-Рика: Законодательное собрание. 2000 год.</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Об оказании помощи женщинам, живущим в бедности, Закон № 7769. Сан-Хосе, Коста-Рика: Законодательное собрание. 1998 год.</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О наделении Объединенного института социальной помощи полномочиями для частичного или полного покрытия кредитов на приобретение жилья под залог имущества в соответствии с государственными общественными программами, Закон № 7940. Сан-Хосе, Коста-Рика: Законодательное собрание. 1999 год.</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О Кодексе детей и подростков, Закон № 7739. Сан-Хосе, Коста-Рика: Законодательное собрание. 1998 год.</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О Муниципальном кодексе, Закон № 7794. Сан-Хосе, Коста-Рика: Законодательное собрание. 1998 год.</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 xml:space="preserve">О Политической конституции. 1949 год. Сан-Хосе, Коста-Рика: Законодательное собрание. </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О подписании Межамериканской конвенции о международной торговле несовершеннолетними, Закон № 8071. Сан-Хосе, Коста-Рика: Законодательное собрание. 2001 год.</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О введении налога на ликеры, пиво и сигареты в целях финансирования Комплексного плана защиты взрослых и детей, принадлежащих к социальным группам риска, помощи одиноким инвалидам, реабилитации алкоголиков и наркоманов, поддержки деятельности Красного Креста, отмены мелких налогов на сельскохозяйственную деятельность и их последующей замены, Закон № 7972. Сан-Хосе, Коста-Рика: Законодательное собрание. 1999 год.</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О создании "Касса огар де тиа Тере", Закон № 7817. Сан-Хосе, Коста-Рика: Законодательное собрание. 1998 год.</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О создании Галереи женщины, Закон № 7954. Сан-Хосе, Коста-Рика: Законодательное собрание. 1999 год.</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О создании специального суда по борьбе с бытовым насилием в судебном округе Эредиа, в первом судебном округе Алахуелы, в судебном округе Картаго и уголовного суда в Кантон де ла Уньон, провинция Картаго, Закон № 8129. Сан-Хосе, Коста-Рика: Законодательное собрание. 2001 год.</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О создании суда по борьбе с бытовым насилием во втором судебном округе Сан-Хосе, Закон № 8128. Сан-Хосе, Коста-Рика: Законодательное собрание. 2001 год.</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О создании Национального института по делам женщин, Закон № 7801. Сан-Хосе, Коста-Рика: Законодательное собрание. 1998 год.</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О выделении помещения из государственного фонда недвижимости и его передаче с разрешения муниципалитета Сан-Хосе в пользование Ассоциации по проблемам семьи и культуры профессионального обучения женщин в целях обеспечения работы Женского института профессионального обучения Павас, Закон № 7986. Сан-Хосе, Коста-Рика: Законодательное собрание. 2000 год.</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О равенстве возможностей для нетрудоспособных граждан, Закон № 7600. Сан-Хосе, Коста-Рика: Законодательное собрание. 1996 год.</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О борьбе с сексуальными домогательствами на работе и в учебных заведениях, Закон № 7476. Сан-Хосе, Коста-Рика: Законодательное собрание. 1995 год.</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О борьбе с сексуальной эксплуатацией несовершеннолетних, Закон № 7899. Сан-Хосе, Коста-Рика: Законодательное собрание. 1999 год.</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О борьбе с бытовым насилием, Закон № 7586. Сан-Хосе, Коста-Рика: Законодательное собрание. 1996 год.</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О создании Коллегии адвокатов по защите прав граждан, Закон № 7319. Сан-Хосе, Коста-Рика: Законодательное собрание. 1992 год.</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Об ответственном отцовстве, Закон № 8101. Сан-Хосе, Коста-Рика: Законодательное собрание. 2001 год.</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О содействии социальному равенству женщин, Закон № 7142. Сан-Хосе, Коста-Рика: Законодательное собрание. 1990 год.</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О коммерческой рекламе с использованием изображения женщины, Закон № 5811. Сан-Хосе, Коста-Рика: Законодательное собрание. 1975 год.</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О модернизации производства, Закон № 7742. Сан-Хосе, Коста-Рика: Законодательное собрание. 1977 год.</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О массовых зрелищах, печатной продукции, аудио- и видеоматериалах, Закон № 7440. Сан-Хосе, Коста-Рика: Законодательное собрание. 1994 год.</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О защите прав несовершеннолетних матерей, Закон № 7735. Сан-Хосе, Коста-Рика: Законодательное собрание. (Без даты.)</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О защите прав больных СПИДом и ВИЧ-инфицированных, Закон № 7771. Сан-Хосе, Коста-Рика: Законодательное собрание. 1998 год.</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О комплексной защите пожилых людей, Закон № 7935. Сан-Хосе, Коста-Рика: Законодательное собрание. 1999 год.</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О регламенте работы Законодательного собрания, Сан-Хосе, Коста-Рика: Законодательное собрание. (Без даты.)</w:t>
      </w:r>
    </w:p>
    <w:p w:rsidR="00000000" w:rsidRDefault="00000000">
      <w:pPr>
        <w:tabs>
          <w:tab w:val="left" w:pos="680"/>
        </w:tabs>
        <w:spacing w:line="260" w:lineRule="exact"/>
        <w:jc w:val="both"/>
        <w:rPr>
          <w:sz w:val="22"/>
        </w:rPr>
      </w:pPr>
    </w:p>
    <w:p w:rsidR="00000000" w:rsidRDefault="00000000">
      <w:pPr>
        <w:pStyle w:val="Heading1"/>
        <w:tabs>
          <w:tab w:val="left" w:pos="680"/>
        </w:tabs>
        <w:spacing w:before="240" w:line="260" w:lineRule="exact"/>
        <w:jc w:val="center"/>
        <w:rPr>
          <w:sz w:val="22"/>
        </w:rPr>
      </w:pPr>
      <w:r>
        <w:rPr>
          <w:sz w:val="22"/>
        </w:rPr>
        <w:t>ВНЕСЕНИЕ ИЗМЕНЕНИЙ В ТЕКСТЫ ЗАКОНОВ</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Внесение изменений статей 20 и 33 Политической конституции, Закон № 7880. Сан-Хосе, Коста-Рика: Законодательное собрание. 1999 год.</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Внесение изменений в несколько статей Избирательного кодекса, Закон № 7653. Сан-Хосе, Коста-Рика: Законодательное собрание. 1996 год.</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Внесение изменений в Закон о Национальной системе финансирования жилищного строительства № 7052, Закон № 7950. Сан-Хосе, Коста-Рика: Законодательное собрание. 2000 год.</w:t>
      </w:r>
    </w:p>
    <w:p w:rsidR="00000000" w:rsidRDefault="00000000">
      <w:pPr>
        <w:tabs>
          <w:tab w:val="left" w:pos="680"/>
        </w:tabs>
        <w:spacing w:line="260" w:lineRule="exact"/>
        <w:jc w:val="both"/>
        <w:rPr>
          <w:sz w:val="22"/>
        </w:rPr>
      </w:pPr>
    </w:p>
    <w:p w:rsidR="00000000" w:rsidRDefault="00000000">
      <w:pPr>
        <w:pStyle w:val="BodyText2"/>
        <w:tabs>
          <w:tab w:val="left" w:pos="680"/>
        </w:tabs>
        <w:spacing w:before="240" w:line="260" w:lineRule="exact"/>
        <w:rPr>
          <w:b/>
          <w:sz w:val="22"/>
        </w:rPr>
      </w:pPr>
      <w:r>
        <w:rPr>
          <w:b/>
          <w:sz w:val="22"/>
        </w:rPr>
        <w:t>ПРОЕКТЫ ЗАКОНОВ, ПРЕДСТАВЛЕННЫЕ В ЗАКОНОДАТЕЛЬНОЕ СОБРАНИЕ</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Избирательный кодекс. Документ № 14268. Сан-Хосе, Коста-Рика. 2001 год.</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О создании Специальной прокуратуры по борьбе с бытовым насилием и преступлениями против сексуальной свободы. Документ № 13050. Сан-Хосе, Коста-Рика. 1997 год.</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Национальный институт по делам женщин. Проект закона: Внесение изменений в статьи 1, 13, 17, 125, 126 и 142, добавление статей 17 и 94, изменение последовательности статей 182, 183 и 184 Муниципального кодекса и создание муниципальных отделений по делам женщин. Документ № 14591. Сан-Хосе, Коста-Рика. 2001 год.</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Закон о политических партиях. Документ № 13862. Сан-Хосе, Коста-Рика. 1999 год.</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Закон об уголовном наказании за совершение насилия в отношении совершеннолетних женщин. Доклад, представленный на утверждение. Документ № 13874. Сан-Хосе, Коста-Рика. 2001 год.</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Изменение Закона о Национальном институте по делам женщин, № 7801. Документ № 14591. Сан-Хосе, Коста-Рика. 2001 год.</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Внесение изменений в статьи 2, 7, 9, 12, 13, 18, 24 и 31, добавление статьи 31-бис к Закону о борьбе с сексуальными домогательствами на работе и в учебных заведениях, № 7476, 3 марта 1995 года. Документ № 13094. Сан-Хосе, Коста-Рика. 1997 год.</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Внесение изменений в статьи 124-бис и 195 Уголовного кодекса, касающихся типизации проявлений бытовой агрессивности. Документ № 13081. Сан-Хосе, Коста-Рика. 1997 год.</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Внесение изменений в Избирательный кодекс в целях включения в него положений о минимальных квотах участия женщин в политической жизни. Документ № 14592. Сан-Хосе, Коста-Рика. 2001 год.</w:t>
      </w:r>
    </w:p>
    <w:p w:rsidR="00000000" w:rsidRDefault="00000000">
      <w:pPr>
        <w:pStyle w:val="Heading6"/>
        <w:tabs>
          <w:tab w:val="left" w:pos="680"/>
        </w:tabs>
        <w:spacing w:before="480" w:line="260" w:lineRule="exact"/>
        <w:rPr>
          <w:sz w:val="22"/>
        </w:rPr>
      </w:pPr>
      <w:r>
        <w:rPr>
          <w:sz w:val="22"/>
        </w:rPr>
        <w:t>КОНСТИТУЦИОННЫЕ РЕШЕНИЯ</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Документ № 00-009388-0007-СО. Средство юридической защиты от действий Народного банка коммунального развития в целях увеличения участия женщин в политической жизни этого государственного учреждения. Сан-Хосе, Коста-Рика. 2000 год.</w:t>
      </w:r>
    </w:p>
    <w:p w:rsidR="00000000" w:rsidRDefault="00000000">
      <w:pPr>
        <w:numPr>
          <w:ilvl w:val="0"/>
          <w:numId w:val="140"/>
        </w:numPr>
        <w:tabs>
          <w:tab w:val="clear" w:pos="360"/>
          <w:tab w:val="left" w:pos="340"/>
          <w:tab w:val="left" w:pos="680"/>
        </w:tabs>
        <w:spacing w:before="240" w:line="260" w:lineRule="exact"/>
        <w:ind w:left="340" w:hanging="340"/>
        <w:jc w:val="both"/>
        <w:rPr>
          <w:spacing w:val="-4"/>
          <w:sz w:val="22"/>
        </w:rPr>
      </w:pPr>
      <w:r>
        <w:rPr>
          <w:spacing w:val="-4"/>
          <w:sz w:val="22"/>
        </w:rPr>
        <w:t>Документ № 97-003527-007-СО-С. Резолюция № 0716-98. Обжалование неконституционных действий Совета правительства, возглавляемого Президентом Республики, и Председателя Законодательного собрания, касающихся невключения ни одной женщины в состав Директивного органа, отвечающего за работу государственных служб. Сан-Хосе, Коста-Рика. 1998 год.</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Документ № 99-007171-0007-СО. Резолюция № 2000-04350. Средство юридической защиты от действий Совета правительства Республики, касающихся неназначения представительского числа женщин в состав руководящего совета Коста-Риканского института электроэнергии. Сан-Хосе, Коста-Рика. 2000 год.</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Резолюция № 1770-94. Пересмотр концепции принципа равенства. Сан-Хосе, Коста-Рика. 1994 год.</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Решение № 2000-9733. Женщина-полицейский не предусмотрена Уставом полиции, даже если она отвечает всем формальным требованиям и прошла соответствующую подготовку. Сан-Хосе, Коста-Рика. 2000 год.</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Решение № 327-91. Неконституционные действия, касающиеся отличия режима работы домохозяек от режима работы в других сферах трудовой деятельности в нарушение принципа равенства. Сан-Хосе, Коста-Рика. 1991 год.</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Решение № 034-94. В соответствии со статьей 7 Закона о содействии реальному равенству женщин женщины-крестьянки получают преимущественное право записывать имущество на свое имя, а не на имя мужей, несмотря на то что именно последние занимались обработкой земли и владели имуществом более двенадцати лет. Сан-Хосе, Коста-Рика. 1994 год.</w:t>
      </w:r>
    </w:p>
    <w:p w:rsidR="00000000" w:rsidRDefault="00000000">
      <w:pPr>
        <w:tabs>
          <w:tab w:val="left" w:pos="680"/>
        </w:tabs>
        <w:spacing w:line="260" w:lineRule="exact"/>
        <w:jc w:val="both"/>
        <w:rPr>
          <w:sz w:val="22"/>
        </w:rPr>
      </w:pPr>
    </w:p>
    <w:p w:rsidR="00000000" w:rsidRDefault="00000000">
      <w:pPr>
        <w:pStyle w:val="Heading1"/>
        <w:tabs>
          <w:tab w:val="left" w:pos="680"/>
        </w:tabs>
        <w:spacing w:before="240" w:line="260" w:lineRule="exact"/>
        <w:jc w:val="center"/>
        <w:rPr>
          <w:sz w:val="22"/>
        </w:rPr>
      </w:pPr>
      <w:r>
        <w:rPr>
          <w:sz w:val="22"/>
        </w:rPr>
        <w:t>ПОСТАНОВЛЕНИЯ ВЫСШЕГО ИЗБИРАТЕЛЬНОГО ТРИБУНАЛА</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Резолюция № 804-Е-2000. Разъяснение основных аспектов, касающихся введения квоты на допуск женщин к руководящим и представительным должностям. Высший избирательный трибунал. 2 мая 2000 года.</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Резолюция № 1863. Введение квоты участия женщин. Высший избирательный трибунал. 23 сентября 1999 года.</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Резолюция № 2837. Метод определения размера квот с учетом изменяющегося опыта. Высший избирательный трибунал. 12 декабря 1999 года.</w:t>
      </w:r>
    </w:p>
    <w:p w:rsidR="00000000" w:rsidRDefault="00000000">
      <w:pPr>
        <w:pStyle w:val="Heading1"/>
        <w:tabs>
          <w:tab w:val="left" w:pos="680"/>
        </w:tabs>
        <w:spacing w:before="480" w:line="260" w:lineRule="exact"/>
        <w:jc w:val="center"/>
        <w:rPr>
          <w:sz w:val="22"/>
        </w:rPr>
      </w:pPr>
      <w:r>
        <w:rPr>
          <w:sz w:val="22"/>
        </w:rPr>
        <w:t>ПРАВИТЕЛЬСТВЕННЫЕ ДЕКРЕТЫ</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Правительственный декрет № 27227-</w:t>
      </w:r>
      <w:r>
        <w:rPr>
          <w:sz w:val="22"/>
          <w:lang w:val="pt-PT"/>
        </w:rPr>
        <w:t>J о</w:t>
      </w:r>
      <w:r>
        <w:rPr>
          <w:sz w:val="22"/>
          <w:lang w:val="es-ES_tradnl"/>
        </w:rPr>
        <w:t xml:space="preserve"> создании Национального совета по предупреждению насилия и преступности как органа межведомственной координации политики по </w:t>
      </w:r>
      <w:r>
        <w:rPr>
          <w:sz w:val="22"/>
        </w:rPr>
        <w:t>предупреждению</w:t>
      </w:r>
      <w:r>
        <w:rPr>
          <w:sz w:val="22"/>
          <w:lang w:val="es-ES_tradnl"/>
        </w:rPr>
        <w:t xml:space="preserve"> насилия и преступлений. </w:t>
      </w:r>
      <w:r>
        <w:rPr>
          <w:sz w:val="22"/>
        </w:rPr>
        <w:t>13 августа 1998 года.</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lang w:val="es-ES_tradnl"/>
        </w:rPr>
        <w:t xml:space="preserve">Правительственный декрет </w:t>
      </w:r>
      <w:r>
        <w:rPr>
          <w:sz w:val="22"/>
        </w:rPr>
        <w:t>№ </w:t>
      </w:r>
      <w:r>
        <w:rPr>
          <w:sz w:val="22"/>
          <w:lang w:val="es-ES_tradnl"/>
        </w:rPr>
        <w:t>27346</w:t>
      </w:r>
      <w:r>
        <w:rPr>
          <w:sz w:val="22"/>
        </w:rPr>
        <w:t>-</w:t>
      </w:r>
      <w:r>
        <w:rPr>
          <w:sz w:val="22"/>
          <w:lang w:val="en-US"/>
        </w:rPr>
        <w:t>MINAE</w:t>
      </w:r>
      <w:r>
        <w:rPr>
          <w:sz w:val="22"/>
        </w:rPr>
        <w:t>. Гендерный подход становится частью политики, проводимой Министерством энергетики и охраны окружающей среды, включается во все программы, проекты и планы мероприятий различных подразделений, принимается текст Декларации о гендерной политике Министерства. 28 августа 1998 года.</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Правительственный декрет № 27516-</w:t>
      </w:r>
      <w:r>
        <w:rPr>
          <w:sz w:val="22"/>
          <w:lang w:val="en-US"/>
        </w:rPr>
        <w:t>MTSS</w:t>
      </w:r>
      <w:r>
        <w:rPr>
          <w:sz w:val="22"/>
        </w:rPr>
        <w:t>. Создание Отдела по ликвидации детского труда и по проблемам подросткового труда при Министерстве труда и социального обеспечения. 9 декабря 1998 года.</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Правительственный декрет № 27623-</w:t>
      </w:r>
      <w:r>
        <w:rPr>
          <w:sz w:val="22"/>
          <w:lang w:val="en-US"/>
        </w:rPr>
        <w:t>Plan</w:t>
      </w:r>
      <w:r>
        <w:rPr>
          <w:sz w:val="22"/>
        </w:rPr>
        <w:t>-</w:t>
      </w:r>
      <w:r>
        <w:rPr>
          <w:sz w:val="22"/>
          <w:lang w:val="en-US"/>
        </w:rPr>
        <w:t>MCM</w:t>
      </w:r>
      <w:r>
        <w:rPr>
          <w:sz w:val="22"/>
        </w:rPr>
        <w:t>-</w:t>
      </w:r>
      <w:r>
        <w:rPr>
          <w:sz w:val="22"/>
          <w:lang w:val="en-US"/>
        </w:rPr>
        <w:t>MTSS</w:t>
      </w:r>
      <w:r>
        <w:rPr>
          <w:sz w:val="22"/>
        </w:rPr>
        <w:t>-</w:t>
      </w:r>
      <w:r>
        <w:rPr>
          <w:sz w:val="22"/>
          <w:lang w:val="en-US"/>
        </w:rPr>
        <w:t>Mivah</w:t>
      </w:r>
      <w:r>
        <w:rPr>
          <w:sz w:val="22"/>
        </w:rPr>
        <w:t>. Принятие регламента к Закону № 7769 об оказании помощи женщинам, живущим в бедности. 21 января 1999 года.</w:t>
      </w:r>
    </w:p>
    <w:p w:rsidR="00000000" w:rsidRDefault="00000000">
      <w:pPr>
        <w:numPr>
          <w:ilvl w:val="0"/>
          <w:numId w:val="140"/>
        </w:numPr>
        <w:tabs>
          <w:tab w:val="clear" w:pos="360"/>
          <w:tab w:val="left" w:pos="340"/>
          <w:tab w:val="left" w:pos="680"/>
        </w:tabs>
        <w:spacing w:before="240" w:line="260" w:lineRule="exact"/>
        <w:ind w:left="340" w:hanging="340"/>
        <w:jc w:val="both"/>
        <w:rPr>
          <w:spacing w:val="-4"/>
          <w:sz w:val="22"/>
        </w:rPr>
      </w:pPr>
      <w:r>
        <w:rPr>
          <w:spacing w:val="-4"/>
          <w:sz w:val="22"/>
        </w:rPr>
        <w:t>Правительственный декрет № 2118-</w:t>
      </w:r>
      <w:r>
        <w:rPr>
          <w:spacing w:val="-4"/>
          <w:sz w:val="22"/>
          <w:lang w:val="en-US"/>
        </w:rPr>
        <w:t>S</w:t>
      </w:r>
      <w:r>
        <w:rPr>
          <w:spacing w:val="-4"/>
          <w:sz w:val="22"/>
        </w:rPr>
        <w:t>. Устанавливает обязанность Коста-</w:t>
      </w:r>
      <w:r>
        <w:rPr>
          <w:caps/>
          <w:spacing w:val="-4"/>
          <w:sz w:val="22"/>
        </w:rPr>
        <w:t>р</w:t>
      </w:r>
      <w:r>
        <w:rPr>
          <w:spacing w:val="-4"/>
          <w:sz w:val="22"/>
        </w:rPr>
        <w:t>иканской кассы социального страхования оказывать помощь всем женщинам в дородовой и послеродовой периоды, независимо от их социально-экономического положения и гражданства. (Без даты.)</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 xml:space="preserve">Правительственный декрет № 27913- </w:t>
      </w:r>
      <w:r>
        <w:rPr>
          <w:sz w:val="22"/>
          <w:lang w:val="pt-PT"/>
        </w:rPr>
        <w:t xml:space="preserve">S. Важный прецедент для признания права женщин на добровольную стерилизацию. </w:t>
      </w:r>
      <w:r>
        <w:rPr>
          <w:sz w:val="22"/>
        </w:rPr>
        <w:t>14 мая 1999 года.</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Правительственный декрет № 28284. Предусматривает разработку отраслевых планов действий в сфере гендерного равноправия, с помощью которых станет возможным внедрение гендерного подхода в работу государственных учреждений. 2 марта 2000 года.</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Правительственный декрет № 28484-</w:t>
      </w:r>
      <w:r>
        <w:rPr>
          <w:sz w:val="22"/>
          <w:lang w:val="pt-PT"/>
        </w:rPr>
        <w:t>MAG</w:t>
      </w:r>
      <w:r>
        <w:rPr>
          <w:sz w:val="22"/>
        </w:rPr>
        <w:t>-</w:t>
      </w:r>
      <w:r>
        <w:rPr>
          <w:sz w:val="22"/>
          <w:lang w:val="en-US"/>
        </w:rPr>
        <w:t>MEP</w:t>
      </w:r>
      <w:r>
        <w:rPr>
          <w:sz w:val="22"/>
        </w:rPr>
        <w:t>-</w:t>
      </w:r>
      <w:r>
        <w:rPr>
          <w:sz w:val="22"/>
          <w:lang w:val="en-US"/>
        </w:rPr>
        <w:t>MTSS</w:t>
      </w:r>
      <w:r>
        <w:rPr>
          <w:sz w:val="22"/>
        </w:rPr>
        <w:t>-</w:t>
      </w:r>
      <w:r>
        <w:rPr>
          <w:sz w:val="22"/>
          <w:lang w:val="en-US"/>
        </w:rPr>
        <w:t>CM</w:t>
      </w:r>
      <w:r>
        <w:rPr>
          <w:sz w:val="22"/>
        </w:rPr>
        <w:t>. Создание комиссий высокого политического и технического уровня по внедрению гендерного подхода. 21 февраля 2000 года.</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Правительственный декрет № 26664. Утверждение Национальной системы предупреждения насилия в семье. Ратифицирована правительственным декретом № 27706. Администрация Родригеса. 19 декабря 1997 года.</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Правительственный декрет № 26989-</w:t>
      </w:r>
      <w:r>
        <w:rPr>
          <w:sz w:val="22"/>
          <w:lang w:val="en-US"/>
        </w:rPr>
        <w:t>MTSS</w:t>
      </w:r>
      <w:r>
        <w:rPr>
          <w:sz w:val="22"/>
        </w:rPr>
        <w:t>. Разрешение ночных смен для женщин, работающих на промышленных предприятиях, так как ограничение этого права является проявлением дискриминации по гендерному признаку. 30 марта 1998 года.</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Правительственный декрет № 27250-</w:t>
      </w:r>
      <w:r>
        <w:rPr>
          <w:sz w:val="22"/>
          <w:lang w:val="pt-PT"/>
        </w:rPr>
        <w:t>RE</w:t>
      </w:r>
      <w:r>
        <w:rPr>
          <w:sz w:val="22"/>
        </w:rPr>
        <w:t>-</w:t>
      </w:r>
      <w:r>
        <w:rPr>
          <w:sz w:val="22"/>
          <w:lang w:val="en-US"/>
        </w:rPr>
        <w:t>J</w:t>
      </w:r>
      <w:r>
        <w:rPr>
          <w:sz w:val="22"/>
        </w:rPr>
        <w:t>. Устанавливает проведение “Национальной недели прав человека”с 10 декабря каждого года. 3 декабря 1998 года.</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Правительственный декрет № 27217-</w:t>
      </w:r>
      <w:r>
        <w:rPr>
          <w:sz w:val="22"/>
          <w:lang w:val="en-US"/>
        </w:rPr>
        <w:t>S</w:t>
      </w:r>
      <w:r>
        <w:rPr>
          <w:sz w:val="22"/>
        </w:rPr>
        <w:t>-</w:t>
      </w:r>
      <w:r>
        <w:rPr>
          <w:sz w:val="22"/>
          <w:lang w:val="en-US"/>
        </w:rPr>
        <w:t>MP</w:t>
      </w:r>
      <w:r>
        <w:rPr>
          <w:sz w:val="22"/>
        </w:rPr>
        <w:t>. Создание Национального совета по борьбе с раком матки и молочной железы, который будет принимать участие в выработке политики и основных направлений деятельности по профилактике, обнаружению и лечению этих видов раковых заболеваний, характерных для женщин. 4 августа 1998 года.</w:t>
      </w:r>
    </w:p>
    <w:p w:rsidR="00000000" w:rsidRDefault="00000000">
      <w:pPr>
        <w:pStyle w:val="Heading6"/>
        <w:tabs>
          <w:tab w:val="left" w:pos="680"/>
        </w:tabs>
        <w:spacing w:before="240" w:line="260" w:lineRule="exact"/>
        <w:rPr>
          <w:sz w:val="22"/>
        </w:rPr>
      </w:pPr>
      <w:r>
        <w:rPr>
          <w:sz w:val="22"/>
        </w:rPr>
        <w:t xml:space="preserve">РЕШЕНИЯ И ДИРЕКТИВЫ, ПРИНЯТЫЕ </w:t>
      </w:r>
      <w:r>
        <w:rPr>
          <w:sz w:val="22"/>
        </w:rPr>
        <w:br/>
        <w:t>ПРАВИТЕЛЬСТВОМ КОСТА-РИКИ</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Решение Совета правительства о разработке Планов действий в области равноправия мужчин и женщин для министерств и негосударственных учреждений. 1999 год.</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Решение Совета правительства о гарантии помощи и защиты со стороны учреждений, чиновников и полиции возможным жертвам насилия в семье в период рождественских и других праздников. 23 декабря 1998 года.</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Решение Социального совета правительства о создании в министерствах и ведомствах отделов по проблемам женщин в целях контроля за выполнением политики правительства по установлению равноправия и равенства возможностей для мужчин и женщин в учреждениях государственной администрации. 17 мая 1994 года.</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Директива № 13-98. Предписывает правила формирования и работы межотраслевых групп, предусмотренных Уголовно-процессуальным кодексом и Кодексом детей и подростков. Их цель – следить за отправлением правосудия в сфере насилия в семье. Пленум Верховного суда. (Без даты.)</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Директива № 17. Гарантирует женщинам как гражданам страны, обладающим неотъемлемыми конституционными правами, доступ к услугам Государственного банка на равных условиях с мужчинами. Президент Республики. 3 марта 1999 года.</w:t>
      </w:r>
    </w:p>
    <w:p w:rsidR="00000000" w:rsidRDefault="00000000">
      <w:pPr>
        <w:numPr>
          <w:ilvl w:val="0"/>
          <w:numId w:val="140"/>
        </w:numPr>
        <w:tabs>
          <w:tab w:val="clear" w:pos="360"/>
          <w:tab w:val="left" w:pos="340"/>
          <w:tab w:val="left" w:pos="680"/>
        </w:tabs>
        <w:spacing w:before="240" w:line="260" w:lineRule="exact"/>
        <w:ind w:left="340" w:hanging="340"/>
        <w:jc w:val="both"/>
        <w:rPr>
          <w:sz w:val="22"/>
        </w:rPr>
      </w:pPr>
      <w:r>
        <w:rPr>
          <w:sz w:val="22"/>
        </w:rPr>
        <w:t>Директива № 3. Предписывает специальные процедуры для принятия решений об увольнении беременной прислуги. Такая процедура предусматривает право на защиту, согласно конституционным нормам. Министр труда и социального обеспечения. 20 июля 1998 года.</w:t>
      </w:r>
    </w:p>
    <w:p w:rsidR="00000000" w:rsidRDefault="00000000">
      <w:pPr>
        <w:tabs>
          <w:tab w:val="left" w:pos="680"/>
        </w:tabs>
        <w:spacing w:before="240" w:line="260" w:lineRule="exact"/>
        <w:jc w:val="both"/>
        <w:rPr>
          <w:sz w:val="22"/>
        </w:rPr>
      </w:pPr>
    </w:p>
    <w:sectPr w:rsidR="00000000">
      <w:headerReference w:type="default" r:id="rId26"/>
      <w:footerReference w:type="default" r:id="rId27"/>
      <w:headerReference w:type="first" r:id="rId28"/>
      <w:pgSz w:w="12242" w:h="15842" w:code="1"/>
      <w:pgMar w:top="1304" w:right="1701" w:bottom="1701" w:left="1701" w:header="567" w:footer="851"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DGAACS User" w:initials="DU">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w:t>
      </w:r>
      <w:r>
        <w:rPr>
          <w:lang w:val="en-US"/>
        </w:rPr>
        <w:t>30653</w:t>
      </w:r>
      <w:r>
        <w:t>R&lt;&lt;ODS JOB NO&gt;&gt;</w:t>
      </w:r>
    </w:p>
    <w:p w:rsidR="00000000" w:rsidRDefault="00000000">
      <w:pPr>
        <w:pStyle w:val="CommentText"/>
      </w:pPr>
      <w:r>
        <w:t>&lt;&lt;ODS DOC SYMBOL1&gt;&gt;</w:t>
      </w:r>
      <w:r>
        <w:rPr>
          <w:lang w:val="en-US"/>
        </w:rPr>
        <w:t>CEDAW/C/CRI/4</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Russian Times">
    <w:altName w:val="Times New Roman"/>
    <w:panose1 w:val="00000000000000000000"/>
    <w:charset w:val="00"/>
    <w:family w:val="roman"/>
    <w:notTrueType/>
    <w:pitch w:val="default"/>
  </w:font>
  <w:font w:name="WP CyrillicA">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center"/>
      <w:rPr>
        <w:sz w:val="20"/>
      </w:rPr>
    </w:pPr>
    <w:r>
      <w:rPr>
        <w:rStyle w:val="PageNumber"/>
        <w:sz w:val="20"/>
      </w:rPr>
      <w:fldChar w:fldCharType="begin"/>
    </w:r>
    <w:r>
      <w:rPr>
        <w:rStyle w:val="PageNumber"/>
        <w:sz w:val="20"/>
      </w:rPr>
      <w:instrText xml:space="preserve"> PAGE </w:instrText>
    </w:r>
    <w:r>
      <w:rPr>
        <w:rStyle w:val="PageNumber"/>
        <w:sz w:val="20"/>
      </w:rPr>
      <w:fldChar w:fldCharType="separate"/>
    </w:r>
    <w:r>
      <w:rPr>
        <w:rStyle w:val="PageNumber"/>
        <w:noProof/>
        <w:sz w:val="20"/>
      </w:rPr>
      <w:t>2</w:t>
    </w:r>
    <w:r>
      <w:rPr>
        <w:rStyle w:val="PageNumber"/>
        <w:sz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lang w:val="en-US"/>
      </w:rPr>
    </w:pPr>
    <w:r>
      <w:rPr>
        <w:sz w:val="22"/>
      </w:rPr>
      <w:t xml:space="preserve">03-30653 </w:t>
    </w:r>
    <w:r>
      <w:rPr>
        <w:sz w:val="22"/>
        <w:lang w:val="en-US"/>
      </w:rPr>
      <w:t>(R)</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center"/>
      <w:rPr>
        <w:sz w:val="20"/>
      </w:rPr>
    </w:pPr>
    <w:r>
      <w:rPr>
        <w:rStyle w:val="PageNumber"/>
        <w:sz w:val="20"/>
      </w:rPr>
      <w:fldChar w:fldCharType="begin"/>
    </w:r>
    <w:r>
      <w:rPr>
        <w:rStyle w:val="PageNumber"/>
        <w:sz w:val="20"/>
      </w:rPr>
      <w:instrText xml:space="preserve"> PAGE </w:instrText>
    </w:r>
    <w:r>
      <w:rPr>
        <w:rStyle w:val="PageNumber"/>
        <w:sz w:val="20"/>
      </w:rPr>
      <w:fldChar w:fldCharType="separate"/>
    </w:r>
    <w:r>
      <w:rPr>
        <w:rStyle w:val="PageNumber"/>
        <w:noProof/>
        <w:sz w:val="20"/>
      </w:rPr>
      <w:t>89</w:t>
    </w:r>
    <w:r>
      <w:rPr>
        <w:rStyle w:val="PageNumber"/>
        <w:sz w:val="20"/>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center"/>
      <w:rPr>
        <w:sz w:val="2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center"/>
      <w:rPr>
        <w:sz w:val="20"/>
      </w:rPr>
    </w:pPr>
    <w:r>
      <w:rPr>
        <w:rStyle w:val="PageNumber"/>
        <w:sz w:val="20"/>
      </w:rPr>
      <w:fldChar w:fldCharType="begin"/>
    </w:r>
    <w:r>
      <w:rPr>
        <w:rStyle w:val="PageNumber"/>
        <w:sz w:val="20"/>
      </w:rPr>
      <w:instrText xml:space="preserve"> PAGE </w:instrText>
    </w:r>
    <w:r>
      <w:rPr>
        <w:rStyle w:val="PageNumber"/>
        <w:sz w:val="20"/>
      </w:rPr>
      <w:fldChar w:fldCharType="separate"/>
    </w:r>
    <w:r>
      <w:rPr>
        <w:rStyle w:val="PageNumber"/>
        <w:noProof/>
        <w:sz w:val="20"/>
      </w:rPr>
      <w:t>iii</w:t>
    </w:r>
    <w:r>
      <w:rPr>
        <w:rStyle w:val="PageNumber"/>
        <w:sz w:val="20"/>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center"/>
      <w:rPr>
        <w:sz w:val="20"/>
      </w:rPr>
    </w:pPr>
    <w:r>
      <w:rPr>
        <w:rStyle w:val="PageNumber"/>
        <w:sz w:val="20"/>
      </w:rPr>
      <w:fldChar w:fldCharType="begin"/>
    </w:r>
    <w:r>
      <w:rPr>
        <w:rStyle w:val="PageNumber"/>
        <w:sz w:val="20"/>
      </w:rPr>
      <w:instrText xml:space="preserve"> PAGE </w:instrText>
    </w:r>
    <w:r>
      <w:rPr>
        <w:rStyle w:val="PageNumber"/>
        <w:sz w:val="20"/>
      </w:rPr>
      <w:fldChar w:fldCharType="separate"/>
    </w:r>
    <w:r>
      <w:rPr>
        <w:rStyle w:val="PageNumber"/>
        <w:noProof/>
        <w:sz w:val="20"/>
      </w:rPr>
      <w:t>vi</w:t>
    </w:r>
    <w:r>
      <w:rPr>
        <w:rStyle w:val="PageNumber"/>
        <w:sz w:val="20"/>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center"/>
      <w:rPr>
        <w:sz w:val="20"/>
      </w:rPr>
    </w:pPr>
    <w:r>
      <w:rPr>
        <w:rStyle w:val="PageNumber"/>
        <w:sz w:val="20"/>
      </w:rPr>
      <w:fldChar w:fldCharType="begin"/>
    </w:r>
    <w:r>
      <w:rPr>
        <w:rStyle w:val="PageNumber"/>
        <w:sz w:val="20"/>
      </w:rPr>
      <w:instrText xml:space="preserve"> PAGE </w:instrText>
    </w:r>
    <w:r>
      <w:rPr>
        <w:rStyle w:val="PageNumber"/>
        <w:sz w:val="20"/>
      </w:rPr>
      <w:fldChar w:fldCharType="separate"/>
    </w:r>
    <w:r>
      <w:rPr>
        <w:rStyle w:val="PageNumber"/>
        <w:noProof/>
        <w:sz w:val="20"/>
      </w:rPr>
      <w:t>vii</w:t>
    </w:r>
    <w:r>
      <w:rPr>
        <w:rStyle w:val="PageNumber"/>
        <w:sz w:val="20"/>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center"/>
      <w:rPr>
        <w:sz w:val="20"/>
      </w:rPr>
    </w:pPr>
    <w:r>
      <w:rPr>
        <w:rStyle w:val="PageNumber"/>
        <w:sz w:val="20"/>
      </w:rPr>
      <w:fldChar w:fldCharType="begin"/>
    </w:r>
    <w:r>
      <w:rPr>
        <w:rStyle w:val="PageNumber"/>
        <w:sz w:val="20"/>
      </w:rPr>
      <w:instrText xml:space="preserve"> PAGE </w:instrText>
    </w:r>
    <w:r>
      <w:rPr>
        <w:rStyle w:val="PageNumber"/>
        <w:sz w:val="20"/>
      </w:rPr>
      <w:fldChar w:fldCharType="separate"/>
    </w:r>
    <w:r>
      <w:rPr>
        <w:rStyle w:val="PageNumber"/>
        <w:noProof/>
        <w:sz w:val="20"/>
      </w:rPr>
      <w:t>242</w:t>
    </w:r>
    <w:r>
      <w:rPr>
        <w:rStyle w:val="PageNumber"/>
        <w:sz w:val="20"/>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center"/>
      <w:rPr>
        <w:sz w:val="20"/>
      </w:rPr>
    </w:pPr>
    <w:r>
      <w:rPr>
        <w:rStyle w:val="PageNumber"/>
        <w:sz w:val="20"/>
      </w:rPr>
      <w:fldChar w:fldCharType="begin"/>
    </w:r>
    <w:r>
      <w:rPr>
        <w:rStyle w:val="PageNumber"/>
        <w:sz w:val="20"/>
      </w:rPr>
      <w:instrText xml:space="preserve"> PAGE </w:instrText>
    </w:r>
    <w:r>
      <w:rPr>
        <w:rStyle w:val="PageNumber"/>
        <w:sz w:val="20"/>
      </w:rPr>
      <w:fldChar w:fldCharType="separate"/>
    </w:r>
    <w:r>
      <w:rPr>
        <w:rStyle w:val="PageNumber"/>
        <w:noProof/>
        <w:sz w:val="20"/>
      </w:rPr>
      <w:t>87</w:t>
    </w:r>
    <w:r>
      <w:rPr>
        <w:rStyle w:val="PageNumber"/>
        <w:sz w:val="20"/>
      </w:rP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center"/>
      <w:rPr>
        <w:sz w:val="20"/>
      </w:rPr>
    </w:pPr>
    <w:r>
      <w:rPr>
        <w:rStyle w:val="PageNumber"/>
        <w:sz w:val="20"/>
      </w:rPr>
      <w:fldChar w:fldCharType="begin"/>
    </w:r>
    <w:r>
      <w:rPr>
        <w:rStyle w:val="PageNumber"/>
        <w:sz w:val="20"/>
      </w:rPr>
      <w:instrText xml:space="preserve"> PAGE </w:instrText>
    </w:r>
    <w:r>
      <w:rPr>
        <w:rStyle w:val="PageNumber"/>
        <w:sz w:val="20"/>
      </w:rPr>
      <w:fldChar w:fldCharType="separate"/>
    </w:r>
    <w:r>
      <w:rPr>
        <w:rStyle w:val="PageNumber"/>
        <w:noProof/>
        <w:sz w:val="20"/>
      </w:rPr>
      <w:t>241</w:t>
    </w:r>
    <w:r>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BodyTextIndent2"/>
        <w:spacing w:before="120"/>
        <w:ind w:firstLine="0"/>
      </w:pPr>
      <w:r>
        <w:separator/>
      </w:r>
    </w:p>
  </w:footnote>
  <w:footnote w:type="continuationSeparator" w:id="0">
    <w:p w:rsidR="00000000" w:rsidRDefault="00000000">
      <w:r>
        <w:continuationSeparator/>
      </w:r>
    </w:p>
  </w:footnote>
  <w:footnote w:id="1">
    <w:p w:rsidR="00000000" w:rsidRDefault="00000000">
      <w:pPr>
        <w:tabs>
          <w:tab w:val="left" w:pos="680"/>
        </w:tabs>
        <w:spacing w:before="80"/>
        <w:jc w:val="both"/>
        <w:rPr>
          <w:sz w:val="18"/>
        </w:rPr>
      </w:pPr>
      <w:r>
        <w:rPr>
          <w:sz w:val="18"/>
        </w:rPr>
        <w:tab/>
        <w:t xml:space="preserve">* Настоящий документ издается без официального редактирования. </w:t>
      </w:r>
    </w:p>
    <w:p w:rsidR="00000000" w:rsidRDefault="00000000">
      <w:pPr>
        <w:tabs>
          <w:tab w:val="left" w:pos="680"/>
        </w:tabs>
        <w:spacing w:before="80"/>
        <w:jc w:val="both"/>
        <w:rPr>
          <w:i/>
          <w:sz w:val="18"/>
          <w:lang w:val="en-US"/>
        </w:rPr>
      </w:pPr>
      <w:r>
        <w:rPr>
          <w:sz w:val="18"/>
        </w:rPr>
        <w:tab/>
        <w:t xml:space="preserve">Объединенные первоначальный, второй и третий периодические доклады, представленные правительством Коста-Рики, см. </w:t>
      </w:r>
      <w:r>
        <w:rPr>
          <w:sz w:val="18"/>
          <w:lang w:val="en-US"/>
        </w:rPr>
        <w:t>CEDAW/C/CRI/1–3.</w:t>
      </w:r>
    </w:p>
  </w:footnote>
  <w:footnote w:id="2">
    <w:p w:rsidR="00000000" w:rsidRDefault="00000000">
      <w:pPr>
        <w:pStyle w:val="FootnoteText"/>
        <w:spacing w:before="80"/>
        <w:jc w:val="both"/>
        <w:rPr>
          <w:sz w:val="18"/>
        </w:rPr>
      </w:pPr>
      <w:r>
        <w:rPr>
          <w:rStyle w:val="FootnoteReference"/>
          <w:sz w:val="18"/>
        </w:rPr>
        <w:footnoteRef/>
      </w:r>
      <w:r>
        <w:rPr>
          <w:sz w:val="18"/>
        </w:rPr>
        <w:t xml:space="preserve"> Организации, которые были представлены на форуме: Деносотрас</w:t>
      </w:r>
      <w:r>
        <w:rPr>
          <w:caps/>
          <w:sz w:val="18"/>
        </w:rPr>
        <w:t>, СИПАК, АСОДЕЛФИ,</w:t>
      </w:r>
      <w:r>
        <w:rPr>
          <w:sz w:val="18"/>
        </w:rPr>
        <w:t xml:space="preserve"> Профсоюзная организация Национального банка СЕБАНА, Женская ассоциация работников здравоохранения (АМЕС), Политическая программа женского движения, Центр исследований и публикаций Альфорха (СЕП–Альфорха), латиноамериканская Лига женщин за мир, Женский центр афрокостариканок. Две женщины приняли участие в индивидуальном порядке, не представляя никаких организаций. ИНАМУ провел большую работу по организации Консультативного форума, пригласив более 60 женских и общественных организаций, в программы которых входит достижение гендерного равенства.</w:t>
      </w:r>
    </w:p>
  </w:footnote>
  <w:footnote w:id="3">
    <w:p w:rsidR="00000000" w:rsidRDefault="00000000">
      <w:pPr>
        <w:pStyle w:val="FootnoteText"/>
        <w:spacing w:before="80"/>
        <w:jc w:val="both"/>
        <w:rPr>
          <w:sz w:val="18"/>
          <w:lang w:val="es-ES"/>
        </w:rPr>
      </w:pPr>
      <w:r>
        <w:rPr>
          <w:rStyle w:val="FootnoteReference"/>
          <w:sz w:val="18"/>
        </w:rPr>
        <w:footnoteRef/>
      </w:r>
      <w:r>
        <w:rPr>
          <w:sz w:val="18"/>
        </w:rPr>
        <w:t xml:space="preserve"> Подробнее см. Приложение № 1, Сводная таблица показателей положения и статуса женщин в Коста-Рике в 1990–2000 годах</w:t>
      </w:r>
      <w:r>
        <w:rPr>
          <w:sz w:val="18"/>
          <w:lang w:val="es-ES"/>
        </w:rPr>
        <w:t>.</w:t>
      </w:r>
    </w:p>
  </w:footnote>
  <w:footnote w:id="4">
    <w:p w:rsidR="00000000" w:rsidRDefault="00000000">
      <w:pPr>
        <w:pStyle w:val="FootnoteText"/>
        <w:spacing w:before="80"/>
        <w:jc w:val="both"/>
        <w:rPr>
          <w:sz w:val="18"/>
        </w:rPr>
      </w:pPr>
      <w:r>
        <w:rPr>
          <w:rStyle w:val="FootnoteReference"/>
          <w:sz w:val="18"/>
        </w:rPr>
        <w:footnoteRef/>
      </w:r>
      <w:r>
        <w:rPr>
          <w:sz w:val="18"/>
        </w:rPr>
        <w:t xml:space="preserve"> В перепись населения впервые был включен вопрос с целью выявления этнического происхождения населения. Использованная методика не позволяет учитывать разнообразные факторы, способные привести к неправильным результатам; например, метисы или мулаты могут не пожелать называться коренным населением и выходцами из Африки, соответственно. Таким образом, полученные данные следует использовать с определенной осторожностью, так как реальные показатели превышают указанные цифры.</w:t>
      </w:r>
    </w:p>
  </w:footnote>
  <w:footnote w:id="5">
    <w:p w:rsidR="00000000" w:rsidRDefault="00000000">
      <w:pPr>
        <w:pStyle w:val="FootnoteText"/>
        <w:spacing w:before="80"/>
        <w:jc w:val="both"/>
        <w:rPr>
          <w:sz w:val="18"/>
        </w:rPr>
      </w:pPr>
      <w:r>
        <w:rPr>
          <w:rStyle w:val="FootnoteReference"/>
          <w:sz w:val="18"/>
        </w:rPr>
        <w:footnoteRef/>
      </w:r>
      <w:r>
        <w:rPr>
          <w:sz w:val="18"/>
        </w:rPr>
        <w:t xml:space="preserve"> Предыдущая Национальная перепись населения проводилась в 1983 году.</w:t>
      </w:r>
    </w:p>
  </w:footnote>
  <w:footnote w:id="6">
    <w:p w:rsidR="00000000" w:rsidRDefault="00000000">
      <w:pPr>
        <w:pStyle w:val="FootnoteText"/>
        <w:spacing w:before="80"/>
        <w:jc w:val="both"/>
        <w:rPr>
          <w:sz w:val="18"/>
        </w:rPr>
      </w:pPr>
      <w:r>
        <w:rPr>
          <w:rStyle w:val="FootnoteReference"/>
          <w:sz w:val="18"/>
        </w:rPr>
        <w:footnoteRef/>
      </w:r>
      <w:r>
        <w:rPr>
          <w:sz w:val="18"/>
        </w:rPr>
        <w:t xml:space="preserve"> В 1988 году население старше 65 лет составляло 4 процента.</w:t>
      </w:r>
    </w:p>
  </w:footnote>
  <w:footnote w:id="7">
    <w:p w:rsidR="00000000" w:rsidRDefault="00000000">
      <w:pPr>
        <w:pStyle w:val="FootnoteText"/>
        <w:spacing w:before="80"/>
        <w:jc w:val="both"/>
        <w:rPr>
          <w:sz w:val="18"/>
        </w:rPr>
      </w:pPr>
      <w:r>
        <w:rPr>
          <w:rStyle w:val="FootnoteReference"/>
          <w:sz w:val="18"/>
        </w:rPr>
        <w:footnoteRef/>
      </w:r>
      <w:r>
        <w:rPr>
          <w:sz w:val="18"/>
        </w:rPr>
        <w:t xml:space="preserve"> Национальный опрос по вопросам репродуктивного здоровья был проведен в 1999 году в рамках Центральноамериканской программы в области народонаселения, осуществляемой Университетом Коста-Рики; в его основу была</w:t>
      </w:r>
      <w:r>
        <w:rPr>
          <w:color w:val="FF0000"/>
          <w:sz w:val="18"/>
        </w:rPr>
        <w:t xml:space="preserve"> </w:t>
      </w:r>
      <w:r>
        <w:rPr>
          <w:sz w:val="18"/>
        </w:rPr>
        <w:t>положена выборка из 1612 женщин в возрасте от 18 до 44 лет, из которых 1029 соответствуют репрезентативной выборке на национальном уровне, что позволяет проводить сравнение с опросом 1992 года.</w:t>
      </w:r>
    </w:p>
  </w:footnote>
  <w:footnote w:id="8">
    <w:p w:rsidR="00000000" w:rsidRDefault="00000000">
      <w:pPr>
        <w:pStyle w:val="FootnoteText"/>
        <w:spacing w:before="80"/>
        <w:jc w:val="both"/>
        <w:rPr>
          <w:sz w:val="18"/>
        </w:rPr>
      </w:pPr>
      <w:r>
        <w:rPr>
          <w:rStyle w:val="FootnoteReference"/>
          <w:sz w:val="18"/>
        </w:rPr>
        <w:footnoteRef/>
      </w:r>
      <w:r>
        <w:rPr>
          <w:sz w:val="18"/>
        </w:rPr>
        <w:t xml:space="preserve"> Процент на каждую тысячу жителей.</w:t>
      </w:r>
    </w:p>
  </w:footnote>
  <w:footnote w:id="9">
    <w:p w:rsidR="00000000" w:rsidRDefault="00000000">
      <w:pPr>
        <w:pStyle w:val="FootnoteText"/>
        <w:spacing w:before="80"/>
        <w:jc w:val="both"/>
        <w:rPr>
          <w:sz w:val="18"/>
        </w:rPr>
      </w:pPr>
      <w:r>
        <w:rPr>
          <w:rStyle w:val="FootnoteReference"/>
          <w:sz w:val="18"/>
        </w:rPr>
        <w:footnoteRef/>
      </w:r>
      <w:r>
        <w:rPr>
          <w:sz w:val="18"/>
        </w:rPr>
        <w:t xml:space="preserve"> Утвержденный текст гласит: </w:t>
      </w:r>
      <w:r>
        <w:rPr>
          <w:i/>
          <w:sz w:val="18"/>
        </w:rPr>
        <w:t xml:space="preserve">"Статья 20. </w:t>
      </w:r>
      <w:r>
        <w:rPr>
          <w:rFonts w:ascii="Russian Times" w:hAnsi="Russian Times" w:hint="eastAsia"/>
          <w:i/>
          <w:sz w:val="18"/>
        </w:rPr>
        <w:t>Все</w:t>
      </w:r>
      <w:r>
        <w:rPr>
          <w:rFonts w:ascii="Russian Times" w:hAnsi="Russian Times"/>
          <w:i/>
          <w:sz w:val="18"/>
        </w:rPr>
        <w:t xml:space="preserve"> </w:t>
      </w:r>
      <w:r>
        <w:rPr>
          <w:rFonts w:ascii="Russian Times" w:hAnsi="Russian Times" w:hint="eastAsia"/>
          <w:i/>
          <w:sz w:val="18"/>
        </w:rPr>
        <w:t>люди</w:t>
      </w:r>
      <w:r>
        <w:rPr>
          <w:rFonts w:ascii="Russian Times" w:hAnsi="Russian Times"/>
          <w:i/>
          <w:sz w:val="18"/>
        </w:rPr>
        <w:t xml:space="preserve"> </w:t>
      </w:r>
      <w:r>
        <w:rPr>
          <w:rFonts w:ascii="Russian Times" w:hAnsi="Russian Times" w:hint="eastAsia"/>
          <w:i/>
          <w:sz w:val="18"/>
        </w:rPr>
        <w:t>свободны</w:t>
      </w:r>
      <w:r>
        <w:rPr>
          <w:rFonts w:ascii="Russian Times" w:hAnsi="Russian Times"/>
          <w:i/>
          <w:sz w:val="18"/>
        </w:rPr>
        <w:t xml:space="preserve"> </w:t>
      </w:r>
      <w:r>
        <w:rPr>
          <w:rFonts w:ascii="Russian Times" w:hAnsi="Russian Times" w:hint="eastAsia"/>
          <w:i/>
          <w:sz w:val="18"/>
        </w:rPr>
        <w:t>в</w:t>
      </w:r>
      <w:r>
        <w:rPr>
          <w:rFonts w:ascii="Russian Times" w:hAnsi="Russian Times"/>
          <w:i/>
          <w:sz w:val="18"/>
        </w:rPr>
        <w:t xml:space="preserve"> </w:t>
      </w:r>
      <w:r>
        <w:rPr>
          <w:rFonts w:ascii="Russian Times" w:hAnsi="Russian Times" w:hint="eastAsia"/>
          <w:i/>
          <w:sz w:val="18"/>
        </w:rPr>
        <w:t>Республике</w:t>
      </w:r>
      <w:r>
        <w:rPr>
          <w:rFonts w:ascii="Russian Times" w:hAnsi="Russian Times"/>
          <w:i/>
          <w:sz w:val="18"/>
        </w:rPr>
        <w:t xml:space="preserve">; </w:t>
      </w:r>
      <w:r>
        <w:rPr>
          <w:rFonts w:ascii="Russian Times" w:hAnsi="Russian Times" w:hint="eastAsia"/>
          <w:i/>
          <w:sz w:val="18"/>
        </w:rPr>
        <w:t>не</w:t>
      </w:r>
      <w:r>
        <w:rPr>
          <w:rFonts w:ascii="Russian Times" w:hAnsi="Russian Times"/>
          <w:i/>
          <w:sz w:val="18"/>
        </w:rPr>
        <w:t xml:space="preserve"> </w:t>
      </w:r>
      <w:r>
        <w:rPr>
          <w:rFonts w:ascii="Russian Times" w:hAnsi="Russian Times" w:hint="eastAsia"/>
          <w:i/>
          <w:sz w:val="18"/>
        </w:rPr>
        <w:t>может</w:t>
      </w:r>
      <w:r>
        <w:rPr>
          <w:rFonts w:ascii="Russian Times" w:hAnsi="Russian Times"/>
          <w:i/>
          <w:sz w:val="18"/>
        </w:rPr>
        <w:t xml:space="preserve"> </w:t>
      </w:r>
      <w:r>
        <w:rPr>
          <w:rFonts w:ascii="Russian Times" w:hAnsi="Russian Times" w:hint="eastAsia"/>
          <w:i/>
          <w:sz w:val="18"/>
        </w:rPr>
        <w:t>быть</w:t>
      </w:r>
      <w:r>
        <w:rPr>
          <w:rFonts w:ascii="Russian Times" w:hAnsi="Russian Times"/>
          <w:i/>
          <w:sz w:val="18"/>
        </w:rPr>
        <w:t xml:space="preserve"> ни </w:t>
      </w:r>
      <w:r>
        <w:rPr>
          <w:rFonts w:ascii="Russian Times" w:hAnsi="Russian Times" w:hint="eastAsia"/>
          <w:i/>
          <w:sz w:val="18"/>
        </w:rPr>
        <w:t>рабом</w:t>
      </w:r>
      <w:r>
        <w:rPr>
          <w:rFonts w:ascii="Russian Times" w:hAnsi="Russian Times"/>
          <w:i/>
          <w:sz w:val="18"/>
        </w:rPr>
        <w:t xml:space="preserve">, ни рабыней </w:t>
      </w:r>
      <w:r>
        <w:rPr>
          <w:rFonts w:ascii="Russian Times" w:hAnsi="Russian Times" w:hint="eastAsia"/>
          <w:i/>
          <w:sz w:val="18"/>
        </w:rPr>
        <w:t>человек</w:t>
      </w:r>
      <w:r>
        <w:rPr>
          <w:rFonts w:ascii="Russian Times" w:hAnsi="Russian Times"/>
          <w:i/>
          <w:sz w:val="18"/>
        </w:rPr>
        <w:t xml:space="preserve">, </w:t>
      </w:r>
      <w:r>
        <w:rPr>
          <w:rFonts w:ascii="Russian Times" w:hAnsi="Russian Times" w:hint="eastAsia"/>
          <w:i/>
          <w:sz w:val="18"/>
        </w:rPr>
        <w:t>находящийся</w:t>
      </w:r>
      <w:r>
        <w:rPr>
          <w:rFonts w:ascii="Russian Times" w:hAnsi="Russian Times"/>
          <w:i/>
          <w:sz w:val="18"/>
        </w:rPr>
        <w:t xml:space="preserve"> </w:t>
      </w:r>
      <w:r>
        <w:rPr>
          <w:rFonts w:ascii="Russian Times" w:hAnsi="Russian Times" w:hint="eastAsia"/>
          <w:i/>
          <w:sz w:val="18"/>
        </w:rPr>
        <w:t>под</w:t>
      </w:r>
      <w:r>
        <w:rPr>
          <w:rFonts w:ascii="Russian Times" w:hAnsi="Russian Times"/>
          <w:i/>
          <w:sz w:val="18"/>
        </w:rPr>
        <w:t xml:space="preserve"> </w:t>
      </w:r>
      <w:r>
        <w:rPr>
          <w:rFonts w:ascii="Russian Times" w:hAnsi="Russian Times" w:hint="eastAsia"/>
          <w:i/>
          <w:sz w:val="18"/>
        </w:rPr>
        <w:t>защитой</w:t>
      </w:r>
      <w:r>
        <w:rPr>
          <w:rFonts w:ascii="Russian Times" w:hAnsi="Russian Times"/>
          <w:i/>
          <w:sz w:val="18"/>
        </w:rPr>
        <w:t xml:space="preserve"> </w:t>
      </w:r>
      <w:r>
        <w:rPr>
          <w:rFonts w:ascii="Russian Times" w:hAnsi="Russian Times" w:hint="eastAsia"/>
          <w:i/>
          <w:sz w:val="18"/>
        </w:rPr>
        <w:t>ее</w:t>
      </w:r>
      <w:r>
        <w:rPr>
          <w:rFonts w:ascii="Russian Times" w:hAnsi="Russian Times"/>
          <w:i/>
          <w:sz w:val="18"/>
        </w:rPr>
        <w:t xml:space="preserve"> </w:t>
      </w:r>
      <w:r>
        <w:rPr>
          <w:rFonts w:ascii="Russian Times" w:hAnsi="Russian Times" w:hint="eastAsia"/>
          <w:i/>
          <w:sz w:val="18"/>
        </w:rPr>
        <w:t>законов</w:t>
      </w:r>
      <w:r>
        <w:rPr>
          <w:rFonts w:ascii="Russian Times" w:hAnsi="Russian Times"/>
          <w:i/>
          <w:sz w:val="18"/>
        </w:rPr>
        <w:t>"</w:t>
      </w:r>
      <w:r>
        <w:rPr>
          <w:rFonts w:ascii="Russian Times" w:hAnsi="Russian Times"/>
          <w:sz w:val="18"/>
        </w:rPr>
        <w:t>.</w:t>
      </w:r>
    </w:p>
  </w:footnote>
  <w:footnote w:id="10">
    <w:p w:rsidR="00000000" w:rsidRDefault="00000000">
      <w:pPr>
        <w:pStyle w:val="FootnoteText"/>
        <w:spacing w:before="80"/>
        <w:jc w:val="both"/>
        <w:rPr>
          <w:sz w:val="18"/>
        </w:rPr>
      </w:pPr>
      <w:r>
        <w:rPr>
          <w:rStyle w:val="FootnoteReference"/>
          <w:sz w:val="18"/>
        </w:rPr>
        <w:footnoteRef/>
      </w:r>
      <w:r>
        <w:rPr>
          <w:sz w:val="18"/>
        </w:rPr>
        <w:t xml:space="preserve"> См. в Приложении № 2 таблицу 1-1, в которой приведен список международных договоров об особой защите прав человека женщин, которые были ратифицированы Коста-Рикой в 1951–2002 годах.</w:t>
      </w:r>
    </w:p>
  </w:footnote>
  <w:footnote w:id="11">
    <w:p w:rsidR="00000000" w:rsidRDefault="00000000">
      <w:pPr>
        <w:pStyle w:val="FootnoteText"/>
        <w:spacing w:before="80"/>
        <w:jc w:val="both"/>
        <w:rPr>
          <w:sz w:val="18"/>
        </w:rPr>
      </w:pPr>
      <w:r>
        <w:rPr>
          <w:rStyle w:val="FootnoteReference"/>
          <w:sz w:val="18"/>
        </w:rPr>
        <w:footnoteRef/>
      </w:r>
      <w:r>
        <w:rPr>
          <w:sz w:val="18"/>
        </w:rPr>
        <w:t xml:space="preserve"> О задачах, целях и полномочиях ИНАМУ см. подробнее в Приложении № 3.</w:t>
      </w:r>
    </w:p>
  </w:footnote>
  <w:footnote w:id="12">
    <w:p w:rsidR="00000000" w:rsidRDefault="00000000">
      <w:pPr>
        <w:pStyle w:val="FootnoteText"/>
        <w:spacing w:before="80"/>
        <w:jc w:val="both"/>
        <w:rPr>
          <w:sz w:val="18"/>
        </w:rPr>
      </w:pPr>
      <w:r>
        <w:rPr>
          <w:rStyle w:val="FootnoteReference"/>
          <w:sz w:val="18"/>
        </w:rPr>
        <w:footnoteRef/>
      </w:r>
      <w:r>
        <w:rPr>
          <w:sz w:val="18"/>
        </w:rPr>
        <w:t xml:space="preserve"> В области сексуального воспитания детей и подростков и оказания комплексной помощи беременным девочкам-подросткам и несовершеннолетним матерям действуют две программы: "Молодая любовь" и "Создаем возможности". </w:t>
      </w:r>
    </w:p>
  </w:footnote>
  <w:footnote w:id="13">
    <w:p w:rsidR="00000000" w:rsidRDefault="00000000">
      <w:pPr>
        <w:pStyle w:val="FootnoteText"/>
        <w:spacing w:before="80"/>
        <w:jc w:val="both"/>
        <w:rPr>
          <w:sz w:val="18"/>
        </w:rPr>
      </w:pPr>
      <w:r>
        <w:rPr>
          <w:rStyle w:val="FootnoteReference"/>
          <w:sz w:val="18"/>
        </w:rPr>
        <w:footnoteRef/>
      </w:r>
      <w:r>
        <w:rPr>
          <w:sz w:val="18"/>
        </w:rPr>
        <w:t xml:space="preserve"> См. документ в Приложении № 4.</w:t>
      </w:r>
    </w:p>
  </w:footnote>
  <w:footnote w:id="14">
    <w:p w:rsidR="00000000" w:rsidRDefault="00000000">
      <w:pPr>
        <w:pStyle w:val="FootnoteText"/>
        <w:spacing w:before="80"/>
        <w:jc w:val="both"/>
        <w:rPr>
          <w:sz w:val="18"/>
        </w:rPr>
      </w:pPr>
      <w:r>
        <w:rPr>
          <w:rStyle w:val="FootnoteReference"/>
          <w:sz w:val="18"/>
        </w:rPr>
        <w:footnoteRef/>
      </w:r>
      <w:r>
        <w:rPr>
          <w:sz w:val="18"/>
        </w:rPr>
        <w:t xml:space="preserve"> Признается необходимость введения квот и других механизмов в деятельность партий, в руководящие органы и избирательные бюллетени.</w:t>
      </w:r>
    </w:p>
  </w:footnote>
  <w:footnote w:id="15">
    <w:p w:rsidR="00000000" w:rsidRDefault="00000000">
      <w:pPr>
        <w:pStyle w:val="FootnoteText"/>
        <w:spacing w:before="80"/>
        <w:jc w:val="both"/>
        <w:rPr>
          <w:sz w:val="18"/>
        </w:rPr>
      </w:pPr>
      <w:r>
        <w:rPr>
          <w:rStyle w:val="FootnoteReference"/>
          <w:sz w:val="18"/>
        </w:rPr>
        <w:footnoteRef/>
      </w:r>
      <w:r>
        <w:rPr>
          <w:sz w:val="18"/>
        </w:rPr>
        <w:t xml:space="preserve"> Междисциплинарные группы специалистов по педагогике, социальной работе, профессиональной ориентации и психологии, работающие в учебных заведениях периферийных городских районов Большого столичного округа Сан-Хосе. Они предоставляют консультации и помощь учащимся, относящимся к группе социального риска.</w:t>
      </w:r>
    </w:p>
  </w:footnote>
  <w:footnote w:id="16">
    <w:p w:rsidR="00000000" w:rsidRDefault="00000000">
      <w:pPr>
        <w:pStyle w:val="FootnoteText"/>
        <w:spacing w:before="80"/>
        <w:jc w:val="both"/>
        <w:rPr>
          <w:sz w:val="18"/>
        </w:rPr>
      </w:pPr>
      <w:r>
        <w:rPr>
          <w:rStyle w:val="FootnoteReference"/>
          <w:sz w:val="18"/>
        </w:rPr>
        <w:footnoteRef/>
      </w:r>
      <w:r>
        <w:rPr>
          <w:sz w:val="18"/>
        </w:rPr>
        <w:t xml:space="preserve"> Были внесены изменения в статью Уголовного кодекса о преступлениях на сексуальной почве; внесенные изменения характеризуют и предусматривают наказание для совершеннолетних, которые за плату вступают в сексуальные отношения с несовершеннолетними; было также включено понятие порнографии и использования несовершеннолетних в эротических сюжетах, что признается одной из форм совращения. Также подлежат наказанию продажа людей с целью сексуальной эксплуатации, создание, производство и распространение порнографической продукции с участием несовершеннолетних. Были ужесточены наказания и за некоторые другие преступления, если их жертвами являются несовершеннолетние. Однако по этому закону не подлежит наказанию приобретение и хранение детской порнографии. Закон не допускает прослушивания телефонных переговоров и не предусматривает конфискации имущества за вышеуказанные преступления. Применение этих мер возможно, однако, в отношении организованной торговли наркотическими веществами.</w:t>
      </w:r>
    </w:p>
  </w:footnote>
  <w:footnote w:id="17">
    <w:p w:rsidR="00000000" w:rsidRDefault="00000000">
      <w:pPr>
        <w:pStyle w:val="FootnoteText"/>
        <w:rPr>
          <w:lang w:val="en-US"/>
        </w:rPr>
      </w:pPr>
      <w:r>
        <w:rPr>
          <w:rStyle w:val="FootnoteReference"/>
        </w:rPr>
        <w:footnoteRef/>
      </w:r>
      <w:r>
        <w:rPr>
          <w:lang w:val="en-US"/>
        </w:rPr>
        <w:t xml:space="preserve"> Investigación realizada por la Defensoría de los Habitantes, mediados del 2000.</w:t>
      </w:r>
    </w:p>
  </w:footnote>
  <w:footnote w:id="18">
    <w:p w:rsidR="00000000" w:rsidRDefault="00000000">
      <w:pPr>
        <w:pStyle w:val="FootnoteText"/>
        <w:rPr>
          <w:lang w:val="en-US"/>
        </w:rPr>
      </w:pPr>
      <w:r>
        <w:rPr>
          <w:rStyle w:val="FootnoteReference"/>
        </w:rPr>
        <w:footnoteRef/>
      </w:r>
      <w:r>
        <w:rPr>
          <w:lang w:val="en-US"/>
        </w:rPr>
        <w:t xml:space="preserve"> Investigación del Área de Ciudadanía, Liderazgo y Gestión Local del INAMU, julio del 2002.</w:t>
      </w:r>
    </w:p>
  </w:footnote>
  <w:footnote w:id="19">
    <w:p w:rsidR="00000000" w:rsidRDefault="00000000">
      <w:pPr>
        <w:pStyle w:val="FootnoteText"/>
        <w:spacing w:before="80"/>
        <w:jc w:val="both"/>
        <w:rPr>
          <w:sz w:val="18"/>
          <w:lang w:val="en-US"/>
        </w:rPr>
      </w:pPr>
      <w:r>
        <w:rPr>
          <w:rStyle w:val="FootnoteReference"/>
          <w:sz w:val="18"/>
        </w:rPr>
        <w:footnoteRef/>
      </w:r>
      <w:r>
        <w:rPr>
          <w:sz w:val="18"/>
        </w:rPr>
        <w:t xml:space="preserve"> Например, 51,7 процента больных детей никарагуанских иммигрантов получили медицинскую помощь, 95 процентам детей сделаны прививки от туберкулеза, 80 процентам от полиомиелита и дифтерии, столбняка и коклюша, 75 процентам от кори. См</w:t>
      </w:r>
      <w:r>
        <w:rPr>
          <w:sz w:val="18"/>
          <w:lang w:val="en-US"/>
        </w:rPr>
        <w:t xml:space="preserve">. Chen et al, op. cit., p. 145, 164. </w:t>
      </w:r>
    </w:p>
  </w:footnote>
  <w:footnote w:id="20">
    <w:p w:rsidR="00000000" w:rsidRDefault="00000000">
      <w:pPr>
        <w:pStyle w:val="FootnoteText"/>
        <w:spacing w:before="80"/>
        <w:jc w:val="both"/>
        <w:rPr>
          <w:sz w:val="18"/>
        </w:rPr>
      </w:pPr>
      <w:r>
        <w:rPr>
          <w:rStyle w:val="FootnoteReference"/>
          <w:sz w:val="18"/>
        </w:rPr>
        <w:footnoteRef/>
      </w:r>
      <w:r>
        <w:rPr>
          <w:sz w:val="18"/>
        </w:rPr>
        <w:t xml:space="preserve"> Исследование, произведенное "Ла Карпио" в 1998 году, показало, что никарагуанские женщины платили в этих случаях до 88 тыс. колонов.</w:t>
      </w:r>
    </w:p>
  </w:footnote>
  <w:footnote w:id="21">
    <w:p w:rsidR="00000000" w:rsidRDefault="00000000">
      <w:pPr>
        <w:pStyle w:val="FootnoteText"/>
        <w:spacing w:before="80"/>
        <w:jc w:val="both"/>
        <w:rPr>
          <w:sz w:val="18"/>
        </w:rPr>
      </w:pPr>
      <w:r>
        <w:rPr>
          <w:rStyle w:val="FootnoteReference"/>
          <w:sz w:val="18"/>
        </w:rPr>
        <w:footnoteRef/>
      </w:r>
      <w:r>
        <w:rPr>
          <w:sz w:val="18"/>
        </w:rPr>
        <w:t xml:space="preserve"> Достижение одинакового участия мужчин и женщин во всех сферах деятельности не может рассматриваться в качестве ближайшей цели. Для того чтобы приблизиться к этой цели в соответствии с международными договорами, приемлемый уровень участия как женщин, так и мужчин в любой сфере деятельности должен быть не менее 40 и не более 60 процентов.</w:t>
      </w:r>
    </w:p>
  </w:footnote>
  <w:footnote w:id="22">
    <w:p w:rsidR="00000000" w:rsidRDefault="00000000">
      <w:pPr>
        <w:pStyle w:val="FootnoteText"/>
        <w:spacing w:before="80"/>
        <w:jc w:val="both"/>
        <w:rPr>
          <w:sz w:val="18"/>
        </w:rPr>
      </w:pPr>
      <w:r>
        <w:rPr>
          <w:rStyle w:val="FootnoteReference"/>
          <w:sz w:val="18"/>
        </w:rPr>
        <w:footnoteRef/>
      </w:r>
      <w:r>
        <w:rPr>
          <w:sz w:val="18"/>
        </w:rPr>
        <w:t xml:space="preserve"> Рассматривалось 43 подразделения (школы, кафедры, академии) и факультеты фармакологии, одонтологии, микробиологии, права и общих исследований, которые не подразделяются на отдельные школы.</w:t>
      </w:r>
    </w:p>
  </w:footnote>
  <w:footnote w:id="23">
    <w:p w:rsidR="00000000" w:rsidRDefault="00000000">
      <w:pPr>
        <w:pStyle w:val="FootnoteText"/>
        <w:spacing w:before="80"/>
        <w:jc w:val="both"/>
        <w:rPr>
          <w:sz w:val="18"/>
        </w:rPr>
      </w:pPr>
      <w:r>
        <w:rPr>
          <w:rStyle w:val="FootnoteReference"/>
          <w:sz w:val="18"/>
        </w:rPr>
        <w:footnoteRef/>
      </w:r>
      <w:r>
        <w:rPr>
          <w:sz w:val="18"/>
        </w:rPr>
        <w:t xml:space="preserve"> Проведен в 1999 году в соответствии с Центральноамериканской программой народонаселения Университета Коста-Рики, в которой участвовали 1612 женщин в возрасте 18 до 44 лет. Из них 1029 соответствуют репрезентативным показателям по стране в целом, что позволяет делать сравнения с данными 1992 года.</w:t>
      </w:r>
    </w:p>
  </w:footnote>
  <w:footnote w:id="24">
    <w:p w:rsidR="00000000" w:rsidRDefault="00000000">
      <w:pPr>
        <w:pStyle w:val="FootnoteText"/>
        <w:spacing w:before="80"/>
        <w:jc w:val="both"/>
        <w:rPr>
          <w:sz w:val="18"/>
          <w:lang w:val="en-US"/>
        </w:rPr>
      </w:pPr>
      <w:r>
        <w:rPr>
          <w:rStyle w:val="FootnoteReference"/>
          <w:sz w:val="18"/>
        </w:rPr>
        <w:footnoteRef/>
      </w:r>
      <w:r>
        <w:rPr>
          <w:sz w:val="18"/>
          <w:lang w:val="en-US"/>
        </w:rPr>
        <w:t xml:space="preserve">  Portadores del VIH/SIDA.</w:t>
      </w:r>
    </w:p>
  </w:footnote>
  <w:footnote w:id="25">
    <w:p w:rsidR="00000000" w:rsidRDefault="00000000">
      <w:pPr>
        <w:pStyle w:val="FootnoteText"/>
        <w:spacing w:before="80"/>
        <w:jc w:val="both"/>
        <w:rPr>
          <w:sz w:val="18"/>
        </w:rPr>
      </w:pPr>
      <w:r>
        <w:rPr>
          <w:rStyle w:val="FootnoteReference"/>
          <w:sz w:val="18"/>
        </w:rPr>
        <w:t>24</w:t>
      </w:r>
      <w:r>
        <w:rPr>
          <w:sz w:val="18"/>
        </w:rPr>
        <w:t xml:space="preserve"> При отсутствии указания на иной источник информация, которая содержится в этом разделе, взята из </w:t>
      </w:r>
      <w:r>
        <w:rPr>
          <w:sz w:val="18"/>
          <w:lang w:val="en-US"/>
        </w:rPr>
        <w:t>Carcedo</w:t>
      </w:r>
      <w:r>
        <w:rPr>
          <w:sz w:val="18"/>
        </w:rPr>
        <w:t xml:space="preserve">, </w:t>
      </w:r>
      <w:r>
        <w:rPr>
          <w:sz w:val="18"/>
          <w:lang w:val="en-US"/>
        </w:rPr>
        <w:t>Sagot</w:t>
      </w:r>
      <w:r>
        <w:rPr>
          <w:sz w:val="18"/>
        </w:rPr>
        <w:t xml:space="preserve"> (2001).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Layout w:type="fixed"/>
      <w:tblCellMar>
        <w:left w:w="0" w:type="dxa"/>
        <w:right w:w="0" w:type="dxa"/>
      </w:tblCellMar>
      <w:tblLook w:val="0000" w:firstRow="0" w:lastRow="0" w:firstColumn="0" w:lastColumn="0" w:noHBand="0" w:noVBand="0"/>
    </w:tblPr>
    <w:tblGrid>
      <w:gridCol w:w="1134"/>
      <w:gridCol w:w="4395"/>
      <w:gridCol w:w="1134"/>
      <w:gridCol w:w="2976"/>
    </w:tblGrid>
    <w:tr w:rsidR="00000000">
      <w:tblPrEx>
        <w:tblCellMar>
          <w:top w:w="0" w:type="dxa"/>
          <w:left w:w="0" w:type="dxa"/>
          <w:bottom w:w="0" w:type="dxa"/>
          <w:right w:w="0" w:type="dxa"/>
        </w:tblCellMar>
      </w:tblPrEx>
      <w:trPr>
        <w:cantSplit/>
      </w:trPr>
      <w:tc>
        <w:tcPr>
          <w:tcW w:w="5529" w:type="dxa"/>
          <w:gridSpan w:val="2"/>
          <w:tcBorders>
            <w:bottom w:val="single" w:sz="4" w:space="0" w:color="auto"/>
          </w:tcBorders>
          <w:vAlign w:val="center"/>
        </w:tcPr>
        <w:p w:rsidR="00000000" w:rsidRDefault="00000000">
          <w:pPr>
            <w:pStyle w:val="Heading9"/>
            <w:spacing w:after="240" w:line="400" w:lineRule="exact"/>
            <w:ind w:left="0" w:right="0" w:firstLine="0"/>
            <w:jc w:val="left"/>
            <w:rPr>
              <w:sz w:val="20"/>
            </w:rPr>
          </w:pPr>
          <w:r>
            <w:rPr>
              <w:b/>
            </w:rPr>
            <w:t>Организация Объединенных Наций</w:t>
          </w:r>
        </w:p>
      </w:tc>
      <w:tc>
        <w:tcPr>
          <w:tcW w:w="4110" w:type="dxa"/>
          <w:gridSpan w:val="2"/>
          <w:tcBorders>
            <w:bottom w:val="single" w:sz="4" w:space="0" w:color="auto"/>
          </w:tcBorders>
        </w:tcPr>
        <w:p w:rsidR="00000000" w:rsidRDefault="00000000">
          <w:pPr>
            <w:pStyle w:val="Heading9"/>
            <w:spacing w:after="0"/>
            <w:ind w:left="0" w:right="0" w:firstLine="0"/>
            <w:rPr>
              <w:b/>
              <w:sz w:val="40"/>
              <w:lang w:val="en-US"/>
            </w:rPr>
          </w:pPr>
          <w:r>
            <w:rPr>
              <w:b/>
              <w:sz w:val="40"/>
              <w:lang w:val="en-US"/>
            </w:rPr>
            <w:t>C</w:t>
          </w:r>
          <w:r>
            <w:rPr>
              <w:b/>
              <w:sz w:val="40"/>
              <w:lang w:val="en-US"/>
            </w:rPr>
            <w:t>E</w:t>
          </w:r>
          <w:r>
            <w:rPr>
              <w:b/>
              <w:sz w:val="40"/>
              <w:lang w:val="en-US"/>
            </w:rPr>
            <w:t>DAW</w:t>
          </w:r>
          <w:r>
            <w:rPr>
              <w:sz w:val="22"/>
              <w:lang w:val="en-US"/>
            </w:rPr>
            <w:t>/C/CRI/4</w:t>
          </w:r>
        </w:p>
      </w:tc>
    </w:tr>
    <w:tr w:rsidR="00000000">
      <w:tblPrEx>
        <w:tblCellMar>
          <w:top w:w="0" w:type="dxa"/>
          <w:left w:w="0" w:type="dxa"/>
          <w:bottom w:w="0" w:type="dxa"/>
          <w:right w:w="0" w:type="dxa"/>
        </w:tblCellMar>
      </w:tblPrEx>
      <w:trPr>
        <w:trHeight w:val="239"/>
      </w:trPr>
      <w:tc>
        <w:tcPr>
          <w:tcW w:w="1134" w:type="dxa"/>
        </w:tcPr>
        <w:p w:rsidR="00000000" w:rsidRDefault="00000000">
          <w:pPr>
            <w:rPr>
              <w:lang w:val="en-US"/>
            </w:rPr>
          </w:pPr>
        </w:p>
      </w:tc>
      <w:tc>
        <w:tcPr>
          <w:tcW w:w="5529" w:type="dxa"/>
          <w:gridSpan w:val="2"/>
        </w:tcPr>
        <w:p w:rsidR="00000000" w:rsidRDefault="00000000">
          <w:pPr>
            <w:rPr>
              <w:lang w:val="en-US"/>
            </w:rPr>
          </w:pPr>
        </w:p>
      </w:tc>
      <w:tc>
        <w:tcPr>
          <w:tcW w:w="2976" w:type="dxa"/>
        </w:tcPr>
        <w:p w:rsidR="00000000" w:rsidRDefault="00000000">
          <w:pPr>
            <w:rPr>
              <w:lang w:val="en-US"/>
            </w:rPr>
          </w:pPr>
        </w:p>
      </w:tc>
    </w:tr>
    <w:bookmarkStart w:id="1" w:name="_MON_979384112"/>
    <w:bookmarkStart w:id="2" w:name="_MON_1028637953"/>
    <w:bookmarkStart w:id="3" w:name="_MON_1028638124"/>
    <w:bookmarkStart w:id="4" w:name="_MON_1028715977"/>
    <w:bookmarkEnd w:id="1"/>
    <w:bookmarkEnd w:id="2"/>
    <w:bookmarkEnd w:id="3"/>
    <w:bookmarkEnd w:id="4"/>
    <w:tr w:rsidR="00000000">
      <w:tblPrEx>
        <w:tblCellMar>
          <w:top w:w="0" w:type="dxa"/>
          <w:left w:w="0" w:type="dxa"/>
          <w:bottom w:w="0" w:type="dxa"/>
          <w:right w:w="0" w:type="dxa"/>
        </w:tblCellMar>
      </w:tblPrEx>
      <w:trPr>
        <w:cantSplit/>
        <w:trHeight w:val="1368"/>
      </w:trPr>
      <w:tc>
        <w:tcPr>
          <w:tcW w:w="1134" w:type="dxa"/>
          <w:tcBorders>
            <w:bottom w:val="single" w:sz="8" w:space="0" w:color="auto"/>
          </w:tcBorders>
        </w:tcPr>
        <w:p w:rsidR="00000000" w:rsidRDefault="00000000">
          <w:r>
            <w:object w:dxaOrig="829" w:dyaOrig="7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48.75pt;height:41.25pt" o:ole="" fillcolor="window">
                <v:imagedata r:id="rId1" o:title=""/>
              </v:shape>
              <o:OLEObject Type="Embed" ProgID="Word.Picture.8" ShapeID="_x0000_i1029" DrawAspect="Content" ObjectID="_1394547693" r:id="rId2"/>
            </w:object>
          </w:r>
        </w:p>
      </w:tc>
      <w:tc>
        <w:tcPr>
          <w:tcW w:w="5529" w:type="dxa"/>
          <w:gridSpan w:val="2"/>
          <w:tcBorders>
            <w:bottom w:val="single" w:sz="8" w:space="0" w:color="auto"/>
          </w:tcBorders>
        </w:tcPr>
        <w:p w:rsidR="00000000" w:rsidRDefault="00000000">
          <w:pPr>
            <w:rPr>
              <w:b/>
              <w:sz w:val="28"/>
            </w:rPr>
          </w:pPr>
          <w:r>
            <w:rPr>
              <w:b/>
              <w:sz w:val="28"/>
            </w:rPr>
            <w:t xml:space="preserve">Конвенция о ликвидации </w:t>
          </w:r>
          <w:r>
            <w:rPr>
              <w:b/>
              <w:sz w:val="28"/>
            </w:rPr>
            <w:br/>
            <w:t xml:space="preserve">всех форм дискриминации </w:t>
          </w:r>
          <w:r>
            <w:rPr>
              <w:b/>
              <w:sz w:val="28"/>
            </w:rPr>
            <w:br/>
            <w:t>в отношении женщин</w:t>
          </w:r>
        </w:p>
      </w:tc>
      <w:tc>
        <w:tcPr>
          <w:tcW w:w="2976" w:type="dxa"/>
          <w:tcBorders>
            <w:bottom w:val="single" w:sz="8" w:space="0" w:color="auto"/>
          </w:tcBorders>
        </w:tcPr>
        <w:p w:rsidR="00000000" w:rsidRDefault="00000000">
          <w:pPr>
            <w:tabs>
              <w:tab w:val="left" w:pos="7371"/>
            </w:tabs>
            <w:spacing w:line="260" w:lineRule="exact"/>
            <w:rPr>
              <w:sz w:val="22"/>
              <w:lang w:val="en-US"/>
            </w:rPr>
          </w:pPr>
          <w:r>
            <w:rPr>
              <w:sz w:val="22"/>
              <w:lang w:val="en-US"/>
            </w:rPr>
            <w:t>Distr.: General</w:t>
          </w:r>
        </w:p>
        <w:p w:rsidR="00000000" w:rsidRDefault="00000000">
          <w:pPr>
            <w:tabs>
              <w:tab w:val="left" w:pos="7371"/>
            </w:tabs>
            <w:spacing w:line="220" w:lineRule="exact"/>
            <w:rPr>
              <w:sz w:val="22"/>
              <w:lang w:val="en-US"/>
            </w:rPr>
          </w:pPr>
          <w:r>
            <w:rPr>
              <w:sz w:val="22"/>
              <w:lang w:val="en-US"/>
            </w:rPr>
            <w:t>26 March 200</w:t>
          </w:r>
          <w:r>
            <w:rPr>
              <w:sz w:val="22"/>
            </w:rPr>
            <w:t>3</w:t>
          </w:r>
          <w:r>
            <w:rPr>
              <w:sz w:val="22"/>
              <w:lang w:val="en-US"/>
            </w:rPr>
            <w:br/>
          </w:r>
        </w:p>
        <w:p w:rsidR="00000000" w:rsidRDefault="00000000">
          <w:pPr>
            <w:tabs>
              <w:tab w:val="left" w:pos="7371"/>
            </w:tabs>
            <w:spacing w:line="260" w:lineRule="exact"/>
            <w:rPr>
              <w:sz w:val="22"/>
              <w:lang w:val="en-US"/>
            </w:rPr>
          </w:pPr>
          <w:r>
            <w:rPr>
              <w:sz w:val="22"/>
              <w:lang w:val="en-US"/>
            </w:rPr>
            <w:t>Russian</w:t>
          </w:r>
        </w:p>
        <w:p w:rsidR="00000000" w:rsidRDefault="00000000">
          <w:pPr>
            <w:tabs>
              <w:tab w:val="left" w:pos="7371"/>
            </w:tabs>
            <w:spacing w:line="260" w:lineRule="exact"/>
            <w:rPr>
              <w:sz w:val="22"/>
              <w:lang w:val="en-US"/>
            </w:rPr>
          </w:pPr>
          <w:r>
            <w:rPr>
              <w:caps/>
              <w:sz w:val="22"/>
              <w:lang w:val="en-US"/>
            </w:rPr>
            <w:t>O</w:t>
          </w:r>
          <w:r>
            <w:rPr>
              <w:sz w:val="22"/>
              <w:lang w:val="en-US"/>
            </w:rPr>
            <w:t>riginal: Spanish</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tc>
    </w:tr>
  </w:tbl>
  <w:p w:rsidR="00000000" w:rsidRDefault="00000000">
    <w:pPr>
      <w:ind w:right="360"/>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677"/>
      </w:tabs>
      <w:rPr>
        <w:lang w:val="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ind w:right="360"/>
      <w:rPr>
        <w:lang w:val="en-US"/>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3A785A6A"/>
    <w:lvl w:ilvl="0">
      <w:numFmt w:val="decimal"/>
      <w:lvlText w:val="*"/>
      <w:lvlJc w:val="left"/>
    </w:lvl>
  </w:abstractNum>
  <w:abstractNum w:abstractNumId="1">
    <w:nsid w:val="010133DD"/>
    <w:multiLevelType w:val="hybridMultilevel"/>
    <w:tmpl w:val="A6D27362"/>
    <w:lvl w:ilvl="0">
      <w:start w:val="1"/>
      <w:numFmt w:val="bullet"/>
      <w:lvlText w:val=""/>
      <w:lvlJc w:val="left"/>
      <w:pPr>
        <w:tabs>
          <w:tab w:val="num" w:pos="720"/>
        </w:tabs>
        <w:ind w:left="720" w:hanging="493"/>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nsid w:val="010F5465"/>
    <w:multiLevelType w:val="hybridMultilevel"/>
    <w:tmpl w:val="CA92DEE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
    <w:nsid w:val="022A2BFB"/>
    <w:multiLevelType w:val="hybridMultilevel"/>
    <w:tmpl w:val="095EB164"/>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
    <w:nsid w:val="029C5C02"/>
    <w:multiLevelType w:val="singleLevel"/>
    <w:tmpl w:val="EF88E834"/>
    <w:lvl w:ilvl="0">
      <w:start w:val="529"/>
      <w:numFmt w:val="bullet"/>
      <w:lvlText w:val="-"/>
      <w:lvlJc w:val="left"/>
      <w:pPr>
        <w:tabs>
          <w:tab w:val="num" w:pos="360"/>
        </w:tabs>
        <w:ind w:left="360" w:hanging="360"/>
      </w:pPr>
      <w:rPr>
        <w:rFonts w:hint="default"/>
      </w:rPr>
    </w:lvl>
  </w:abstractNum>
  <w:abstractNum w:abstractNumId="5">
    <w:nsid w:val="05C34379"/>
    <w:multiLevelType w:val="hybridMultilevel"/>
    <w:tmpl w:val="82907824"/>
    <w:lvl w:ilvl="0">
      <w:start w:val="1"/>
      <w:numFmt w:val="bullet"/>
      <w:lvlText w:val=""/>
      <w:lvlJc w:val="left"/>
      <w:pPr>
        <w:tabs>
          <w:tab w:val="num" w:pos="360"/>
        </w:tabs>
        <w:ind w:left="340" w:hanging="340"/>
      </w:pPr>
      <w:rPr>
        <w:rFonts w:ascii="Symbol" w:hAnsi="Symbol" w:hint="default"/>
        <w:b w:val="0"/>
        <w:i w:val="0"/>
        <w:sz w:val="22"/>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nsid w:val="067578D2"/>
    <w:multiLevelType w:val="hybridMultilevel"/>
    <w:tmpl w:val="B06249E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nsid w:val="06884058"/>
    <w:multiLevelType w:val="singleLevel"/>
    <w:tmpl w:val="AA54EF86"/>
    <w:lvl w:ilvl="0">
      <w:numFmt w:val="bullet"/>
      <w:lvlText w:val="-"/>
      <w:lvlJc w:val="left"/>
      <w:pPr>
        <w:tabs>
          <w:tab w:val="num" w:pos="360"/>
        </w:tabs>
        <w:ind w:left="360" w:hanging="360"/>
      </w:pPr>
      <w:rPr>
        <w:rFonts w:hint="default"/>
      </w:rPr>
    </w:lvl>
  </w:abstractNum>
  <w:abstractNum w:abstractNumId="8">
    <w:nsid w:val="073E024C"/>
    <w:multiLevelType w:val="hybridMultilevel"/>
    <w:tmpl w:val="83B40286"/>
    <w:lvl w:ilvl="0">
      <w:start w:val="1"/>
      <w:numFmt w:val="bullet"/>
      <w:lvlText w:val=""/>
      <w:lvlJc w:val="left"/>
      <w:pPr>
        <w:tabs>
          <w:tab w:val="num" w:pos="360"/>
        </w:tabs>
        <w:ind w:left="340" w:hanging="340"/>
      </w:pPr>
      <w:rPr>
        <w:rFonts w:ascii="Symbol" w:hAnsi="Symbol" w:hint="default"/>
        <w:b w:val="0"/>
        <w:i w:val="0"/>
        <w:sz w:val="22"/>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9">
    <w:nsid w:val="079F1A24"/>
    <w:multiLevelType w:val="hybridMultilevel"/>
    <w:tmpl w:val="358CCDC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
    <w:nsid w:val="08A852C3"/>
    <w:multiLevelType w:val="hybridMultilevel"/>
    <w:tmpl w:val="A35CA1A4"/>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1">
    <w:nsid w:val="08F7161A"/>
    <w:multiLevelType w:val="hybridMultilevel"/>
    <w:tmpl w:val="1C52B9A8"/>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2">
    <w:nsid w:val="0A4E72F2"/>
    <w:multiLevelType w:val="hybridMultilevel"/>
    <w:tmpl w:val="ECFE5082"/>
    <w:lvl w:ilvl="0">
      <w:start w:val="1"/>
      <w:numFmt w:val="bullet"/>
      <w:lvlText w:val=""/>
      <w:lvlJc w:val="left"/>
      <w:pPr>
        <w:tabs>
          <w:tab w:val="num" w:pos="360"/>
        </w:tabs>
        <w:ind w:left="340" w:hanging="340"/>
      </w:pPr>
      <w:rPr>
        <w:rFonts w:ascii="Symbol" w:hAnsi="Symbol" w:hint="default"/>
        <w:b w:val="0"/>
        <w:i w:val="0"/>
        <w:sz w:val="22"/>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3">
    <w:nsid w:val="0A9B0A23"/>
    <w:multiLevelType w:val="singleLevel"/>
    <w:tmpl w:val="AA54EF86"/>
    <w:lvl w:ilvl="0">
      <w:numFmt w:val="bullet"/>
      <w:lvlText w:val="-"/>
      <w:lvlJc w:val="left"/>
      <w:pPr>
        <w:tabs>
          <w:tab w:val="num" w:pos="360"/>
        </w:tabs>
        <w:ind w:left="360" w:hanging="360"/>
      </w:pPr>
      <w:rPr>
        <w:rFonts w:hint="default"/>
      </w:rPr>
    </w:lvl>
  </w:abstractNum>
  <w:abstractNum w:abstractNumId="14">
    <w:nsid w:val="0AC5623E"/>
    <w:multiLevelType w:val="singleLevel"/>
    <w:tmpl w:val="AA54EF86"/>
    <w:lvl w:ilvl="0">
      <w:numFmt w:val="bullet"/>
      <w:lvlText w:val="-"/>
      <w:lvlJc w:val="left"/>
      <w:pPr>
        <w:tabs>
          <w:tab w:val="num" w:pos="360"/>
        </w:tabs>
        <w:ind w:left="360" w:hanging="360"/>
      </w:pPr>
      <w:rPr>
        <w:rFonts w:hint="default"/>
      </w:rPr>
    </w:lvl>
  </w:abstractNum>
  <w:abstractNum w:abstractNumId="15">
    <w:nsid w:val="0B112D07"/>
    <w:multiLevelType w:val="singleLevel"/>
    <w:tmpl w:val="2F5C6934"/>
    <w:lvl w:ilvl="0">
      <w:start w:val="645"/>
      <w:numFmt w:val="decimal"/>
      <w:lvlText w:val="%1."/>
      <w:lvlJc w:val="left"/>
      <w:pPr>
        <w:tabs>
          <w:tab w:val="num" w:pos="960"/>
        </w:tabs>
        <w:ind w:left="960" w:hanging="960"/>
      </w:pPr>
      <w:rPr>
        <w:rFonts w:hint="default"/>
      </w:rPr>
    </w:lvl>
  </w:abstractNum>
  <w:abstractNum w:abstractNumId="16">
    <w:nsid w:val="0B1E3941"/>
    <w:multiLevelType w:val="singleLevel"/>
    <w:tmpl w:val="56C2E04E"/>
    <w:lvl w:ilvl="0">
      <w:start w:val="39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
    <w:nsid w:val="0B2C57EA"/>
    <w:multiLevelType w:val="hybridMultilevel"/>
    <w:tmpl w:val="D610B19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nsid w:val="0C2C2CA4"/>
    <w:multiLevelType w:val="hybridMultilevel"/>
    <w:tmpl w:val="80A01EFC"/>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9">
    <w:nsid w:val="0CCA658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0">
    <w:nsid w:val="0FBD754E"/>
    <w:multiLevelType w:val="hybridMultilevel"/>
    <w:tmpl w:val="F4B2DAF8"/>
    <w:lvl w:ilvl="0">
      <w:start w:val="1"/>
      <w:numFmt w:val="bullet"/>
      <w:lvlText w:val=""/>
      <w:lvlJc w:val="left"/>
      <w:pPr>
        <w:tabs>
          <w:tab w:val="num" w:pos="720"/>
        </w:tabs>
        <w:ind w:left="720" w:hanging="493"/>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nsid w:val="107F116D"/>
    <w:multiLevelType w:val="hybridMultilevel"/>
    <w:tmpl w:val="48D2FD0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
    <w:nsid w:val="10AF42A3"/>
    <w:multiLevelType w:val="hybridMultilevel"/>
    <w:tmpl w:val="65B8A3F4"/>
    <w:lvl w:ilvl="0">
      <w:start w:val="401"/>
      <w:numFmt w:val="decimal"/>
      <w:lvlText w:val="%1."/>
      <w:lvlJc w:val="left"/>
      <w:pPr>
        <w:tabs>
          <w:tab w:val="num" w:pos="780"/>
        </w:tabs>
        <w:ind w:left="780" w:hanging="4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nsid w:val="10DB603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4">
    <w:nsid w:val="11D009A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5">
    <w:nsid w:val="11F343DF"/>
    <w:multiLevelType w:val="hybridMultilevel"/>
    <w:tmpl w:val="F380320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
    <w:nsid w:val="123D5CA4"/>
    <w:multiLevelType w:val="singleLevel"/>
    <w:tmpl w:val="AA54EF86"/>
    <w:lvl w:ilvl="0">
      <w:numFmt w:val="bullet"/>
      <w:lvlText w:val="-"/>
      <w:lvlJc w:val="left"/>
      <w:pPr>
        <w:tabs>
          <w:tab w:val="num" w:pos="360"/>
        </w:tabs>
        <w:ind w:left="360" w:hanging="360"/>
      </w:pPr>
      <w:rPr>
        <w:rFonts w:hint="default"/>
      </w:rPr>
    </w:lvl>
  </w:abstractNum>
  <w:abstractNum w:abstractNumId="27">
    <w:nsid w:val="13137D45"/>
    <w:multiLevelType w:val="hybridMultilevel"/>
    <w:tmpl w:val="131A3E60"/>
    <w:lvl w:ilvl="0">
      <w:start w:val="1"/>
      <w:numFmt w:val="bullet"/>
      <w:lvlText w:val=""/>
      <w:lvlJc w:val="left"/>
      <w:pPr>
        <w:tabs>
          <w:tab w:val="num" w:pos="720"/>
        </w:tabs>
        <w:ind w:left="720" w:hanging="493"/>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
    <w:nsid w:val="13346ACE"/>
    <w:multiLevelType w:val="singleLevel"/>
    <w:tmpl w:val="AA54EF86"/>
    <w:lvl w:ilvl="0">
      <w:numFmt w:val="bullet"/>
      <w:lvlText w:val="-"/>
      <w:lvlJc w:val="left"/>
      <w:pPr>
        <w:tabs>
          <w:tab w:val="num" w:pos="360"/>
        </w:tabs>
        <w:ind w:left="360" w:hanging="360"/>
      </w:pPr>
      <w:rPr>
        <w:rFonts w:hint="default"/>
      </w:rPr>
    </w:lvl>
  </w:abstractNum>
  <w:abstractNum w:abstractNumId="29">
    <w:nsid w:val="149C604C"/>
    <w:multiLevelType w:val="hybridMultilevel"/>
    <w:tmpl w:val="83B40286"/>
    <w:lvl w:ilvl="0">
      <w:start w:val="1"/>
      <w:numFmt w:val="bullet"/>
      <w:lvlText w:val=""/>
      <w:lvlJc w:val="left"/>
      <w:pPr>
        <w:tabs>
          <w:tab w:val="num" w:pos="360"/>
        </w:tabs>
        <w:ind w:left="340" w:hanging="340"/>
      </w:pPr>
      <w:rPr>
        <w:rFonts w:ascii="Symbol" w:hAnsi="Symbol" w:hint="default"/>
        <w:b w:val="0"/>
        <w:i w:val="0"/>
        <w:sz w:val="22"/>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0">
    <w:nsid w:val="153546A8"/>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1">
    <w:nsid w:val="159F319C"/>
    <w:multiLevelType w:val="hybridMultilevel"/>
    <w:tmpl w:val="D1BEE74C"/>
    <w:lvl w:ilvl="0">
      <w:start w:val="1"/>
      <w:numFmt w:val="bullet"/>
      <w:lvlText w:val=""/>
      <w:lvlJc w:val="left"/>
      <w:pPr>
        <w:tabs>
          <w:tab w:val="num" w:pos="720"/>
        </w:tabs>
        <w:ind w:left="720" w:hanging="493"/>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2">
    <w:nsid w:val="16D64791"/>
    <w:multiLevelType w:val="singleLevel"/>
    <w:tmpl w:val="93720F7C"/>
    <w:lvl w:ilvl="0">
      <w:start w:val="466"/>
      <w:numFmt w:val="bullet"/>
      <w:lvlText w:val="-"/>
      <w:lvlJc w:val="left"/>
      <w:pPr>
        <w:tabs>
          <w:tab w:val="num" w:pos="360"/>
        </w:tabs>
        <w:ind w:left="360" w:hanging="360"/>
      </w:pPr>
      <w:rPr>
        <w:rFonts w:hint="default"/>
      </w:rPr>
    </w:lvl>
  </w:abstractNum>
  <w:abstractNum w:abstractNumId="33">
    <w:nsid w:val="176D6CC6"/>
    <w:multiLevelType w:val="hybridMultilevel"/>
    <w:tmpl w:val="A510E08A"/>
    <w:lvl w:ilvl="0">
      <w:start w:val="1"/>
      <w:numFmt w:val="bullet"/>
      <w:lvlText w:val=""/>
      <w:lvlJc w:val="left"/>
      <w:pPr>
        <w:tabs>
          <w:tab w:val="num" w:pos="360"/>
        </w:tabs>
        <w:ind w:left="340" w:hanging="340"/>
      </w:pPr>
      <w:rPr>
        <w:rFonts w:ascii="Symbol" w:hAnsi="Symbol" w:hint="default"/>
        <w:b w:val="0"/>
        <w:i w:val="0"/>
        <w:sz w:val="22"/>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4">
    <w:nsid w:val="182F7646"/>
    <w:multiLevelType w:val="hybridMultilevel"/>
    <w:tmpl w:val="37ECD79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
    <w:nsid w:val="19534C96"/>
    <w:multiLevelType w:val="hybridMultilevel"/>
    <w:tmpl w:val="53D0EACE"/>
    <w:lvl w:ilvl="0">
      <w:start w:val="258"/>
      <w:numFmt w:val="decimal"/>
      <w:lvlText w:val="%1."/>
      <w:lvlJc w:val="left"/>
      <w:pPr>
        <w:tabs>
          <w:tab w:val="num" w:pos="900"/>
        </w:tabs>
        <w:ind w:left="900" w:hanging="54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
    <w:nsid w:val="1A01475B"/>
    <w:multiLevelType w:val="singleLevel"/>
    <w:tmpl w:val="570CBF1C"/>
    <w:lvl w:ilvl="0">
      <w:start w:val="668"/>
      <w:numFmt w:val="decimal"/>
      <w:lvlText w:val="%1."/>
      <w:lvlJc w:val="left"/>
      <w:pPr>
        <w:tabs>
          <w:tab w:val="num" w:pos="360"/>
        </w:tabs>
        <w:ind w:left="360" w:hanging="360"/>
      </w:pPr>
    </w:lvl>
  </w:abstractNum>
  <w:abstractNum w:abstractNumId="37">
    <w:nsid w:val="1A5273C3"/>
    <w:multiLevelType w:val="hybridMultilevel"/>
    <w:tmpl w:val="A510E08A"/>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8">
    <w:nsid w:val="1A531602"/>
    <w:multiLevelType w:val="hybridMultilevel"/>
    <w:tmpl w:val="BFB4FBFE"/>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40"/>
        </w:tabs>
        <w:ind w:left="1021" w:hanging="341"/>
      </w:pPr>
      <w:rPr>
        <w:rFonts w:ascii="Wingdings" w:hAnsi="Wingdings" w:hint="default"/>
        <w:b w:val="0"/>
        <w:i w:val="0"/>
        <w:sz w:val="22"/>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Wingdings" w:hAnsi="Wingdings" w:hint="default"/>
        <w:sz w:val="16"/>
      </w:rPr>
    </w:lvl>
    <w:lvl w:ilvl="4">
      <w:start w:val="1"/>
      <w:numFmt w:val="bullet"/>
      <w:lvlText w:val=""/>
      <w:lvlJc w:val="left"/>
      <w:pPr>
        <w:tabs>
          <w:tab w:val="num" w:pos="3600"/>
        </w:tabs>
        <w:ind w:left="3600" w:hanging="360"/>
      </w:pPr>
      <w:rPr>
        <w:rFonts w:ascii="Symbol" w:hAnsi="Symbol"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9">
    <w:nsid w:val="1B53056D"/>
    <w:multiLevelType w:val="hybridMultilevel"/>
    <w:tmpl w:val="9F5AF00A"/>
    <w:lvl w:ilvl="0">
      <w:start w:val="1"/>
      <w:numFmt w:val="bullet"/>
      <w:lvlText w:val=""/>
      <w:lvlJc w:val="left"/>
      <w:pPr>
        <w:tabs>
          <w:tab w:val="num" w:pos="360"/>
        </w:tabs>
        <w:ind w:left="340" w:hanging="340"/>
      </w:pPr>
      <w:rPr>
        <w:rFonts w:ascii="Symbol" w:hAnsi="Symbol" w:hint="default"/>
        <w:b w:val="0"/>
        <w:i w:val="0"/>
        <w:sz w:val="22"/>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0">
    <w:nsid w:val="1B997779"/>
    <w:multiLevelType w:val="hybridMultilevel"/>
    <w:tmpl w:val="681E9F62"/>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1">
    <w:nsid w:val="1CB03F8C"/>
    <w:multiLevelType w:val="singleLevel"/>
    <w:tmpl w:val="DB20EF34"/>
    <w:lvl w:ilvl="0">
      <w:start w:val="650"/>
      <w:numFmt w:val="decimal"/>
      <w:lvlText w:val="%1."/>
      <w:lvlJc w:val="left"/>
      <w:pPr>
        <w:tabs>
          <w:tab w:val="num" w:pos="360"/>
        </w:tabs>
        <w:ind w:left="0" w:firstLine="0"/>
      </w:pPr>
      <w:rPr>
        <w:rFonts w:ascii="Times New Roman" w:hAnsi="Times New Roman" w:hint="default"/>
        <w:b w:val="0"/>
        <w:i w:val="0"/>
        <w:sz w:val="22"/>
      </w:rPr>
    </w:lvl>
  </w:abstractNum>
  <w:abstractNum w:abstractNumId="42">
    <w:nsid w:val="1CBA3FDA"/>
    <w:multiLevelType w:val="hybridMultilevel"/>
    <w:tmpl w:val="994A46FA"/>
    <w:lvl w:ilvl="0">
      <w:start w:val="249"/>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3">
    <w:nsid w:val="1CD3036D"/>
    <w:multiLevelType w:val="hybridMultilevel"/>
    <w:tmpl w:val="ECFE5082"/>
    <w:lvl w:ilvl="0">
      <w:start w:val="1"/>
      <w:numFmt w:val="bullet"/>
      <w:lvlText w:val=""/>
      <w:lvlJc w:val="left"/>
      <w:pPr>
        <w:tabs>
          <w:tab w:val="num" w:pos="360"/>
        </w:tabs>
        <w:ind w:left="340" w:hanging="340"/>
      </w:pPr>
      <w:rPr>
        <w:rFonts w:ascii="Symbol" w:hAnsi="Symbol" w:hint="default"/>
        <w:b w:val="0"/>
        <w:i w:val="0"/>
        <w:sz w:val="22"/>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4">
    <w:nsid w:val="1D463AC0"/>
    <w:multiLevelType w:val="hybridMultilevel"/>
    <w:tmpl w:val="4DC03C4A"/>
    <w:lvl w:ilvl="0">
      <w:start w:val="1"/>
      <w:numFmt w:val="bullet"/>
      <w:lvlText w:val=""/>
      <w:lvlJc w:val="left"/>
      <w:pPr>
        <w:tabs>
          <w:tab w:val="num" w:pos="720"/>
        </w:tabs>
        <w:ind w:left="720" w:hanging="493"/>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5">
    <w:nsid w:val="1D4E75D7"/>
    <w:multiLevelType w:val="singleLevel"/>
    <w:tmpl w:val="F0FA5DC0"/>
    <w:lvl w:ilvl="0">
      <w:numFmt w:val="bullet"/>
      <w:lvlText w:val="-"/>
      <w:lvlJc w:val="left"/>
      <w:pPr>
        <w:tabs>
          <w:tab w:val="num" w:pos="360"/>
        </w:tabs>
        <w:ind w:left="360" w:hanging="360"/>
      </w:pPr>
      <w:rPr>
        <w:rFonts w:hint="default"/>
      </w:rPr>
    </w:lvl>
  </w:abstractNum>
  <w:abstractNum w:abstractNumId="46">
    <w:nsid w:val="1E8347E5"/>
    <w:multiLevelType w:val="hybridMultilevel"/>
    <w:tmpl w:val="A7564246"/>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7">
    <w:nsid w:val="1ED46640"/>
    <w:multiLevelType w:val="hybridMultilevel"/>
    <w:tmpl w:val="EE864A1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8">
    <w:nsid w:val="1F095F35"/>
    <w:multiLevelType w:val="hybridMultilevel"/>
    <w:tmpl w:val="6CEC101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9">
    <w:nsid w:val="2077201C"/>
    <w:multiLevelType w:val="hybridMultilevel"/>
    <w:tmpl w:val="FF7E0B26"/>
    <w:lvl w:ilvl="0">
      <w:start w:val="1"/>
      <w:numFmt w:val="bullet"/>
      <w:lvlText w:val=""/>
      <w:lvlJc w:val="left"/>
      <w:pPr>
        <w:tabs>
          <w:tab w:val="num" w:pos="360"/>
        </w:tabs>
        <w:ind w:left="340" w:hanging="340"/>
      </w:pPr>
      <w:rPr>
        <w:rFonts w:ascii="Symbol" w:hAnsi="Symbol" w:hint="default"/>
        <w:b w:val="0"/>
        <w:i w:val="0"/>
        <w:sz w:val="22"/>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0">
    <w:nsid w:val="20801265"/>
    <w:multiLevelType w:val="hybridMultilevel"/>
    <w:tmpl w:val="C8D07D10"/>
    <w:lvl w:ilvl="0">
      <w:start w:val="252"/>
      <w:numFmt w:val="decimal"/>
      <w:lvlText w:val="%1."/>
      <w:lvlJc w:val="left"/>
      <w:pPr>
        <w:tabs>
          <w:tab w:val="num" w:pos="900"/>
        </w:tabs>
        <w:ind w:left="900" w:hanging="54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1">
    <w:nsid w:val="20DD7689"/>
    <w:multiLevelType w:val="singleLevel"/>
    <w:tmpl w:val="0419000F"/>
    <w:lvl w:ilvl="0">
      <w:start w:val="1"/>
      <w:numFmt w:val="decimal"/>
      <w:lvlText w:val="%1."/>
      <w:lvlJc w:val="left"/>
      <w:pPr>
        <w:tabs>
          <w:tab w:val="num" w:pos="360"/>
        </w:tabs>
        <w:ind w:left="360" w:hanging="360"/>
      </w:pPr>
      <w:rPr>
        <w:rFonts w:hint="default"/>
      </w:rPr>
    </w:lvl>
  </w:abstractNum>
  <w:abstractNum w:abstractNumId="52">
    <w:nsid w:val="2165679D"/>
    <w:multiLevelType w:val="hybridMultilevel"/>
    <w:tmpl w:val="8CCCE330"/>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53">
    <w:nsid w:val="22252DD3"/>
    <w:multiLevelType w:val="singleLevel"/>
    <w:tmpl w:val="0419000F"/>
    <w:lvl w:ilvl="0">
      <w:start w:val="1"/>
      <w:numFmt w:val="decimal"/>
      <w:lvlText w:val="%1."/>
      <w:lvlJc w:val="left"/>
      <w:pPr>
        <w:tabs>
          <w:tab w:val="num" w:pos="360"/>
        </w:tabs>
        <w:ind w:left="360" w:hanging="360"/>
      </w:pPr>
    </w:lvl>
  </w:abstractNum>
  <w:abstractNum w:abstractNumId="54">
    <w:nsid w:val="23D14012"/>
    <w:multiLevelType w:val="hybridMultilevel"/>
    <w:tmpl w:val="46348E92"/>
    <w:lvl w:ilvl="0">
      <w:start w:val="1"/>
      <w:numFmt w:val="bullet"/>
      <w:lvlText w:val=""/>
      <w:lvlJc w:val="left"/>
      <w:pPr>
        <w:tabs>
          <w:tab w:val="num" w:pos="720"/>
        </w:tabs>
        <w:ind w:left="720" w:hanging="493"/>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5">
    <w:nsid w:val="23D54EA1"/>
    <w:multiLevelType w:val="singleLevel"/>
    <w:tmpl w:val="AA54EF86"/>
    <w:lvl w:ilvl="0">
      <w:numFmt w:val="bullet"/>
      <w:lvlText w:val="-"/>
      <w:lvlJc w:val="left"/>
      <w:pPr>
        <w:tabs>
          <w:tab w:val="num" w:pos="360"/>
        </w:tabs>
        <w:ind w:left="360" w:hanging="360"/>
      </w:pPr>
      <w:rPr>
        <w:rFonts w:hint="default"/>
      </w:rPr>
    </w:lvl>
  </w:abstractNum>
  <w:abstractNum w:abstractNumId="56">
    <w:nsid w:val="25A9049E"/>
    <w:multiLevelType w:val="singleLevel"/>
    <w:tmpl w:val="B34CE21E"/>
    <w:lvl w:ilvl="0">
      <w:start w:val="486"/>
      <w:numFmt w:val="bullet"/>
      <w:lvlText w:val="-"/>
      <w:lvlJc w:val="left"/>
      <w:pPr>
        <w:tabs>
          <w:tab w:val="num" w:pos="360"/>
        </w:tabs>
        <w:ind w:left="360" w:hanging="360"/>
      </w:pPr>
      <w:rPr>
        <w:rFonts w:hint="default"/>
      </w:rPr>
    </w:lvl>
  </w:abstractNum>
  <w:abstractNum w:abstractNumId="57">
    <w:nsid w:val="26EC5F31"/>
    <w:multiLevelType w:val="hybridMultilevel"/>
    <w:tmpl w:val="69CE9A64"/>
    <w:lvl w:ilvl="0">
      <w:start w:val="1"/>
      <w:numFmt w:val="bullet"/>
      <w:lvlText w:val=""/>
      <w:lvlJc w:val="left"/>
      <w:pPr>
        <w:tabs>
          <w:tab w:val="num" w:pos="720"/>
        </w:tabs>
        <w:ind w:left="720" w:hanging="493"/>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8">
    <w:nsid w:val="27E7783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9">
    <w:nsid w:val="280C1D2F"/>
    <w:multiLevelType w:val="singleLevel"/>
    <w:tmpl w:val="AA54EF86"/>
    <w:lvl w:ilvl="0">
      <w:numFmt w:val="bullet"/>
      <w:lvlText w:val="-"/>
      <w:lvlJc w:val="left"/>
      <w:pPr>
        <w:tabs>
          <w:tab w:val="num" w:pos="360"/>
        </w:tabs>
        <w:ind w:left="360" w:hanging="360"/>
      </w:pPr>
      <w:rPr>
        <w:rFonts w:hint="default"/>
      </w:rPr>
    </w:lvl>
  </w:abstractNum>
  <w:abstractNum w:abstractNumId="60">
    <w:nsid w:val="28155644"/>
    <w:multiLevelType w:val="hybridMultilevel"/>
    <w:tmpl w:val="BFCEE960"/>
    <w:lvl w:ilvl="0">
      <w:start w:val="1"/>
      <w:numFmt w:val="bullet"/>
      <w:lvlText w:val=""/>
      <w:lvlJc w:val="left"/>
      <w:pPr>
        <w:tabs>
          <w:tab w:val="num" w:pos="720"/>
        </w:tabs>
        <w:ind w:left="720" w:hanging="360"/>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1">
    <w:nsid w:val="29100DC4"/>
    <w:multiLevelType w:val="singleLevel"/>
    <w:tmpl w:val="A162C24E"/>
    <w:lvl w:ilvl="0">
      <w:start w:val="612"/>
      <w:numFmt w:val="decimal"/>
      <w:lvlText w:val="%1."/>
      <w:lvlJc w:val="left"/>
      <w:pPr>
        <w:tabs>
          <w:tab w:val="num" w:pos="900"/>
        </w:tabs>
        <w:ind w:left="900" w:hanging="900"/>
      </w:pPr>
      <w:rPr>
        <w:rFonts w:hint="default"/>
      </w:rPr>
    </w:lvl>
  </w:abstractNum>
  <w:abstractNum w:abstractNumId="62">
    <w:nsid w:val="294D2C1E"/>
    <w:multiLevelType w:val="singleLevel"/>
    <w:tmpl w:val="AA54EF86"/>
    <w:lvl w:ilvl="0">
      <w:numFmt w:val="bullet"/>
      <w:lvlText w:val="-"/>
      <w:lvlJc w:val="left"/>
      <w:pPr>
        <w:tabs>
          <w:tab w:val="num" w:pos="360"/>
        </w:tabs>
        <w:ind w:left="360" w:hanging="360"/>
      </w:pPr>
      <w:rPr>
        <w:rFonts w:hint="default"/>
      </w:rPr>
    </w:lvl>
  </w:abstractNum>
  <w:abstractNum w:abstractNumId="63">
    <w:nsid w:val="299878CF"/>
    <w:multiLevelType w:val="hybridMultilevel"/>
    <w:tmpl w:val="C9266D1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4">
    <w:nsid w:val="2AA006E3"/>
    <w:multiLevelType w:val="hybridMultilevel"/>
    <w:tmpl w:val="BFCEE96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5">
    <w:nsid w:val="2C0B52DC"/>
    <w:multiLevelType w:val="singleLevel"/>
    <w:tmpl w:val="AA54EF86"/>
    <w:lvl w:ilvl="0">
      <w:numFmt w:val="bullet"/>
      <w:lvlText w:val="-"/>
      <w:lvlJc w:val="left"/>
      <w:pPr>
        <w:tabs>
          <w:tab w:val="num" w:pos="360"/>
        </w:tabs>
        <w:ind w:left="360" w:hanging="360"/>
      </w:pPr>
      <w:rPr>
        <w:rFonts w:hint="default"/>
      </w:rPr>
    </w:lvl>
  </w:abstractNum>
  <w:abstractNum w:abstractNumId="66">
    <w:nsid w:val="2CF2094D"/>
    <w:multiLevelType w:val="hybridMultilevel"/>
    <w:tmpl w:val="FD2AC4FC"/>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67">
    <w:nsid w:val="2D88095A"/>
    <w:multiLevelType w:val="hybridMultilevel"/>
    <w:tmpl w:val="BFB4FBFE"/>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Wingdings" w:hAnsi="Wingdings" w:hint="default"/>
        <w:sz w:val="16"/>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Wingdings" w:hAnsi="Wingdings" w:hint="default"/>
        <w:sz w:val="16"/>
      </w:rPr>
    </w:lvl>
    <w:lvl w:ilvl="4">
      <w:start w:val="1"/>
      <w:numFmt w:val="bullet"/>
      <w:lvlText w:val=""/>
      <w:lvlJc w:val="left"/>
      <w:pPr>
        <w:tabs>
          <w:tab w:val="num" w:pos="3600"/>
        </w:tabs>
        <w:ind w:left="3600" w:hanging="360"/>
      </w:pPr>
      <w:rPr>
        <w:rFonts w:ascii="Symbol" w:hAnsi="Symbol"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8">
    <w:nsid w:val="2DCF0AAC"/>
    <w:multiLevelType w:val="hybridMultilevel"/>
    <w:tmpl w:val="4BCEAA6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9">
    <w:nsid w:val="2F6868A1"/>
    <w:multiLevelType w:val="singleLevel"/>
    <w:tmpl w:val="73D4156E"/>
    <w:lvl w:ilvl="0">
      <w:start w:val="670"/>
      <w:numFmt w:val="decimal"/>
      <w:lvlText w:val="%1."/>
      <w:lvlJc w:val="left"/>
      <w:pPr>
        <w:tabs>
          <w:tab w:val="num" w:pos="360"/>
        </w:tabs>
        <w:ind w:left="360" w:hanging="360"/>
      </w:pPr>
    </w:lvl>
  </w:abstractNum>
  <w:abstractNum w:abstractNumId="70">
    <w:nsid w:val="2FA75465"/>
    <w:multiLevelType w:val="hybridMultilevel"/>
    <w:tmpl w:val="7276AF1E"/>
    <w:lvl w:ilvl="0">
      <w:start w:val="1"/>
      <w:numFmt w:val="bullet"/>
      <w:lvlText w:val=""/>
      <w:lvlJc w:val="left"/>
      <w:pPr>
        <w:tabs>
          <w:tab w:val="num" w:pos="720"/>
        </w:tabs>
        <w:ind w:left="720" w:hanging="663"/>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1">
    <w:nsid w:val="31990AA2"/>
    <w:multiLevelType w:val="singleLevel"/>
    <w:tmpl w:val="6FCC6BA4"/>
    <w:lvl w:ilvl="0">
      <w:start w:val="1"/>
      <w:numFmt w:val="upperRoman"/>
      <w:lvlText w:val="%1."/>
      <w:lvlJc w:val="left"/>
      <w:pPr>
        <w:tabs>
          <w:tab w:val="num" w:pos="907"/>
        </w:tabs>
        <w:ind w:left="907" w:hanging="567"/>
      </w:pPr>
      <w:rPr>
        <w:rFonts w:ascii="Times New Roman" w:hAnsi="Times New Roman" w:hint="default"/>
        <w:b w:val="0"/>
        <w:i w:val="0"/>
        <w:sz w:val="22"/>
      </w:rPr>
    </w:lvl>
  </w:abstractNum>
  <w:abstractNum w:abstractNumId="72">
    <w:nsid w:val="31E55394"/>
    <w:multiLevelType w:val="hybridMultilevel"/>
    <w:tmpl w:val="1A50C27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73">
    <w:nsid w:val="33517508"/>
    <w:multiLevelType w:val="hybridMultilevel"/>
    <w:tmpl w:val="28721512"/>
    <w:lvl w:ilvl="0">
      <w:start w:val="1"/>
      <w:numFmt w:val="bullet"/>
      <w:lvlText w:val=""/>
      <w:lvlJc w:val="left"/>
      <w:pPr>
        <w:tabs>
          <w:tab w:val="num" w:pos="720"/>
        </w:tabs>
        <w:ind w:left="720" w:hanging="493"/>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4">
    <w:nsid w:val="33853832"/>
    <w:multiLevelType w:val="singleLevel"/>
    <w:tmpl w:val="35962B2A"/>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5">
    <w:nsid w:val="33F86A25"/>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6">
    <w:nsid w:val="34B717D8"/>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7">
    <w:nsid w:val="356A6B59"/>
    <w:multiLevelType w:val="hybridMultilevel"/>
    <w:tmpl w:val="E750AF0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8">
    <w:nsid w:val="35CD2507"/>
    <w:multiLevelType w:val="hybridMultilevel"/>
    <w:tmpl w:val="18EC8F22"/>
    <w:lvl w:ilvl="0">
      <w:start w:val="445"/>
      <w:numFmt w:val="decimal"/>
      <w:lvlText w:val="%1."/>
      <w:lvlJc w:val="left"/>
      <w:pPr>
        <w:tabs>
          <w:tab w:val="num" w:pos="1230"/>
        </w:tabs>
        <w:ind w:left="1230" w:hanging="87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9">
    <w:nsid w:val="37601DFD"/>
    <w:multiLevelType w:val="singleLevel"/>
    <w:tmpl w:val="AA54EF86"/>
    <w:lvl w:ilvl="0">
      <w:numFmt w:val="bullet"/>
      <w:lvlText w:val="-"/>
      <w:lvlJc w:val="left"/>
      <w:pPr>
        <w:tabs>
          <w:tab w:val="num" w:pos="360"/>
        </w:tabs>
        <w:ind w:left="360" w:hanging="360"/>
      </w:pPr>
      <w:rPr>
        <w:rFonts w:hint="default"/>
      </w:rPr>
    </w:lvl>
  </w:abstractNum>
  <w:abstractNum w:abstractNumId="80">
    <w:nsid w:val="376D18F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1">
    <w:nsid w:val="378B04FA"/>
    <w:multiLevelType w:val="hybridMultilevel"/>
    <w:tmpl w:val="8CCCE330"/>
    <w:lvl w:ilvl="0">
      <w:start w:val="1"/>
      <w:numFmt w:val="bullet"/>
      <w:lvlText w:val=""/>
      <w:lvlJc w:val="left"/>
      <w:pPr>
        <w:tabs>
          <w:tab w:val="num" w:pos="360"/>
        </w:tabs>
        <w:ind w:left="340" w:hanging="340"/>
      </w:pPr>
      <w:rPr>
        <w:rFonts w:ascii="Symbol" w:hAnsi="Symbol" w:hint="default"/>
        <w:b w:val="0"/>
        <w:i w:val="0"/>
        <w:sz w:val="22"/>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2">
    <w:nsid w:val="37DC1FB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3">
    <w:nsid w:val="38E7402E"/>
    <w:multiLevelType w:val="hybridMultilevel"/>
    <w:tmpl w:val="9D6E0178"/>
    <w:lvl w:ilvl="0">
      <w:start w:val="1"/>
      <w:numFmt w:val="bullet"/>
      <w:lvlText w:val=""/>
      <w:lvlJc w:val="left"/>
      <w:pPr>
        <w:tabs>
          <w:tab w:val="num" w:pos="360"/>
        </w:tabs>
        <w:ind w:left="340" w:hanging="340"/>
      </w:pPr>
      <w:rPr>
        <w:rFonts w:ascii="Symbol" w:hAnsi="Symbol" w:hint="default"/>
        <w:b w:val="0"/>
        <w:i w:val="0"/>
        <w:sz w:val="22"/>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4">
    <w:nsid w:val="3B252F65"/>
    <w:multiLevelType w:val="singleLevel"/>
    <w:tmpl w:val="0419000F"/>
    <w:lvl w:ilvl="0">
      <w:start w:val="1"/>
      <w:numFmt w:val="decimal"/>
      <w:lvlText w:val="%1."/>
      <w:lvlJc w:val="left"/>
      <w:pPr>
        <w:tabs>
          <w:tab w:val="num" w:pos="360"/>
        </w:tabs>
        <w:ind w:left="360" w:hanging="360"/>
      </w:pPr>
    </w:lvl>
  </w:abstractNum>
  <w:abstractNum w:abstractNumId="85">
    <w:nsid w:val="3E39605D"/>
    <w:multiLevelType w:val="hybridMultilevel"/>
    <w:tmpl w:val="46D4AC86"/>
    <w:lvl w:ilvl="0">
      <w:numFmt w:val="bullet"/>
      <w:lvlText w:val="–"/>
      <w:lvlJc w:val="left"/>
      <w:pPr>
        <w:tabs>
          <w:tab w:val="num" w:pos="1068"/>
        </w:tabs>
        <w:ind w:left="1068" w:hanging="708"/>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6">
    <w:nsid w:val="3F4C07EF"/>
    <w:multiLevelType w:val="hybridMultilevel"/>
    <w:tmpl w:val="BD12DFA2"/>
    <w:lvl w:ilvl="0">
      <w:start w:val="258"/>
      <w:numFmt w:val="decimal"/>
      <w:lvlText w:val="%1."/>
      <w:lvlJc w:val="left"/>
      <w:pPr>
        <w:tabs>
          <w:tab w:val="num" w:pos="780"/>
        </w:tabs>
        <w:ind w:left="780" w:hanging="4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7">
    <w:nsid w:val="3FAD2129"/>
    <w:multiLevelType w:val="hybridMultilevel"/>
    <w:tmpl w:val="A6D27362"/>
    <w:lvl w:ilvl="0">
      <w:start w:val="1"/>
      <w:numFmt w:val="bullet"/>
      <w:lvlText w:val=""/>
      <w:lvlJc w:val="left"/>
      <w:pPr>
        <w:tabs>
          <w:tab w:val="num" w:pos="720"/>
        </w:tabs>
        <w:ind w:left="720" w:hanging="360"/>
      </w:pPr>
      <w:rPr>
        <w:rFonts w:ascii="Wingdings" w:hAnsi="Wingdings" w:hint="default"/>
        <w:sz w:val="16"/>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8">
    <w:nsid w:val="405E2558"/>
    <w:multiLevelType w:val="hybridMultilevel"/>
    <w:tmpl w:val="D194BD3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9">
    <w:nsid w:val="41157FD6"/>
    <w:multiLevelType w:val="hybridMultilevel"/>
    <w:tmpl w:val="ECFE5082"/>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90">
    <w:nsid w:val="412B621E"/>
    <w:multiLevelType w:val="singleLevel"/>
    <w:tmpl w:val="E3549662"/>
    <w:lvl w:ilvl="0">
      <w:start w:val="650"/>
      <w:numFmt w:val="decimal"/>
      <w:lvlText w:val="%1."/>
      <w:lvlJc w:val="left"/>
      <w:pPr>
        <w:tabs>
          <w:tab w:val="num" w:pos="360"/>
        </w:tabs>
        <w:ind w:left="360" w:hanging="360"/>
      </w:pPr>
    </w:lvl>
  </w:abstractNum>
  <w:abstractNum w:abstractNumId="91">
    <w:nsid w:val="41424211"/>
    <w:multiLevelType w:val="hybridMultilevel"/>
    <w:tmpl w:val="ACB2D9EC"/>
    <w:lvl w:ilvl="0">
      <w:start w:val="1"/>
      <w:numFmt w:val="bullet"/>
      <w:lvlText w:val=""/>
      <w:lvlJc w:val="left"/>
      <w:pPr>
        <w:tabs>
          <w:tab w:val="num" w:pos="780"/>
        </w:tabs>
        <w:ind w:left="780" w:hanging="360"/>
      </w:pPr>
      <w:rPr>
        <w:rFonts w:ascii="Symbol" w:hAnsi="Symbol" w:hint="default"/>
      </w:rPr>
    </w:lvl>
    <w:lvl w:ilvl="1" w:tentative="1">
      <w:start w:val="1"/>
      <w:numFmt w:val="bullet"/>
      <w:lvlText w:val="o"/>
      <w:lvlJc w:val="left"/>
      <w:pPr>
        <w:tabs>
          <w:tab w:val="num" w:pos="1500"/>
        </w:tabs>
        <w:ind w:left="1500" w:hanging="360"/>
      </w:pPr>
      <w:rPr>
        <w:rFonts w:ascii="Courier New" w:hAnsi="Courier New" w:hint="default"/>
      </w:rPr>
    </w:lvl>
    <w:lvl w:ilvl="2" w:tentative="1">
      <w:start w:val="1"/>
      <w:numFmt w:val="bullet"/>
      <w:lvlText w:val=""/>
      <w:lvlJc w:val="left"/>
      <w:pPr>
        <w:tabs>
          <w:tab w:val="num" w:pos="2220"/>
        </w:tabs>
        <w:ind w:left="2220" w:hanging="360"/>
      </w:pPr>
      <w:rPr>
        <w:rFonts w:ascii="Wingdings" w:hAnsi="Wingdings" w:hint="default"/>
      </w:rPr>
    </w:lvl>
    <w:lvl w:ilvl="3" w:tentative="1">
      <w:start w:val="1"/>
      <w:numFmt w:val="bullet"/>
      <w:lvlText w:val=""/>
      <w:lvlJc w:val="left"/>
      <w:pPr>
        <w:tabs>
          <w:tab w:val="num" w:pos="2940"/>
        </w:tabs>
        <w:ind w:left="2940" w:hanging="360"/>
      </w:pPr>
      <w:rPr>
        <w:rFonts w:ascii="Symbol" w:hAnsi="Symbol" w:hint="default"/>
      </w:rPr>
    </w:lvl>
    <w:lvl w:ilvl="4" w:tentative="1">
      <w:start w:val="1"/>
      <w:numFmt w:val="bullet"/>
      <w:lvlText w:val="o"/>
      <w:lvlJc w:val="left"/>
      <w:pPr>
        <w:tabs>
          <w:tab w:val="num" w:pos="3660"/>
        </w:tabs>
        <w:ind w:left="3660" w:hanging="360"/>
      </w:pPr>
      <w:rPr>
        <w:rFonts w:ascii="Courier New" w:hAnsi="Courier New" w:hint="default"/>
      </w:rPr>
    </w:lvl>
    <w:lvl w:ilvl="5" w:tentative="1">
      <w:start w:val="1"/>
      <w:numFmt w:val="bullet"/>
      <w:lvlText w:val=""/>
      <w:lvlJc w:val="left"/>
      <w:pPr>
        <w:tabs>
          <w:tab w:val="num" w:pos="4380"/>
        </w:tabs>
        <w:ind w:left="4380" w:hanging="360"/>
      </w:pPr>
      <w:rPr>
        <w:rFonts w:ascii="Wingdings" w:hAnsi="Wingdings" w:hint="default"/>
      </w:rPr>
    </w:lvl>
    <w:lvl w:ilvl="6" w:tentative="1">
      <w:start w:val="1"/>
      <w:numFmt w:val="bullet"/>
      <w:lvlText w:val=""/>
      <w:lvlJc w:val="left"/>
      <w:pPr>
        <w:tabs>
          <w:tab w:val="num" w:pos="5100"/>
        </w:tabs>
        <w:ind w:left="5100" w:hanging="360"/>
      </w:pPr>
      <w:rPr>
        <w:rFonts w:ascii="Symbol" w:hAnsi="Symbol" w:hint="default"/>
      </w:rPr>
    </w:lvl>
    <w:lvl w:ilvl="7" w:tentative="1">
      <w:start w:val="1"/>
      <w:numFmt w:val="bullet"/>
      <w:lvlText w:val="o"/>
      <w:lvlJc w:val="left"/>
      <w:pPr>
        <w:tabs>
          <w:tab w:val="num" w:pos="5820"/>
        </w:tabs>
        <w:ind w:left="5820" w:hanging="360"/>
      </w:pPr>
      <w:rPr>
        <w:rFonts w:ascii="Courier New" w:hAnsi="Courier New" w:hint="default"/>
      </w:rPr>
    </w:lvl>
    <w:lvl w:ilvl="8" w:tentative="1">
      <w:start w:val="1"/>
      <w:numFmt w:val="bullet"/>
      <w:lvlText w:val=""/>
      <w:lvlJc w:val="left"/>
      <w:pPr>
        <w:tabs>
          <w:tab w:val="num" w:pos="6540"/>
        </w:tabs>
        <w:ind w:left="6540" w:hanging="360"/>
      </w:pPr>
      <w:rPr>
        <w:rFonts w:ascii="Wingdings" w:hAnsi="Wingdings" w:hint="default"/>
      </w:rPr>
    </w:lvl>
  </w:abstractNum>
  <w:abstractNum w:abstractNumId="92">
    <w:nsid w:val="427847B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93">
    <w:nsid w:val="43BC468C"/>
    <w:multiLevelType w:val="hybridMultilevel"/>
    <w:tmpl w:val="A19442F8"/>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94">
    <w:nsid w:val="43E97FC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95">
    <w:nsid w:val="449721C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96">
    <w:nsid w:val="478214C0"/>
    <w:multiLevelType w:val="hybridMultilevel"/>
    <w:tmpl w:val="7276AF1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7">
    <w:nsid w:val="47944F1B"/>
    <w:multiLevelType w:val="singleLevel"/>
    <w:tmpl w:val="0A80406C"/>
    <w:lvl w:ilvl="0">
      <w:start w:val="40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98">
    <w:nsid w:val="47D57AA6"/>
    <w:multiLevelType w:val="hybridMultilevel"/>
    <w:tmpl w:val="1048D9CE"/>
    <w:lvl w:ilvl="0">
      <w:start w:val="249"/>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9">
    <w:nsid w:val="49766D76"/>
    <w:multiLevelType w:val="singleLevel"/>
    <w:tmpl w:val="AA54EF86"/>
    <w:lvl w:ilvl="0">
      <w:numFmt w:val="bullet"/>
      <w:lvlText w:val="-"/>
      <w:lvlJc w:val="left"/>
      <w:pPr>
        <w:tabs>
          <w:tab w:val="num" w:pos="360"/>
        </w:tabs>
        <w:ind w:left="360" w:hanging="360"/>
      </w:pPr>
      <w:rPr>
        <w:rFonts w:hint="default"/>
      </w:rPr>
    </w:lvl>
  </w:abstractNum>
  <w:abstractNum w:abstractNumId="100">
    <w:nsid w:val="49E768F0"/>
    <w:multiLevelType w:val="hybridMultilevel"/>
    <w:tmpl w:val="33E40864"/>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01">
    <w:nsid w:val="4D284230"/>
    <w:multiLevelType w:val="hybridMultilevel"/>
    <w:tmpl w:val="E7568104"/>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02">
    <w:nsid w:val="4EA83AC6"/>
    <w:multiLevelType w:val="singleLevel"/>
    <w:tmpl w:val="AA54EF86"/>
    <w:lvl w:ilvl="0">
      <w:numFmt w:val="bullet"/>
      <w:lvlText w:val="-"/>
      <w:lvlJc w:val="left"/>
      <w:pPr>
        <w:tabs>
          <w:tab w:val="num" w:pos="360"/>
        </w:tabs>
        <w:ind w:left="360" w:hanging="360"/>
      </w:pPr>
      <w:rPr>
        <w:rFonts w:hint="default"/>
      </w:rPr>
    </w:lvl>
  </w:abstractNum>
  <w:abstractNum w:abstractNumId="103">
    <w:nsid w:val="4EFD170E"/>
    <w:multiLevelType w:val="hybridMultilevel"/>
    <w:tmpl w:val="5A060E4C"/>
    <w:lvl w:ilvl="0">
      <w:start w:val="397"/>
      <w:numFmt w:val="decimal"/>
      <w:lvlText w:val="%1."/>
      <w:lvlJc w:val="left"/>
      <w:pPr>
        <w:tabs>
          <w:tab w:val="num" w:pos="780"/>
        </w:tabs>
        <w:ind w:left="780" w:hanging="4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4">
    <w:nsid w:val="51BB4458"/>
    <w:multiLevelType w:val="hybridMultilevel"/>
    <w:tmpl w:val="3080069C"/>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05">
    <w:nsid w:val="53FC3BF2"/>
    <w:multiLevelType w:val="singleLevel"/>
    <w:tmpl w:val="AA54EF86"/>
    <w:lvl w:ilvl="0">
      <w:numFmt w:val="bullet"/>
      <w:lvlText w:val="-"/>
      <w:lvlJc w:val="left"/>
      <w:pPr>
        <w:tabs>
          <w:tab w:val="num" w:pos="360"/>
        </w:tabs>
        <w:ind w:left="360" w:hanging="360"/>
      </w:pPr>
      <w:rPr>
        <w:rFonts w:hint="default"/>
      </w:rPr>
    </w:lvl>
  </w:abstractNum>
  <w:abstractNum w:abstractNumId="106">
    <w:nsid w:val="545870F4"/>
    <w:multiLevelType w:val="hybridMultilevel"/>
    <w:tmpl w:val="46024B96"/>
    <w:lvl w:ilvl="0">
      <w:start w:val="1"/>
      <w:numFmt w:val="bullet"/>
      <w:lvlText w:val=""/>
      <w:lvlJc w:val="left"/>
      <w:pPr>
        <w:tabs>
          <w:tab w:val="num" w:pos="360"/>
        </w:tabs>
        <w:ind w:left="340" w:hanging="340"/>
      </w:pPr>
      <w:rPr>
        <w:rFonts w:ascii="Symbol" w:hAnsi="Symbol" w:hint="default"/>
        <w:b w:val="0"/>
        <w:i w:val="0"/>
        <w:sz w:val="22"/>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7">
    <w:nsid w:val="5563046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08">
    <w:nsid w:val="557F245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09">
    <w:nsid w:val="55AF6D3E"/>
    <w:multiLevelType w:val="hybridMultilevel"/>
    <w:tmpl w:val="5178C4A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0">
    <w:nsid w:val="56D74F50"/>
    <w:multiLevelType w:val="hybridMultilevel"/>
    <w:tmpl w:val="69682EFC"/>
    <w:lvl w:ilvl="0">
      <w:start w:val="415"/>
      <w:numFmt w:val="decimal"/>
      <w:lvlText w:val="%1."/>
      <w:lvlJc w:val="left"/>
      <w:pPr>
        <w:tabs>
          <w:tab w:val="num" w:pos="1068"/>
        </w:tabs>
        <w:ind w:left="1068" w:hanging="708"/>
      </w:pPr>
      <w:rPr>
        <w:rFonts w:hint="default"/>
        <w:b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1">
    <w:nsid w:val="57546B8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12">
    <w:nsid w:val="57CA3419"/>
    <w:multiLevelType w:val="hybridMultilevel"/>
    <w:tmpl w:val="C00E6950"/>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13">
    <w:nsid w:val="57FA525D"/>
    <w:multiLevelType w:val="hybridMultilevel"/>
    <w:tmpl w:val="7276AF1E"/>
    <w:lvl w:ilvl="0">
      <w:start w:val="1"/>
      <w:numFmt w:val="bullet"/>
      <w:lvlText w:val=""/>
      <w:lvlJc w:val="left"/>
      <w:pPr>
        <w:tabs>
          <w:tab w:val="num" w:pos="720"/>
        </w:tabs>
        <w:ind w:left="720" w:hanging="360"/>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4">
    <w:nsid w:val="584F0A49"/>
    <w:multiLevelType w:val="hybridMultilevel"/>
    <w:tmpl w:val="8CCCE330"/>
    <w:lvl w:ilvl="0">
      <w:start w:val="1"/>
      <w:numFmt w:val="bullet"/>
      <w:lvlText w:val=""/>
      <w:lvlJc w:val="left"/>
      <w:pPr>
        <w:tabs>
          <w:tab w:val="num" w:pos="360"/>
        </w:tabs>
        <w:ind w:left="340" w:hanging="340"/>
      </w:pPr>
      <w:rPr>
        <w:rFonts w:ascii="Symbol" w:hAnsi="Symbol" w:hint="default"/>
        <w:b w:val="0"/>
        <w:i w:val="0"/>
        <w:sz w:val="22"/>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15">
    <w:nsid w:val="59833C08"/>
    <w:multiLevelType w:val="hybridMultilevel"/>
    <w:tmpl w:val="28721512"/>
    <w:lvl w:ilvl="0">
      <w:start w:val="1"/>
      <w:numFmt w:val="bullet"/>
      <w:lvlText w:val=""/>
      <w:lvlJc w:val="left"/>
      <w:pPr>
        <w:tabs>
          <w:tab w:val="num" w:pos="587"/>
        </w:tabs>
        <w:ind w:left="587" w:hanging="360"/>
      </w:pPr>
      <w:rPr>
        <w:rFonts w:ascii="Wingdings" w:hAnsi="Wingdings" w:hint="default"/>
        <w:sz w:val="16"/>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6">
    <w:nsid w:val="5BE642D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17">
    <w:nsid w:val="5CC77C9F"/>
    <w:multiLevelType w:val="hybridMultilevel"/>
    <w:tmpl w:val="5F747C8C"/>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18">
    <w:nsid w:val="5CE34A3B"/>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19">
    <w:nsid w:val="5E826EB8"/>
    <w:multiLevelType w:val="hybridMultilevel"/>
    <w:tmpl w:val="CD3AC67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0">
    <w:nsid w:val="61FD7E05"/>
    <w:multiLevelType w:val="hybridMultilevel"/>
    <w:tmpl w:val="A19442F8"/>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21">
    <w:nsid w:val="62C5799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22">
    <w:nsid w:val="64E43A9A"/>
    <w:multiLevelType w:val="singleLevel"/>
    <w:tmpl w:val="AA54EF86"/>
    <w:lvl w:ilvl="0">
      <w:numFmt w:val="bullet"/>
      <w:lvlText w:val="-"/>
      <w:lvlJc w:val="left"/>
      <w:pPr>
        <w:tabs>
          <w:tab w:val="num" w:pos="360"/>
        </w:tabs>
        <w:ind w:left="360" w:hanging="360"/>
      </w:pPr>
      <w:rPr>
        <w:rFonts w:hint="default"/>
      </w:rPr>
    </w:lvl>
  </w:abstractNum>
  <w:abstractNum w:abstractNumId="123">
    <w:nsid w:val="660C1F2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24">
    <w:nsid w:val="66A46920"/>
    <w:multiLevelType w:val="hybridMultilevel"/>
    <w:tmpl w:val="83B40286"/>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25">
    <w:nsid w:val="66DB346D"/>
    <w:multiLevelType w:val="hybridMultilevel"/>
    <w:tmpl w:val="D0AE33D0"/>
    <w:lvl w:ilvl="0">
      <w:start w:val="399"/>
      <w:numFmt w:val="decimal"/>
      <w:lvlText w:val="%1."/>
      <w:lvlJc w:val="left"/>
      <w:pPr>
        <w:tabs>
          <w:tab w:val="num" w:pos="780"/>
        </w:tabs>
        <w:ind w:left="780" w:hanging="420"/>
      </w:pPr>
      <w:rPr>
        <w:rFonts w:hint="default"/>
        <w:color w:val="auto"/>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6">
    <w:nsid w:val="672673F4"/>
    <w:multiLevelType w:val="hybridMultilevel"/>
    <w:tmpl w:val="9D6E0178"/>
    <w:lvl w:ilvl="0">
      <w:start w:val="1"/>
      <w:numFmt w:val="bullet"/>
      <w:lvlText w:val=""/>
      <w:lvlJc w:val="left"/>
      <w:pPr>
        <w:tabs>
          <w:tab w:val="num" w:pos="360"/>
        </w:tabs>
        <w:ind w:left="340" w:hanging="340"/>
      </w:pPr>
      <w:rPr>
        <w:rFonts w:ascii="Symbol" w:hAnsi="Symbol" w:hint="default"/>
        <w:b w:val="0"/>
        <w:i w:val="0"/>
        <w:sz w:val="22"/>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27">
    <w:nsid w:val="69374030"/>
    <w:multiLevelType w:val="hybridMultilevel"/>
    <w:tmpl w:val="28721512"/>
    <w:lvl w:ilvl="0">
      <w:start w:val="1"/>
      <w:numFmt w:val="bullet"/>
      <w:lvlText w:val=""/>
      <w:lvlJc w:val="left"/>
      <w:pPr>
        <w:tabs>
          <w:tab w:val="num" w:pos="700"/>
        </w:tabs>
        <w:ind w:left="680" w:hanging="340"/>
      </w:pPr>
      <w:rPr>
        <w:rFonts w:ascii="Wingdings" w:hAnsi="Wingdings"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8">
    <w:nsid w:val="6A11528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29">
    <w:nsid w:val="6A503F43"/>
    <w:multiLevelType w:val="singleLevel"/>
    <w:tmpl w:val="3A60D7FA"/>
    <w:lvl w:ilvl="0">
      <w:start w:val="645"/>
      <w:numFmt w:val="decimal"/>
      <w:lvlText w:val="%1."/>
      <w:lvlJc w:val="left"/>
      <w:pPr>
        <w:tabs>
          <w:tab w:val="num" w:pos="480"/>
        </w:tabs>
        <w:ind w:left="480" w:hanging="480"/>
      </w:pPr>
      <w:rPr>
        <w:rFonts w:hint="default"/>
      </w:rPr>
    </w:lvl>
  </w:abstractNum>
  <w:abstractNum w:abstractNumId="130">
    <w:nsid w:val="6A61547A"/>
    <w:multiLevelType w:val="hybridMultilevel"/>
    <w:tmpl w:val="0FD835F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1">
    <w:nsid w:val="6B35205A"/>
    <w:multiLevelType w:val="hybridMultilevel"/>
    <w:tmpl w:val="C33AFE7A"/>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32">
    <w:nsid w:val="6C320EA8"/>
    <w:multiLevelType w:val="singleLevel"/>
    <w:tmpl w:val="D4B6ED8A"/>
    <w:lvl w:ilvl="0">
      <w:start w:val="616"/>
      <w:numFmt w:val="decimal"/>
      <w:lvlText w:val="%1."/>
      <w:lvlJc w:val="left"/>
      <w:pPr>
        <w:tabs>
          <w:tab w:val="num" w:pos="720"/>
        </w:tabs>
        <w:ind w:left="720" w:hanging="720"/>
      </w:pPr>
      <w:rPr>
        <w:rFonts w:hint="default"/>
      </w:rPr>
    </w:lvl>
  </w:abstractNum>
  <w:abstractNum w:abstractNumId="133">
    <w:nsid w:val="6CBC2ACB"/>
    <w:multiLevelType w:val="singleLevel"/>
    <w:tmpl w:val="EE0A73BC"/>
    <w:lvl w:ilvl="0">
      <w:start w:val="671"/>
      <w:numFmt w:val="decimal"/>
      <w:lvlText w:val="%1."/>
      <w:lvlJc w:val="left"/>
      <w:pPr>
        <w:tabs>
          <w:tab w:val="num" w:pos="360"/>
        </w:tabs>
        <w:ind w:left="357" w:hanging="357"/>
      </w:pPr>
      <w:rPr>
        <w:rFonts w:hint="default"/>
      </w:rPr>
    </w:lvl>
  </w:abstractNum>
  <w:abstractNum w:abstractNumId="134">
    <w:nsid w:val="6DFD4AC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35">
    <w:nsid w:val="70787AD7"/>
    <w:multiLevelType w:val="hybridMultilevel"/>
    <w:tmpl w:val="DFE866B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6">
    <w:nsid w:val="70967264"/>
    <w:multiLevelType w:val="hybridMultilevel"/>
    <w:tmpl w:val="8C480B9C"/>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37">
    <w:nsid w:val="70D1404C"/>
    <w:multiLevelType w:val="hybridMultilevel"/>
    <w:tmpl w:val="BFB4FBFE"/>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40"/>
        </w:tabs>
        <w:ind w:left="1021" w:hanging="341"/>
      </w:pPr>
      <w:rPr>
        <w:rFonts w:ascii="Wingdings" w:hAnsi="Wingdings" w:hint="default"/>
        <w:b w:val="0"/>
        <w:i w:val="0"/>
        <w:sz w:val="22"/>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Wingdings" w:hAnsi="Wingdings" w:hint="default"/>
        <w:sz w:val="16"/>
      </w:rPr>
    </w:lvl>
    <w:lvl w:ilvl="4">
      <w:start w:val="1"/>
      <w:numFmt w:val="bullet"/>
      <w:lvlText w:val=""/>
      <w:lvlJc w:val="left"/>
      <w:pPr>
        <w:tabs>
          <w:tab w:val="num" w:pos="3600"/>
        </w:tabs>
        <w:ind w:left="3600" w:hanging="360"/>
      </w:pPr>
      <w:rPr>
        <w:rFonts w:ascii="Symbol" w:hAnsi="Symbol"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8">
    <w:nsid w:val="71A802C1"/>
    <w:multiLevelType w:val="hybridMultilevel"/>
    <w:tmpl w:val="9D6E0178"/>
    <w:lvl w:ilvl="0">
      <w:start w:val="1"/>
      <w:numFmt w:val="bullet"/>
      <w:lvlText w:val=""/>
      <w:lvlJc w:val="left"/>
      <w:pPr>
        <w:tabs>
          <w:tab w:val="num" w:pos="360"/>
        </w:tabs>
        <w:ind w:left="340" w:hanging="340"/>
      </w:pPr>
      <w:rPr>
        <w:rFonts w:ascii="Symbol" w:hAnsi="Symbol" w:hint="default"/>
        <w:b w:val="0"/>
        <w:i w:val="0"/>
        <w:sz w:val="22"/>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39">
    <w:nsid w:val="72613C15"/>
    <w:multiLevelType w:val="hybridMultilevel"/>
    <w:tmpl w:val="77381196"/>
    <w:lvl w:ilvl="0">
      <w:start w:val="1"/>
      <w:numFmt w:val="bullet"/>
      <w:lvlText w:val=""/>
      <w:lvlJc w:val="left"/>
      <w:pPr>
        <w:tabs>
          <w:tab w:val="num" w:pos="780"/>
        </w:tabs>
        <w:ind w:left="780" w:hanging="360"/>
      </w:pPr>
      <w:rPr>
        <w:rFonts w:ascii="Symbol" w:hAnsi="Symbol" w:hint="default"/>
      </w:rPr>
    </w:lvl>
    <w:lvl w:ilvl="1" w:tentative="1">
      <w:start w:val="1"/>
      <w:numFmt w:val="bullet"/>
      <w:lvlText w:val="o"/>
      <w:lvlJc w:val="left"/>
      <w:pPr>
        <w:tabs>
          <w:tab w:val="num" w:pos="1500"/>
        </w:tabs>
        <w:ind w:left="1500" w:hanging="360"/>
      </w:pPr>
      <w:rPr>
        <w:rFonts w:ascii="Courier New" w:hAnsi="Courier New" w:hint="default"/>
      </w:rPr>
    </w:lvl>
    <w:lvl w:ilvl="2" w:tentative="1">
      <w:start w:val="1"/>
      <w:numFmt w:val="bullet"/>
      <w:lvlText w:val=""/>
      <w:lvlJc w:val="left"/>
      <w:pPr>
        <w:tabs>
          <w:tab w:val="num" w:pos="2220"/>
        </w:tabs>
        <w:ind w:left="2220" w:hanging="360"/>
      </w:pPr>
      <w:rPr>
        <w:rFonts w:ascii="Wingdings" w:hAnsi="Wingdings" w:hint="default"/>
      </w:rPr>
    </w:lvl>
    <w:lvl w:ilvl="3" w:tentative="1">
      <w:start w:val="1"/>
      <w:numFmt w:val="bullet"/>
      <w:lvlText w:val=""/>
      <w:lvlJc w:val="left"/>
      <w:pPr>
        <w:tabs>
          <w:tab w:val="num" w:pos="2940"/>
        </w:tabs>
        <w:ind w:left="2940" w:hanging="360"/>
      </w:pPr>
      <w:rPr>
        <w:rFonts w:ascii="Symbol" w:hAnsi="Symbol" w:hint="default"/>
      </w:rPr>
    </w:lvl>
    <w:lvl w:ilvl="4" w:tentative="1">
      <w:start w:val="1"/>
      <w:numFmt w:val="bullet"/>
      <w:lvlText w:val="o"/>
      <w:lvlJc w:val="left"/>
      <w:pPr>
        <w:tabs>
          <w:tab w:val="num" w:pos="3660"/>
        </w:tabs>
        <w:ind w:left="3660" w:hanging="360"/>
      </w:pPr>
      <w:rPr>
        <w:rFonts w:ascii="Courier New" w:hAnsi="Courier New" w:hint="default"/>
      </w:rPr>
    </w:lvl>
    <w:lvl w:ilvl="5" w:tentative="1">
      <w:start w:val="1"/>
      <w:numFmt w:val="bullet"/>
      <w:lvlText w:val=""/>
      <w:lvlJc w:val="left"/>
      <w:pPr>
        <w:tabs>
          <w:tab w:val="num" w:pos="4380"/>
        </w:tabs>
        <w:ind w:left="4380" w:hanging="360"/>
      </w:pPr>
      <w:rPr>
        <w:rFonts w:ascii="Wingdings" w:hAnsi="Wingdings" w:hint="default"/>
      </w:rPr>
    </w:lvl>
    <w:lvl w:ilvl="6" w:tentative="1">
      <w:start w:val="1"/>
      <w:numFmt w:val="bullet"/>
      <w:lvlText w:val=""/>
      <w:lvlJc w:val="left"/>
      <w:pPr>
        <w:tabs>
          <w:tab w:val="num" w:pos="5100"/>
        </w:tabs>
        <w:ind w:left="5100" w:hanging="360"/>
      </w:pPr>
      <w:rPr>
        <w:rFonts w:ascii="Symbol" w:hAnsi="Symbol" w:hint="default"/>
      </w:rPr>
    </w:lvl>
    <w:lvl w:ilvl="7" w:tentative="1">
      <w:start w:val="1"/>
      <w:numFmt w:val="bullet"/>
      <w:lvlText w:val="o"/>
      <w:lvlJc w:val="left"/>
      <w:pPr>
        <w:tabs>
          <w:tab w:val="num" w:pos="5820"/>
        </w:tabs>
        <w:ind w:left="5820" w:hanging="360"/>
      </w:pPr>
      <w:rPr>
        <w:rFonts w:ascii="Courier New" w:hAnsi="Courier New" w:hint="default"/>
      </w:rPr>
    </w:lvl>
    <w:lvl w:ilvl="8" w:tentative="1">
      <w:start w:val="1"/>
      <w:numFmt w:val="bullet"/>
      <w:lvlText w:val=""/>
      <w:lvlJc w:val="left"/>
      <w:pPr>
        <w:tabs>
          <w:tab w:val="num" w:pos="6540"/>
        </w:tabs>
        <w:ind w:left="6540" w:hanging="360"/>
      </w:pPr>
      <w:rPr>
        <w:rFonts w:ascii="Wingdings" w:hAnsi="Wingdings" w:hint="default"/>
      </w:rPr>
    </w:lvl>
  </w:abstractNum>
  <w:abstractNum w:abstractNumId="140">
    <w:nsid w:val="728B7DEF"/>
    <w:multiLevelType w:val="hybridMultilevel"/>
    <w:tmpl w:val="9D6E0178"/>
    <w:lvl w:ilvl="0">
      <w:start w:val="1"/>
      <w:numFmt w:val="bullet"/>
      <w:lvlText w:val=""/>
      <w:lvlJc w:val="left"/>
      <w:pPr>
        <w:tabs>
          <w:tab w:val="num" w:pos="360"/>
        </w:tabs>
        <w:ind w:left="340" w:hanging="340"/>
      </w:pPr>
      <w:rPr>
        <w:rFonts w:ascii="Symbol" w:hAnsi="Symbol" w:hint="default"/>
        <w:b w:val="0"/>
        <w:i w:val="0"/>
        <w:sz w:val="22"/>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41">
    <w:nsid w:val="728C299D"/>
    <w:multiLevelType w:val="singleLevel"/>
    <w:tmpl w:val="28E40AE2"/>
    <w:lvl w:ilvl="0">
      <w:start w:val="405"/>
      <w:numFmt w:val="decimal"/>
      <w:lvlText w:val="%1. "/>
      <w:lvlJc w:val="left"/>
      <w:pPr>
        <w:tabs>
          <w:tab w:val="num" w:pos="360"/>
        </w:tabs>
        <w:ind w:left="0" w:firstLine="0"/>
      </w:pPr>
      <w:rPr>
        <w:rFonts w:ascii="Times New Roman" w:hAnsi="Times New Roman" w:hint="default"/>
        <w:b w:val="0"/>
        <w:i w:val="0"/>
        <w:sz w:val="22"/>
        <w:u w:val="none"/>
      </w:rPr>
    </w:lvl>
  </w:abstractNum>
  <w:abstractNum w:abstractNumId="142">
    <w:nsid w:val="74A2365C"/>
    <w:multiLevelType w:val="hybridMultilevel"/>
    <w:tmpl w:val="2ECE1D5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3">
    <w:nsid w:val="76793F8D"/>
    <w:multiLevelType w:val="hybridMultilevel"/>
    <w:tmpl w:val="9D6E0178"/>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44">
    <w:nsid w:val="76A6224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45">
    <w:nsid w:val="76DF1C74"/>
    <w:multiLevelType w:val="hybridMultilevel"/>
    <w:tmpl w:val="9BBE5AE6"/>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46">
    <w:nsid w:val="770F415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47">
    <w:nsid w:val="77112894"/>
    <w:multiLevelType w:val="hybridMultilevel"/>
    <w:tmpl w:val="DD9899D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8">
    <w:nsid w:val="77EA24DF"/>
    <w:multiLevelType w:val="singleLevel"/>
    <w:tmpl w:val="6D8E7A28"/>
    <w:lvl w:ilvl="0">
      <w:start w:val="598"/>
      <w:numFmt w:val="decimal"/>
      <w:lvlText w:val="%1."/>
      <w:lvlJc w:val="left"/>
      <w:pPr>
        <w:tabs>
          <w:tab w:val="num" w:pos="1140"/>
        </w:tabs>
        <w:ind w:left="1140" w:hanging="1140"/>
      </w:pPr>
      <w:rPr>
        <w:rFonts w:hint="default"/>
      </w:rPr>
    </w:lvl>
  </w:abstractNum>
  <w:abstractNum w:abstractNumId="149">
    <w:nsid w:val="77F847B9"/>
    <w:multiLevelType w:val="hybridMultilevel"/>
    <w:tmpl w:val="8ED03E2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0">
    <w:nsid w:val="78A52944"/>
    <w:multiLevelType w:val="singleLevel"/>
    <w:tmpl w:val="AA54EF86"/>
    <w:lvl w:ilvl="0">
      <w:numFmt w:val="bullet"/>
      <w:lvlText w:val="-"/>
      <w:lvlJc w:val="left"/>
      <w:pPr>
        <w:tabs>
          <w:tab w:val="num" w:pos="360"/>
        </w:tabs>
        <w:ind w:left="360" w:hanging="360"/>
      </w:pPr>
      <w:rPr>
        <w:rFonts w:hint="default"/>
      </w:rPr>
    </w:lvl>
  </w:abstractNum>
  <w:abstractNum w:abstractNumId="151">
    <w:nsid w:val="79AA3437"/>
    <w:multiLevelType w:val="singleLevel"/>
    <w:tmpl w:val="E5684358"/>
    <w:lvl w:ilvl="0">
      <w:start w:val="41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52">
    <w:nsid w:val="79CE21C4"/>
    <w:multiLevelType w:val="singleLevel"/>
    <w:tmpl w:val="4F1A1E38"/>
    <w:lvl w:ilvl="0">
      <w:start w:val="421"/>
      <w:numFmt w:val="decimal"/>
      <w:lvlText w:val="%1. "/>
      <w:legacy w:legacy="1" w:legacySpace="0" w:legacyIndent="283"/>
      <w:lvlJc w:val="left"/>
      <w:pPr>
        <w:ind w:left="358" w:hanging="283"/>
      </w:pPr>
      <w:rPr>
        <w:rFonts w:ascii="Times New Roman" w:hAnsi="Times New Roman" w:hint="default"/>
        <w:b w:val="0"/>
        <w:i w:val="0"/>
        <w:sz w:val="28"/>
        <w:u w:val="none"/>
      </w:rPr>
    </w:lvl>
  </w:abstractNum>
  <w:abstractNum w:abstractNumId="153">
    <w:nsid w:val="7AF30F03"/>
    <w:multiLevelType w:val="hybridMultilevel"/>
    <w:tmpl w:val="7276AF1E"/>
    <w:lvl w:ilvl="0">
      <w:start w:val="1"/>
      <w:numFmt w:val="bullet"/>
      <w:lvlText w:val=""/>
      <w:lvlJc w:val="left"/>
      <w:pPr>
        <w:tabs>
          <w:tab w:val="num" w:pos="720"/>
        </w:tabs>
        <w:ind w:left="720" w:hanging="493"/>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4">
    <w:nsid w:val="7B61094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55">
    <w:nsid w:val="7BAA7DB2"/>
    <w:multiLevelType w:val="hybridMultilevel"/>
    <w:tmpl w:val="C1D48EA8"/>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56">
    <w:nsid w:val="7C5927EC"/>
    <w:multiLevelType w:val="singleLevel"/>
    <w:tmpl w:val="AA54EF86"/>
    <w:lvl w:ilvl="0">
      <w:numFmt w:val="bullet"/>
      <w:lvlText w:val="-"/>
      <w:lvlJc w:val="left"/>
      <w:pPr>
        <w:tabs>
          <w:tab w:val="num" w:pos="360"/>
        </w:tabs>
        <w:ind w:left="360" w:hanging="360"/>
      </w:pPr>
      <w:rPr>
        <w:rFonts w:hint="default"/>
      </w:rPr>
    </w:lvl>
  </w:abstractNum>
  <w:abstractNum w:abstractNumId="157">
    <w:nsid w:val="7D963268"/>
    <w:multiLevelType w:val="hybridMultilevel"/>
    <w:tmpl w:val="439C3422"/>
    <w:lvl w:ilvl="0">
      <w:start w:val="1"/>
      <w:numFmt w:val="bullet"/>
      <w:lvlText w:val=""/>
      <w:lvlJc w:val="left"/>
      <w:pPr>
        <w:tabs>
          <w:tab w:val="num" w:pos="360"/>
        </w:tabs>
        <w:ind w:left="284" w:hanging="284"/>
      </w:pPr>
      <w:rPr>
        <w:rFonts w:ascii="Symbol" w:hAnsi="Symbol" w:hint="default"/>
      </w:rPr>
    </w:lvl>
    <w:lvl w:ilvl="1">
      <w:numFmt w:val="bullet"/>
      <w:lvlText w:val="–"/>
      <w:lvlJc w:val="left"/>
      <w:pPr>
        <w:tabs>
          <w:tab w:val="num" w:pos="1788"/>
        </w:tabs>
        <w:ind w:left="1788" w:hanging="708"/>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8">
    <w:nsid w:val="7DC370A9"/>
    <w:multiLevelType w:val="hybridMultilevel"/>
    <w:tmpl w:val="C4FA3BE4"/>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59">
    <w:nsid w:val="7E107D01"/>
    <w:multiLevelType w:val="hybridMultilevel"/>
    <w:tmpl w:val="E86C29DA"/>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60">
    <w:nsid w:val="7E2C2BCA"/>
    <w:multiLevelType w:val="singleLevel"/>
    <w:tmpl w:val="3806A1F6"/>
    <w:lvl w:ilvl="0">
      <w:start w:val="614"/>
      <w:numFmt w:val="decimal"/>
      <w:lvlText w:val="%1."/>
      <w:lvlJc w:val="left"/>
      <w:pPr>
        <w:tabs>
          <w:tab w:val="num" w:pos="690"/>
        </w:tabs>
        <w:ind w:left="690" w:hanging="690"/>
      </w:pPr>
      <w:rPr>
        <w:rFonts w:hint="default"/>
      </w:rPr>
    </w:lvl>
  </w:abstractNum>
  <w:abstractNum w:abstractNumId="161">
    <w:nsid w:val="7F38495F"/>
    <w:multiLevelType w:val="singleLevel"/>
    <w:tmpl w:val="028026C6"/>
    <w:lvl w:ilvl="0">
      <w:start w:val="419"/>
      <w:numFmt w:val="decimal"/>
      <w:lvlText w:val="%1. "/>
      <w:legacy w:legacy="1" w:legacySpace="0" w:legacyIndent="283"/>
      <w:lvlJc w:val="left"/>
      <w:pPr>
        <w:ind w:left="358" w:hanging="283"/>
      </w:pPr>
      <w:rPr>
        <w:rFonts w:ascii="Times New Roman" w:hAnsi="Times New Roman" w:hint="default"/>
        <w:b w:val="0"/>
        <w:i w:val="0"/>
        <w:sz w:val="28"/>
        <w:u w:val="none"/>
      </w:rPr>
    </w:lvl>
  </w:abstractNum>
  <w:abstractNum w:abstractNumId="162">
    <w:nsid w:val="7F9D6F2C"/>
    <w:multiLevelType w:val="singleLevel"/>
    <w:tmpl w:val="04190001"/>
    <w:lvl w:ilvl="0">
      <w:start w:val="1"/>
      <w:numFmt w:val="bullet"/>
      <w:lvlText w:val=""/>
      <w:lvlJc w:val="left"/>
      <w:pPr>
        <w:tabs>
          <w:tab w:val="num" w:pos="360"/>
        </w:tabs>
        <w:ind w:left="360" w:hanging="360"/>
      </w:pPr>
      <w:rPr>
        <w:rFonts w:ascii="Symbol" w:hAnsi="Symbol" w:hint="default"/>
      </w:rPr>
    </w:lvl>
  </w:abstractNum>
  <w:num w:numId="1">
    <w:abstractNumId w:val="88"/>
  </w:num>
  <w:num w:numId="2">
    <w:abstractNumId w:val="63"/>
  </w:num>
  <w:num w:numId="3">
    <w:abstractNumId w:val="119"/>
  </w:num>
  <w:num w:numId="4">
    <w:abstractNumId w:val="77"/>
  </w:num>
  <w:num w:numId="5">
    <w:abstractNumId w:val="64"/>
  </w:num>
  <w:num w:numId="6">
    <w:abstractNumId w:val="109"/>
  </w:num>
  <w:num w:numId="7">
    <w:abstractNumId w:val="67"/>
  </w:num>
  <w:num w:numId="8">
    <w:abstractNumId w:val="135"/>
  </w:num>
  <w:num w:numId="9">
    <w:abstractNumId w:val="17"/>
  </w:num>
  <w:num w:numId="10">
    <w:abstractNumId w:val="6"/>
  </w:num>
  <w:num w:numId="11">
    <w:abstractNumId w:val="68"/>
  </w:num>
  <w:num w:numId="12">
    <w:abstractNumId w:val="139"/>
  </w:num>
  <w:num w:numId="13">
    <w:abstractNumId w:val="142"/>
  </w:num>
  <w:num w:numId="14">
    <w:abstractNumId w:val="9"/>
  </w:num>
  <w:num w:numId="15">
    <w:abstractNumId w:val="149"/>
  </w:num>
  <w:num w:numId="16">
    <w:abstractNumId w:val="21"/>
  </w:num>
  <w:num w:numId="17">
    <w:abstractNumId w:val="2"/>
  </w:num>
  <w:num w:numId="18">
    <w:abstractNumId w:val="47"/>
  </w:num>
  <w:num w:numId="19">
    <w:abstractNumId w:val="48"/>
  </w:num>
  <w:num w:numId="20">
    <w:abstractNumId w:val="130"/>
  </w:num>
  <w:num w:numId="21">
    <w:abstractNumId w:val="91"/>
  </w:num>
  <w:num w:numId="22">
    <w:abstractNumId w:val="96"/>
  </w:num>
  <w:num w:numId="23">
    <w:abstractNumId w:val="113"/>
  </w:num>
  <w:num w:numId="24">
    <w:abstractNumId w:val="70"/>
  </w:num>
  <w:num w:numId="25">
    <w:abstractNumId w:val="153"/>
  </w:num>
  <w:num w:numId="26">
    <w:abstractNumId w:val="44"/>
  </w:num>
  <w:num w:numId="27">
    <w:abstractNumId w:val="73"/>
  </w:num>
  <w:num w:numId="28">
    <w:abstractNumId w:val="115"/>
  </w:num>
  <w:num w:numId="29">
    <w:abstractNumId w:val="87"/>
  </w:num>
  <w:num w:numId="30">
    <w:abstractNumId w:val="1"/>
  </w:num>
  <w:num w:numId="31">
    <w:abstractNumId w:val="27"/>
  </w:num>
  <w:num w:numId="32">
    <w:abstractNumId w:val="57"/>
  </w:num>
  <w:num w:numId="33">
    <w:abstractNumId w:val="20"/>
  </w:num>
  <w:num w:numId="34">
    <w:abstractNumId w:val="54"/>
  </w:num>
  <w:num w:numId="35">
    <w:abstractNumId w:val="31"/>
  </w:num>
  <w:num w:numId="36">
    <w:abstractNumId w:val="60"/>
  </w:num>
  <w:num w:numId="37">
    <w:abstractNumId w:val="38"/>
  </w:num>
  <w:num w:numId="38">
    <w:abstractNumId w:val="137"/>
  </w:num>
  <w:num w:numId="39">
    <w:abstractNumId w:val="127"/>
  </w:num>
  <w:num w:numId="40">
    <w:abstractNumId w:val="98"/>
  </w:num>
  <w:num w:numId="41">
    <w:abstractNumId w:val="42"/>
  </w:num>
  <w:num w:numId="42">
    <w:abstractNumId w:val="50"/>
  </w:num>
  <w:num w:numId="43">
    <w:abstractNumId w:val="35"/>
  </w:num>
  <w:num w:numId="44">
    <w:abstractNumId w:val="86"/>
  </w:num>
  <w:num w:numId="45">
    <w:abstractNumId w:val="147"/>
  </w:num>
  <w:num w:numId="46">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47">
    <w:abstractNumId w:val="16"/>
  </w:num>
  <w:num w:numId="48">
    <w:abstractNumId w:val="1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49">
    <w:abstractNumId w:val="97"/>
  </w:num>
  <w:num w:numId="50">
    <w:abstractNumId w:val="97"/>
    <w:lvlOverride w:ilvl="0">
      <w:lvl w:ilvl="0">
        <w:start w:val="404"/>
        <w:numFmt w:val="decimal"/>
        <w:lvlText w:val="%1. "/>
        <w:lvlJc w:val="left"/>
        <w:pPr>
          <w:tabs>
            <w:tab w:val="num" w:pos="360"/>
          </w:tabs>
          <w:ind w:left="283" w:hanging="283"/>
        </w:pPr>
        <w:rPr>
          <w:rFonts w:ascii="Times New Roman" w:hAnsi="Times New Roman" w:hint="default"/>
          <w:b w:val="0"/>
          <w:i w:val="0"/>
          <w:sz w:val="28"/>
          <w:u w:val="none"/>
        </w:rPr>
      </w:lvl>
    </w:lvlOverride>
  </w:num>
  <w:num w:numId="51">
    <w:abstractNumId w:val="141"/>
  </w:num>
  <w:num w:numId="52">
    <w:abstractNumId w:val="141"/>
    <w:lvlOverride w:ilvl="0">
      <w:lvl w:ilvl="0">
        <w:start w:val="405"/>
        <w:numFmt w:val="decimal"/>
        <w:lvlText w:val="%1. "/>
        <w:lvlJc w:val="left"/>
        <w:pPr>
          <w:tabs>
            <w:tab w:val="num" w:pos="360"/>
          </w:tabs>
          <w:ind w:left="0" w:firstLine="0"/>
        </w:pPr>
        <w:rPr>
          <w:rFonts w:ascii="Times New Roman" w:hAnsi="Times New Roman" w:hint="default"/>
          <w:b w:val="0"/>
          <w:i w:val="0"/>
          <w:sz w:val="22"/>
          <w:u w:val="none"/>
        </w:rPr>
      </w:lvl>
    </w:lvlOverride>
  </w:num>
  <w:num w:numId="53">
    <w:abstractNumId w:val="74"/>
  </w:num>
  <w:num w:numId="54">
    <w:abstractNumId w:val="151"/>
  </w:num>
  <w:num w:numId="55">
    <w:abstractNumId w:val="15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56">
    <w:abstractNumId w:val="161"/>
  </w:num>
  <w:num w:numId="57">
    <w:abstractNumId w:val="161"/>
    <w:lvlOverride w:ilvl="0">
      <w:lvl w:ilvl="0">
        <w:start w:val="1"/>
        <w:numFmt w:val="decimal"/>
        <w:lvlText w:val="%1. "/>
        <w:legacy w:legacy="1" w:legacySpace="0" w:legacyIndent="283"/>
        <w:lvlJc w:val="left"/>
        <w:pPr>
          <w:ind w:left="358" w:hanging="283"/>
        </w:pPr>
        <w:rPr>
          <w:rFonts w:ascii="Times New Roman" w:hAnsi="Times New Roman" w:hint="default"/>
          <w:b w:val="0"/>
          <w:i w:val="0"/>
          <w:sz w:val="28"/>
          <w:u w:val="none"/>
        </w:rPr>
      </w:lvl>
    </w:lvlOverride>
  </w:num>
  <w:num w:numId="58">
    <w:abstractNumId w:val="152"/>
  </w:num>
  <w:num w:numId="59">
    <w:abstractNumId w:val="152"/>
    <w:lvlOverride w:ilvl="0">
      <w:lvl w:ilvl="0">
        <w:start w:val="422"/>
        <w:numFmt w:val="decimal"/>
        <w:lvlText w:val="%1. "/>
        <w:legacy w:legacy="1" w:legacySpace="0" w:legacyIndent="283"/>
        <w:lvlJc w:val="left"/>
        <w:pPr>
          <w:ind w:left="358" w:hanging="283"/>
        </w:pPr>
        <w:rPr>
          <w:rFonts w:ascii="Times New Roman" w:hAnsi="Times New Roman" w:hint="default"/>
          <w:b w:val="0"/>
          <w:i w:val="0"/>
          <w:sz w:val="28"/>
          <w:u w:val="none"/>
        </w:rPr>
      </w:lvl>
    </w:lvlOverride>
  </w:num>
  <w:num w:numId="60">
    <w:abstractNumId w:val="78"/>
  </w:num>
  <w:num w:numId="61">
    <w:abstractNumId w:val="112"/>
  </w:num>
  <w:num w:numId="62">
    <w:abstractNumId w:val="103"/>
  </w:num>
  <w:num w:numId="63">
    <w:abstractNumId w:val="125"/>
  </w:num>
  <w:num w:numId="64">
    <w:abstractNumId w:val="22"/>
  </w:num>
  <w:num w:numId="65">
    <w:abstractNumId w:val="110"/>
  </w:num>
  <w:num w:numId="66">
    <w:abstractNumId w:val="157"/>
  </w:num>
  <w:num w:numId="67">
    <w:abstractNumId w:val="85"/>
  </w:num>
  <w:num w:numId="68">
    <w:abstractNumId w:val="32"/>
  </w:num>
  <w:num w:numId="69">
    <w:abstractNumId w:val="56"/>
  </w:num>
  <w:num w:numId="70">
    <w:abstractNumId w:val="45"/>
  </w:num>
  <w:num w:numId="71">
    <w:abstractNumId w:val="4"/>
  </w:num>
  <w:num w:numId="72">
    <w:abstractNumId w:val="18"/>
  </w:num>
  <w:num w:numId="73">
    <w:abstractNumId w:val="159"/>
  </w:num>
  <w:num w:numId="74">
    <w:abstractNumId w:val="3"/>
  </w:num>
  <w:num w:numId="75">
    <w:abstractNumId w:val="136"/>
  </w:num>
  <w:num w:numId="76">
    <w:abstractNumId w:val="120"/>
  </w:num>
  <w:num w:numId="77">
    <w:abstractNumId w:val="89"/>
  </w:num>
  <w:num w:numId="78">
    <w:abstractNumId w:val="143"/>
  </w:num>
  <w:num w:numId="79">
    <w:abstractNumId w:val="124"/>
  </w:num>
  <w:num w:numId="80">
    <w:abstractNumId w:val="52"/>
  </w:num>
  <w:num w:numId="81">
    <w:abstractNumId w:val="37"/>
  </w:num>
  <w:num w:numId="82">
    <w:abstractNumId w:val="5"/>
  </w:num>
  <w:num w:numId="83">
    <w:abstractNumId w:val="93"/>
  </w:num>
  <w:num w:numId="84">
    <w:abstractNumId w:val="43"/>
  </w:num>
  <w:num w:numId="85">
    <w:abstractNumId w:val="12"/>
  </w:num>
  <w:num w:numId="86">
    <w:abstractNumId w:val="138"/>
  </w:num>
  <w:num w:numId="87">
    <w:abstractNumId w:val="126"/>
  </w:num>
  <w:num w:numId="88">
    <w:abstractNumId w:val="83"/>
  </w:num>
  <w:num w:numId="89">
    <w:abstractNumId w:val="140"/>
  </w:num>
  <w:num w:numId="90">
    <w:abstractNumId w:val="29"/>
  </w:num>
  <w:num w:numId="91">
    <w:abstractNumId w:val="8"/>
  </w:num>
  <w:num w:numId="92">
    <w:abstractNumId w:val="114"/>
  </w:num>
  <w:num w:numId="93">
    <w:abstractNumId w:val="81"/>
  </w:num>
  <w:num w:numId="94">
    <w:abstractNumId w:val="33"/>
  </w:num>
  <w:num w:numId="95">
    <w:abstractNumId w:val="84"/>
  </w:num>
  <w:num w:numId="96">
    <w:abstractNumId w:val="148"/>
  </w:num>
  <w:num w:numId="97">
    <w:abstractNumId w:val="107"/>
  </w:num>
  <w:num w:numId="98">
    <w:abstractNumId w:val="118"/>
  </w:num>
  <w:num w:numId="99">
    <w:abstractNumId w:val="15"/>
  </w:num>
  <w:num w:numId="100">
    <w:abstractNumId w:val="160"/>
  </w:num>
  <w:num w:numId="101">
    <w:abstractNumId w:val="132"/>
  </w:num>
  <w:num w:numId="102">
    <w:abstractNumId w:val="58"/>
  </w:num>
  <w:num w:numId="103">
    <w:abstractNumId w:val="146"/>
  </w:num>
  <w:num w:numId="104">
    <w:abstractNumId w:val="144"/>
  </w:num>
  <w:num w:numId="105">
    <w:abstractNumId w:val="82"/>
  </w:num>
  <w:num w:numId="106">
    <w:abstractNumId w:val="75"/>
  </w:num>
  <w:num w:numId="107">
    <w:abstractNumId w:val="76"/>
  </w:num>
  <w:num w:numId="108">
    <w:abstractNumId w:val="128"/>
  </w:num>
  <w:num w:numId="109">
    <w:abstractNumId w:val="92"/>
  </w:num>
  <w:num w:numId="110">
    <w:abstractNumId w:val="116"/>
  </w:num>
  <w:num w:numId="111">
    <w:abstractNumId w:val="154"/>
  </w:num>
  <w:num w:numId="112">
    <w:abstractNumId w:val="123"/>
  </w:num>
  <w:num w:numId="113">
    <w:abstractNumId w:val="134"/>
  </w:num>
  <w:num w:numId="114">
    <w:abstractNumId w:val="23"/>
  </w:num>
  <w:num w:numId="115">
    <w:abstractNumId w:val="162"/>
  </w:num>
  <w:num w:numId="116">
    <w:abstractNumId w:val="95"/>
  </w:num>
  <w:num w:numId="117">
    <w:abstractNumId w:val="30"/>
  </w:num>
  <w:num w:numId="118">
    <w:abstractNumId w:val="121"/>
  </w:num>
  <w:num w:numId="119">
    <w:abstractNumId w:val="24"/>
  </w:num>
  <w:num w:numId="120">
    <w:abstractNumId w:val="80"/>
  </w:num>
  <w:num w:numId="121">
    <w:abstractNumId w:val="111"/>
  </w:num>
  <w:num w:numId="122">
    <w:abstractNumId w:val="19"/>
  </w:num>
  <w:num w:numId="123">
    <w:abstractNumId w:val="94"/>
  </w:num>
  <w:num w:numId="124">
    <w:abstractNumId w:val="108"/>
  </w:num>
  <w:num w:numId="125">
    <w:abstractNumId w:val="129"/>
  </w:num>
  <w:num w:numId="126">
    <w:abstractNumId w:val="61"/>
  </w:num>
  <w:num w:numId="127">
    <w:abstractNumId w:val="34"/>
  </w:num>
  <w:num w:numId="128">
    <w:abstractNumId w:val="26"/>
  </w:num>
  <w:num w:numId="129">
    <w:abstractNumId w:val="14"/>
  </w:num>
  <w:num w:numId="130">
    <w:abstractNumId w:val="55"/>
  </w:num>
  <w:num w:numId="131">
    <w:abstractNumId w:val="133"/>
  </w:num>
  <w:num w:numId="132">
    <w:abstractNumId w:val="156"/>
  </w:num>
  <w:num w:numId="133">
    <w:abstractNumId w:val="7"/>
  </w:num>
  <w:num w:numId="134">
    <w:abstractNumId w:val="105"/>
  </w:num>
  <w:num w:numId="135">
    <w:abstractNumId w:val="13"/>
  </w:num>
  <w:num w:numId="136">
    <w:abstractNumId w:val="122"/>
  </w:num>
  <w:num w:numId="137">
    <w:abstractNumId w:val="150"/>
  </w:num>
  <w:num w:numId="138">
    <w:abstractNumId w:val="79"/>
  </w:num>
  <w:num w:numId="139">
    <w:abstractNumId w:val="65"/>
  </w:num>
  <w:num w:numId="140">
    <w:abstractNumId w:val="51"/>
  </w:num>
  <w:num w:numId="141">
    <w:abstractNumId w:val="28"/>
  </w:num>
  <w:num w:numId="142">
    <w:abstractNumId w:val="99"/>
  </w:num>
  <w:num w:numId="143">
    <w:abstractNumId w:val="62"/>
  </w:num>
  <w:num w:numId="144">
    <w:abstractNumId w:val="71"/>
  </w:num>
  <w:num w:numId="145">
    <w:abstractNumId w:val="59"/>
  </w:num>
  <w:num w:numId="146">
    <w:abstractNumId w:val="53"/>
  </w:num>
  <w:num w:numId="147">
    <w:abstractNumId w:val="90"/>
  </w:num>
  <w:num w:numId="148">
    <w:abstractNumId w:val="102"/>
  </w:num>
  <w:num w:numId="149">
    <w:abstractNumId w:val="41"/>
  </w:num>
  <w:num w:numId="150">
    <w:abstractNumId w:val="36"/>
  </w:num>
  <w:num w:numId="151">
    <w:abstractNumId w:val="69"/>
  </w:num>
  <w:num w:numId="152">
    <w:abstractNumId w:val="117"/>
  </w:num>
  <w:num w:numId="153">
    <w:abstractNumId w:val="101"/>
  </w:num>
  <w:num w:numId="154">
    <w:abstractNumId w:val="11"/>
  </w:num>
  <w:num w:numId="155">
    <w:abstractNumId w:val="131"/>
  </w:num>
  <w:num w:numId="156">
    <w:abstractNumId w:val="66"/>
  </w:num>
  <w:num w:numId="157">
    <w:abstractNumId w:val="104"/>
  </w:num>
  <w:num w:numId="158">
    <w:abstractNumId w:val="145"/>
  </w:num>
  <w:num w:numId="159">
    <w:abstractNumId w:val="100"/>
  </w:num>
  <w:num w:numId="160">
    <w:abstractNumId w:val="40"/>
  </w:num>
  <w:num w:numId="161">
    <w:abstractNumId w:val="10"/>
  </w:num>
  <w:num w:numId="162">
    <w:abstractNumId w:val="25"/>
  </w:num>
  <w:num w:numId="163">
    <w:abstractNumId w:val="46"/>
  </w:num>
  <w:num w:numId="164">
    <w:abstractNumId w:val="155"/>
  </w:num>
  <w:num w:numId="165">
    <w:abstractNumId w:val="72"/>
  </w:num>
  <w:num w:numId="166">
    <w:abstractNumId w:val="158"/>
  </w:num>
  <w:num w:numId="167">
    <w:abstractNumId w:val="106"/>
  </w:num>
  <w:num w:numId="168">
    <w:abstractNumId w:val="39"/>
  </w:num>
  <w:num w:numId="169">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ctiveWritingStyle w:appName="MSWord" w:lang="es-ES_tradnl" w:vendorID="9" w:dllVersion="512" w:checkStyle="1"/>
  <w:doNotTrackMoves/>
  <w:defaultTabStop w:val="709"/>
  <w:evenAndOddHeaders/>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ru-RU" w:eastAsia="ru-RU"/>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autoSpaceDE w:val="0"/>
      <w:autoSpaceDN w:val="0"/>
      <w:adjustRightInd w:val="0"/>
      <w:jc w:val="center"/>
      <w:outlineLvl w:val="1"/>
    </w:pPr>
    <w:rPr>
      <w:b/>
      <w:smallCaps/>
      <w:color w:val="000000"/>
      <w:szCs w:val="21"/>
    </w:rPr>
  </w:style>
  <w:style w:type="paragraph" w:styleId="Heading3">
    <w:name w:val="heading 3"/>
    <w:basedOn w:val="Normal"/>
    <w:next w:val="Normal"/>
    <w:qFormat/>
    <w:pPr>
      <w:tabs>
        <w:tab w:val="left" w:pos="680"/>
      </w:tabs>
      <w:spacing w:before="240" w:line="260" w:lineRule="exact"/>
      <w:outlineLvl w:val="2"/>
    </w:pPr>
    <w:rPr>
      <w:rFonts w:cs="Arial"/>
      <w:b/>
      <w:sz w:val="22"/>
      <w:szCs w:val="26"/>
    </w:rPr>
  </w:style>
  <w:style w:type="paragraph" w:styleId="Heading4">
    <w:name w:val="heading 4"/>
    <w:basedOn w:val="Normal"/>
    <w:next w:val="Normal"/>
    <w:qFormat/>
    <w:pPr>
      <w:keepNext/>
      <w:autoSpaceDE w:val="0"/>
      <w:autoSpaceDN w:val="0"/>
      <w:adjustRightInd w:val="0"/>
      <w:outlineLvl w:val="3"/>
    </w:pPr>
    <w:rPr>
      <w:i/>
      <w:iCs/>
      <w:smallCaps/>
      <w:color w:val="000000"/>
      <w:szCs w:val="21"/>
    </w:rPr>
  </w:style>
  <w:style w:type="paragraph" w:styleId="Heading5">
    <w:name w:val="heading 5"/>
    <w:basedOn w:val="Normal"/>
    <w:next w:val="Normal"/>
    <w:qFormat/>
    <w:pPr>
      <w:keepNext/>
      <w:spacing w:line="360" w:lineRule="auto"/>
      <w:jc w:val="both"/>
      <w:outlineLvl w:val="4"/>
    </w:pPr>
    <w:rPr>
      <w:b/>
      <w:bCs/>
      <w:sz w:val="20"/>
    </w:rPr>
  </w:style>
  <w:style w:type="paragraph" w:styleId="Heading6">
    <w:name w:val="heading 6"/>
    <w:basedOn w:val="Normal"/>
    <w:next w:val="Normal"/>
    <w:qFormat/>
    <w:pPr>
      <w:keepNext/>
      <w:jc w:val="center"/>
      <w:outlineLvl w:val="5"/>
    </w:pPr>
    <w:rPr>
      <w:b/>
      <w:szCs w:val="20"/>
    </w:rPr>
  </w:style>
  <w:style w:type="paragraph" w:styleId="Heading7">
    <w:name w:val="heading 7"/>
    <w:basedOn w:val="Normal"/>
    <w:next w:val="Normal"/>
    <w:qFormat/>
    <w:pPr>
      <w:keepNext/>
      <w:outlineLvl w:val="6"/>
    </w:pPr>
    <w:rPr>
      <w:b/>
      <w:szCs w:val="20"/>
    </w:rPr>
  </w:style>
  <w:style w:type="paragraph" w:styleId="Heading8">
    <w:name w:val="heading 8"/>
    <w:basedOn w:val="Normal"/>
    <w:next w:val="Normal"/>
    <w:qFormat/>
    <w:pPr>
      <w:keepNext/>
      <w:spacing w:line="480" w:lineRule="auto"/>
      <w:ind w:right="-108"/>
      <w:outlineLvl w:val="7"/>
    </w:pPr>
    <w:rPr>
      <w:szCs w:val="20"/>
    </w:rPr>
  </w:style>
  <w:style w:type="paragraph" w:styleId="Heading9">
    <w:name w:val="heading 9"/>
    <w:basedOn w:val="Normal"/>
    <w:next w:val="Normal"/>
    <w:qFormat/>
    <w:pPr>
      <w:keepNext/>
      <w:tabs>
        <w:tab w:val="left" w:pos="1701"/>
      </w:tabs>
      <w:spacing w:after="120"/>
      <w:ind w:left="1247" w:right="1247" w:firstLine="709"/>
      <w:jc w:val="right"/>
      <w:outlineLvl w:val="8"/>
    </w:pPr>
    <w:rPr>
      <w:lang w:eastAsia="zh-TW"/>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jc w:val="both"/>
    </w:p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BodyText2">
    <w:name w:val="Body Text 2"/>
    <w:basedOn w:val="Normal"/>
    <w:semiHidden/>
    <w:pPr>
      <w:jc w:val="center"/>
    </w:pPr>
  </w:style>
  <w:style w:type="paragraph" w:styleId="BodyText3">
    <w:name w:val="Body Text 3"/>
    <w:basedOn w:val="Normal"/>
    <w:semiHidden/>
    <w:rPr>
      <w:b/>
      <w:bCs/>
    </w:rPr>
  </w:style>
  <w:style w:type="paragraph" w:styleId="BodyTextIndent2">
    <w:name w:val="Body Text Indent 2"/>
    <w:basedOn w:val="Normal"/>
    <w:semiHidden/>
    <w:pPr>
      <w:ind w:firstLine="708"/>
    </w:pPr>
  </w:style>
  <w:style w:type="paragraph" w:styleId="DocumentMap">
    <w:name w:val="Document Map"/>
    <w:basedOn w:val="Normal"/>
    <w:semiHidden/>
    <w:pPr>
      <w:shd w:val="clear" w:color="auto" w:fill="000080"/>
    </w:pPr>
    <w:rPr>
      <w:rFonts w:ascii="Tahoma" w:hAnsi="Tahoma" w:cs="Tahoma"/>
    </w:rPr>
  </w:style>
  <w:style w:type="paragraph" w:styleId="Header">
    <w:name w:val="header"/>
    <w:basedOn w:val="Normal"/>
    <w:semiHidden/>
    <w:pPr>
      <w:tabs>
        <w:tab w:val="center" w:pos="4677"/>
        <w:tab w:val="right" w:pos="9355"/>
      </w:tabs>
    </w:pPr>
  </w:style>
  <w:style w:type="paragraph" w:styleId="Footer">
    <w:name w:val="footer"/>
    <w:basedOn w:val="Normal"/>
    <w:semiHidden/>
    <w:pPr>
      <w:tabs>
        <w:tab w:val="center" w:pos="4677"/>
        <w:tab w:val="right" w:pos="9355"/>
      </w:tabs>
    </w:pPr>
  </w:style>
  <w:style w:type="character" w:styleId="PageNumber">
    <w:name w:val="page number"/>
    <w:basedOn w:val="DefaultParagraphFont"/>
    <w:semiHidden/>
  </w:style>
  <w:style w:type="paragraph" w:styleId="TOC1">
    <w:name w:val="toc 1"/>
    <w:basedOn w:val="Normal"/>
    <w:next w:val="Normal"/>
    <w:autoRedefine/>
    <w:semiHidden/>
    <w:pPr>
      <w:tabs>
        <w:tab w:val="left" w:pos="680"/>
        <w:tab w:val="left" w:leader="dot" w:pos="8222"/>
        <w:tab w:val="right" w:pos="8789"/>
      </w:tabs>
      <w:spacing w:before="120" w:line="260" w:lineRule="exact"/>
      <w:jc w:val="right"/>
    </w:pPr>
    <w:rPr>
      <w:i/>
      <w:iCs/>
      <w:sz w:val="18"/>
    </w:rPr>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styleId="BodyTextIndent">
    <w:name w:val="Body Text Indent"/>
    <w:basedOn w:val="Normal"/>
    <w:semiHidden/>
    <w:pPr>
      <w:spacing w:before="240" w:line="480" w:lineRule="auto"/>
      <w:ind w:firstLine="708"/>
      <w:jc w:val="both"/>
    </w:pPr>
    <w:rPr>
      <w:i/>
      <w:iCs/>
    </w:rPr>
  </w:style>
  <w:style w:type="paragraph" w:styleId="BodyTextIndent3">
    <w:name w:val="Body Text Indent 3"/>
    <w:basedOn w:val="Normal"/>
    <w:semiHidden/>
    <w:pPr>
      <w:spacing w:before="240"/>
      <w:ind w:left="360" w:hanging="360"/>
      <w:jc w:val="both"/>
    </w:pPr>
    <w:rPr>
      <w:sz w:val="22"/>
    </w:rPr>
  </w:style>
  <w:style w:type="paragraph" w:styleId="Title">
    <w:name w:val="Title"/>
    <w:basedOn w:val="Normal"/>
    <w:qFormat/>
    <w:pPr>
      <w:jc w:val="center"/>
    </w:pPr>
    <w:rPr>
      <w:b/>
      <w:szCs w:val="20"/>
    </w:rPr>
  </w:style>
  <w:style w:type="paragraph" w:styleId="Subtitle">
    <w:name w:val="Subtitle"/>
    <w:basedOn w:val="Normal"/>
    <w:qFormat/>
    <w:pPr>
      <w:ind w:right="-1050"/>
      <w:jc w:val="center"/>
    </w:pPr>
    <w:rPr>
      <w:b/>
      <w:szCs w:val="20"/>
    </w:rPr>
  </w:style>
  <w:style w:type="paragraph" w:customStyle="1" w:styleId="FR2">
    <w:name w:val="FR2"/>
    <w:pPr>
      <w:widowControl w:val="0"/>
      <w:spacing w:line="260" w:lineRule="auto"/>
    </w:pPr>
    <w:rPr>
      <w:rFonts w:ascii="Arial" w:hAnsi="Arial"/>
      <w:b/>
      <w:snapToGrid w:val="0"/>
      <w:sz w:val="18"/>
      <w:lang w:val="es-ES_tradnl" w:eastAsia="ru-RU"/>
    </w:rPr>
  </w:style>
  <w:style w:type="paragraph" w:customStyle="1" w:styleId="FR1">
    <w:name w:val="FR1"/>
    <w:pPr>
      <w:widowControl w:val="0"/>
      <w:spacing w:before="180" w:line="260" w:lineRule="auto"/>
      <w:ind w:left="120"/>
      <w:jc w:val="center"/>
    </w:pPr>
    <w:rPr>
      <w:b/>
      <w:snapToGrid w:val="0"/>
      <w:sz w:val="22"/>
      <w:lang w:val="es-ES_tradnl" w:eastAsia="ru-RU"/>
    </w:rPr>
  </w:style>
  <w:style w:type="character" w:styleId="CommentReference">
    <w:name w:val="annotation reference"/>
    <w:semiHidden/>
    <w:rPr>
      <w:sz w:val="16"/>
    </w:rPr>
  </w:style>
  <w:style w:type="paragraph" w:styleId="CommentText">
    <w:name w:val="annotation text"/>
    <w:basedOn w:val="Normal"/>
    <w:semiHidden/>
    <w:rPr>
      <w:sz w:val="20"/>
    </w:rPr>
  </w:style>
  <w:style w:type="paragraph" w:customStyle="1" w:styleId="SmallX">
    <w:name w:val="SmallX"/>
    <w:basedOn w:val="Normal"/>
    <w:next w:val="Normal"/>
    <w:pPr>
      <w:tabs>
        <w:tab w:val="right" w:pos="9965"/>
      </w:tabs>
      <w:spacing w:line="180" w:lineRule="exact"/>
      <w:jc w:val="right"/>
    </w:pPr>
    <w:rPr>
      <w:spacing w:val="6"/>
      <w:w w:val="106"/>
      <w:kern w:val="14"/>
      <w:sz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image" Target="media/image2.wmf"/><Relationship Id="rId26"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footer" Target="footer9.xml"/><Relationship Id="rId7" Type="http://schemas.openxmlformats.org/officeDocument/2006/relationships/comments" Target="comments.xml"/><Relationship Id="rId12" Type="http://schemas.openxmlformats.org/officeDocument/2006/relationships/footer" Target="footer3.xml"/><Relationship Id="rId17" Type="http://schemas.openxmlformats.org/officeDocument/2006/relationships/footer" Target="footer7.xml"/><Relationship Id="rId25" Type="http://schemas.openxmlformats.org/officeDocument/2006/relationships/image" Target="media/image5.png"/><Relationship Id="rId2" Type="http://schemas.openxmlformats.org/officeDocument/2006/relationships/styles" Target="styles.xml"/><Relationship Id="rId16" Type="http://schemas.openxmlformats.org/officeDocument/2006/relationships/footer" Target="footer6.xml"/><Relationship Id="rId20" Type="http://schemas.openxmlformats.org/officeDocument/2006/relationships/footer" Target="footer8.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oter" Target="footer5.xml"/><Relationship Id="rId23" Type="http://schemas.openxmlformats.org/officeDocument/2006/relationships/oleObject" Target="embeddings/oleObject3.bin"/><Relationship Id="rId28" Type="http://schemas.openxmlformats.org/officeDocument/2006/relationships/header" Target="header5.xml"/><Relationship Id="rId10" Type="http://schemas.openxmlformats.org/officeDocument/2006/relationships/footer" Target="footer1.xml"/><Relationship Id="rId19"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image" Target="media/image3.wmf"/><Relationship Id="rId27" Type="http://schemas.openxmlformats.org/officeDocument/2006/relationships/footer" Target="footer10.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103455</Words>
  <Characters>589695</Characters>
  <Application>Microsoft Office Word</Application>
  <DocSecurity>4</DocSecurity>
  <Lines>4914</Lines>
  <Paragraphs>1179</Paragraphs>
  <ScaleCrop>false</ScaleCrop>
  <HeadingPairs>
    <vt:vector size="2" baseType="variant">
      <vt:variant>
        <vt:lpstr>Title</vt:lpstr>
      </vt:variant>
      <vt:variant>
        <vt:i4>1</vt:i4>
      </vt:variant>
    </vt:vector>
  </HeadingPairs>
  <TitlesOfParts>
    <vt:vector size="1" baseType="lpstr">
      <vt:lpstr>ВВЕДЕНИЕ</vt:lpstr>
    </vt:vector>
  </TitlesOfParts>
  <Company>home</Company>
  <LinksUpToDate>false</LinksUpToDate>
  <CharactersWithSpaces>724186</CharactersWithSpaces>
  <SharedDoc>false</SharedDoc>
  <HLinks>
    <vt:vector size="12" baseType="variant">
      <vt:variant>
        <vt:i4>1572897</vt:i4>
      </vt:variant>
      <vt:variant>
        <vt:i4>627634</vt:i4>
      </vt:variant>
      <vt:variant>
        <vt:i4>1025</vt:i4>
      </vt:variant>
      <vt:variant>
        <vt:i4>1</vt:i4>
      </vt:variant>
      <vt:variant>
        <vt:lpwstr>F_3.tif</vt:lpwstr>
      </vt:variant>
      <vt:variant>
        <vt:lpwstr/>
      </vt:variant>
      <vt:variant>
        <vt:i4>1572902</vt:i4>
      </vt:variant>
      <vt:variant>
        <vt:i4>676444</vt:i4>
      </vt:variant>
      <vt:variant>
        <vt:i4>1026</vt:i4>
      </vt:variant>
      <vt:variant>
        <vt:i4>1</vt:i4>
      </vt:variant>
      <vt:variant>
        <vt:lpwstr>F_4.tif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ВВЕДЕНИЕ</dc:title>
  <dc:subject>коста-рика</dc:subject>
  <dc:creator>aliona</dc:creator>
  <cp:keywords/>
  <dc:description/>
  <cp:lastModifiedBy>DGAACS User</cp:lastModifiedBy>
  <cp:revision>5</cp:revision>
  <cp:lastPrinted>2003-06-19T14:05:00Z</cp:lastPrinted>
  <dcterms:created xsi:type="dcterms:W3CDTF">2003-06-25T09:00:00Z</dcterms:created>
  <dcterms:modified xsi:type="dcterms:W3CDTF">2003-06-25T09:14:00Z</dcterms:modified>
</cp:coreProperties>
</file>