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6121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A1392F">
            <w:pPr>
              <w:spacing w:before="284" w:after="240"/>
            </w:pPr>
            <w:r w:rsidRPr="00A1392F">
              <w:t>CAT/C/ECU/Q/4</w:t>
            </w:r>
            <w:r>
              <w:br/>
              <w:t xml:space="preserve">17 février </w:t>
            </w:r>
            <w:r w:rsidR="00544A5C">
              <w:t>200</w:t>
            </w:r>
            <w:r w:rsidR="00415098">
              <w:t>9</w:t>
            </w:r>
          </w:p>
          <w:p w:rsidR="00544A5C" w:rsidRDefault="00544A5C">
            <w:pPr>
              <w:spacing w:before="284" w:after="240"/>
            </w:pPr>
            <w:r>
              <w:t>FRANÇAIS</w:t>
            </w:r>
            <w:r>
              <w:br/>
              <w:t xml:space="preserve">Original: </w:t>
            </w:r>
            <w:r w:rsidR="00A1392F">
              <w:t>ESPAGNOL</w:t>
            </w:r>
          </w:p>
        </w:tc>
      </w:tr>
    </w:tbl>
    <w:p w:rsidR="00544A5C" w:rsidRDefault="00544A5C" w:rsidP="00A1392F">
      <w:pPr>
        <w:spacing w:before="240"/>
      </w:pPr>
      <w:r>
        <w:t>COMITÉ CONTRE LA TORTURE</w:t>
      </w:r>
    </w:p>
    <w:p w:rsidR="00A1392F" w:rsidRPr="00E211E0" w:rsidRDefault="00A1392F" w:rsidP="00A1392F">
      <w:pPr>
        <w:spacing w:after="360"/>
      </w:pPr>
      <w:r w:rsidRPr="00E211E0">
        <w:t>Trente-neuvième session</w:t>
      </w:r>
      <w:r w:rsidRPr="00E211E0">
        <w:br/>
        <w:t>Genève, 5</w:t>
      </w:r>
      <w:r w:rsidRPr="00E211E0">
        <w:noBreakHyphen/>
        <w:t>23 novembre 2007</w:t>
      </w:r>
    </w:p>
    <w:p w:rsidR="00A1392F" w:rsidRPr="00E211E0" w:rsidRDefault="00A1392F" w:rsidP="00A1392F">
      <w:pPr>
        <w:spacing w:after="240"/>
        <w:jc w:val="center"/>
        <w:rPr>
          <w:bCs/>
        </w:rPr>
      </w:pPr>
      <w:r w:rsidRPr="00E211E0">
        <w:rPr>
          <w:b/>
          <w:bCs/>
        </w:rPr>
        <w:t xml:space="preserve">Liste de points à traiter établie avant la soumission des quatrième, cinquième </w:t>
      </w:r>
      <w:r>
        <w:rPr>
          <w:b/>
          <w:bCs/>
        </w:rPr>
        <w:br/>
      </w:r>
      <w:r w:rsidRPr="00E211E0">
        <w:rPr>
          <w:b/>
          <w:bCs/>
        </w:rPr>
        <w:t xml:space="preserve">et sixième rapports périodiques de l’Équateur, </w:t>
      </w:r>
      <w:r>
        <w:rPr>
          <w:b/>
          <w:bCs/>
        </w:rPr>
        <w:br/>
      </w:r>
      <w:r w:rsidRPr="00E211E0">
        <w:rPr>
          <w:b/>
          <w:bCs/>
        </w:rPr>
        <w:t>présentés en un seul document</w:t>
      </w:r>
      <w:r w:rsidRPr="00A1392F">
        <w:rPr>
          <w:rStyle w:val="FootnoteReference"/>
          <w:bCs/>
        </w:rPr>
        <w:footnoteReference w:customMarkFollows="1" w:id="1"/>
        <w:sym w:font="Symbol" w:char="F02A"/>
      </w:r>
    </w:p>
    <w:p w:rsidR="00A1392F" w:rsidRPr="00E211E0" w:rsidRDefault="00A1392F" w:rsidP="00A1392F">
      <w:pPr>
        <w:spacing w:after="240"/>
        <w:jc w:val="center"/>
        <w:rPr>
          <w:b/>
          <w:bCs/>
        </w:rPr>
      </w:pPr>
      <w:r w:rsidRPr="00E211E0">
        <w:rPr>
          <w:b/>
          <w:bCs/>
        </w:rPr>
        <w:t>Article premier</w:t>
      </w:r>
    </w:p>
    <w:p w:rsidR="00A1392F" w:rsidRPr="00E211E0" w:rsidRDefault="00A1392F" w:rsidP="00A1392F">
      <w:pPr>
        <w:spacing w:after="240"/>
        <w:ind w:left="567" w:hanging="567"/>
      </w:pPr>
      <w:r w:rsidRPr="00E211E0">
        <w:t>1.</w:t>
      </w:r>
      <w:r w:rsidRPr="00E211E0">
        <w:tab/>
        <w:t>Tous les actes de torture visés aux articles 1</w:t>
      </w:r>
      <w:r w:rsidRPr="00E211E0">
        <w:rPr>
          <w:vertAlign w:val="superscript"/>
        </w:rPr>
        <w:t>er</w:t>
      </w:r>
      <w:r w:rsidRPr="00E211E0">
        <w:t xml:space="preserve"> à 4 de la Convention sont</w:t>
      </w:r>
      <w:r w:rsidRPr="00E211E0">
        <w:noBreakHyphen/>
        <w:t>ils considérés comme des infractions au regard de la législation pénale (voir les précédentes conclusions et recommandations du Comité)? Indiquer si l’interdiction de la torture a fait l’objet d’une disposition expresse.</w:t>
      </w:r>
    </w:p>
    <w:p w:rsidR="00A1392F" w:rsidRPr="00E211E0" w:rsidRDefault="00A1392F" w:rsidP="00A1392F">
      <w:pPr>
        <w:keepNext/>
        <w:spacing w:after="240"/>
        <w:jc w:val="center"/>
        <w:rPr>
          <w:b/>
          <w:bCs/>
        </w:rPr>
      </w:pPr>
      <w:r w:rsidRPr="00E211E0">
        <w:rPr>
          <w:b/>
          <w:bCs/>
        </w:rPr>
        <w:t>Article 2</w:t>
      </w:r>
    </w:p>
    <w:p w:rsidR="00A1392F" w:rsidRPr="00E211E0" w:rsidRDefault="00A1392F" w:rsidP="00A1392F">
      <w:pPr>
        <w:keepNext/>
        <w:spacing w:after="240"/>
        <w:ind w:left="567" w:hanging="567"/>
        <w:rPr>
          <w:bCs/>
        </w:rPr>
      </w:pPr>
      <w:r w:rsidRPr="00E211E0">
        <w:rPr>
          <w:bCs/>
        </w:rPr>
        <w:t>2.</w:t>
      </w:r>
      <w:r>
        <w:rPr>
          <w:bCs/>
        </w:rPr>
        <w:tab/>
      </w:r>
      <w:r w:rsidRPr="00E211E0">
        <w:rPr>
          <w:bCs/>
        </w:rPr>
        <w:t>Est-il envisagé de renforcer la protection des droits de l’homme dans le cadre du processus d’élaboration de la Constitution?</w:t>
      </w:r>
    </w:p>
    <w:p w:rsidR="00A1392F" w:rsidRPr="00E211E0" w:rsidRDefault="00A1392F" w:rsidP="00A1392F">
      <w:pPr>
        <w:spacing w:after="240"/>
        <w:ind w:left="567" w:hanging="567"/>
      </w:pPr>
      <w:r w:rsidRPr="00E211E0">
        <w:rPr>
          <w:bCs/>
        </w:rPr>
        <w:t>3.</w:t>
      </w:r>
      <w:r>
        <w:rPr>
          <w:bCs/>
        </w:rPr>
        <w:tab/>
      </w:r>
      <w:r w:rsidRPr="00E211E0">
        <w:t>Quelles sont les mesures prises par l’État partie pour réduire la durée de la détention provisoire et notamment supprimer la notion de détention avant mise en accusation («detención en firme») du Code de procédure pénale</w:t>
      </w:r>
      <w:r w:rsidRPr="00E211E0">
        <w:rPr>
          <w:rStyle w:val="FootnoteReference"/>
        </w:rPr>
        <w:footnoteReference w:id="2"/>
      </w:r>
      <w:r w:rsidRPr="00E211E0">
        <w:t xml:space="preserve">? Donner des renseignements sur toute mesure éventuelle en ce sens. </w:t>
      </w:r>
    </w:p>
    <w:p w:rsidR="00A1392F" w:rsidRPr="00E211E0" w:rsidRDefault="00A1392F" w:rsidP="00A1392F">
      <w:pPr>
        <w:spacing w:after="240"/>
        <w:ind w:left="567" w:hanging="567"/>
      </w:pPr>
      <w:r w:rsidRPr="00E211E0">
        <w:t>4.</w:t>
      </w:r>
      <w:r>
        <w:tab/>
        <w:t xml:space="preserve">Donner </w:t>
      </w:r>
      <w:r w:rsidRPr="00E211E0">
        <w:t xml:space="preserve">des informations sur toutes les mesures de protection </w:t>
      </w:r>
      <w:r>
        <w:t xml:space="preserve">ordonnées </w:t>
      </w:r>
      <w:r w:rsidRPr="00E211E0">
        <w:t>par la Cour interaméricaine des droits de l’homme et la Commission interaméricaine des droits de l’homme.</w:t>
      </w:r>
    </w:p>
    <w:p w:rsidR="00A1392F" w:rsidRPr="00E211E0" w:rsidRDefault="00A1392F" w:rsidP="00A1392F">
      <w:pPr>
        <w:spacing w:after="240"/>
        <w:ind w:left="567" w:hanging="567"/>
      </w:pPr>
      <w:r w:rsidRPr="00E211E0">
        <w:t>5.</w:t>
      </w:r>
      <w:r>
        <w:tab/>
      </w:r>
      <w:r w:rsidRPr="00E211E0">
        <w:t>Donner des informations sur les normes législatives et constitutionnelles et la pratique concernant le caractère absolu (non susceptible de dérogation) de l’interdiction de la torture et autres formes de traitement cruel, inhumain ou dégradant dans les situations d’urgence. Le droit d’</w:t>
      </w:r>
      <w:r w:rsidRPr="00E211E0">
        <w:rPr>
          <w:i/>
          <w:iCs/>
        </w:rPr>
        <w:t>habeas corpus</w:t>
      </w:r>
      <w:r w:rsidRPr="00E211E0">
        <w:t xml:space="preserve"> peut</w:t>
      </w:r>
      <w:r w:rsidRPr="00E211E0">
        <w:noBreakHyphen/>
        <w:t>il être exercé dans les situations d’urgence?</w:t>
      </w:r>
    </w:p>
    <w:p w:rsidR="00A1392F" w:rsidRPr="00E211E0" w:rsidRDefault="00A1392F" w:rsidP="00A1392F">
      <w:pPr>
        <w:spacing w:after="240"/>
        <w:ind w:left="567" w:hanging="567"/>
      </w:pPr>
      <w:r w:rsidRPr="00E211E0">
        <w:t>6.</w:t>
      </w:r>
      <w:r>
        <w:tab/>
        <w:t xml:space="preserve">À propos du </w:t>
      </w:r>
      <w:r w:rsidRPr="00E211E0">
        <w:t xml:space="preserve"> projet de loi sur la défense publique élaboré par la Commission pour l’application de la réforme de la procédure pénale, indiquer comment l’indépendance de celle-ci sera garantie et comment elle collaborera avec le service du Défenseur du peuple pour traduire les responsables en justice</w:t>
      </w:r>
      <w:r w:rsidRPr="00E211E0">
        <w:rPr>
          <w:rStyle w:val="FootnoteReference"/>
        </w:rPr>
        <w:footnoteReference w:id="3"/>
      </w:r>
      <w:r w:rsidRPr="00E211E0">
        <w:t>. Préciser où en est le projet de loi</w:t>
      </w:r>
      <w:r w:rsidRPr="00E211E0">
        <w:rPr>
          <w:rStyle w:val="FootnoteReference"/>
        </w:rPr>
        <w:footnoteReference w:id="4"/>
      </w:r>
      <w:r w:rsidRPr="00E211E0">
        <w:t>.</w:t>
      </w:r>
    </w:p>
    <w:p w:rsidR="00A1392F" w:rsidRPr="00E211E0" w:rsidRDefault="00A1392F" w:rsidP="00A1392F">
      <w:pPr>
        <w:spacing w:after="240"/>
        <w:ind w:left="567" w:hanging="567"/>
      </w:pPr>
      <w:r w:rsidRPr="00E211E0">
        <w:t>7.</w:t>
      </w:r>
      <w:r>
        <w:tab/>
      </w:r>
      <w:r w:rsidRPr="00E211E0">
        <w:t xml:space="preserve">Quels types de mécanismes opérationnels efficaces ont été mis en place pour permettre aux organisations de la société civile de participer à la mise en œuvre du Plan national pour les droits de l’homme? </w:t>
      </w:r>
    </w:p>
    <w:p w:rsidR="00A1392F" w:rsidRPr="00E211E0" w:rsidRDefault="00A1392F" w:rsidP="00A1392F">
      <w:pPr>
        <w:spacing w:after="240"/>
        <w:ind w:left="567" w:hanging="567"/>
      </w:pPr>
      <w:r w:rsidRPr="00E211E0">
        <w:t>8.</w:t>
      </w:r>
      <w:r>
        <w:tab/>
      </w:r>
      <w:r w:rsidRPr="00E211E0">
        <w:t xml:space="preserve">Fournir des données statistiques détaillées sur la mise en pratique des garanties légales </w:t>
      </w:r>
      <w:r>
        <w:t xml:space="preserve">fondamentales </w:t>
      </w:r>
      <w:r w:rsidRPr="00E211E0">
        <w:t xml:space="preserve">applicables aux personnes détenues par la police, y compris leur droit de </w:t>
      </w:r>
      <w:r>
        <w:t xml:space="preserve">communiquer avec </w:t>
      </w:r>
      <w:r w:rsidRPr="00E211E0">
        <w:t>un proche, de consulter un avocat et un médecin de leur choix, et d’être informées de leurs droits pendant les interrogatoires, conformément aux précédentes conclusions et recommandations du Comité</w:t>
      </w:r>
      <w:r w:rsidRPr="00E211E0">
        <w:rPr>
          <w:rStyle w:val="FootnoteReference"/>
        </w:rPr>
        <w:footnoteReference w:id="5"/>
      </w:r>
      <w:r w:rsidRPr="00E211E0">
        <w:t>. Dans l’affirmative, expliquer s’il a été procédé à une évaluation des résultats.</w:t>
      </w:r>
    </w:p>
    <w:p w:rsidR="00A1392F" w:rsidRPr="00E211E0" w:rsidRDefault="00A1392F" w:rsidP="00A1392F">
      <w:pPr>
        <w:spacing w:after="240"/>
        <w:ind w:left="567" w:hanging="567"/>
      </w:pPr>
      <w:r w:rsidRPr="00E211E0">
        <w:t>9.</w:t>
      </w:r>
      <w:r>
        <w:tab/>
      </w:r>
      <w:r w:rsidRPr="00E211E0">
        <w:t>Fournir des données statistiques détaillées sur le droit des mineurs de bénéficier de la présence de leur représentant légal pendant les interrogatoires conformément aux conclusions et recommandations du Comité</w:t>
      </w:r>
      <w:r w:rsidRPr="00E211E0">
        <w:rPr>
          <w:rStyle w:val="FootnoteReference"/>
        </w:rPr>
        <w:footnoteReference w:id="6"/>
      </w:r>
      <w:r w:rsidR="00616485">
        <w:t>.</w:t>
      </w:r>
    </w:p>
    <w:p w:rsidR="00A1392F" w:rsidRPr="00E211E0" w:rsidRDefault="00A1392F" w:rsidP="00A1392F">
      <w:pPr>
        <w:keepNext/>
        <w:spacing w:after="240"/>
        <w:jc w:val="center"/>
      </w:pPr>
      <w:r w:rsidRPr="00E211E0">
        <w:rPr>
          <w:b/>
          <w:bCs/>
        </w:rPr>
        <w:t>Article 3</w:t>
      </w:r>
    </w:p>
    <w:p w:rsidR="00A1392F" w:rsidRPr="00E211E0" w:rsidRDefault="00A1392F" w:rsidP="005A2733">
      <w:pPr>
        <w:spacing w:after="240"/>
        <w:ind w:left="567" w:hanging="567"/>
      </w:pPr>
      <w:r w:rsidRPr="00E211E0">
        <w:t>10.</w:t>
      </w:r>
      <w:r w:rsidRPr="00E211E0">
        <w:tab/>
        <w:t>Donner des informations sur l’application de l’article 3 de la Convention dans des cas d’expulsion, de refoulement ou de renvoi d’étrangers, en indiquant en particulier:</w:t>
      </w:r>
    </w:p>
    <w:p w:rsidR="00A1392F" w:rsidRPr="00E211E0" w:rsidRDefault="00A1392F" w:rsidP="009D1114">
      <w:pPr>
        <w:spacing w:after="240"/>
        <w:ind w:left="1134" w:hanging="567"/>
      </w:pPr>
      <w:r w:rsidRPr="00E211E0">
        <w:t>a)</w:t>
      </w:r>
      <w:r w:rsidRPr="00E211E0">
        <w:tab/>
        <w:t>Le nombre de personnes qui ont demandé l’asile et le nombre de personnes qui ont été renvoyées;</w:t>
      </w:r>
    </w:p>
    <w:p w:rsidR="00A1392F" w:rsidRPr="00E211E0" w:rsidRDefault="00A1392F" w:rsidP="009D1114">
      <w:pPr>
        <w:spacing w:after="240"/>
        <w:ind w:left="1134" w:hanging="567"/>
      </w:pPr>
      <w:r w:rsidRPr="00E211E0">
        <w:t>b)</w:t>
      </w:r>
      <w:r w:rsidRPr="00E211E0">
        <w:tab/>
        <w:t>Si le risque probable de torture est évalué dans le cadre de l’examen des demandes et des procédures de recours et comment il est évalué;</w:t>
      </w:r>
    </w:p>
    <w:p w:rsidR="00A1392F" w:rsidRPr="00E211E0" w:rsidRDefault="00A1392F" w:rsidP="009D1114">
      <w:pPr>
        <w:spacing w:after="240"/>
        <w:ind w:left="567"/>
      </w:pPr>
      <w:r w:rsidRPr="00E211E0">
        <w:t>c)</w:t>
      </w:r>
      <w:r w:rsidRPr="00E211E0">
        <w:tab/>
        <w:t>La procédure suivie pour l’examen des demandes d’asile présentées à la frontière.</w:t>
      </w:r>
    </w:p>
    <w:p w:rsidR="00A1392F" w:rsidRPr="00E211E0" w:rsidRDefault="00A1392F" w:rsidP="005A2733">
      <w:pPr>
        <w:spacing w:after="240"/>
        <w:ind w:left="567" w:hanging="567"/>
      </w:pPr>
      <w:r w:rsidRPr="00E211E0">
        <w:t>11.</w:t>
      </w:r>
      <w:r w:rsidRPr="00E211E0">
        <w:tab/>
        <w:t>Indiquer quelles mesures administratives spécifiques ont été mises en place dans les commissariats de police de l’État partie pour garantir le respect d’une procédure régulière pendant l’expulsion, en particulier le droit à la défense, la présence d’</w:t>
      </w:r>
      <w:r w:rsidR="005A2733">
        <w:t>un agent diplomatique du </w:t>
      </w:r>
      <w:r w:rsidRPr="00E211E0">
        <w:t>pays de la personne détenue et, dans le cas des réfugiés, la présence de personnel du Haut</w:t>
      </w:r>
      <w:r w:rsidRPr="00E211E0">
        <w:noBreakHyphen/>
        <w:t xml:space="preserve">Commissariat </w:t>
      </w:r>
      <w:r>
        <w:t xml:space="preserve">des </w:t>
      </w:r>
      <w:r>
        <w:rPr>
          <w:rFonts w:eastAsia="MS Mincho"/>
        </w:rPr>
        <w:t>Nations Unies</w:t>
      </w:r>
      <w:r>
        <w:t xml:space="preserve"> </w:t>
      </w:r>
      <w:r w:rsidRPr="00E211E0">
        <w:t>pour les réfugiés, conformément au paragraphe 20 des précédentes conclusions et recommandations du Comité.</w:t>
      </w:r>
    </w:p>
    <w:p w:rsidR="00A1392F" w:rsidRPr="00E211E0" w:rsidRDefault="00A1392F" w:rsidP="00A1392F">
      <w:pPr>
        <w:spacing w:after="240"/>
        <w:ind w:left="567" w:hanging="567"/>
      </w:pPr>
      <w:r w:rsidRPr="00E211E0">
        <w:t>12.</w:t>
      </w:r>
      <w:r w:rsidRPr="00E211E0">
        <w:tab/>
        <w:t>Indiquer si les policiers et les fonctionnaires de l’administration chargés des procédures</w:t>
      </w:r>
      <w:r>
        <w:t xml:space="preserve"> </w:t>
      </w:r>
      <w:r w:rsidRPr="00E211E0">
        <w:t xml:space="preserve">d’expulsion ont </w:t>
      </w:r>
      <w:r>
        <w:t xml:space="preserve">reçu </w:t>
      </w:r>
      <w:r w:rsidR="0047496A">
        <w:t>une formation sur le</w:t>
      </w:r>
      <w:r w:rsidRPr="00E211E0">
        <w:t xml:space="preserve"> droit international des réfugiés, et en particulier sur la teneur et la portée du principe de non-refoulement.</w:t>
      </w:r>
    </w:p>
    <w:p w:rsidR="00A1392F" w:rsidRPr="00E211E0" w:rsidRDefault="00A1392F" w:rsidP="00A1392F">
      <w:pPr>
        <w:spacing w:after="240"/>
        <w:ind w:left="567" w:hanging="567"/>
      </w:pPr>
      <w:r w:rsidRPr="00E211E0">
        <w:t>13.</w:t>
      </w:r>
      <w:r w:rsidRPr="00E211E0">
        <w:tab/>
        <w:t xml:space="preserve">Fournir les statistiques officielles les plus récentes sur le nombre de demandes d’asile et de </w:t>
      </w:r>
      <w:r w:rsidR="0047496A">
        <w:t>demandes de statut de réfugié</w:t>
      </w:r>
      <w:r w:rsidRPr="00E211E0">
        <w:t>, en indiquant également le nombre de personnes à qui le statut de réfugié a été accordé et à qui il a été refusé.</w:t>
      </w:r>
    </w:p>
    <w:p w:rsidR="00A1392F" w:rsidRPr="00E211E0" w:rsidRDefault="00A1392F" w:rsidP="0047496A">
      <w:pPr>
        <w:keepNext/>
        <w:spacing w:after="240"/>
        <w:jc w:val="center"/>
        <w:rPr>
          <w:b/>
          <w:bCs/>
        </w:rPr>
      </w:pPr>
      <w:r w:rsidRPr="00E211E0">
        <w:rPr>
          <w:b/>
          <w:bCs/>
        </w:rPr>
        <w:t>Articles 4 et 6</w:t>
      </w:r>
    </w:p>
    <w:p w:rsidR="00A1392F" w:rsidRPr="00E211E0" w:rsidRDefault="00A1392F" w:rsidP="005A2733">
      <w:pPr>
        <w:spacing w:after="240"/>
        <w:ind w:left="567" w:hanging="567"/>
      </w:pPr>
      <w:r w:rsidRPr="00E211E0">
        <w:t>14.</w:t>
      </w:r>
      <w:r w:rsidRPr="00E211E0">
        <w:tab/>
        <w:t>Donner des renseignements sur les mesures prises par l’État partie pour qualifier de délit dans sa juridiction les actes constitutifs de torture.</w:t>
      </w:r>
    </w:p>
    <w:p w:rsidR="00A1392F" w:rsidRPr="00E211E0" w:rsidRDefault="00A1392F" w:rsidP="0047496A">
      <w:pPr>
        <w:keepNext/>
        <w:spacing w:after="240"/>
        <w:jc w:val="center"/>
      </w:pPr>
      <w:r w:rsidRPr="00E211E0">
        <w:rPr>
          <w:b/>
          <w:bCs/>
        </w:rPr>
        <w:t>Article 10</w:t>
      </w:r>
    </w:p>
    <w:p w:rsidR="00A1392F" w:rsidRPr="00E211E0" w:rsidRDefault="00A1392F" w:rsidP="005A2733">
      <w:pPr>
        <w:spacing w:after="240"/>
        <w:ind w:left="567" w:hanging="567"/>
      </w:pPr>
      <w:r w:rsidRPr="00E211E0">
        <w:t>15.</w:t>
      </w:r>
      <w:r w:rsidRPr="00E211E0">
        <w:tab/>
        <w:t xml:space="preserve">Comme suite aux précédentes conclusions et recommandations du Comité (par. 22) et aux nombreuses observations formulées par l’État partie, </w:t>
      </w:r>
      <w:r w:rsidR="0047496A">
        <w:t xml:space="preserve">donner </w:t>
      </w:r>
      <w:r w:rsidRPr="00E211E0">
        <w:t>des renseignements plus détaillés sur le</w:t>
      </w:r>
      <w:r w:rsidR="0047496A">
        <w:t>s</w:t>
      </w:r>
      <w:r w:rsidRPr="00E211E0">
        <w:t xml:space="preserve"> activités de formation </w:t>
      </w:r>
      <w:r w:rsidR="0047496A">
        <w:t xml:space="preserve">organisées </w:t>
      </w:r>
      <w:r w:rsidRPr="00E211E0">
        <w:t xml:space="preserve">et indiquer dans quelle mesure elles ont contribué à améliorer dans la pratique le comportement des agents des forces de l’ordre. Donner des renseignements sur les activités de formation </w:t>
      </w:r>
      <w:r w:rsidR="0047496A">
        <w:t xml:space="preserve">organisées </w:t>
      </w:r>
      <w:r w:rsidRPr="00E211E0">
        <w:t>dans des domaines tels que les techniques d’enquête non coercitives et, le cas échéant, sur les mécanismes de contrôle et d’évaluation utilisés pour évaluer l’utilité de ces programmes.</w:t>
      </w:r>
    </w:p>
    <w:p w:rsidR="00A1392F" w:rsidRPr="00E211E0" w:rsidRDefault="00A1392F" w:rsidP="0047496A">
      <w:pPr>
        <w:keepNext/>
        <w:spacing w:after="240"/>
        <w:jc w:val="center"/>
      </w:pPr>
      <w:r w:rsidRPr="00E211E0">
        <w:rPr>
          <w:b/>
          <w:bCs/>
        </w:rPr>
        <w:t>Article 11</w:t>
      </w:r>
    </w:p>
    <w:p w:rsidR="00A1392F" w:rsidRPr="00E211E0" w:rsidRDefault="00A1392F" w:rsidP="005A2733">
      <w:pPr>
        <w:spacing w:after="240"/>
        <w:ind w:left="567" w:hanging="567"/>
      </w:pPr>
      <w:r w:rsidRPr="00E211E0">
        <w:t>16.</w:t>
      </w:r>
      <w:r w:rsidRPr="00E211E0">
        <w:tab/>
      </w:r>
      <w:r w:rsidR="0047496A">
        <w:t>Donner</w:t>
      </w:r>
      <w:r w:rsidRPr="00E211E0">
        <w:t xml:space="preserve"> des informations sur les mesures prises par l’État partie pour appliquer la recommandation du Comité</w:t>
      </w:r>
      <w:r w:rsidRPr="00E211E0">
        <w:rPr>
          <w:rStyle w:val="FootnoteReference"/>
        </w:rPr>
        <w:footnoteReference w:id="7"/>
      </w:r>
      <w:r w:rsidRPr="00E211E0">
        <w:t xml:space="preserve"> </w:t>
      </w:r>
      <w:r w:rsidR="0047496A">
        <w:t xml:space="preserve">tendant à </w:t>
      </w:r>
      <w:r w:rsidRPr="00E211E0">
        <w:t>améliorer les conditions matérielles dans les établissements pénitentiaires, en particulier grâce à la présence de personnel médical indépendant et qualifié chargé d’examiner les détenus à intervalles réguliers.</w:t>
      </w:r>
    </w:p>
    <w:p w:rsidR="00A1392F" w:rsidRPr="00E211E0" w:rsidRDefault="00A1392F" w:rsidP="005A2733">
      <w:pPr>
        <w:spacing w:after="240"/>
        <w:ind w:left="567" w:hanging="567"/>
      </w:pPr>
      <w:r w:rsidRPr="00E211E0">
        <w:t>17.</w:t>
      </w:r>
      <w:r w:rsidRPr="00E211E0">
        <w:tab/>
      </w:r>
      <w:r w:rsidR="0047496A">
        <w:t xml:space="preserve">Expliquer quels ont été les résultats </w:t>
      </w:r>
      <w:r w:rsidRPr="00E211E0">
        <w:t>des efforts visant à réduire le surpeuplement dans les établissements pénitentiaires</w:t>
      </w:r>
      <w:r w:rsidRPr="00E211E0">
        <w:rPr>
          <w:rStyle w:val="FootnoteReference"/>
        </w:rPr>
        <w:footnoteReference w:id="8"/>
      </w:r>
      <w:r w:rsidRPr="00E211E0">
        <w:t>.</w:t>
      </w:r>
    </w:p>
    <w:p w:rsidR="00A1392F" w:rsidRPr="00E211E0" w:rsidRDefault="00A1392F" w:rsidP="00A1392F">
      <w:pPr>
        <w:keepNext/>
        <w:keepLines/>
        <w:spacing w:after="240"/>
        <w:ind w:left="567" w:hanging="567"/>
      </w:pPr>
      <w:r w:rsidRPr="00E211E0">
        <w:t>18.</w:t>
      </w:r>
      <w:r>
        <w:tab/>
      </w:r>
      <w:r w:rsidR="0047496A">
        <w:t>Exposer en détail</w:t>
      </w:r>
      <w:r w:rsidRPr="00E211E0">
        <w:t xml:space="preserve"> les mesures prises pour donner suite aux plaintes de particuliers relatives à des violations des droits de l’homme dans le système pénitentiaire</w:t>
      </w:r>
      <w:r w:rsidRPr="00E211E0">
        <w:rPr>
          <w:rStyle w:val="FootnoteReference"/>
        </w:rPr>
        <w:footnoteReference w:id="9"/>
      </w:r>
      <w:r w:rsidRPr="00E211E0">
        <w:t xml:space="preserve">. Indiquer si le Plan opérationnel a été mis en œuvre et préciser quels résultats ont été obtenus. </w:t>
      </w:r>
    </w:p>
    <w:p w:rsidR="00A1392F" w:rsidRPr="00E211E0" w:rsidRDefault="00A1392F" w:rsidP="00A1392F">
      <w:pPr>
        <w:keepNext/>
        <w:keepLines/>
        <w:spacing w:after="240"/>
        <w:ind w:left="567" w:hanging="567"/>
      </w:pPr>
      <w:r w:rsidRPr="00E211E0">
        <w:t>19.</w:t>
      </w:r>
      <w:r>
        <w:tab/>
      </w:r>
      <w:r w:rsidR="0047496A">
        <w:t>Donner des</w:t>
      </w:r>
      <w:r w:rsidRPr="00E211E0">
        <w:t xml:space="preserve"> renseignements sur le mandat et les fonctions de l</w:t>
      </w:r>
      <w:r w:rsidR="0047496A">
        <w:t xml:space="preserve">a </w:t>
      </w:r>
      <w:r w:rsidRPr="00E211E0">
        <w:t>«</w:t>
      </w:r>
      <w:r w:rsidRPr="00616485">
        <w:t>Unidad transitoria de Gestión</w:t>
      </w:r>
      <w:r w:rsidRPr="00E211E0">
        <w:t>», notamment sur les ressources humaines et financières dont elle est dotée et sur les résultats obtenus jusqu’</w:t>
      </w:r>
      <w:r w:rsidR="0047496A">
        <w:t>ici</w:t>
      </w:r>
      <w:r w:rsidRPr="00E211E0">
        <w:t xml:space="preserve">. </w:t>
      </w:r>
    </w:p>
    <w:p w:rsidR="00A1392F" w:rsidRPr="00E211E0" w:rsidRDefault="00A1392F" w:rsidP="00A1392F">
      <w:pPr>
        <w:spacing w:after="240"/>
        <w:ind w:left="567" w:hanging="567"/>
      </w:pPr>
      <w:r w:rsidRPr="00E211E0">
        <w:t>20.</w:t>
      </w:r>
      <w:r>
        <w:tab/>
      </w:r>
      <w:r w:rsidR="0047496A">
        <w:t xml:space="preserve">En ce qui concerne </w:t>
      </w:r>
      <w:r w:rsidRPr="00E211E0">
        <w:t>les enquêtes relatives à des plaintes pour des actes de torture commis contre des femmes entre 2001 et 2003</w:t>
      </w:r>
      <w:r w:rsidRPr="00E211E0">
        <w:rPr>
          <w:rStyle w:val="FootnoteReference"/>
        </w:rPr>
        <w:footnoteReference w:id="10"/>
      </w:r>
      <w:r w:rsidR="0047496A">
        <w:t xml:space="preserve"> que l’État partie a mentionnées</w:t>
      </w:r>
      <w:r w:rsidRPr="00E211E0">
        <w:t xml:space="preserve">, indiquer quels </w:t>
      </w:r>
      <w:r w:rsidR="0047496A">
        <w:t xml:space="preserve">en </w:t>
      </w:r>
      <w:r w:rsidRPr="00E211E0">
        <w:t xml:space="preserve">ont </w:t>
      </w:r>
      <w:r w:rsidR="0047496A">
        <w:t>été les résultats</w:t>
      </w:r>
      <w:r w:rsidRPr="00E211E0">
        <w:t xml:space="preserve">, en particulier </w:t>
      </w:r>
      <w:r w:rsidR="0047496A">
        <w:t xml:space="preserve">pour les </w:t>
      </w:r>
      <w:r w:rsidRPr="00E211E0">
        <w:t>affaires de délits sexuels et de violence dans la famille.</w:t>
      </w:r>
    </w:p>
    <w:p w:rsidR="00A1392F" w:rsidRPr="00E211E0" w:rsidRDefault="00A1392F" w:rsidP="00A1392F">
      <w:pPr>
        <w:spacing w:after="240"/>
        <w:ind w:left="567" w:hanging="567"/>
      </w:pPr>
      <w:r w:rsidRPr="00E211E0">
        <w:t>21.</w:t>
      </w:r>
      <w:r>
        <w:tab/>
      </w:r>
      <w:r w:rsidRPr="00E211E0">
        <w:t>Préciser quelle est la proportion de femmes dans les unités spécialisées dans les délits sexuels et la violence dans la famille créées par le service du Procureur général de l’État.</w:t>
      </w:r>
    </w:p>
    <w:p w:rsidR="00A1392F" w:rsidRPr="00E211E0" w:rsidRDefault="00A1392F" w:rsidP="00A1392F">
      <w:pPr>
        <w:spacing w:after="240"/>
        <w:ind w:left="567" w:hanging="567"/>
      </w:pPr>
      <w:r w:rsidRPr="00E211E0">
        <w:t>22.</w:t>
      </w:r>
      <w:r>
        <w:tab/>
      </w:r>
      <w:r w:rsidRPr="00E211E0">
        <w:t>Donner des informations sur les conditions que doivent remplir les organisations non gouvernementales et les défenseurs des droits de l’homme pour pouvoir effectuer des visites dans des lieux de détention.</w:t>
      </w:r>
    </w:p>
    <w:p w:rsidR="00A1392F" w:rsidRPr="00E211E0" w:rsidRDefault="00A1392F" w:rsidP="00A1392F">
      <w:pPr>
        <w:keepNext/>
        <w:spacing w:after="240"/>
        <w:ind w:left="567" w:hanging="567"/>
        <w:jc w:val="center"/>
        <w:rPr>
          <w:b/>
          <w:bCs/>
        </w:rPr>
      </w:pPr>
      <w:r w:rsidRPr="00E211E0">
        <w:rPr>
          <w:b/>
          <w:bCs/>
        </w:rPr>
        <w:t>Articles 12 et 13</w:t>
      </w:r>
    </w:p>
    <w:p w:rsidR="00A1392F" w:rsidRPr="00E211E0" w:rsidRDefault="00A1392F" w:rsidP="00A1392F">
      <w:pPr>
        <w:spacing w:after="240"/>
        <w:ind w:left="567" w:hanging="567"/>
      </w:pPr>
      <w:r w:rsidRPr="00E211E0">
        <w:t>23.</w:t>
      </w:r>
      <w:r>
        <w:tab/>
      </w:r>
      <w:r w:rsidRPr="00E211E0">
        <w:t xml:space="preserve">Indiquer si les plaintes pour usage excessif de la force de la part des agents des forces de l’ordre pendant les enquêtes pénales ont fait l’objet </w:t>
      </w:r>
      <w:r w:rsidR="0047496A">
        <w:t>d’investigations</w:t>
      </w:r>
      <w:r w:rsidRPr="00E211E0">
        <w:t xml:space="preserve">. Préciser combien de personnes ont été poursuivies en justice et combien de condamnations ont été prononcées. </w:t>
      </w:r>
      <w:r w:rsidR="0047496A">
        <w:t xml:space="preserve">Indiquer </w:t>
      </w:r>
      <w:r w:rsidRPr="00E211E0">
        <w:t xml:space="preserve">le grade des personnes reconnues coupables et </w:t>
      </w:r>
      <w:r w:rsidR="0047496A">
        <w:t>si les peines ont été exécutées</w:t>
      </w:r>
      <w:r w:rsidRPr="00E211E0">
        <w:t xml:space="preserve">. </w:t>
      </w:r>
    </w:p>
    <w:p w:rsidR="00A1392F" w:rsidRPr="00E211E0" w:rsidRDefault="00A1392F" w:rsidP="00A1392F">
      <w:pPr>
        <w:spacing w:after="240"/>
        <w:ind w:left="567" w:hanging="567"/>
      </w:pPr>
      <w:r w:rsidRPr="00E211E0">
        <w:t>24.</w:t>
      </w:r>
      <w:r>
        <w:tab/>
      </w:r>
      <w:r w:rsidRPr="00E211E0">
        <w:t xml:space="preserve">Concernant l’observation faite par le Comité </w:t>
      </w:r>
      <w:r w:rsidR="0047496A">
        <w:t xml:space="preserve">qui affirme que </w:t>
      </w:r>
      <w:r w:rsidRPr="00E211E0">
        <w:t>l’existence et les activités des juridictions militaires et policières ne sont pas compatibles avec les instruments internationaux auxquels l’Équateur est partie</w:t>
      </w:r>
      <w:r w:rsidR="0047496A">
        <w:t xml:space="preserve">, du fait </w:t>
      </w:r>
      <w:r w:rsidRPr="00E211E0">
        <w:t xml:space="preserve">de leurs compétences parfois excessives, </w:t>
      </w:r>
      <w:r w:rsidR="0047496A">
        <w:t xml:space="preserve">expliquer </w:t>
      </w:r>
      <w:r w:rsidRPr="00E211E0">
        <w:t>comment l’État partie veille au renforcement des tribunaux ordinaires</w:t>
      </w:r>
      <w:r w:rsidRPr="00E211E0">
        <w:rPr>
          <w:rStyle w:val="FootnoteReference"/>
        </w:rPr>
        <w:footnoteReference w:id="11"/>
      </w:r>
      <w:r w:rsidRPr="00E211E0">
        <w:t xml:space="preserve"> afin de garantir le plein exercice de leur compétence et</w:t>
      </w:r>
      <w:r w:rsidR="0047496A">
        <w:t xml:space="preserve"> donner </w:t>
      </w:r>
      <w:r w:rsidRPr="00E211E0">
        <w:t>notamment</w:t>
      </w:r>
      <w:r w:rsidR="0047496A">
        <w:t xml:space="preserve"> des précisions sur les </w:t>
      </w:r>
      <w:r w:rsidRPr="00E211E0">
        <w:t>ressources humaines, matérielles et financières</w:t>
      </w:r>
      <w:r w:rsidR="0047496A">
        <w:t xml:space="preserve"> allouées</w:t>
      </w:r>
      <w:r w:rsidRPr="00E211E0">
        <w:t>. Fournir également des informations sur les attributions précises de ces juridictions et sur la façon dont elles ont été interprétées. Préciser si la compétence des juridictions militaires ou policières se limite aux actes commis par des militaires ou par des policiers dans l’exercice de leurs fonctions.</w:t>
      </w:r>
    </w:p>
    <w:p w:rsidR="00A1392F" w:rsidRPr="00E211E0" w:rsidRDefault="00A1392F" w:rsidP="00A1392F">
      <w:pPr>
        <w:spacing w:after="240"/>
        <w:ind w:left="567" w:hanging="567"/>
      </w:pPr>
      <w:r w:rsidRPr="00E211E0">
        <w:t>25.</w:t>
      </w:r>
      <w:r>
        <w:tab/>
      </w:r>
      <w:r w:rsidRPr="00E211E0">
        <w:t xml:space="preserve">Donner des informations sur le statut actuel de la loi de 2007 sur la défense nationale, en ce qui concerne la réforme des juridictions militaires.  </w:t>
      </w:r>
    </w:p>
    <w:p w:rsidR="00A1392F" w:rsidRPr="00E211E0" w:rsidRDefault="00A1392F" w:rsidP="00A1392F">
      <w:pPr>
        <w:spacing w:after="240"/>
        <w:ind w:left="567" w:hanging="567"/>
      </w:pPr>
      <w:r w:rsidRPr="00E211E0">
        <w:t>26.</w:t>
      </w:r>
      <w:r>
        <w:tab/>
      </w:r>
      <w:r w:rsidRPr="00E211E0">
        <w:t xml:space="preserve">Donner des renseignements sur les plaintes pour torture ou mauvais traitement reçues après 2003 et sur les mesures prises par l’État partie pour enquêter comme il convient sur les responsables présumés d’actes de torture et de mauvais traitements commis contre des </w:t>
      </w:r>
      <w:r w:rsidR="0047496A">
        <w:t xml:space="preserve">femmes et des personnes appartenant à des minorités </w:t>
      </w:r>
      <w:r w:rsidRPr="00E211E0">
        <w:t>ainsi que sur le traitement réservé aux défenseurs des droits de l’homme et sur les affaires de violence</w:t>
      </w:r>
      <w:r w:rsidR="00BF0AD0">
        <w:t xml:space="preserve"> dans la famille</w:t>
      </w:r>
      <w:r w:rsidRPr="00E211E0">
        <w:t>. Indiquer le nombre de poursuites pénales engagées, de condamnations prononcées et de peines appliquées.</w:t>
      </w:r>
    </w:p>
    <w:p w:rsidR="00A1392F" w:rsidRPr="00E211E0" w:rsidRDefault="00A1392F" w:rsidP="00A1392F">
      <w:pPr>
        <w:spacing w:after="240"/>
        <w:ind w:left="567" w:hanging="567"/>
      </w:pPr>
      <w:r w:rsidRPr="00E211E0">
        <w:t>27.</w:t>
      </w:r>
      <w:r>
        <w:tab/>
      </w:r>
      <w:r w:rsidRPr="00E211E0">
        <w:t xml:space="preserve">Indiquer </w:t>
      </w:r>
      <w:r w:rsidR="00BF0AD0">
        <w:t>les</w:t>
      </w:r>
      <w:r w:rsidRPr="00E211E0">
        <w:t xml:space="preserve"> mesures </w:t>
      </w:r>
      <w:r w:rsidR="00BF0AD0">
        <w:t xml:space="preserve">concrètes qui </w:t>
      </w:r>
      <w:r w:rsidRPr="00E211E0">
        <w:t xml:space="preserve">ont été prises pour remédier à la lenteur </w:t>
      </w:r>
      <w:r w:rsidR="00BF0AD0">
        <w:t xml:space="preserve">de la justice </w:t>
      </w:r>
      <w:r w:rsidRPr="00E211E0">
        <w:t xml:space="preserve">et au retard avec lesquels les affaires sont </w:t>
      </w:r>
      <w:r w:rsidR="00BF0AD0">
        <w:t>jugées</w:t>
      </w:r>
      <w:r w:rsidRPr="00E211E0">
        <w:t xml:space="preserve">, problème </w:t>
      </w:r>
      <w:r w:rsidR="00BF0AD0">
        <w:t xml:space="preserve">que le Comité avait relevé dans les </w:t>
      </w:r>
      <w:r w:rsidRPr="00E211E0">
        <w:t xml:space="preserve">précédentes conclusions et recommandations </w:t>
      </w:r>
      <w:r w:rsidR="00BF0AD0">
        <w:t>(par. 18)</w:t>
      </w:r>
      <w:r w:rsidRPr="00E211E0">
        <w:t>.</w:t>
      </w:r>
    </w:p>
    <w:p w:rsidR="00A1392F" w:rsidRPr="00E211E0" w:rsidRDefault="00A1392F" w:rsidP="00BF0AD0">
      <w:pPr>
        <w:keepNext/>
        <w:spacing w:after="240"/>
        <w:ind w:left="567" w:hanging="567"/>
        <w:jc w:val="center"/>
        <w:rPr>
          <w:b/>
          <w:bCs/>
        </w:rPr>
      </w:pPr>
      <w:r w:rsidRPr="00E211E0">
        <w:rPr>
          <w:b/>
          <w:bCs/>
        </w:rPr>
        <w:t>Article 14</w:t>
      </w:r>
    </w:p>
    <w:p w:rsidR="00A1392F" w:rsidRPr="00E211E0" w:rsidRDefault="00A1392F" w:rsidP="00A1392F">
      <w:pPr>
        <w:spacing w:after="240"/>
        <w:ind w:left="567" w:hanging="567"/>
      </w:pPr>
      <w:r w:rsidRPr="00E211E0">
        <w:t>28.</w:t>
      </w:r>
      <w:r>
        <w:tab/>
      </w:r>
      <w:r w:rsidRPr="00E211E0">
        <w:t xml:space="preserve">Décrire les mesures prises pour indemniser les victimes d’actes de torture, leur </w:t>
      </w:r>
      <w:r w:rsidR="00BF0AD0">
        <w:t>assurer une réparation et leur offrir des services de réadaptation</w:t>
      </w:r>
      <w:r w:rsidRPr="00E211E0">
        <w:rPr>
          <w:rStyle w:val="FootnoteReference"/>
        </w:rPr>
        <w:footnoteReference w:id="12"/>
      </w:r>
      <w:r w:rsidRPr="00E211E0">
        <w:t xml:space="preserve">, y compris pour </w:t>
      </w:r>
      <w:r w:rsidR="00BF0AD0">
        <w:t xml:space="preserve">établir </w:t>
      </w:r>
      <w:r w:rsidRPr="00E211E0">
        <w:t>un cadre normatif  applicable à la réparation des actes de torture. Quels types de programmes complets de soins et d’</w:t>
      </w:r>
      <w:r w:rsidR="00BF0AD0">
        <w:t xml:space="preserve">assistance </w:t>
      </w:r>
      <w:r w:rsidRPr="00E211E0">
        <w:t xml:space="preserve">aux victimes ont été conçus et mis en œuvre? </w:t>
      </w:r>
    </w:p>
    <w:p w:rsidR="00A1392F" w:rsidRPr="00E211E0" w:rsidRDefault="00A1392F" w:rsidP="00A1392F">
      <w:pPr>
        <w:spacing w:after="240"/>
        <w:ind w:left="567" w:hanging="567"/>
      </w:pPr>
      <w:r w:rsidRPr="00E211E0">
        <w:t>29.</w:t>
      </w:r>
      <w:r>
        <w:tab/>
      </w:r>
      <w:r w:rsidRPr="00E211E0">
        <w:rPr>
          <w:rFonts w:eastAsia="MS Mincho"/>
        </w:rPr>
        <w:t>En ce qui concerne</w:t>
      </w:r>
      <w:r w:rsidRPr="00E211E0">
        <w:t xml:space="preserve"> les règlements amiables dans les affaires de torture et de mauvais traitements, indiquer </w:t>
      </w:r>
      <w:r w:rsidR="00BF0AD0">
        <w:t xml:space="preserve">les </w:t>
      </w:r>
      <w:r w:rsidRPr="00E211E0">
        <w:t xml:space="preserve">mesures </w:t>
      </w:r>
      <w:r w:rsidR="00BF0AD0">
        <w:t xml:space="preserve">qui </w:t>
      </w:r>
      <w:r w:rsidRPr="00E211E0">
        <w:t xml:space="preserve">ont été prises pour </w:t>
      </w:r>
      <w:r w:rsidR="00BF0AD0">
        <w:t xml:space="preserve">garantir </w:t>
      </w:r>
      <w:r w:rsidRPr="00E211E0">
        <w:t>que les responsables présumés répondent de leurs actes, et de quelle manière</w:t>
      </w:r>
      <w:r w:rsidR="00BF0AD0">
        <w:t xml:space="preserve">, en donnant </w:t>
      </w:r>
      <w:r w:rsidRPr="00E211E0">
        <w:t>des détails sur la nature des affaires et les mesures prises contre les responsables présumés.</w:t>
      </w:r>
    </w:p>
    <w:p w:rsidR="00A1392F" w:rsidRPr="00E211E0" w:rsidRDefault="00A1392F" w:rsidP="00A1392F">
      <w:pPr>
        <w:spacing w:after="240"/>
        <w:ind w:left="567" w:hanging="567"/>
      </w:pPr>
      <w:r w:rsidRPr="00E211E0">
        <w:t>30.</w:t>
      </w:r>
      <w:r>
        <w:tab/>
      </w:r>
      <w:r w:rsidR="00BF0AD0">
        <w:t xml:space="preserve">Expliquer comment il est donné suite aux rapports et aux </w:t>
      </w:r>
      <w:r w:rsidRPr="00E211E0">
        <w:t>décisions de la Cour interaméricaine des droits de l’homme et de la Commission interaméricaine des droits de l’homme.</w:t>
      </w:r>
    </w:p>
    <w:p w:rsidR="00A1392F" w:rsidRPr="00E211E0" w:rsidRDefault="00A1392F" w:rsidP="00A1392F">
      <w:pPr>
        <w:keepNext/>
        <w:spacing w:after="240"/>
        <w:jc w:val="center"/>
        <w:rPr>
          <w:b/>
          <w:bCs/>
        </w:rPr>
      </w:pPr>
      <w:r w:rsidRPr="00E211E0">
        <w:rPr>
          <w:b/>
          <w:bCs/>
        </w:rPr>
        <w:t>Article 16</w:t>
      </w:r>
    </w:p>
    <w:p w:rsidR="00A1392F" w:rsidRPr="00E211E0" w:rsidRDefault="00A1392F" w:rsidP="00A1392F">
      <w:pPr>
        <w:spacing w:after="240"/>
        <w:ind w:left="567" w:hanging="567"/>
        <w:rPr>
          <w:rFonts w:eastAsia="MS Mincho"/>
        </w:rPr>
      </w:pPr>
      <w:r w:rsidRPr="00E211E0">
        <w:t>31.</w:t>
      </w:r>
      <w:r>
        <w:tab/>
      </w:r>
      <w:r w:rsidRPr="00E211E0">
        <w:t xml:space="preserve">Concernant les difficultés concrètes </w:t>
      </w:r>
      <w:r w:rsidRPr="00E211E0">
        <w:rPr>
          <w:rFonts w:eastAsia="MS Mincho"/>
        </w:rPr>
        <w:t>rencontrées pour traduire en justice les auteurs présumés d’actes de torture et de mauvais traitements</w:t>
      </w:r>
      <w:r w:rsidR="00BF0AD0">
        <w:rPr>
          <w:rFonts w:eastAsia="MS Mincho"/>
        </w:rPr>
        <w:t xml:space="preserve"> que l’État partie signale </w:t>
      </w:r>
      <w:r w:rsidRPr="00E211E0">
        <w:rPr>
          <w:rFonts w:eastAsia="MS Mincho"/>
        </w:rPr>
        <w:t>dans ses observations</w:t>
      </w:r>
      <w:r w:rsidRPr="00E211E0">
        <w:rPr>
          <w:rStyle w:val="FootnoteReference"/>
          <w:rFonts w:eastAsia="MS Mincho"/>
        </w:rPr>
        <w:footnoteReference w:id="13"/>
      </w:r>
      <w:r w:rsidRPr="00E211E0">
        <w:rPr>
          <w:rFonts w:eastAsia="MS Mincho"/>
        </w:rPr>
        <w:t xml:space="preserve">, indiquer </w:t>
      </w:r>
      <w:r w:rsidR="00BF0AD0">
        <w:rPr>
          <w:rFonts w:eastAsia="MS Mincho"/>
        </w:rPr>
        <w:t xml:space="preserve">ce qui est fait pour </w:t>
      </w:r>
      <w:r w:rsidRPr="00E211E0">
        <w:rPr>
          <w:rFonts w:eastAsia="MS Mincho"/>
        </w:rPr>
        <w:t>surmonter ces difficultés, en particulier en ce qui concerne les cas présumés de mauvais traitements infligés à des membres de communautés autochtones, conformément à la recommandation du Comité</w:t>
      </w:r>
      <w:r w:rsidRPr="00E211E0">
        <w:rPr>
          <w:rStyle w:val="FootnoteReference"/>
          <w:rFonts w:eastAsia="MS Mincho"/>
        </w:rPr>
        <w:footnoteReference w:id="14"/>
      </w:r>
      <w:r w:rsidRPr="00E211E0">
        <w:rPr>
          <w:rFonts w:eastAsia="MS Mincho"/>
        </w:rPr>
        <w:t>.</w:t>
      </w:r>
    </w:p>
    <w:p w:rsidR="00A1392F" w:rsidRPr="00E211E0" w:rsidRDefault="00A1392F" w:rsidP="00A1392F">
      <w:pPr>
        <w:spacing w:after="240"/>
        <w:ind w:left="567" w:hanging="567"/>
        <w:rPr>
          <w:rFonts w:eastAsia="MS Mincho"/>
        </w:rPr>
      </w:pPr>
      <w:r w:rsidRPr="00E211E0">
        <w:rPr>
          <w:rFonts w:eastAsia="MS Mincho"/>
        </w:rPr>
        <w:t>32.</w:t>
      </w:r>
      <w:r>
        <w:rPr>
          <w:rFonts w:eastAsia="MS Mincho"/>
        </w:rPr>
        <w:tab/>
      </w:r>
      <w:r w:rsidRPr="00E211E0">
        <w:rPr>
          <w:rFonts w:eastAsia="MS Mincho"/>
        </w:rPr>
        <w:t xml:space="preserve">Indiquer comment les mesures de protection </w:t>
      </w:r>
      <w:r w:rsidR="00BF0AD0">
        <w:rPr>
          <w:rFonts w:eastAsia="MS Mincho"/>
        </w:rPr>
        <w:t xml:space="preserve">ordonnées par </w:t>
      </w:r>
      <w:r w:rsidRPr="00E211E0">
        <w:rPr>
          <w:rFonts w:eastAsia="MS Mincho"/>
        </w:rPr>
        <w:t xml:space="preserve">la Commission interaméricaine des droits de l’homme et </w:t>
      </w:r>
      <w:r w:rsidRPr="00E211E0">
        <w:t>la</w:t>
      </w:r>
      <w:r w:rsidRPr="00E211E0">
        <w:rPr>
          <w:rFonts w:eastAsia="MS Mincho"/>
        </w:rPr>
        <w:t xml:space="preserve"> Cour interaméricaine des droits de l’homme </w:t>
      </w:r>
      <w:r w:rsidR="00BF0AD0">
        <w:rPr>
          <w:rFonts w:eastAsia="MS Mincho"/>
        </w:rPr>
        <w:t xml:space="preserve">à l’égard de </w:t>
      </w:r>
      <w:r w:rsidRPr="00E211E0">
        <w:rPr>
          <w:rFonts w:eastAsia="MS Mincho"/>
        </w:rPr>
        <w:t xml:space="preserve">la communauté des Sarayakus sont mises en œuvre et </w:t>
      </w:r>
      <w:r w:rsidR="00BF0AD0">
        <w:rPr>
          <w:rFonts w:eastAsia="MS Mincho"/>
        </w:rPr>
        <w:t xml:space="preserve">où en est </w:t>
      </w:r>
      <w:r w:rsidRPr="00E211E0">
        <w:rPr>
          <w:rFonts w:eastAsia="MS Mincho"/>
        </w:rPr>
        <w:t xml:space="preserve">l’enquête ouverte </w:t>
      </w:r>
      <w:r w:rsidR="00BF0AD0">
        <w:rPr>
          <w:rFonts w:eastAsia="MS Mincho"/>
        </w:rPr>
        <w:t xml:space="preserve">à la suite des plaintes dénonçant des </w:t>
      </w:r>
      <w:r w:rsidRPr="00E211E0">
        <w:rPr>
          <w:rFonts w:eastAsia="MS Mincho"/>
        </w:rPr>
        <w:t>mauvais traitements infligés à des membres de cette communauté</w:t>
      </w:r>
      <w:r w:rsidRPr="00E211E0">
        <w:rPr>
          <w:rStyle w:val="FootnoteReference"/>
          <w:rFonts w:eastAsia="MS Mincho"/>
        </w:rPr>
        <w:footnoteReference w:id="15"/>
      </w:r>
      <w:r w:rsidRPr="00E211E0">
        <w:rPr>
          <w:rFonts w:eastAsia="MS Mincho"/>
        </w:rPr>
        <w:t xml:space="preserve">. </w:t>
      </w:r>
    </w:p>
    <w:p w:rsidR="00A1392F" w:rsidRPr="00E211E0" w:rsidRDefault="00A1392F" w:rsidP="00BF0AD0">
      <w:pPr>
        <w:spacing w:after="240"/>
        <w:ind w:left="567" w:hanging="567"/>
        <w:rPr>
          <w:rFonts w:eastAsia="MS Mincho"/>
        </w:rPr>
      </w:pPr>
      <w:r w:rsidRPr="00E211E0">
        <w:rPr>
          <w:rFonts w:eastAsia="MS Mincho"/>
        </w:rPr>
        <w:t>33.</w:t>
      </w:r>
      <w:r>
        <w:rPr>
          <w:rFonts w:eastAsia="MS Mincho"/>
        </w:rPr>
        <w:tab/>
      </w:r>
      <w:r w:rsidRPr="00E211E0">
        <w:rPr>
          <w:rFonts w:eastAsia="MS Mincho"/>
        </w:rPr>
        <w:t>Comment l’État partie s’</w:t>
      </w:r>
      <w:r w:rsidR="005A2733">
        <w:rPr>
          <w:rFonts w:eastAsia="MS Mincho"/>
        </w:rPr>
        <w:t>assure</w:t>
      </w:r>
      <w:r w:rsidR="005A2733">
        <w:rPr>
          <w:rFonts w:eastAsia="MS Mincho"/>
        </w:rPr>
        <w:noBreakHyphen/>
        <w:t>t-</w:t>
      </w:r>
      <w:r w:rsidRPr="00E211E0">
        <w:rPr>
          <w:rFonts w:eastAsia="MS Mincho"/>
        </w:rPr>
        <w:t xml:space="preserve">il que le droit </w:t>
      </w:r>
      <w:r w:rsidR="00BF0AD0">
        <w:rPr>
          <w:rFonts w:eastAsia="MS Mincho"/>
        </w:rPr>
        <w:t xml:space="preserve">coutumier </w:t>
      </w:r>
      <w:r w:rsidRPr="00E211E0">
        <w:rPr>
          <w:rFonts w:eastAsia="MS Mincho"/>
        </w:rPr>
        <w:t>autochtone est compatible</w:t>
      </w:r>
      <w:r w:rsidR="00BF0AD0">
        <w:rPr>
          <w:rFonts w:eastAsia="MS Mincho"/>
        </w:rPr>
        <w:t xml:space="preserve"> </w:t>
      </w:r>
      <w:r w:rsidRPr="00E211E0">
        <w:rPr>
          <w:rFonts w:eastAsia="MS Mincho"/>
        </w:rPr>
        <w:t>avec ses obligations internationales en matière de droits de l’homme, en</w:t>
      </w:r>
      <w:r w:rsidR="00BF0AD0">
        <w:rPr>
          <w:rFonts w:eastAsia="MS Mincho"/>
        </w:rPr>
        <w:t xml:space="preserve"> </w:t>
      </w:r>
      <w:r w:rsidRPr="00E211E0">
        <w:rPr>
          <w:rFonts w:eastAsia="MS Mincho"/>
        </w:rPr>
        <w:t>particulier en ce qui concerne les pratiques assimilables à des mauvais traitements</w:t>
      </w:r>
      <w:r w:rsidRPr="00E211E0">
        <w:rPr>
          <w:rStyle w:val="FootnoteReference"/>
          <w:rFonts w:eastAsia="MS Mincho"/>
        </w:rPr>
        <w:footnoteReference w:id="16"/>
      </w:r>
      <w:r w:rsidRPr="00E211E0">
        <w:rPr>
          <w:rFonts w:eastAsia="MS Mincho"/>
        </w:rPr>
        <w:t>?</w:t>
      </w:r>
    </w:p>
    <w:p w:rsidR="00A1392F" w:rsidRPr="00E211E0" w:rsidRDefault="00BF0AD0" w:rsidP="00BF0AD0">
      <w:pPr>
        <w:keepNext/>
        <w:spacing w:after="240"/>
        <w:jc w:val="center"/>
        <w:rPr>
          <w:rFonts w:eastAsia="MS Mincho"/>
          <w:b/>
          <w:bCs/>
        </w:rPr>
      </w:pPr>
      <w:r>
        <w:rPr>
          <w:rFonts w:eastAsia="MS Mincho"/>
          <w:b/>
          <w:bCs/>
        </w:rPr>
        <w:t>Autres questions</w:t>
      </w:r>
    </w:p>
    <w:p w:rsidR="00A1392F" w:rsidRPr="00E211E0" w:rsidRDefault="00A1392F" w:rsidP="00BF0AD0">
      <w:pPr>
        <w:spacing w:after="240"/>
        <w:ind w:left="567" w:hanging="567"/>
      </w:pPr>
      <w:r w:rsidRPr="00E211E0">
        <w:t>34.</w:t>
      </w:r>
      <w:r>
        <w:tab/>
      </w:r>
      <w:r w:rsidR="00BF0AD0">
        <w:t>Donner</w:t>
      </w:r>
      <w:r w:rsidRPr="00E211E0">
        <w:t xml:space="preserve"> des </w:t>
      </w:r>
      <w:r w:rsidRPr="00E211E0">
        <w:rPr>
          <w:rFonts w:eastAsia="MS Mincho"/>
        </w:rPr>
        <w:t>informations</w:t>
      </w:r>
      <w:r w:rsidRPr="00E211E0">
        <w:t xml:space="preserve"> sur les mesures prises ou </w:t>
      </w:r>
      <w:r w:rsidR="00BF0AD0">
        <w:t xml:space="preserve">prévues </w:t>
      </w:r>
      <w:r w:rsidRPr="00E211E0">
        <w:t>pour ratifier le</w:t>
      </w:r>
      <w:r w:rsidR="00BF0AD0">
        <w:t xml:space="preserve"> </w:t>
      </w:r>
      <w:r w:rsidRPr="00E211E0">
        <w:t xml:space="preserve">Protocole facultatif </w:t>
      </w:r>
      <w:r w:rsidR="00BF0AD0">
        <w:t xml:space="preserve">se rapportant </w:t>
      </w:r>
      <w:r w:rsidRPr="00E211E0">
        <w:t>à la Convention.</w:t>
      </w:r>
    </w:p>
    <w:p w:rsidR="00A1392F" w:rsidRPr="00E211E0" w:rsidRDefault="00A1392F" w:rsidP="00BF0AD0">
      <w:pPr>
        <w:spacing w:after="240"/>
        <w:ind w:left="567" w:hanging="567"/>
        <w:rPr>
          <w:rFonts w:eastAsia="MS Mincho"/>
        </w:rPr>
      </w:pPr>
      <w:r w:rsidRPr="00E211E0">
        <w:t>35.</w:t>
      </w:r>
      <w:r w:rsidRPr="00E211E0">
        <w:tab/>
        <w:t xml:space="preserve">Indiquer quelles mesures concrètes ont été prises pour diffuser largement la Convention et </w:t>
      </w:r>
      <w:r w:rsidR="00BF0AD0">
        <w:t xml:space="preserve"> </w:t>
      </w:r>
      <w:r w:rsidRPr="00E211E0">
        <w:t xml:space="preserve">les conclusions et </w:t>
      </w:r>
      <w:r w:rsidRPr="00E211E0">
        <w:rPr>
          <w:rFonts w:eastAsia="MS Mincho"/>
        </w:rPr>
        <w:t>recommandations</w:t>
      </w:r>
      <w:r w:rsidRPr="00E211E0">
        <w:t xml:space="preserve"> du Comité dans toutes les langues de l’</w:t>
      </w:r>
      <w:r w:rsidRPr="00E211E0">
        <w:rPr>
          <w:rFonts w:eastAsia="MS Mincho"/>
        </w:rPr>
        <w:t xml:space="preserve">État </w:t>
      </w:r>
      <w:r w:rsidR="00BF0AD0">
        <w:rPr>
          <w:rFonts w:eastAsia="MS Mincho"/>
        </w:rPr>
        <w:t xml:space="preserve"> </w:t>
      </w:r>
      <w:r w:rsidRPr="00E211E0">
        <w:rPr>
          <w:rFonts w:eastAsia="MS Mincho"/>
        </w:rPr>
        <w:t>partie. Quels mesures ou programmes ont été mis en œuvre en collaboration avec des organisations non gouvernementales?</w:t>
      </w:r>
    </w:p>
    <w:p w:rsidR="00A1392F" w:rsidRPr="00E211E0" w:rsidRDefault="00A1392F" w:rsidP="00BF0AD0">
      <w:pPr>
        <w:spacing w:after="240"/>
        <w:ind w:left="567" w:hanging="567"/>
        <w:rPr>
          <w:rFonts w:eastAsia="MS Mincho"/>
        </w:rPr>
      </w:pPr>
      <w:r w:rsidRPr="00E211E0">
        <w:rPr>
          <w:rFonts w:eastAsia="MS Mincho"/>
        </w:rPr>
        <w:t>36.</w:t>
      </w:r>
      <w:r w:rsidRPr="00E211E0">
        <w:rPr>
          <w:rFonts w:eastAsia="MS Mincho"/>
        </w:rPr>
        <w:tab/>
        <w:t xml:space="preserve">Indiquer si l’État partie a prévu de signer et de ratifier le Statut de Rome de la Cour pénale internationale et </w:t>
      </w:r>
      <w:r w:rsidR="00BF0AD0">
        <w:rPr>
          <w:rFonts w:eastAsia="MS Mincho"/>
        </w:rPr>
        <w:t xml:space="preserve">expliquer </w:t>
      </w:r>
      <w:r w:rsidRPr="00E211E0">
        <w:rPr>
          <w:rFonts w:eastAsia="MS Mincho"/>
        </w:rPr>
        <w:t xml:space="preserve">les mesures prises pour appliquer le projet de loi relatif aux crimes contre l’humanité, </w:t>
      </w:r>
      <w:r w:rsidR="00BF0AD0">
        <w:rPr>
          <w:rFonts w:eastAsia="MS Mincho"/>
        </w:rPr>
        <w:t>qui définit le crime de torture.</w:t>
      </w:r>
    </w:p>
    <w:p w:rsidR="00A1392F" w:rsidRPr="00E211E0" w:rsidRDefault="00A1392F" w:rsidP="00BF0AD0">
      <w:pPr>
        <w:spacing w:after="240"/>
        <w:ind w:left="567" w:hanging="567"/>
        <w:jc w:val="center"/>
        <w:rPr>
          <w:rFonts w:eastAsia="MS Mincho"/>
          <w:b/>
        </w:rPr>
      </w:pPr>
      <w:r w:rsidRPr="00E211E0">
        <w:rPr>
          <w:rFonts w:eastAsia="MS Mincho"/>
          <w:b/>
        </w:rPr>
        <w:t xml:space="preserve">Informations d’ordre général sur la situation des droits de l’homme </w:t>
      </w:r>
      <w:r w:rsidR="00BF0AD0">
        <w:rPr>
          <w:rFonts w:eastAsia="MS Mincho"/>
          <w:b/>
        </w:rPr>
        <w:br/>
        <w:t xml:space="preserve">dans le pays </w:t>
      </w:r>
      <w:r w:rsidRPr="00E211E0">
        <w:rPr>
          <w:rFonts w:eastAsia="MS Mincho"/>
          <w:b/>
        </w:rPr>
        <w:t xml:space="preserve">et nouvelles mesures relatives à la mise en œuvre </w:t>
      </w:r>
      <w:r w:rsidR="00BF0AD0">
        <w:rPr>
          <w:rFonts w:eastAsia="MS Mincho"/>
          <w:b/>
        </w:rPr>
        <w:br/>
      </w:r>
      <w:r w:rsidRPr="00E211E0">
        <w:rPr>
          <w:rFonts w:eastAsia="MS Mincho"/>
          <w:b/>
        </w:rPr>
        <w:t>de la Convention</w:t>
      </w:r>
    </w:p>
    <w:p w:rsidR="00A1392F" w:rsidRPr="00E211E0" w:rsidRDefault="00A1392F" w:rsidP="00BF0AD0">
      <w:pPr>
        <w:spacing w:after="240"/>
        <w:ind w:left="567" w:hanging="567"/>
        <w:rPr>
          <w:rFonts w:eastAsia="MS Mincho"/>
        </w:rPr>
      </w:pPr>
      <w:r w:rsidRPr="00E211E0">
        <w:rPr>
          <w:rFonts w:eastAsia="MS Mincho"/>
        </w:rPr>
        <w:t>37.</w:t>
      </w:r>
      <w:r w:rsidRPr="00E211E0">
        <w:rPr>
          <w:rFonts w:eastAsia="MS Mincho"/>
        </w:rPr>
        <w:tab/>
        <w:t xml:space="preserve">Donner des renseignements sur les changements les plus récents qui ont eu une incidence sur le cadre juridique et institutionnel </w:t>
      </w:r>
      <w:r w:rsidR="00BF0AD0">
        <w:rPr>
          <w:rFonts w:eastAsia="MS Mincho"/>
        </w:rPr>
        <w:t xml:space="preserve">de </w:t>
      </w:r>
      <w:r w:rsidRPr="00E211E0">
        <w:rPr>
          <w:rFonts w:eastAsia="MS Mincho"/>
        </w:rPr>
        <w:t xml:space="preserve">la promotion et </w:t>
      </w:r>
      <w:r w:rsidR="00BF0AD0">
        <w:rPr>
          <w:rFonts w:eastAsia="MS Mincho"/>
        </w:rPr>
        <w:t xml:space="preserve">de </w:t>
      </w:r>
      <w:r w:rsidRPr="00E211E0">
        <w:rPr>
          <w:rFonts w:eastAsia="MS Mincho"/>
        </w:rPr>
        <w:t xml:space="preserve">la protection des droits de l’homme intervenus depuis la soumission du précédent rapport périodique et des renseignements apportés comme suite à son examen par le Comité, y compris sur toute décision judiciaire </w:t>
      </w:r>
      <w:r w:rsidR="00BF0AD0">
        <w:rPr>
          <w:rFonts w:eastAsia="MS Mincho"/>
        </w:rPr>
        <w:t xml:space="preserve">qui a </w:t>
      </w:r>
      <w:r w:rsidRPr="00E211E0">
        <w:rPr>
          <w:rFonts w:eastAsia="MS Mincho"/>
        </w:rPr>
        <w:t>trait à cette question.</w:t>
      </w:r>
    </w:p>
    <w:p w:rsidR="00A1392F" w:rsidRPr="00E211E0" w:rsidRDefault="00A1392F" w:rsidP="00BF0AD0">
      <w:pPr>
        <w:spacing w:after="240"/>
        <w:ind w:left="567" w:hanging="567"/>
        <w:rPr>
          <w:rFonts w:eastAsia="MS Mincho"/>
        </w:rPr>
      </w:pPr>
      <w:r w:rsidRPr="00E211E0">
        <w:rPr>
          <w:rFonts w:eastAsia="MS Mincho"/>
        </w:rPr>
        <w:t>38.</w:t>
      </w:r>
      <w:r w:rsidRPr="00E211E0">
        <w:rPr>
          <w:rFonts w:eastAsia="MS Mincho"/>
        </w:rPr>
        <w:tab/>
        <w:t>Donner des renseignements détaillés sur les nouvelles mesures politiques, administratives et autres prises pour promouvoir et protéger les droits de l’homme depuis la soumission du dernier rapport périodique, y compris sur les programmes et plan</w:t>
      </w:r>
      <w:r w:rsidR="00616485">
        <w:rPr>
          <w:rFonts w:eastAsia="MS Mincho"/>
        </w:rPr>
        <w:t>s</w:t>
      </w:r>
      <w:r w:rsidRPr="00E211E0">
        <w:rPr>
          <w:rFonts w:eastAsia="MS Mincho"/>
        </w:rPr>
        <w:t xml:space="preserve"> d’</w:t>
      </w:r>
      <w:r w:rsidR="00616485">
        <w:rPr>
          <w:rFonts w:eastAsia="MS Mincho"/>
        </w:rPr>
        <w:t>action</w:t>
      </w:r>
      <w:r w:rsidRPr="00E211E0">
        <w:rPr>
          <w:rFonts w:eastAsia="MS Mincho"/>
        </w:rPr>
        <w:t>, sur les ressources et les moyens alloués pour les mettre en œuvre et sur les résultats obtenus.</w:t>
      </w:r>
    </w:p>
    <w:p w:rsidR="00A1392F" w:rsidRPr="00E211E0" w:rsidRDefault="00A1392F" w:rsidP="00BF0AD0">
      <w:pPr>
        <w:spacing w:after="240"/>
        <w:ind w:left="567" w:hanging="567"/>
      </w:pPr>
      <w:r w:rsidRPr="00E211E0">
        <w:rPr>
          <w:rFonts w:eastAsia="MS Mincho"/>
        </w:rPr>
        <w:t>39.</w:t>
      </w:r>
      <w:r w:rsidRPr="00E211E0">
        <w:rPr>
          <w:rFonts w:eastAsia="MS Mincho"/>
        </w:rPr>
        <w:tab/>
      </w:r>
      <w:r w:rsidR="00BF0AD0">
        <w:rPr>
          <w:rFonts w:eastAsia="MS Mincho"/>
        </w:rPr>
        <w:t xml:space="preserve">Apporter tout autre </w:t>
      </w:r>
      <w:r w:rsidRPr="00E211E0">
        <w:rPr>
          <w:rFonts w:eastAsia="MS Mincho"/>
        </w:rPr>
        <w:t>renseignement sur les mesures adoptées pour mettre en œuvre la Convention et les recom</w:t>
      </w:r>
      <w:r w:rsidR="00BF0AD0">
        <w:rPr>
          <w:rFonts w:eastAsia="MS Mincho"/>
        </w:rPr>
        <w:t>mandations du Comité depuis l’</w:t>
      </w:r>
      <w:r w:rsidRPr="00E211E0">
        <w:rPr>
          <w:rFonts w:eastAsia="MS Mincho"/>
        </w:rPr>
        <w:t xml:space="preserve">examen du troisième rapport périodique, </w:t>
      </w:r>
      <w:r w:rsidR="00BF0AD0">
        <w:rPr>
          <w:rFonts w:eastAsia="MS Mincho"/>
        </w:rPr>
        <w:t>en 2005, en joignant des données statistiques</w:t>
      </w:r>
      <w:r w:rsidRPr="00E211E0">
        <w:rPr>
          <w:rFonts w:eastAsia="MS Mincho"/>
        </w:rPr>
        <w:t xml:space="preserve">, ainsi que des renseignements sur tout autre </w:t>
      </w:r>
      <w:r w:rsidR="00BF0AD0">
        <w:rPr>
          <w:rFonts w:eastAsia="MS Mincho"/>
        </w:rPr>
        <w:t xml:space="preserve">fait nouveau </w:t>
      </w:r>
      <w:r w:rsidRPr="00E211E0">
        <w:rPr>
          <w:rFonts w:eastAsia="MS Mincho"/>
        </w:rPr>
        <w:t xml:space="preserve">qui présente un intérêt </w:t>
      </w:r>
      <w:r w:rsidR="00BF0AD0">
        <w:rPr>
          <w:rFonts w:eastAsia="MS Mincho"/>
        </w:rPr>
        <w:t xml:space="preserve">au regard </w:t>
      </w:r>
      <w:r w:rsidRPr="00E211E0">
        <w:rPr>
          <w:rFonts w:eastAsia="MS Mincho"/>
        </w:rPr>
        <w:t>de la Convention.</w:t>
      </w:r>
    </w:p>
    <w:p w:rsidR="00544A5C" w:rsidRDefault="00BF0AD0" w:rsidP="00BF0AD0">
      <w:pPr>
        <w:spacing w:after="240"/>
        <w:jc w:val="center"/>
      </w:pPr>
      <w:r>
        <w:t>-----</w:t>
      </w:r>
    </w:p>
    <w:sectPr w:rsidR="00544A5C" w:rsidSect="00A1392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B1" w:rsidRDefault="00B23AB1">
      <w:r>
        <w:separator/>
      </w:r>
    </w:p>
  </w:endnote>
  <w:endnote w:type="continuationSeparator" w:id="0">
    <w:p w:rsidR="00B23AB1" w:rsidRDefault="00B23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485" w:rsidRDefault="00616485">
    <w:pPr>
      <w:pStyle w:val="Footer"/>
    </w:pPr>
    <w:r>
      <w:t xml:space="preserve">GE.09-40692  (F)    070409    </w:t>
    </w:r>
    <w:r w:rsidR="003D2B7B">
      <w:t>140409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B1" w:rsidRDefault="00B23AB1">
      <w:r>
        <w:separator/>
      </w:r>
    </w:p>
  </w:footnote>
  <w:footnote w:type="continuationSeparator" w:id="0">
    <w:p w:rsidR="00B23AB1" w:rsidRDefault="00B23AB1">
      <w:r>
        <w:continuationSeparator/>
      </w:r>
    </w:p>
  </w:footnote>
  <w:footnote w:id="1">
    <w:p w:rsidR="00A1392F" w:rsidRPr="00A1392F" w:rsidRDefault="00A1392F" w:rsidP="00A1392F">
      <w:pPr>
        <w:pStyle w:val="FootnoteText"/>
        <w:spacing w:after="240"/>
        <w:rPr>
          <w:szCs w:val="24"/>
        </w:rPr>
      </w:pPr>
      <w:r w:rsidRPr="00A1392F">
        <w:rPr>
          <w:rStyle w:val="FootnoteReference"/>
          <w:szCs w:val="24"/>
        </w:rPr>
        <w:sym w:font="Symbol" w:char="F02A"/>
      </w:r>
      <w:r w:rsidRPr="00A1392F">
        <w:rPr>
          <w:szCs w:val="24"/>
        </w:rPr>
        <w:t xml:space="preserve"> La présente liste des points à traiter a été adoptée par le Comité à sa trente-neuvième session conformément à la nouvelle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2">
    <w:p w:rsidR="00A1392F" w:rsidRPr="00A1392F" w:rsidRDefault="00A1392F" w:rsidP="00A1392F">
      <w:pPr>
        <w:pStyle w:val="FootnoteText"/>
        <w:spacing w:after="240"/>
        <w:rPr>
          <w:szCs w:val="24"/>
          <w:lang w:val="fr-FR"/>
        </w:rPr>
      </w:pPr>
      <w:r w:rsidRPr="00A1392F">
        <w:rPr>
          <w:rStyle w:val="FootnoteReference"/>
          <w:szCs w:val="24"/>
        </w:rPr>
        <w:footnoteRef/>
      </w:r>
      <w:r w:rsidRPr="00A1392F">
        <w:rPr>
          <w:szCs w:val="24"/>
          <w:lang w:val="fr-FR"/>
        </w:rPr>
        <w:t xml:space="preserve"> Voir les conclusions et recommandations du Comité </w:t>
      </w:r>
      <w:r>
        <w:rPr>
          <w:szCs w:val="24"/>
          <w:lang w:val="fr-FR"/>
        </w:rPr>
        <w:t xml:space="preserve">adoptées à l’issue de l’examen du </w:t>
      </w:r>
      <w:r w:rsidRPr="00A1392F">
        <w:rPr>
          <w:szCs w:val="24"/>
          <w:lang w:val="fr-FR"/>
        </w:rPr>
        <w:t xml:space="preserve">troisième rapport périodique de l’Équateur </w:t>
      </w:r>
      <w:r w:rsidRPr="00A1392F">
        <w:rPr>
          <w:szCs w:val="24"/>
        </w:rPr>
        <w:t>(CAT/C/ECU/CO/3), par. 19</w:t>
      </w:r>
      <w:r w:rsidRPr="00A1392F">
        <w:rPr>
          <w:szCs w:val="24"/>
          <w:lang w:val="fr-FR"/>
        </w:rPr>
        <w:t xml:space="preserve">. </w:t>
      </w:r>
    </w:p>
  </w:footnote>
  <w:footnote w:id="3">
    <w:p w:rsidR="00A1392F" w:rsidRPr="00A1392F" w:rsidRDefault="00A1392F" w:rsidP="00A1392F">
      <w:pPr>
        <w:pStyle w:val="FootnoteText"/>
        <w:spacing w:after="240"/>
        <w:rPr>
          <w:szCs w:val="24"/>
          <w:lang w:val="fr-FR"/>
        </w:rPr>
      </w:pPr>
      <w:r w:rsidRPr="00A1392F">
        <w:rPr>
          <w:rStyle w:val="FootnoteReference"/>
          <w:szCs w:val="24"/>
        </w:rPr>
        <w:footnoteRef/>
      </w:r>
      <w:r w:rsidRPr="00A1392F">
        <w:rPr>
          <w:szCs w:val="24"/>
          <w:lang w:val="fr-FR"/>
        </w:rPr>
        <w:t xml:space="preserve"> </w:t>
      </w:r>
      <w:r w:rsidRPr="00A1392F">
        <w:rPr>
          <w:bCs/>
          <w:szCs w:val="24"/>
          <w:lang w:val="fr-FR"/>
        </w:rPr>
        <w:t xml:space="preserve">Voir les </w:t>
      </w:r>
      <w:r w:rsidRPr="00A1392F">
        <w:rPr>
          <w:szCs w:val="24"/>
        </w:rPr>
        <w:t xml:space="preserve">observations de l’État partie concernant les conclusions et recommandations du Comité contre la torture </w:t>
      </w:r>
      <w:r w:rsidRPr="00A1392F">
        <w:rPr>
          <w:szCs w:val="24"/>
          <w:lang w:val="es-ES_tradnl"/>
        </w:rPr>
        <w:t>(CAT/C/ECU/CO/3/Add.1), par. 18</w:t>
      </w:r>
      <w:r w:rsidRPr="00A1392F">
        <w:rPr>
          <w:szCs w:val="24"/>
          <w:lang w:val="fr-FR"/>
        </w:rPr>
        <w:t xml:space="preserve">. </w:t>
      </w:r>
    </w:p>
  </w:footnote>
  <w:footnote w:id="4">
    <w:p w:rsidR="00A1392F" w:rsidRPr="00A1392F" w:rsidRDefault="00A1392F" w:rsidP="00A1392F">
      <w:pPr>
        <w:pStyle w:val="FootnoteText"/>
        <w:spacing w:after="240"/>
        <w:rPr>
          <w:szCs w:val="24"/>
          <w:lang w:val="fr-FR"/>
        </w:rPr>
      </w:pPr>
      <w:r w:rsidRPr="00A1392F">
        <w:rPr>
          <w:rStyle w:val="FootnoteReference"/>
          <w:szCs w:val="24"/>
        </w:rPr>
        <w:footnoteRef/>
      </w:r>
      <w:r w:rsidRPr="00A1392F">
        <w:rPr>
          <w:szCs w:val="24"/>
          <w:lang w:val="fr-FR"/>
        </w:rPr>
        <w:t xml:space="preserve"> </w:t>
      </w:r>
      <w:r w:rsidRPr="00A1392F">
        <w:rPr>
          <w:szCs w:val="24"/>
        </w:rPr>
        <w:t>CAT/C/ECU/CO/3/Add.1, par. 20 et 21.</w:t>
      </w:r>
    </w:p>
  </w:footnote>
  <w:footnote w:id="5">
    <w:p w:rsidR="00A1392F" w:rsidRPr="00A1392F" w:rsidRDefault="00A1392F" w:rsidP="00A1392F">
      <w:pPr>
        <w:pStyle w:val="FootnoteText"/>
        <w:spacing w:after="240"/>
        <w:rPr>
          <w:szCs w:val="24"/>
          <w:lang w:val="en-GB"/>
        </w:rPr>
      </w:pPr>
      <w:r w:rsidRPr="00A1392F">
        <w:rPr>
          <w:rStyle w:val="FootnoteReference"/>
          <w:szCs w:val="24"/>
        </w:rPr>
        <w:footnoteRef/>
      </w:r>
      <w:r w:rsidRPr="00A1392F">
        <w:rPr>
          <w:szCs w:val="24"/>
          <w:lang w:val="en-GB"/>
        </w:rPr>
        <w:t xml:space="preserve"> </w:t>
      </w:r>
      <w:r w:rsidRPr="00A1392F">
        <w:rPr>
          <w:szCs w:val="24"/>
          <w:lang w:val="en-US"/>
        </w:rPr>
        <w:t>CAT/C/ECU/CO/3, par. 21</w:t>
      </w:r>
      <w:r w:rsidR="00616485">
        <w:rPr>
          <w:szCs w:val="24"/>
          <w:lang w:val="en-US"/>
        </w:rPr>
        <w:t>.</w:t>
      </w:r>
    </w:p>
  </w:footnote>
  <w:footnote w:id="6">
    <w:p w:rsidR="00A1392F" w:rsidRPr="00A1392F" w:rsidRDefault="00A1392F" w:rsidP="00A1392F">
      <w:pPr>
        <w:pStyle w:val="FootnoteText"/>
        <w:spacing w:after="240"/>
        <w:rPr>
          <w:szCs w:val="24"/>
          <w:lang w:val="en-GB"/>
        </w:rPr>
      </w:pPr>
      <w:r w:rsidRPr="00A1392F">
        <w:rPr>
          <w:rStyle w:val="FootnoteReference"/>
          <w:szCs w:val="24"/>
        </w:rPr>
        <w:footnoteRef/>
      </w:r>
      <w:r w:rsidRPr="00A1392F">
        <w:rPr>
          <w:szCs w:val="24"/>
          <w:lang w:val="en-GB"/>
        </w:rPr>
        <w:t xml:space="preserve"> </w:t>
      </w:r>
      <w:r w:rsidRPr="00A1392F">
        <w:rPr>
          <w:bCs/>
          <w:szCs w:val="24"/>
          <w:lang w:val="en-GB"/>
        </w:rPr>
        <w:t>Ibid</w:t>
      </w:r>
      <w:r w:rsidR="00616485">
        <w:rPr>
          <w:bCs/>
          <w:szCs w:val="24"/>
          <w:lang w:val="en-GB"/>
        </w:rPr>
        <w:t>.</w:t>
      </w:r>
    </w:p>
  </w:footnote>
  <w:footnote w:id="7">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w:t>
      </w:r>
      <w:r w:rsidRPr="00A1392F">
        <w:rPr>
          <w:szCs w:val="24"/>
          <w:lang w:val="fr-FR"/>
        </w:rPr>
        <w:t xml:space="preserve">CAT/C/ECU/CO/3, par. </w:t>
      </w:r>
      <w:r w:rsidRPr="00A1392F">
        <w:rPr>
          <w:szCs w:val="24"/>
        </w:rPr>
        <w:t>24.</w:t>
      </w:r>
    </w:p>
  </w:footnote>
  <w:footnote w:id="8">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Rapport du Groupe de travail sur la détention arbitraire, (A/HR</w:t>
      </w:r>
      <w:r w:rsidR="00616485">
        <w:rPr>
          <w:szCs w:val="24"/>
        </w:rPr>
        <w:t>C/4/40/Add.2), par. 101, al. </w:t>
      </w:r>
      <w:r w:rsidR="00616485" w:rsidRPr="00616485">
        <w:rPr>
          <w:i/>
          <w:szCs w:val="24"/>
        </w:rPr>
        <w:t>f</w:t>
      </w:r>
      <w:r w:rsidR="00616485">
        <w:rPr>
          <w:szCs w:val="24"/>
        </w:rPr>
        <w:t>.</w:t>
      </w:r>
    </w:p>
  </w:footnote>
  <w:footnote w:id="9">
    <w:p w:rsidR="00A1392F" w:rsidRPr="00A1392F" w:rsidRDefault="00A1392F" w:rsidP="00A1392F">
      <w:pPr>
        <w:pStyle w:val="FootnoteText"/>
        <w:spacing w:after="240"/>
        <w:rPr>
          <w:szCs w:val="24"/>
          <w:lang w:val="en-GB"/>
        </w:rPr>
      </w:pPr>
      <w:r w:rsidRPr="00A1392F">
        <w:rPr>
          <w:rStyle w:val="FootnoteReference"/>
          <w:szCs w:val="24"/>
        </w:rPr>
        <w:footnoteRef/>
      </w:r>
      <w:r w:rsidRPr="00A1392F">
        <w:rPr>
          <w:szCs w:val="24"/>
          <w:lang w:val="en-GB"/>
        </w:rPr>
        <w:t xml:space="preserve"> </w:t>
      </w:r>
      <w:r w:rsidRPr="00A1392F">
        <w:rPr>
          <w:szCs w:val="24"/>
          <w:lang w:val="en-US"/>
        </w:rPr>
        <w:t>CAT/C/ECU/CO/3, par. 24</w:t>
      </w:r>
    </w:p>
  </w:footnote>
  <w:footnote w:id="10">
    <w:p w:rsidR="00A1392F" w:rsidRPr="00A1392F" w:rsidRDefault="00A1392F" w:rsidP="00A1392F">
      <w:pPr>
        <w:pStyle w:val="FootnoteText"/>
        <w:spacing w:after="240"/>
        <w:rPr>
          <w:szCs w:val="24"/>
          <w:lang w:val="en-GB"/>
        </w:rPr>
      </w:pPr>
      <w:r w:rsidRPr="00A1392F">
        <w:rPr>
          <w:rStyle w:val="FootnoteReference"/>
          <w:szCs w:val="24"/>
        </w:rPr>
        <w:footnoteRef/>
      </w:r>
      <w:r w:rsidRPr="00A1392F">
        <w:rPr>
          <w:szCs w:val="24"/>
          <w:lang w:val="en-GB"/>
        </w:rPr>
        <w:t xml:space="preserve"> </w:t>
      </w:r>
      <w:r w:rsidRPr="00A1392F">
        <w:rPr>
          <w:szCs w:val="24"/>
          <w:lang w:val="en-US"/>
        </w:rPr>
        <w:t>CAT/C/ECU/CO/3/Add.1, par. 5</w:t>
      </w:r>
    </w:p>
  </w:footnote>
  <w:footnote w:id="11">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w:t>
      </w:r>
      <w:r w:rsidRPr="00A1392F">
        <w:rPr>
          <w:szCs w:val="24"/>
          <w:lang w:val="fr-FR"/>
        </w:rPr>
        <w:t>CAT/C/ECU/CO/3, par. 25.</w:t>
      </w:r>
    </w:p>
  </w:footnote>
  <w:footnote w:id="12">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w:t>
      </w:r>
      <w:r w:rsidRPr="00A1392F">
        <w:rPr>
          <w:szCs w:val="24"/>
          <w:lang w:val="fr-FR"/>
        </w:rPr>
        <w:t>Ibid., par. 26.</w:t>
      </w:r>
    </w:p>
  </w:footnote>
  <w:footnote w:id="13">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w:t>
      </w:r>
      <w:r w:rsidRPr="00A1392F">
        <w:rPr>
          <w:szCs w:val="24"/>
          <w:lang w:val="fr-FR"/>
        </w:rPr>
        <w:t xml:space="preserve">CAT/C/ECU/CO/3 et CAT/C/ECU/CO/3/Add.1. </w:t>
      </w:r>
    </w:p>
  </w:footnote>
  <w:footnote w:id="14">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CAT/C/ECU/CO/3, par. 17; voir aussi A/HRC/4/32/Add.2, par. 92, et CAT/C/ECU/CO/3/Add.1, par. 3, 10, 11, 14 et 15. </w:t>
      </w:r>
    </w:p>
  </w:footnote>
  <w:footnote w:id="15">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A/HRC/4/32/Add.2, par. 89.</w:t>
      </w:r>
    </w:p>
  </w:footnote>
  <w:footnote w:id="16">
    <w:p w:rsidR="00A1392F" w:rsidRPr="00A1392F" w:rsidRDefault="00A1392F" w:rsidP="00A1392F">
      <w:pPr>
        <w:pStyle w:val="FootnoteText"/>
        <w:spacing w:after="240"/>
        <w:rPr>
          <w:szCs w:val="24"/>
        </w:rPr>
      </w:pPr>
      <w:r w:rsidRPr="00A1392F">
        <w:rPr>
          <w:rStyle w:val="FootnoteReference"/>
          <w:szCs w:val="24"/>
        </w:rPr>
        <w:footnoteRef/>
      </w:r>
      <w:r w:rsidRPr="00A1392F">
        <w:rPr>
          <w:szCs w:val="24"/>
        </w:rP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92F" w:rsidRDefault="00A1392F">
    <w:pPr>
      <w:pStyle w:val="Header"/>
    </w:pPr>
    <w:r>
      <w:t>CAT/C/ECU/Q/4</w:t>
    </w:r>
  </w:p>
  <w:p w:rsidR="00A1392F" w:rsidRDefault="00A1392F">
    <w:pPr>
      <w:pStyle w:val="Header"/>
    </w:pPr>
    <w:r>
      <w:t xml:space="preserve">page </w:t>
    </w:r>
    <w:r>
      <w:fldChar w:fldCharType="begin"/>
    </w:r>
    <w:r>
      <w:instrText xml:space="preserve"> PAGE  \* MERGEFORMAT </w:instrText>
    </w:r>
    <w:r>
      <w:fldChar w:fldCharType="separate"/>
    </w:r>
    <w:r w:rsidR="003D2B7B">
      <w:rPr>
        <w:noProof/>
      </w:rPr>
      <w:t>2</w:t>
    </w:r>
    <w:r>
      <w:fldChar w:fldCharType="end"/>
    </w:r>
  </w:p>
  <w:p w:rsidR="00A1392F" w:rsidRDefault="00A139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92F" w:rsidRDefault="00A1392F" w:rsidP="00A1392F">
    <w:pPr>
      <w:pStyle w:val="Header"/>
      <w:tabs>
        <w:tab w:val="clear" w:pos="4320"/>
        <w:tab w:val="clear" w:pos="8640"/>
        <w:tab w:val="left" w:pos="6803"/>
      </w:tabs>
    </w:pPr>
    <w:r>
      <w:tab/>
      <w:t>CAT/C/ECU/Q/4</w:t>
    </w:r>
  </w:p>
  <w:p w:rsidR="00A1392F" w:rsidRDefault="00A1392F" w:rsidP="00A1392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D2B7B">
      <w:rPr>
        <w:noProof/>
      </w:rPr>
      <w:t>5</w:t>
    </w:r>
    <w:r>
      <w:fldChar w:fldCharType="end"/>
    </w:r>
  </w:p>
  <w:p w:rsidR="00A1392F" w:rsidRDefault="00A1392F" w:rsidP="00A1392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3B4"/>
    <w:rsid w:val="00276F3F"/>
    <w:rsid w:val="00363BA3"/>
    <w:rsid w:val="003D2B7B"/>
    <w:rsid w:val="003F7EA3"/>
    <w:rsid w:val="00415098"/>
    <w:rsid w:val="004363B4"/>
    <w:rsid w:val="0047496A"/>
    <w:rsid w:val="00544A5C"/>
    <w:rsid w:val="005A2733"/>
    <w:rsid w:val="00616485"/>
    <w:rsid w:val="009D1114"/>
    <w:rsid w:val="00A1392F"/>
    <w:rsid w:val="00AF1BDD"/>
    <w:rsid w:val="00B23AB1"/>
    <w:rsid w:val="00BF0AD0"/>
    <w:rsid w:val="00D3601E"/>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1987</Words>
  <Characters>10934</Characters>
  <Application>Microsoft Office Word</Application>
  <DocSecurity>4</DocSecurity>
  <Lines>91</Lines>
  <Paragraphs>25</Paragraphs>
  <ScaleCrop>false</ScaleCrop>
  <HeadingPairs>
    <vt:vector size="2" baseType="variant">
      <vt:variant>
        <vt:lpstr>Titre</vt:lpstr>
      </vt:variant>
      <vt:variant>
        <vt:i4>1</vt:i4>
      </vt:variant>
    </vt:vector>
  </HeadingPairs>
  <TitlesOfParts>
    <vt:vector size="1" baseType="lpstr">
      <vt:lpstr>CAT/C/ECU/Q/4</vt:lpstr>
    </vt:vector>
  </TitlesOfParts>
  <Company/>
  <LinksUpToDate>false</LinksUpToDate>
  <CharactersWithSpaces>12896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CAT/C/ECU/Q/4</dc:title>
  <dc:subject/>
  <dc:creator>Avix</dc:creator>
  <cp:keywords/>
  <dc:description/>
  <cp:lastModifiedBy>Burdin</cp:lastModifiedBy>
  <cp:revision>2</cp:revision>
  <cp:lastPrinted>2009-04-14T08:06:00Z</cp:lastPrinted>
  <dcterms:created xsi:type="dcterms:W3CDTF">2009-04-14T08:06:00Z</dcterms:created>
  <dcterms:modified xsi:type="dcterms:W3CDTF">2009-04-14T08:06:00Z</dcterms:modified>
</cp:coreProperties>
</file>