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FCD" w:rsidRDefault="00C14FCD" w:rsidP="00C14FCD">
      <w:pPr>
        <w:spacing w:line="240" w:lineRule="auto"/>
        <w:jc w:val="left"/>
        <w:rPr>
          <w:szCs w:val="6"/>
          <w:rtl/>
        </w:rPr>
        <w:sectPr w:rsidR="00C14FCD" w:rsidSect="00C14FC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r w:rsidR="00E15189">
        <w:rPr>
          <w:rFonts w:hint="cs"/>
          <w:noProof/>
          <w:szCs w:val="6"/>
        </w:rPr>
        <w:drawing>
          <wp:anchor distT="0" distB="0" distL="114300" distR="114300" simplePos="0" relativeHeight="251658240" behindDoc="0" locked="0" layoutInCell="1" allowOverlap="1">
            <wp:simplePos x="0" y="0"/>
            <wp:positionH relativeFrom="column">
              <wp:posOffset>-100330</wp:posOffset>
            </wp:positionH>
            <wp:positionV relativeFrom="paragraph">
              <wp:posOffset>6546850</wp:posOffset>
            </wp:positionV>
            <wp:extent cx="694690" cy="694690"/>
            <wp:effectExtent l="0" t="0" r="0" b="0"/>
            <wp:wrapNone/>
            <wp:docPr id="6" name="Picture 6" descr="http://undocs.org/m2/QRCode2.ashx?DS=GE.1520615A&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GE.1520615A&amp;Size =1&amp;Lang = 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C14FCD" w:rsidRDefault="00C14FCD" w:rsidP="00C14FCD">
      <w:pPr>
        <w:pStyle w:val="H1"/>
        <w:rPr>
          <w:rtl/>
        </w:rPr>
      </w:pPr>
      <w:r>
        <w:rPr>
          <w:rFonts w:hint="cs"/>
          <w:rtl/>
        </w:rPr>
        <w:lastRenderedPageBreak/>
        <w:t>اللجنة</w:t>
      </w:r>
      <w:r>
        <w:rPr>
          <w:rtl/>
        </w:rPr>
        <w:t xml:space="preserve"> المعنية بحقوق الإنسان</w:t>
      </w:r>
    </w:p>
    <w:p w:rsidR="007338A0" w:rsidRPr="002638B6" w:rsidRDefault="007338A0" w:rsidP="007338A0">
      <w:pPr>
        <w:framePr w:w="9792" w:h="432" w:hSpace="187" w:wrap="around" w:hAnchor="page" w:x="1196" w:yAlign="bottom"/>
        <w:spacing w:line="240" w:lineRule="auto"/>
        <w:rPr>
          <w:szCs w:val="10"/>
          <w:rtl/>
        </w:rPr>
      </w:pPr>
    </w:p>
    <w:p w:rsidR="00E544EA" w:rsidRPr="00B703C4" w:rsidRDefault="00E544EA" w:rsidP="00E544EA">
      <w:pPr>
        <w:framePr w:w="9792" w:h="432" w:hSpace="187" w:wrap="around" w:hAnchor="page" w:x="1196" w:yAlign="bottom"/>
        <w:spacing w:line="240" w:lineRule="auto"/>
        <w:rPr>
          <w:szCs w:val="6"/>
          <w:rtl/>
        </w:rPr>
      </w:pPr>
      <w:r w:rsidRPr="00B703C4">
        <w:rPr>
          <w:noProof/>
          <w:w w:val="100"/>
          <w:szCs w:val="6"/>
          <w:rtl/>
        </w:rPr>
        <mc:AlternateContent>
          <mc:Choice Requires="wps">
            <w:drawing>
              <wp:anchor distT="0" distB="0" distL="114300" distR="114300" simplePos="0" relativeHeight="251660288" behindDoc="0" locked="0" layoutInCell="1" allowOverlap="1" wp14:anchorId="7864ED1A" wp14:editId="52E9028B">
                <wp:simplePos x="0" y="0"/>
                <wp:positionH relativeFrom="column">
                  <wp:posOffset>5029327</wp:posOffset>
                </wp:positionH>
                <wp:positionV relativeFrom="paragraph">
                  <wp:posOffset>-12700</wp:posOffset>
                </wp:positionV>
                <wp:extent cx="914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0Bu0QEAAAMEAAAOAAAAZHJzL2Uyb0RvYy54bWysU8GO2yAQvVfqPyDuje3dVd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C1nXjg6oqeE&#10;wgxjYnvwngwEZLfZpynEltL3/oCXKIYDZtGzRpf/JIfNxdvz6q2aE5O0+L65u6v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PynQG7RAQAAAwQA&#10;AA4AAAAAAAAAAAAAAAAALgIAAGRycy9lMm9Eb2MueG1sUEsBAi0AFAAGAAgAAAAhAPIk/q3dAAAA&#10;CQEAAA8AAAAAAAAAAAAAAAAAKwQAAGRycy9kb3ducmV2LnhtbFBLBQYAAAAABAAEAPMAAAA1BQAA&#10;AAA=&#10;" strokecolor="#010000"/>
            </w:pict>
          </mc:Fallback>
        </mc:AlternateContent>
      </w:r>
    </w:p>
    <w:p w:rsidR="007338A0" w:rsidRPr="002638B6" w:rsidRDefault="007338A0" w:rsidP="007338A0">
      <w:pPr>
        <w:framePr w:w="9792" w:h="432" w:hSpace="187" w:wrap="around" w:hAnchor="page" w:x="1196" w:yAlign="bottom"/>
        <w:spacing w:line="240" w:lineRule="auto"/>
        <w:rPr>
          <w:szCs w:val="6"/>
          <w:rtl/>
        </w:rPr>
      </w:pPr>
    </w:p>
    <w:p w:rsidR="007338A0" w:rsidRPr="002638B6" w:rsidRDefault="007338A0" w:rsidP="008270C0">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sidR="008270C0" w:rsidRPr="008270C0">
        <w:rPr>
          <w:sz w:val="17"/>
          <w:szCs w:val="26"/>
          <w:rtl/>
        </w:rPr>
        <w:tab/>
        <w:t>اعتمدتها اللجنة في دورتها 115 (19 تشرين الأول/أكتوبر - 6 تشرين الثاني/نوفمبر 2015).</w:t>
      </w:r>
    </w:p>
    <w:p w:rsidR="00F43476" w:rsidRPr="00F43476" w:rsidRDefault="00F43476" w:rsidP="00F4347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43476" w:rsidRPr="00F43476" w:rsidRDefault="00F43476" w:rsidP="00F4347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43476" w:rsidRPr="00F43476" w:rsidRDefault="00F43476" w:rsidP="00F4347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Default="007338A0" w:rsidP="00CD1D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الملاحظات الختامية بشأن التقرير الدوري الثالث لسان مارينو</w:t>
      </w:r>
      <w:r w:rsidR="00CD1D83" w:rsidRPr="00CD1D83">
        <w:rPr>
          <w:rFonts w:hint="cs"/>
          <w:sz w:val="20"/>
          <w:szCs w:val="30"/>
          <w:rtl/>
        </w:rPr>
        <w:t>*</w:t>
      </w:r>
    </w:p>
    <w:p w:rsidR="00F43476" w:rsidRPr="00F43476" w:rsidRDefault="00F43476" w:rsidP="00F43476">
      <w:pPr>
        <w:pStyle w:val="SingleTxt"/>
        <w:spacing w:after="0" w:line="120" w:lineRule="exact"/>
        <w:rPr>
          <w:sz w:val="10"/>
          <w:rtl/>
        </w:rPr>
      </w:pPr>
    </w:p>
    <w:p w:rsidR="007338A0" w:rsidRDefault="007338A0" w:rsidP="008270C0">
      <w:pPr>
        <w:pStyle w:val="SingleTxt"/>
        <w:rPr>
          <w:rtl/>
        </w:rPr>
      </w:pPr>
      <w:r>
        <w:rPr>
          <w:rFonts w:hint="cs"/>
          <w:rtl/>
        </w:rPr>
        <w:t>1-</w:t>
      </w:r>
      <w:r>
        <w:rPr>
          <w:rFonts w:hint="cs"/>
          <w:rtl/>
        </w:rPr>
        <w:tab/>
        <w:t>نظرت اللجنة في التقرير الدوري الثالث لسان مارينو (</w:t>
      </w:r>
      <w:r w:rsidRPr="00B12CF1">
        <w:t>CCPR/C/</w:t>
      </w:r>
      <w:r>
        <w:t>SMR</w:t>
      </w:r>
      <w:r w:rsidRPr="00B12CF1">
        <w:t>/3</w:t>
      </w:r>
      <w:r>
        <w:rPr>
          <w:rFonts w:hint="cs"/>
          <w:rtl/>
        </w:rPr>
        <w:t>) في جلستيها</w:t>
      </w:r>
      <w:r w:rsidR="008270C0">
        <w:rPr>
          <w:rFonts w:hint="eastAsia"/>
          <w:rtl/>
        </w:rPr>
        <w:t> </w:t>
      </w:r>
      <w:r>
        <w:rPr>
          <w:rFonts w:hint="cs"/>
          <w:rtl/>
        </w:rPr>
        <w:t xml:space="preserve">3203 و3205 (انظر </w:t>
      </w:r>
      <w:r w:rsidRPr="00B12CF1">
        <w:t>CCPR/C/SR.</w:t>
      </w:r>
      <w:r>
        <w:t>3203</w:t>
      </w:r>
      <w:r>
        <w:rPr>
          <w:rFonts w:hint="cs"/>
          <w:rtl/>
        </w:rPr>
        <w:t xml:space="preserve"> و</w:t>
      </w:r>
      <w:r>
        <w:t>3205</w:t>
      </w:r>
      <w:r>
        <w:rPr>
          <w:rFonts w:hint="cs"/>
          <w:rtl/>
        </w:rPr>
        <w:t>)، المعقودتين يومي 19 و20 تشرين الأول/أكتوبر 2015</w:t>
      </w:r>
      <w:r>
        <w:rPr>
          <w:rFonts w:hint="cs"/>
          <w:rtl/>
          <w:lang w:val="fr-CH"/>
        </w:rPr>
        <w:t>.</w:t>
      </w:r>
      <w:r>
        <w:rPr>
          <w:rFonts w:hint="cs"/>
          <w:rtl/>
        </w:rPr>
        <w:t xml:space="preserve"> واعتمدت، في جلستها 3225 المعقودة في 3 تشرين الثاني/</w:t>
      </w:r>
      <w:r w:rsidR="008270C0">
        <w:rPr>
          <w:rFonts w:hint="cs"/>
          <w:rtl/>
        </w:rPr>
        <w:t xml:space="preserve">   </w:t>
      </w:r>
      <w:r>
        <w:rPr>
          <w:rFonts w:hint="cs"/>
          <w:rtl/>
        </w:rPr>
        <w:t>نوفمبر 2015، الملاحظات الختامية التالية.</w:t>
      </w:r>
    </w:p>
    <w:p w:rsidR="007338A0" w:rsidRPr="007338A0"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Pr="007338A0"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مقدمة</w:t>
      </w:r>
    </w:p>
    <w:p w:rsidR="007338A0" w:rsidRPr="007338A0" w:rsidRDefault="007338A0" w:rsidP="007338A0">
      <w:pPr>
        <w:pStyle w:val="SingleTxt"/>
        <w:spacing w:after="0" w:line="120" w:lineRule="exact"/>
        <w:rPr>
          <w:sz w:val="10"/>
          <w:rtl/>
        </w:rPr>
      </w:pPr>
    </w:p>
    <w:p w:rsidR="007338A0" w:rsidRDefault="007338A0" w:rsidP="008270C0">
      <w:pPr>
        <w:pStyle w:val="SingleTxt"/>
        <w:rPr>
          <w:rtl/>
        </w:rPr>
      </w:pPr>
      <w:r>
        <w:rPr>
          <w:rFonts w:hint="cs"/>
          <w:rtl/>
        </w:rPr>
        <w:t>2-</w:t>
      </w:r>
      <w:r>
        <w:rPr>
          <w:rFonts w:hint="cs"/>
          <w:rtl/>
        </w:rPr>
        <w:tab/>
        <w:t>تعرب اللجنة عن امتنانها للدولة الطرف لقبولها الإجراء الاختياري الجديد لتقديم التقارير</w:t>
      </w:r>
      <w:r w:rsidR="008270C0">
        <w:rPr>
          <w:rFonts w:hint="eastAsia"/>
          <w:rtl/>
        </w:rPr>
        <w:t> </w:t>
      </w:r>
      <w:r>
        <w:rPr>
          <w:rFonts w:hint="cs"/>
          <w:rtl/>
        </w:rPr>
        <w:t>ولتقديمها تقريرها الدوري الثالث رداً على قائمة المسائل السابقة لتقديم التقارير (</w:t>
      </w:r>
      <w:r w:rsidRPr="006A5B33">
        <w:t>CCPR/C/SMR/Q/3</w:t>
      </w:r>
      <w:r>
        <w:rPr>
          <w:rFonts w:hint="cs"/>
          <w:rtl/>
        </w:rPr>
        <w:t>) بموجب ذلك الإجراء. وتعرب اللجنة عن تقديرها لفرصة تجديد حوارها البناء مع الدولة الطرف بشأن الخطوات التي اتخذتها سان مارينو في أثناء الفترة المشمولة بالتقرير من أجل تنفيذ أحكام العهد. وتشكر اللجنة الدولة الطرف على الردود التي قدمها الوفد شفوياً وعلى المعلومات ا</w:t>
      </w:r>
      <w:r w:rsidR="008270C0">
        <w:rPr>
          <w:rFonts w:hint="cs"/>
          <w:rtl/>
        </w:rPr>
        <w:t>لتكميلية المقدمة إليها كتابياً.</w:t>
      </w:r>
    </w:p>
    <w:p w:rsidR="00F43476" w:rsidRPr="00F43476" w:rsidRDefault="00F43476" w:rsidP="00F4347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43476" w:rsidRPr="00F43476" w:rsidRDefault="00F43476" w:rsidP="00F4347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Default="007338A0" w:rsidP="00F43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باء-</w:t>
      </w:r>
      <w:r>
        <w:rPr>
          <w:rFonts w:hint="cs"/>
          <w:rtl/>
        </w:rPr>
        <w:tab/>
        <w:t>الجوانب الإيجابية</w:t>
      </w:r>
    </w:p>
    <w:p w:rsidR="00F43476" w:rsidRPr="00F43476" w:rsidRDefault="00F43476" w:rsidP="00F43476">
      <w:pPr>
        <w:pStyle w:val="SingleTxt"/>
        <w:spacing w:after="0" w:line="120" w:lineRule="exact"/>
        <w:rPr>
          <w:sz w:val="10"/>
          <w:rtl/>
        </w:rPr>
      </w:pPr>
    </w:p>
    <w:p w:rsidR="007338A0" w:rsidRPr="00CD1D83" w:rsidRDefault="007338A0" w:rsidP="007338A0">
      <w:pPr>
        <w:pStyle w:val="SingleTxt"/>
        <w:rPr>
          <w:spacing w:val="-2"/>
          <w:rtl/>
        </w:rPr>
      </w:pPr>
      <w:r w:rsidRPr="00CD1D83">
        <w:rPr>
          <w:rFonts w:hint="cs"/>
          <w:spacing w:val="-2"/>
          <w:rtl/>
        </w:rPr>
        <w:t>3-</w:t>
      </w:r>
      <w:r w:rsidRPr="00CD1D83">
        <w:rPr>
          <w:rFonts w:hint="cs"/>
          <w:spacing w:val="-2"/>
          <w:rtl/>
        </w:rPr>
        <w:tab/>
        <w:t>ترحب اللجنة بما اتخذته الدولة الطرف من تدابير تشريعية في سبيل حماية حقوق الإنسا</w:t>
      </w:r>
      <w:r w:rsidR="00F43476" w:rsidRPr="00CD1D83">
        <w:rPr>
          <w:rFonts w:hint="cs"/>
          <w:spacing w:val="-2"/>
          <w:rtl/>
        </w:rPr>
        <w:t>ن، بما في ذلك التدابير التالية:</w:t>
      </w:r>
    </w:p>
    <w:p w:rsidR="007338A0" w:rsidRPr="00CD1D83" w:rsidRDefault="00F43476" w:rsidP="007338A0">
      <w:pPr>
        <w:pStyle w:val="SingleTxt"/>
        <w:rPr>
          <w:spacing w:val="-2"/>
          <w:rtl/>
        </w:rPr>
      </w:pPr>
      <w:r w:rsidRPr="00CD1D83">
        <w:rPr>
          <w:rFonts w:hint="cs"/>
          <w:spacing w:val="-2"/>
          <w:rtl/>
        </w:rPr>
        <w:tab/>
        <w:t>(أ)</w:t>
      </w:r>
      <w:r w:rsidRPr="00CD1D83">
        <w:rPr>
          <w:rFonts w:hint="cs"/>
          <w:spacing w:val="-2"/>
          <w:rtl/>
        </w:rPr>
        <w:tab/>
        <w:t>اعتماد القانون الإ</w:t>
      </w:r>
      <w:r w:rsidR="007338A0" w:rsidRPr="00CD1D83">
        <w:rPr>
          <w:rFonts w:hint="cs"/>
          <w:spacing w:val="-2"/>
          <w:rtl/>
        </w:rPr>
        <w:t>طاري (رقم 28) المؤرخ 10 آذار/مارس 2015 المتعلق بمساعدة الأشخاص ذوي الإعاقة وإدماجهم الاجتماعي وحقوقهم؛</w:t>
      </w:r>
    </w:p>
    <w:p w:rsidR="00877746" w:rsidRDefault="00877746">
      <w:pPr>
        <w:bidi w:val="0"/>
        <w:spacing w:line="240" w:lineRule="auto"/>
        <w:jc w:val="left"/>
        <w:rPr>
          <w:rtl/>
        </w:rPr>
      </w:pPr>
      <w:r>
        <w:rPr>
          <w:rtl/>
        </w:rPr>
        <w:br w:type="page"/>
      </w:r>
    </w:p>
    <w:p w:rsidR="007338A0" w:rsidRDefault="007338A0" w:rsidP="007338A0">
      <w:pPr>
        <w:pStyle w:val="SingleTxt"/>
        <w:rPr>
          <w:rtl/>
        </w:rPr>
      </w:pPr>
      <w:r>
        <w:rPr>
          <w:rFonts w:hint="cs"/>
          <w:rtl/>
        </w:rPr>
        <w:lastRenderedPageBreak/>
        <w:tab/>
        <w:t>(ب)</w:t>
      </w:r>
      <w:r>
        <w:rPr>
          <w:rFonts w:hint="cs"/>
          <w:rtl/>
        </w:rPr>
        <w:tab/>
        <w:t>اعتماد القانون رقم 140 المؤرخ 4 أيلول/سبتمبر 2014 الذي ينص على حق الأطفال في الحماية والأمن وعدم التعرض للعقاب البدني أو غيره من ضروب المعاملة المضرة بسلامتهم الجسدية والنفسية؛</w:t>
      </w:r>
    </w:p>
    <w:p w:rsidR="007338A0" w:rsidRDefault="007338A0" w:rsidP="007338A0">
      <w:pPr>
        <w:pStyle w:val="SingleTxt"/>
        <w:rPr>
          <w:rtl/>
        </w:rPr>
      </w:pPr>
      <w:r>
        <w:rPr>
          <w:rFonts w:hint="cs"/>
          <w:rtl/>
        </w:rPr>
        <w:tab/>
        <w:t>(ج)</w:t>
      </w:r>
      <w:r>
        <w:rPr>
          <w:rFonts w:hint="cs"/>
          <w:rtl/>
        </w:rPr>
        <w:tab/>
        <w:t>اعتماد القانون (رقم 41) المؤرخ 31 آذار/مارس 2014 بشأن أحكام تسليم الأفراد، الذي ينص على أمور منها تقييد التسليم إذا وجد سبب يحمل على الاعتقاد أن الشخص المقرر تسليمه سيتعرض للاضطهاد أو التمييز، أو للمعاملة القاسية أو اللاإنسانية أو المهينة، أو إذا كان قانون الدولة الطالبة يعاقب بالإعدام مرتكب الجريمة التي يطلب من أجلها التسليم؛</w:t>
      </w:r>
    </w:p>
    <w:p w:rsidR="007338A0" w:rsidRDefault="007338A0" w:rsidP="007338A0">
      <w:pPr>
        <w:pStyle w:val="SingleTxt"/>
        <w:rPr>
          <w:rtl/>
        </w:rPr>
      </w:pPr>
      <w:r>
        <w:rPr>
          <w:rFonts w:hint="cs"/>
          <w:rtl/>
        </w:rPr>
        <w:tab/>
        <w:t>(د)</w:t>
      </w:r>
      <w:r>
        <w:rPr>
          <w:rFonts w:hint="cs"/>
          <w:rtl/>
        </w:rPr>
        <w:tab/>
        <w:t xml:space="preserve">اعتماد القانون (رقم 35) المؤرخ 30 آذار/مارس 2012 المتعلق بالأحكام الاستثنائية للتجنيس، من حيث أنه يغير شروط حصول الأطفال على الجنسية، عملاً بالتوصية السابقة المقدمة من اللجنة (انظر </w:t>
      </w:r>
      <w:r w:rsidRPr="006A5B33">
        <w:t>CCPR/C/SMR/CO/2</w:t>
      </w:r>
      <w:r>
        <w:rPr>
          <w:rFonts w:hint="cs"/>
          <w:rtl/>
        </w:rPr>
        <w:t>، الفقرة 9).</w:t>
      </w:r>
    </w:p>
    <w:p w:rsidR="007338A0" w:rsidRDefault="007338A0" w:rsidP="007338A0">
      <w:pPr>
        <w:pStyle w:val="SingleTxt"/>
        <w:rPr>
          <w:rtl/>
        </w:rPr>
      </w:pPr>
      <w:r>
        <w:rPr>
          <w:rFonts w:hint="cs"/>
          <w:rtl/>
        </w:rPr>
        <w:t>4-</w:t>
      </w:r>
      <w:r>
        <w:rPr>
          <w:rFonts w:hint="cs"/>
          <w:rtl/>
        </w:rPr>
        <w:tab/>
        <w:t>وترحب اللجنة بتصديق الدولة الطرف على الصكوك الدولية التالية أو انضمامها إليها:</w:t>
      </w:r>
    </w:p>
    <w:p w:rsidR="007338A0" w:rsidRPr="00CD1D83" w:rsidRDefault="007338A0" w:rsidP="007338A0">
      <w:pPr>
        <w:pStyle w:val="SingleTxt"/>
        <w:rPr>
          <w:spacing w:val="-4"/>
          <w:rtl/>
        </w:rPr>
      </w:pPr>
      <w:r w:rsidRPr="00CD1D83">
        <w:rPr>
          <w:rFonts w:hint="cs"/>
          <w:spacing w:val="-4"/>
          <w:rtl/>
        </w:rPr>
        <w:tab/>
        <w:t>(أ)</w:t>
      </w:r>
      <w:r w:rsidRPr="00CD1D83">
        <w:rPr>
          <w:rFonts w:hint="cs"/>
          <w:spacing w:val="-4"/>
          <w:rtl/>
        </w:rPr>
        <w:tab/>
        <w:t>البروتوكول الاختياري الملحق بالعهد الدولي الخاص بالحقوق الاقتصادية والاجتماعية والثقافية، في 4 آب/أغسطس 2015؛</w:t>
      </w:r>
    </w:p>
    <w:p w:rsidR="007338A0" w:rsidRDefault="007338A0" w:rsidP="00877746">
      <w:pPr>
        <w:pStyle w:val="SingleTxt"/>
        <w:rPr>
          <w:rtl/>
        </w:rPr>
      </w:pPr>
      <w:r>
        <w:rPr>
          <w:rFonts w:hint="cs"/>
          <w:rtl/>
        </w:rPr>
        <w:tab/>
        <w:t>(ب)</w:t>
      </w:r>
      <w:r>
        <w:rPr>
          <w:rFonts w:hint="cs"/>
          <w:rtl/>
        </w:rPr>
        <w:tab/>
        <w:t>البروتوكولان الاختياريان لاتفاقية حقوق الطفل المتعلقان ببيع الأطفال و</w:t>
      </w:r>
      <w:r w:rsidR="00877746">
        <w:rPr>
          <w:rFonts w:hint="cs"/>
          <w:rtl/>
        </w:rPr>
        <w:t xml:space="preserve">استغلال </w:t>
      </w:r>
      <w:r>
        <w:rPr>
          <w:rFonts w:hint="cs"/>
          <w:rtl/>
        </w:rPr>
        <w:t xml:space="preserve">الأطفال </w:t>
      </w:r>
      <w:r w:rsidR="00877746">
        <w:rPr>
          <w:rFonts w:hint="cs"/>
          <w:rtl/>
        </w:rPr>
        <w:t xml:space="preserve">في البغاء </w:t>
      </w:r>
      <w:r w:rsidR="00C32C73">
        <w:rPr>
          <w:rFonts w:hint="cs"/>
          <w:rtl/>
        </w:rPr>
        <w:t>و</w:t>
      </w:r>
      <w:r>
        <w:rPr>
          <w:rFonts w:hint="cs"/>
          <w:rtl/>
        </w:rPr>
        <w:t>في المواد الإباحية، وباشتراك الأطفال في المنازعات المسلحة، في 26 أيلول/</w:t>
      </w:r>
      <w:r w:rsidR="00877746">
        <w:rPr>
          <w:rFonts w:hint="cs"/>
          <w:rtl/>
        </w:rPr>
        <w:t xml:space="preserve">   </w:t>
      </w:r>
      <w:r>
        <w:rPr>
          <w:rFonts w:hint="cs"/>
          <w:rtl/>
        </w:rPr>
        <w:t xml:space="preserve">سبتمبر 2011. </w:t>
      </w:r>
    </w:p>
    <w:p w:rsidR="007338A0" w:rsidRDefault="007338A0" w:rsidP="007338A0">
      <w:pPr>
        <w:pStyle w:val="SingleTxt"/>
        <w:rPr>
          <w:rtl/>
        </w:rPr>
      </w:pPr>
      <w:r>
        <w:rPr>
          <w:rFonts w:hint="cs"/>
          <w:rtl/>
        </w:rPr>
        <w:t>5-</w:t>
      </w:r>
      <w:r>
        <w:rPr>
          <w:rFonts w:hint="cs"/>
          <w:rtl/>
        </w:rPr>
        <w:tab/>
        <w:t>وترحب اللجنة بالإعلان الذي قدمته الدولة الطرف في 4 آب/أغسطس 2015 بموجب المادة 41 من العهد والذي يعترف باختصاص اللجنة في تلقي بلاغات الدول والنظر فيها.</w:t>
      </w:r>
    </w:p>
    <w:p w:rsidR="007338A0" w:rsidRPr="007338A0"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Pr="007338A0"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w:t>
      </w:r>
      <w:r>
        <w:rPr>
          <w:rFonts w:hint="cs"/>
          <w:rtl/>
        </w:rPr>
        <w:tab/>
        <w:t>دواعي القلق الرئيسية والتوصيات</w:t>
      </w:r>
    </w:p>
    <w:p w:rsidR="007338A0" w:rsidRPr="007338A0" w:rsidRDefault="007338A0" w:rsidP="007338A0">
      <w:pPr>
        <w:pStyle w:val="SingleTxt"/>
        <w:spacing w:after="0" w:line="120" w:lineRule="exact"/>
        <w:rPr>
          <w:sz w:val="10"/>
          <w:rtl/>
        </w:rPr>
      </w:pP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المؤسسة الوطنية لحقوق الإنسان</w:t>
      </w:r>
    </w:p>
    <w:p w:rsidR="007338A0" w:rsidRDefault="007338A0" w:rsidP="007338A0">
      <w:pPr>
        <w:pStyle w:val="SingleTxt"/>
        <w:rPr>
          <w:rtl/>
        </w:rPr>
      </w:pPr>
      <w:r>
        <w:rPr>
          <w:rFonts w:hint="cs"/>
          <w:rtl/>
        </w:rPr>
        <w:t>6-</w:t>
      </w:r>
      <w:r>
        <w:rPr>
          <w:rFonts w:hint="cs"/>
          <w:rtl/>
        </w:rPr>
        <w:tab/>
        <w:t xml:space="preserve">تسلم اللجنة بوجود هياكل مؤسسية ترصد إعمال حقوق الإنسان، مثل اللجنة المعنية بتكافؤ الفرص، لكنها قلقة لأن الدولة الطرف لم تنشئ بعد مؤسسة وطنية موحدة لحقوق الإنسان وفقاً للمبادئ المتعلقة بمركز المؤسسات الوطنية لتعزيز وحماية حقوق الإنسان (مبادئ باريس) (المادة 2). </w:t>
      </w:r>
    </w:p>
    <w:p w:rsidR="007338A0" w:rsidRPr="0045506B" w:rsidRDefault="007338A0" w:rsidP="007338A0">
      <w:pPr>
        <w:pStyle w:val="SingleTxt"/>
        <w:rPr>
          <w:b/>
          <w:bCs/>
          <w:spacing w:val="-2"/>
          <w:rtl/>
        </w:rPr>
      </w:pPr>
      <w:r w:rsidRPr="0045506B">
        <w:rPr>
          <w:rFonts w:hint="cs"/>
          <w:spacing w:val="-2"/>
          <w:rtl/>
        </w:rPr>
        <w:t>7-</w:t>
      </w:r>
      <w:r w:rsidRPr="0045506B">
        <w:rPr>
          <w:rFonts w:hint="cs"/>
          <w:spacing w:val="-2"/>
          <w:rtl/>
        </w:rPr>
        <w:tab/>
      </w:r>
      <w:r w:rsidRPr="0045506B">
        <w:rPr>
          <w:rFonts w:hint="cs"/>
          <w:b/>
          <w:bCs/>
          <w:spacing w:val="-2"/>
          <w:rtl/>
        </w:rPr>
        <w:t xml:space="preserve">تشير اللجنة إلى توصياتها السابقة (انظر </w:t>
      </w:r>
      <w:r w:rsidRPr="0045506B">
        <w:rPr>
          <w:b/>
          <w:bCs/>
          <w:spacing w:val="-2"/>
        </w:rPr>
        <w:t>CCPR/C/SMR/CO/2</w:t>
      </w:r>
      <w:r w:rsidRPr="0045506B">
        <w:rPr>
          <w:rFonts w:hint="cs"/>
          <w:b/>
          <w:bCs/>
          <w:spacing w:val="-2"/>
          <w:rtl/>
        </w:rPr>
        <w:t>، الفقرة</w:t>
      </w:r>
      <w:r w:rsidRPr="0045506B">
        <w:rPr>
          <w:rFonts w:hint="eastAsia"/>
          <w:b/>
          <w:bCs/>
          <w:spacing w:val="-2"/>
          <w:rtl/>
        </w:rPr>
        <w:t> </w:t>
      </w:r>
      <w:r w:rsidRPr="0045506B">
        <w:rPr>
          <w:rFonts w:hint="cs"/>
          <w:b/>
          <w:bCs/>
          <w:spacing w:val="-2"/>
          <w:rtl/>
        </w:rPr>
        <w:t>6)، وتوصي الدولة الطرف بإنشاء مؤسسة وطنية لحقوق الإنسان تتسم بالفعالية والاستقلال وتُمنح اختصاصات واسعة في مجال حقوق الإنسان، وفقاً لمبادئ باريس.</w:t>
      </w: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تشريعات منع التمييز</w:t>
      </w:r>
    </w:p>
    <w:p w:rsidR="007338A0" w:rsidRDefault="007338A0" w:rsidP="007338A0">
      <w:pPr>
        <w:pStyle w:val="SingleTxt"/>
        <w:rPr>
          <w:rtl/>
        </w:rPr>
      </w:pPr>
      <w:r>
        <w:rPr>
          <w:rFonts w:hint="cs"/>
          <w:rtl/>
        </w:rPr>
        <w:t>8-</w:t>
      </w:r>
      <w:r>
        <w:rPr>
          <w:rFonts w:hint="cs"/>
          <w:rtl/>
        </w:rPr>
        <w:tab/>
        <w:t>تحيط اللجنة علماً بالأحكام القانونية القائمة التي تمنع التمييز، لكنها تعرب عن قلقها لأن الدولة الطرف لم تعتمد بعد تشريعات شاملة لمنع التمييز ولأن المادتين 90 و179 مكرراً من القانون الجنائي المتعلقتين بالتمييز لا تشيران إلا إلى التمييز على أساس الانتماء العرقي والإثني والوطني والديني والميل الجنسي دون ذكر أسس أخرى مثل الهوية الجنسانية (المادتان 2 و26).</w:t>
      </w:r>
    </w:p>
    <w:p w:rsidR="007338A0" w:rsidRPr="003361CC" w:rsidRDefault="007338A0" w:rsidP="007338A0">
      <w:pPr>
        <w:pStyle w:val="SingleTxt"/>
        <w:rPr>
          <w:b/>
          <w:bCs/>
          <w:rtl/>
        </w:rPr>
      </w:pPr>
      <w:r>
        <w:rPr>
          <w:rFonts w:hint="cs"/>
          <w:rtl/>
        </w:rPr>
        <w:t>9-</w:t>
      </w:r>
      <w:r>
        <w:rPr>
          <w:rFonts w:hint="cs"/>
          <w:rtl/>
        </w:rPr>
        <w:tab/>
      </w:r>
      <w:r w:rsidRPr="003361CC">
        <w:rPr>
          <w:rFonts w:hint="cs"/>
          <w:b/>
          <w:bCs/>
          <w:rtl/>
        </w:rPr>
        <w:t xml:space="preserve">ينبغي أن تتخذ الدولة الطرف التدابير اللازمة لتعزيز إطارها القانوني لمنع التمييز، </w:t>
      </w:r>
      <w:r w:rsidRPr="00F43476">
        <w:rPr>
          <w:rFonts w:hint="cs"/>
          <w:b/>
          <w:bCs/>
          <w:spacing w:val="-2"/>
          <w:rtl/>
        </w:rPr>
        <w:t>وذلك تحديداً بسن تشريعات شاملة لمنع التمييز تغطي جميع أسس التمييز، بما فيها الهوية</w:t>
      </w:r>
      <w:r w:rsidRPr="003361CC">
        <w:rPr>
          <w:rFonts w:hint="cs"/>
          <w:b/>
          <w:bCs/>
          <w:rtl/>
        </w:rPr>
        <w:t xml:space="preserve"> الجنسانية. وإضافة إلى ذلك، ينبغي للدولة الطرف بذل جهود نشطة في سبيل توعية عامة الناس وتدريب القضاة والمحامين فيما يتعلق بالأحكام الجنائية القائمة لمنع التمييز. </w:t>
      </w:r>
    </w:p>
    <w:p w:rsidR="007338A0" w:rsidRP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منع التمييز والمساواة بين الجنسين</w:t>
      </w:r>
    </w:p>
    <w:p w:rsidR="007338A0" w:rsidRDefault="007338A0" w:rsidP="00F43476">
      <w:pPr>
        <w:pStyle w:val="SingleTxt"/>
        <w:rPr>
          <w:rtl/>
        </w:rPr>
      </w:pPr>
      <w:r>
        <w:rPr>
          <w:rFonts w:hint="cs"/>
          <w:rtl/>
        </w:rPr>
        <w:t>10-</w:t>
      </w:r>
      <w:r>
        <w:rPr>
          <w:rFonts w:hint="cs"/>
          <w:rtl/>
        </w:rPr>
        <w:tab/>
        <w:t>تلاحظ اللجنة أن تمثيل النساء في الحياة السياسية لا يزال ضعيفاً، على الرغم من التدابير</w:t>
      </w:r>
      <w:r w:rsidR="00F43476">
        <w:rPr>
          <w:rFonts w:hint="eastAsia"/>
          <w:rtl/>
        </w:rPr>
        <w:t> </w:t>
      </w:r>
      <w:r>
        <w:rPr>
          <w:rFonts w:hint="cs"/>
          <w:rtl/>
        </w:rPr>
        <w:t>التي اتخذتها الدولة الطرف من أجل تدارك هذا الوضع، مثل اعتماد القانون المعدل رقم</w:t>
      </w:r>
      <w:r w:rsidR="00F43476">
        <w:rPr>
          <w:rFonts w:hint="eastAsia"/>
          <w:rtl/>
        </w:rPr>
        <w:t> </w:t>
      </w:r>
      <w:r>
        <w:rPr>
          <w:rFonts w:hint="cs"/>
          <w:rtl/>
        </w:rPr>
        <w:t>1/2008، الذي ينص على ألا يكون أكثر من ثلثي المرشحين للانتخابات العامة في كل قائمة حزبية من الجنس ذاته. وفي هذا السياق، تلاحظ اللجنة بقلق أن المجلس العام الأعلى لا</w:t>
      </w:r>
      <w:r w:rsidR="00F43476">
        <w:rPr>
          <w:rFonts w:hint="eastAsia"/>
          <w:rtl/>
        </w:rPr>
        <w:t> </w:t>
      </w:r>
      <w:r>
        <w:rPr>
          <w:rFonts w:hint="cs"/>
          <w:rtl/>
        </w:rPr>
        <w:t>يضم سوى 10 نساء من جملة أعضائه البالغ عددهم 60 عضواً، وأن مناصب كتاب الدولة التسع لا تضم سوى امرأة واحدة (المادتان 3 و26).</w:t>
      </w:r>
    </w:p>
    <w:p w:rsidR="007338A0" w:rsidRDefault="007338A0" w:rsidP="007338A0">
      <w:pPr>
        <w:pStyle w:val="SingleTxt"/>
        <w:rPr>
          <w:rtl/>
        </w:rPr>
      </w:pPr>
      <w:r>
        <w:rPr>
          <w:rFonts w:hint="cs"/>
          <w:rtl/>
        </w:rPr>
        <w:t>11-</w:t>
      </w:r>
      <w:r>
        <w:rPr>
          <w:rFonts w:hint="cs"/>
          <w:rtl/>
        </w:rPr>
        <w:tab/>
      </w:r>
      <w:r w:rsidRPr="003361CC">
        <w:rPr>
          <w:rFonts w:hint="cs"/>
          <w:b/>
          <w:bCs/>
          <w:rtl/>
        </w:rPr>
        <w:t xml:space="preserve">ينبغي أن تعزز الدولة الطرف جهودها في سبيل زيادة تمثيل النساء في الحياة السياسية، </w:t>
      </w:r>
      <w:r>
        <w:rPr>
          <w:rFonts w:hint="cs"/>
          <w:b/>
          <w:bCs/>
          <w:rtl/>
        </w:rPr>
        <w:t>و</w:t>
      </w:r>
      <w:r w:rsidRPr="003361CC">
        <w:rPr>
          <w:rFonts w:hint="cs"/>
          <w:b/>
          <w:bCs/>
          <w:rtl/>
        </w:rPr>
        <w:t>لا سيما في المجلس الأعلى العام وفي أرفع مستويات الحكومة،</w:t>
      </w:r>
      <w:r>
        <w:rPr>
          <w:rFonts w:hint="cs"/>
          <w:b/>
          <w:bCs/>
          <w:rtl/>
        </w:rPr>
        <w:t xml:space="preserve"> وذلك،</w:t>
      </w:r>
      <w:r w:rsidRPr="003361CC">
        <w:rPr>
          <w:rFonts w:hint="cs"/>
          <w:b/>
          <w:bCs/>
          <w:rtl/>
        </w:rPr>
        <w:t xml:space="preserve"> إذا لزم الأمر، </w:t>
      </w:r>
      <w:r>
        <w:rPr>
          <w:rFonts w:hint="cs"/>
          <w:b/>
          <w:bCs/>
          <w:rtl/>
        </w:rPr>
        <w:t>ب</w:t>
      </w:r>
      <w:r w:rsidRPr="003361CC">
        <w:rPr>
          <w:rFonts w:hint="cs"/>
          <w:b/>
          <w:bCs/>
          <w:rtl/>
        </w:rPr>
        <w:t>اعتماد تدابير خاصة مؤقتة مناسبة من أجل</w:t>
      </w:r>
      <w:r w:rsidR="00CD1D83">
        <w:rPr>
          <w:rFonts w:hint="cs"/>
          <w:b/>
          <w:bCs/>
          <w:rtl/>
        </w:rPr>
        <w:t xml:space="preserve"> </w:t>
      </w:r>
      <w:r w:rsidRPr="003361CC">
        <w:rPr>
          <w:rFonts w:hint="cs"/>
          <w:b/>
          <w:bCs/>
          <w:rtl/>
        </w:rPr>
        <w:t xml:space="preserve">تنفيذ أحكام العهد. وينبغي للدولة الطرف أيضاً تكثيف جهودها الرامية إلى القضاء على القوالب النمطية الجنسانية المتعلقة بدور النساء والرجال ومسؤولياتهم في الأسرة والمجتمع. </w:t>
      </w:r>
    </w:p>
    <w:p w:rsidR="00F43476" w:rsidRPr="00F43476" w:rsidRDefault="00F43476" w:rsidP="00F4347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Default="007338A0" w:rsidP="00F434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حقوق المرأة</w:t>
      </w:r>
    </w:p>
    <w:p w:rsidR="007338A0" w:rsidRDefault="007338A0" w:rsidP="007338A0">
      <w:pPr>
        <w:pStyle w:val="SingleTxt"/>
        <w:rPr>
          <w:rtl/>
        </w:rPr>
      </w:pPr>
      <w:r>
        <w:rPr>
          <w:rFonts w:hint="cs"/>
          <w:rtl/>
        </w:rPr>
        <w:t>12-</w:t>
      </w:r>
      <w:r>
        <w:rPr>
          <w:rFonts w:hint="cs"/>
          <w:rtl/>
        </w:rPr>
        <w:tab/>
        <w:t>ترحب اللجنة باعتماد القانون (رقم 97) المؤرخ 20 حزيران/يونيه 2008 المتعلق بمنع العنف ضد المرأة والعنف الجنساني والقضاء عليهما وإنشاء الهيئة المعنية بتكافؤ الفرص، لكنها قلقة إزاء ما بلغها من أن موارد هذه الهيئة محدودة (المادتان 3 و7).</w:t>
      </w:r>
    </w:p>
    <w:p w:rsidR="007338A0" w:rsidRPr="00F43476" w:rsidRDefault="007338A0" w:rsidP="00F43476">
      <w:pPr>
        <w:pStyle w:val="SingleTxt"/>
        <w:rPr>
          <w:b/>
          <w:bCs/>
          <w:rtl/>
        </w:rPr>
      </w:pPr>
      <w:r>
        <w:rPr>
          <w:rFonts w:hint="cs"/>
          <w:rtl/>
        </w:rPr>
        <w:t>13-</w:t>
      </w:r>
      <w:r>
        <w:rPr>
          <w:rFonts w:hint="cs"/>
          <w:rtl/>
        </w:rPr>
        <w:tab/>
      </w:r>
      <w:r w:rsidRPr="003361CC">
        <w:rPr>
          <w:rFonts w:hint="cs"/>
          <w:b/>
          <w:bCs/>
          <w:rtl/>
        </w:rPr>
        <w:t xml:space="preserve">ينبغي أن تواصل الدولة الطرف بذل </w:t>
      </w:r>
      <w:r>
        <w:rPr>
          <w:rFonts w:hint="cs"/>
          <w:b/>
          <w:bCs/>
          <w:rtl/>
        </w:rPr>
        <w:t>ال</w:t>
      </w:r>
      <w:r w:rsidRPr="003361CC">
        <w:rPr>
          <w:rFonts w:hint="cs"/>
          <w:b/>
          <w:bCs/>
          <w:rtl/>
        </w:rPr>
        <w:t xml:space="preserve">جهود في سبيل منع ومكافحة جميع أشكال العنف الجنساني، </w:t>
      </w:r>
      <w:r>
        <w:rPr>
          <w:rFonts w:hint="cs"/>
          <w:b/>
          <w:bCs/>
          <w:rtl/>
        </w:rPr>
        <w:t>و</w:t>
      </w:r>
      <w:r w:rsidRPr="003361CC">
        <w:rPr>
          <w:rFonts w:hint="cs"/>
          <w:b/>
          <w:bCs/>
          <w:rtl/>
        </w:rPr>
        <w:t xml:space="preserve">لا سيما العنف </w:t>
      </w:r>
      <w:r>
        <w:rPr>
          <w:rFonts w:hint="cs"/>
          <w:b/>
          <w:bCs/>
          <w:rtl/>
        </w:rPr>
        <w:t xml:space="preserve">ضد </w:t>
      </w:r>
      <w:r w:rsidRPr="003361CC">
        <w:rPr>
          <w:rFonts w:hint="cs"/>
          <w:b/>
          <w:bCs/>
          <w:rtl/>
        </w:rPr>
        <w:t xml:space="preserve">المرأة، وذلك تحديداً بضمان تخصيص ما يكفي من الموارد </w:t>
      </w:r>
      <w:r>
        <w:rPr>
          <w:rFonts w:hint="cs"/>
          <w:b/>
          <w:bCs/>
          <w:rtl/>
        </w:rPr>
        <w:t>ل</w:t>
      </w:r>
      <w:r w:rsidR="00F43476">
        <w:rPr>
          <w:rFonts w:hint="cs"/>
          <w:b/>
          <w:bCs/>
          <w:rtl/>
        </w:rPr>
        <w:t>لمؤسسات المختصة.</w:t>
      </w: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AE7432">
        <w:rPr>
          <w:rFonts w:hint="cs"/>
          <w:rtl/>
        </w:rPr>
        <w:t>الإجهاض الطوعي</w:t>
      </w:r>
    </w:p>
    <w:p w:rsidR="007338A0" w:rsidRPr="0045506B" w:rsidRDefault="007338A0" w:rsidP="00185E3E">
      <w:pPr>
        <w:pStyle w:val="SingleTxt"/>
        <w:spacing w:line="394" w:lineRule="exact"/>
        <w:rPr>
          <w:spacing w:val="-2"/>
          <w:rtl/>
        </w:rPr>
      </w:pPr>
      <w:r w:rsidRPr="0045506B">
        <w:rPr>
          <w:rFonts w:hint="cs"/>
          <w:spacing w:val="-2"/>
          <w:rtl/>
        </w:rPr>
        <w:t>14-</w:t>
      </w:r>
      <w:r w:rsidRPr="0045506B">
        <w:rPr>
          <w:rFonts w:hint="cs"/>
          <w:spacing w:val="-2"/>
          <w:rtl/>
        </w:rPr>
        <w:tab/>
        <w:t>تلاحظ اللجنة بقلق أن الإجهاض الطوعي يشكل جريمة طبقاً للقانون الجنائي، ويقال إن ذلك يدفع النساء إلى التماس الإجهاض في الخارج، ما قد يشكل خطراً على حياتهن وصحتهن. وإذ تحيط اللجنة علماً بالمعلومات المقدمة من الدولة الطرف والتي تفيد أن المادة 42 من القانون الجنائي تنص على "حالة الضرورة" وتعتبرها مبرراً يعفي من العقاب كل من يجبر على ارتكاب جريمة لحماية نفسه أو حماية الغير من خطر التعرض لضرر شخصي شديد، تعرب عن قلقها لكون القانون الجنائي لا يقر صراحة بأي استثناءات للحظر القانوني العام المفروض على الإجهاض (المواد 3 و6 و7 و17).</w:t>
      </w:r>
    </w:p>
    <w:p w:rsidR="007338A0" w:rsidRDefault="007338A0" w:rsidP="00185E3E">
      <w:pPr>
        <w:pStyle w:val="SingleTxt"/>
        <w:spacing w:line="394" w:lineRule="exact"/>
        <w:rPr>
          <w:b/>
          <w:bCs/>
        </w:rPr>
      </w:pPr>
      <w:r>
        <w:rPr>
          <w:rFonts w:hint="cs"/>
          <w:rtl/>
        </w:rPr>
        <w:t>15-</w:t>
      </w:r>
      <w:r>
        <w:rPr>
          <w:rFonts w:hint="cs"/>
          <w:rtl/>
        </w:rPr>
        <w:tab/>
      </w:r>
      <w:r w:rsidRPr="003361CC">
        <w:rPr>
          <w:rFonts w:hint="cs"/>
          <w:b/>
          <w:bCs/>
          <w:rtl/>
        </w:rPr>
        <w:t xml:space="preserve">ينبغي أن تعدل الدولة الطرف تشريعاتها بحيث تنص صراحة على </w:t>
      </w:r>
      <w:r>
        <w:rPr>
          <w:rFonts w:hint="cs"/>
          <w:b/>
          <w:bCs/>
          <w:rtl/>
        </w:rPr>
        <w:t>استثناءات ل</w:t>
      </w:r>
      <w:r w:rsidRPr="003361CC">
        <w:rPr>
          <w:rFonts w:hint="cs"/>
          <w:b/>
          <w:bCs/>
          <w:rtl/>
        </w:rPr>
        <w:t>لحظر القانوني العام المفروض على الإجهاض، بما يشمل الإجهاض لأغراض علاجية و</w:t>
      </w:r>
      <w:r>
        <w:rPr>
          <w:rFonts w:hint="cs"/>
          <w:b/>
          <w:bCs/>
          <w:rtl/>
        </w:rPr>
        <w:t>عندما</w:t>
      </w:r>
      <w:r w:rsidRPr="003361CC">
        <w:rPr>
          <w:rFonts w:hint="cs"/>
          <w:b/>
          <w:bCs/>
          <w:rtl/>
        </w:rPr>
        <w:t xml:space="preserve"> يكون الحمل </w:t>
      </w:r>
      <w:r>
        <w:rPr>
          <w:rFonts w:hint="cs"/>
          <w:b/>
          <w:bCs/>
          <w:rtl/>
        </w:rPr>
        <w:t xml:space="preserve">قد حدث </w:t>
      </w:r>
      <w:r w:rsidRPr="003361CC">
        <w:rPr>
          <w:rFonts w:hint="cs"/>
          <w:b/>
          <w:bCs/>
          <w:rtl/>
        </w:rPr>
        <w:t>نتيجة اغتصاب أو سفاح محارم. وينبغي للدولة الطرف أن تكفل أيضاً الوصول إلى برامج تثقيف وتوعية تركز على أهمية وسائل منع ال</w:t>
      </w:r>
      <w:r w:rsidR="00F43476">
        <w:rPr>
          <w:rFonts w:hint="cs"/>
          <w:b/>
          <w:bCs/>
          <w:rtl/>
        </w:rPr>
        <w:t xml:space="preserve">حمل والحقوق الجنسية والإنجابية. </w:t>
      </w:r>
    </w:p>
    <w:p w:rsidR="007338A0" w:rsidRP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الحق في محاكمة عادلة</w:t>
      </w:r>
    </w:p>
    <w:p w:rsidR="007338A0" w:rsidRDefault="007338A0" w:rsidP="00185E3E">
      <w:pPr>
        <w:pStyle w:val="SingleTxt"/>
        <w:spacing w:line="394" w:lineRule="exact"/>
        <w:rPr>
          <w:rtl/>
          <w:lang w:bidi="ar"/>
        </w:rPr>
      </w:pPr>
      <w:r>
        <w:rPr>
          <w:rFonts w:hint="cs"/>
          <w:rtl/>
          <w:lang w:bidi="ar"/>
        </w:rPr>
        <w:t>16-</w:t>
      </w:r>
      <w:r>
        <w:rPr>
          <w:rFonts w:hint="cs"/>
          <w:rtl/>
          <w:lang w:bidi="ar"/>
        </w:rPr>
        <w:tab/>
        <w:t xml:space="preserve">تحيط اللجنة علماً بالقرار </w:t>
      </w:r>
      <w:r>
        <w:rPr>
          <w:rtl/>
          <w:lang w:bidi="ar"/>
        </w:rPr>
        <w:t xml:space="preserve">20/2013 </w:t>
      </w:r>
      <w:r>
        <w:rPr>
          <w:rFonts w:hint="cs"/>
          <w:rtl/>
          <w:lang w:bidi="ar"/>
        </w:rPr>
        <w:t xml:space="preserve">الصادر عن مجلس الدولة بإنشاء فريق عامل يتولى </w:t>
      </w:r>
      <w:r>
        <w:rPr>
          <w:rtl/>
          <w:lang w:bidi="ar"/>
        </w:rPr>
        <w:t xml:space="preserve">صياغة قانون </w:t>
      </w:r>
      <w:r>
        <w:rPr>
          <w:rFonts w:hint="cs"/>
          <w:rtl/>
          <w:lang w:bidi="ar"/>
        </w:rPr>
        <w:t>ا</w:t>
      </w:r>
      <w:r>
        <w:rPr>
          <w:rtl/>
          <w:lang w:bidi="ar"/>
        </w:rPr>
        <w:t>لإجراءات الجنائية</w:t>
      </w:r>
      <w:r>
        <w:rPr>
          <w:rFonts w:hint="cs"/>
          <w:rtl/>
          <w:lang w:bidi="ar"/>
        </w:rPr>
        <w:t xml:space="preserve"> الجديد</w:t>
      </w:r>
      <w:r>
        <w:rPr>
          <w:rtl/>
          <w:lang w:bidi="ar"/>
        </w:rPr>
        <w:t xml:space="preserve">، </w:t>
      </w:r>
      <w:r>
        <w:rPr>
          <w:rFonts w:hint="cs"/>
          <w:rtl/>
          <w:lang w:bidi="ar"/>
        </w:rPr>
        <w:t xml:space="preserve">لكنها </w:t>
      </w:r>
      <w:r>
        <w:rPr>
          <w:rtl/>
          <w:lang w:bidi="ar"/>
        </w:rPr>
        <w:t xml:space="preserve">تلاحظ أن الفريق العامل لم </w:t>
      </w:r>
      <w:r>
        <w:rPr>
          <w:rFonts w:hint="cs"/>
          <w:rtl/>
          <w:lang w:bidi="ar"/>
        </w:rPr>
        <w:t>ي</w:t>
      </w:r>
      <w:r>
        <w:rPr>
          <w:rtl/>
          <w:lang w:bidi="ar"/>
        </w:rPr>
        <w:t>كمل ولايته بعد (المادتان 9 و14).</w:t>
      </w:r>
    </w:p>
    <w:p w:rsidR="007338A0" w:rsidRPr="00F43476" w:rsidRDefault="007338A0" w:rsidP="00185E3E">
      <w:pPr>
        <w:pStyle w:val="SingleTxt"/>
        <w:spacing w:line="394" w:lineRule="exact"/>
        <w:rPr>
          <w:b/>
          <w:bCs/>
          <w:spacing w:val="-2"/>
          <w:rtl/>
          <w:lang w:bidi="ar"/>
        </w:rPr>
      </w:pPr>
      <w:r w:rsidRPr="00F43476">
        <w:rPr>
          <w:spacing w:val="-2"/>
          <w:rtl/>
          <w:lang w:bidi="ar"/>
        </w:rPr>
        <w:t>17</w:t>
      </w:r>
      <w:r w:rsidRPr="00F43476">
        <w:rPr>
          <w:rFonts w:hint="cs"/>
          <w:spacing w:val="-2"/>
          <w:rtl/>
          <w:lang w:bidi="ar"/>
        </w:rPr>
        <w:t>-</w:t>
      </w:r>
      <w:r w:rsidRPr="00F43476">
        <w:rPr>
          <w:rFonts w:hint="cs"/>
          <w:spacing w:val="-2"/>
          <w:rtl/>
          <w:lang w:bidi="ar"/>
        </w:rPr>
        <w:tab/>
      </w:r>
      <w:r w:rsidRPr="00F43476">
        <w:rPr>
          <w:b/>
          <w:bCs/>
          <w:spacing w:val="-2"/>
          <w:rtl/>
          <w:lang w:bidi="ar"/>
        </w:rPr>
        <w:t xml:space="preserve">تشير </w:t>
      </w:r>
      <w:r w:rsidRPr="00F43476">
        <w:rPr>
          <w:rFonts w:hint="cs"/>
          <w:b/>
          <w:bCs/>
          <w:spacing w:val="-2"/>
          <w:rtl/>
          <w:lang w:bidi="ar"/>
        </w:rPr>
        <w:t xml:space="preserve">اللجنة </w:t>
      </w:r>
      <w:r w:rsidRPr="00F43476">
        <w:rPr>
          <w:b/>
          <w:bCs/>
          <w:spacing w:val="-2"/>
          <w:rtl/>
          <w:lang w:bidi="ar"/>
        </w:rPr>
        <w:t xml:space="preserve">إلى توصيتها السابقة (انظر </w:t>
      </w:r>
      <w:r w:rsidRPr="00F43476">
        <w:rPr>
          <w:b/>
          <w:bCs/>
          <w:spacing w:val="-2"/>
          <w:lang w:bidi="ar"/>
        </w:rPr>
        <w:t>CCPR/C/SMR/CO/2</w:t>
      </w:r>
      <w:r w:rsidRPr="00F43476">
        <w:rPr>
          <w:b/>
          <w:bCs/>
          <w:spacing w:val="-2"/>
          <w:rtl/>
          <w:lang w:bidi="ar"/>
        </w:rPr>
        <w:t xml:space="preserve">، الفقرة 11)، </w:t>
      </w:r>
      <w:r w:rsidRPr="00F43476">
        <w:rPr>
          <w:rFonts w:hint="cs"/>
          <w:b/>
          <w:bCs/>
          <w:spacing w:val="-2"/>
          <w:rtl/>
          <w:lang w:bidi="ar"/>
        </w:rPr>
        <w:t>و</w:t>
      </w:r>
      <w:r w:rsidRPr="00F43476">
        <w:rPr>
          <w:b/>
          <w:bCs/>
          <w:spacing w:val="-2"/>
          <w:rtl/>
          <w:lang w:bidi="ar"/>
        </w:rPr>
        <w:t xml:space="preserve">توصي بأن </w:t>
      </w:r>
      <w:r w:rsidRPr="00F43476">
        <w:rPr>
          <w:rFonts w:hint="cs"/>
          <w:b/>
          <w:bCs/>
          <w:spacing w:val="-2"/>
          <w:rtl/>
          <w:lang w:bidi="ar"/>
        </w:rPr>
        <w:t xml:space="preserve">تسرِّع </w:t>
      </w:r>
      <w:r w:rsidRPr="00F43476">
        <w:rPr>
          <w:b/>
          <w:bCs/>
          <w:spacing w:val="-2"/>
          <w:rtl/>
          <w:lang w:bidi="ar"/>
        </w:rPr>
        <w:t xml:space="preserve">الدولة الطرف اعتماد قانون إجراءات جنائية </w:t>
      </w:r>
      <w:r w:rsidRPr="00F43476">
        <w:rPr>
          <w:rFonts w:hint="cs"/>
          <w:b/>
          <w:bCs/>
          <w:spacing w:val="-2"/>
          <w:rtl/>
          <w:lang w:bidi="ar"/>
        </w:rPr>
        <w:t>شامل جديد وأن تكفل توافقه التام وأحكام</w:t>
      </w:r>
      <w:r w:rsidRPr="00F43476">
        <w:rPr>
          <w:b/>
          <w:bCs/>
          <w:spacing w:val="-2"/>
          <w:rtl/>
          <w:lang w:bidi="ar"/>
        </w:rPr>
        <w:t xml:space="preserve"> العهد.</w:t>
      </w:r>
    </w:p>
    <w:p w:rsidR="0045506B" w:rsidRPr="0045506B" w:rsidRDefault="0045506B" w:rsidP="0045506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r>
      <w:r>
        <w:rPr>
          <w:rFonts w:hint="cs"/>
          <w:rtl/>
          <w:lang w:bidi="ar"/>
        </w:rPr>
        <w:tab/>
      </w:r>
      <w:r>
        <w:rPr>
          <w:rtl/>
          <w:lang w:bidi="ar"/>
        </w:rPr>
        <w:t>حرية التعبير</w:t>
      </w:r>
    </w:p>
    <w:p w:rsidR="007338A0" w:rsidRDefault="007338A0" w:rsidP="00185E3E">
      <w:pPr>
        <w:pStyle w:val="SingleTxt"/>
        <w:spacing w:line="394" w:lineRule="exact"/>
        <w:rPr>
          <w:rtl/>
          <w:lang w:bidi="ar"/>
        </w:rPr>
      </w:pPr>
      <w:r>
        <w:rPr>
          <w:rtl/>
          <w:lang w:bidi="ar"/>
        </w:rPr>
        <w:t>18</w:t>
      </w:r>
      <w:r>
        <w:rPr>
          <w:rFonts w:hint="cs"/>
          <w:rtl/>
          <w:lang w:bidi="ar"/>
        </w:rPr>
        <w:t>-</w:t>
      </w:r>
      <w:r>
        <w:rPr>
          <w:rFonts w:hint="cs"/>
          <w:rtl/>
          <w:lang w:bidi="ar"/>
        </w:rPr>
        <w:tab/>
        <w:t xml:space="preserve">تحيط </w:t>
      </w:r>
      <w:r>
        <w:rPr>
          <w:rtl/>
          <w:lang w:bidi="ar"/>
        </w:rPr>
        <w:t>اللجنة علما</w:t>
      </w:r>
      <w:r>
        <w:rPr>
          <w:rFonts w:hint="cs"/>
          <w:rtl/>
          <w:lang w:bidi="ar"/>
        </w:rPr>
        <w:t>ً</w:t>
      </w:r>
      <w:r>
        <w:rPr>
          <w:rtl/>
          <w:lang w:bidi="ar"/>
        </w:rPr>
        <w:t xml:space="preserve"> بالمعلومات </w:t>
      </w:r>
      <w:r>
        <w:rPr>
          <w:rFonts w:hint="cs"/>
          <w:rtl/>
          <w:lang w:bidi="ar"/>
        </w:rPr>
        <w:t xml:space="preserve">المقدمة من </w:t>
      </w:r>
      <w:r>
        <w:rPr>
          <w:rtl/>
          <w:lang w:bidi="ar"/>
        </w:rPr>
        <w:t xml:space="preserve">الدولة الطرف بشأن </w:t>
      </w:r>
      <w:r>
        <w:rPr>
          <w:rFonts w:hint="cs"/>
          <w:rtl/>
          <w:lang w:bidi="ar"/>
        </w:rPr>
        <w:t xml:space="preserve">الاجتهادات </w:t>
      </w:r>
      <w:r>
        <w:rPr>
          <w:rtl/>
          <w:lang w:bidi="ar"/>
        </w:rPr>
        <w:t xml:space="preserve">القضائية المتعلقة بالتشهير والشرف، </w:t>
      </w:r>
      <w:r>
        <w:rPr>
          <w:rFonts w:hint="cs"/>
          <w:rtl/>
          <w:lang w:bidi="ar"/>
        </w:rPr>
        <w:t>و</w:t>
      </w:r>
      <w:r>
        <w:rPr>
          <w:rtl/>
          <w:lang w:bidi="ar"/>
        </w:rPr>
        <w:t xml:space="preserve">لا سيما </w:t>
      </w:r>
      <w:r>
        <w:rPr>
          <w:rFonts w:hint="cs"/>
          <w:rtl/>
          <w:lang w:bidi="ar"/>
        </w:rPr>
        <w:t xml:space="preserve">القرار الصادر </w:t>
      </w:r>
      <w:r>
        <w:rPr>
          <w:rtl/>
          <w:lang w:bidi="ar"/>
        </w:rPr>
        <w:t xml:space="preserve">في 3 </w:t>
      </w:r>
      <w:r>
        <w:rPr>
          <w:rFonts w:hint="cs"/>
          <w:rtl/>
          <w:lang w:bidi="ar"/>
        </w:rPr>
        <w:t>تشرين الثاني/</w:t>
      </w:r>
      <w:r>
        <w:rPr>
          <w:rtl/>
          <w:lang w:bidi="ar"/>
        </w:rPr>
        <w:t>نوفمبر 2009</w:t>
      </w:r>
      <w:r>
        <w:rPr>
          <w:rFonts w:hint="cs"/>
          <w:rtl/>
          <w:lang w:bidi="ar"/>
        </w:rPr>
        <w:t xml:space="preserve"> عن قاضي محكمة الاستئناف ومفاده أن </w:t>
      </w:r>
      <w:r>
        <w:rPr>
          <w:rtl/>
          <w:lang w:bidi="ar"/>
        </w:rPr>
        <w:t xml:space="preserve">انتقاد أنشطة </w:t>
      </w:r>
      <w:r>
        <w:rPr>
          <w:rFonts w:hint="cs"/>
          <w:rtl/>
          <w:lang w:bidi="ar"/>
        </w:rPr>
        <w:t xml:space="preserve">السياسيين </w:t>
      </w:r>
      <w:r>
        <w:rPr>
          <w:rtl/>
          <w:lang w:bidi="ar"/>
        </w:rPr>
        <w:t xml:space="preserve">العامة، حتى </w:t>
      </w:r>
      <w:r>
        <w:rPr>
          <w:rFonts w:hint="cs"/>
          <w:rtl/>
          <w:lang w:bidi="ar"/>
        </w:rPr>
        <w:t>وإن كان مسيئا</w:t>
      </w:r>
      <w:r w:rsidR="00877746">
        <w:rPr>
          <w:rFonts w:hint="cs"/>
          <w:rtl/>
          <w:lang w:bidi="ar"/>
        </w:rPr>
        <w:t>ً</w:t>
      </w:r>
      <w:r>
        <w:rPr>
          <w:rFonts w:hint="cs"/>
          <w:rtl/>
          <w:lang w:bidi="ar"/>
        </w:rPr>
        <w:t xml:space="preserve">، </w:t>
      </w:r>
      <w:r>
        <w:rPr>
          <w:rtl/>
          <w:lang w:bidi="ar"/>
        </w:rPr>
        <w:t xml:space="preserve">لا يمكن </w:t>
      </w:r>
      <w:r>
        <w:rPr>
          <w:rFonts w:hint="cs"/>
          <w:rtl/>
          <w:lang w:bidi="ar"/>
        </w:rPr>
        <w:t xml:space="preserve">أن يشكل </w:t>
      </w:r>
      <w:r>
        <w:rPr>
          <w:rtl/>
          <w:lang w:bidi="ar"/>
        </w:rPr>
        <w:t>أبدا</w:t>
      </w:r>
      <w:r>
        <w:rPr>
          <w:rFonts w:hint="cs"/>
          <w:rtl/>
          <w:lang w:bidi="ar"/>
        </w:rPr>
        <w:t>ً</w:t>
      </w:r>
      <w:r>
        <w:rPr>
          <w:rtl/>
          <w:lang w:bidi="ar"/>
        </w:rPr>
        <w:t xml:space="preserve"> </w:t>
      </w:r>
      <w:r>
        <w:rPr>
          <w:rFonts w:hint="cs"/>
          <w:rtl/>
          <w:lang w:bidi="ar"/>
        </w:rPr>
        <w:t xml:space="preserve">تعدياً </w:t>
      </w:r>
      <w:r>
        <w:rPr>
          <w:rtl/>
          <w:lang w:bidi="ar"/>
        </w:rPr>
        <w:t xml:space="preserve">على مبدأ </w:t>
      </w:r>
      <w:r>
        <w:rPr>
          <w:rFonts w:hint="cs"/>
          <w:rtl/>
          <w:lang w:bidi="ar"/>
        </w:rPr>
        <w:t xml:space="preserve">الفرد </w:t>
      </w:r>
      <w:r>
        <w:rPr>
          <w:rtl/>
          <w:lang w:bidi="ar"/>
        </w:rPr>
        <w:t>أو شرف</w:t>
      </w:r>
      <w:r>
        <w:rPr>
          <w:rFonts w:hint="cs"/>
          <w:rtl/>
          <w:lang w:bidi="ar"/>
        </w:rPr>
        <w:t>ه</w:t>
      </w:r>
      <w:r>
        <w:rPr>
          <w:rtl/>
          <w:lang w:bidi="ar"/>
        </w:rPr>
        <w:t>. ومع ذلك، ت</w:t>
      </w:r>
      <w:r>
        <w:rPr>
          <w:rFonts w:hint="cs"/>
          <w:rtl/>
          <w:lang w:bidi="ar"/>
        </w:rPr>
        <w:t xml:space="preserve">عرب اللجنة عن </w:t>
      </w:r>
      <w:r>
        <w:rPr>
          <w:rtl/>
          <w:lang w:bidi="ar"/>
        </w:rPr>
        <w:t>أسف</w:t>
      </w:r>
      <w:r>
        <w:rPr>
          <w:rFonts w:hint="cs"/>
          <w:rtl/>
          <w:lang w:bidi="ar"/>
        </w:rPr>
        <w:t>ها</w:t>
      </w:r>
      <w:r>
        <w:rPr>
          <w:rtl/>
          <w:lang w:bidi="ar"/>
        </w:rPr>
        <w:t xml:space="preserve"> </w:t>
      </w:r>
      <w:r>
        <w:rPr>
          <w:rFonts w:hint="cs"/>
          <w:rtl/>
          <w:lang w:bidi="ar"/>
        </w:rPr>
        <w:t>لكون المواد من</w:t>
      </w:r>
      <w:r w:rsidR="00F43476">
        <w:rPr>
          <w:rFonts w:hint="eastAsia"/>
          <w:rtl/>
          <w:lang w:bidi="ar"/>
        </w:rPr>
        <w:t> </w:t>
      </w:r>
      <w:r>
        <w:rPr>
          <w:rtl/>
          <w:lang w:bidi="ar"/>
        </w:rPr>
        <w:t>183</w:t>
      </w:r>
      <w:r>
        <w:rPr>
          <w:rFonts w:hint="cs"/>
          <w:rtl/>
          <w:lang w:bidi="ar"/>
        </w:rPr>
        <w:t xml:space="preserve"> إلى </w:t>
      </w:r>
      <w:r>
        <w:rPr>
          <w:rtl/>
          <w:lang w:bidi="ar"/>
        </w:rPr>
        <w:t xml:space="preserve">185 </w:t>
      </w:r>
      <w:r>
        <w:rPr>
          <w:rFonts w:hint="cs"/>
          <w:rtl/>
          <w:lang w:bidi="ar"/>
        </w:rPr>
        <w:t>و</w:t>
      </w:r>
      <w:r>
        <w:rPr>
          <w:rtl/>
          <w:lang w:bidi="ar"/>
        </w:rPr>
        <w:t xml:space="preserve">342 و344 من </w:t>
      </w:r>
      <w:r>
        <w:rPr>
          <w:rFonts w:hint="cs"/>
          <w:rtl/>
          <w:lang w:bidi="ar"/>
        </w:rPr>
        <w:t>ال</w:t>
      </w:r>
      <w:r>
        <w:rPr>
          <w:rtl/>
          <w:lang w:bidi="ar"/>
        </w:rPr>
        <w:t xml:space="preserve">قانون </w:t>
      </w:r>
      <w:r>
        <w:rPr>
          <w:rFonts w:hint="cs"/>
          <w:rtl/>
          <w:lang w:bidi="ar"/>
        </w:rPr>
        <w:t xml:space="preserve">الجنائي ما زالت </w:t>
      </w:r>
      <w:r>
        <w:rPr>
          <w:rtl/>
          <w:lang w:bidi="ar"/>
        </w:rPr>
        <w:t xml:space="preserve">تجرم التشهير وغيره من </w:t>
      </w:r>
      <w:r>
        <w:rPr>
          <w:rFonts w:hint="cs"/>
          <w:rtl/>
          <w:lang w:bidi="ar"/>
        </w:rPr>
        <w:t xml:space="preserve">أفعال الاعتداء على </w:t>
      </w:r>
      <w:r>
        <w:rPr>
          <w:rtl/>
          <w:lang w:bidi="ar"/>
        </w:rPr>
        <w:t xml:space="preserve">الشرف، بما في ذلك شرف </w:t>
      </w:r>
      <w:r>
        <w:rPr>
          <w:rFonts w:hint="cs"/>
          <w:rtl/>
          <w:lang w:bidi="ar"/>
        </w:rPr>
        <w:t xml:space="preserve">رئيس الدولة وسائر المسؤولين الحكوميين </w:t>
      </w:r>
      <w:r>
        <w:rPr>
          <w:rtl/>
          <w:lang w:bidi="ar"/>
        </w:rPr>
        <w:t>(المادة</w:t>
      </w:r>
      <w:r>
        <w:rPr>
          <w:rFonts w:hint="cs"/>
          <w:rtl/>
          <w:lang w:bidi="ar"/>
        </w:rPr>
        <w:t> </w:t>
      </w:r>
      <w:r>
        <w:rPr>
          <w:rtl/>
          <w:lang w:bidi="ar"/>
        </w:rPr>
        <w:t>19).</w:t>
      </w:r>
    </w:p>
    <w:p w:rsidR="007338A0" w:rsidRPr="00352EF9" w:rsidRDefault="007338A0" w:rsidP="00185E3E">
      <w:pPr>
        <w:pStyle w:val="SingleTxt"/>
        <w:spacing w:line="394" w:lineRule="exact"/>
        <w:rPr>
          <w:b/>
          <w:bCs/>
          <w:rtl/>
          <w:lang w:bidi="ar"/>
        </w:rPr>
      </w:pPr>
      <w:r w:rsidRPr="007338A0">
        <w:rPr>
          <w:rtl/>
          <w:lang w:bidi="ar"/>
        </w:rPr>
        <w:t>19</w:t>
      </w:r>
      <w:r w:rsidRPr="007338A0">
        <w:rPr>
          <w:rFonts w:hint="cs"/>
          <w:rtl/>
          <w:lang w:bidi="ar"/>
        </w:rPr>
        <w:t>-</w:t>
      </w:r>
      <w:r w:rsidRPr="007338A0">
        <w:rPr>
          <w:rFonts w:hint="cs"/>
          <w:rtl/>
          <w:lang w:bidi="ar"/>
        </w:rPr>
        <w:tab/>
      </w:r>
      <w:r w:rsidRPr="00352EF9">
        <w:rPr>
          <w:b/>
          <w:bCs/>
          <w:rtl/>
          <w:lang w:bidi="ar"/>
        </w:rPr>
        <w:t xml:space="preserve">في ضوء المادة 19 من العهد وتعليق اللجنة العام رقم 34(2011) </w:t>
      </w:r>
      <w:r w:rsidRPr="00352EF9">
        <w:rPr>
          <w:rFonts w:hint="cs"/>
          <w:b/>
          <w:bCs/>
          <w:rtl/>
          <w:lang w:bidi="ar"/>
        </w:rPr>
        <w:t xml:space="preserve">بشأن حرية </w:t>
      </w:r>
      <w:r w:rsidRPr="00352EF9">
        <w:rPr>
          <w:b/>
          <w:bCs/>
          <w:rtl/>
          <w:lang w:bidi="ar"/>
        </w:rPr>
        <w:t xml:space="preserve">الرأي والتعبير، ينبغي </w:t>
      </w:r>
      <w:r w:rsidRPr="00352EF9">
        <w:rPr>
          <w:rFonts w:hint="cs"/>
          <w:b/>
          <w:bCs/>
          <w:rtl/>
          <w:lang w:bidi="ar"/>
        </w:rPr>
        <w:t>أن تنظر ا</w:t>
      </w:r>
      <w:r w:rsidRPr="00352EF9">
        <w:rPr>
          <w:b/>
          <w:bCs/>
          <w:rtl/>
          <w:lang w:bidi="ar"/>
        </w:rPr>
        <w:t xml:space="preserve">لدولة الطرف في </w:t>
      </w:r>
      <w:r w:rsidRPr="00352EF9">
        <w:rPr>
          <w:rFonts w:hint="cs"/>
          <w:b/>
          <w:bCs/>
          <w:rtl/>
          <w:lang w:bidi="ar"/>
        </w:rPr>
        <w:t xml:space="preserve">إزالة صفة الجريمة عن </w:t>
      </w:r>
      <w:r w:rsidRPr="00352EF9">
        <w:rPr>
          <w:b/>
          <w:bCs/>
          <w:rtl/>
          <w:lang w:bidi="ar"/>
        </w:rPr>
        <w:t xml:space="preserve">السلوك المنصوص عليه في </w:t>
      </w:r>
      <w:r w:rsidRPr="00352EF9">
        <w:rPr>
          <w:rFonts w:hint="cs"/>
          <w:b/>
          <w:bCs/>
          <w:rtl/>
          <w:lang w:bidi="ar"/>
        </w:rPr>
        <w:t xml:space="preserve">المواد من </w:t>
      </w:r>
      <w:r w:rsidRPr="00352EF9">
        <w:rPr>
          <w:b/>
          <w:bCs/>
          <w:rtl/>
          <w:lang w:bidi="ar"/>
        </w:rPr>
        <w:t>183</w:t>
      </w:r>
      <w:r w:rsidRPr="00352EF9">
        <w:rPr>
          <w:rFonts w:hint="cs"/>
          <w:b/>
          <w:bCs/>
          <w:rtl/>
          <w:lang w:bidi="ar"/>
        </w:rPr>
        <w:t xml:space="preserve"> إلى </w:t>
      </w:r>
      <w:r w:rsidRPr="00352EF9">
        <w:rPr>
          <w:b/>
          <w:bCs/>
          <w:rtl/>
          <w:lang w:bidi="ar"/>
        </w:rPr>
        <w:t xml:space="preserve">185 </w:t>
      </w:r>
      <w:r w:rsidRPr="00352EF9">
        <w:rPr>
          <w:rFonts w:hint="cs"/>
          <w:b/>
          <w:bCs/>
          <w:rtl/>
          <w:lang w:bidi="ar"/>
        </w:rPr>
        <w:t>و</w:t>
      </w:r>
      <w:r w:rsidRPr="00352EF9">
        <w:rPr>
          <w:b/>
          <w:bCs/>
          <w:rtl/>
          <w:lang w:bidi="ar"/>
        </w:rPr>
        <w:t xml:space="preserve">342 و344 من القانون الجنائي، </w:t>
      </w:r>
      <w:r w:rsidRPr="00352EF9">
        <w:rPr>
          <w:rFonts w:hint="cs"/>
          <w:b/>
          <w:bCs/>
          <w:rtl/>
          <w:lang w:bidi="ar"/>
        </w:rPr>
        <w:t xml:space="preserve">وأن تحصر في </w:t>
      </w:r>
      <w:r w:rsidRPr="00352EF9">
        <w:rPr>
          <w:rFonts w:hint="cs"/>
          <w:b/>
          <w:bCs/>
          <w:rtl/>
          <w:lang w:bidi="ar"/>
        </w:rPr>
        <w:lastRenderedPageBreak/>
        <w:t xml:space="preserve">جميع الحالات تطبيق </w:t>
      </w:r>
      <w:r w:rsidRPr="00352EF9">
        <w:rPr>
          <w:b/>
          <w:bCs/>
          <w:rtl/>
          <w:lang w:bidi="ar"/>
        </w:rPr>
        <w:t xml:space="preserve">القانون الجنائي </w:t>
      </w:r>
      <w:r w:rsidRPr="00352EF9">
        <w:rPr>
          <w:rFonts w:hint="cs"/>
          <w:b/>
          <w:bCs/>
          <w:rtl/>
          <w:lang w:bidi="ar"/>
        </w:rPr>
        <w:t>في أخطر الجرائم، آخذة في اعتبارها أن السجن ليس العقاب الأمثل في هذه الحالات.</w:t>
      </w:r>
    </w:p>
    <w:p w:rsidR="007338A0" w:rsidRP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r>
      <w:r>
        <w:rPr>
          <w:rFonts w:hint="cs"/>
          <w:rtl/>
          <w:lang w:bidi="ar"/>
        </w:rPr>
        <w:tab/>
      </w:r>
      <w:r>
        <w:rPr>
          <w:rtl/>
          <w:lang w:bidi="ar"/>
        </w:rPr>
        <w:t xml:space="preserve">حقوق </w:t>
      </w:r>
      <w:r>
        <w:rPr>
          <w:rFonts w:hint="cs"/>
          <w:rtl/>
          <w:lang w:bidi="ar"/>
        </w:rPr>
        <w:t>الطفل</w:t>
      </w:r>
    </w:p>
    <w:p w:rsidR="007338A0" w:rsidRDefault="007338A0" w:rsidP="007338A0">
      <w:pPr>
        <w:pStyle w:val="SingleTxt"/>
        <w:rPr>
          <w:rtl/>
          <w:lang w:bidi="ar"/>
        </w:rPr>
      </w:pPr>
      <w:r>
        <w:rPr>
          <w:rtl/>
          <w:lang w:bidi="ar"/>
        </w:rPr>
        <w:t>20</w:t>
      </w:r>
      <w:r>
        <w:rPr>
          <w:rFonts w:hint="cs"/>
          <w:rtl/>
          <w:lang w:bidi="ar"/>
        </w:rPr>
        <w:t>-</w:t>
      </w:r>
      <w:r>
        <w:rPr>
          <w:rFonts w:hint="cs"/>
          <w:rtl/>
          <w:lang w:bidi="ar"/>
        </w:rPr>
        <w:tab/>
      </w:r>
      <w:r>
        <w:rPr>
          <w:rtl/>
          <w:lang w:bidi="ar"/>
        </w:rPr>
        <w:t xml:space="preserve">تلاحظ اللجنة أن </w:t>
      </w:r>
      <w:r>
        <w:rPr>
          <w:rFonts w:hint="cs"/>
          <w:rtl/>
          <w:lang w:bidi="ar"/>
        </w:rPr>
        <w:t>ال</w:t>
      </w:r>
      <w:r>
        <w:rPr>
          <w:rtl/>
          <w:lang w:bidi="ar"/>
        </w:rPr>
        <w:t xml:space="preserve">تجنيد الإلزامي </w:t>
      </w:r>
      <w:r>
        <w:rPr>
          <w:rFonts w:hint="cs"/>
          <w:rtl/>
          <w:lang w:bidi="ar"/>
        </w:rPr>
        <w:t>في ا</w:t>
      </w:r>
      <w:r>
        <w:rPr>
          <w:rtl/>
          <w:lang w:bidi="ar"/>
        </w:rPr>
        <w:t xml:space="preserve">لجيش </w:t>
      </w:r>
      <w:r>
        <w:rPr>
          <w:rFonts w:hint="cs"/>
          <w:rtl/>
          <w:lang w:bidi="ar"/>
        </w:rPr>
        <w:t>لم يحدث قط</w:t>
      </w:r>
      <w:r>
        <w:rPr>
          <w:rtl/>
          <w:lang w:bidi="ar"/>
        </w:rPr>
        <w:t xml:space="preserve"> وأن </w:t>
      </w:r>
      <w:r>
        <w:rPr>
          <w:rFonts w:hint="cs"/>
          <w:rtl/>
          <w:lang w:bidi="ar"/>
        </w:rPr>
        <w:t xml:space="preserve">فريقاً عاملاً قد أُنشئ مؤخراً لإعادة النظر في </w:t>
      </w:r>
      <w:r>
        <w:rPr>
          <w:rtl/>
          <w:lang w:bidi="ar"/>
        </w:rPr>
        <w:t xml:space="preserve">التشريعات المتعلقة </w:t>
      </w:r>
      <w:r>
        <w:rPr>
          <w:rFonts w:hint="cs"/>
          <w:rtl/>
          <w:lang w:bidi="ar"/>
        </w:rPr>
        <w:t xml:space="preserve">بالهيئات </w:t>
      </w:r>
      <w:r>
        <w:rPr>
          <w:rtl/>
          <w:lang w:bidi="ar"/>
        </w:rPr>
        <w:t>العسكري</w:t>
      </w:r>
      <w:r>
        <w:rPr>
          <w:rFonts w:hint="cs"/>
          <w:rtl/>
          <w:lang w:bidi="ar"/>
        </w:rPr>
        <w:t>ة</w:t>
      </w:r>
      <w:r>
        <w:rPr>
          <w:rtl/>
          <w:lang w:bidi="ar"/>
        </w:rPr>
        <w:t xml:space="preserve">، </w:t>
      </w:r>
      <w:r>
        <w:rPr>
          <w:rFonts w:hint="cs"/>
          <w:rtl/>
          <w:lang w:bidi="ar"/>
        </w:rPr>
        <w:t xml:space="preserve">لكنها تظل قلقة </w:t>
      </w:r>
      <w:r>
        <w:rPr>
          <w:rtl/>
          <w:lang w:bidi="ar"/>
        </w:rPr>
        <w:t>ل</w:t>
      </w:r>
      <w:r>
        <w:rPr>
          <w:rFonts w:hint="cs"/>
          <w:rtl/>
          <w:lang w:bidi="ar"/>
        </w:rPr>
        <w:t xml:space="preserve">كون المادة 3 من القانون رقم </w:t>
      </w:r>
      <w:r>
        <w:rPr>
          <w:rtl/>
          <w:lang w:bidi="ar"/>
        </w:rPr>
        <w:t xml:space="preserve">15/1990، </w:t>
      </w:r>
      <w:r>
        <w:rPr>
          <w:rFonts w:hint="cs"/>
          <w:rtl/>
          <w:lang w:bidi="ar"/>
        </w:rPr>
        <w:t>التي ت</w:t>
      </w:r>
      <w:r>
        <w:rPr>
          <w:rtl/>
          <w:lang w:bidi="ar"/>
        </w:rPr>
        <w:t>نص على الخدمة العسكرية الإلزامية</w:t>
      </w:r>
      <w:r>
        <w:rPr>
          <w:rFonts w:hint="cs"/>
          <w:rtl/>
          <w:lang w:bidi="ar"/>
        </w:rPr>
        <w:t>،</w:t>
      </w:r>
      <w:r>
        <w:rPr>
          <w:rtl/>
          <w:lang w:bidi="ar"/>
        </w:rPr>
        <w:t xml:space="preserve"> بما في ذلك </w:t>
      </w:r>
      <w:r>
        <w:rPr>
          <w:rFonts w:hint="cs"/>
          <w:rtl/>
          <w:lang w:bidi="ar"/>
        </w:rPr>
        <w:t xml:space="preserve">في حالة الأحداث ابتداءً من سن السادسة عشرة، لا تزال نافذة، وإن كانت لا تُطبق إلا في ظرف التعبئة العامة الاستثنائي </w:t>
      </w:r>
      <w:r>
        <w:rPr>
          <w:rtl/>
          <w:lang w:bidi="ar"/>
        </w:rPr>
        <w:t>(المادة 24).</w:t>
      </w:r>
    </w:p>
    <w:p w:rsidR="007338A0" w:rsidRPr="00F43476" w:rsidRDefault="007338A0" w:rsidP="007338A0">
      <w:pPr>
        <w:pStyle w:val="SingleTxt"/>
        <w:rPr>
          <w:b/>
          <w:bCs/>
          <w:spacing w:val="-2"/>
          <w:rtl/>
          <w:lang w:bidi="ar"/>
        </w:rPr>
      </w:pPr>
      <w:r w:rsidRPr="00F43476">
        <w:rPr>
          <w:spacing w:val="-2"/>
          <w:rtl/>
          <w:lang w:bidi="ar"/>
        </w:rPr>
        <w:t>21</w:t>
      </w:r>
      <w:r w:rsidRPr="00F43476">
        <w:rPr>
          <w:rFonts w:hint="cs"/>
          <w:spacing w:val="-2"/>
          <w:rtl/>
          <w:lang w:bidi="ar"/>
        </w:rPr>
        <w:t>-</w:t>
      </w:r>
      <w:r w:rsidRPr="00F43476">
        <w:rPr>
          <w:rFonts w:hint="cs"/>
          <w:spacing w:val="-2"/>
          <w:rtl/>
          <w:lang w:bidi="ar"/>
        </w:rPr>
        <w:tab/>
      </w:r>
      <w:r w:rsidRPr="00F43476">
        <w:rPr>
          <w:b/>
          <w:bCs/>
          <w:spacing w:val="-2"/>
          <w:rtl/>
          <w:lang w:bidi="ar"/>
        </w:rPr>
        <w:t xml:space="preserve">تشير </w:t>
      </w:r>
      <w:r w:rsidRPr="00F43476">
        <w:rPr>
          <w:rFonts w:hint="cs"/>
          <w:b/>
          <w:bCs/>
          <w:spacing w:val="-2"/>
          <w:rtl/>
          <w:lang w:bidi="ar"/>
        </w:rPr>
        <w:t xml:space="preserve">اللجنة </w:t>
      </w:r>
      <w:r w:rsidRPr="00F43476">
        <w:rPr>
          <w:b/>
          <w:bCs/>
          <w:spacing w:val="-2"/>
          <w:rtl/>
          <w:lang w:bidi="ar"/>
        </w:rPr>
        <w:t xml:space="preserve">إلى توصيتها السابقة (انظر </w:t>
      </w:r>
      <w:r w:rsidRPr="00F43476">
        <w:rPr>
          <w:b/>
          <w:bCs/>
          <w:spacing w:val="-2"/>
          <w:lang w:bidi="ar"/>
        </w:rPr>
        <w:t>CCPR/C/SMR/CO/2</w:t>
      </w:r>
      <w:r w:rsidRPr="00F43476">
        <w:rPr>
          <w:b/>
          <w:bCs/>
          <w:spacing w:val="-2"/>
          <w:rtl/>
          <w:lang w:bidi="ar"/>
        </w:rPr>
        <w:t xml:space="preserve">، الفقرة 15)، </w:t>
      </w:r>
      <w:r w:rsidRPr="00F43476">
        <w:rPr>
          <w:rFonts w:hint="cs"/>
          <w:b/>
          <w:bCs/>
          <w:spacing w:val="-2"/>
          <w:rtl/>
          <w:lang w:bidi="ar"/>
        </w:rPr>
        <w:t>و</w:t>
      </w:r>
      <w:r w:rsidRPr="00F43476">
        <w:rPr>
          <w:b/>
          <w:bCs/>
          <w:spacing w:val="-2"/>
          <w:rtl/>
          <w:lang w:bidi="ar"/>
        </w:rPr>
        <w:t xml:space="preserve">توصي بأن </w:t>
      </w:r>
      <w:r w:rsidRPr="00F43476">
        <w:rPr>
          <w:rFonts w:hint="cs"/>
          <w:b/>
          <w:bCs/>
          <w:spacing w:val="-2"/>
          <w:rtl/>
          <w:lang w:bidi="ar"/>
        </w:rPr>
        <w:t xml:space="preserve">تسرِّع </w:t>
      </w:r>
      <w:r w:rsidRPr="00F43476">
        <w:rPr>
          <w:b/>
          <w:bCs/>
          <w:spacing w:val="-2"/>
          <w:rtl/>
          <w:lang w:bidi="ar"/>
        </w:rPr>
        <w:t xml:space="preserve">الدولة الطرف </w:t>
      </w:r>
      <w:r w:rsidRPr="00F43476">
        <w:rPr>
          <w:rFonts w:hint="cs"/>
          <w:b/>
          <w:bCs/>
          <w:spacing w:val="-2"/>
          <w:rtl/>
          <w:lang w:bidi="ar"/>
        </w:rPr>
        <w:t xml:space="preserve">تنقيح </w:t>
      </w:r>
      <w:r w:rsidRPr="00F43476">
        <w:rPr>
          <w:b/>
          <w:bCs/>
          <w:spacing w:val="-2"/>
          <w:rtl/>
          <w:lang w:bidi="ar"/>
        </w:rPr>
        <w:t xml:space="preserve">تشريعاتها المتعلقة </w:t>
      </w:r>
      <w:r w:rsidRPr="00F43476">
        <w:rPr>
          <w:rFonts w:hint="cs"/>
          <w:b/>
          <w:bCs/>
          <w:spacing w:val="-2"/>
          <w:rtl/>
          <w:lang w:bidi="ar"/>
        </w:rPr>
        <w:t xml:space="preserve">بالهيئات العسكرية وتكفل توافقها التام مع أحكام العهد ومعايير حقوق الإنسان الدولية ذات الصلة، بسُبل منها رفع الحد الأدنى </w:t>
      </w:r>
      <w:r w:rsidRPr="00F43476">
        <w:rPr>
          <w:b/>
          <w:bCs/>
          <w:spacing w:val="-2"/>
          <w:rtl/>
          <w:lang w:bidi="ar"/>
        </w:rPr>
        <w:t xml:space="preserve">لسن الخدمة العسكرية في جميع </w:t>
      </w:r>
      <w:r w:rsidRPr="00F43476">
        <w:rPr>
          <w:rFonts w:hint="cs"/>
          <w:b/>
          <w:bCs/>
          <w:spacing w:val="-2"/>
          <w:rtl/>
          <w:lang w:bidi="ar"/>
        </w:rPr>
        <w:t xml:space="preserve">الظروف </w:t>
      </w:r>
      <w:r w:rsidRPr="00F43476">
        <w:rPr>
          <w:b/>
          <w:bCs/>
          <w:spacing w:val="-2"/>
          <w:rtl/>
          <w:lang w:bidi="ar"/>
        </w:rPr>
        <w:t xml:space="preserve">إلى </w:t>
      </w:r>
      <w:r w:rsidRPr="00F43476">
        <w:rPr>
          <w:rFonts w:hint="cs"/>
          <w:b/>
          <w:bCs/>
          <w:spacing w:val="-2"/>
          <w:rtl/>
          <w:lang w:bidi="ar"/>
        </w:rPr>
        <w:t>الثامنة عشرة</w:t>
      </w:r>
      <w:r w:rsidRPr="00F43476">
        <w:rPr>
          <w:b/>
          <w:bCs/>
          <w:spacing w:val="-2"/>
          <w:rtl/>
          <w:lang w:bidi="ar"/>
        </w:rPr>
        <w:t>.</w:t>
      </w:r>
    </w:p>
    <w:p w:rsidR="007338A0" w:rsidRP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7338A0" w:rsidRDefault="007338A0" w:rsidP="00733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r>
      <w:r>
        <w:rPr>
          <w:rFonts w:hint="cs"/>
          <w:rtl/>
          <w:lang w:bidi="ar"/>
        </w:rPr>
        <w:tab/>
      </w:r>
      <w:r>
        <w:rPr>
          <w:rtl/>
          <w:lang w:bidi="ar"/>
        </w:rPr>
        <w:t>المشاركة في الحياة العامة</w:t>
      </w:r>
    </w:p>
    <w:p w:rsidR="007338A0" w:rsidRDefault="007338A0" w:rsidP="00F43476">
      <w:pPr>
        <w:pStyle w:val="SingleTxt"/>
        <w:rPr>
          <w:rtl/>
          <w:lang w:bidi="ar"/>
        </w:rPr>
      </w:pPr>
      <w:r>
        <w:rPr>
          <w:rFonts w:hint="cs"/>
          <w:rtl/>
          <w:lang w:bidi="ar"/>
        </w:rPr>
        <w:t>22-</w:t>
      </w:r>
      <w:r>
        <w:rPr>
          <w:rFonts w:hint="cs"/>
          <w:rtl/>
          <w:lang w:bidi="ar"/>
        </w:rPr>
        <w:tab/>
        <w:t xml:space="preserve">تلاحظ </w:t>
      </w:r>
      <w:r>
        <w:rPr>
          <w:rtl/>
          <w:lang w:bidi="ar"/>
        </w:rPr>
        <w:t xml:space="preserve">اللجنة بقلق أن المادة 2 من </w:t>
      </w:r>
      <w:r>
        <w:rPr>
          <w:rFonts w:hint="cs"/>
          <w:rtl/>
          <w:lang w:bidi="ar"/>
        </w:rPr>
        <w:t>ال</w:t>
      </w:r>
      <w:r>
        <w:rPr>
          <w:rtl/>
          <w:lang w:bidi="ar"/>
        </w:rPr>
        <w:t>قانون الانتخاب</w:t>
      </w:r>
      <w:r>
        <w:rPr>
          <w:rFonts w:hint="cs"/>
          <w:rtl/>
          <w:lang w:bidi="ar"/>
        </w:rPr>
        <w:t>ي</w:t>
      </w:r>
      <w:r>
        <w:rPr>
          <w:rtl/>
          <w:lang w:bidi="ar"/>
        </w:rPr>
        <w:t xml:space="preserve"> (رقم 6/1996)، بصيغته المعدلة</w:t>
      </w:r>
      <w:r w:rsidR="00F43476">
        <w:rPr>
          <w:rFonts w:hint="cs"/>
          <w:rtl/>
          <w:lang w:bidi="ar"/>
        </w:rPr>
        <w:t> </w:t>
      </w:r>
      <w:r>
        <w:rPr>
          <w:rtl/>
          <w:lang w:bidi="ar"/>
        </w:rPr>
        <w:t xml:space="preserve">في عام 2007، </w:t>
      </w:r>
      <w:r>
        <w:rPr>
          <w:rFonts w:hint="cs"/>
          <w:rtl/>
          <w:lang w:bidi="ar"/>
        </w:rPr>
        <w:t xml:space="preserve">تستبعد </w:t>
      </w:r>
      <w:r>
        <w:rPr>
          <w:rtl/>
          <w:lang w:bidi="ar"/>
        </w:rPr>
        <w:t xml:space="preserve">"الأشخاص </w:t>
      </w:r>
      <w:r>
        <w:rPr>
          <w:rFonts w:hint="cs"/>
          <w:rtl/>
          <w:lang w:bidi="ar"/>
        </w:rPr>
        <w:t>المحجر عليهم بسبب الإعاقة الذهنية</w:t>
      </w:r>
      <w:r>
        <w:rPr>
          <w:rtl/>
          <w:lang w:bidi="ar"/>
        </w:rPr>
        <w:t xml:space="preserve">" </w:t>
      </w:r>
      <w:r>
        <w:rPr>
          <w:rFonts w:hint="cs"/>
          <w:rtl/>
          <w:lang w:bidi="ar"/>
        </w:rPr>
        <w:t xml:space="preserve">من </w:t>
      </w:r>
      <w:r>
        <w:rPr>
          <w:rtl/>
          <w:lang w:bidi="ar"/>
        </w:rPr>
        <w:t>التصويت (المادتان 25 و26).</w:t>
      </w:r>
    </w:p>
    <w:p w:rsidR="007338A0" w:rsidRPr="00BE6F9E" w:rsidRDefault="007338A0" w:rsidP="007338A0">
      <w:pPr>
        <w:pStyle w:val="SingleTxt"/>
        <w:rPr>
          <w:b/>
          <w:bCs/>
          <w:rtl/>
          <w:lang w:bidi="ar"/>
        </w:rPr>
      </w:pPr>
      <w:r w:rsidRPr="007338A0">
        <w:rPr>
          <w:rFonts w:hint="cs"/>
          <w:rtl/>
          <w:lang w:bidi="ar"/>
        </w:rPr>
        <w:t>23-</w:t>
      </w:r>
      <w:r w:rsidRPr="007338A0">
        <w:rPr>
          <w:rFonts w:hint="cs"/>
          <w:rtl/>
          <w:lang w:bidi="ar"/>
        </w:rPr>
        <w:tab/>
      </w:r>
      <w:r w:rsidRPr="00BE6F9E">
        <w:rPr>
          <w:rFonts w:hint="cs"/>
          <w:b/>
          <w:bCs/>
          <w:rtl/>
          <w:lang w:bidi="ar"/>
        </w:rPr>
        <w:t>ينبغي أن تنقح ا</w:t>
      </w:r>
      <w:r w:rsidRPr="00BE6F9E">
        <w:rPr>
          <w:b/>
          <w:bCs/>
          <w:rtl/>
          <w:lang w:bidi="ar"/>
        </w:rPr>
        <w:t xml:space="preserve">لدولة الطرف تشريعاتها </w:t>
      </w:r>
      <w:r w:rsidRPr="00BE6F9E">
        <w:rPr>
          <w:rFonts w:hint="cs"/>
          <w:b/>
          <w:bCs/>
          <w:rtl/>
          <w:lang w:bidi="ar"/>
        </w:rPr>
        <w:t xml:space="preserve">كي تكفل عدم تمييزها </w:t>
      </w:r>
      <w:r w:rsidRPr="00BE6F9E">
        <w:rPr>
          <w:b/>
          <w:bCs/>
          <w:rtl/>
          <w:lang w:bidi="ar"/>
        </w:rPr>
        <w:t>ضد الأشخاص ذوي الإعاق</w:t>
      </w:r>
      <w:r w:rsidRPr="00BE6F9E">
        <w:rPr>
          <w:rFonts w:hint="cs"/>
          <w:b/>
          <w:bCs/>
          <w:rtl/>
          <w:lang w:bidi="ar"/>
        </w:rPr>
        <w:t>ات</w:t>
      </w:r>
      <w:r w:rsidRPr="00BE6F9E">
        <w:rPr>
          <w:b/>
          <w:bCs/>
          <w:rtl/>
          <w:lang w:bidi="ar"/>
        </w:rPr>
        <w:t xml:space="preserve"> </w:t>
      </w:r>
      <w:r w:rsidRPr="00BE6F9E">
        <w:rPr>
          <w:rFonts w:hint="cs"/>
          <w:b/>
          <w:bCs/>
          <w:rtl/>
          <w:lang w:bidi="ar"/>
        </w:rPr>
        <w:t>الذهنية أ</w:t>
      </w:r>
      <w:r w:rsidRPr="00BE6F9E">
        <w:rPr>
          <w:b/>
          <w:bCs/>
          <w:rtl/>
          <w:lang w:bidi="ar"/>
        </w:rPr>
        <w:t>و</w:t>
      </w:r>
      <w:r w:rsidRPr="00BE6F9E">
        <w:rPr>
          <w:rFonts w:hint="cs"/>
          <w:b/>
          <w:bCs/>
          <w:rtl/>
          <w:lang w:bidi="ar"/>
        </w:rPr>
        <w:t xml:space="preserve"> </w:t>
      </w:r>
      <w:r w:rsidRPr="00BE6F9E">
        <w:rPr>
          <w:b/>
          <w:bCs/>
          <w:rtl/>
          <w:lang w:bidi="ar"/>
        </w:rPr>
        <w:t xml:space="preserve">الفكرية أو النفسية </w:t>
      </w:r>
      <w:r w:rsidRPr="00BE6F9E">
        <w:rPr>
          <w:rFonts w:hint="cs"/>
          <w:b/>
          <w:bCs/>
          <w:rtl/>
          <w:lang w:bidi="ar"/>
        </w:rPr>
        <w:t xml:space="preserve">الاجتماعية </w:t>
      </w:r>
      <w:r w:rsidRPr="00BE6F9E">
        <w:rPr>
          <w:b/>
          <w:bCs/>
          <w:rtl/>
          <w:lang w:bidi="ar"/>
        </w:rPr>
        <w:t>بحرمانهم من حق التصويت على أ</w:t>
      </w:r>
      <w:r w:rsidRPr="00BE6F9E">
        <w:rPr>
          <w:rFonts w:hint="cs"/>
          <w:b/>
          <w:bCs/>
          <w:rtl/>
          <w:lang w:bidi="ar"/>
        </w:rPr>
        <w:t>ُ</w:t>
      </w:r>
      <w:r w:rsidRPr="00BE6F9E">
        <w:rPr>
          <w:b/>
          <w:bCs/>
          <w:rtl/>
          <w:lang w:bidi="ar"/>
        </w:rPr>
        <w:t xml:space="preserve">سس ليس لها علاقة معقولة وموضوعية </w:t>
      </w:r>
      <w:r w:rsidRPr="00BE6F9E">
        <w:rPr>
          <w:rFonts w:hint="cs"/>
          <w:b/>
          <w:bCs/>
          <w:rtl/>
          <w:lang w:bidi="ar"/>
        </w:rPr>
        <w:t xml:space="preserve">بقدرتهم </w:t>
      </w:r>
      <w:r w:rsidRPr="00BE6F9E">
        <w:rPr>
          <w:b/>
          <w:bCs/>
          <w:rtl/>
          <w:lang w:bidi="ar"/>
        </w:rPr>
        <w:t>على التصويت.</w:t>
      </w:r>
    </w:p>
    <w:p w:rsidR="007338A0" w:rsidRPr="00D94752"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7338A0" w:rsidRPr="00D94752"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7338A0" w:rsidRDefault="007338A0" w:rsidP="007338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t>دال-</w:t>
      </w:r>
      <w:r>
        <w:rPr>
          <w:rFonts w:hint="cs"/>
          <w:rtl/>
          <w:lang w:bidi="ar"/>
        </w:rPr>
        <w:tab/>
      </w:r>
      <w:r>
        <w:rPr>
          <w:rtl/>
          <w:lang w:bidi="ar"/>
        </w:rPr>
        <w:t xml:space="preserve">نشر المعلومات المتعلقة </w:t>
      </w:r>
      <w:r>
        <w:rPr>
          <w:rFonts w:hint="cs"/>
          <w:rtl/>
          <w:lang w:bidi="ar"/>
        </w:rPr>
        <w:t>بالعهد</w:t>
      </w:r>
    </w:p>
    <w:p w:rsidR="007338A0" w:rsidRPr="00D94752" w:rsidRDefault="007338A0" w:rsidP="007338A0">
      <w:pPr>
        <w:pStyle w:val="SingleTxt"/>
        <w:spacing w:after="0" w:line="120" w:lineRule="exact"/>
        <w:rPr>
          <w:sz w:val="10"/>
          <w:rtl/>
          <w:lang w:bidi="ar"/>
        </w:rPr>
      </w:pPr>
    </w:p>
    <w:p w:rsidR="007338A0" w:rsidRPr="00185E3E" w:rsidRDefault="007338A0" w:rsidP="007338A0">
      <w:pPr>
        <w:pStyle w:val="SingleTxt"/>
        <w:rPr>
          <w:b/>
          <w:bCs/>
          <w:rtl/>
          <w:lang w:bidi="ar"/>
        </w:rPr>
      </w:pPr>
      <w:r>
        <w:rPr>
          <w:rFonts w:hint="cs"/>
          <w:rtl/>
          <w:lang w:bidi="ar"/>
        </w:rPr>
        <w:t>24-</w:t>
      </w:r>
      <w:r>
        <w:rPr>
          <w:rFonts w:hint="cs"/>
          <w:rtl/>
          <w:lang w:bidi="ar"/>
        </w:rPr>
        <w:tab/>
      </w:r>
      <w:r w:rsidRPr="00185E3E">
        <w:rPr>
          <w:rFonts w:hint="cs"/>
          <w:b/>
          <w:bCs/>
          <w:rtl/>
          <w:lang w:bidi="ar"/>
        </w:rPr>
        <w:t>ينبغي أن تنشر ال</w:t>
      </w:r>
      <w:r w:rsidRPr="00185E3E">
        <w:rPr>
          <w:b/>
          <w:bCs/>
          <w:rtl/>
          <w:lang w:bidi="ar"/>
        </w:rPr>
        <w:t>دولة الطرف على نطاق واسع العهد</w:t>
      </w:r>
      <w:r w:rsidRPr="00185E3E">
        <w:rPr>
          <w:rFonts w:hint="cs"/>
          <w:b/>
          <w:bCs/>
          <w:rtl/>
          <w:lang w:bidi="ar"/>
        </w:rPr>
        <w:t xml:space="preserve"> و</w:t>
      </w:r>
      <w:r w:rsidRPr="00185E3E">
        <w:rPr>
          <w:b/>
          <w:bCs/>
          <w:rtl/>
          <w:lang w:bidi="ar"/>
        </w:rPr>
        <w:t xml:space="preserve">البروتوكولين الاختياريين الملحقين </w:t>
      </w:r>
      <w:r w:rsidRPr="00185E3E">
        <w:rPr>
          <w:rFonts w:hint="cs"/>
          <w:b/>
          <w:bCs/>
          <w:rtl/>
          <w:lang w:bidi="ar"/>
        </w:rPr>
        <w:t>به</w:t>
      </w:r>
      <w:r w:rsidRPr="00185E3E">
        <w:rPr>
          <w:b/>
          <w:bCs/>
          <w:rtl/>
          <w:lang w:bidi="ar"/>
        </w:rPr>
        <w:t xml:space="preserve"> </w:t>
      </w:r>
      <w:r w:rsidRPr="00185E3E">
        <w:rPr>
          <w:rFonts w:hint="cs"/>
          <w:b/>
          <w:bCs/>
          <w:rtl/>
          <w:lang w:bidi="ar"/>
        </w:rPr>
        <w:t>و</w:t>
      </w:r>
      <w:r w:rsidRPr="00185E3E">
        <w:rPr>
          <w:b/>
          <w:bCs/>
          <w:rtl/>
          <w:lang w:bidi="ar"/>
        </w:rPr>
        <w:t xml:space="preserve">تقريرها الدوري الثالث وهذه الملاحظات الختامية </w:t>
      </w:r>
      <w:r w:rsidRPr="00185E3E">
        <w:rPr>
          <w:rFonts w:hint="cs"/>
          <w:b/>
          <w:bCs/>
          <w:rtl/>
          <w:lang w:bidi="ar"/>
        </w:rPr>
        <w:t xml:space="preserve">في أوساط </w:t>
      </w:r>
      <w:r w:rsidRPr="00185E3E">
        <w:rPr>
          <w:b/>
          <w:bCs/>
          <w:rtl/>
          <w:lang w:bidi="ar"/>
        </w:rPr>
        <w:t xml:space="preserve">السلطات القضائية والتشريعية والإدارية والمجتمع المدني والمنظمات غير الحكومية العاملة في </w:t>
      </w:r>
      <w:r w:rsidRPr="00185E3E">
        <w:rPr>
          <w:rFonts w:hint="cs"/>
          <w:b/>
          <w:bCs/>
          <w:rtl/>
          <w:lang w:bidi="ar"/>
        </w:rPr>
        <w:t>البلد وعامة الناس.</w:t>
      </w:r>
      <w:r w:rsidRPr="00185E3E">
        <w:rPr>
          <w:b/>
          <w:bCs/>
          <w:rtl/>
          <w:lang w:bidi="ar"/>
        </w:rPr>
        <w:t xml:space="preserve"> </w:t>
      </w:r>
      <w:r w:rsidRPr="00185E3E">
        <w:rPr>
          <w:rFonts w:hint="cs"/>
          <w:b/>
          <w:bCs/>
          <w:rtl/>
          <w:lang w:bidi="ar"/>
        </w:rPr>
        <w:t>و</w:t>
      </w:r>
      <w:r w:rsidRPr="00185E3E">
        <w:rPr>
          <w:b/>
          <w:bCs/>
          <w:rtl/>
          <w:lang w:bidi="ar"/>
        </w:rPr>
        <w:t xml:space="preserve">ينبغي </w:t>
      </w:r>
      <w:r w:rsidRPr="00185E3E">
        <w:rPr>
          <w:rFonts w:hint="cs"/>
          <w:b/>
          <w:bCs/>
          <w:rtl/>
          <w:lang w:bidi="ar"/>
        </w:rPr>
        <w:t>أن تكفل ا</w:t>
      </w:r>
      <w:r w:rsidRPr="00185E3E">
        <w:rPr>
          <w:b/>
          <w:bCs/>
          <w:rtl/>
          <w:lang w:bidi="ar"/>
        </w:rPr>
        <w:t xml:space="preserve">لدولة الطرف </w:t>
      </w:r>
      <w:r w:rsidRPr="00185E3E">
        <w:rPr>
          <w:rFonts w:hint="cs"/>
          <w:b/>
          <w:bCs/>
          <w:rtl/>
          <w:lang w:bidi="ar"/>
        </w:rPr>
        <w:t xml:space="preserve">أيضاً ترجمة </w:t>
      </w:r>
      <w:r w:rsidRPr="00185E3E">
        <w:rPr>
          <w:b/>
          <w:bCs/>
          <w:rtl/>
          <w:lang w:bidi="ar"/>
        </w:rPr>
        <w:t>التقرير و</w:t>
      </w:r>
      <w:r w:rsidRPr="00185E3E">
        <w:rPr>
          <w:rFonts w:hint="cs"/>
          <w:b/>
          <w:bCs/>
          <w:rtl/>
          <w:lang w:bidi="ar"/>
        </w:rPr>
        <w:t xml:space="preserve">هذه </w:t>
      </w:r>
      <w:r w:rsidRPr="00185E3E">
        <w:rPr>
          <w:b/>
          <w:bCs/>
          <w:rtl/>
          <w:lang w:bidi="ar"/>
        </w:rPr>
        <w:t xml:space="preserve">الملاحظات الختامية </w:t>
      </w:r>
      <w:r w:rsidRPr="00185E3E">
        <w:rPr>
          <w:rFonts w:hint="cs"/>
          <w:b/>
          <w:bCs/>
          <w:rtl/>
          <w:lang w:bidi="ar"/>
        </w:rPr>
        <w:t xml:space="preserve">إلى </w:t>
      </w:r>
      <w:r w:rsidRPr="00185E3E">
        <w:rPr>
          <w:b/>
          <w:bCs/>
          <w:rtl/>
          <w:lang w:bidi="ar"/>
        </w:rPr>
        <w:t>لغتها الرسمية.</w:t>
      </w:r>
    </w:p>
    <w:p w:rsidR="007338A0" w:rsidRPr="00185E3E" w:rsidRDefault="007338A0" w:rsidP="008270C0">
      <w:pPr>
        <w:pStyle w:val="SingleTxt"/>
        <w:rPr>
          <w:b/>
          <w:bCs/>
          <w:rtl/>
          <w:lang w:bidi="ar"/>
        </w:rPr>
      </w:pPr>
      <w:r w:rsidRPr="00877711">
        <w:rPr>
          <w:rFonts w:hint="cs"/>
          <w:rtl/>
          <w:lang w:bidi="ar"/>
        </w:rPr>
        <w:t>25-</w:t>
      </w:r>
      <w:r w:rsidRPr="00877711">
        <w:rPr>
          <w:rFonts w:hint="cs"/>
          <w:rtl/>
          <w:lang w:bidi="ar"/>
        </w:rPr>
        <w:tab/>
      </w:r>
      <w:r w:rsidRPr="00185E3E">
        <w:rPr>
          <w:b/>
          <w:bCs/>
          <w:rtl/>
          <w:lang w:bidi="ar"/>
        </w:rPr>
        <w:t>ووفقا</w:t>
      </w:r>
      <w:r w:rsidRPr="00185E3E">
        <w:rPr>
          <w:rFonts w:hint="cs"/>
          <w:b/>
          <w:bCs/>
          <w:rtl/>
          <w:lang w:bidi="ar"/>
        </w:rPr>
        <w:t>ً</w:t>
      </w:r>
      <w:r w:rsidRPr="00185E3E">
        <w:rPr>
          <w:b/>
          <w:bCs/>
          <w:rtl/>
          <w:lang w:bidi="ar"/>
        </w:rPr>
        <w:t xml:space="preserve"> ل</w:t>
      </w:r>
      <w:r w:rsidRPr="00185E3E">
        <w:rPr>
          <w:rFonts w:hint="cs"/>
          <w:b/>
          <w:bCs/>
          <w:rtl/>
          <w:lang w:bidi="ar"/>
        </w:rPr>
        <w:t>لفقرة 5 من ا</w:t>
      </w:r>
      <w:r w:rsidRPr="00185E3E">
        <w:rPr>
          <w:b/>
          <w:bCs/>
          <w:rtl/>
          <w:lang w:bidi="ar"/>
        </w:rPr>
        <w:t>لمادة 71</w:t>
      </w:r>
      <w:r w:rsidRPr="00185E3E">
        <w:rPr>
          <w:rFonts w:hint="cs"/>
          <w:b/>
          <w:bCs/>
          <w:rtl/>
          <w:lang w:bidi="ar"/>
        </w:rPr>
        <w:t xml:space="preserve"> </w:t>
      </w:r>
      <w:r w:rsidRPr="00185E3E">
        <w:rPr>
          <w:b/>
          <w:bCs/>
          <w:rtl/>
          <w:lang w:bidi="ar"/>
        </w:rPr>
        <w:t xml:space="preserve">من نظام </w:t>
      </w:r>
      <w:r w:rsidRPr="00185E3E">
        <w:rPr>
          <w:rFonts w:hint="cs"/>
          <w:b/>
          <w:bCs/>
          <w:rtl/>
          <w:lang w:bidi="ar"/>
        </w:rPr>
        <w:t xml:space="preserve">اللجنة </w:t>
      </w:r>
      <w:r w:rsidRPr="00185E3E">
        <w:rPr>
          <w:b/>
          <w:bCs/>
          <w:rtl/>
          <w:lang w:bidi="ar"/>
        </w:rPr>
        <w:t>الداخلي، ينبغي أن تقدم</w:t>
      </w:r>
      <w:r w:rsidRPr="00185E3E">
        <w:rPr>
          <w:rFonts w:hint="cs"/>
          <w:b/>
          <w:bCs/>
          <w:rtl/>
          <w:lang w:bidi="ar"/>
        </w:rPr>
        <w:t xml:space="preserve"> الدولة الطرف</w:t>
      </w:r>
      <w:r w:rsidRPr="00185E3E">
        <w:rPr>
          <w:b/>
          <w:bCs/>
          <w:rtl/>
          <w:lang w:bidi="ar"/>
        </w:rPr>
        <w:t xml:space="preserve"> في</w:t>
      </w:r>
      <w:r w:rsidR="008270C0" w:rsidRPr="00185E3E">
        <w:rPr>
          <w:rFonts w:hint="cs"/>
          <w:b/>
          <w:bCs/>
          <w:rtl/>
          <w:lang w:bidi="ar"/>
        </w:rPr>
        <w:t> </w:t>
      </w:r>
      <w:r w:rsidRPr="00185E3E">
        <w:rPr>
          <w:b/>
          <w:bCs/>
          <w:rtl/>
          <w:lang w:bidi="ar"/>
        </w:rPr>
        <w:t xml:space="preserve">غضون سنة واحدة معلومات ذات صلة </w:t>
      </w:r>
      <w:r w:rsidRPr="00185E3E">
        <w:rPr>
          <w:rFonts w:hint="cs"/>
          <w:b/>
          <w:bCs/>
          <w:rtl/>
          <w:lang w:bidi="ar"/>
        </w:rPr>
        <w:t xml:space="preserve">عن </w:t>
      </w:r>
      <w:r w:rsidRPr="00185E3E">
        <w:rPr>
          <w:b/>
          <w:bCs/>
          <w:rtl/>
          <w:lang w:bidi="ar"/>
        </w:rPr>
        <w:t xml:space="preserve">تنفيذ توصيات </w:t>
      </w:r>
      <w:r w:rsidRPr="00185E3E">
        <w:rPr>
          <w:rFonts w:hint="cs"/>
          <w:b/>
          <w:bCs/>
          <w:rtl/>
          <w:lang w:bidi="ar"/>
        </w:rPr>
        <w:t xml:space="preserve">اللجنة الواردة في </w:t>
      </w:r>
      <w:r w:rsidRPr="00185E3E">
        <w:rPr>
          <w:b/>
          <w:bCs/>
          <w:rtl/>
          <w:lang w:bidi="ar"/>
        </w:rPr>
        <w:t xml:space="preserve">الفقرتين 7 (المؤسسة الوطنية لحقوق الإنسان) و9 (تشريعات </w:t>
      </w:r>
      <w:r w:rsidRPr="00185E3E">
        <w:rPr>
          <w:rFonts w:hint="cs"/>
          <w:b/>
          <w:bCs/>
          <w:rtl/>
          <w:lang w:bidi="ar"/>
        </w:rPr>
        <w:t>منع ا</w:t>
      </w:r>
      <w:r w:rsidRPr="00185E3E">
        <w:rPr>
          <w:b/>
          <w:bCs/>
          <w:rtl/>
          <w:lang w:bidi="ar"/>
        </w:rPr>
        <w:t>لتمييز) أعلاه.</w:t>
      </w:r>
    </w:p>
    <w:p w:rsidR="007338A0" w:rsidRPr="00185E3E" w:rsidRDefault="007338A0" w:rsidP="007338A0">
      <w:pPr>
        <w:pStyle w:val="SingleTxt"/>
        <w:rPr>
          <w:b/>
          <w:bCs/>
          <w:rtl/>
          <w:lang w:bidi="ar"/>
        </w:rPr>
      </w:pPr>
      <w:r w:rsidRPr="00877711">
        <w:rPr>
          <w:rtl/>
          <w:lang w:bidi="ar"/>
        </w:rPr>
        <w:lastRenderedPageBreak/>
        <w:t>26</w:t>
      </w:r>
      <w:r w:rsidRPr="00877711">
        <w:rPr>
          <w:rFonts w:hint="cs"/>
          <w:rtl/>
          <w:lang w:bidi="ar"/>
        </w:rPr>
        <w:t>-</w:t>
      </w:r>
      <w:r w:rsidRPr="00877711">
        <w:rPr>
          <w:rFonts w:hint="cs"/>
          <w:rtl/>
          <w:lang w:bidi="ar"/>
        </w:rPr>
        <w:tab/>
      </w:r>
      <w:r w:rsidRPr="00185E3E">
        <w:rPr>
          <w:rFonts w:hint="cs"/>
          <w:b/>
          <w:bCs/>
          <w:rtl/>
          <w:lang w:bidi="ar"/>
        </w:rPr>
        <w:t>و</w:t>
      </w:r>
      <w:r w:rsidRPr="00185E3E">
        <w:rPr>
          <w:b/>
          <w:bCs/>
          <w:rtl/>
          <w:lang w:bidi="ar"/>
        </w:rPr>
        <w:t xml:space="preserve">تطلب اللجنة </w:t>
      </w:r>
      <w:r w:rsidRPr="00185E3E">
        <w:rPr>
          <w:rFonts w:hint="cs"/>
          <w:b/>
          <w:bCs/>
          <w:rtl/>
          <w:lang w:bidi="ar"/>
        </w:rPr>
        <w:t xml:space="preserve">إلى </w:t>
      </w:r>
      <w:r w:rsidRPr="00185E3E">
        <w:rPr>
          <w:b/>
          <w:bCs/>
          <w:rtl/>
          <w:lang w:bidi="ar"/>
        </w:rPr>
        <w:t xml:space="preserve">الدولة الطرف </w:t>
      </w:r>
      <w:r w:rsidRPr="00185E3E">
        <w:rPr>
          <w:rFonts w:hint="cs"/>
          <w:b/>
          <w:bCs/>
          <w:rtl/>
          <w:lang w:bidi="ar"/>
        </w:rPr>
        <w:t xml:space="preserve">تضمين </w:t>
      </w:r>
      <w:r w:rsidRPr="00185E3E">
        <w:rPr>
          <w:b/>
          <w:bCs/>
          <w:rtl/>
          <w:lang w:bidi="ar"/>
        </w:rPr>
        <w:t xml:space="preserve">تقريرها الدوري </w:t>
      </w:r>
      <w:r w:rsidRPr="00185E3E">
        <w:rPr>
          <w:rFonts w:hint="cs"/>
          <w:b/>
          <w:bCs/>
          <w:rtl/>
          <w:lang w:bidi="ar"/>
        </w:rPr>
        <w:t>المقبل</w:t>
      </w:r>
      <w:r w:rsidRPr="00185E3E">
        <w:rPr>
          <w:b/>
          <w:bCs/>
          <w:rtl/>
          <w:lang w:bidi="ar"/>
        </w:rPr>
        <w:t xml:space="preserve">، </w:t>
      </w:r>
      <w:r w:rsidRPr="00185E3E">
        <w:rPr>
          <w:rFonts w:hint="cs"/>
          <w:b/>
          <w:bCs/>
          <w:rtl/>
          <w:lang w:bidi="ar"/>
        </w:rPr>
        <w:t xml:space="preserve">الذي </w:t>
      </w:r>
      <w:r w:rsidRPr="00185E3E">
        <w:rPr>
          <w:b/>
          <w:bCs/>
          <w:rtl/>
          <w:lang w:bidi="ar"/>
        </w:rPr>
        <w:t xml:space="preserve">ينبغي أن </w:t>
      </w:r>
      <w:r w:rsidRPr="00185E3E">
        <w:rPr>
          <w:rFonts w:hint="cs"/>
          <w:b/>
          <w:bCs/>
          <w:rtl/>
          <w:lang w:bidi="ar"/>
        </w:rPr>
        <w:t>ي</w:t>
      </w:r>
      <w:r w:rsidRPr="00185E3E">
        <w:rPr>
          <w:b/>
          <w:bCs/>
          <w:rtl/>
          <w:lang w:bidi="ar"/>
        </w:rPr>
        <w:t xml:space="preserve">قدم </w:t>
      </w:r>
      <w:r w:rsidRPr="00185E3E">
        <w:rPr>
          <w:rFonts w:hint="cs"/>
          <w:b/>
          <w:bCs/>
          <w:rtl/>
          <w:lang w:bidi="ar"/>
        </w:rPr>
        <w:t xml:space="preserve">بحلول </w:t>
      </w:r>
      <w:r w:rsidRPr="00185E3E">
        <w:rPr>
          <w:b/>
          <w:bCs/>
          <w:rtl/>
          <w:lang w:bidi="ar"/>
        </w:rPr>
        <w:t xml:space="preserve">6 </w:t>
      </w:r>
      <w:r w:rsidRPr="00185E3E">
        <w:rPr>
          <w:rFonts w:hint="cs"/>
          <w:b/>
          <w:bCs/>
          <w:rtl/>
          <w:lang w:bidi="ar"/>
        </w:rPr>
        <w:t>تشرين الثاني/</w:t>
      </w:r>
      <w:r w:rsidRPr="00185E3E">
        <w:rPr>
          <w:b/>
          <w:bCs/>
          <w:rtl/>
          <w:lang w:bidi="ar"/>
        </w:rPr>
        <w:t xml:space="preserve">نوفمبر 2022، معلومات محددة </w:t>
      </w:r>
      <w:r w:rsidRPr="00185E3E">
        <w:rPr>
          <w:rFonts w:hint="cs"/>
          <w:b/>
          <w:bCs/>
          <w:rtl/>
          <w:lang w:bidi="ar"/>
        </w:rPr>
        <w:t xml:space="preserve">ومحدثة عن </w:t>
      </w:r>
      <w:r w:rsidRPr="00185E3E">
        <w:rPr>
          <w:b/>
          <w:bCs/>
          <w:rtl/>
          <w:lang w:bidi="ar"/>
        </w:rPr>
        <w:t xml:space="preserve">تنفيذ جميع </w:t>
      </w:r>
      <w:r w:rsidRPr="00185E3E">
        <w:rPr>
          <w:rFonts w:hint="cs"/>
          <w:b/>
          <w:bCs/>
          <w:rtl/>
          <w:lang w:bidi="ar"/>
        </w:rPr>
        <w:t xml:space="preserve">توصياتها وعن </w:t>
      </w:r>
      <w:r w:rsidRPr="00185E3E">
        <w:rPr>
          <w:b/>
          <w:bCs/>
          <w:rtl/>
          <w:lang w:bidi="ar"/>
        </w:rPr>
        <w:t>العهد ككل. و</w:t>
      </w:r>
      <w:r w:rsidRPr="00185E3E">
        <w:rPr>
          <w:rFonts w:hint="cs"/>
          <w:b/>
          <w:bCs/>
          <w:rtl/>
          <w:lang w:bidi="ar"/>
        </w:rPr>
        <w:t xml:space="preserve">علاوة على ذلك، </w:t>
      </w:r>
      <w:r w:rsidRPr="00185E3E">
        <w:rPr>
          <w:b/>
          <w:bCs/>
          <w:rtl/>
          <w:lang w:bidi="ar"/>
        </w:rPr>
        <w:t xml:space="preserve">تطلب اللجنة </w:t>
      </w:r>
      <w:r w:rsidRPr="00185E3E">
        <w:rPr>
          <w:rFonts w:hint="cs"/>
          <w:b/>
          <w:bCs/>
          <w:rtl/>
          <w:lang w:bidi="ar"/>
        </w:rPr>
        <w:t xml:space="preserve">إلى </w:t>
      </w:r>
      <w:r w:rsidRPr="00185E3E">
        <w:rPr>
          <w:b/>
          <w:bCs/>
          <w:rtl/>
          <w:lang w:bidi="ar"/>
        </w:rPr>
        <w:t>الدولة الطرف</w:t>
      </w:r>
      <w:r w:rsidRPr="00185E3E">
        <w:rPr>
          <w:rFonts w:hint="cs"/>
          <w:b/>
          <w:bCs/>
          <w:rtl/>
          <w:lang w:bidi="ar"/>
        </w:rPr>
        <w:t xml:space="preserve"> أن تحرص، </w:t>
      </w:r>
      <w:r w:rsidRPr="00185E3E">
        <w:rPr>
          <w:b/>
          <w:bCs/>
          <w:rtl/>
          <w:lang w:bidi="ar"/>
        </w:rPr>
        <w:t>في إعداد تقرير</w:t>
      </w:r>
      <w:r w:rsidRPr="00185E3E">
        <w:rPr>
          <w:rFonts w:hint="cs"/>
          <w:b/>
          <w:bCs/>
          <w:rtl/>
          <w:lang w:bidi="ar"/>
        </w:rPr>
        <w:t>ها</w:t>
      </w:r>
      <w:r w:rsidRPr="00185E3E">
        <w:rPr>
          <w:b/>
          <w:bCs/>
          <w:rtl/>
          <w:lang w:bidi="ar"/>
        </w:rPr>
        <w:t xml:space="preserve">، </w:t>
      </w:r>
      <w:r w:rsidRPr="00185E3E">
        <w:rPr>
          <w:rFonts w:hint="cs"/>
          <w:b/>
          <w:bCs/>
          <w:rtl/>
          <w:lang w:bidi="ar"/>
        </w:rPr>
        <w:t xml:space="preserve">على عقد مشاورات واسعة مع </w:t>
      </w:r>
      <w:r w:rsidRPr="00185E3E">
        <w:rPr>
          <w:b/>
          <w:bCs/>
          <w:rtl/>
          <w:lang w:bidi="ar"/>
        </w:rPr>
        <w:t>المجتمع المدني، و</w:t>
      </w:r>
      <w:r w:rsidRPr="00185E3E">
        <w:rPr>
          <w:rFonts w:hint="cs"/>
          <w:b/>
          <w:bCs/>
          <w:rtl/>
          <w:lang w:bidi="ar"/>
        </w:rPr>
        <w:t xml:space="preserve">على </w:t>
      </w:r>
      <w:r w:rsidRPr="00185E3E">
        <w:rPr>
          <w:b/>
          <w:bCs/>
          <w:rtl/>
          <w:lang w:bidi="ar"/>
        </w:rPr>
        <w:t>تشج</w:t>
      </w:r>
      <w:r w:rsidRPr="00185E3E">
        <w:rPr>
          <w:rFonts w:hint="cs"/>
          <w:b/>
          <w:bCs/>
          <w:rtl/>
          <w:lang w:bidi="ar"/>
        </w:rPr>
        <w:t>ي</w:t>
      </w:r>
      <w:r w:rsidRPr="00185E3E">
        <w:rPr>
          <w:b/>
          <w:bCs/>
          <w:rtl/>
          <w:lang w:bidi="ar"/>
        </w:rPr>
        <w:t xml:space="preserve">ع ممثلي المجتمع المدني </w:t>
      </w:r>
      <w:r w:rsidRPr="00185E3E">
        <w:rPr>
          <w:rFonts w:hint="cs"/>
          <w:b/>
          <w:bCs/>
          <w:rtl/>
          <w:lang w:bidi="ar"/>
        </w:rPr>
        <w:t xml:space="preserve">على العمل </w:t>
      </w:r>
      <w:r w:rsidRPr="00185E3E">
        <w:rPr>
          <w:b/>
          <w:bCs/>
          <w:rtl/>
          <w:lang w:bidi="ar"/>
        </w:rPr>
        <w:t>مع اللجنة قبل بدء الحوار.</w:t>
      </w:r>
    </w:p>
    <w:p w:rsidR="007338A0" w:rsidRPr="00185E3E" w:rsidRDefault="007338A0" w:rsidP="007338A0">
      <w:pPr>
        <w:pStyle w:val="SingleTxt"/>
        <w:rPr>
          <w:b/>
          <w:bCs/>
          <w:spacing w:val="-2"/>
          <w:rtl/>
          <w:lang w:bidi="ar"/>
        </w:rPr>
      </w:pPr>
      <w:r w:rsidRPr="00877711">
        <w:rPr>
          <w:rtl/>
          <w:lang w:bidi="ar"/>
        </w:rPr>
        <w:t>27</w:t>
      </w:r>
      <w:r w:rsidRPr="00877711">
        <w:rPr>
          <w:rFonts w:hint="cs"/>
          <w:rtl/>
          <w:lang w:bidi="ar"/>
        </w:rPr>
        <w:t>-</w:t>
      </w:r>
      <w:r w:rsidRPr="00877711">
        <w:rPr>
          <w:rFonts w:hint="cs"/>
          <w:rtl/>
          <w:lang w:bidi="ar"/>
        </w:rPr>
        <w:tab/>
      </w:r>
      <w:r w:rsidRPr="00185E3E">
        <w:rPr>
          <w:b/>
          <w:bCs/>
          <w:spacing w:val="-2"/>
          <w:rtl/>
          <w:lang w:bidi="ar"/>
        </w:rPr>
        <w:t xml:space="preserve">وبالنظر إلى أن الدولة الطرف </w:t>
      </w:r>
      <w:r w:rsidRPr="00185E3E">
        <w:rPr>
          <w:rFonts w:hint="cs"/>
          <w:b/>
          <w:bCs/>
          <w:spacing w:val="-2"/>
          <w:rtl/>
          <w:lang w:bidi="ar"/>
        </w:rPr>
        <w:t>قبلت ال</w:t>
      </w:r>
      <w:r w:rsidRPr="00185E3E">
        <w:rPr>
          <w:b/>
          <w:bCs/>
          <w:spacing w:val="-2"/>
          <w:rtl/>
          <w:lang w:bidi="ar"/>
        </w:rPr>
        <w:t>إجراء</w:t>
      </w:r>
      <w:r w:rsidRPr="00185E3E">
        <w:rPr>
          <w:rFonts w:hint="cs"/>
          <w:b/>
          <w:bCs/>
          <w:spacing w:val="-2"/>
          <w:rtl/>
          <w:lang w:bidi="ar"/>
        </w:rPr>
        <w:t xml:space="preserve"> المبسط</w:t>
      </w:r>
      <w:r w:rsidRPr="00185E3E">
        <w:rPr>
          <w:b/>
          <w:bCs/>
          <w:spacing w:val="-2"/>
          <w:rtl/>
          <w:lang w:bidi="ar"/>
        </w:rPr>
        <w:t xml:space="preserve"> </w:t>
      </w:r>
      <w:r w:rsidRPr="00185E3E">
        <w:rPr>
          <w:rFonts w:hint="cs"/>
          <w:b/>
          <w:bCs/>
          <w:spacing w:val="-2"/>
          <w:rtl/>
          <w:lang w:bidi="ar"/>
        </w:rPr>
        <w:t>ل</w:t>
      </w:r>
      <w:r w:rsidRPr="00185E3E">
        <w:rPr>
          <w:b/>
          <w:bCs/>
          <w:spacing w:val="-2"/>
          <w:rtl/>
          <w:lang w:bidi="ar"/>
        </w:rPr>
        <w:t xml:space="preserve">تقديم التقارير، ستحيل </w:t>
      </w:r>
      <w:r w:rsidRPr="00185E3E">
        <w:rPr>
          <w:rFonts w:hint="cs"/>
          <w:b/>
          <w:bCs/>
          <w:spacing w:val="-2"/>
          <w:rtl/>
          <w:lang w:bidi="ar"/>
        </w:rPr>
        <w:t xml:space="preserve">اللجنة إليها في الوقت المناسب </w:t>
      </w:r>
      <w:r w:rsidRPr="00185E3E">
        <w:rPr>
          <w:b/>
          <w:bCs/>
          <w:spacing w:val="-2"/>
          <w:rtl/>
          <w:lang w:bidi="ar"/>
        </w:rPr>
        <w:t xml:space="preserve">قائمة </w:t>
      </w:r>
      <w:r w:rsidRPr="00185E3E">
        <w:rPr>
          <w:rFonts w:hint="cs"/>
          <w:b/>
          <w:bCs/>
          <w:spacing w:val="-2"/>
          <w:rtl/>
          <w:lang w:bidi="ar"/>
        </w:rPr>
        <w:t xml:space="preserve">المسائل </w:t>
      </w:r>
      <w:r w:rsidRPr="00185E3E">
        <w:rPr>
          <w:b/>
          <w:bCs/>
          <w:spacing w:val="-2"/>
          <w:rtl/>
          <w:lang w:bidi="ar"/>
        </w:rPr>
        <w:t>السابقة لتقديم التقرير</w:t>
      </w:r>
      <w:r w:rsidRPr="00185E3E">
        <w:rPr>
          <w:rFonts w:hint="cs"/>
          <w:b/>
          <w:bCs/>
          <w:spacing w:val="-2"/>
          <w:rtl/>
          <w:lang w:bidi="ar"/>
        </w:rPr>
        <w:t xml:space="preserve">، وستشكل </w:t>
      </w:r>
      <w:r w:rsidRPr="00185E3E">
        <w:rPr>
          <w:b/>
          <w:bCs/>
          <w:spacing w:val="-2"/>
          <w:rtl/>
          <w:lang w:bidi="ar"/>
        </w:rPr>
        <w:t>ردودها عل</w:t>
      </w:r>
      <w:r w:rsidRPr="00185E3E">
        <w:rPr>
          <w:rFonts w:hint="cs"/>
          <w:b/>
          <w:bCs/>
          <w:spacing w:val="-2"/>
          <w:rtl/>
          <w:lang w:bidi="ar"/>
        </w:rPr>
        <w:t>يها</w:t>
      </w:r>
      <w:r w:rsidRPr="00185E3E">
        <w:rPr>
          <w:b/>
          <w:bCs/>
          <w:spacing w:val="-2"/>
          <w:rtl/>
          <w:lang w:bidi="ar"/>
        </w:rPr>
        <w:t xml:space="preserve"> التقرير الدوري الرابع للدولة الطرف. </w:t>
      </w:r>
      <w:r w:rsidRPr="00185E3E">
        <w:rPr>
          <w:rFonts w:hint="cs"/>
          <w:b/>
          <w:bCs/>
          <w:spacing w:val="-2"/>
          <w:rtl/>
          <w:lang w:bidi="ar"/>
        </w:rPr>
        <w:t>ويبلغ الحد الأقصى لعدد كلمات التقرير 200 21 كلمة</w:t>
      </w:r>
      <w:r w:rsidRPr="00185E3E">
        <w:rPr>
          <w:b/>
          <w:bCs/>
          <w:spacing w:val="-2"/>
          <w:rtl/>
          <w:lang w:bidi="ar"/>
        </w:rPr>
        <w:t>، وفقا</w:t>
      </w:r>
      <w:r w:rsidRPr="00185E3E">
        <w:rPr>
          <w:rFonts w:hint="cs"/>
          <w:b/>
          <w:bCs/>
          <w:spacing w:val="-2"/>
          <w:rtl/>
          <w:lang w:bidi="ar"/>
        </w:rPr>
        <w:t>ً</w:t>
      </w:r>
      <w:r w:rsidRPr="00185E3E">
        <w:rPr>
          <w:b/>
          <w:bCs/>
          <w:spacing w:val="-2"/>
          <w:rtl/>
          <w:lang w:bidi="ar"/>
        </w:rPr>
        <w:t xml:space="preserve"> لقرار الجمعية العامة 68/268.</w:t>
      </w:r>
    </w:p>
    <w:p w:rsidR="00F43476" w:rsidRPr="00E544EA" w:rsidRDefault="00E544EA" w:rsidP="00E544EA">
      <w:pPr>
        <w:pStyle w:val="SingleTxt"/>
        <w:spacing w:after="0" w:line="240" w:lineRule="auto"/>
        <w:rPr>
          <w:rFonts w:hint="cs"/>
          <w:rtl/>
        </w:rPr>
      </w:pPr>
      <w:r>
        <w:rPr>
          <w:noProof/>
          <w:w w:val="100"/>
          <w:rtl/>
        </w:rPr>
        <mc:AlternateContent>
          <mc:Choice Requires="wps">
            <w:drawing>
              <wp:anchor distT="0" distB="0" distL="114300" distR="114300" simplePos="0" relativeHeight="251661312"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bookmarkStart w:id="1" w:name="_GoBack"/>
      <w:bookmarkEnd w:id="1"/>
    </w:p>
    <w:sectPr w:rsidR="00F43476" w:rsidRPr="00E544EA" w:rsidSect="00C14FCD">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5T10:24:00Z" w:initials="Start">
    <w:p w:rsidR="00877746" w:rsidRDefault="00C14FC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2A4FA5">
        <w:t>&lt;&lt;ODS JOB NO&gt;&gt;G</w:t>
      </w:r>
      <w:r w:rsidR="00877746">
        <w:t>1627540A&lt;&lt;ODS JOB NO&gt;&gt;</w:t>
      </w:r>
    </w:p>
    <w:p w:rsidR="00877746" w:rsidRDefault="00877746">
      <w:pPr>
        <w:pStyle w:val="CommentText"/>
      </w:pPr>
      <w:r>
        <w:t>&lt;&lt;ODS DOC SYMBOL1&gt;&gt;CCPR/C/SMR/CO/3&lt;&lt;ODS DOC SYMBOL1&gt;&gt;</w:t>
      </w:r>
    </w:p>
    <w:p w:rsidR="00C14FCD" w:rsidRDefault="008777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2D6" w:rsidRDefault="00A252D6" w:rsidP="00693CF9">
      <w:pPr>
        <w:spacing w:line="240" w:lineRule="auto"/>
      </w:pPr>
      <w:r>
        <w:separator/>
      </w:r>
    </w:p>
  </w:endnote>
  <w:endnote w:type="continuationSeparator" w:id="0">
    <w:p w:rsidR="00A252D6" w:rsidRDefault="00A252D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14FCD" w:rsidTr="00C14FCD">
      <w:trPr>
        <w:jc w:val="center"/>
      </w:trPr>
      <w:tc>
        <w:tcPr>
          <w:tcW w:w="5126" w:type="dxa"/>
          <w:shd w:val="clear" w:color="auto" w:fill="auto"/>
        </w:tcPr>
        <w:p w:rsidR="00C14FCD" w:rsidRPr="00C14FCD" w:rsidRDefault="00C14FCD" w:rsidP="00C14FCD">
          <w:pPr>
            <w:pStyle w:val="Footer"/>
            <w:rPr>
              <w:w w:val="103"/>
            </w:rPr>
          </w:pPr>
          <w:r>
            <w:rPr>
              <w:w w:val="103"/>
            </w:rPr>
            <w:fldChar w:fldCharType="begin"/>
          </w:r>
          <w:r>
            <w:rPr>
              <w:w w:val="103"/>
            </w:rPr>
            <w:instrText xml:space="preserve"> PAGE  \* Arabic  \* MERGEFORMAT </w:instrText>
          </w:r>
          <w:r>
            <w:rPr>
              <w:w w:val="103"/>
            </w:rPr>
            <w:fldChar w:fldCharType="separate"/>
          </w:r>
          <w:r w:rsidR="008D7AD9">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D7AD9">
            <w:rPr>
              <w:noProof/>
              <w:w w:val="103"/>
            </w:rPr>
            <w:t>6</w:t>
          </w:r>
          <w:r>
            <w:rPr>
              <w:w w:val="103"/>
            </w:rPr>
            <w:fldChar w:fldCharType="end"/>
          </w:r>
        </w:p>
      </w:tc>
      <w:tc>
        <w:tcPr>
          <w:tcW w:w="5127" w:type="dxa"/>
          <w:shd w:val="clear" w:color="auto" w:fill="auto"/>
        </w:tcPr>
        <w:p w:rsidR="00C14FCD" w:rsidRPr="00C14FCD" w:rsidRDefault="00C14FCD" w:rsidP="00F4347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D7AD9">
            <w:rPr>
              <w:b w:val="0"/>
              <w:w w:val="103"/>
            </w:rPr>
            <w:t>GE.15-20615</w:t>
          </w:r>
          <w:r>
            <w:rPr>
              <w:b w:val="0"/>
              <w:w w:val="103"/>
            </w:rPr>
            <w:fldChar w:fldCharType="end"/>
          </w:r>
        </w:p>
      </w:tc>
    </w:tr>
  </w:tbl>
  <w:p w:rsidR="00C14FCD" w:rsidRPr="00C14FCD" w:rsidRDefault="00C14FCD" w:rsidP="00C14F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14FCD" w:rsidTr="00C14FCD">
      <w:trPr>
        <w:jc w:val="center"/>
      </w:trPr>
      <w:tc>
        <w:tcPr>
          <w:tcW w:w="5126" w:type="dxa"/>
          <w:shd w:val="clear" w:color="auto" w:fill="auto"/>
        </w:tcPr>
        <w:p w:rsidR="00C14FCD" w:rsidRPr="00C14FCD" w:rsidRDefault="00C14FCD" w:rsidP="00F4347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D7AD9">
            <w:rPr>
              <w:b w:val="0"/>
              <w:w w:val="103"/>
            </w:rPr>
            <w:t>GE.15-20615</w:t>
          </w:r>
          <w:r>
            <w:rPr>
              <w:b w:val="0"/>
              <w:w w:val="103"/>
            </w:rPr>
            <w:fldChar w:fldCharType="end"/>
          </w:r>
        </w:p>
      </w:tc>
      <w:tc>
        <w:tcPr>
          <w:tcW w:w="5127" w:type="dxa"/>
          <w:shd w:val="clear" w:color="auto" w:fill="auto"/>
        </w:tcPr>
        <w:p w:rsidR="00C14FCD" w:rsidRPr="00C14FCD" w:rsidRDefault="00C14FCD" w:rsidP="00C14FCD">
          <w:pPr>
            <w:pStyle w:val="Footer"/>
            <w:jc w:val="left"/>
            <w:rPr>
              <w:w w:val="103"/>
            </w:rPr>
          </w:pPr>
          <w:r>
            <w:rPr>
              <w:w w:val="103"/>
            </w:rPr>
            <w:fldChar w:fldCharType="begin"/>
          </w:r>
          <w:r>
            <w:rPr>
              <w:w w:val="103"/>
            </w:rPr>
            <w:instrText xml:space="preserve"> PAGE  \* Arabic  \* MERGEFORMAT </w:instrText>
          </w:r>
          <w:r>
            <w:rPr>
              <w:w w:val="103"/>
            </w:rPr>
            <w:fldChar w:fldCharType="separate"/>
          </w:r>
          <w:r w:rsidR="008D7AD9">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D7AD9">
            <w:rPr>
              <w:noProof/>
              <w:w w:val="103"/>
            </w:rPr>
            <w:t>6</w:t>
          </w:r>
          <w:r>
            <w:rPr>
              <w:w w:val="103"/>
            </w:rPr>
            <w:fldChar w:fldCharType="end"/>
          </w:r>
        </w:p>
      </w:tc>
    </w:tr>
  </w:tbl>
  <w:p w:rsidR="00C14FCD" w:rsidRPr="00C14FCD" w:rsidRDefault="00C14FCD" w:rsidP="00C14F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C14FCD" w:rsidTr="00C14FCD">
      <w:trPr>
        <w:jc w:val="right"/>
      </w:trPr>
      <w:tc>
        <w:tcPr>
          <w:tcW w:w="4046" w:type="dxa"/>
        </w:tcPr>
        <w:p w:rsidR="00C14FCD" w:rsidRDefault="00C14FCD" w:rsidP="00C14FCD">
          <w:pPr>
            <w:pStyle w:val="Footer"/>
            <w:spacing w:line="240" w:lineRule="atLeast"/>
            <w:jc w:val="left"/>
            <w:rPr>
              <w:rFonts w:cs="Times New Roman"/>
              <w:b w:val="0"/>
              <w:w w:val="103"/>
              <w:sz w:val="20"/>
            </w:rPr>
          </w:pPr>
          <w:r>
            <w:rPr>
              <w:rFonts w:cs="Times New Roman"/>
              <w:b w:val="0"/>
              <w:noProof/>
              <w:w w:val="103"/>
              <w:sz w:val="20"/>
            </w:rPr>
            <w:drawing>
              <wp:inline distT="0" distB="0" distL="0" distR="0" wp14:anchorId="16932F3B" wp14:editId="2787B1B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54615" cy="320068"/>
                        </a:xfrm>
                        <a:prstGeom prst="rect">
                          <a:avLst/>
                        </a:prstGeom>
                      </pic:spPr>
                    </pic:pic>
                  </a:graphicData>
                </a:graphic>
              </wp:inline>
            </w:drawing>
          </w:r>
        </w:p>
      </w:tc>
      <w:tc>
        <w:tcPr>
          <w:tcW w:w="5127" w:type="dxa"/>
        </w:tcPr>
        <w:p w:rsidR="00C14FCD" w:rsidRDefault="00E15189" w:rsidP="00E15189">
          <w:pPr>
            <w:pStyle w:val="ReleaseDate"/>
            <w:rPr>
              <w:rFonts w:cs="Times New Roman"/>
            </w:rPr>
          </w:pPr>
          <w:r>
            <w:t xml:space="preserve">040116    040116    </w:t>
          </w:r>
          <w:r w:rsidR="008D7AD9">
            <w:fldChar w:fldCharType="begin"/>
          </w:r>
          <w:r w:rsidR="008D7AD9">
            <w:instrText xml:space="preserve"> DOCVARIABLE "jobn" \* MERGEFORMAT </w:instrText>
          </w:r>
          <w:r w:rsidR="008D7AD9">
            <w:fldChar w:fldCharType="separate"/>
          </w:r>
          <w:r w:rsidR="008D7AD9">
            <w:t>GE.15-20615 (A)</w:t>
          </w:r>
          <w:r w:rsidR="008D7AD9">
            <w:fldChar w:fldCharType="end"/>
          </w:r>
        </w:p>
        <w:p w:rsidR="00E15189" w:rsidRPr="00E15189" w:rsidRDefault="00E15189" w:rsidP="00E15189">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*1520615*</w:t>
          </w:r>
        </w:p>
      </w:tc>
    </w:tr>
  </w:tbl>
  <w:p w:rsidR="00C14FCD" w:rsidRPr="00C14FCD" w:rsidRDefault="00C14FCD" w:rsidP="00C14FC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2D6" w:rsidRDefault="00A252D6" w:rsidP="00693CF9">
      <w:pPr>
        <w:spacing w:line="240" w:lineRule="auto"/>
      </w:pPr>
      <w:r>
        <w:separator/>
      </w:r>
    </w:p>
  </w:footnote>
  <w:footnote w:type="continuationSeparator" w:id="0">
    <w:p w:rsidR="00A252D6" w:rsidRDefault="00A252D6"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14FCD" w:rsidTr="00C14FCD">
      <w:trPr>
        <w:trHeight w:hRule="exact" w:val="864"/>
        <w:jc w:val="center"/>
      </w:trPr>
      <w:tc>
        <w:tcPr>
          <w:tcW w:w="4882" w:type="dxa"/>
          <w:shd w:val="clear" w:color="auto" w:fill="auto"/>
          <w:vAlign w:val="bottom"/>
        </w:tcPr>
        <w:p w:rsidR="00C14FCD" w:rsidRDefault="00C14FCD" w:rsidP="00C14FCD">
          <w:pPr>
            <w:pStyle w:val="Header"/>
            <w:bidi/>
          </w:pPr>
        </w:p>
      </w:tc>
      <w:tc>
        <w:tcPr>
          <w:tcW w:w="5127" w:type="dxa"/>
          <w:shd w:val="clear" w:color="auto" w:fill="auto"/>
          <w:vAlign w:val="bottom"/>
        </w:tcPr>
        <w:p w:rsidR="00C14FCD" w:rsidRPr="00C14FCD" w:rsidRDefault="00C14FCD" w:rsidP="00C14FC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D7AD9">
            <w:rPr>
              <w:w w:val="103"/>
            </w:rPr>
            <w:t>CCPR/C/SMR/CO/3</w:t>
          </w:r>
          <w:r>
            <w:rPr>
              <w:w w:val="103"/>
            </w:rPr>
            <w:fldChar w:fldCharType="end"/>
          </w:r>
        </w:p>
      </w:tc>
    </w:tr>
  </w:tbl>
  <w:p w:rsidR="00C14FCD" w:rsidRPr="00C14FCD" w:rsidRDefault="00C14FCD" w:rsidP="00C14F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14FCD" w:rsidTr="00C14FCD">
      <w:trPr>
        <w:trHeight w:hRule="exact" w:val="864"/>
        <w:jc w:val="center"/>
      </w:trPr>
      <w:tc>
        <w:tcPr>
          <w:tcW w:w="4882" w:type="dxa"/>
          <w:shd w:val="clear" w:color="auto" w:fill="auto"/>
          <w:vAlign w:val="bottom"/>
        </w:tcPr>
        <w:p w:rsidR="00C14FCD" w:rsidRPr="00E15189" w:rsidRDefault="00E15189" w:rsidP="00C14FCD">
          <w:pPr>
            <w:pStyle w:val="Header"/>
            <w:spacing w:after="80"/>
            <w:jc w:val="left"/>
            <w:rPr>
              <w:w w:val="103"/>
            </w:rPr>
          </w:pPr>
          <w:r>
            <w:rPr>
              <w:w w:val="103"/>
            </w:rPr>
            <w:fldChar w:fldCharType="begin"/>
          </w:r>
          <w:r>
            <w:rPr>
              <w:w w:val="103"/>
            </w:rPr>
            <w:instrText xml:space="preserve"> DOCVARIABLE "symbol1" \* MERGEFORMAT </w:instrText>
          </w:r>
          <w:r>
            <w:rPr>
              <w:w w:val="103"/>
            </w:rPr>
            <w:fldChar w:fldCharType="separate"/>
          </w:r>
          <w:r w:rsidR="008D7AD9">
            <w:rPr>
              <w:w w:val="103"/>
            </w:rPr>
            <w:t>CCPR/C/SMR/CO/3</w:t>
          </w:r>
          <w:r>
            <w:rPr>
              <w:w w:val="103"/>
            </w:rPr>
            <w:fldChar w:fldCharType="end"/>
          </w:r>
        </w:p>
      </w:tc>
      <w:tc>
        <w:tcPr>
          <w:tcW w:w="5127" w:type="dxa"/>
          <w:shd w:val="clear" w:color="auto" w:fill="auto"/>
          <w:vAlign w:val="bottom"/>
        </w:tcPr>
        <w:p w:rsidR="00C14FCD" w:rsidRDefault="00C14FCD" w:rsidP="00C14FCD">
          <w:pPr>
            <w:pStyle w:val="Header"/>
          </w:pPr>
        </w:p>
      </w:tc>
    </w:tr>
  </w:tbl>
  <w:p w:rsidR="00C14FCD" w:rsidRPr="00C14FCD" w:rsidRDefault="00C14FCD" w:rsidP="00C14F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C14FCD" w:rsidTr="00C14FCD">
      <w:trPr>
        <w:gridAfter w:val="1"/>
        <w:wAfter w:w="25" w:type="dxa"/>
        <w:trHeight w:hRule="exact" w:val="864"/>
      </w:trPr>
      <w:tc>
        <w:tcPr>
          <w:tcW w:w="1282" w:type="dxa"/>
          <w:tcBorders>
            <w:bottom w:val="single" w:sz="4" w:space="0" w:color="auto"/>
          </w:tcBorders>
          <w:shd w:val="clear" w:color="auto" w:fill="auto"/>
          <w:vAlign w:val="bottom"/>
        </w:tcPr>
        <w:p w:rsidR="00C14FCD" w:rsidRDefault="00C14FCD" w:rsidP="00C14FCD">
          <w:pPr>
            <w:pStyle w:val="Header"/>
            <w:spacing w:after="120"/>
          </w:pPr>
        </w:p>
      </w:tc>
      <w:tc>
        <w:tcPr>
          <w:tcW w:w="1786" w:type="dxa"/>
          <w:tcBorders>
            <w:bottom w:val="single" w:sz="4" w:space="0" w:color="auto"/>
          </w:tcBorders>
          <w:shd w:val="clear" w:color="auto" w:fill="auto"/>
          <w:vAlign w:val="bottom"/>
        </w:tcPr>
        <w:p w:rsidR="00C14FCD" w:rsidRPr="00C14FCD" w:rsidRDefault="00C14FCD" w:rsidP="00C14FC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14FCD" w:rsidRDefault="00C14FCD" w:rsidP="00C14FCD">
          <w:pPr>
            <w:pStyle w:val="Header"/>
            <w:spacing w:after="120"/>
          </w:pPr>
        </w:p>
      </w:tc>
      <w:tc>
        <w:tcPr>
          <w:tcW w:w="6696" w:type="dxa"/>
          <w:gridSpan w:val="3"/>
          <w:tcBorders>
            <w:bottom w:val="single" w:sz="4" w:space="0" w:color="auto"/>
          </w:tcBorders>
          <w:shd w:val="clear" w:color="auto" w:fill="auto"/>
          <w:vAlign w:val="bottom"/>
        </w:tcPr>
        <w:p w:rsidR="00C14FCD" w:rsidRPr="00C14FCD" w:rsidRDefault="00C14FCD" w:rsidP="00C14FCD">
          <w:pPr>
            <w:spacing w:line="380" w:lineRule="exact"/>
            <w:jc w:val="right"/>
          </w:pPr>
          <w:r>
            <w:rPr>
              <w:sz w:val="40"/>
            </w:rPr>
            <w:t>CCPR</w:t>
          </w:r>
          <w:r>
            <w:t>/C/SMR/CO/3</w:t>
          </w:r>
        </w:p>
      </w:tc>
    </w:tr>
    <w:tr w:rsidR="00C14FCD" w:rsidRPr="00C14FCD" w:rsidTr="00C14FCD">
      <w:trPr>
        <w:trHeight w:hRule="exact" w:val="2880"/>
      </w:trPr>
      <w:tc>
        <w:tcPr>
          <w:tcW w:w="1282" w:type="dxa"/>
          <w:tcBorders>
            <w:top w:val="single" w:sz="4" w:space="0" w:color="auto"/>
            <w:bottom w:val="single" w:sz="12" w:space="0" w:color="auto"/>
          </w:tcBorders>
          <w:shd w:val="clear" w:color="auto" w:fill="auto"/>
        </w:tcPr>
        <w:p w:rsidR="00C14FCD" w:rsidRDefault="00C14FCD" w:rsidP="00C14FCD">
          <w:pPr>
            <w:pStyle w:val="Header"/>
            <w:spacing w:before="120"/>
            <w:jc w:val="center"/>
          </w:pPr>
          <w:r>
            <w:t xml:space="preserve"> </w:t>
          </w:r>
          <w:r>
            <w:rPr>
              <w:noProof/>
            </w:rPr>
            <w:drawing>
              <wp:inline distT="0" distB="0" distL="0" distR="0" wp14:anchorId="1D76AF99" wp14:editId="6D3B4A0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C14FCD" w:rsidRPr="00C14FCD" w:rsidRDefault="00C14FCD" w:rsidP="00C14FCD">
          <w:pPr>
            <w:pStyle w:val="Header"/>
            <w:spacing w:before="120"/>
            <w:jc w:val="center"/>
          </w:pPr>
        </w:p>
      </w:tc>
      <w:tc>
        <w:tcPr>
          <w:tcW w:w="5227" w:type="dxa"/>
          <w:gridSpan w:val="3"/>
          <w:tcBorders>
            <w:top w:val="single" w:sz="4" w:space="0" w:color="auto"/>
            <w:bottom w:val="single" w:sz="12" w:space="0" w:color="auto"/>
          </w:tcBorders>
          <w:shd w:val="clear" w:color="auto" w:fill="auto"/>
        </w:tcPr>
        <w:p w:rsidR="00C14FCD" w:rsidRPr="00C14FCD" w:rsidRDefault="00C14FCD" w:rsidP="00C14FCD">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C14FCD" w:rsidRPr="00C14FCD" w:rsidRDefault="00C14FCD" w:rsidP="00C14FCD">
          <w:pPr>
            <w:pStyle w:val="Header"/>
            <w:spacing w:before="109"/>
          </w:pPr>
        </w:p>
      </w:tc>
      <w:tc>
        <w:tcPr>
          <w:tcW w:w="3280" w:type="dxa"/>
          <w:gridSpan w:val="2"/>
          <w:tcBorders>
            <w:top w:val="single" w:sz="4" w:space="0" w:color="auto"/>
            <w:bottom w:val="single" w:sz="12" w:space="0" w:color="auto"/>
          </w:tcBorders>
          <w:shd w:val="clear" w:color="auto" w:fill="auto"/>
        </w:tcPr>
        <w:p w:rsidR="00C14FCD" w:rsidRDefault="00C14FCD" w:rsidP="00C14FCD">
          <w:pPr>
            <w:pStyle w:val="Distribution"/>
            <w:bidi w:val="0"/>
            <w:spacing w:before="240"/>
          </w:pPr>
          <w:r>
            <w:t>Distr.: General</w:t>
          </w:r>
        </w:p>
        <w:p w:rsidR="00C14FCD" w:rsidRDefault="00CD1D83" w:rsidP="00C14FCD">
          <w:pPr>
            <w:pStyle w:val="Publication"/>
            <w:bidi w:val="0"/>
          </w:pPr>
          <w:r>
            <w:t>3 December 2015</w:t>
          </w:r>
        </w:p>
        <w:p w:rsidR="00C14FCD" w:rsidRDefault="00C14FCD" w:rsidP="00C14FCD">
          <w:pPr>
            <w:bidi w:val="0"/>
            <w:spacing w:line="240" w:lineRule="exact"/>
            <w:jc w:val="left"/>
          </w:pPr>
          <w:r>
            <w:t>Arabic</w:t>
          </w:r>
        </w:p>
        <w:p w:rsidR="00C14FCD" w:rsidRDefault="00C14FCD" w:rsidP="00C14FCD">
          <w:pPr>
            <w:pStyle w:val="Original"/>
            <w:bidi w:val="0"/>
          </w:pPr>
          <w:r>
            <w:t>Original: English</w:t>
          </w:r>
        </w:p>
        <w:p w:rsidR="00C14FCD" w:rsidRPr="00C14FCD" w:rsidRDefault="00C14FCD" w:rsidP="00C14FCD">
          <w:pPr>
            <w:bidi w:val="0"/>
            <w:spacing w:line="240" w:lineRule="exact"/>
            <w:jc w:val="left"/>
          </w:pPr>
        </w:p>
      </w:tc>
    </w:tr>
  </w:tbl>
  <w:p w:rsidR="00C14FCD" w:rsidRPr="00C14FCD" w:rsidRDefault="00C14FCD" w:rsidP="00C14FC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15"/>
    <w:docVar w:name="CreationDt" w:val="1/4/2016 4:15: PM"/>
    <w:docVar w:name="DocCategory" w:val="Doc"/>
    <w:docVar w:name="DocType" w:val="Final"/>
    <w:docVar w:name="DutyStation" w:val="Geneva"/>
    <w:docVar w:name="FooterJN" w:val="GE.15-20615"/>
    <w:docVar w:name="jobn" w:val="GE.15-20615 (A)"/>
    <w:docVar w:name="jobnDT" w:val="GE.15-20615 (A)   040116   "/>
    <w:docVar w:name="jobnDTDT" w:val="GE.15-20615 (A)   040116   040116"/>
    <w:docVar w:name="JobNo" w:val="GE.1520615A"/>
    <w:docVar w:name="LocalDrive" w:val="0"/>
    <w:docVar w:name="OandT" w:val=" "/>
    <w:docVar w:name="PaperSize" w:val="A4"/>
    <w:docVar w:name="sss1" w:val="CCPR/C/SMR/CO/3"/>
    <w:docVar w:name="sss2" w:val="-"/>
    <w:docVar w:name="SuppJobNo" w:val="GE.15-20615"/>
    <w:docVar w:name="Symbol1" w:val="CCPR/C/SMR/CO/3"/>
    <w:docVar w:name="Symbol2" w:val="-"/>
  </w:docVars>
  <w:rsids>
    <w:rsidRoot w:val="00A252D6"/>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5E3E"/>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4FA5"/>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42B"/>
    <w:rsid w:val="00445C58"/>
    <w:rsid w:val="004527C9"/>
    <w:rsid w:val="00453069"/>
    <w:rsid w:val="0045506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0689B"/>
    <w:rsid w:val="00714319"/>
    <w:rsid w:val="0071531E"/>
    <w:rsid w:val="0071645B"/>
    <w:rsid w:val="00716E9D"/>
    <w:rsid w:val="007338A0"/>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270C0"/>
    <w:rsid w:val="00830E32"/>
    <w:rsid w:val="00845A14"/>
    <w:rsid w:val="0085331D"/>
    <w:rsid w:val="00853F0F"/>
    <w:rsid w:val="008569BB"/>
    <w:rsid w:val="00861BB3"/>
    <w:rsid w:val="008624AF"/>
    <w:rsid w:val="00873A11"/>
    <w:rsid w:val="00873AF9"/>
    <w:rsid w:val="00877746"/>
    <w:rsid w:val="00881022"/>
    <w:rsid w:val="0088317F"/>
    <w:rsid w:val="00887330"/>
    <w:rsid w:val="008913BC"/>
    <w:rsid w:val="008A3FCA"/>
    <w:rsid w:val="008D1C04"/>
    <w:rsid w:val="008D7AD9"/>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D7001"/>
    <w:rsid w:val="009E23AC"/>
    <w:rsid w:val="009E2A1F"/>
    <w:rsid w:val="009E5241"/>
    <w:rsid w:val="009F231F"/>
    <w:rsid w:val="009F5698"/>
    <w:rsid w:val="009F60C8"/>
    <w:rsid w:val="00A140D9"/>
    <w:rsid w:val="00A14A6C"/>
    <w:rsid w:val="00A248A9"/>
    <w:rsid w:val="00A252D6"/>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4FCD"/>
    <w:rsid w:val="00C16F77"/>
    <w:rsid w:val="00C17412"/>
    <w:rsid w:val="00C25A2D"/>
    <w:rsid w:val="00C260F8"/>
    <w:rsid w:val="00C3050C"/>
    <w:rsid w:val="00C32889"/>
    <w:rsid w:val="00C32C73"/>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1D83"/>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184"/>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15189"/>
    <w:rsid w:val="00E21491"/>
    <w:rsid w:val="00E21D3D"/>
    <w:rsid w:val="00E23336"/>
    <w:rsid w:val="00E31661"/>
    <w:rsid w:val="00E32B52"/>
    <w:rsid w:val="00E34040"/>
    <w:rsid w:val="00E35D91"/>
    <w:rsid w:val="00E3652F"/>
    <w:rsid w:val="00E46D06"/>
    <w:rsid w:val="00E47EB8"/>
    <w:rsid w:val="00E52F1E"/>
    <w:rsid w:val="00E544EA"/>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3476"/>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 w:val="00FF76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C14FCD"/>
    <w:pPr>
      <w:spacing w:line="240" w:lineRule="auto"/>
    </w:pPr>
    <w:rPr>
      <w:szCs w:val="20"/>
    </w:rPr>
  </w:style>
  <w:style w:type="character" w:customStyle="1" w:styleId="CommentTextChar">
    <w:name w:val="Comment Text Char"/>
    <w:basedOn w:val="DefaultParagraphFont"/>
    <w:link w:val="CommentText"/>
    <w:rsid w:val="00C14FCD"/>
    <w:rPr>
      <w:w w:val="103"/>
      <w:kern w:val="14"/>
    </w:rPr>
  </w:style>
  <w:style w:type="paragraph" w:styleId="CommentSubject">
    <w:name w:val="annotation subject"/>
    <w:basedOn w:val="CommentText"/>
    <w:next w:val="CommentText"/>
    <w:link w:val="CommentSubjectChar"/>
    <w:rsid w:val="00C14FCD"/>
    <w:rPr>
      <w:b/>
      <w:bCs/>
    </w:rPr>
  </w:style>
  <w:style w:type="character" w:customStyle="1" w:styleId="CommentSubjectChar">
    <w:name w:val="Comment Subject Char"/>
    <w:basedOn w:val="CommentTextChar"/>
    <w:link w:val="CommentSubject"/>
    <w:rsid w:val="00C14FCD"/>
    <w:rPr>
      <w:b/>
      <w:bCs/>
      <w:w w:val="103"/>
      <w:kern w:val="14"/>
    </w:rPr>
  </w:style>
  <w:style w:type="paragraph" w:styleId="Revision">
    <w:name w:val="Revision"/>
    <w:hidden/>
    <w:uiPriority w:val="99"/>
    <w:semiHidden/>
    <w:rsid w:val="002A4FA5"/>
    <w:rPr>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C14FCD"/>
    <w:pPr>
      <w:spacing w:line="240" w:lineRule="auto"/>
    </w:pPr>
    <w:rPr>
      <w:szCs w:val="20"/>
    </w:rPr>
  </w:style>
  <w:style w:type="character" w:customStyle="1" w:styleId="CommentTextChar">
    <w:name w:val="Comment Text Char"/>
    <w:basedOn w:val="DefaultParagraphFont"/>
    <w:link w:val="CommentText"/>
    <w:rsid w:val="00C14FCD"/>
    <w:rPr>
      <w:w w:val="103"/>
      <w:kern w:val="14"/>
    </w:rPr>
  </w:style>
  <w:style w:type="paragraph" w:styleId="CommentSubject">
    <w:name w:val="annotation subject"/>
    <w:basedOn w:val="CommentText"/>
    <w:next w:val="CommentText"/>
    <w:link w:val="CommentSubjectChar"/>
    <w:rsid w:val="00C14FCD"/>
    <w:rPr>
      <w:b/>
      <w:bCs/>
    </w:rPr>
  </w:style>
  <w:style w:type="character" w:customStyle="1" w:styleId="CommentSubjectChar">
    <w:name w:val="Comment Subject Char"/>
    <w:basedOn w:val="CommentTextChar"/>
    <w:link w:val="CommentSubject"/>
    <w:rsid w:val="00C14FCD"/>
    <w:rPr>
      <w:b/>
      <w:bCs/>
      <w:w w:val="103"/>
      <w:kern w:val="14"/>
    </w:rPr>
  </w:style>
  <w:style w:type="paragraph" w:styleId="Revision">
    <w:name w:val="Revision"/>
    <w:hidden/>
    <w:uiPriority w:val="99"/>
    <w:semiHidden/>
    <w:rsid w:val="002A4FA5"/>
    <w:rPr>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BBF5C-A091-4DDC-B067-035C7BB71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1549</Words>
  <Characters>7952</Characters>
  <Application>Microsoft Office Word</Application>
  <DocSecurity>0</DocSecurity>
  <Lines>172</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9443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Mahmoud</dc:creator>
  <cp:lastModifiedBy>Tpsara</cp:lastModifiedBy>
  <cp:revision>3</cp:revision>
  <cp:lastPrinted>2016-01-05T10:50:00Z</cp:lastPrinted>
  <dcterms:created xsi:type="dcterms:W3CDTF">2016-01-05T10:50:00Z</dcterms:created>
  <dcterms:modified xsi:type="dcterms:W3CDTF">2016-01-05T10:50:00Z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1627540A</vt:lpwstr>
  </property>
  <property fmtid="{D5CDD505-2E9C-101B-9397-08002B2CF9AE}" pid="3" name="Symbol1">
    <vt:lpwstr>CCPR/C/SMR/CO/3</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4 January 2016</vt:lpwstr>
  </property>
  <property fmtid="{D5CDD505-2E9C-101B-9397-08002B2CF9AE}" pid="8" name="Original">
    <vt:lpwstr>English</vt:lpwstr>
  </property>
  <property fmtid="{D5CDD505-2E9C-101B-9397-08002B2CF9AE}" pid="9" name="Release Date">
    <vt:lpwstr>040116</vt:lpwstr>
  </property>
  <property fmtid="{D5CDD505-2E9C-101B-9397-08002B2CF9AE}" pid="10" name="Comment">
    <vt:lpwstr>A. Belfalah/A. Ghailan</vt:lpwstr>
  </property>
  <property fmtid="{D5CDD505-2E9C-101B-9397-08002B2CF9AE}" pid="11" name="DraftPages">
    <vt:lpwstr>6</vt:lpwstr>
  </property>
  <property fmtid="{D5CDD505-2E9C-101B-9397-08002B2CF9AE}" pid="12" name="Operator">
    <vt:lpwstr>Gamal</vt:lpwstr>
  </property>
  <property fmtid="{D5CDD505-2E9C-101B-9397-08002B2CF9AE}" pid="13" name="JobNo">
    <vt:lpwstr>GE.1520615A</vt:lpwstr>
  </property>
</Properties>
</file>