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Предсессионная рабочая группа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>Тридцать четвертая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16 января — 3 февраля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Австралия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I.</w:t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сводный четвертый и пятый периодический доклад Австралии (CEDAW/C/AUL/4-5).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Просьба рассказать о процессе подготовки сводного четвертого и пятого периодического доклада. Просьба указать, какие государственные ведомства и учреждения участвовали в этой работе, характер и масштабы их участия, а также проводились ли консультации с неправительственными организациями и выносился ли доклад на рассмотрение парламента.</w:t>
      </w:r>
    </w:p>
    <w:p w:rsidR="00000000" w:rsidRDefault="00000000">
      <w:pPr>
        <w:pStyle w:val="SingleTxt"/>
      </w:pPr>
      <w:r>
        <w:t>2.</w:t>
      </w:r>
      <w:r>
        <w:tab/>
        <w:t>Просьба представить дополнительную информацию и статистические данные, дезагрегированные по признаку пола и этнической принадлежности, по основным положениям Конвенции за период, не охваченный в докладе.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Конституционный, законодательный и организационный механизм и</w:t>
      </w:r>
      <w:r>
        <w:rPr>
          <w:lang w:val="en-US"/>
        </w:rPr>
        <w:t> </w:t>
      </w:r>
      <w:r>
        <w:t>состояние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rPr>
          <w:lang w:val="en-US"/>
        </w:rPr>
        <w:t>3.</w:t>
      </w:r>
      <w:r>
        <w:tab/>
        <w:t>Свою обеспокоенность по поводу состояния международно-правовых д</w:t>
      </w:r>
      <w:r>
        <w:t>о</w:t>
      </w:r>
      <w:r>
        <w:t>говоров в рамках внутригосударственной правовой системы Австралии и о</w:t>
      </w:r>
      <w:r>
        <w:t>т</w:t>
      </w:r>
      <w:r>
        <w:t>сутствия жестко закрепленных конституционных гарантий вступления в силу этих договоров постоянно выражали и другие договорные органы (см., например, заключительные замечания Комитета по правам человека (A/55/40, пункты 514–518), Комитета по экономическим, социальным и кул</w:t>
      </w:r>
      <w:r>
        <w:t>ь</w:t>
      </w:r>
      <w:r>
        <w:t>турным правам (E/2001/22, пункт 379) и Комитета по расовой дискриминации (CERD/C/AUS/CO/14, пункт 9). Просьба сообщить о том, какие меры сейчас рассматриваются с целью обеспечить гарантии против дискриминации по пр</w:t>
      </w:r>
      <w:r>
        <w:t>и</w:t>
      </w:r>
      <w:r>
        <w:t>знаку пола в соответствии с положениями Конвенции, которые имели бы пр</w:t>
      </w:r>
      <w:r>
        <w:t>е</w:t>
      </w:r>
      <w:r>
        <w:t>имущественную силу перед законодательством Содружества, а также штатов и территорий, и какие механизмы созданы в Австралии для выполнения ее об</w:t>
      </w:r>
      <w:r>
        <w:t>я</w:t>
      </w:r>
      <w:r>
        <w:t>зательства обеспечивать соблюдение всех прав, закрепленных в Конвенции, и их полную реализацию во всех штатах и территор</w:t>
      </w:r>
      <w:r>
        <w:t>и</w:t>
      </w:r>
      <w:r>
        <w:t>ях.</w:t>
      </w:r>
    </w:p>
    <w:p w:rsidR="00000000" w:rsidRDefault="00000000">
      <w:pPr>
        <w:pStyle w:val="SingleTxt"/>
      </w:pPr>
      <w:r>
        <w:t>4.</w:t>
      </w:r>
      <w:r>
        <w:tab/>
        <w:t>В докладе говорится об осуществлении образовательных программ для судейского корпуса, в том числе о различных формах обучения судей методам выявления и устранения дискриминации по признаку пола в судебной системе (пункты 530-531). Просьба рассказать подробнее об этих учебных программах, в том числе о том, проводится ли для судей подготовка по вопросам примен</w:t>
      </w:r>
      <w:r>
        <w:t>е</w:t>
      </w:r>
      <w:r>
        <w:t>ния положений Конвенции во внутригосударственной сф</w:t>
      </w:r>
      <w:r>
        <w:t>е</w:t>
      </w:r>
      <w:r>
        <w:t>ре.</w:t>
      </w:r>
    </w:p>
    <w:p w:rsidR="00000000" w:rsidRDefault="00000000">
      <w:pPr>
        <w:pStyle w:val="SingleTxt"/>
      </w:pPr>
      <w:r>
        <w:t>5.</w:t>
      </w:r>
      <w:r>
        <w:tab/>
        <w:t>Просьба подробно сообщить о всех случаях применения судами полож</w:t>
      </w:r>
      <w:r>
        <w:t>е</w:t>
      </w:r>
      <w:r>
        <w:t>ний Конвенции или ссылки на них.</w:t>
      </w:r>
    </w:p>
    <w:p w:rsidR="00000000" w:rsidRDefault="00000000">
      <w:pPr>
        <w:pStyle w:val="SingleTxt"/>
      </w:pPr>
      <w:r>
        <w:t>6.</w:t>
      </w:r>
      <w:r>
        <w:tab/>
        <w:t>В своих предыдущих замечаниях</w:t>
      </w:r>
      <w:r>
        <w:rPr>
          <w:vertAlign w:val="superscript"/>
        </w:rPr>
        <w:t>1</w:t>
      </w:r>
      <w:r>
        <w:t xml:space="preserve"> Комитет выразил обеспокоенность в связи с сокращением масштабов финансирования деятельности Управления по вопросам положения женщин и Комиссии по правам человека и обеспечению равных возможностей, а также в связи со снижением активности в работе н</w:t>
      </w:r>
      <w:r>
        <w:t>а</w:t>
      </w:r>
      <w:r>
        <w:t>ционального механизма улучшения положения женщин по выработке рекоме</w:t>
      </w:r>
      <w:r>
        <w:t>н</w:t>
      </w:r>
      <w:r>
        <w:t>даций в области политики и контролю за эффективным проведением такой п</w:t>
      </w:r>
      <w:r>
        <w:t>о</w:t>
      </w:r>
      <w:r>
        <w:t>литики (пункт 391). Комитет рекомендовал государству-участнику отслеживать последствия изменений в политике и сообщить о них в своем следующем п</w:t>
      </w:r>
      <w:r>
        <w:t>е</w:t>
      </w:r>
      <w:r>
        <w:t>риодическом докладе (пункт 398). Просьба представить дополнительную и</w:t>
      </w:r>
      <w:r>
        <w:t>н</w:t>
      </w:r>
      <w:r>
        <w:t>формацию на этот счет, в том числе о том, улучшилось ли финансирование и активизировалась ли работа национального механизма улучшения положения женщин, в том числе Управления по вопросам положения женщин, за время, прошедшее после представления последнего до</w:t>
      </w:r>
      <w:r>
        <w:t>к</w:t>
      </w:r>
      <w:r>
        <w:t>лада.</w:t>
      </w:r>
    </w:p>
    <w:p w:rsidR="00000000" w:rsidRDefault="00000000">
      <w:pPr>
        <w:pStyle w:val="SingleTxt"/>
      </w:pPr>
      <w:r>
        <w:t>7.</w:t>
      </w:r>
      <w:r>
        <w:tab/>
        <w:t>Австралия сохраняет свои оговорки к статье 11(2) Конвенции. В докладе эти оговорки упоминаются неоднократно, но не говорится о том, рассматривает ли правительство возможность их снятия. Просьба сообщить о намерении пр</w:t>
      </w:r>
      <w:r>
        <w:t>а</w:t>
      </w:r>
      <w:r>
        <w:t>вительства в этой связи и о том, какие шаги сейчас предпринимаются с целью начать процесс консультаций, необходимый для снятия оговорок, о которых упоминается в пункте 19 доклада.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8.</w:t>
      </w:r>
      <w:r>
        <w:tab/>
        <w:t>Несмотря на значительные успехи, достигнутые правительством в его усилиях по борьбе с насилием в отношении женщин, Специальный докладчик по вопросу о насилии в отношении женщин сообщил о росте числа случаев сексуального преследования женщин с 2000 по 2001 год и отметил, что по ит</w:t>
      </w:r>
      <w:r>
        <w:t>о</w:t>
      </w:r>
      <w:r>
        <w:t>гам проведенного в 1996 году Австралийским статистическим управлением о</w:t>
      </w:r>
      <w:r>
        <w:t>б</w:t>
      </w:r>
      <w:r>
        <w:t>следования безопасности женщин было установлено, что 9 из 10 подвергшихся сексуальному преследованию женщин не сообщили об этом в полицию (E/CN.4/2003/75/Add.1, пункт 918). Просьба представить дополнительные ст</w:t>
      </w:r>
      <w:r>
        <w:t>а</w:t>
      </w:r>
      <w:r>
        <w:t>тистические данные и информацию о динамике сексуального преследования в Австралии, в том числе о том, какой процент таких случаев становится досто</w:t>
      </w:r>
      <w:r>
        <w:t>я</w:t>
      </w:r>
      <w:r>
        <w:t>нием гласности и какой процент лиц, виновных в сексуальном преследовании, привлекается к ответственности, а также указать, какие меры принимаются в настоящее время с целью побудить женщин — жертв сексуального преслед</w:t>
      </w:r>
      <w:r>
        <w:t>о</w:t>
      </w:r>
      <w:r>
        <w:t>вания обращаться в правоохранительные органы за помощью.</w:t>
      </w:r>
    </w:p>
    <w:p w:rsidR="00000000" w:rsidRDefault="00000000">
      <w:pPr>
        <w:pStyle w:val="SingleTxt"/>
      </w:pPr>
      <w:r>
        <w:t>9.</w:t>
      </w:r>
      <w:r>
        <w:tab/>
        <w:t>Специальный докладчик по вопросу о насилии в отношении женщин с</w:t>
      </w:r>
      <w:r>
        <w:t>о</w:t>
      </w:r>
      <w:r>
        <w:t>общает, что больше всего от бытового насилия страдают женщины коренного населения, за ними следуют женщины-беженцы и женщины-мигранты, п</w:t>
      </w:r>
      <w:r>
        <w:t>о</w:t>
      </w:r>
      <w:r>
        <w:t>скольку они не могут воспользоваться для борьбы с бытовым насилием про</w:t>
      </w:r>
      <w:r>
        <w:t>ч</w:t>
      </w:r>
      <w:r>
        <w:t>ной законодательной базой и всеобъемлющей системой поддержки (там же). Просьба сообщить, какие имеются программы, помогающие женщинам коре</w:t>
      </w:r>
      <w:r>
        <w:t>н</w:t>
      </w:r>
      <w:r>
        <w:t>ных народов, женщинам-беженцам и женщинам-мигрантам использовать пр</w:t>
      </w:r>
      <w:r>
        <w:t>е</w:t>
      </w:r>
      <w:r>
        <w:t>имущества законодательства и системы поддержки для противодействия быт</w:t>
      </w:r>
      <w:r>
        <w:t>о</w:t>
      </w:r>
      <w:r>
        <w:t>вому насилию, и о прогрессе, достигнутом в реализации инициатив, напра</w:t>
      </w:r>
      <w:r>
        <w:t>в</w:t>
      </w:r>
      <w:r>
        <w:t>ленных на то, чтобы увязать стратегии борьбы с бытовым насилием с потре</w:t>
      </w:r>
      <w:r>
        <w:t>б</w:t>
      </w:r>
      <w:r>
        <w:t>ностями этих женских групп. Просьба также сообщить о прогрессе в усилиях по систематизации законодательства о бытовом насилии, а также в осущест</w:t>
      </w:r>
      <w:r>
        <w:t>в</w:t>
      </w:r>
      <w:r>
        <w:t>лении инициатив, направленных на укрепление правоп</w:t>
      </w:r>
      <w:r>
        <w:t>о</w:t>
      </w:r>
      <w:r>
        <w:t>рядка.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  <w:t>В своих предыдущих заключительных замечаниях</w:t>
      </w:r>
      <w:r>
        <w:rPr>
          <w:vertAlign w:val="superscript"/>
        </w:rPr>
        <w:t>1</w:t>
      </w:r>
      <w:r>
        <w:t xml:space="preserve"> Комитет отметил ра</w:t>
      </w:r>
      <w:r>
        <w:t>с</w:t>
      </w:r>
      <w:r>
        <w:t>хождения в законодательстве штатов в части, касающейся проституции, и р</w:t>
      </w:r>
      <w:r>
        <w:t>е</w:t>
      </w:r>
      <w:r>
        <w:t>комендовал правительству изучить эффективность различных мер, направле</w:t>
      </w:r>
      <w:r>
        <w:t>н</w:t>
      </w:r>
      <w:r>
        <w:t>ных на сокращение масштабов эксплуатации проституции (пункт 403). Прос</w:t>
      </w:r>
      <w:r>
        <w:t>ь</w:t>
      </w:r>
      <w:r>
        <w:t>ба сообщить, проводилось ли такое исследование и если да, каковы его резул</w:t>
      </w:r>
      <w:r>
        <w:t>ь</w:t>
      </w:r>
      <w:r>
        <w:t>таты.</w:t>
      </w:r>
    </w:p>
    <w:p w:rsidR="00000000" w:rsidRDefault="00000000">
      <w:pPr>
        <w:pStyle w:val="SingleTxt"/>
      </w:pPr>
      <w:r>
        <w:t>11.</w:t>
      </w:r>
      <w:r>
        <w:tab/>
        <w:t>Просьба сообщить дополнительную информацию о мерах борьбы с пед</w:t>
      </w:r>
      <w:r>
        <w:t>о</w:t>
      </w:r>
      <w:r>
        <w:t>филией и секс-туризмом с участием австралийских мужчин, предпочитающих посещать азиатские страны, и о положении женщин, приезжающих в Австр</w:t>
      </w:r>
      <w:r>
        <w:t>а</w:t>
      </w:r>
      <w:r>
        <w:t>лию в качестве невест.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12.</w:t>
      </w:r>
      <w:r>
        <w:tab/>
        <w:t>В своих предыдущих заключительных замечаниях</w:t>
      </w:r>
      <w:r>
        <w:rPr>
          <w:vertAlign w:val="superscript"/>
        </w:rPr>
        <w:t>1</w:t>
      </w:r>
      <w:r>
        <w:t xml:space="preserve"> Комитет рекомендовал правительству собирать статистические данные об участии женщин коренного населения на островах Торресова пролива в принятии решений, политической жизни и работе административных и судебных органов (пункт 404). Просьба представить эту информацию.</w:t>
      </w:r>
    </w:p>
    <w:p w:rsidR="00000000" w:rsidRDefault="00000000">
      <w:pPr>
        <w:pStyle w:val="SingleTxt"/>
      </w:pPr>
      <w:r>
        <w:t>13.</w:t>
      </w:r>
      <w:r>
        <w:tab/>
        <w:t>В докладе говорится о том, что меры по расширению участия женщин в политической и общественной жизни «… были направлены не на установление предписанных или обязательных квот» и что «… австралийские женщины и</w:t>
      </w:r>
      <w:r>
        <w:t>з</w:t>
      </w:r>
      <w:r>
        <w:t>бираются в высшие эшелоны власти на основании их высокой профессионал</w:t>
      </w:r>
      <w:r>
        <w:t>ь</w:t>
      </w:r>
      <w:r>
        <w:t>ной квалификации» (пункт 112). В свете рекомендации по пункту 1 статьи 4 Конвенции о временных специальных мерах просьба указать, почему не и</w:t>
      </w:r>
      <w:r>
        <w:t>с</w:t>
      </w:r>
      <w:r>
        <w:t>пользуются квоты или нормы для увеличения числа женщин на политических и государственных должностях, особенно тех женщин, которые могут подвер</w:t>
      </w:r>
      <w:r>
        <w:t>г</w:t>
      </w:r>
      <w:r>
        <w:t>нуться или подвергаются дискриминации в самых различных формах, напр</w:t>
      </w:r>
      <w:r>
        <w:t>и</w:t>
      </w:r>
      <w:r>
        <w:t>мер, женщин, принадлежащих к этническим меньшинствам, и же</w:t>
      </w:r>
      <w:r>
        <w:t>н</w:t>
      </w:r>
      <w:r>
        <w:t>щин-иммигрантов.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Стереотипы и 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14.</w:t>
      </w:r>
      <w:r>
        <w:tab/>
        <w:t>В докладе указывается, что правительство уделяет приоритетное вним</w:t>
      </w:r>
      <w:r>
        <w:t>а</w:t>
      </w:r>
      <w:r>
        <w:t>ние устранению имеющих пагубные последствия стереотипных представлений в рамках Плана действий «Пекин+5» на 2001–2005 годы (пункт 68), но ничего не говорится о стратегиях, принятых для искоренения патриархальных взгл</w:t>
      </w:r>
      <w:r>
        <w:t>я</w:t>
      </w:r>
      <w:r>
        <w:t>дов и стереотипов в Австралии, а также о том, какие принимаются меры для борьбы с существующими стереотипными представлениями о роли женщин и мужчин. Просьба сообщить, разработаны ли всеобъемлющие стратегии борьбы с распространенными стереотипами, предусматривающие всестороннее вовл</w:t>
      </w:r>
      <w:r>
        <w:t>е</w:t>
      </w:r>
      <w:r>
        <w:t>чение в нее австралийских женщин, и об усилиях, предпринимаемых руков</w:t>
      </w:r>
      <w:r>
        <w:t>о</w:t>
      </w:r>
      <w:r>
        <w:t>дством Содружества, штатов и территории для искоренения стереотипных взглядов во всех секторах и сферах в соответствии со статьей 5(a) Конве</w:t>
      </w:r>
      <w:r>
        <w:t>н</w:t>
      </w:r>
      <w:r>
        <w:t>ции.</w:t>
      </w:r>
    </w:p>
    <w:p w:rsidR="00000000" w:rsidRDefault="00000000">
      <w:pPr>
        <w:pStyle w:val="SingleTxt"/>
      </w:pPr>
      <w:r>
        <w:t>15.</w:t>
      </w:r>
      <w:r>
        <w:tab/>
        <w:t>В докладе говорится о том, что в Австралии разработан новый свод о</w:t>
      </w:r>
      <w:r>
        <w:t>б</w:t>
      </w:r>
      <w:r>
        <w:t>щенациональных задач в области школьного образования в XXI веке (пункт 213), но обходится молчанием вопрос о том, какие установлены пр</w:t>
      </w:r>
      <w:r>
        <w:t>и</w:t>
      </w:r>
      <w:r>
        <w:t>оритеты и какие разработаны стратегии для решения конкретных вопросов о</w:t>
      </w:r>
      <w:r>
        <w:t>б</w:t>
      </w:r>
      <w:r>
        <w:t>разования девочек и осуществления общенациональных планов по искорен</w:t>
      </w:r>
      <w:r>
        <w:t>е</w:t>
      </w:r>
      <w:r>
        <w:t>нию стереотипов в рамках системы образования. Просьба представить эту и</w:t>
      </w:r>
      <w:r>
        <w:t>н</w:t>
      </w:r>
      <w:r>
        <w:t>формацию. Просьба также сообщить, проводилась ли какая</w:t>
      </w:r>
      <w:r>
        <w:noBreakHyphen/>
        <w:t>либо оценка р</w:t>
      </w:r>
      <w:r>
        <w:t>е</w:t>
      </w:r>
      <w:r>
        <w:t>зультатов ос</w:t>
      </w:r>
      <w:r>
        <w:t>у</w:t>
      </w:r>
      <w:r>
        <w:t>ществления национальной стратегии в области профессионально-технического обучения женщин (1996 года) и последствий перехода на новую систему профессиональной ориентации (пункты 223–224), особо указав при этом, какую пользу извлекают женщины от реализации этих пр</w:t>
      </w:r>
      <w:r>
        <w:t>о</w:t>
      </w:r>
      <w:r>
        <w:t>грамм.</w:t>
      </w:r>
    </w:p>
    <w:p w:rsidR="00000000" w:rsidRDefault="00000000">
      <w:pPr>
        <w:pStyle w:val="SingleTxt"/>
      </w:pPr>
      <w:r>
        <w:t>16.</w:t>
      </w:r>
      <w:r>
        <w:tab/>
        <w:t>В докладе говорится, что школьная успеваемость среди девушек выше, чем среди юношей и что женщины шире представлены в высших учебных з</w:t>
      </w:r>
      <w:r>
        <w:t>а</w:t>
      </w:r>
      <w:r>
        <w:t>ведениях, но в силу ряда причин они по</w:t>
      </w:r>
      <w:r>
        <w:noBreakHyphen/>
        <w:t>прежнему находятся в менее выгодном по сравнению с мужчинами положении на рынке труда (пункт 222). Какие стратегии уже разработаны или рассматриваются правительством с целью обеспечить, чтобы молодые женщины получали и сохраняли за собой работу сообразно своему образовательному уровню?</w:t>
      </w:r>
    </w:p>
    <w:p w:rsidR="00000000" w:rsidRDefault="00000000">
      <w:pPr>
        <w:pStyle w:val="SingleTxt"/>
      </w:pPr>
      <w:r>
        <w:t>17.</w:t>
      </w:r>
      <w:r>
        <w:tab/>
        <w:t>Просьба сообщить о последствиях как для юношей, так и для девушек принятия Закона о поддержке высшего образования, согласно которому плата за высшее образование увеличивается на 25 процентов, и законопроекта о вн</w:t>
      </w:r>
      <w:r>
        <w:t>е</w:t>
      </w:r>
      <w:r>
        <w:t>сении поправки в Закон о поддержке высшего образования, устанавливающего ограничения на предоставление на территории студенческих городков таких основных услуг, как организация доступного ухода за детьми по гибкому гр</w:t>
      </w:r>
      <w:r>
        <w:t>а</w:t>
      </w:r>
      <w:r>
        <w:t>фику, выплаты по линии социального обеспечения, оказание помощи в получ</w:t>
      </w:r>
      <w:r>
        <w:t>е</w:t>
      </w:r>
      <w:r>
        <w:t>нии ж</w:t>
      </w:r>
      <w:r>
        <w:t>и</w:t>
      </w:r>
      <w:r>
        <w:t>лья и консультативной помощи.</w:t>
      </w:r>
    </w:p>
    <w:p w:rsidR="00000000" w:rsidRDefault="00000000">
      <w:pPr>
        <w:pStyle w:val="SingleTxt"/>
      </w:pPr>
      <w:r>
        <w:t>18.</w:t>
      </w:r>
      <w:r>
        <w:tab/>
        <w:t>Просьба сообщить, какие предпринимаются шаги с целью обеспечить полный охват школьным обучением и удержание в школе девочек коренных народов во всех штатах и территориях и повысить их успеваемость.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19.</w:t>
      </w:r>
      <w:r>
        <w:tab/>
        <w:t>В своих предыдущих заключительных замечаниях</w:t>
      </w:r>
      <w:r>
        <w:rPr>
          <w:vertAlign w:val="superscript"/>
        </w:rPr>
        <w:t>1</w:t>
      </w:r>
      <w:r>
        <w:t xml:space="preserve"> Комитет рекомендовал дать оценку эффективности Закона о взаимоотношениях на рабочем месте 1996 года, в том числе оценить его воздействие на положение женщин разных возрастных групп, с разным уровнем образования и в разных профессионал</w:t>
      </w:r>
      <w:r>
        <w:t>ь</w:t>
      </w:r>
      <w:r>
        <w:t>ных категориях. Комитет высказал особое пожелание ознакомиться с воздейс</w:t>
      </w:r>
      <w:r>
        <w:t>т</w:t>
      </w:r>
      <w:r>
        <w:t>вием этого Закона на положение женщин, занятых неполный рабочий день или на временной работе, на порядок предоставления льгот женщинам и на пол</w:t>
      </w:r>
      <w:r>
        <w:t>о</w:t>
      </w:r>
      <w:r>
        <w:t>жение женщин, которым приходится сочетать профессиональные обязанности с семейными, в частности на возможность предоставления женщинам отпуска по беременности и родам (пункт 399). Просьба указать, проводилось ли такое исследование, и если да, сообщить о его результатах. Просьба также рассказать о Законе о равных возможн</w:t>
      </w:r>
      <w:r>
        <w:t>о</w:t>
      </w:r>
      <w:r>
        <w:t>стях для женщин на производстве 1997 года.</w:t>
      </w:r>
    </w:p>
    <w:p w:rsidR="00000000" w:rsidRDefault="00000000">
      <w:pPr>
        <w:pStyle w:val="SingleTxt"/>
      </w:pPr>
      <w:r>
        <w:t>20.</w:t>
      </w:r>
      <w:r>
        <w:tab/>
        <w:t>Законодательство Австралии не предусматривает предоставления женщ</w:t>
      </w:r>
      <w:r>
        <w:t>и</w:t>
      </w:r>
      <w:r>
        <w:t>не оплачиваемого отпуска по беременности и родам и, как об этом говорится в докладе, право на оплачиваемый отпуск по беременности и родам имеют лишь 38 процентов трудящихся женщин (пункт 254). В докладе также говорится о проведенном в 2001 году Комиссией по правам человека и обеспечению ра</w:t>
      </w:r>
      <w:r>
        <w:t>в</w:t>
      </w:r>
      <w:r>
        <w:t>ных возможностей исследования возможностей осуществления национальной программы предоставления оплачиваемого отпуска по беременности и родам в Австралии (пункт 255). Просьба сообщить, какие сейчас рассматриваются во</w:t>
      </w:r>
      <w:r>
        <w:t>з</w:t>
      </w:r>
      <w:r>
        <w:t>можности для введения оплачиваемого отпуска по беременности и родам во всех штатах и территориях Австралии.</w:t>
      </w:r>
    </w:p>
    <w:p w:rsidR="00000000" w:rsidRDefault="00000000">
      <w:pPr>
        <w:pStyle w:val="SingleTxt"/>
      </w:pPr>
      <w:r>
        <w:t>21.</w:t>
      </w:r>
      <w:r>
        <w:tab/>
        <w:t>В своих предыдущих заключительных замечаниях Комитет рекомендовал правительству собирать статистические данные о занятости женщин коренного населения и на островах Торресова пролива (A/52/38/Rev.1, пункт 404). Прос</w:t>
      </w:r>
      <w:r>
        <w:t>ь</w:t>
      </w:r>
      <w:r>
        <w:t>ба представить эти данные, а также подробную информацию о шагах, пре</w:t>
      </w:r>
      <w:r>
        <w:t>д</w:t>
      </w:r>
      <w:r>
        <w:t>принятых с целью разработки политики по обеспечению равных возможн</w:t>
      </w:r>
      <w:r>
        <w:t>о</w:t>
      </w:r>
      <w:r>
        <w:t>стей, а также о финансовых ресурсах, выделяемых на осуществление програ</w:t>
      </w:r>
      <w:r>
        <w:t>м</w:t>
      </w:r>
      <w:r>
        <w:t>мы з</w:t>
      </w:r>
      <w:r>
        <w:t>а</w:t>
      </w:r>
      <w:r>
        <w:t>нятости коренного населения.</w:t>
      </w:r>
    </w:p>
    <w:p w:rsidR="00000000" w:rsidRDefault="00000000">
      <w:pPr>
        <w:pStyle w:val="SingleTxt"/>
      </w:pPr>
      <w:r>
        <w:t>22.</w:t>
      </w:r>
      <w:r>
        <w:tab/>
        <w:t>Комитет по экономическим, социальным и культурным правам выразил свою обеспокоенность по поводу того, что домашняя прислуга, состоящая пр</w:t>
      </w:r>
      <w:r>
        <w:t>е</w:t>
      </w:r>
      <w:r>
        <w:t>имущественно из женщин, не пользуется никакой социальной защитой и пол</w:t>
      </w:r>
      <w:r>
        <w:t>у</w:t>
      </w:r>
      <w:r>
        <w:t>чает значительно меньшую, чем минимальная, заработную плату (E/2001/22, пункт 383). Просьба сообщить о мерах, принятых правительством в целях улучшения положения домашней прислуги, в том числе о мерах по обеспеч</w:t>
      </w:r>
      <w:r>
        <w:t>е</w:t>
      </w:r>
      <w:r>
        <w:t>нию того, чтобы домашние работницы получали официальную минимальную заработную плату и пользовались соответствующими социальными льг</w:t>
      </w:r>
      <w:r>
        <w:t>о</w:t>
      </w:r>
      <w:r>
        <w:t>тами.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23.</w:t>
      </w:r>
      <w:r>
        <w:tab/>
        <w:t>В своих предыдущих заключительных замечаниях</w:t>
      </w:r>
      <w:r>
        <w:rPr>
          <w:vertAlign w:val="superscript"/>
        </w:rPr>
        <w:t>1</w:t>
      </w:r>
      <w:r>
        <w:t xml:space="preserve"> Комитет просил пр</w:t>
      </w:r>
      <w:r>
        <w:t>а</w:t>
      </w:r>
      <w:r>
        <w:t>вительство представить данные и показатели, характеризующие состояние здравоохранения и дезагрегированные по признаку пола, возраста, этнической принадлежности, проживания в сельской/городской местности и другим пр</w:t>
      </w:r>
      <w:r>
        <w:t>и</w:t>
      </w:r>
      <w:r>
        <w:t>знакам (пункт 400). Просьба представить эту информацию, в том числе инфо</w:t>
      </w:r>
      <w:r>
        <w:t>р</w:t>
      </w:r>
      <w:r>
        <w:t>мацию о коэффициентах материнской смертности, масштабах распространения болезней, передаваемых половым путем, и раковых заболеваний среди женщин и масштабах обследования женщин для выявления раковых заболев</w:t>
      </w:r>
      <w:r>
        <w:t>а</w:t>
      </w:r>
      <w:r>
        <w:t>ний.</w:t>
      </w:r>
    </w:p>
    <w:p w:rsidR="00000000" w:rsidRDefault="00000000">
      <w:pPr>
        <w:pStyle w:val="SingleTxt"/>
      </w:pPr>
      <w:r>
        <w:t>24.</w:t>
      </w:r>
      <w:r>
        <w:tab/>
        <w:t>Как Комитет уже просил об этом в своих предыдущих заключительных замечаниях (пункт 400), он хотел бы получить данные о последствиях для п</w:t>
      </w:r>
      <w:r>
        <w:t>о</w:t>
      </w:r>
      <w:r>
        <w:t>ложения женщин передачи ответственности за здравоохранение с федеральн</w:t>
      </w:r>
      <w:r>
        <w:t>о</w:t>
      </w:r>
      <w:r>
        <w:t>го уровня на уровень штатов. В свете тенденции к приватизации больниц и м</w:t>
      </w:r>
      <w:r>
        <w:t>е</w:t>
      </w:r>
      <w:r>
        <w:t>дицинских служб просьба представить информацию о доступности медици</w:t>
      </w:r>
      <w:r>
        <w:t>н</w:t>
      </w:r>
      <w:r>
        <w:t>ского обслуживания для женщин с указанием средней суммы индивидуальных затрат на медицинское обслуживание в соотношении с доходом, продолж</w:t>
      </w:r>
      <w:r>
        <w:t>и</w:t>
      </w:r>
      <w:r>
        <w:t>тельностью периода ожидания и расходами правительства на охрану здоровья и в разбивке по признаку пола и этнической принадлежности, а также об усл</w:t>
      </w:r>
      <w:r>
        <w:t>у</w:t>
      </w:r>
      <w:r>
        <w:t>гах, которые предоставляются женщинам-инвалидам и женщинам, живущим в отдале</w:t>
      </w:r>
      <w:r>
        <w:t>н</w:t>
      </w:r>
      <w:r>
        <w:t xml:space="preserve">ных районах. </w:t>
      </w:r>
    </w:p>
    <w:p w:rsidR="00000000" w:rsidRDefault="00000000">
      <w:pPr>
        <w:pStyle w:val="SingleTxt"/>
      </w:pPr>
      <w:r>
        <w:t>25.</w:t>
      </w:r>
      <w:r>
        <w:tab/>
        <w:t>В докладе говорится, что правительство выделяет финансовые средства на цели улучшения доступа коренного населения по всем услугам в области первичной медико-санитарной помощи (пункт 370). Просьба сообщить, какие имеются другие стратегии, в том числе информационные, для улучшения до</w:t>
      </w:r>
      <w:r>
        <w:t>с</w:t>
      </w:r>
      <w:r>
        <w:t>тупа женщин коренного населения на островах Торресова пролива к медици</w:t>
      </w:r>
      <w:r>
        <w:t>н</w:t>
      </w:r>
      <w:r>
        <w:t>скому обслуживанию.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женщины, женщины коренного населения и женщины-мигранты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26.</w:t>
      </w:r>
      <w:r>
        <w:tab/>
        <w:t>Просьба сообщить, как осуществление общенациональных инициатив, о которых говорится в докладе (пункты 141–142 и 477–478), сказывается на уч</w:t>
      </w:r>
      <w:r>
        <w:t>а</w:t>
      </w:r>
      <w:r>
        <w:t>стии сельских женщин в процессе принятия решений.</w:t>
      </w:r>
    </w:p>
    <w:p w:rsidR="00000000" w:rsidRDefault="00000000">
      <w:pPr>
        <w:pStyle w:val="SingleTxt"/>
      </w:pPr>
      <w:r>
        <w:t>27.</w:t>
      </w:r>
      <w:r>
        <w:tab/>
        <w:t>В своих предыдущих заключительных замечаниях Комитет выразил обе</w:t>
      </w:r>
      <w:r>
        <w:t>с</w:t>
      </w:r>
      <w:r>
        <w:t>покоенность в связи с дальнейшим ухудшением положения женщин коренного населения и на островах Торресова пролива, а также женщин-мигрантов в р</w:t>
      </w:r>
      <w:r>
        <w:t>е</w:t>
      </w:r>
      <w:r>
        <w:t>зультате явного усиления расизма и ксенофобии в Австралии (пункт 397). Просьба сообщить, проводились ли какие</w:t>
      </w:r>
      <w:r>
        <w:noBreakHyphen/>
        <w:t>либо исследования для изучения влияния расизма и ксенофобии на положение женщин и какие стратегии ра</w:t>
      </w:r>
      <w:r>
        <w:t>с</w:t>
      </w:r>
      <w:r>
        <w:t>сматриваются правительством для смягчения их влияния на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>28.</w:t>
      </w:r>
      <w:r>
        <w:tab/>
        <w:t>Комитет по ликвидации расовой дискриминации выразил обеспокое</w:t>
      </w:r>
      <w:r>
        <w:t>н</w:t>
      </w:r>
      <w:r>
        <w:t>ность по поводу обязательного помещения под стражу нелегальных иммигра</w:t>
      </w:r>
      <w:r>
        <w:t>н</w:t>
      </w:r>
      <w:r>
        <w:t>тов и лиц, ищущих убежище, особенно в тех случаях, когда такому обращению подвергаются женщины и дети (CERD/C/AUS/CO/14, пункт 23). Просьба с</w:t>
      </w:r>
      <w:r>
        <w:t>о</w:t>
      </w:r>
      <w:r>
        <w:t>общить о том, сколько женщин было подвергнуто обязательному помещению под стражу и на какой срок, и о том, что делается или планируется с целью о</w:t>
      </w:r>
      <w:r>
        <w:t>б</w:t>
      </w:r>
      <w:r>
        <w:t>легчить судьбу женщин, подвергнутых обязательному задержанию.</w:t>
      </w:r>
    </w:p>
    <w:p w:rsidR="00000000" w:rsidRDefault="00000000">
      <w:pPr>
        <w:pStyle w:val="SingleTxt"/>
      </w:pPr>
      <w:r>
        <w:t>29.</w:t>
      </w:r>
      <w:r>
        <w:tab/>
        <w:t>Комитет по ликвидации расовой дискриминации отметил, что женщины коренных народов составляют наиболее быстро растущий тюремный конти</w:t>
      </w:r>
      <w:r>
        <w:t>н</w:t>
      </w:r>
      <w:r>
        <w:t>гент (CERD/C/AUS/CO/14, пункт 21). Просьба указать причины такой тенде</w:t>
      </w:r>
      <w:r>
        <w:t>н</w:t>
      </w:r>
      <w:r>
        <w:t>ции и что делается для исправления ситуации.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30.</w:t>
      </w:r>
      <w:r>
        <w:tab/>
        <w:t>В докладе ничего не говорится о тех шагах, которые уже предпринимаю</w:t>
      </w:r>
      <w:r>
        <w:t>т</w:t>
      </w:r>
      <w:r>
        <w:t>ся или рассматриваются в целях ратификации Факультативного протокола к Конвенции о ликвидации всех форм дискриминации в отношении женщин. Просьба сообщить о любом прогрессе, достигнутом в деле ратификации Ф</w:t>
      </w:r>
      <w:r>
        <w:t>а</w:t>
      </w:r>
      <w:r>
        <w:t>культативного протокола.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EndnoteText"/>
        <w:tabs>
          <w:tab w:val="clear" w:pos="418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240"/>
        <w:ind w:left="1267" w:right="1260" w:hanging="1267"/>
        <w:rPr>
          <w:i/>
          <w:sz w:val="20"/>
        </w:rPr>
      </w:pPr>
      <w:r>
        <w:rPr>
          <w:i/>
          <w:sz w:val="20"/>
        </w:rPr>
        <w:tab/>
        <w:t>Примечания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20"/>
        </w:rPr>
      </w:pPr>
      <w:r>
        <w:rPr>
          <w:noProof/>
          <w:w w:val="100"/>
          <w:vertAlign w:val="superscript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45.2pt" to="282.25pt,45.2pt" o:allowincell="f" strokeweight=".25pt"/>
        </w:pict>
      </w:r>
      <w:r>
        <w:rPr>
          <w:vertAlign w:val="superscript"/>
        </w:rPr>
        <w:tab/>
        <w:t>1</w:t>
      </w:r>
      <w:r>
        <w:tab/>
        <w:t>Официальные отчеты Генеральной Ассамблеи, пятьдесят вторая сессия, Дополнение № 38 (A/52/38/Rev1).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NO&gt;&gt;N0545834R&lt;&lt;ODS JOB NO&gt;&gt;</w:t>
      </w:r>
    </w:p>
    <w:p w:rsidR="00000000" w:rsidRDefault="00000000">
      <w:pPr>
        <w:pStyle w:val="CommentText"/>
      </w:pPr>
      <w:r>
        <w:t>&lt;&lt;ODS DOC SYMBOL1&gt;&gt;CEDAW/C/AUL/Q/4-5&lt;&lt;ODS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05-45834 (R)    021105    021105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*0545834*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CEDAW/C/AUL/Q/4-5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CEDAW/C/AUL/Q/4-5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  <w:lang w:val="en-US"/>
            </w:rPr>
          </w:pP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/C/AUL/Q/4-5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  <w:lang w:val="en-US"/>
            </w:rPr>
          </w:pP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</w:p>
        <w:p w:rsidR="00000000" w:rsidRDefault="00000000">
          <w:r>
            <w:t>5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11/2005 17:05:39"/>
    <w:docVar w:name="DocCategory" w:val="Doc"/>
    <w:docVar w:name="DocType" w:val="Final"/>
    <w:docVar w:name="JobNo" w:val="0545834R"/>
    <w:docVar w:name="OandT" w:val=" "/>
    <w:docVar w:name="Symbol1" w:val="CEDAW/C/AUL/Q/4-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6</Pages>
  <Words>2384</Words>
  <Characters>13589</Characters>
  <Application>Microsoft Office Word</Application>
  <DocSecurity>4</DocSecurity>
  <Lines>113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16688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Irina.Zinovieva</dc:creator>
  <cp:keywords/>
  <dc:description/>
  <cp:lastModifiedBy>Irina.Savina</cp:lastModifiedBy>
  <cp:revision>8</cp:revision>
  <cp:lastPrinted>2005-11-02T21:30:00Z</cp:lastPrinted>
  <dcterms:created xsi:type="dcterms:W3CDTF">2005-11-02T21:22:00Z</dcterms:created>
  <dcterms:modified xsi:type="dcterms:W3CDTF">2005-11-02T21:54:00Z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0545834</vt:lpwstr>
  </property>
  <property fmtid="{D5CDD505-2E9C-101B-9397-08002B2CF9AE}" pid="3" name="Symbol1">
    <vt:lpwstr>CEDAW/C/AUL/Q/4-5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Savina</vt:lpwstr>
  </property>
</Properties>
</file>