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59FD131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3C677EF" w14:textId="77777777" w:rsidR="002D5AAC" w:rsidRDefault="002D5AAC" w:rsidP="0048365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FF3EB5B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98F29A" w14:textId="70B70977" w:rsidR="002D5AAC" w:rsidRDefault="00483659" w:rsidP="00483659">
            <w:pPr>
              <w:jc w:val="right"/>
            </w:pPr>
            <w:r w:rsidRPr="00483659">
              <w:rPr>
                <w:sz w:val="40"/>
              </w:rPr>
              <w:t>CRC</w:t>
            </w:r>
            <w:r>
              <w:t>/C/OMN/CO/5-6</w:t>
            </w:r>
          </w:p>
        </w:tc>
      </w:tr>
      <w:tr w:rsidR="002D5AAC" w:rsidRPr="00DD2EEA" w14:paraId="35FB505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29171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0D5D48" wp14:editId="2BC076A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66F85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689A49" w14:textId="77777777" w:rsidR="002D5AAC" w:rsidRDefault="0048365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C93D99F" w14:textId="77777777" w:rsidR="00483659" w:rsidRDefault="00483659" w:rsidP="0048365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March 2023</w:t>
            </w:r>
          </w:p>
          <w:p w14:paraId="4BAFC333" w14:textId="77777777" w:rsidR="00483659" w:rsidRDefault="00483659" w:rsidP="0048365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750E8AF" w14:textId="28F2CBED" w:rsidR="00483659" w:rsidRPr="00B937DF" w:rsidRDefault="00483659" w:rsidP="0048365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A062BAC" w14:textId="77777777" w:rsidR="00483659" w:rsidRPr="00483659" w:rsidRDefault="00483659" w:rsidP="00483659">
      <w:pPr>
        <w:spacing w:before="120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sz w:val="24"/>
          <w:szCs w:val="20"/>
          <w:lang w:eastAsia="zh-CN"/>
        </w:rPr>
        <w:t>Комитет по правам ребенка</w:t>
      </w:r>
    </w:p>
    <w:p w14:paraId="19C648FE" w14:textId="4B7E4E3D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 xml:space="preserve">Заключительные замечания по объединенным пятому </w:t>
      </w:r>
      <w:r>
        <w:rPr>
          <w:rFonts w:eastAsia="SimSun" w:cs="Times New Roman"/>
          <w:b/>
          <w:bCs/>
          <w:sz w:val="28"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>и шестому периодическим докладам Омана</w:t>
      </w:r>
      <w:r w:rsidRPr="00483659">
        <w:rPr>
          <w:rFonts w:eastAsia="SimSun" w:cs="Times New Roman"/>
          <w:szCs w:val="20"/>
          <w:lang w:eastAsia="zh-CN"/>
        </w:rPr>
        <w:footnoteReference w:customMarkFollows="1" w:id="1"/>
        <w:t>*</w:t>
      </w:r>
    </w:p>
    <w:p w14:paraId="66EAF424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sz w:val="28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ab/>
        <w:t>I.</w:t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>Введение</w:t>
      </w:r>
    </w:p>
    <w:p w14:paraId="5EA4E7F0" w14:textId="77777777" w:rsidR="00483659" w:rsidRPr="00483659" w:rsidRDefault="00483659" w:rsidP="00483659">
      <w:pPr>
        <w:pStyle w:val="SingleTxtG"/>
        <w:rPr>
          <w:rFonts w:eastAsia="SimSun"/>
          <w:lang w:eastAsia="zh-CN"/>
        </w:rPr>
      </w:pPr>
      <w:r w:rsidRPr="00483659">
        <w:rPr>
          <w:rFonts w:eastAsia="SimSun"/>
          <w:lang w:eastAsia="zh-CN"/>
        </w:rPr>
        <w:t>1.</w:t>
      </w:r>
      <w:r w:rsidRPr="00483659">
        <w:rPr>
          <w:rFonts w:eastAsia="SimSun"/>
          <w:lang w:eastAsia="zh-CN"/>
        </w:rPr>
        <w:tab/>
        <w:t>Комитет рассмотрел объединенные пятый и шестой периодические доклады Омана</w:t>
      </w:r>
      <w:r w:rsidRPr="00483659">
        <w:rPr>
          <w:rFonts w:eastAsia="SimSun"/>
          <w:sz w:val="18"/>
          <w:vertAlign w:val="superscript"/>
          <w:lang w:eastAsia="zh-CN"/>
        </w:rPr>
        <w:footnoteReference w:id="2"/>
      </w:r>
      <w:r w:rsidRPr="00483659">
        <w:rPr>
          <w:rFonts w:eastAsia="SimSun"/>
          <w:lang w:eastAsia="zh-CN"/>
        </w:rPr>
        <w:t xml:space="preserve"> на своих 2674-м и 2675-м заседаниях</w:t>
      </w:r>
      <w:r w:rsidRPr="00483659">
        <w:rPr>
          <w:rFonts w:eastAsia="SimSun"/>
          <w:sz w:val="18"/>
          <w:vertAlign w:val="superscript"/>
          <w:lang w:eastAsia="zh-CN"/>
        </w:rPr>
        <w:footnoteReference w:id="3"/>
      </w:r>
      <w:r w:rsidRPr="00483659">
        <w:rPr>
          <w:rFonts w:eastAsia="SimSun"/>
          <w:lang w:eastAsia="zh-CN"/>
        </w:rPr>
        <w:t>, состоявшихся 18 и 19 января 2023 года, и принял настоящие заключительные замечания на своем 2698-м заседании, состоявшемся 3 февраля 2023 года.</w:t>
      </w:r>
    </w:p>
    <w:p w14:paraId="7762BA60" w14:textId="77777777" w:rsidR="00483659" w:rsidRPr="00483659" w:rsidRDefault="00483659" w:rsidP="00483659">
      <w:pPr>
        <w:pStyle w:val="SingleTxtG"/>
        <w:rPr>
          <w:rFonts w:eastAsia="SimSun"/>
          <w:lang w:eastAsia="zh-CN"/>
        </w:rPr>
      </w:pPr>
      <w:r w:rsidRPr="00483659">
        <w:rPr>
          <w:rFonts w:eastAsia="SimSun"/>
          <w:lang w:eastAsia="zh-CN"/>
        </w:rPr>
        <w:t>2.</w:t>
      </w:r>
      <w:r w:rsidRPr="00483659">
        <w:rPr>
          <w:rFonts w:eastAsia="SimSun"/>
          <w:lang w:eastAsia="zh-CN"/>
        </w:rPr>
        <w:tab/>
        <w:t>Комитет приветствует представление объединенных пятого и шестого периодических докладов государства-участника, которое позволило лучше понять положение в области прав ребенка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14:paraId="2194ED10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rFonts w:eastAsia="SimSun" w:cs="Times New Roman"/>
          <w:b/>
          <w:sz w:val="28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ab/>
        <w:t>II.</w:t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>Последующие меры, принятые государством-участником, и достигнутый им прогресс</w:t>
      </w:r>
    </w:p>
    <w:p w14:paraId="69573FC6" w14:textId="77777777" w:rsidR="00483659" w:rsidRPr="00483659" w:rsidRDefault="00483659" w:rsidP="00483659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3.</w:t>
      </w:r>
      <w:r w:rsidRPr="00483659">
        <w:rPr>
          <w:rFonts w:eastAsia="SimSun" w:cs="Times New Roman"/>
          <w:szCs w:val="20"/>
          <w:lang w:eastAsia="zh-CN"/>
        </w:rP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Королевский указ № 6/2021 «Об утверждении Основного закона государства», признающего равенство между женщинами и мужчинами, а также приверженность государства заботе о детях, лицах с инвалидностью, молодежи и молодом поколении; принятие в 2018 году поправок к Уголовному кодексу, которые предусматривают ужесточение мер наказания, в том числе за преступления, связанные с сексуальной эксплуатацией детей в коммерческих целях; и продолжающуюся реформу системы социальной защиты, направленную на включение универсальных пособий для детей и лиц с инвалидностью.</w:t>
      </w:r>
    </w:p>
    <w:p w14:paraId="53367B46" w14:textId="38D7F570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rFonts w:eastAsia="SimSun" w:cs="Times New Roman"/>
          <w:b/>
          <w:sz w:val="28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ab/>
        <w:t>III.</w:t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 xml:space="preserve">Основные проблемы, вызывающие обеспокоенность, </w:t>
      </w:r>
      <w:r>
        <w:rPr>
          <w:rFonts w:eastAsia="SimSun" w:cs="Times New Roman"/>
          <w:b/>
          <w:bCs/>
          <w:sz w:val="28"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>и рекомендации</w:t>
      </w:r>
    </w:p>
    <w:p w14:paraId="6C241F4B" w14:textId="371EE972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4.</w:t>
      </w:r>
      <w:r w:rsidRPr="00483659">
        <w:rPr>
          <w:rFonts w:eastAsia="SimSun" w:cs="Times New Roman"/>
          <w:szCs w:val="20"/>
          <w:lang w:eastAsia="zh-CN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</w:t>
      </w:r>
      <w:r w:rsidRPr="00483659">
        <w:rPr>
          <w:rFonts w:eastAsia="SimSun" w:cs="Times New Roman"/>
          <w:szCs w:val="20"/>
          <w:lang w:eastAsia="zh-CN"/>
        </w:rPr>
        <w:lastRenderedPageBreak/>
        <w:t>меры: регистрация рождений и гражданство (п. 22); дети с инвалидностью (п. 30); дети из числа просителей убежища, беженцев и мигрантов (п.</w:t>
      </w:r>
      <w:r w:rsidR="009E7509">
        <w:rPr>
          <w:rFonts w:eastAsia="SimSun" w:cs="Times New Roman"/>
          <w:szCs w:val="20"/>
          <w:lang w:val="en-US" w:eastAsia="zh-CN"/>
        </w:rPr>
        <w:t> </w:t>
      </w:r>
      <w:r w:rsidRPr="00483659">
        <w:rPr>
          <w:rFonts w:eastAsia="SimSun" w:cs="Times New Roman"/>
          <w:szCs w:val="20"/>
          <w:lang w:eastAsia="zh-CN"/>
        </w:rPr>
        <w:t>37); экономическая эксплуатация, включая детский труд (п. 39); и отправление правосудия в отношении детей (п. 42).</w:t>
      </w:r>
    </w:p>
    <w:p w14:paraId="40D16B8B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5.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детей, в том числе в осуществлении концепции будущего развития Омана на период до 2040 года и связанных с ней пятилетних планов.</w:t>
      </w:r>
    </w:p>
    <w:p w14:paraId="3D179188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A.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Общие меры по осуществлению (ст. 4, 42 и п. 6 ст. 44)</w:t>
      </w:r>
    </w:p>
    <w:p w14:paraId="4C36E6AC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Оговорки</w:t>
      </w:r>
    </w:p>
    <w:p w14:paraId="713C2D46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6.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Приветствуя снятие общей оговорки государства-участника к Конвенции, Комитет в свете своих предыдущих заключительных замечаний и Венской декларации и Программы действий, принятых Всемирной конференцией по правам человека в 1993 году, призывает государство-участник рассмотреть возможность снятия остающейся оговорки по статье 14 Конвенции, касающейся права детей на свободу мысли, совести, убеждений и религии.</w:t>
      </w:r>
    </w:p>
    <w:p w14:paraId="2CA1B9A3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Законодательство</w:t>
      </w:r>
    </w:p>
    <w:p w14:paraId="535B6892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7.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отмечает позитивные изменения в законодательстве государства-участника, включая министерское решение № 125/2019 о принятии нормативных положений Закона о ребенке, и рекомендует государству-участнику:</w:t>
      </w:r>
    </w:p>
    <w:p w14:paraId="74C79861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далее укреплять свое законодательство с целью обеспечения полного соблюдения Конвенции во всех областях, включая вопросы гражданства и минимального возраста наступления уголовной ответственности;</w:t>
      </w:r>
    </w:p>
    <w:p w14:paraId="282DBE4C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разработать процедуру оценки воздействия на права ребенка национального законодательства и политики, касающихся детей.</w:t>
      </w:r>
    </w:p>
    <w:p w14:paraId="7DEA233A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Комплексная политика и стратегия</w:t>
      </w:r>
    </w:p>
    <w:p w14:paraId="1A565C10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8.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к сведению Национальную стратегию государства-участника в интересах детей на 2016–2025 годы, в которой учтены пятилетние планы по осуществлению концепции будущего развития Омана на период до 2040 года, Комитет рекомендует государству-участнику активизировать осуществление Стратегии и проводить его регулярную оценку с учетом всех положений Конвенции и факультативных протоколов к ней.</w:t>
      </w:r>
    </w:p>
    <w:p w14:paraId="7E168C2E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Координация</w:t>
      </w:r>
    </w:p>
    <w:p w14:paraId="420CADA8" w14:textId="53E31401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9.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отмечает, что Национальный комитет по делам семьи продолжает координировать политику и программы в области охраны семьи и детства, а</w:t>
      </w:r>
      <w:r w:rsidR="009E7509">
        <w:rPr>
          <w:rFonts w:eastAsia="SimSun" w:cs="Times New Roman"/>
          <w:b/>
          <w:bCs/>
          <w:szCs w:val="20"/>
          <w:lang w:val="en-US" w:eastAsia="zh-CN"/>
        </w:rPr>
        <w:t> </w:t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по последующей деятельности для осуществления Конвенции и факультативных протоколов к ней отвечает за координацию проектов и программ, связанных с Конвенцией.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Поэтому Комитет рекомендует государству-участнику обеспечить, чтобы обязанности по координации деятельности в области прав ребенка излишне не рассредотачивались и чтобы соответствующий орган был обеспечен людскими, техническими и финансовыми ресурсами для своей эффективной работы.</w:t>
      </w:r>
    </w:p>
    <w:p w14:paraId="7B6EE410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lastRenderedPageBreak/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Распределение ресурсов</w:t>
      </w:r>
    </w:p>
    <w:p w14:paraId="68303870" w14:textId="4A853E0B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10.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Приветствуя составление государством-участником бюджета с учетом интересов детей и переход к составлению бюджета на основе программ и результатов, Комитет напоминает о своем замечании общего порядка № 19 (2016) о государственных бюджетных ассигнованиях для осуществления прав ребенка (ст</w:t>
      </w:r>
      <w:r w:rsidR="009E7509">
        <w:rPr>
          <w:rFonts w:eastAsia="SimSun" w:cs="Times New Roman"/>
          <w:b/>
          <w:bCs/>
          <w:szCs w:val="20"/>
          <w:lang w:eastAsia="zh-CN"/>
        </w:rPr>
        <w:t>. </w:t>
      </w:r>
      <w:r w:rsidRPr="00483659">
        <w:rPr>
          <w:rFonts w:eastAsia="SimSun" w:cs="Times New Roman"/>
          <w:b/>
          <w:bCs/>
          <w:szCs w:val="20"/>
          <w:lang w:eastAsia="zh-CN"/>
        </w:rPr>
        <w:t>4) и, принимая во внимание задачу 16.5 Целей в области устойчивого развития, рекомендует государству-участнику:</w:t>
      </w:r>
    </w:p>
    <w:p w14:paraId="1CF21FFE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провести комплексную оценку бюджетных потребностей и ввести прозрачную систему ассигнований для постепенного устранения неравенства в показателях, связанных с правами детей;</w:t>
      </w:r>
    </w:p>
    <w:p w14:paraId="0FC21E0E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обеспечить открытость и демократичность бюджетного процесса на основе налаживания диалога с общественностью, в особенности с детьми, а также для обеспечения полной подотчетности местных органов власти;</w:t>
      </w:r>
    </w:p>
    <w:p w14:paraId="2507BD34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определить бюджетные статьи для всех детей, уделяя особое внимание детям, которые находятся в неблагоприятном или уязвимом положении и для которых могут потребоваться позитивные социальные меры, и обеспечить защиту этих бюджетных статей даже при экономических кризисах, стихийных бедствиях или других чрезвычайных ситуациях;</w:t>
      </w:r>
    </w:p>
    <w:p w14:paraId="34F23D9F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вести сбор информации в разбивке по секторам о доле национального бюджета, выделяемой на осуществление прав ребенка на национальном и местном уровнях.</w:t>
      </w:r>
    </w:p>
    <w:p w14:paraId="4C32CC69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Сбор данных</w:t>
      </w:r>
    </w:p>
    <w:p w14:paraId="53D8B534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11.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3BAC7CA9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a)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продолжать укреплять Национальный центр статистики и информации, который теперь подчиняется Совету министров, в том числе в части его усилий по сбору данных в областях, где в настоящее время имеются пробелы в данных, таких как детские браки, защита детей, насилие в отношении детей, дети с инвалидностью и образование;</w:t>
      </w:r>
    </w:p>
    <w:p w14:paraId="63372108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обеспечить, чтобы собираемые данные о правах ребенка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целью облегчить анализ положения детей в Омане, в том числе детей, находящихся в уязвимом положении;</w:t>
      </w:r>
    </w:p>
    <w:p w14:paraId="54FB0E3D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обеспечить обновление данных и показателей, которые касаются прав ребенка, открытый обмен ими между соответствующими министерствами и другими заинтересованными сторонами и их использование для формулирования, мониторинга и оценки политики, программ и проектов в целях эффективного осуществления Конвенции и факультативных протоколов к ней;</w:t>
      </w:r>
    </w:p>
    <w:p w14:paraId="3E5E2E4D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483659">
        <w:rPr>
          <w:rFonts w:eastAsia="SimSun" w:cs="Times New Roman"/>
          <w:b/>
          <w:bCs/>
          <w:szCs w:val="20"/>
          <w:lang w:eastAsia="zh-CN"/>
        </w:rPr>
        <w:tab/>
        <w:t>принимать во внимание концептуальные и методологические рамки, установленные в докладе Управления Верховного комиссара Организации Объединенных Наций по правам человека (УВКПЧ) «Показатели соблюдения прав человека: руководство по количественной оценке и осуществлению» в процессе определения, сбора и распространения статистической информации;</w:t>
      </w:r>
    </w:p>
    <w:p w14:paraId="3E230847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e)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продолжать техническое сотрудничество, в том числе с Детским фондом Организации Объединенных Наций (ЮНИСЕФ).</w:t>
      </w:r>
    </w:p>
    <w:p w14:paraId="6101707F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Независимый мониторинг</w:t>
      </w:r>
    </w:p>
    <w:p w14:paraId="0F4596C6" w14:textId="0BBD70C0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12.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Отмечая, что Комиссия по правам человека Омана была дополнительно укреплена Королевским указом № 57/2022 и что число представителей </w:t>
      </w: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>правительственных органов в Комиссии по правам человека Омана было сокращено Королевским указом № 40/2021 для обеспеч</w:t>
      </w:r>
      <w:r>
        <w:rPr>
          <w:rFonts w:eastAsia="SimSun" w:cs="Times New Roman"/>
          <w:b/>
          <w:bCs/>
          <w:szCs w:val="20"/>
          <w:lang w:eastAsia="zh-CN"/>
        </w:rPr>
        <w:t>е</w:t>
      </w:r>
      <w:r w:rsidRPr="00483659">
        <w:rPr>
          <w:rFonts w:eastAsia="SimSun" w:cs="Times New Roman"/>
          <w:b/>
          <w:bCs/>
          <w:szCs w:val="20"/>
          <w:lang w:eastAsia="zh-CN"/>
        </w:rPr>
        <w:t>ния того, чтобы представители неправительственных структур составляли более двух третей состава Комиссии, Комитет рекомендует государству-участнику:</w:t>
      </w:r>
    </w:p>
    <w:p w14:paraId="7BB5ED36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принять дальнейшие меры, гарантирующие независимость Комиссии по правам человека Омана, в том числе в отношении ее финансирования, мандата, иммунитетов и членства, обеспечивая тем самым ее полное соответствие принципам, касающимся статуса национальных учреждений, занимающихся поощрением и защитой прав человека (Парижские принципы);</w:t>
      </w:r>
    </w:p>
    <w:p w14:paraId="0D5A352B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далее укреплять механизм Комиссии по правам человека Омана для получения и расследования жалоб детей, а также принятия по ним решений с учетом интересов детей и в благоприятной для них форме, обеспечивая конфиденциальность и защиту детей-жертв;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вести мониторинг, принимать последующие меры и проводить мероприятия по проверке в интересах жертв;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и обеспечивать повышение информированности о механизме среди детей;</w:t>
      </w:r>
    </w:p>
    <w:p w14:paraId="58B67289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обращаться за техническим содействием к различным учреждениям, включая УВКПЧ, ЮНИСЕФ и Программу развития Организации Объединенных Наций.</w:t>
      </w:r>
    </w:p>
    <w:p w14:paraId="6A54C949" w14:textId="77777777" w:rsidR="00483659" w:rsidRPr="00483659" w:rsidRDefault="00483659" w:rsidP="00483659">
      <w:pPr>
        <w:pStyle w:val="H23G"/>
        <w:rPr>
          <w:rFonts w:eastAsia="SimSun"/>
        </w:rPr>
      </w:pPr>
      <w:r w:rsidRPr="00483659">
        <w:rPr>
          <w:rFonts w:eastAsia="SimSun"/>
        </w:rPr>
        <w:tab/>
      </w:r>
      <w:r w:rsidRPr="00483659">
        <w:rPr>
          <w:rFonts w:eastAsia="SimSun"/>
        </w:rPr>
        <w:tab/>
        <w:t>Распространение информации, повышение осведомленности и подготовка</w:t>
      </w:r>
    </w:p>
    <w:p w14:paraId="51BAD55A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13.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отмечает ежегодные семинары, организуемые по случаю Всемирного дня ребенка для повышения осведомленности о Конвенции, а также интенсивные программы юридической подготовки для работников системы правосудия и рекомендует государству-участнику:</w:t>
      </w:r>
    </w:p>
    <w:p w14:paraId="0797C3C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далее укреплять свои информационно-просветительские программы, в частности кампании, в сотрудничестве с организациями гражданского общества для обеспечения того, чтобы положения Конвенции и факультативных протоколов к ней были широко известны широкой общественности, в том числе родителям и детям;</w:t>
      </w:r>
    </w:p>
    <w:p w14:paraId="643D5F5C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обеспечивать, чтобы все специалисты, работающие с детьми и в их интересах, в частности социальные работники, сотрудники правоохранительных органов, медицинский персонал, сотрудники, занимающиеся вопросами иммиграции и предоставления убежища, специалисты и сотрудники, работающие во всех сферах альтернативного ухода, а также сотрудники средств массовой информации проходили обязательную регулярную подготовку по вопросам прав ребенка в соответствии с Конвенцией, факультативными протоколами к ней и национальным законодательством.</w:t>
      </w:r>
    </w:p>
    <w:p w14:paraId="2180389F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Сотрудничество с гражданским обществом</w:t>
      </w:r>
    </w:p>
    <w:p w14:paraId="4F08EA54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14.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Отмечая текущие усилия государства-участника по обновлению своего Закона о неправительственных организациях, Комитет настоятельно призывает государство-участник:</w:t>
      </w:r>
    </w:p>
    <w:p w14:paraId="241265B2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принять меры по обеспечению независимости гражданского общества, занимающегося работой, связанной с правами человека, в частности с правами ребенка;</w:t>
      </w:r>
    </w:p>
    <w:p w14:paraId="70D41495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систематически привлекать детей к планированию, осуществлению, мониторингу и оценке политики, планов и программ, связанных с правами ребенка.</w:t>
      </w:r>
    </w:p>
    <w:p w14:paraId="13269DCE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Права ребенка и предпринимательский сектор</w:t>
      </w:r>
    </w:p>
    <w:p w14:paraId="4B809D1C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15.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</w:t>
      </w: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>аспекте прав человека,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том числе в отношении прав ребенка.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В частности, он рекомендует государству-участнику:</w:t>
      </w:r>
    </w:p>
    <w:p w14:paraId="20181AA2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создать четкую нормативно-правовую базу для действующих в государстве-участнике предприятий для обеспечения того, чтобы их деятельность не оказывала негативного влияния на права человека и не нарушала экологические, санитарные, трудовые и другие нормы, в особенности те, которые касаются прав ребенка;</w:t>
      </w:r>
    </w:p>
    <w:p w14:paraId="57C27C1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обеспечить эффективное внедрение компаниями, в частности компаниями добывающей промышленности, международных и национальных стандартов в области охраны окружающей среды и здоровья, эффективный мониторинг их соблюдения и соответствующие санкции и предоставление средств правовой защиты в случае нарушений, а также обеспечить проведение надлежащей международной сертификации;</w:t>
      </w:r>
    </w:p>
    <w:p w14:paraId="5B1E4907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об их планах по устранению таких последствий.</w:t>
      </w:r>
    </w:p>
    <w:p w14:paraId="33E47BDE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B.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Определение понятия «ребенок» (ст. 1)</w:t>
      </w:r>
    </w:p>
    <w:p w14:paraId="5F70C3D2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16.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Отмечая, что статья 10 с) Закона о личном статусе допускает вступление в брак лица, не достигшего 18 лет, с разрешения суда и после того, как будет установлено, что брак отвечает интересам этого лица, Комитет рекомендует государству-участнику внести изменения в свое законодательство, с тем чтобы убрать все исключения, допускающие брак для лиц, не достигших 18 лет, и прямо запретить детские браки.</w:t>
      </w:r>
    </w:p>
    <w:p w14:paraId="041536C5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C.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Общие принципы (ст. 2–3, 6 и 12)</w:t>
      </w:r>
    </w:p>
    <w:p w14:paraId="3CE2D120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Недискриминация</w:t>
      </w:r>
    </w:p>
    <w:p w14:paraId="647D7CE2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17.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во внимание задачи 5.1 и 10.3 Целей в области устойчивого развития, Комитет рекомендует государству-участнику принять меры по ликвидации дискриминации де-юре и де-факто в отношении девочек, детей, рожденных от родителей, не состоящих в браке, детей с инвалидностью, детей трудящихся-мигрантов и других детей, находящихся в уязвимом и маргинализированном положении, в частности в отношении их доступа к социальным и медицинским услугам и возможностям для получения образования.</w:t>
      </w:r>
    </w:p>
    <w:p w14:paraId="3D2CD626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Наилучшие интересы ребенка</w:t>
      </w:r>
    </w:p>
    <w:p w14:paraId="7C2046CB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18.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D48D586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обеспечить надлежащий учет, последовательное толкование и применение права ребенка на уделение первоочередного внимания наилучшему обеспечению его интересов в рамках всех законодательных, административных и судебных процедур и решений, в частности в постановлениях суда относительно родительского попечительства, ответственности родителей и места проживания ребенка, а также во всех стратегиях, программах и проектах, которые имеют отношение к детям и затрагивают их интересы;</w:t>
      </w:r>
    </w:p>
    <w:p w14:paraId="6E347894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разработать процедуры и критерии, которыми руководствовались бы все соответствующие правомочные лица для определения наилучших интересов ребенка и для уделения им должного внимания на первоочередной основе.</w:t>
      </w:r>
    </w:p>
    <w:p w14:paraId="6E02AC31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Право на жизнь, выживание и развитие</w:t>
      </w:r>
    </w:p>
    <w:p w14:paraId="7794B953" w14:textId="61F42EF6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19.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Комитет отмечает снижение количества дорожно-транспортных происшествий в государстве-участнике и принимает к сведению 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Cs w:val="20"/>
          <w:lang w:eastAsia="zh-CN"/>
        </w:rPr>
        <w:t>решение № 32/2018 Королевской полиции Омана о внесении изменений в некоторые нормативные положения Закона о дорожном движении, в том числе в отношении процедур обеспечения безопасности транспортных средств и различных мероприятий по повышению осведомленности о безопасности дорожного движения.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В этой связи Комитет рекомендует государству-участнику продолжать укреплять правоприменение в отношении обеспечения безопасности детей в транспортных средствах и водительских прав и ввести соответствующие санкции за управление транспортным средством без водительских прав и управление транспортным средством в несовершеннолетнем возрасте, а также продолжать свои программы повышения осведомленности, включая кампании, для дальнейшего сокращения смертельных случаев и травматизма, связанных с дорожно-транспортными происшествиями.</w:t>
      </w:r>
    </w:p>
    <w:p w14:paraId="1F96AA27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Уважение взглядов ребенка</w:t>
      </w:r>
    </w:p>
    <w:p w14:paraId="720A5D87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Malgun Gothic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20.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Приветствуя подход на основе широкого участия, принятый государством-участником при подготовке концепции будущего развития Омана на период до 2040 года и в рамках добровольного национального обзора ЮНИСЕФ в 2019 году, Комитет напоминает о своем замечании общего порядка № 12 (2009) о праве ребенка быть заслушанным и о своей предыдущей рекомендации</w:t>
      </w:r>
      <w:r w:rsidRPr="00483659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4"/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и рекомендует государству-участнику:</w:t>
      </w:r>
    </w:p>
    <w:p w14:paraId="12B2E933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принять меры к обеспечению эффективного применения законодательства, признающего право ребенка быть заслушанным в ходе соответствующих судебных разбирательств, в том числе путем создания систем и процедур, позволяющих социальным работникам и судам соблюдать этот принцип;</w:t>
      </w:r>
    </w:p>
    <w:p w14:paraId="74A90564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провести исследование для определения вопросов, наиболее важных для детей, выслушать их мнения по этим вопросам, установить, насколько хорошо их голос учитывается в семейных решениях, влияющих на их жизнь, и определить каналы, через которые они могут оказать наибольшее влияние на принятие решений на национальном и местном уровнях;</w:t>
      </w:r>
    </w:p>
    <w:p w14:paraId="1340D28E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внедрить инструментарий для стандартизации общественных консультаций по разработке национальной политики, с тем чтобы обеспечить высокий уровень инклюзивности, участия и вовлеченности детей в консультации по вопросам, которые их затрагивают;</w:t>
      </w:r>
    </w:p>
    <w:p w14:paraId="38DA439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d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проводить программы и информационно-просветительские мероприятия для содействия культурным изменениям и значимому и полноправному участию всех детей в жизни семьи, общины и школы, в том числе в ученических и студенческих советах, уделяя особое внимание девочкам и детям в уязвимом положении;</w:t>
      </w:r>
    </w:p>
    <w:p w14:paraId="285ECB13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e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далее укреплять работу Детского парламента в целях придания ему статуса регулярного мероприятия и обеспечить наделение его реальными полномочиями и достаточными людскими, техническими и финансовыми ресурсами для содействия эффективному участию детей в национальных законодательных процессах по затрагивающим их вопросам.</w:t>
      </w:r>
    </w:p>
    <w:p w14:paraId="57A1509F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lastRenderedPageBreak/>
        <w:tab/>
        <w:t>D.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Гражданские права и свободы (ст. 7–8 и 13–17)</w:t>
      </w:r>
    </w:p>
    <w:p w14:paraId="629ED0DB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Регистрация рождения и гражданство</w:t>
      </w:r>
    </w:p>
    <w:p w14:paraId="01BF4D62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21.</w:t>
      </w:r>
      <w:r w:rsidRPr="00483659">
        <w:rPr>
          <w:rFonts w:eastAsia="SimSun" w:cs="Times New Roman"/>
          <w:szCs w:val="20"/>
          <w:lang w:eastAsia="zh-CN"/>
        </w:rPr>
        <w:tab/>
        <w:t xml:space="preserve">Комитет по-прежнему обеспокоен тем, что, несмотря на его предыдущие рекомендации, государство-участник не внесло поправки в статью 18 Закона о гражданстве 2014 года, который дискриминирует оманских женщин, состоящих в браке с иностранцем, налагая многочисленные условия на процедуру передачи женщиной своего гражданства детям, в результате чего дети, рожденные в браке с иностранцем, подвергаются риску </w:t>
      </w:r>
      <w:proofErr w:type="spellStart"/>
      <w:r w:rsidRPr="00483659">
        <w:rPr>
          <w:rFonts w:eastAsia="SimSun" w:cs="Times New Roman"/>
          <w:szCs w:val="20"/>
          <w:lang w:eastAsia="zh-CN"/>
        </w:rPr>
        <w:t>безгражданства</w:t>
      </w:r>
      <w:proofErr w:type="spellEnd"/>
      <w:r w:rsidRPr="00483659">
        <w:rPr>
          <w:rFonts w:eastAsia="SimSun" w:cs="Times New Roman"/>
          <w:szCs w:val="20"/>
          <w:lang w:eastAsia="zh-CN"/>
        </w:rPr>
        <w:t>. Комитет также по-прежнему обеспокоен отсутствием информации о регистрации рождений детей трудящихся-мигрантов и детей, чьи родители не состоят в браке, в государстве-участнике.</w:t>
      </w:r>
    </w:p>
    <w:p w14:paraId="23086AB1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22.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во внимание задачу 16.9 Целей в области устойчивого развития, Комитет напоминает о своей предыдущей рекомендации</w:t>
      </w:r>
      <w:r w:rsidRPr="00483659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5"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 и настоятельно призывает государство-участник:</w:t>
      </w:r>
    </w:p>
    <w:p w14:paraId="14F1C3B9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внести поправки в свои законы, чтобы предоставить оманским женщинам равные с оманскими мужчинами права в отношении передачи своего гражданства детям и предусмотреть адекватные гарантии для обеспечения приобретения гражданства детьми, которые в противном случае были бы апатридами;</w:t>
      </w:r>
    </w:p>
    <w:p w14:paraId="19EE5C43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активизировать усилия по обеспечению регистрации всех рождений в государстве-участнике, включая детей трудящихся-мигрантов, в сотрудничестве с соответствующими государствами, а также детей, чьи родители не состоят в браке;</w:t>
      </w:r>
    </w:p>
    <w:p w14:paraId="685637D3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рассмотреть возможность присоединения к Конвенции о статусе апатридов и Конвенции о сокращении </w:t>
      </w:r>
      <w:proofErr w:type="spellStart"/>
      <w:r w:rsidRPr="00483659">
        <w:rPr>
          <w:rFonts w:eastAsia="SimSun" w:cs="Times New Roman"/>
          <w:b/>
          <w:bCs/>
          <w:szCs w:val="20"/>
          <w:lang w:eastAsia="zh-CN"/>
        </w:rPr>
        <w:t>безгражданства</w:t>
      </w:r>
      <w:proofErr w:type="spellEnd"/>
      <w:r w:rsidRPr="00483659">
        <w:rPr>
          <w:rFonts w:eastAsia="SimSun" w:cs="Times New Roman"/>
          <w:b/>
          <w:bCs/>
          <w:szCs w:val="20"/>
          <w:lang w:eastAsia="zh-CN"/>
        </w:rPr>
        <w:t>.</w:t>
      </w:r>
    </w:p>
    <w:p w14:paraId="4EA8906A" w14:textId="179ABA92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E.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 xml:space="preserve">Насилие в отношении детей (ст. 19, п. 3 ст. 24, п. 2 ст. 28, ст. 34, </w:t>
      </w:r>
      <w:r w:rsidR="008B277D">
        <w:rPr>
          <w:rFonts w:eastAsia="SimSun" w:cs="Times New Roman"/>
          <w:b/>
          <w:bCs/>
          <w:sz w:val="24"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п. a) ст. 37 и ст. 39)</w:t>
      </w:r>
    </w:p>
    <w:p w14:paraId="33B90887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Телесное наказание</w:t>
      </w:r>
    </w:p>
    <w:p w14:paraId="5C88EA99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23.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Отмечая принятие государством-участником Национальной стратегии по предотвращению жестокого обращения с детьми, размещение сотрудников по вопросам защиты детей во всех провинциях и другие инициативы, предпринятые для подготовки специалистов по различным аспектам защиты детей, Комитет напоминает о своем замечании общего порядка № 8 (2006) о праве ребенка на защиту от телесных наказаний и других жестоких или унижающих достоинство видов наказания и настоятельно призывает государство-участник:</w:t>
      </w:r>
    </w:p>
    <w:p w14:paraId="0B9CDB55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отменить статью 44 Уголовного кодекса, которая позволяет родителям поддерживать дисциплину в отношении детей «в пределах того, что предписано нормами шариата или законом», и прямо запретить телесные наказания в законодательном порядке во всех условиях, включая дом, школы, детские учреждения, учреждения альтернативного ухода и пенитенциарные учреждения;</w:t>
      </w:r>
    </w:p>
    <w:p w14:paraId="1B97070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b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поощрять позитивные, ненасильственные и основанные на участии формы воспитания детей и поддержания дисциплины;</w:t>
      </w:r>
    </w:p>
    <w:p w14:paraId="0BF44A8B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c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усилить свои информационные кампании и программы воспитательной работы для родителей, других лиц, осуществляющих уход за детьми, и специалистов, работающих с детьми и в их интересах, в целях содействия изменению отношения к телесным наказаниям в семье и на общинном уровне.</w:t>
      </w:r>
    </w:p>
    <w:p w14:paraId="35DC6B2C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lastRenderedPageBreak/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Жестокое обращение и отсутствие заботы</w:t>
      </w:r>
    </w:p>
    <w:p w14:paraId="6408450F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24.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В свете своего замечания общего порядка № 13 (2011) о праве ребенка на свободу от всех форм насилия и задач 5.2, 16.1 и 16.2 Целей в области устойчивого развития Комитет приветствует создание круглосуточной горячей линии и рекомендует государству-участнику:</w:t>
      </w:r>
    </w:p>
    <w:p w14:paraId="2C4E34A1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укрепить положения законодательства с целью прямого запрета домашнего насилия;</w:t>
      </w:r>
    </w:p>
    <w:p w14:paraId="4F45D8B5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ввести в действие доступные, конфиденциальные и дружественные к ребенку механизмы в целях облегчения и поощрения обязательного сообщения о насилии в отношении детей;</w:t>
      </w:r>
    </w:p>
    <w:p w14:paraId="459777E3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создать национальную базу данных обо всех случаях насилия в отношении детей и провести всестороннюю оценку характера, причин и масштабов такого насилия;</w:t>
      </w:r>
    </w:p>
    <w:p w14:paraId="5EDF1B07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далее укреплять информационно-просветительские и образовательные программы, включая комплексные общественные кампании, с привлеч</w:t>
      </w:r>
      <w:r w:rsidRPr="00483659">
        <w:rPr>
          <w:rFonts w:eastAsia="SimSun" w:cs="Times New Roman"/>
          <w:b/>
          <w:bCs/>
          <w:szCs w:val="20"/>
          <w:lang w:eastAsia="zh-CN"/>
        </w:rPr>
        <w:t>ением детей.</w:t>
      </w:r>
    </w:p>
    <w:p w14:paraId="301CB409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Сексуальная эксплуатация и сексуальные надругательства</w:t>
      </w:r>
    </w:p>
    <w:p w14:paraId="5833849A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25.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Отмечая, что дети, ставшие жертвами изнасилования, могут подвергнуться уголовному преследованию, если они сообщат об этом, поскольку бездоказательное обвинение в изнасиловании может быть расценено как «</w:t>
      </w:r>
      <w:proofErr w:type="spellStart"/>
      <w:r w:rsidRPr="00483659">
        <w:rPr>
          <w:rFonts w:eastAsia="SimSun" w:cs="Times New Roman"/>
          <w:b/>
          <w:bCs/>
          <w:szCs w:val="20"/>
          <w:lang w:eastAsia="zh-CN"/>
        </w:rPr>
        <w:t>зина</w:t>
      </w:r>
      <w:proofErr w:type="spellEnd"/>
      <w:r w:rsidRPr="00483659">
        <w:rPr>
          <w:rFonts w:eastAsia="SimSun" w:cs="Times New Roman"/>
          <w:b/>
          <w:bCs/>
          <w:szCs w:val="20"/>
          <w:lang w:eastAsia="zh-CN"/>
        </w:rPr>
        <w:t>» (признание в сексуальных отношениях вне брака) — деяние, преследуемое согласно Уголовному кодексу, — и принимая во внимание задачи 5.2, 16.1 и 16.2 Целей в области устойчивого развития, Комитет рекомендует государству-участнику:</w:t>
      </w:r>
    </w:p>
    <w:p w14:paraId="4B72DEC9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внести изменения в законодательство, с тем чтобы дети, подвергшиеся любой форме сексуальных надругательств, рассматривались как жертвы и не подлежали уголовным наказаниям, включая наказания за преступления «</w:t>
      </w:r>
      <w:proofErr w:type="spellStart"/>
      <w:r w:rsidRPr="00D64C39">
        <w:rPr>
          <w:rFonts w:eastAsia="SimSun" w:cs="Times New Roman"/>
          <w:b/>
          <w:bCs/>
          <w:szCs w:val="20"/>
          <w:lang w:eastAsia="zh-CN"/>
        </w:rPr>
        <w:t>зина</w:t>
      </w:r>
      <w:proofErr w:type="spellEnd"/>
      <w:r w:rsidRPr="00D64C39">
        <w:rPr>
          <w:rFonts w:eastAsia="SimSun" w:cs="Times New Roman"/>
          <w:b/>
          <w:bCs/>
          <w:szCs w:val="20"/>
          <w:lang w:eastAsia="zh-CN"/>
        </w:rPr>
        <w:t>»;</w:t>
      </w:r>
    </w:p>
    <w:p w14:paraId="10D9B2DE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Calibri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разработать механизмы, процедуры и руководящие принципы для обеспечения обязательной передачи информации, межведомственного вмешательства и терапевтической поддержки, расследования всех случаев сексуальной эксплуатации и сексуальных надругательств над детьми, а также судебного преследования виновных лиц, в том числе в коранических школах, для предотвращения повторной виктимизации пострадавших детей;</w:t>
      </w:r>
    </w:p>
    <w:p w14:paraId="0AAFAD11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проводить информационно-просветительские мероприятия, напра</w:t>
      </w:r>
      <w:r w:rsidRPr="00483659">
        <w:rPr>
          <w:rFonts w:eastAsia="SimSun" w:cs="Times New Roman"/>
          <w:b/>
          <w:bCs/>
          <w:szCs w:val="20"/>
          <w:lang w:eastAsia="zh-CN"/>
        </w:rPr>
        <w:t>вленные на борьбу со стигматизацией жертв сексуальной эксплуатации и сексуальных надругательств и обеспечить наличие доступных, конфиденциальных, дружественных к ребенку и эффективных каналов информирования о таких нарушениях.</w:t>
      </w:r>
    </w:p>
    <w:p w14:paraId="108F246B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Вредные виды практики</w:t>
      </w:r>
    </w:p>
    <w:p w14:paraId="5E74DC09" w14:textId="22F7C1CF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Calibri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26.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Ссылаясь на свои предыдущие заключительные замечания и на совместную общую рекомендацию № 31</w:t>
      </w:r>
      <w:r w:rsidR="008B277D">
        <w:rPr>
          <w:rFonts w:eastAsia="SimSun" w:cs="Times New Roman"/>
          <w:b/>
          <w:bCs/>
          <w:szCs w:val="20"/>
          <w:lang w:val="en-US" w:eastAsia="zh-CN"/>
        </w:rPr>
        <w:t> </w:t>
      </w:r>
      <w:r w:rsidRPr="00483659">
        <w:rPr>
          <w:rFonts w:eastAsia="SimSun" w:cs="Times New Roman"/>
          <w:b/>
          <w:bCs/>
          <w:szCs w:val="20"/>
          <w:lang w:eastAsia="zh-CN"/>
        </w:rPr>
        <w:t>Комитета по ликвидации дискриминации в отношении женщин/замечание общего порядка № 18 Комитета по правам ребенка (2019) по вредной практике и принимая во внимание задачу</w:t>
      </w:r>
      <w:r>
        <w:rPr>
          <w:rFonts w:eastAsia="SimSun" w:cs="Times New Roman"/>
          <w:b/>
          <w:bCs/>
          <w:szCs w:val="20"/>
          <w:lang w:eastAsia="zh-CN"/>
        </w:rPr>
        <w:t> </w:t>
      </w:r>
      <w:r w:rsidRPr="00483659">
        <w:rPr>
          <w:rFonts w:eastAsia="SimSun" w:cs="Times New Roman"/>
          <w:b/>
          <w:bCs/>
          <w:szCs w:val="20"/>
          <w:lang w:eastAsia="zh-CN"/>
        </w:rPr>
        <w:t>5.3 Целей в области устойчивого развития, Комитет рекомендует государству-участнику:</w:t>
      </w:r>
    </w:p>
    <w:p w14:paraId="442A23D4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обеспечить соблюдение посредством санкций нормативных положений Закона о ребенке, в которых калечащие операции на женских половых органах квалифицируются как вредная традиционная практика, и прилагать постоянные и всеобъемлющие усилия по предотвращению калечащих операций на женских половых органах по всей стране;</w:t>
      </w:r>
    </w:p>
    <w:p w14:paraId="1FAD5EB3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осуществлять комплексные программы повышения осведомленности общественности, включая кампании, о негативных последствиях детских браков для девочек, ориентированные, в частности, на родителей, учителей и лидеров общин;</w:t>
      </w:r>
    </w:p>
    <w:p w14:paraId="5916B4F8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создать эффективные механизмы возмещения ущерба, доступные для всех детей, в частности девочек, ставших жертвами вредной практики, и обеспечить судебное преследование и адекватное наказание виновных;</w:t>
      </w:r>
    </w:p>
    <w:p w14:paraId="572973EC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усилить меры поддержки, такие как приюты, консультационные и реабилитационные услуги, предназначенные для детей, пострадавших от вредной практики, в частности девочек, и обеспечить обучение для работников суде</w:t>
      </w:r>
      <w:r w:rsidRPr="00483659">
        <w:rPr>
          <w:rFonts w:eastAsia="SimSun" w:cs="Times New Roman"/>
          <w:b/>
          <w:bCs/>
          <w:szCs w:val="20"/>
          <w:lang w:eastAsia="zh-CN"/>
        </w:rPr>
        <w:t>бной системы, сотрудников правоохранительных органов и медицинских работников, учитывающее гендерные аспекты, с особым упором на теме насилия.</w:t>
      </w:r>
    </w:p>
    <w:p w14:paraId="6C50F8CD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F.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 xml:space="preserve">Семейное окружение и альтернативный уход (ст. 5, 9–11, </w:t>
      </w:r>
      <w:proofErr w:type="spellStart"/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пп</w:t>
      </w:r>
      <w:proofErr w:type="spellEnd"/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. 1 и 2 ст. 18, ст. 20, 21, 25 и п. 4 ст. 27)</w:t>
      </w:r>
    </w:p>
    <w:p w14:paraId="7965C907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Семейное окружение</w:t>
      </w:r>
    </w:p>
    <w:p w14:paraId="50DE1BC9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27.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во внимание сохраняющееся неравенство в распределении родительских обязанностей и дискриминационные законы, касающиеся брака, полигамии, развода, имущества, наследования, опеки и прав опеки над ребенком, Комитет рекомендует государству-участнику активизировать свои усилия, с тем чтобы:</w:t>
      </w:r>
    </w:p>
    <w:p w14:paraId="73DCCCCD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обеспечить равное распределение юридической ответственности за детей между родителями в соответствии с пунктом 1 статьи 18 Конвенции;</w:t>
      </w:r>
    </w:p>
    <w:p w14:paraId="78A9CC0E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в соответствии с совместной общей рекомендацией № 31 Комитета по ликвидации дискриминации в отношении женщин/замечанием общего порядка № 18 Комитета по правам ребенка (2019) по вредной практике запретить полигамные браки и соблюдать их запрет на практике;</w:t>
      </w:r>
    </w:p>
    <w:p w14:paraId="25063165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провести дальнейшую реформу Закона о личном статусе и других соответствующих законов, особенно в отношении брака, развода, имущества, наследования, опеки и прав опеки над ребенком для обеспечения равноправия мужчин и женщин, мальчиков и девочек;</w:t>
      </w:r>
    </w:p>
    <w:p w14:paraId="79A1B05A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рассмотреть вопрос о ратификации Конвенции о международном порядке взыскании алиментов на детей и других членов семьи, Протокола о праве</w:t>
      </w:r>
      <w:r w:rsidRPr="00483659">
        <w:rPr>
          <w:rFonts w:eastAsia="SimSun" w:cs="Times New Roman"/>
          <w:b/>
          <w:bCs/>
          <w:szCs w:val="20"/>
          <w:lang w:eastAsia="zh-CN"/>
        </w:rPr>
        <w:t>, применимом к алиментным обязательствам, а также Конвенции о юрисдикции, применимом праве, признании, исполнении и сотрудничестве в отношении родительской ответственности и мер по защите детей.</w:t>
      </w:r>
    </w:p>
    <w:p w14:paraId="4AF76388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Дети, лишенные семейного окружения</w:t>
      </w:r>
    </w:p>
    <w:p w14:paraId="0FB2358C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28.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Отмечая, что нормативные положения Закона о ребенке поддерживают и облегчают семейный уход за детьми и что Министерство социального развития проводит периодические посещения для наблюдения за детьми в приемных семьях, Комитет обращает внимание государства-участника на Руководящие указания по альтернативному уходу за детьми и рекомендует государству-участнику:</w:t>
      </w:r>
    </w:p>
    <w:p w14:paraId="42BCE6DE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далее укреплять возможности помещения детей на воспитание в семьи, где это возможно, в том числе брошенных детей, находящихся в Доме ребенка в Аль-Худе, Маскат, с целью дальнейшего сокращения институционализации детей;</w:t>
      </w:r>
    </w:p>
    <w:p w14:paraId="63F1B687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 xml:space="preserve">обеспечить применение надлежащих гарантий и четких критериев, в основу которых положены потребности и принцип наилучшего обеспечения </w:t>
      </w:r>
      <w:r w:rsidRPr="00D64C39">
        <w:rPr>
          <w:rFonts w:eastAsia="SimSun" w:cs="Times New Roman"/>
          <w:b/>
          <w:bCs/>
          <w:szCs w:val="20"/>
          <w:lang w:eastAsia="zh-CN"/>
        </w:rPr>
        <w:lastRenderedPageBreak/>
        <w:t>интересов ребенка, для определения необходимости помещения ребенка в условия альтернативного ухода;</w:t>
      </w:r>
    </w:p>
    <w:p w14:paraId="4AF437C1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предоставить дополнительную информацию об отчетах Минис</w:t>
      </w:r>
      <w:r w:rsidRPr="00483659">
        <w:rPr>
          <w:rFonts w:eastAsia="SimSun" w:cs="Times New Roman"/>
          <w:b/>
          <w:bCs/>
          <w:szCs w:val="20"/>
          <w:lang w:eastAsia="zh-CN"/>
        </w:rPr>
        <w:t>терства социального развития о последующих посещениях детей в приемных семьях.</w:t>
      </w:r>
    </w:p>
    <w:p w14:paraId="160BB15F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G.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Дети с инвалидностью (ст. 23)</w:t>
      </w:r>
    </w:p>
    <w:p w14:paraId="59A03D36" w14:textId="4D1C17BC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29.</w:t>
      </w:r>
      <w:r w:rsidRPr="00483659">
        <w:rPr>
          <w:rFonts w:eastAsia="SimSun" w:cs="Times New Roman"/>
          <w:szCs w:val="20"/>
          <w:lang w:eastAsia="zh-CN"/>
        </w:rPr>
        <w:tab/>
        <w:t xml:space="preserve">Комитет приветствует тот факт, что дети с инвалидностью определены в качестве одного из основных направлений Стратегии социальной работы на </w:t>
      </w:r>
      <w:r>
        <w:rPr>
          <w:rFonts w:eastAsia="SimSun" w:cs="Times New Roman"/>
          <w:szCs w:val="20"/>
          <w:lang w:eastAsia="zh-CN"/>
        </w:rPr>
        <w:br/>
      </w:r>
      <w:r w:rsidRPr="00483659">
        <w:rPr>
          <w:rFonts w:eastAsia="SimSun" w:cs="Times New Roman"/>
          <w:szCs w:val="20"/>
          <w:lang w:eastAsia="zh-CN"/>
        </w:rPr>
        <w:t>2016–2025 годы, и другие усилия, предпринятые государством-участником, включая увеличение количества реабилитационных центров, создание программ интеграции, позволяющих детям посещать общеобразовательные школы, и подготовку специалистов, работающих с детьми и в их интересах. Тем не менее Комитет обеспокоен тем, что дети с инвалидностью продолжают сталкиваться с различными проблемами. В частности, Комитет обеспокоен тем, что:</w:t>
      </w:r>
    </w:p>
    <w:p w14:paraId="73592731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a)</w:t>
      </w:r>
      <w:r w:rsidRPr="00483659">
        <w:rPr>
          <w:rFonts w:eastAsia="SimSun" w:cs="Times New Roman"/>
          <w:szCs w:val="20"/>
          <w:lang w:eastAsia="zh-CN"/>
        </w:rPr>
        <w:tab/>
        <w:t>дети с инвалидностью продолжают сталкиваться со стигматизацией и дискриминацией;</w:t>
      </w:r>
    </w:p>
    <w:p w14:paraId="3E417631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b)</w:t>
      </w:r>
      <w:r w:rsidRPr="00483659">
        <w:rPr>
          <w:rFonts w:eastAsia="SimSun" w:cs="Times New Roman"/>
          <w:szCs w:val="20"/>
          <w:lang w:eastAsia="zh-CN"/>
        </w:rPr>
        <w:tab/>
        <w:t>реализация политики инклюзивного образования была недостаточной, что привело к низкому числу детей с инвалидностью, зачисленных в школы на всех уровнях образования, и высоким показателям отсева и неграмотности среди детей с инвалидностью;</w:t>
      </w:r>
    </w:p>
    <w:p w14:paraId="70600526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c)</w:t>
      </w:r>
      <w:r w:rsidRPr="00483659">
        <w:rPr>
          <w:rFonts w:eastAsia="SimSun" w:cs="Times New Roman"/>
          <w:szCs w:val="20"/>
          <w:lang w:eastAsia="zh-CN"/>
        </w:rPr>
        <w:tab/>
        <w:t>рекомендации по педагогической подготовке в области инклюзивного образования и соответствующие инструменты не были полностью внедрены;</w:t>
      </w:r>
    </w:p>
    <w:p w14:paraId="2EB26A5B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d)</w:t>
      </w:r>
      <w:r w:rsidRPr="00483659">
        <w:rPr>
          <w:rFonts w:eastAsia="SimSun" w:cs="Times New Roman"/>
          <w:szCs w:val="20"/>
          <w:lang w:eastAsia="zh-CN"/>
        </w:rPr>
        <w:tab/>
        <w:t>несмотря на разработку единой системы классификации инвалидности, систематический сбор данных о числе детей с инвалидностью в разбивке по полу и типу нарушений не был полностью реализован.</w:t>
      </w:r>
    </w:p>
    <w:p w14:paraId="0DA7001A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30.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 избрать правозащитный подход к проблеме инвалидности, разработать всеобъемлющую стратегию в области интеграции детей с инвалидностью и рекомендует государству-участнику:</w:t>
      </w:r>
    </w:p>
    <w:p w14:paraId="5ABB8D28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принять меры по ликвидации дискриминации в отношении детей с инвалидностью путем проведения постоянных просветительских кампаний, направленных на государственных служащих и общественность, в частности семьи, для борьбы со стигматизацией и предрассудками в отношении детей с инвалидностью и для продвижения позитивного образа таких детей;</w:t>
      </w:r>
    </w:p>
    <w:p w14:paraId="68231BB5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принимать все необходимые меры для обеспечения того, чтобы дети с инвалидностью были полностью интегрированы во все сферы жизни, включая учебу и участие в спортивных и рекреационных мероприятиях, а также обеспечивать доступность для всех детей с инвалидностью соответствующих объектов и других публичных мест;</w:t>
      </w:r>
    </w:p>
    <w:p w14:paraId="25EAE957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продолжать усилия по реализации политики инклюзивного образования и содействовать развитию инклюзивного образования, в том числе путем упразднения специальных школ и выделения адекватных бюджетных ассигнований, в частности для расширения масштабов подготовки учителей и обеспечения доступной инфраструктуры и учебных материалов, адаптированных к потребностям детей с инвалидностью;</w:t>
      </w:r>
    </w:p>
    <w:p w14:paraId="4006686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продолжить внедрение единой системы классификации инвалидности и разработать дезагрегированную базу данных по детям с инвали</w:t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дностью, а также эффективную и согласованную систему оценки инвалидности с целью облегчения доступа детей со всеми видами инвалидности </w:t>
      </w: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>к таким услугам, как образование, здравоохранение, социальная защита и другим формам поддержки.</w:t>
      </w:r>
    </w:p>
    <w:p w14:paraId="50DF0670" w14:textId="49C774EB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H.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 xml:space="preserve">Базовое медицинское обслуживание и социальное обеспечение </w:t>
      </w:r>
      <w:r>
        <w:rPr>
          <w:rFonts w:eastAsia="SimSun" w:cs="Times New Roman"/>
          <w:b/>
          <w:bCs/>
          <w:sz w:val="24"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 xml:space="preserve">(ст. 6, п. 3 ст. 18, ст. 24, 26, </w:t>
      </w:r>
      <w:proofErr w:type="spellStart"/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пп</w:t>
      </w:r>
      <w:proofErr w:type="spellEnd"/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. 1–3 ст. 27 и ст. 33)</w:t>
      </w:r>
    </w:p>
    <w:p w14:paraId="1706CF2E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Охрана здоровья и медицинское обслуживание</w:t>
      </w:r>
      <w:r w:rsidRPr="00483659">
        <w:rPr>
          <w:rFonts w:eastAsia="SimSun" w:cs="Times New Roman"/>
          <w:b/>
          <w:szCs w:val="20"/>
          <w:lang w:eastAsia="zh-CN"/>
        </w:rPr>
        <w:t xml:space="preserve"> </w:t>
      </w:r>
    </w:p>
    <w:p w14:paraId="7B46DF0A" w14:textId="74ECB811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31.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Отмечая увеличение всеобщего охвата услугами здравоохранения и количества медицинских учреждений, Комитет напоминает о своем замечании общего порядка № 15 (2013) о праве ребенка на наивысший достижимый уровень здоровья и, принимая во внимание задачи 2.2, 3.1, 3.2 и 3.8 Целей в области устойчивого развития, рекомендует государству-участнику:</w:t>
      </w:r>
    </w:p>
    <w:p w14:paraId="68E77FD6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продолжать укреплять доступ к медицинским услугам, особенно для детей, подверженных особому риску остаться без внимания, включая детей с инвалидностью и детей-неграждан;</w:t>
      </w:r>
    </w:p>
    <w:p w14:paraId="142022AA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принять дальнейшие меры по борьбе с недоеданием путем проведения целевых мероприятий и поощрения практики здорового питания младенцев и детей младшего возраста, а также путем дальнейшего повышения осведомленности о правильном питании и содействия общему просвещению в этой области на всей территории государства-участника;</w:t>
      </w:r>
    </w:p>
    <w:p w14:paraId="2FDE9925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продолжать поощрять, защищать и поддерживать грудное вскармли</w:t>
      </w:r>
      <w:r w:rsidRPr="00483659">
        <w:rPr>
          <w:rFonts w:eastAsia="SimSun" w:cs="Times New Roman"/>
          <w:b/>
          <w:bCs/>
          <w:szCs w:val="20"/>
          <w:lang w:eastAsia="zh-CN"/>
        </w:rPr>
        <w:t>вание;</w:t>
      </w:r>
    </w:p>
    <w:p w14:paraId="09A5DB9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d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обратиться за технической помощью в этом отношении к ЮНИСЕФ и Всемирной организации здравоохранения, среди прочих учреждений.</w:t>
      </w:r>
    </w:p>
    <w:p w14:paraId="3AE4E2DA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Психическое здоровье</w:t>
      </w:r>
    </w:p>
    <w:p w14:paraId="79DFA03B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32.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Приветствуя включение психического здоровья в пакет услуг первичной медицинской помощи в государстве-участнике, Комитет принимает к сведению задачу 3.4 Целей в области устойчивого развития и рекомендует государству-участнику укрепить </w:t>
      </w:r>
      <w:proofErr w:type="spellStart"/>
      <w:r w:rsidRPr="00483659">
        <w:rPr>
          <w:rFonts w:eastAsia="SimSun" w:cs="Times New Roman"/>
          <w:b/>
          <w:bCs/>
          <w:szCs w:val="20"/>
          <w:lang w:eastAsia="zh-CN"/>
        </w:rPr>
        <w:t>межсекторальный</w:t>
      </w:r>
      <w:proofErr w:type="spellEnd"/>
      <w:r w:rsidRPr="00483659">
        <w:rPr>
          <w:rFonts w:eastAsia="SimSun" w:cs="Times New Roman"/>
          <w:b/>
          <w:bCs/>
          <w:szCs w:val="20"/>
          <w:lang w:eastAsia="zh-CN"/>
        </w:rPr>
        <w:t xml:space="preserve"> подход министерств здравоохранения, социального развития и просвещения к предоставлению услуг по охране психического здоровья детям и их семьям, а также обеспечить системную подготовку специалистов по охране психического здоровья по всей стране.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принять национальную стратегию в области психического здоровья и психосоциальной поддержки.</w:t>
      </w:r>
    </w:p>
    <w:p w14:paraId="1312EBE0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Здоровье подростков</w:t>
      </w:r>
    </w:p>
    <w:p w14:paraId="57EFAE57" w14:textId="03DD2B40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33.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Ссылаясь на свое замечание общего порядка № 4 (2003) о здоровье и развитии подростков в контексте Конвенции и замечание общего порядка 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Cs w:val="20"/>
          <w:lang w:eastAsia="zh-CN"/>
        </w:rPr>
        <w:t>№ 20 (2016) об осуществлении прав ребенка в подростковом возрасте и принимая во внимание задачи 3.5, 3.7 и 5.6 Целей в области устойчивого развития, Комитет рекомендует государству-участнику:</w:t>
      </w:r>
    </w:p>
    <w:p w14:paraId="210021C4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принять комплексную политику в области сексуального и репродуктивного здоровья подростков и обеспечить включение темы сексуального и репродуктивного здоровья в обязательные программы школьного обучения, ориентированные на подростков, уделяя особое внимание профилактике ранней беременности и инфекций, передаваемых половым путем;</w:t>
      </w:r>
    </w:p>
    <w:p w14:paraId="1D1C0DBC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обеспечить, чтобы все девочки и мальчики, включая тех, кто не посещает школу, и тех, кто живет в сельских районах, получали конфиденциальные и учитывающие интересы ребенка сведения и услуги в области</w:t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 сексуального и репродуктивного здоровья, включая доступ к противозачаточным средствам;</w:t>
      </w:r>
    </w:p>
    <w:p w14:paraId="58479B3E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отменить уголовную ответственность за аборт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</w:p>
    <w:p w14:paraId="4E1B9155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развивать специализированные и дружественные к молодежи программ</w:t>
      </w:r>
      <w:r w:rsidRPr="00483659">
        <w:rPr>
          <w:rFonts w:eastAsia="SimSun" w:cs="Times New Roman"/>
          <w:b/>
          <w:bCs/>
          <w:szCs w:val="20"/>
          <w:lang w:eastAsia="zh-CN"/>
        </w:rPr>
        <w:t>ы лечения для детей и молодых людей, зависимых от употребления наркотиков, алкоголя или табака.</w:t>
      </w:r>
    </w:p>
    <w:p w14:paraId="12A354BB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Уровень жизни</w:t>
      </w:r>
    </w:p>
    <w:p w14:paraId="1EF63E29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34.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во внимание задачи 1.1, 1.2 и 1.3 Целей в области устойчивого развития, Комитет рекомендует государству-участнику продолжать усилия по обеспечению того, чтобы дети и их семьи, в частности дети-мигранты, живущие в бедности, получали адекватную финансовую поддержку и имели доступ к бесплатным и доступным услугам без дискриминации.</w:t>
      </w:r>
    </w:p>
    <w:p w14:paraId="67BB7585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I.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Образование, досуг и культурная деятельность (ст. 28–31)</w:t>
      </w:r>
    </w:p>
    <w:p w14:paraId="1D986C39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Образование, включая профессиональную подготовку и ориентацию</w:t>
      </w:r>
    </w:p>
    <w:p w14:paraId="7B7C98AD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35.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Приветствуя Королевский указ № 6/2021 «Об утверждении Основного закона государства», в соответствии с которым образование является обязательным до окончания базового образования (10 классов школы), и министерский указ № 98/2021 «О создании Управления по лицензированию профессиональных преподавателей», а также программы и мероприятия по снижению уровня отсева учащихся, и принимая во внимание задачи 4.1, 4.3, 4.4, 4.5, 4.6, 4.a и 4.c Целей в области устойчивого развития, Комитет рекомендует государству-участнику:</w:t>
      </w:r>
    </w:p>
    <w:p w14:paraId="75FA1A1C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483659">
        <w:rPr>
          <w:rFonts w:eastAsia="SimSun" w:cs="Times New Roman"/>
          <w:szCs w:val="20"/>
          <w:lang w:eastAsia="zh-CN"/>
        </w:rPr>
        <w:t>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продолжать усилия по повышению доступности образования для всех</w:t>
      </w:r>
      <w:r w:rsidRPr="00D64C39">
        <w:rPr>
          <w:rFonts w:eastAsia="SimSun" w:cs="Times New Roman"/>
          <w:b/>
          <w:bCs/>
          <w:szCs w:val="20"/>
          <w:lang w:eastAsia="zh-CN"/>
        </w:rPr>
        <w:t xml:space="preserve"> детей, в частности детей, находящихся в маргинализированном и неблагоприятном положении, и обеспечить,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обучения;</w:t>
      </w:r>
    </w:p>
    <w:p w14:paraId="16C8885B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продолжать усилия по подготовке преподавателей для повышения качества образования и устранения коренных причин низкой успеваемости среди детей, особенно мальчиков;</w:t>
      </w:r>
    </w:p>
    <w:p w14:paraId="2623B8FE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 xml:space="preserve">активизировать усилия по снижению уровня отсева, в том числе путем устранения причин отсева детей из школ, таких как сексуальные домогательства и травля в школах, включая </w:t>
      </w:r>
      <w:proofErr w:type="spellStart"/>
      <w:r w:rsidRPr="00D64C39">
        <w:rPr>
          <w:rFonts w:eastAsia="SimSun" w:cs="Times New Roman"/>
          <w:b/>
          <w:bCs/>
          <w:szCs w:val="20"/>
          <w:lang w:eastAsia="zh-CN"/>
        </w:rPr>
        <w:t>кибербуллинг</w:t>
      </w:r>
      <w:proofErr w:type="spellEnd"/>
      <w:r w:rsidRPr="00D64C39">
        <w:rPr>
          <w:rFonts w:eastAsia="SimSun" w:cs="Times New Roman"/>
          <w:b/>
          <w:bCs/>
          <w:szCs w:val="20"/>
          <w:lang w:eastAsia="zh-CN"/>
        </w:rPr>
        <w:t>, а также разрабатывать и внедрять программы качественной профессиональной подготовки для развития навыков у детей, особенно у тех, кто прекратил свое обучение в школе;</w:t>
      </w:r>
    </w:p>
    <w:p w14:paraId="437CA903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 xml:space="preserve">устранить вызванное пандемией коронавирусной инфекции (COVID-19) неравенство в процессе обучения в домашних условиях, в том числе путем обеспечения наличия компьютерного оборудования и достаточного доступа к Интернету, уделяя при этом особое внимание детям, находящимся в </w:t>
      </w:r>
      <w:proofErr w:type="spellStart"/>
      <w:r w:rsidRPr="00D64C39">
        <w:rPr>
          <w:rFonts w:eastAsia="SimSun" w:cs="Times New Roman"/>
          <w:b/>
          <w:bCs/>
          <w:szCs w:val="20"/>
          <w:lang w:eastAsia="zh-CN"/>
        </w:rPr>
        <w:t>маргинализированнонном</w:t>
      </w:r>
      <w:proofErr w:type="spellEnd"/>
      <w:r w:rsidRPr="00D64C39">
        <w:rPr>
          <w:rFonts w:eastAsia="SimSun" w:cs="Times New Roman"/>
          <w:b/>
          <w:bCs/>
          <w:szCs w:val="20"/>
          <w:lang w:eastAsia="zh-CN"/>
        </w:rPr>
        <w:t xml:space="preserve"> и неблагоприятном положении;</w:t>
      </w:r>
    </w:p>
    <w:p w14:paraId="206CAF89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</w:t>
      </w:r>
      <w:r w:rsidRPr="00483659">
        <w:rPr>
          <w:rFonts w:eastAsia="SimSun" w:cs="Times New Roman"/>
          <w:b/>
          <w:bCs/>
          <w:szCs w:val="20"/>
          <w:lang w:eastAsia="zh-CN"/>
        </w:rPr>
        <w:t>одолжать усилия по развитию и расширению образования детей младшего возраста на основе комплексной и целостной политики, охватывающей услуги в сфере воспитания и образования детей младшего возраста.</w:t>
      </w:r>
    </w:p>
    <w:p w14:paraId="0496CD46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lastRenderedPageBreak/>
        <w:tab/>
        <w:t>J.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  <w:t xml:space="preserve">Специальные </w:t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 xml:space="preserve">меры защиты (ст. 22, 30, 32, 33, 35, 36, </w:t>
      </w:r>
      <w:proofErr w:type="spellStart"/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пп</w:t>
      </w:r>
      <w:proofErr w:type="spellEnd"/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. b)–d) ст. 37 и ст. 38–40)</w:t>
      </w:r>
    </w:p>
    <w:p w14:paraId="284DBA3E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Дети из числа просителей убежища, беженцев и мигрантов</w:t>
      </w:r>
    </w:p>
    <w:p w14:paraId="48EE9EC3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Malgun Gothic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36.</w:t>
      </w:r>
      <w:r w:rsidRPr="00483659">
        <w:rPr>
          <w:rFonts w:eastAsia="SimSun" w:cs="Times New Roman"/>
          <w:szCs w:val="20"/>
          <w:lang w:eastAsia="zh-CN"/>
        </w:rPr>
        <w:tab/>
        <w:t>Принимая к сведению информацию государства-участника о том, что Закон о ребенке гарантирует права всех детей, включая детей из числа просителей убежища и беженцев, включая право на здоровье, социальные права и право на образование, Комитет обеспокоен следующим:</w:t>
      </w:r>
    </w:p>
    <w:p w14:paraId="054D6833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a)</w:t>
      </w:r>
      <w:r w:rsidRPr="00483659">
        <w:rPr>
          <w:rFonts w:eastAsia="SimSun" w:cs="Times New Roman"/>
          <w:szCs w:val="20"/>
          <w:lang w:eastAsia="zh-CN"/>
        </w:rPr>
        <w:tab/>
        <w:t>отсутствием законов или административных положений, регулирующих статус просителей убежища и беженцев, а также отсутствием информации о детях из числа просителей убежища и беженцев, в частности об их выявлении и защите;</w:t>
      </w:r>
    </w:p>
    <w:p w14:paraId="05A31957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b)</w:t>
      </w:r>
      <w:r w:rsidRPr="00483659">
        <w:rPr>
          <w:rFonts w:eastAsia="SimSun" w:cs="Times New Roman"/>
          <w:szCs w:val="20"/>
          <w:lang w:eastAsia="zh-CN"/>
        </w:rPr>
        <w:tab/>
        <w:t>отсутствием конкретной политики по предоставлению образования, здравоохранения и других социальных услуг детям как зарегистрированных, так и незарегистрированных трудящихся-мигрантов;</w:t>
      </w:r>
    </w:p>
    <w:p w14:paraId="5D0FC38B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c)</w:t>
      </w:r>
      <w:r w:rsidRPr="00483659">
        <w:rPr>
          <w:rFonts w:eastAsia="SimSun" w:cs="Times New Roman"/>
          <w:szCs w:val="20"/>
          <w:lang w:eastAsia="zh-CN"/>
        </w:rPr>
        <w:tab/>
        <w:t>системой спонсорства «</w:t>
      </w:r>
      <w:proofErr w:type="spellStart"/>
      <w:r w:rsidRPr="00483659">
        <w:rPr>
          <w:rFonts w:eastAsia="SimSun" w:cs="Times New Roman"/>
          <w:szCs w:val="20"/>
          <w:lang w:eastAsia="zh-CN"/>
        </w:rPr>
        <w:t>кафала</w:t>
      </w:r>
      <w:proofErr w:type="spellEnd"/>
      <w:r w:rsidRPr="00483659">
        <w:rPr>
          <w:rFonts w:eastAsia="SimSun" w:cs="Times New Roman"/>
          <w:szCs w:val="20"/>
          <w:lang w:eastAsia="zh-CN"/>
        </w:rPr>
        <w:t>» — одной из наибольших проблем, с которыми по-прежнему сталкиваются трудящиеся-мигранты и их семьи, так как она подвергает их эксплуатации, в том числе принудительному труду по ненормированному графику с минимальной оплатой сверхурочных или без нее.</w:t>
      </w:r>
    </w:p>
    <w:p w14:paraId="40CD9A64" w14:textId="1FDCF951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37.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Ссылаясь на совместные замечания общего порядка </w:t>
      </w:r>
      <w:r w:rsidR="00244463">
        <w:rPr>
          <w:rFonts w:eastAsia="SimSun" w:cs="Times New Roman"/>
          <w:b/>
          <w:bCs/>
          <w:szCs w:val="20"/>
          <w:lang w:eastAsia="zh-CN"/>
        </w:rPr>
        <w:t>№</w:t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№ 3 и 4 (2017) Комитета по защите прав всех трудящихся-мигрантов и членов их семей 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и </w:t>
      </w:r>
      <w:r>
        <w:rPr>
          <w:rFonts w:eastAsia="SimSun" w:cs="Times New Roman"/>
          <w:b/>
          <w:bCs/>
          <w:szCs w:val="20"/>
          <w:lang w:eastAsia="zh-CN"/>
        </w:rPr>
        <w:t>№</w:t>
      </w:r>
      <w:r w:rsidRPr="00483659">
        <w:rPr>
          <w:rFonts w:eastAsia="SimSun" w:cs="Times New Roman"/>
          <w:b/>
          <w:bCs/>
          <w:szCs w:val="20"/>
          <w:lang w:eastAsia="zh-CN"/>
        </w:rPr>
        <w:t>№ 22 и 23 (2017) Комитета по правам ребенка об общих принципах, касающихся прав человека детей в контексте международной миграции и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возвращения, соответственно, Комитет рекомендует государству-участнику:</w:t>
      </w:r>
    </w:p>
    <w:p w14:paraId="2AA8C193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принять национальное законодательство о предоставлении убежища, соответствующее международным стандартам, предусмотреть гарантии против принудительного возвращения, учитывающие принцип наилучшего обеспечения интересов ребенка, и обеспечить широкую доступность информации о детях из числа просителей убежища и беженцев на своей территории, включая информацию о мерах по их выявлению и защите;</w:t>
      </w:r>
    </w:p>
    <w:p w14:paraId="2716F6AD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разработать политику предоставления образования, здравоохранения и других социальных услуг всем детям, находящимся в государстве-участнике, включая детей зарегистрированных и незарегистрированных трудящихся-мигрантов;</w:t>
      </w:r>
    </w:p>
    <w:p w14:paraId="37020F42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упразднить систему спонсорства «</w:t>
      </w:r>
      <w:proofErr w:type="spellStart"/>
      <w:r w:rsidRPr="00D64C39">
        <w:rPr>
          <w:rFonts w:eastAsia="SimSun" w:cs="Times New Roman"/>
          <w:b/>
          <w:bCs/>
          <w:szCs w:val="20"/>
          <w:lang w:eastAsia="zh-CN"/>
        </w:rPr>
        <w:t>кафала</w:t>
      </w:r>
      <w:proofErr w:type="spellEnd"/>
      <w:r w:rsidRPr="00D64C39">
        <w:rPr>
          <w:rFonts w:eastAsia="SimSun" w:cs="Times New Roman"/>
          <w:b/>
          <w:bCs/>
          <w:szCs w:val="20"/>
          <w:lang w:eastAsia="zh-CN"/>
        </w:rPr>
        <w:t>» в целях снижения риска трудовой эксплуатации трудящихся-мигрантов, в том числе принудительного труда;</w:t>
      </w:r>
    </w:p>
    <w:p w14:paraId="65102A98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рассмотреть возможность ратификации Конвенции о статусе беженцев и Протокола, касающегося статуса беженцев, с целью обеспечения защиты детей из числа беженцев и просителей убежища;</w:t>
      </w:r>
    </w:p>
    <w:p w14:paraId="383EFE55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усилить координацию между Управлением Верховного комиссара Организации Объединенных Наций по делам беженцев и государственными учрежден</w:t>
      </w:r>
      <w:r w:rsidRPr="00483659">
        <w:rPr>
          <w:rFonts w:eastAsia="SimSun" w:cs="Times New Roman"/>
          <w:b/>
          <w:bCs/>
          <w:szCs w:val="20"/>
          <w:lang w:eastAsia="zh-CN"/>
        </w:rPr>
        <w:t>иями для обеспечения помощи детям из числа беженцев, просителей убежища и апатридов и их защиты в соответствии с Конвенцией о правах ребенка.</w:t>
      </w:r>
    </w:p>
    <w:p w14:paraId="63AFD90B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Экономическая эксплуатация, включая детский труд</w:t>
      </w:r>
    </w:p>
    <w:p w14:paraId="6C2676DA" w14:textId="27CD1D71" w:rsidR="00483659" w:rsidRPr="00483659" w:rsidRDefault="00483659" w:rsidP="00483659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38.</w:t>
      </w:r>
      <w:r w:rsidRPr="00483659">
        <w:rPr>
          <w:rFonts w:eastAsia="SimSun" w:cs="Times New Roman"/>
          <w:szCs w:val="20"/>
          <w:lang w:eastAsia="zh-CN"/>
        </w:rPr>
        <w:tab/>
        <w:t>Комитет отмечает, что законодательство государства-участника запрещает трудоустройство детей в возрасте до 15 лет и что указ № 217/2016 Министерства трудовых ресурсов регулирует трудоустройство несовершеннолетних, а также виды работы и профессии, которыми они могут заниматься. Тем не менее Комитет обеспокоен следующим:</w:t>
      </w:r>
    </w:p>
    <w:p w14:paraId="1AAA6CB4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lastRenderedPageBreak/>
        <w:tab/>
        <w:t>a)</w:t>
      </w:r>
      <w:r w:rsidRPr="00483659">
        <w:rPr>
          <w:rFonts w:eastAsia="SimSun" w:cs="Times New Roman"/>
          <w:szCs w:val="20"/>
          <w:lang w:eastAsia="zh-CN"/>
        </w:rPr>
        <w:tab/>
        <w:t>сообщениями о привлечении детей к опасным видам работ, включая рыболовство и торговлю, и отсутствием информации о масштабах такой практики;</w:t>
      </w:r>
    </w:p>
    <w:p w14:paraId="1718F143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b)</w:t>
      </w:r>
      <w:r w:rsidRPr="00483659">
        <w:rPr>
          <w:rFonts w:eastAsia="SimSun" w:cs="Times New Roman"/>
          <w:szCs w:val="20"/>
          <w:lang w:eastAsia="zh-CN"/>
        </w:rPr>
        <w:tab/>
        <w:t>утверждениями о найме девочек-мигрантов через систему спонсорства «</w:t>
      </w:r>
      <w:proofErr w:type="spellStart"/>
      <w:r w:rsidRPr="00483659">
        <w:rPr>
          <w:rFonts w:eastAsia="SimSun" w:cs="Times New Roman"/>
          <w:szCs w:val="20"/>
          <w:lang w:eastAsia="zh-CN"/>
        </w:rPr>
        <w:t>кафала</w:t>
      </w:r>
      <w:proofErr w:type="spellEnd"/>
      <w:r w:rsidRPr="00483659">
        <w:rPr>
          <w:rFonts w:eastAsia="SimSun" w:cs="Times New Roman"/>
          <w:szCs w:val="20"/>
          <w:lang w:eastAsia="zh-CN"/>
        </w:rPr>
        <w:t>» в качестве домашней прислуги</w:t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483659">
        <w:rPr>
          <w:rFonts w:eastAsia="SimSun" w:cs="Times New Roman"/>
          <w:szCs w:val="20"/>
          <w:lang w:eastAsia="zh-CN"/>
        </w:rPr>
        <w:t>и злоупотреблениях в их отношении;</w:t>
      </w:r>
    </w:p>
    <w:p w14:paraId="32EC4FD6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c)</w:t>
      </w:r>
      <w:r w:rsidRPr="00483659">
        <w:rPr>
          <w:rFonts w:eastAsia="SimSun" w:cs="Times New Roman"/>
          <w:szCs w:val="20"/>
          <w:lang w:eastAsia="zh-CN"/>
        </w:rPr>
        <w:tab/>
        <w:t>отсутствием согласованности между минимальным возрастом для трудоустройства (15 лет) и возрастом окончания обязательного образования (16 лет);</w:t>
      </w:r>
    </w:p>
    <w:p w14:paraId="2EBF9CEF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ab/>
        <w:t>d)</w:t>
      </w:r>
      <w:r w:rsidRPr="00483659">
        <w:rPr>
          <w:rFonts w:eastAsia="SimSun" w:cs="Times New Roman"/>
          <w:szCs w:val="20"/>
          <w:lang w:eastAsia="zh-CN"/>
        </w:rPr>
        <w:tab/>
        <w:t>работой детей на семейных предприятиях и отсутствием законодательно установленного минимального возраста в этом отношении.</w:t>
      </w:r>
    </w:p>
    <w:p w14:paraId="07F44EA6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39.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4279F745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активизировать свои усилия по обеспечению того, чтобы ни один ребенок не занимался опасным трудом, включая рыболовство и торговлю, и повысить осведомленность общественности о детском труде, его эксплуататорском характере и его последствиях;</w:t>
      </w:r>
    </w:p>
    <w:p w14:paraId="5C0FD80C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провести исследование по проблеме детского труда в стране, включая его коренные причины, с целью создания координационного механизма по борьбе с детским трудом;</w:t>
      </w:r>
    </w:p>
    <w:p w14:paraId="66E03739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принять незамедлительные меры по расследованию случаев найма девочек в качестве домашней прислуги и злоупотреблений в их отношении и по судебному преследованию и наказанию причастных к этому лиц;</w:t>
      </w:r>
    </w:p>
    <w:p w14:paraId="42B37101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обеспечить, чтобы ни один ребенок не прекращал получение обязательного образования вследствие своей занятости на рынке труда;</w:t>
      </w:r>
    </w:p>
    <w:p w14:paraId="79031165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рассмотреть вопрос о ратификации Конвенции 2011 года о достойном труде домашних работников (№ 189).</w:t>
      </w:r>
    </w:p>
    <w:p w14:paraId="05BF4E53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Торговля детьми, их контрабанда и похищение</w:t>
      </w:r>
    </w:p>
    <w:p w14:paraId="172C78BB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40.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к сведению Национальный план действий по борьбе с торговлей людьми (2021–2023 годы) и отмечая усилия государства-участника по повышению осведомленности о торговле людьми, преследованию виновных и созданию механизмов перенаправления, Комитет в свете задачи 8.7 Целей в области устойчивого развития рекомендует государству-участнику:</w:t>
      </w:r>
    </w:p>
    <w:p w14:paraId="202068B7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далее активизировать осуществление Закона о борьбе с торговлей людьми и инициатив по наращиванию потенциала для повышения эффективности реагирования сотрудников правоохранительных органов на случаи торговли детьми;</w:t>
      </w:r>
    </w:p>
    <w:p w14:paraId="165DF299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создать механизм мониторинга для расследования случаев торговли людьми и возмещения ущерба пострадавшим с целью повышения подотчетности, прозрачности и предотвращения нарушений, а также обеспечить эффективное преследование и наказание тех, кто эксплуатирует детей в целях проституции или принудительного труда;</w:t>
      </w:r>
    </w:p>
    <w:p w14:paraId="2D30A150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продолжать усилия по выявлению детей, ставших жертвами торговли людьми, среди всех детей, находящихся в уязвимом положении, включая детей трудящихся-мигрантов, и обеспечить, чтобы дети, ставшие жертвами сексуальной эксплуатации и торговли людьми, не наказывались за действия, которые стали прямым следствием их положения, такие как нарушение иммиграционного режима или проституция;</w:t>
      </w:r>
    </w:p>
    <w:p w14:paraId="3DA949B6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</w:t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родолжать осуществлять надлежащие программы и стратегии для предупреждения соответствующих правонарушений и реабилитации и социальной реинтеграции детей-жертв, обеспечивая им образование и профессиональную подготовку, а также консультации, медицинское обслуживание и другие социальные услуги в соответствии с итоговыми </w:t>
      </w: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>документами, принятыми на всемирных конгрессах по борьбе с сексуальной эксплуатацией детей в коммерческих целях;</w:t>
      </w:r>
    </w:p>
    <w:p w14:paraId="227DA82E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e)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</w:t>
      </w:r>
      <w:r w:rsidRPr="00483659">
        <w:rPr>
          <w:rFonts w:eastAsia="SimSun" w:cs="Times New Roman"/>
          <w:b/>
          <w:bCs/>
          <w:szCs w:val="20"/>
          <w:lang w:eastAsia="zh-CN"/>
        </w:rPr>
        <w:t>родолжить подготовку государственных служащих по распознаванию преступления, связанные с торговлей людьми, и надлежащему реагированию на них, расширять программы информирования общественности, включая кампании, способствующие выявлению возможных жертв и преступников, и повышать осведомленность о превентивных мерах и путях получения помощи и возмещения ущерба, включая Глобальный этический кодекс туризма Всемирной туристской организации.</w:t>
      </w:r>
    </w:p>
    <w:p w14:paraId="49A9B71D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Отправление правосудия в отношении детей</w:t>
      </w:r>
    </w:p>
    <w:p w14:paraId="0EE2BB8A" w14:textId="61BED3DC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41.</w:t>
      </w:r>
      <w:r w:rsidRPr="00483659">
        <w:rPr>
          <w:rFonts w:eastAsia="SimSun" w:cs="Times New Roman"/>
          <w:szCs w:val="20"/>
          <w:lang w:eastAsia="zh-CN"/>
        </w:rPr>
        <w:tab/>
        <w:t>Комитет принимает к сведению информацию государства-участника о том, что в настоящее время оно пересматривает свое законодательство о минимальном возрасте уголовной ответственности, но тем не менее обеспокоен тем, что, несмотря на предыдущие рекомендации, государство-участник еще не изменило минимальный возраст уголовной ответственности (</w:t>
      </w:r>
      <w:r w:rsidR="00C3475A">
        <w:rPr>
          <w:rFonts w:eastAsia="SimSun" w:cs="Times New Roman"/>
          <w:szCs w:val="20"/>
          <w:lang w:eastAsia="zh-CN"/>
        </w:rPr>
        <w:t>девять</w:t>
      </w:r>
      <w:r w:rsidRPr="00483659">
        <w:rPr>
          <w:rFonts w:eastAsia="SimSun" w:cs="Times New Roman"/>
          <w:szCs w:val="20"/>
          <w:lang w:eastAsia="zh-CN"/>
        </w:rPr>
        <w:t xml:space="preserve"> лет), который остается неприемлемо ранним. Комитет обеспокоен также сохранением практики содержания детей под стражей, в том числе длительного предварительного заключения, допускаемого законами государства-участника.</w:t>
      </w:r>
    </w:p>
    <w:p w14:paraId="2B41551B" w14:textId="305C5E10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42.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Принимая во внимание свое замечание общего порядка № 24 (2019) о правах ребенка в системе правосудия в отношении детей и глобальное исследование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 без дальнейших промедлений.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В</w:t>
      </w:r>
      <w:r>
        <w:rPr>
          <w:rFonts w:eastAsia="SimSun" w:cs="Times New Roman"/>
          <w:b/>
          <w:bCs/>
          <w:szCs w:val="20"/>
          <w:lang w:eastAsia="zh-CN"/>
        </w:rPr>
        <w:t> </w:t>
      </w:r>
      <w:r w:rsidRPr="00483659">
        <w:rPr>
          <w:rFonts w:eastAsia="SimSun" w:cs="Times New Roman"/>
          <w:b/>
          <w:bCs/>
          <w:szCs w:val="20"/>
          <w:lang w:eastAsia="zh-CN"/>
        </w:rPr>
        <w:t>частности, Комитет настоятельно призывает государство-участник:</w:t>
      </w:r>
    </w:p>
    <w:p w14:paraId="046ABA97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</w:r>
      <w:r w:rsidRPr="00D64C39">
        <w:rPr>
          <w:rFonts w:eastAsia="SimSun" w:cs="Times New Roman"/>
          <w:b/>
          <w:bCs/>
          <w:szCs w:val="20"/>
          <w:lang w:eastAsia="zh-CN"/>
        </w:rPr>
        <w:t>a)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как можно скорее повысить минимальный возраст наступления уголовной ответственности как минимум до 14 лет в соответствии с замечанием общего порядка № 24 Комитета и обеспечить, чтобы все дети (по определению это лица моложе 18 лет) были охвачены системой правосудия в отношении детей;</w:t>
      </w:r>
    </w:p>
    <w:p w14:paraId="0D84D4CD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положить конец чрезмерному применению заключения детей под стражу до суда;</w:t>
      </w:r>
    </w:p>
    <w:p w14:paraId="3BE47AD0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уделять первоочередное внимание таким мерам, как использование внесудебных средств, условное осуждение, консультирование, терапия и общественные работы, в частности в случае совершения мелких правонарушений;</w:t>
      </w:r>
    </w:p>
    <w:p w14:paraId="47485C32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в тех случаях, когда содержание под стражей неизбежно, обеспечить наличие учреждений для детей, находящихся в конфликте с законом, с адекватными условиями, отвечающими международным нормам, в том числе с точки зрения доступа к образованию и медицинскому обслуживанию;</w:t>
      </w:r>
    </w:p>
    <w:p w14:paraId="3E05D3D0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e)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обеспечивать повышение квалификации и специализации всех соответст</w:t>
      </w:r>
      <w:r w:rsidRPr="00483659">
        <w:rPr>
          <w:rFonts w:eastAsia="SimSun" w:cs="Times New Roman"/>
          <w:b/>
          <w:bCs/>
          <w:szCs w:val="20"/>
          <w:lang w:eastAsia="zh-CN"/>
        </w:rPr>
        <w:t>вующих субъектов системы правосудия в отношении детей, включая сотрудников правоохранительных органов, адвокатов, судей и социальных работников;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укреплять судебную систему и совершенствовать учебные материалы.</w:t>
      </w:r>
    </w:p>
    <w:p w14:paraId="009BB0C0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K.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6FD87596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Факультативный протокол, касающийся торговли детьми, детской проституции и детской порнографии</w:t>
      </w:r>
    </w:p>
    <w:p w14:paraId="5E23F267" w14:textId="0136A1E2" w:rsidR="00483659" w:rsidRPr="00483659" w:rsidRDefault="00483659" w:rsidP="00483659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43.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Приветствуя поправки к Уголовному кодексу, ужесточающие наказание за подстрекательство или вовлечение в занятие проституцией лица моложе 18 лет, </w:t>
      </w:r>
      <w:r w:rsidRPr="00483659">
        <w:rPr>
          <w:rFonts w:eastAsia="SimSun" w:cs="Times New Roman"/>
          <w:b/>
          <w:bCs/>
          <w:szCs w:val="20"/>
          <w:lang w:eastAsia="zh-CN"/>
        </w:rPr>
        <w:lastRenderedPageBreak/>
        <w:t>Комитет сожалеет, что законодательство государства-участника не включает все определения, содержащиеся в статье 3 Факультативного протокола, в частности «торговля детьми», которая отличается от контрабандной перевозки детей, и «неправомерное склонение в качестве посредничества к согласию на усыновление ребенка».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Ссылаясь на свои руководящие принципы в отношении осуществления Факультативного протокола и свои предыдущие заключительные замечания по периодическим докладам государства-участника, Комитет настоятельно призывает государство-участник пересмотреть свой Уголовный кодекс и привести его в полное соответствие со статьями 2 и 3 Факультативного протокола, касающегося торговли детьми, детской проституции и детской порнографии, введя уголовную ответственность за все предусмотренные в нем преступления.</w:t>
      </w:r>
    </w:p>
    <w:p w14:paraId="241748FD" w14:textId="77777777" w:rsidR="00483659" w:rsidRPr="00483659" w:rsidRDefault="00483659" w:rsidP="0048365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Факультативный протокол, касающийся участия детей в вооруженных конфликтах</w:t>
      </w:r>
    </w:p>
    <w:p w14:paraId="2C57D725" w14:textId="77777777" w:rsidR="00483659" w:rsidRPr="00483659" w:rsidRDefault="00483659" w:rsidP="00483659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44.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отмечает предоставленную государством-участником информацию о том, что в стране нет детей-призывников, добровольцев или участников боевых действий в возрасте до 18 лет и что минимальный возраст призыва в вооруженные силы государства-участника составляет 18 лет.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Ссылаясь на свои предыдущие заключительные замечания по докладу государства-участника, Комитет настоятельно призывает государство-участник:</w:t>
      </w:r>
    </w:p>
    <w:p w14:paraId="40E579FD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повысить возраст добровольного призыва в национальные вооруженные силы до 18 лет;</w:t>
      </w:r>
    </w:p>
    <w:p w14:paraId="3E85A6B1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ускорить пересмотр Уголовного кодекса для обеспечения соответствия всем обязательствам по Факультативному протоколу;</w:t>
      </w:r>
    </w:p>
    <w:p w14:paraId="2858AE97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выявлять и собирать информацию о детях из районов, затронутых вооружен</w:t>
      </w:r>
      <w:r w:rsidRPr="00483659">
        <w:rPr>
          <w:rFonts w:eastAsia="SimSun" w:cs="Times New Roman"/>
          <w:b/>
          <w:bCs/>
          <w:szCs w:val="20"/>
          <w:lang w:eastAsia="zh-CN"/>
        </w:rPr>
        <w:t>ными конфликтами, которые могли быть завербованы или использованы в боевых действиях, и оказывать им физическую и психологическую поддержку для восстановления и социальной реинтеграции.</w:t>
      </w:r>
    </w:p>
    <w:p w14:paraId="6D2EABF9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L.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Ратификация Факультативного протокола, касающегося процедуры сообщений</w:t>
      </w:r>
    </w:p>
    <w:p w14:paraId="3288567C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45.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ратифицировать Факультативный протокол, касающийся процедуры сообщений.</w:t>
      </w:r>
    </w:p>
    <w:p w14:paraId="336AA399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M.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Ратификация международных договоров по правам человека</w:t>
      </w:r>
    </w:p>
    <w:p w14:paraId="1D12E22D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color w:val="000000"/>
          <w:szCs w:val="20"/>
          <w:u w:val="single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46.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</w:p>
    <w:p w14:paraId="787B97A9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b/>
          <w:bCs/>
          <w:szCs w:val="20"/>
          <w:lang w:eastAsia="zh-CN"/>
        </w:rPr>
        <w:tab/>
        <w:t>a</w:t>
      </w:r>
      <w:r w:rsidRPr="00D64C39">
        <w:rPr>
          <w:rFonts w:eastAsia="SimSun" w:cs="Times New Roman"/>
          <w:b/>
          <w:bCs/>
          <w:szCs w:val="20"/>
          <w:lang w:eastAsia="zh-CN"/>
        </w:rPr>
        <w:t>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Международного пакта о гражданских и политических правах;</w:t>
      </w:r>
    </w:p>
    <w:p w14:paraId="38761AE4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Международной конвенции о защите прав всех трудящихся-мигрантов и членов их семей;</w:t>
      </w:r>
    </w:p>
    <w:p w14:paraId="25F27745" w14:textId="77777777" w:rsidR="00483659" w:rsidRPr="00D64C3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c)</w:t>
      </w:r>
      <w:r w:rsidRPr="00D64C39">
        <w:rPr>
          <w:rFonts w:eastAsia="SimSun" w:cs="Times New Roman"/>
          <w:b/>
          <w:bCs/>
          <w:szCs w:val="20"/>
          <w:lang w:eastAsia="zh-CN"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61D64EC2" w14:textId="77777777" w:rsidR="00483659" w:rsidRPr="00483659" w:rsidRDefault="00483659" w:rsidP="0048365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64C39">
        <w:rPr>
          <w:rFonts w:eastAsia="SimSun" w:cs="Times New Roman"/>
          <w:b/>
          <w:bCs/>
          <w:szCs w:val="20"/>
          <w:lang w:eastAsia="zh-CN"/>
        </w:rPr>
        <w:tab/>
        <w:t>d)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75984742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outlineLvl w:val="1"/>
        <w:rPr>
          <w:rFonts w:eastAsia="SimSun" w:cs="Times New Roman"/>
          <w:b/>
          <w:sz w:val="28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lastRenderedPageBreak/>
        <w:tab/>
        <w:t>IV.</w:t>
      </w:r>
      <w:r w:rsidRPr="00483659">
        <w:rPr>
          <w:rFonts w:eastAsia="SimSun" w:cs="Times New Roman"/>
          <w:b/>
          <w:sz w:val="28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8"/>
          <w:szCs w:val="20"/>
          <w:lang w:eastAsia="zh-CN"/>
        </w:rPr>
        <w:t>Осуществление и представление докладов</w:t>
      </w:r>
    </w:p>
    <w:p w14:paraId="6DF2A68F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A.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Последующие меры и распространение информации</w:t>
      </w:r>
    </w:p>
    <w:p w14:paraId="10ECB842" w14:textId="77777777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47.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64657CA3" w14:textId="27ED1180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B.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 xml:space="preserve">Национальный механизм для представления докладов </w:t>
      </w:r>
      <w:r w:rsidR="00025143">
        <w:rPr>
          <w:rFonts w:eastAsia="SimSun" w:cs="Times New Roman"/>
          <w:b/>
          <w:bCs/>
          <w:sz w:val="24"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и осуществления последующей деятельности</w:t>
      </w:r>
    </w:p>
    <w:p w14:paraId="246B700E" w14:textId="6DAED4C6" w:rsidR="00483659" w:rsidRPr="00B75527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val="en-US" w:eastAsia="zh-CN"/>
        </w:rPr>
      </w:pPr>
      <w:r w:rsidRPr="00483659">
        <w:rPr>
          <w:rFonts w:eastAsia="SimSun" w:cs="Times New Roman"/>
          <w:szCs w:val="20"/>
          <w:lang w:eastAsia="zh-CN"/>
        </w:rPr>
        <w:t>48.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создать постоянно действующую правительственную структуру, отвечающую за координацию и подготовку докладов для международных и региональных правозащитных механизмов и взаимодействие с ними, а также за координацию и отслеживание последующих мер и осуществления на национальном уровне договорных обязательств, равно как и рекомендаций и решений таких механизмов.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Комиссией по правам человека Омана и гражданским обществом.</w:t>
      </w:r>
      <w:r w:rsidR="0049632E" w:rsidRPr="0049632E">
        <w:rPr>
          <w:rFonts w:eastAsia="SimSun" w:cs="Times New Roman"/>
          <w:b/>
          <w:bCs/>
          <w:szCs w:val="20"/>
          <w:lang w:eastAsia="zh-CN"/>
        </w:rPr>
        <w:t xml:space="preserve"> </w:t>
      </w:r>
    </w:p>
    <w:p w14:paraId="48B67FB5" w14:textId="77777777" w:rsidR="00483659" w:rsidRPr="00483659" w:rsidRDefault="00483659" w:rsidP="0048365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rFonts w:eastAsia="SimSun" w:cs="Times New Roman"/>
          <w:b/>
          <w:sz w:val="24"/>
          <w:szCs w:val="20"/>
          <w:lang w:eastAsia="zh-CN"/>
        </w:rPr>
      </w:pP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ab/>
        <w:t>C.</w:t>
      </w:r>
      <w:r w:rsidRPr="00483659">
        <w:rPr>
          <w:rFonts w:eastAsia="SimSun" w:cs="Times New Roman"/>
          <w:b/>
          <w:sz w:val="24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 w:val="24"/>
          <w:szCs w:val="20"/>
          <w:lang w:eastAsia="zh-CN"/>
        </w:rPr>
        <w:t>Следующий доклад</w:t>
      </w:r>
    </w:p>
    <w:p w14:paraId="1C4E2C8E" w14:textId="71D2378C" w:rsidR="00483659" w:rsidRPr="00483659" w:rsidRDefault="00483659" w:rsidP="00483659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483659">
        <w:rPr>
          <w:rFonts w:eastAsia="SimSun" w:cs="Times New Roman"/>
          <w:szCs w:val="20"/>
          <w:lang w:eastAsia="zh-CN"/>
        </w:rPr>
        <w:t>49.</w:t>
      </w:r>
      <w:r w:rsidRPr="00483659">
        <w:rPr>
          <w:rFonts w:eastAsia="SimSun" w:cs="Times New Roman"/>
          <w:szCs w:val="20"/>
          <w:lang w:eastAsia="zh-CN"/>
        </w:rPr>
        <w:tab/>
      </w:r>
      <w:r w:rsidRPr="00483659">
        <w:rPr>
          <w:rFonts w:eastAsia="SimSun" w:cs="Times New Roman"/>
          <w:b/>
          <w:bCs/>
          <w:szCs w:val="20"/>
          <w:lang w:eastAsia="zh-CN"/>
        </w:rPr>
        <w:t xml:space="preserve">Комитет установит и сообщит дату представления объединенных </w:t>
      </w:r>
      <w:r w:rsidR="00025143">
        <w:rPr>
          <w:rFonts w:eastAsia="SimSun" w:cs="Times New Roman"/>
          <w:b/>
          <w:bCs/>
          <w:szCs w:val="20"/>
          <w:lang w:eastAsia="zh-CN"/>
        </w:rPr>
        <w:br/>
      </w:r>
      <w:r w:rsidRPr="00483659">
        <w:rPr>
          <w:rFonts w:eastAsia="SimSun" w:cs="Times New Roman"/>
          <w:b/>
          <w:bCs/>
          <w:szCs w:val="20"/>
          <w:lang w:eastAsia="zh-CN"/>
        </w:rPr>
        <w:t>седьмого</w:t>
      </w:r>
      <w:r w:rsidR="00025143" w:rsidRPr="00025143">
        <w:rPr>
          <w:rFonts w:eastAsia="SimSun" w:cs="Times New Roman"/>
          <w:b/>
          <w:bCs/>
          <w:szCs w:val="20"/>
          <w:lang w:eastAsia="zh-CN"/>
        </w:rPr>
        <w:t>–</w:t>
      </w:r>
      <w:r w:rsidRPr="00483659">
        <w:rPr>
          <w:rFonts w:eastAsia="SimSun" w:cs="Times New Roman"/>
          <w:b/>
          <w:bCs/>
          <w:szCs w:val="20"/>
          <w:lang w:eastAsia="zh-CN"/>
        </w:rPr>
        <w:t>девятого периодических докладов государства-участника в соответствии с будущим предсказуемым графиком представления докладов на основе восьмилетнего цикла обзора после принятия перечня тем и вопросов до представления доклада государства-участника, если это применимо.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Объем доклада не должен превышать 21</w:t>
      </w:r>
      <w:r w:rsidR="00025143">
        <w:rPr>
          <w:rFonts w:eastAsia="SimSun" w:cs="Times New Roman"/>
          <w:b/>
          <w:bCs/>
          <w:szCs w:val="20"/>
          <w:lang w:val="en-US" w:eastAsia="zh-CN"/>
        </w:rPr>
        <w:t> </w:t>
      </w:r>
      <w:r w:rsidRPr="00483659">
        <w:rPr>
          <w:rFonts w:eastAsia="SimSun" w:cs="Times New Roman"/>
          <w:b/>
          <w:bCs/>
          <w:szCs w:val="20"/>
          <w:lang w:eastAsia="zh-CN"/>
        </w:rPr>
        <w:t>200 слов</w:t>
      </w:r>
      <w:r w:rsidRPr="00483659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6"/>
      </w:r>
      <w:r w:rsidRPr="00483659">
        <w:rPr>
          <w:rFonts w:eastAsia="SimSun" w:cs="Times New Roman"/>
          <w:b/>
          <w:bCs/>
          <w:szCs w:val="20"/>
          <w:lang w:eastAsia="zh-CN"/>
        </w:rPr>
        <w:t>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В случае представления доклада объем которого превышает установленные ограничения, государству-участнику будет предложено сократить доклад.</w:t>
      </w:r>
      <w:r w:rsidRPr="00483659">
        <w:rPr>
          <w:rFonts w:eastAsia="SimSun" w:cs="Times New Roman"/>
          <w:szCs w:val="20"/>
          <w:lang w:eastAsia="zh-CN"/>
        </w:rPr>
        <w:t xml:space="preserve"> </w:t>
      </w:r>
      <w:r w:rsidRPr="00483659">
        <w:rPr>
          <w:rFonts w:eastAsia="SimSun" w:cs="Times New Roman"/>
          <w:b/>
          <w:bCs/>
          <w:szCs w:val="20"/>
          <w:lang w:eastAsia="zh-CN"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7E100957" w14:textId="77777777" w:rsidR="00483659" w:rsidRPr="00483659" w:rsidRDefault="00483659" w:rsidP="00483659">
      <w:pPr>
        <w:spacing w:before="240"/>
        <w:jc w:val="center"/>
        <w:rPr>
          <w:rFonts w:eastAsia="SimSun" w:cs="Times New Roman"/>
          <w:szCs w:val="20"/>
          <w:lang w:eastAsia="zh-CN"/>
        </w:rPr>
      </w:pPr>
      <w:r w:rsidRPr="00483659">
        <w:rPr>
          <w:rFonts w:eastAsia="SimSun" w:cs="Times New Roman"/>
          <w:szCs w:val="20"/>
          <w:u w:val="single"/>
          <w:lang w:eastAsia="zh-CN"/>
        </w:rPr>
        <w:tab/>
      </w:r>
      <w:r w:rsidRPr="00483659">
        <w:rPr>
          <w:rFonts w:eastAsia="SimSun" w:cs="Times New Roman"/>
          <w:szCs w:val="20"/>
          <w:u w:val="single"/>
          <w:lang w:eastAsia="zh-CN"/>
        </w:rPr>
        <w:tab/>
      </w:r>
      <w:r w:rsidRPr="00483659">
        <w:rPr>
          <w:rFonts w:eastAsia="SimSun" w:cs="Times New Roman"/>
          <w:szCs w:val="20"/>
          <w:u w:val="single"/>
          <w:lang w:eastAsia="zh-CN"/>
        </w:rPr>
        <w:tab/>
      </w:r>
    </w:p>
    <w:p w14:paraId="05455653" w14:textId="05A004E3" w:rsidR="00483659" w:rsidRDefault="00483659" w:rsidP="002E685D"/>
    <w:p w14:paraId="6D89EB9C" w14:textId="77777777" w:rsidR="00381C24" w:rsidRPr="00BC18B2" w:rsidRDefault="00381C24" w:rsidP="002E685D"/>
    <w:sectPr w:rsidR="00381C24" w:rsidRPr="00BC18B2" w:rsidSect="0048365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D802" w14:textId="77777777" w:rsidR="00642B85" w:rsidRPr="00A312BC" w:rsidRDefault="00642B85" w:rsidP="00A312BC"/>
  </w:endnote>
  <w:endnote w:type="continuationSeparator" w:id="0">
    <w:p w14:paraId="7BC1F28D" w14:textId="77777777" w:rsidR="00642B85" w:rsidRPr="00A312BC" w:rsidRDefault="00642B8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6B897" w14:textId="7341A386" w:rsidR="00483659" w:rsidRPr="00483659" w:rsidRDefault="00483659">
    <w:pPr>
      <w:pStyle w:val="a8"/>
    </w:pPr>
    <w:r w:rsidRPr="00483659">
      <w:rPr>
        <w:b/>
        <w:sz w:val="18"/>
      </w:rPr>
      <w:fldChar w:fldCharType="begin"/>
    </w:r>
    <w:r w:rsidRPr="00483659">
      <w:rPr>
        <w:b/>
        <w:sz w:val="18"/>
      </w:rPr>
      <w:instrText xml:space="preserve"> PAGE  \* MERGEFORMAT </w:instrText>
    </w:r>
    <w:r w:rsidRPr="00483659">
      <w:rPr>
        <w:b/>
        <w:sz w:val="18"/>
      </w:rPr>
      <w:fldChar w:fldCharType="separate"/>
    </w:r>
    <w:r w:rsidRPr="00483659">
      <w:rPr>
        <w:b/>
        <w:noProof/>
        <w:sz w:val="18"/>
      </w:rPr>
      <w:t>2</w:t>
    </w:r>
    <w:r w:rsidRPr="00483659">
      <w:rPr>
        <w:b/>
        <w:sz w:val="18"/>
      </w:rPr>
      <w:fldChar w:fldCharType="end"/>
    </w:r>
    <w:r>
      <w:rPr>
        <w:b/>
        <w:sz w:val="18"/>
      </w:rPr>
      <w:tab/>
    </w:r>
    <w:r>
      <w:t>GE.23-02447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30B62" w14:textId="50C0E14B" w:rsidR="00483659" w:rsidRPr="00483659" w:rsidRDefault="00483659" w:rsidP="00483659">
    <w:pPr>
      <w:pStyle w:val="a8"/>
      <w:tabs>
        <w:tab w:val="clear" w:pos="9639"/>
        <w:tab w:val="right" w:pos="9638"/>
      </w:tabs>
      <w:rPr>
        <w:b/>
        <w:sz w:val="18"/>
      </w:rPr>
    </w:pPr>
    <w:r>
      <w:t>GE.23-02447</w:t>
    </w:r>
    <w:r>
      <w:tab/>
    </w:r>
    <w:r w:rsidRPr="00483659">
      <w:rPr>
        <w:b/>
        <w:sz w:val="18"/>
      </w:rPr>
      <w:fldChar w:fldCharType="begin"/>
    </w:r>
    <w:r w:rsidRPr="00483659">
      <w:rPr>
        <w:b/>
        <w:sz w:val="18"/>
      </w:rPr>
      <w:instrText xml:space="preserve"> PAGE  \* MERGEFORMAT </w:instrText>
    </w:r>
    <w:r w:rsidRPr="00483659">
      <w:rPr>
        <w:b/>
        <w:sz w:val="18"/>
      </w:rPr>
      <w:fldChar w:fldCharType="separate"/>
    </w:r>
    <w:r w:rsidRPr="00483659">
      <w:rPr>
        <w:b/>
        <w:noProof/>
        <w:sz w:val="18"/>
      </w:rPr>
      <w:t>3</w:t>
    </w:r>
    <w:r w:rsidRPr="0048365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D272" w14:textId="0DD949EF" w:rsidR="00042B72" w:rsidRPr="00483659" w:rsidRDefault="00483659" w:rsidP="0048365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39A084" wp14:editId="753B06E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23-02447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95223D2" wp14:editId="2CCCEB1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120423  210423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513A1" w14:textId="77777777" w:rsidR="00642B85" w:rsidRPr="001075E9" w:rsidRDefault="00642B8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9B7FEBC" w14:textId="77777777" w:rsidR="00642B85" w:rsidRDefault="00642B8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73C021" w14:textId="77777777" w:rsidR="00483659" w:rsidRPr="003421C1" w:rsidRDefault="00483659" w:rsidP="00483659">
      <w:pPr>
        <w:pStyle w:val="ad"/>
      </w:pPr>
      <w:r>
        <w:tab/>
      </w:r>
      <w:r w:rsidRPr="00483659">
        <w:rPr>
          <w:sz w:val="20"/>
        </w:rPr>
        <w:t>*</w:t>
      </w:r>
      <w:r>
        <w:tab/>
        <w:t>Приняты Комитетом на его девяносто второй сессии (16 января — 3 февраля 2023 года).</w:t>
      </w:r>
    </w:p>
  </w:footnote>
  <w:footnote w:id="2">
    <w:p w14:paraId="0F9E8C94" w14:textId="77777777" w:rsidR="00483659" w:rsidRPr="003421C1" w:rsidRDefault="00483659" w:rsidP="00483659">
      <w:pPr>
        <w:pStyle w:val="ad"/>
      </w:pPr>
      <w:r w:rsidRPr="002A5212">
        <w:tab/>
      </w:r>
      <w:r w:rsidRPr="00BA5D81">
        <w:rPr>
          <w:rStyle w:val="aa"/>
        </w:rPr>
        <w:footnoteRef/>
      </w:r>
      <w:r>
        <w:tab/>
      </w:r>
      <w:hyperlink r:id="rId1" w:history="1">
        <w:r w:rsidRPr="003421C1">
          <w:rPr>
            <w:rStyle w:val="af1"/>
          </w:rPr>
          <w:t>CRC/C/OMN/5-6</w:t>
        </w:r>
      </w:hyperlink>
      <w:r>
        <w:t>.</w:t>
      </w:r>
    </w:p>
  </w:footnote>
  <w:footnote w:id="3">
    <w:p w14:paraId="5083D465" w14:textId="41E47F62" w:rsidR="00483659" w:rsidRPr="00D64C39" w:rsidRDefault="00483659" w:rsidP="00483659">
      <w:pPr>
        <w:pStyle w:val="ad"/>
      </w:pPr>
      <w:r w:rsidRPr="002A5212">
        <w:tab/>
      </w:r>
      <w:r w:rsidRPr="00BA5D81">
        <w:rPr>
          <w:rStyle w:val="aa"/>
        </w:rPr>
        <w:footnoteRef/>
      </w:r>
      <w:r>
        <w:tab/>
        <w:t xml:space="preserve">См. </w:t>
      </w:r>
      <w:hyperlink r:id="rId2" w:history="1">
        <w:r w:rsidRPr="00F506E2">
          <w:rPr>
            <w:rStyle w:val="af1"/>
            <w:lang w:val="de-CH"/>
          </w:rPr>
          <w:t>CRC</w:t>
        </w:r>
        <w:r w:rsidRPr="00D64C39">
          <w:rPr>
            <w:rStyle w:val="af1"/>
          </w:rPr>
          <w:t>/</w:t>
        </w:r>
        <w:r w:rsidRPr="00F506E2">
          <w:rPr>
            <w:rStyle w:val="af1"/>
            <w:lang w:val="de-CH"/>
          </w:rPr>
          <w:t>C</w:t>
        </w:r>
        <w:r w:rsidRPr="00D64C39">
          <w:rPr>
            <w:rStyle w:val="af1"/>
          </w:rPr>
          <w:t>/</w:t>
        </w:r>
        <w:r w:rsidRPr="00F506E2">
          <w:rPr>
            <w:rStyle w:val="af1"/>
            <w:lang w:val="de-CH"/>
          </w:rPr>
          <w:t>SR</w:t>
        </w:r>
        <w:r w:rsidRPr="00D64C39">
          <w:rPr>
            <w:rStyle w:val="af1"/>
          </w:rPr>
          <w:t>.2674</w:t>
        </w:r>
      </w:hyperlink>
      <w:r w:rsidRPr="00D64C39">
        <w:t xml:space="preserve"> </w:t>
      </w:r>
      <w:r>
        <w:t>и</w:t>
      </w:r>
      <w:r w:rsidRPr="00D64C39">
        <w:t xml:space="preserve"> </w:t>
      </w:r>
      <w:hyperlink r:id="rId3" w:history="1">
        <w:r w:rsidRPr="00F506E2">
          <w:rPr>
            <w:rStyle w:val="af1"/>
            <w:lang w:val="de-CH"/>
          </w:rPr>
          <w:t>CRC</w:t>
        </w:r>
        <w:r w:rsidRPr="00D64C39">
          <w:rPr>
            <w:rStyle w:val="af1"/>
          </w:rPr>
          <w:t>/</w:t>
        </w:r>
        <w:r w:rsidRPr="00F506E2">
          <w:rPr>
            <w:rStyle w:val="af1"/>
            <w:lang w:val="de-CH"/>
          </w:rPr>
          <w:t>C</w:t>
        </w:r>
        <w:r w:rsidRPr="00D64C39">
          <w:rPr>
            <w:rStyle w:val="af1"/>
          </w:rPr>
          <w:t>/</w:t>
        </w:r>
        <w:r w:rsidRPr="00F506E2">
          <w:rPr>
            <w:rStyle w:val="af1"/>
            <w:lang w:val="de-CH"/>
          </w:rPr>
          <w:t>SR</w:t>
        </w:r>
        <w:r w:rsidRPr="00D64C39">
          <w:rPr>
            <w:rStyle w:val="af1"/>
          </w:rPr>
          <w:t>.2675</w:t>
        </w:r>
      </w:hyperlink>
      <w:r w:rsidRPr="00D64C39">
        <w:t>.</w:t>
      </w:r>
    </w:p>
  </w:footnote>
  <w:footnote w:id="4">
    <w:p w14:paraId="6C77FD3B" w14:textId="77777777" w:rsidR="00483659" w:rsidRPr="00483659" w:rsidRDefault="00483659" w:rsidP="00483659">
      <w:pPr>
        <w:pStyle w:val="ad"/>
        <w:rPr>
          <w:lang w:val="en-US"/>
        </w:rPr>
      </w:pPr>
      <w:r w:rsidRPr="00D64C39">
        <w:rPr>
          <w:rFonts w:eastAsia="Malgun Gothic"/>
        </w:rPr>
        <w:tab/>
      </w:r>
      <w:r w:rsidRPr="00BA5D81">
        <w:rPr>
          <w:rStyle w:val="aa"/>
        </w:rPr>
        <w:footnoteRef/>
      </w:r>
      <w:r w:rsidRPr="003421C1">
        <w:rPr>
          <w:lang w:val="en-US"/>
        </w:rPr>
        <w:t xml:space="preserve"> </w:t>
      </w:r>
      <w:r w:rsidRPr="003421C1">
        <w:rPr>
          <w:lang w:val="en-US"/>
        </w:rPr>
        <w:tab/>
      </w:r>
      <w:hyperlink r:id="rId4" w:history="1">
        <w:r w:rsidRPr="003421C1">
          <w:rPr>
            <w:rStyle w:val="af1"/>
            <w:lang w:val="en-US"/>
          </w:rPr>
          <w:t>CRC/C/OMN/CO/3-4</w:t>
        </w:r>
      </w:hyperlink>
      <w:r w:rsidRPr="003421C1">
        <w:rPr>
          <w:lang w:val="en-US"/>
        </w:rPr>
        <w:t xml:space="preserve">, </w:t>
      </w:r>
      <w:r>
        <w:t>п</w:t>
      </w:r>
      <w:r w:rsidRPr="003421C1">
        <w:rPr>
          <w:lang w:val="en-US"/>
        </w:rPr>
        <w:t>. 32.</w:t>
      </w:r>
    </w:p>
  </w:footnote>
  <w:footnote w:id="5">
    <w:p w14:paraId="523AB8C5" w14:textId="77777777" w:rsidR="00483659" w:rsidRPr="00483659" w:rsidRDefault="00483659" w:rsidP="00483659">
      <w:pPr>
        <w:pStyle w:val="ad"/>
        <w:rPr>
          <w:lang w:val="en-US"/>
        </w:rPr>
      </w:pPr>
      <w:r w:rsidRPr="003421C1">
        <w:rPr>
          <w:lang w:val="en-US"/>
        </w:rPr>
        <w:tab/>
      </w:r>
      <w:r w:rsidRPr="00BA5D81">
        <w:rPr>
          <w:rStyle w:val="aa"/>
        </w:rPr>
        <w:footnoteRef/>
      </w:r>
      <w:r w:rsidRPr="003421C1">
        <w:rPr>
          <w:lang w:val="en-US"/>
        </w:rPr>
        <w:t xml:space="preserve"> </w:t>
      </w:r>
      <w:r w:rsidRPr="003421C1">
        <w:rPr>
          <w:lang w:val="en-US"/>
        </w:rPr>
        <w:tab/>
      </w:r>
      <w:hyperlink r:id="rId5" w:history="1">
        <w:r w:rsidRPr="002C7F97">
          <w:rPr>
            <w:rStyle w:val="af1"/>
            <w:lang w:val="en-US"/>
          </w:rPr>
          <w:t>CRC/C/OMN/CO/3-4</w:t>
        </w:r>
      </w:hyperlink>
      <w:r w:rsidRPr="003421C1">
        <w:rPr>
          <w:lang w:val="en-US"/>
        </w:rPr>
        <w:t xml:space="preserve">, </w:t>
      </w:r>
      <w:r>
        <w:t>п</w:t>
      </w:r>
      <w:r w:rsidRPr="003421C1">
        <w:rPr>
          <w:lang w:val="en-US"/>
        </w:rPr>
        <w:t>. 34.</w:t>
      </w:r>
    </w:p>
  </w:footnote>
  <w:footnote w:id="6">
    <w:p w14:paraId="31CF2C9E" w14:textId="707E258A" w:rsidR="00483659" w:rsidRPr="00F24375" w:rsidRDefault="00483659" w:rsidP="00483659">
      <w:pPr>
        <w:pStyle w:val="ad"/>
      </w:pPr>
      <w:r w:rsidRPr="003421C1">
        <w:rPr>
          <w:lang w:val="en-US"/>
        </w:rPr>
        <w:tab/>
      </w:r>
      <w:r w:rsidRPr="00BA5D81">
        <w:rPr>
          <w:rStyle w:val="aa"/>
        </w:rPr>
        <w:footnoteRef/>
      </w:r>
      <w:r>
        <w:tab/>
        <w:t xml:space="preserve">Резолюция </w:t>
      </w:r>
      <w:hyperlink r:id="rId6" w:history="1">
        <w:r w:rsidRPr="00B75527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82F93" w14:textId="589F8325" w:rsidR="00483659" w:rsidRPr="00483659" w:rsidRDefault="00F91D2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CRC/C/OMN/CO/5-6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A69F3" w14:textId="45D258A0" w:rsidR="00483659" w:rsidRPr="00483659" w:rsidRDefault="00F91D2F" w:rsidP="0048365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CRC/C/OMN/CO/5-6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314792855">
    <w:abstractNumId w:val="16"/>
  </w:num>
  <w:num w:numId="2" w16cid:durableId="1311246561">
    <w:abstractNumId w:val="11"/>
  </w:num>
  <w:num w:numId="3" w16cid:durableId="1375080526">
    <w:abstractNumId w:val="10"/>
  </w:num>
  <w:num w:numId="4" w16cid:durableId="1743746662">
    <w:abstractNumId w:val="17"/>
  </w:num>
  <w:num w:numId="5" w16cid:durableId="443816202">
    <w:abstractNumId w:val="13"/>
  </w:num>
  <w:num w:numId="6" w16cid:durableId="813370958">
    <w:abstractNumId w:val="8"/>
  </w:num>
  <w:num w:numId="7" w16cid:durableId="1503231656">
    <w:abstractNumId w:val="3"/>
  </w:num>
  <w:num w:numId="8" w16cid:durableId="259920871">
    <w:abstractNumId w:val="2"/>
  </w:num>
  <w:num w:numId="9" w16cid:durableId="1112633096">
    <w:abstractNumId w:val="1"/>
  </w:num>
  <w:num w:numId="10" w16cid:durableId="1911499579">
    <w:abstractNumId w:val="0"/>
  </w:num>
  <w:num w:numId="11" w16cid:durableId="913396413">
    <w:abstractNumId w:val="9"/>
  </w:num>
  <w:num w:numId="12" w16cid:durableId="953632723">
    <w:abstractNumId w:val="7"/>
  </w:num>
  <w:num w:numId="13" w16cid:durableId="1785152502">
    <w:abstractNumId w:val="6"/>
  </w:num>
  <w:num w:numId="14" w16cid:durableId="1189220836">
    <w:abstractNumId w:val="5"/>
  </w:num>
  <w:num w:numId="15" w16cid:durableId="211697141">
    <w:abstractNumId w:val="4"/>
  </w:num>
  <w:num w:numId="16" w16cid:durableId="715619167">
    <w:abstractNumId w:val="15"/>
  </w:num>
  <w:num w:numId="17" w16cid:durableId="2108887326">
    <w:abstractNumId w:val="12"/>
  </w:num>
  <w:num w:numId="18" w16cid:durableId="708264335">
    <w:abstractNumId w:val="14"/>
  </w:num>
  <w:num w:numId="19" w16cid:durableId="2023507604">
    <w:abstractNumId w:val="15"/>
  </w:num>
  <w:num w:numId="20" w16cid:durableId="170530354">
    <w:abstractNumId w:val="12"/>
  </w:num>
  <w:num w:numId="21" w16cid:durableId="40653874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B85"/>
    <w:rsid w:val="00025143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44084"/>
    <w:rsid w:val="00244463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83659"/>
    <w:rsid w:val="0049632E"/>
    <w:rsid w:val="004A1083"/>
    <w:rsid w:val="0050108D"/>
    <w:rsid w:val="00513081"/>
    <w:rsid w:val="00517901"/>
    <w:rsid w:val="00526683"/>
    <w:rsid w:val="005709E0"/>
    <w:rsid w:val="00572E19"/>
    <w:rsid w:val="00587338"/>
    <w:rsid w:val="005961C8"/>
    <w:rsid w:val="005D7914"/>
    <w:rsid w:val="005E2B41"/>
    <w:rsid w:val="005F0B42"/>
    <w:rsid w:val="00642B85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729C9"/>
    <w:rsid w:val="007B4656"/>
    <w:rsid w:val="007E6FB4"/>
    <w:rsid w:val="007F5142"/>
    <w:rsid w:val="00806737"/>
    <w:rsid w:val="008169EA"/>
    <w:rsid w:val="00825F8D"/>
    <w:rsid w:val="00834B71"/>
    <w:rsid w:val="00843EF7"/>
    <w:rsid w:val="0086445C"/>
    <w:rsid w:val="00894693"/>
    <w:rsid w:val="008A08D7"/>
    <w:rsid w:val="008B277D"/>
    <w:rsid w:val="008B6909"/>
    <w:rsid w:val="00906890"/>
    <w:rsid w:val="00911BE4"/>
    <w:rsid w:val="0093557E"/>
    <w:rsid w:val="00951972"/>
    <w:rsid w:val="009608F3"/>
    <w:rsid w:val="009A24AC"/>
    <w:rsid w:val="009E7509"/>
    <w:rsid w:val="00A10705"/>
    <w:rsid w:val="00A14DA8"/>
    <w:rsid w:val="00A312BC"/>
    <w:rsid w:val="00A65BF1"/>
    <w:rsid w:val="00A82AB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75527"/>
    <w:rsid w:val="00B937DF"/>
    <w:rsid w:val="00BA684A"/>
    <w:rsid w:val="00BC18B2"/>
    <w:rsid w:val="00BD33EE"/>
    <w:rsid w:val="00BE22DD"/>
    <w:rsid w:val="00C106D6"/>
    <w:rsid w:val="00C3475A"/>
    <w:rsid w:val="00C45D65"/>
    <w:rsid w:val="00C60F0C"/>
    <w:rsid w:val="00C805C9"/>
    <w:rsid w:val="00C859FF"/>
    <w:rsid w:val="00C92939"/>
    <w:rsid w:val="00CA1679"/>
    <w:rsid w:val="00CB151C"/>
    <w:rsid w:val="00CE5A1A"/>
    <w:rsid w:val="00CF55F6"/>
    <w:rsid w:val="00D121D2"/>
    <w:rsid w:val="00D22A43"/>
    <w:rsid w:val="00D33D63"/>
    <w:rsid w:val="00D53C43"/>
    <w:rsid w:val="00D64C39"/>
    <w:rsid w:val="00D90028"/>
    <w:rsid w:val="00D90138"/>
    <w:rsid w:val="00DD2EEA"/>
    <w:rsid w:val="00DD78D1"/>
    <w:rsid w:val="00DE0753"/>
    <w:rsid w:val="00DE32CD"/>
    <w:rsid w:val="00DF71B9"/>
    <w:rsid w:val="00E72681"/>
    <w:rsid w:val="00E73F76"/>
    <w:rsid w:val="00E82DC6"/>
    <w:rsid w:val="00E84C8E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506E2"/>
    <w:rsid w:val="00F91D2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01D8C"/>
  <w15:docId w15:val="{04747E46-9DAE-44B8-9772-B1142B83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B75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75" TargetMode="External"/><Relationship Id="rId2" Type="http://schemas.openxmlformats.org/officeDocument/2006/relationships/hyperlink" Target="http://undocs.org/en/CRC/C/SR.2674" TargetMode="External"/><Relationship Id="rId1" Type="http://schemas.openxmlformats.org/officeDocument/2006/relationships/hyperlink" Target="http://undocs.org/en/CRC/C/OMN/5-6" TargetMode="External"/><Relationship Id="rId6" Type="http://schemas.openxmlformats.org/officeDocument/2006/relationships/hyperlink" Target="http://undocs.org/ru/A/RES/68/268" TargetMode="External"/><Relationship Id="rId5" Type="http://schemas.openxmlformats.org/officeDocument/2006/relationships/hyperlink" Target="http://undocs.org/ru/CRC/C/OMN/CO/3-4" TargetMode="External"/><Relationship Id="rId4" Type="http://schemas.openxmlformats.org/officeDocument/2006/relationships/hyperlink" Target="http://undocs.org/ru/CRC/C/OMN/CO/3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6190</Words>
  <Characters>43146</Characters>
  <Application>Microsoft Office Word</Application>
  <DocSecurity>0</DocSecurity>
  <Lines>814</Lines>
  <Paragraphs>217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CRC/C/OMN/CO/5-6</vt:lpstr>
      <vt:lpstr>A/</vt:lpstr>
      <vt:lpstr>A/</vt:lpstr>
    </vt:vector>
  </TitlesOfParts>
  <Company>DCM</Company>
  <LinksUpToDate>false</LinksUpToDate>
  <CharactersWithSpaces>49330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CRC/C/OMN/CO/5-6</dc:title>
  <dc:subject/>
  <dc:creator>Elena IZOTOVA</dc:creator>
  <cp:keywords/>
  <cp:lastModifiedBy>Elena Izotova</cp:lastModifiedBy>
  <cp:revision>3</cp:revision>
  <cp:lastPrinted>2023-04-21T14:10:00Z</cp:lastPrinted>
  <dcterms:created xsi:type="dcterms:W3CDTF">2023-04-21T14:10:00Z</dcterms:created>
  <dcterms:modified xsi:type="dcterms:W3CDTF">2023-04-21T14:10:00Z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