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C229BC">
              <w:rPr>
                <w:rFonts w:hint="eastAsia"/>
                <w:sz w:val="20"/>
              </w:rPr>
              <w:t>51/2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3916A2" w:rsidP="00DA36A7">
            <w:pPr>
              <w:spacing w:before="240" w:line="240" w:lineRule="atLeast"/>
              <w:rPr>
                <w:sz w:val="20"/>
              </w:rPr>
            </w:pPr>
            <w:r>
              <w:rPr>
                <w:sz w:val="20"/>
              </w:rPr>
              <w:t>Distr.: General</w:t>
            </w:r>
          </w:p>
          <w:p w:rsidR="00E06285" w:rsidRPr="00DA36A7" w:rsidRDefault="00BD1121">
            <w:pPr>
              <w:spacing w:line="240" w:lineRule="atLeast"/>
              <w:rPr>
                <w:sz w:val="20"/>
              </w:rPr>
            </w:pPr>
            <w:r>
              <w:rPr>
                <w:rFonts w:hint="eastAsia"/>
                <w:sz w:val="20"/>
              </w:rPr>
              <w:t xml:space="preserve">4 </w:t>
            </w:r>
            <w:r w:rsidR="00FA7FA9" w:rsidRPr="00FA7FA9">
              <w:rPr>
                <w:sz w:val="20"/>
              </w:rPr>
              <w:t>January</w:t>
            </w:r>
            <w:r w:rsidR="00A64FC3">
              <w:rPr>
                <w:sz w:val="20"/>
              </w:rPr>
              <w:t xml:space="preserve"> 20</w:t>
            </w:r>
            <w:r w:rsidR="00FA7FA9">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C229BC">
        <w:rPr>
          <w:rFonts w:eastAsia="SimHei" w:hint="eastAsia"/>
          <w:szCs w:val="21"/>
        </w:rPr>
        <w:t>五十一</w:t>
      </w:r>
      <w:r>
        <w:rPr>
          <w:rFonts w:eastAsia="SimHei" w:hint="eastAsia"/>
          <w:szCs w:val="21"/>
        </w:rPr>
        <w:t>届会议</w:t>
      </w:r>
    </w:p>
    <w:p w:rsidR="003916A2" w:rsidRPr="00C229BC" w:rsidRDefault="00C229BC" w:rsidP="006465BF">
      <w:pPr>
        <w:rPr>
          <w:rFonts w:hint="eastAsia"/>
          <w:szCs w:val="21"/>
        </w:rPr>
      </w:pPr>
      <w:r w:rsidRPr="00C229BC">
        <w:rPr>
          <w:rFonts w:hint="eastAsia"/>
          <w:szCs w:val="21"/>
        </w:rPr>
        <w:t>2012</w:t>
      </w:r>
      <w:r w:rsidRPr="00C229BC">
        <w:rPr>
          <w:rFonts w:hint="eastAsia"/>
          <w:szCs w:val="21"/>
        </w:rPr>
        <w:t>年</w:t>
      </w:r>
      <w:r w:rsidRPr="00C229BC">
        <w:rPr>
          <w:rFonts w:hint="eastAsia"/>
          <w:szCs w:val="21"/>
        </w:rPr>
        <w:t>2</w:t>
      </w:r>
      <w:r w:rsidRPr="00C229BC">
        <w:rPr>
          <w:rFonts w:hint="eastAsia"/>
          <w:szCs w:val="21"/>
        </w:rPr>
        <w:t>月</w:t>
      </w:r>
      <w:r w:rsidRPr="00C229BC">
        <w:rPr>
          <w:rFonts w:hint="eastAsia"/>
          <w:szCs w:val="21"/>
        </w:rPr>
        <w:t>13</w:t>
      </w:r>
      <w:r w:rsidRPr="00C229BC">
        <w:rPr>
          <w:rFonts w:hint="eastAsia"/>
          <w:szCs w:val="21"/>
        </w:rPr>
        <w:t>日至</w:t>
      </w:r>
      <w:r w:rsidRPr="00C229BC">
        <w:rPr>
          <w:rFonts w:hint="eastAsia"/>
          <w:szCs w:val="21"/>
        </w:rPr>
        <w:t>3</w:t>
      </w:r>
      <w:r w:rsidRPr="00C229BC">
        <w:rPr>
          <w:rFonts w:hint="eastAsia"/>
          <w:szCs w:val="21"/>
        </w:rPr>
        <w:t>月</w:t>
      </w:r>
      <w:r w:rsidRPr="00C229BC">
        <w:rPr>
          <w:rFonts w:hint="eastAsia"/>
          <w:szCs w:val="21"/>
        </w:rPr>
        <w:t>2</w:t>
      </w:r>
      <w:r w:rsidRPr="00C229BC">
        <w:rPr>
          <w:rFonts w:hint="eastAsia"/>
          <w:szCs w:val="21"/>
        </w:rPr>
        <w:t>日</w:t>
      </w:r>
    </w:p>
    <w:p w:rsidR="003916A2" w:rsidRPr="00C229BC" w:rsidRDefault="00C229BC" w:rsidP="001E53DE">
      <w:pPr>
        <w:rPr>
          <w:rFonts w:hint="eastAsia"/>
          <w:szCs w:val="21"/>
        </w:rPr>
      </w:pPr>
      <w:r w:rsidRPr="00C229BC">
        <w:rPr>
          <w:rFonts w:hint="eastAsia"/>
          <w:szCs w:val="21"/>
        </w:rPr>
        <w:t>临时议程项目</w:t>
      </w:r>
      <w:r w:rsidRPr="00C229BC">
        <w:rPr>
          <w:rFonts w:hint="eastAsia"/>
          <w:szCs w:val="21"/>
        </w:rPr>
        <w:t>6</w:t>
      </w:r>
    </w:p>
    <w:p w:rsidR="003916A2" w:rsidRPr="00C229BC" w:rsidRDefault="00C229BC" w:rsidP="006465BF">
      <w:pPr>
        <w:rPr>
          <w:rFonts w:eastAsia="SimHei" w:hint="eastAsia"/>
          <w:szCs w:val="21"/>
        </w:rPr>
      </w:pPr>
      <w:r w:rsidRPr="00C229BC">
        <w:rPr>
          <w:rFonts w:eastAsia="SimHei" w:hint="eastAsia"/>
          <w:szCs w:val="21"/>
        </w:rPr>
        <w:t>《消除对妇女一切形式歧视公约》第二十一条</w:t>
      </w:r>
      <w:r>
        <w:rPr>
          <w:rFonts w:eastAsia="SimHei"/>
          <w:szCs w:val="21"/>
        </w:rPr>
        <w:br/>
      </w:r>
      <w:r w:rsidRPr="00C229BC">
        <w:rPr>
          <w:rFonts w:eastAsia="SimHei" w:hint="eastAsia"/>
          <w:szCs w:val="21"/>
        </w:rPr>
        <w:t>和第二十二条的执行情况</w:t>
      </w:r>
    </w:p>
    <w:p w:rsidR="003916A2" w:rsidRPr="00C229BC" w:rsidRDefault="00A64FC3" w:rsidP="003916A2">
      <w:pPr>
        <w:pStyle w:val="HChGC"/>
        <w:rPr>
          <w:rFonts w:hint="eastAsia"/>
        </w:rPr>
      </w:pPr>
      <w:r>
        <w:rPr>
          <w:rFonts w:hint="eastAsia"/>
        </w:rPr>
        <w:tab/>
      </w:r>
      <w:r>
        <w:rPr>
          <w:rFonts w:hint="eastAsia"/>
        </w:rPr>
        <w:tab/>
      </w:r>
      <w:r w:rsidR="00C229BC" w:rsidRPr="00C229BC">
        <w:rPr>
          <w:rFonts w:hint="eastAsia"/>
        </w:rPr>
        <w:t>各专门机构关于在其工作范围内执行《公约》的情况</w:t>
      </w:r>
    </w:p>
    <w:p w:rsidR="001B5B95" w:rsidRPr="00C229BC" w:rsidRDefault="001B5B95" w:rsidP="003916A2">
      <w:pPr>
        <w:pStyle w:val="H1GC"/>
        <w:rPr>
          <w:rFonts w:hint="eastAsia"/>
        </w:rPr>
      </w:pPr>
      <w:r>
        <w:rPr>
          <w:rFonts w:hint="eastAsia"/>
        </w:rPr>
        <w:tab/>
      </w:r>
      <w:r>
        <w:rPr>
          <w:rFonts w:hint="eastAsia"/>
        </w:rPr>
        <w:tab/>
      </w:r>
      <w:r w:rsidR="00C229BC" w:rsidRPr="00C229BC">
        <w:rPr>
          <w:rFonts w:hint="eastAsia"/>
        </w:rPr>
        <w:t>联合国教育、科学及文化组织的报告</w:t>
      </w:r>
      <w:r w:rsidR="00C229BC" w:rsidRPr="00C229BC">
        <w:footnoteReference w:customMarkFollows="1" w:id="1"/>
        <w:t>*</w:t>
      </w:r>
    </w:p>
    <w:tbl>
      <w:tblPr>
        <w:tblW w:w="0" w:type="auto"/>
        <w:tblLayout w:type="fixed"/>
        <w:tblCellMar>
          <w:left w:w="0" w:type="dxa"/>
          <w:right w:w="0" w:type="dxa"/>
        </w:tblCellMar>
        <w:tblLook w:val="01E0" w:firstRow="1" w:lastRow="1" w:firstColumn="1" w:lastColumn="1" w:noHBand="0" w:noVBand="0"/>
      </w:tblPr>
      <w:tblGrid>
        <w:gridCol w:w="9639"/>
      </w:tblGrid>
      <w:tr w:rsidR="00C229BC">
        <w:tc>
          <w:tcPr>
            <w:tcW w:w="9639" w:type="dxa"/>
            <w:tcBorders>
              <w:top w:val="single" w:sz="4" w:space="0" w:color="auto"/>
              <w:left w:val="single" w:sz="4" w:space="0" w:color="auto"/>
              <w:bottom w:val="nil"/>
              <w:right w:val="single" w:sz="4" w:space="0" w:color="auto"/>
            </w:tcBorders>
            <w:noWrap/>
            <w:tcMar>
              <w:left w:w="0" w:type="dxa"/>
              <w:right w:w="0" w:type="dxa"/>
            </w:tcMar>
          </w:tcPr>
          <w:p w:rsidR="00C229BC" w:rsidRDefault="00C229BC">
            <w:pPr>
              <w:tabs>
                <w:tab w:val="left" w:pos="255"/>
              </w:tabs>
              <w:spacing w:before="240" w:after="120"/>
              <w:rPr>
                <w:rFonts w:eastAsia="KaiTi_GB2312"/>
                <w:sz w:val="23"/>
                <w:szCs w:val="23"/>
                <w:lang w:val="es-ES"/>
              </w:rPr>
            </w:pPr>
            <w:r>
              <w:rPr>
                <w:rFonts w:eastAsia="KaiTi_GB2312"/>
                <w:sz w:val="23"/>
                <w:szCs w:val="23"/>
                <w:lang w:val="es-ES"/>
              </w:rPr>
              <w:tab/>
            </w:r>
            <w:r>
              <w:rPr>
                <w:rFonts w:eastAsia="KaiTi_GB2312" w:hint="eastAsia"/>
                <w:sz w:val="23"/>
                <w:szCs w:val="23"/>
                <w:lang w:val="es-ES"/>
              </w:rPr>
              <w:t>内容</w:t>
            </w:r>
            <w:r>
              <w:rPr>
                <w:rFonts w:eastAsia="KaiTi_GB2312" w:hint="eastAsia"/>
                <w:sz w:val="23"/>
                <w:szCs w:val="23"/>
                <w:lang w:val="es-ES" w:eastAsia="es-ES"/>
              </w:rPr>
              <w:t>提要</w:t>
            </w:r>
          </w:p>
        </w:tc>
      </w:tr>
      <w:tr w:rsidR="00C229BC">
        <w:tc>
          <w:tcPr>
            <w:tcW w:w="9639" w:type="dxa"/>
            <w:tcBorders>
              <w:top w:val="nil"/>
              <w:left w:val="single" w:sz="4" w:space="0" w:color="auto"/>
              <w:bottom w:val="nil"/>
              <w:right w:val="single" w:sz="4" w:space="0" w:color="auto"/>
            </w:tcBorders>
            <w:noWrap/>
            <w:tcMar>
              <w:left w:w="0" w:type="dxa"/>
              <w:right w:w="0" w:type="dxa"/>
            </w:tcMar>
          </w:tcPr>
          <w:p w:rsidR="00C229BC" w:rsidRPr="00C229BC" w:rsidRDefault="00C229BC">
            <w:pPr>
              <w:pStyle w:val="SingleTxtGC"/>
              <w:rPr>
                <w:lang w:val="es-ES"/>
              </w:rPr>
            </w:pPr>
            <w:r>
              <w:rPr>
                <w:lang w:val="es-ES"/>
              </w:rPr>
              <w:tab/>
            </w:r>
            <w:r w:rsidRPr="00C229BC">
              <w:rPr>
                <w:rFonts w:hint="eastAsia"/>
                <w:lang w:val="es-ES"/>
              </w:rPr>
              <w:t>依照《消除对妇女一切形式歧视公约》第二十二条，请各专门机构就其机构活动范围各领域执行《公约》的情况，向消除对妇女歧视委员会第五十一届会议提交报告。</w:t>
            </w:r>
          </w:p>
        </w:tc>
      </w:tr>
      <w:tr w:rsidR="00C229BC">
        <w:tc>
          <w:tcPr>
            <w:tcW w:w="9639" w:type="dxa"/>
            <w:tcBorders>
              <w:top w:val="nil"/>
              <w:left w:val="single" w:sz="4" w:space="0" w:color="auto"/>
              <w:bottom w:val="single" w:sz="4" w:space="0" w:color="auto"/>
              <w:right w:val="single" w:sz="4" w:space="0" w:color="auto"/>
            </w:tcBorders>
            <w:noWrap/>
            <w:tcMar>
              <w:left w:w="0" w:type="dxa"/>
              <w:right w:w="0" w:type="dxa"/>
            </w:tcMar>
          </w:tcPr>
          <w:p w:rsidR="00C229BC" w:rsidRDefault="00C229BC">
            <w:pPr>
              <w:tabs>
                <w:tab w:val="left" w:pos="431"/>
                <w:tab w:val="left" w:pos="1134"/>
                <w:tab w:val="left" w:pos="1565"/>
                <w:tab w:val="left" w:pos="1996"/>
                <w:tab w:val="left" w:pos="2427"/>
              </w:tabs>
              <w:spacing w:line="320" w:lineRule="atLeast"/>
              <w:ind w:left="1134" w:right="1134"/>
              <w:rPr>
                <w:rFonts w:ascii="SimSun" w:hAnsi="SimSun"/>
                <w:lang w:val="es-ES"/>
              </w:rPr>
            </w:pPr>
          </w:p>
        </w:tc>
      </w:tr>
    </w:tbl>
    <w:p w:rsidR="00960FB2" w:rsidRDefault="00960FB2">
      <w:pPr>
        <w:tabs>
          <w:tab w:val="right" w:pos="8789"/>
          <w:tab w:val="right" w:pos="9639"/>
        </w:tabs>
        <w:spacing w:after="120"/>
        <w:ind w:left="488"/>
        <w:rPr>
          <w:rFonts w:eastAsia="KaiTi_GB2312" w:hint="eastAsia"/>
          <w:sz w:val="23"/>
          <w:szCs w:val="23"/>
        </w:rPr>
      </w:pPr>
    </w:p>
    <w:p w:rsidR="00C229BC" w:rsidRDefault="00ED539D" w:rsidP="00E573F8">
      <w:pPr>
        <w:pStyle w:val="HChGC"/>
        <w:rPr>
          <w:rFonts w:hint="eastAsia"/>
        </w:rPr>
      </w:pPr>
      <w:r>
        <w:br w:type="page"/>
      </w:r>
      <w:r w:rsidR="00C229BC">
        <w:rPr>
          <w:rFonts w:hint="eastAsia"/>
        </w:rPr>
        <w:t>导言</w:t>
      </w:r>
    </w:p>
    <w:p w:rsidR="00C229BC" w:rsidRDefault="00C229BC" w:rsidP="00E573F8">
      <w:pPr>
        <w:pStyle w:val="SingleTxtGC"/>
        <w:rPr>
          <w:rFonts w:hint="eastAsia"/>
        </w:rPr>
      </w:pPr>
      <w:r>
        <w:rPr>
          <w:rFonts w:hint="eastAsia"/>
        </w:rPr>
        <w:t xml:space="preserve">1.  </w:t>
      </w:r>
      <w:r>
        <w:rPr>
          <w:rFonts w:hint="eastAsia"/>
        </w:rPr>
        <w:t>消除对妇女歧视委员会第五十一届会议将审查下列国家的国家报告：阿尔及利亚、巴西、刚果、格林纳达、约旦、挪威和津巴布韦。</w:t>
      </w:r>
    </w:p>
    <w:p w:rsidR="00C229BC" w:rsidRDefault="00C229BC" w:rsidP="00E573F8">
      <w:pPr>
        <w:pStyle w:val="SingleTxtGC"/>
        <w:rPr>
          <w:rFonts w:hint="eastAsia"/>
        </w:rPr>
      </w:pPr>
      <w:r>
        <w:rPr>
          <w:rFonts w:hint="eastAsia"/>
        </w:rPr>
        <w:t xml:space="preserve">2.  </w:t>
      </w:r>
      <w:r>
        <w:rPr>
          <w:rFonts w:hint="eastAsia"/>
        </w:rPr>
        <w:t>联合国教育、科学及文化组织</w:t>
      </w:r>
      <w:r>
        <w:rPr>
          <w:rFonts w:hint="eastAsia"/>
        </w:rPr>
        <w:t>(</w:t>
      </w:r>
      <w:r>
        <w:rPr>
          <w:rFonts w:hint="eastAsia"/>
        </w:rPr>
        <w:t>教科文组织</w:t>
      </w:r>
      <w:r>
        <w:rPr>
          <w:rFonts w:hint="eastAsia"/>
        </w:rPr>
        <w:t>)</w:t>
      </w:r>
      <w:r>
        <w:rPr>
          <w:rFonts w:hint="eastAsia"/>
        </w:rPr>
        <w:t>作为一个专门机构，通过教育、科学、文化、宣传和信息，促进和平建设、消除贫困、可持续发展和文化间对话。按照教科文组织</w:t>
      </w:r>
      <w:r>
        <w:rPr>
          <w:rFonts w:hint="eastAsia"/>
        </w:rPr>
        <w:t>2008-2013</w:t>
      </w:r>
      <w:r>
        <w:rPr>
          <w:rFonts w:hint="eastAsia"/>
        </w:rPr>
        <w:t>年中期战略，两性平等被确定为该组织的两项全球优先事项之一。“性别平等优先事项”采取双管齐下的办法：</w:t>
      </w:r>
      <w:r>
        <w:rPr>
          <w:rFonts w:hint="eastAsia"/>
        </w:rPr>
        <w:t>(a)</w:t>
      </w:r>
      <w:r w:rsidR="00E573F8">
        <w:t xml:space="preserve"> </w:t>
      </w:r>
      <w:r>
        <w:rPr>
          <w:rFonts w:hint="eastAsia"/>
        </w:rPr>
        <w:t>针对不同性别的方案编制；</w:t>
      </w:r>
      <w:r>
        <w:rPr>
          <w:rFonts w:hint="eastAsia"/>
        </w:rPr>
        <w:t xml:space="preserve">(b) </w:t>
      </w:r>
      <w:r>
        <w:rPr>
          <w:rFonts w:hint="eastAsia"/>
        </w:rPr>
        <w:t>将性别问题纳入教科文组织所有主管领域的主流。</w:t>
      </w:r>
    </w:p>
    <w:p w:rsidR="00C229BC" w:rsidRDefault="00C229BC" w:rsidP="00E573F8">
      <w:pPr>
        <w:pStyle w:val="SingleTxtGC"/>
        <w:rPr>
          <w:rFonts w:hint="eastAsia"/>
        </w:rPr>
      </w:pPr>
      <w:r>
        <w:rPr>
          <w:rFonts w:hint="eastAsia"/>
        </w:rPr>
        <w:t xml:space="preserve">3.  </w:t>
      </w:r>
      <w:r>
        <w:rPr>
          <w:rFonts w:hint="eastAsia"/>
        </w:rPr>
        <w:t>在联合国系统内，教科文组织在执行《消除对妇女一切形式歧视公约》方面发挥重要作用并承担重大责任，该公约规定：“缔约各国应采取一切适当措施以消除对妇女的歧视，以保证妇女在教育方面享有与男子平等的权利”</w:t>
      </w:r>
      <w:r>
        <w:rPr>
          <w:rFonts w:hint="eastAsia"/>
        </w:rPr>
        <w:t>(</w:t>
      </w:r>
      <w:r>
        <w:rPr>
          <w:rFonts w:hint="eastAsia"/>
        </w:rPr>
        <w:t>第十条</w:t>
      </w:r>
      <w:r>
        <w:rPr>
          <w:rFonts w:hint="eastAsia"/>
        </w:rPr>
        <w:t>)</w:t>
      </w:r>
      <w:r>
        <w:rPr>
          <w:rFonts w:hint="eastAsia"/>
        </w:rPr>
        <w:t>。受教育的权利是教科文组织使命的核心，是其根本任务的组成部分。教科文组织执行《取缔教育歧视公约》</w:t>
      </w:r>
      <w:r>
        <w:rPr>
          <w:rFonts w:hint="eastAsia"/>
        </w:rPr>
        <w:t>(1960</w:t>
      </w:r>
      <w:r>
        <w:rPr>
          <w:rFonts w:hint="eastAsia"/>
        </w:rPr>
        <w:t>年</w:t>
      </w:r>
      <w:r>
        <w:rPr>
          <w:rFonts w:hint="eastAsia"/>
        </w:rPr>
        <w:t>)</w:t>
      </w:r>
      <w:r>
        <w:rPr>
          <w:rFonts w:hint="eastAsia"/>
        </w:rPr>
        <w:t>的规范行动，有助于促进男孩和女孩的教育机会平等。女孩和妇女的基础教育也是国际二十一世纪教育委员会提出的教育远景设想的重要要素，在其提交给教科文组织的报告《学习：内在财富》</w:t>
      </w:r>
      <w:r>
        <w:rPr>
          <w:rFonts w:hint="eastAsia"/>
        </w:rPr>
        <w:t>(1996</w:t>
      </w:r>
      <w:r>
        <w:rPr>
          <w:rFonts w:hint="eastAsia"/>
        </w:rPr>
        <w:t>年</w:t>
      </w:r>
      <w:r>
        <w:rPr>
          <w:rFonts w:hint="eastAsia"/>
        </w:rPr>
        <w:t>)</w:t>
      </w:r>
      <w:r>
        <w:rPr>
          <w:rFonts w:hint="eastAsia"/>
        </w:rPr>
        <w:t>中阐述如下：“教育是一项人权，是实现平等、发展与和平目标的一个重要工具。”“全民教育”行动是一项全球承诺，旨在为所有女孩和男孩、妇女和男子提供高质量的基础教育。《达喀尔行动框架》要求教科文组织与达喀尔论坛的另外四个主办方</w:t>
      </w:r>
      <w:r>
        <w:rPr>
          <w:rFonts w:hint="eastAsia"/>
        </w:rPr>
        <w:t>(</w:t>
      </w:r>
      <w:r>
        <w:rPr>
          <w:rFonts w:hint="eastAsia"/>
        </w:rPr>
        <w:t>联合国开发计划署、联合国人口基金、儿童基金会和世界银行</w:t>
      </w:r>
      <w:r>
        <w:rPr>
          <w:rFonts w:hint="eastAsia"/>
        </w:rPr>
        <w:t>)</w:t>
      </w:r>
      <w:r>
        <w:rPr>
          <w:rFonts w:hint="eastAsia"/>
        </w:rPr>
        <w:t>合作协调这些伙伴关系，教科文组织的活动重点关注五个关键领域：政策对话、监测、宣传、促进筹资以及能力发展。</w:t>
      </w:r>
    </w:p>
    <w:p w:rsidR="00C229BC" w:rsidRDefault="00C229BC" w:rsidP="00E573F8">
      <w:pPr>
        <w:pStyle w:val="SingleTxtGC"/>
        <w:rPr>
          <w:rFonts w:hint="eastAsia"/>
        </w:rPr>
      </w:pPr>
      <w:r>
        <w:rPr>
          <w:rFonts w:hint="eastAsia"/>
        </w:rPr>
        <w:t xml:space="preserve">4.  </w:t>
      </w:r>
      <w:r>
        <w:rPr>
          <w:rFonts w:hint="eastAsia"/>
        </w:rPr>
        <w:t>教科文组织在努力促进妇女赋权、妇女权利和两性平等方面的指导性文献是《消除对妇女一切形式歧视公约》、《北京行动纲领》、与教科文组织行动领域有关的各项决议以及国际和区域文书、教科文组织</w:t>
      </w:r>
      <w:r>
        <w:rPr>
          <w:rFonts w:hint="eastAsia"/>
        </w:rPr>
        <w:t>2008-2013</w:t>
      </w:r>
      <w:r>
        <w:rPr>
          <w:rFonts w:hint="eastAsia"/>
        </w:rPr>
        <w:t>年中期战略、教科文组织半年期方案和预算文件，以及支持和指导教科文组织实施全球性“性别平等优先事项”的全组织范围的“</w:t>
      </w:r>
      <w:r>
        <w:rPr>
          <w:rFonts w:hint="eastAsia"/>
        </w:rPr>
        <w:t>2008-2013</w:t>
      </w:r>
      <w:r>
        <w:rPr>
          <w:rFonts w:hint="eastAsia"/>
        </w:rPr>
        <w:t>年性别平等优先事项行动计划”。</w:t>
      </w:r>
    </w:p>
    <w:p w:rsidR="00C229BC" w:rsidRDefault="00C229BC" w:rsidP="00E573F8">
      <w:pPr>
        <w:pStyle w:val="SingleTxtGC"/>
        <w:rPr>
          <w:rFonts w:hint="eastAsia"/>
        </w:rPr>
      </w:pPr>
      <w:r>
        <w:rPr>
          <w:rFonts w:hint="eastAsia"/>
        </w:rPr>
        <w:t xml:space="preserve">5.  </w:t>
      </w:r>
      <w:r>
        <w:rPr>
          <w:rFonts w:hint="eastAsia"/>
        </w:rPr>
        <w:t>总干事办公室两性平等司负责推进教科文组织对促进妇女赋权、妇女权利和两性平等的承诺。作为教科文组织性别平等问题的联络点，该司在秘书处内部提供政策指导和建议，开展能力建设活动，协调前沿政策研究，以便向会员国提供明智的政策咨询。该司还对教科文组织秘书处内部的性别平衡状况进行监督。</w:t>
      </w:r>
    </w:p>
    <w:p w:rsidR="00C229BC" w:rsidRDefault="00C229BC" w:rsidP="00E573F8">
      <w:pPr>
        <w:pStyle w:val="HChGC"/>
        <w:rPr>
          <w:rFonts w:hint="eastAsia"/>
        </w:rPr>
      </w:pPr>
      <w:r>
        <w:rPr>
          <w:rFonts w:hint="eastAsia"/>
        </w:rPr>
        <w:tab/>
      </w:r>
      <w:r>
        <w:rPr>
          <w:rFonts w:hint="eastAsia"/>
        </w:rPr>
        <w:t>二</w:t>
      </w:r>
      <w:r>
        <w:rPr>
          <w:rFonts w:hint="eastAsia"/>
        </w:rPr>
        <w:t>.</w:t>
      </w:r>
      <w:r>
        <w:rPr>
          <w:rFonts w:hint="eastAsia"/>
        </w:rPr>
        <w:tab/>
      </w:r>
      <w:r>
        <w:rPr>
          <w:rFonts w:hint="eastAsia"/>
        </w:rPr>
        <w:t>教科文组织在第五十一届会议将审议的国家里为执行《公约》条款所采取的措施</w:t>
      </w:r>
    </w:p>
    <w:p w:rsidR="00C229BC" w:rsidRDefault="00C229BC" w:rsidP="00E573F8">
      <w:pPr>
        <w:pStyle w:val="H1GC"/>
        <w:rPr>
          <w:rFonts w:hint="eastAsia"/>
        </w:rPr>
      </w:pPr>
      <w:r>
        <w:rPr>
          <w:rFonts w:hint="eastAsia"/>
        </w:rPr>
        <w:tab/>
      </w:r>
      <w:r>
        <w:rPr>
          <w:rFonts w:hint="eastAsia"/>
        </w:rPr>
        <w:tab/>
      </w:r>
      <w:r>
        <w:rPr>
          <w:rFonts w:hint="eastAsia"/>
        </w:rPr>
        <w:t>阿尔及利亚</w:t>
      </w:r>
    </w:p>
    <w:p w:rsidR="00C229BC" w:rsidRDefault="00C229BC" w:rsidP="00E573F8">
      <w:pPr>
        <w:pStyle w:val="SingleTxtGC"/>
        <w:rPr>
          <w:rFonts w:hint="eastAsia"/>
        </w:rPr>
      </w:pPr>
      <w:r>
        <w:rPr>
          <w:rFonts w:hint="eastAsia"/>
        </w:rPr>
        <w:t xml:space="preserve">6.  </w:t>
      </w:r>
      <w:r>
        <w:rPr>
          <w:rFonts w:hint="eastAsia"/>
        </w:rPr>
        <w:t>教科文组织</w:t>
      </w:r>
      <w:r>
        <w:rPr>
          <w:rFonts w:hint="eastAsia"/>
        </w:rPr>
        <w:t>/</w:t>
      </w:r>
      <w:r>
        <w:rPr>
          <w:rFonts w:hint="eastAsia"/>
        </w:rPr>
        <w:t>伊斯兰教科文组织</w:t>
      </w:r>
      <w:r>
        <w:rPr>
          <w:rFonts w:hint="eastAsia"/>
        </w:rPr>
        <w:t>(</w:t>
      </w:r>
      <w:r>
        <w:rPr>
          <w:rFonts w:hint="eastAsia"/>
        </w:rPr>
        <w:t>伊斯兰教育、科学和文化组织</w:t>
      </w:r>
      <w:r>
        <w:rPr>
          <w:rFonts w:hint="eastAsia"/>
        </w:rPr>
        <w:t>)</w:t>
      </w:r>
      <w:r>
        <w:rPr>
          <w:rFonts w:hint="eastAsia"/>
        </w:rPr>
        <w:t>于</w:t>
      </w:r>
      <w:r>
        <w:rPr>
          <w:rFonts w:hint="eastAsia"/>
        </w:rPr>
        <w:t>2006</w:t>
      </w:r>
      <w:r>
        <w:rPr>
          <w:rFonts w:hint="eastAsia"/>
        </w:rPr>
        <w:t>年</w:t>
      </w:r>
      <w:r>
        <w:rPr>
          <w:rFonts w:hint="eastAsia"/>
        </w:rPr>
        <w:t>3</w:t>
      </w:r>
      <w:r>
        <w:rPr>
          <w:rFonts w:hint="eastAsia"/>
        </w:rPr>
        <w:t>月在拉巴特推出了关于经济、社会和文化权利的阿拉伯政策研究网络（阿拉伯政策研究网）。</w:t>
      </w:r>
      <w:r>
        <w:rPr>
          <w:rFonts w:hint="eastAsia"/>
        </w:rPr>
        <w:t>26</w:t>
      </w:r>
      <w:r>
        <w:rPr>
          <w:rFonts w:hint="eastAsia"/>
        </w:rPr>
        <w:t>个创始成员包括国家人权组织、大学和研究机构，教科文组织的不同教职以及阿尔及利亚、埃及、利比亚、毛里塔尼亚、摩洛哥和突尼斯的非政府组织，这些创始成员将文化权利确定为研究的优先事项。文化权方针还考虑了处境脆弱的群体成员，即妇女的文化建设。阿拉伯政策研究网自创办以来一直努力促进妇女自由和平等地参与文化生活的权利，宣传侵犯文化权和针对妇女的做法为非法，并努力消除这些做法。一本题为“马格里布和埃及的文化权状况”的书可在</w:t>
      </w:r>
      <w:r>
        <w:rPr>
          <w:rFonts w:hint="eastAsia"/>
        </w:rPr>
        <w:t>http://unesdoc.unesco.org/images/0019/001900/190009F.pdf</w:t>
      </w:r>
      <w:r>
        <w:rPr>
          <w:rFonts w:hint="eastAsia"/>
        </w:rPr>
        <w:t>上查阅。</w:t>
      </w:r>
    </w:p>
    <w:p w:rsidR="00C229BC" w:rsidRDefault="00C229BC" w:rsidP="00E573F8">
      <w:pPr>
        <w:pStyle w:val="SingleTxtGC"/>
        <w:rPr>
          <w:rFonts w:hint="eastAsia"/>
        </w:rPr>
      </w:pPr>
      <w:r>
        <w:rPr>
          <w:rFonts w:hint="eastAsia"/>
        </w:rPr>
        <w:t xml:space="preserve">7.  </w:t>
      </w:r>
      <w:r>
        <w:rPr>
          <w:rFonts w:hint="eastAsia"/>
        </w:rPr>
        <w:t>教科文组织的“社区多媒体中心国际倡议”</w:t>
      </w:r>
      <w:r>
        <w:rPr>
          <w:rFonts w:hint="eastAsia"/>
        </w:rPr>
        <w:t>(</w:t>
      </w:r>
      <w:r>
        <w:rPr>
          <w:rFonts w:hint="eastAsia"/>
        </w:rPr>
        <w:t>社区多媒体中心</w:t>
      </w:r>
      <w:r>
        <w:rPr>
          <w:rFonts w:hint="eastAsia"/>
        </w:rPr>
        <w:t>)</w:t>
      </w:r>
      <w:r>
        <w:rPr>
          <w:rFonts w:hint="eastAsia"/>
        </w:rPr>
        <w:t>旨在通过将社区广播与互联网相关技术结合的方式，促进对社区的赋权，处理数字鸿沟问题。社区多媒体中心方案为解决发展中国家以及转型国家最贫困社区的数字鸿沟问题提供了一项全球战略。教科文组织拉巴特办事处启动了题为“培训阿尔及利亚女记者”的项目，旨在通过为女记者提供培训课程，缩小媒体部门的性别差异。培训课程将向妇女传授编辑、专题报导、采访和现场辩论的新技巧，为她们提供互联网和远程学习机会，从而帮助她们获益于信息技术革命。此外，该项目还将推动有关充实媒体方案内容的思考，以及促进该地区女记者之间的交流。拉巴特办事处还推出了一份题为“马格里布地区妇女和广播”的指导手册，用于帮助电台所有者、管理人员和制作人制作对性别敏感的内容，减少其节目中的偏见。该指导手册以及</w:t>
      </w:r>
      <w:r>
        <w:rPr>
          <w:rFonts w:hint="eastAsia"/>
        </w:rPr>
        <w:t>2010</w:t>
      </w:r>
      <w:r>
        <w:rPr>
          <w:rFonts w:hint="eastAsia"/>
        </w:rPr>
        <w:t>年首次发布的“马格里布地区妇女与电视”将作为“培训阿尔及利亚女记者”项目的参考资料。</w:t>
      </w:r>
    </w:p>
    <w:p w:rsidR="00C229BC" w:rsidRDefault="00C229BC" w:rsidP="00E573F8">
      <w:pPr>
        <w:pStyle w:val="H1GC"/>
        <w:rPr>
          <w:rFonts w:hint="eastAsia"/>
        </w:rPr>
      </w:pPr>
      <w:r>
        <w:rPr>
          <w:rFonts w:hint="eastAsia"/>
        </w:rPr>
        <w:tab/>
      </w:r>
      <w:r>
        <w:rPr>
          <w:rFonts w:hint="eastAsia"/>
        </w:rPr>
        <w:tab/>
      </w:r>
      <w:r>
        <w:rPr>
          <w:rFonts w:hint="eastAsia"/>
        </w:rPr>
        <w:t>巴西</w:t>
      </w:r>
    </w:p>
    <w:p w:rsidR="00C229BC" w:rsidRDefault="00C229BC" w:rsidP="00E573F8">
      <w:pPr>
        <w:pStyle w:val="SingleTxtGC"/>
        <w:rPr>
          <w:rFonts w:hint="eastAsia"/>
        </w:rPr>
      </w:pPr>
      <w:r>
        <w:rPr>
          <w:rFonts w:hint="eastAsia"/>
        </w:rPr>
        <w:t xml:space="preserve">8.  </w:t>
      </w:r>
      <w:r>
        <w:rPr>
          <w:rFonts w:hint="eastAsia"/>
        </w:rPr>
        <w:t>教科文组织的小册子“平等通行证”介绍了《消除对妇女一切形式歧视公约》的条款，该手册已译为葡萄牙语，由教科文组织巴西办事处向学校、大学及妇女团体和协会广泛分发。“平等通行证”已译为超过</w:t>
      </w:r>
      <w:r>
        <w:rPr>
          <w:rFonts w:hint="eastAsia"/>
        </w:rPr>
        <w:t>22</w:t>
      </w:r>
      <w:r>
        <w:rPr>
          <w:rFonts w:hint="eastAsia"/>
        </w:rPr>
        <w:t>种语言。</w:t>
      </w:r>
    </w:p>
    <w:p w:rsidR="00C229BC" w:rsidRDefault="00C229BC" w:rsidP="00E573F8">
      <w:pPr>
        <w:pStyle w:val="SingleTxtGC"/>
        <w:rPr>
          <w:rFonts w:hint="eastAsia"/>
        </w:rPr>
      </w:pPr>
      <w:r>
        <w:rPr>
          <w:rFonts w:hint="eastAsia"/>
        </w:rPr>
        <w:t xml:space="preserve">9.  </w:t>
      </w:r>
      <w:r>
        <w:rPr>
          <w:rFonts w:hint="eastAsia"/>
        </w:rPr>
        <w:t>教科文组织在与巴西教育部建立的长期合作伙伴关系框架内，与教育部合作制定了年度工作计划，以支持巴西教育政策的实施。根据该协议，教科文组织还执行了题为“巴西－非洲：跨越历史”项目，旨在提高巴西学校男女学生对非洲历史和文化的重要性的认识，通过基于教育和文化的积极活动和实际练习，处理种族主义和歧视问题。</w:t>
      </w:r>
    </w:p>
    <w:p w:rsidR="00C229BC" w:rsidRDefault="00C229BC" w:rsidP="00E573F8">
      <w:pPr>
        <w:pStyle w:val="SingleTxtGC"/>
        <w:rPr>
          <w:rFonts w:hint="eastAsia"/>
        </w:rPr>
      </w:pPr>
      <w:r>
        <w:rPr>
          <w:rFonts w:hint="eastAsia"/>
        </w:rPr>
        <w:t xml:space="preserve">10.  </w:t>
      </w:r>
      <w:r>
        <w:rPr>
          <w:rFonts w:hint="eastAsia"/>
        </w:rPr>
        <w:t>在国家“欧莱雅－教科文组织妇女参与科学奖方案”的框架下，由巴西科学院、教科文组织和欧莱雅公司成员组成的评委会每年挑选七名巴西女科学家，每名科学家收到</w:t>
      </w:r>
      <w:r>
        <w:rPr>
          <w:rFonts w:hint="eastAsia"/>
        </w:rPr>
        <w:t>2</w:t>
      </w:r>
      <w:r>
        <w:rPr>
          <w:rFonts w:hint="eastAsia"/>
        </w:rPr>
        <w:t>万美元的研究金，用于支持其研究项目。</w:t>
      </w:r>
    </w:p>
    <w:p w:rsidR="00C229BC" w:rsidRDefault="00C229BC" w:rsidP="00E573F8">
      <w:pPr>
        <w:pStyle w:val="SingleTxtGC"/>
        <w:rPr>
          <w:rFonts w:hint="eastAsia"/>
        </w:rPr>
      </w:pPr>
      <w:r>
        <w:rPr>
          <w:rFonts w:hint="eastAsia"/>
        </w:rPr>
        <w:t xml:space="preserve">11.  </w:t>
      </w:r>
      <w:r>
        <w:rPr>
          <w:rFonts w:hint="eastAsia"/>
        </w:rPr>
        <w:t>教科文组织驻巴西办事处近来为卫生和教育专业人员设计了一个电子培训课程。其中一个模块专门讨论“两性问题以及青少年和青年女性的性权利和生殖权利”。该课程将提供给</w:t>
      </w:r>
      <w:r>
        <w:rPr>
          <w:rFonts w:hint="eastAsia"/>
        </w:rPr>
        <w:t>4</w:t>
      </w:r>
      <w:r>
        <w:rPr>
          <w:rFonts w:hint="eastAsia"/>
        </w:rPr>
        <w:t>万名从事初等和中等教育的教师。</w:t>
      </w:r>
    </w:p>
    <w:p w:rsidR="00C229BC" w:rsidRDefault="00C229BC" w:rsidP="00E573F8">
      <w:pPr>
        <w:pStyle w:val="SingleTxtGC"/>
        <w:rPr>
          <w:rFonts w:hint="eastAsia"/>
        </w:rPr>
      </w:pPr>
      <w:r>
        <w:rPr>
          <w:rFonts w:hint="eastAsia"/>
        </w:rPr>
        <w:t xml:space="preserve">12.  </w:t>
      </w:r>
      <w:r>
        <w:rPr>
          <w:rFonts w:hint="eastAsia"/>
        </w:rPr>
        <w:t>教科文组织和巴西政府共同设计了一些漫画书、教师指南和</w:t>
      </w:r>
      <w:r>
        <w:rPr>
          <w:rFonts w:hint="eastAsia"/>
        </w:rPr>
        <w:t xml:space="preserve">CD, </w:t>
      </w:r>
      <w:r>
        <w:rPr>
          <w:rFonts w:hint="eastAsia"/>
        </w:rPr>
        <w:t>涉及的问题包括艾滋病毒和艾滋病、性别平等、性权利和生殖权利、人权，以及预防酒精和其他药物问题等。这些资料已在巴西的</w:t>
      </w:r>
      <w:r>
        <w:rPr>
          <w:rFonts w:hint="eastAsia"/>
        </w:rPr>
        <w:t>4</w:t>
      </w:r>
      <w:r>
        <w:rPr>
          <w:rFonts w:hint="eastAsia"/>
        </w:rPr>
        <w:t>万所公立学校进行分发。此外，教科文组织正在葡萄牙语国家举办有关“受艾滋病毒和艾滋病影响的妇女”的会议</w:t>
      </w:r>
      <w:r>
        <w:rPr>
          <w:rFonts w:hint="eastAsia"/>
        </w:rPr>
        <w:t>(</w:t>
      </w:r>
      <w:r>
        <w:rPr>
          <w:rFonts w:hint="eastAsia"/>
        </w:rPr>
        <w:t>“</w:t>
      </w:r>
      <w:r>
        <w:rPr>
          <w:rFonts w:hint="eastAsia"/>
        </w:rPr>
        <w:t>Saber para Reagir</w:t>
      </w:r>
      <w:r>
        <w:rPr>
          <w:rFonts w:hint="eastAsia"/>
        </w:rPr>
        <w:t>”</w:t>
      </w:r>
      <w:r>
        <w:rPr>
          <w:rFonts w:hint="eastAsia"/>
        </w:rPr>
        <w:t>)</w:t>
      </w:r>
      <w:r>
        <w:rPr>
          <w:rFonts w:hint="eastAsia"/>
        </w:rPr>
        <w:t>。</w:t>
      </w:r>
      <w:r>
        <w:rPr>
          <w:rFonts w:hint="eastAsia"/>
        </w:rPr>
        <w:t>2010</w:t>
      </w:r>
      <w:r>
        <w:rPr>
          <w:rFonts w:hint="eastAsia"/>
        </w:rPr>
        <w:t>年在巴西和安哥拉举办了两次会议，</w:t>
      </w:r>
      <w:r>
        <w:rPr>
          <w:rFonts w:hint="eastAsia"/>
        </w:rPr>
        <w:t>2012</w:t>
      </w:r>
      <w:r>
        <w:rPr>
          <w:rFonts w:hint="eastAsia"/>
        </w:rPr>
        <w:t>年计划在巴西和非洲国家再举办七次会议。</w:t>
      </w:r>
    </w:p>
    <w:p w:rsidR="00C229BC" w:rsidRDefault="00C229BC" w:rsidP="00E573F8">
      <w:pPr>
        <w:pStyle w:val="SingleTxtGC"/>
        <w:rPr>
          <w:rFonts w:hint="eastAsia"/>
        </w:rPr>
      </w:pPr>
      <w:r>
        <w:rPr>
          <w:rFonts w:hint="eastAsia"/>
        </w:rPr>
        <w:t xml:space="preserve">13.  </w:t>
      </w:r>
      <w:r>
        <w:rPr>
          <w:rFonts w:hint="eastAsia"/>
        </w:rPr>
        <w:t>教科文组织驻巴西办事处和教科文组织非洲区域教育局</w:t>
      </w:r>
      <w:r>
        <w:rPr>
          <w:rFonts w:hint="eastAsia"/>
        </w:rPr>
        <w:t>(</w:t>
      </w:r>
      <w:r>
        <w:rPr>
          <w:rFonts w:hint="eastAsia"/>
        </w:rPr>
        <w:t>非洲区域教育局</w:t>
      </w:r>
      <w:r>
        <w:rPr>
          <w:rFonts w:hint="eastAsia"/>
        </w:rPr>
        <w:t>)</w:t>
      </w:r>
      <w:r>
        <w:rPr>
          <w:rFonts w:hint="eastAsia"/>
        </w:rPr>
        <w:t>正在为来自葡萄牙语非洲国家的从事基础教育的教师举办有关“人权和性权利及生殖权利”的培训研讨会。迄今为止已分别在佛得角和几内亚比绍举办了一次培训研讨会。讨论的主题包括女性外阴残割、艾滋病毒的传播、暴力侵害妇女和性别多样性等。</w:t>
      </w:r>
    </w:p>
    <w:p w:rsidR="00C229BC" w:rsidRPr="00B40F8D" w:rsidRDefault="00C229BC" w:rsidP="00E573F8">
      <w:pPr>
        <w:pStyle w:val="SingleTxtGC"/>
        <w:rPr>
          <w:rFonts w:hint="eastAsia"/>
        </w:rPr>
      </w:pPr>
      <w:r>
        <w:rPr>
          <w:rFonts w:hint="eastAsia"/>
        </w:rPr>
        <w:t xml:space="preserve">14.  </w:t>
      </w:r>
      <w:r>
        <w:rPr>
          <w:rFonts w:hint="eastAsia"/>
        </w:rPr>
        <w:t>教科文组织的“社区多媒体中心国际倡议”</w:t>
      </w:r>
      <w:r>
        <w:rPr>
          <w:rFonts w:hint="eastAsia"/>
        </w:rPr>
        <w:t>(</w:t>
      </w:r>
      <w:r>
        <w:rPr>
          <w:rFonts w:hint="eastAsia"/>
        </w:rPr>
        <w:t>多媒体中心倡议</w:t>
      </w:r>
      <w:r>
        <w:rPr>
          <w:rFonts w:hint="eastAsia"/>
        </w:rPr>
        <w:t>)</w:t>
      </w:r>
      <w:r>
        <w:rPr>
          <w:rFonts w:hint="eastAsia"/>
        </w:rPr>
        <w:t>框架旨在通过将社区广播与互联网相关技术结合的方式，促进对社区的赋权，处理数字鸿沟问题，巴西在该框架下执行了题为“通过广播与互联网加强妇女在社区发展中的领导地位”的项目。为了增加妇女的电信知识，促进她们积极参与内容的制作与决策，已为</w:t>
      </w:r>
      <w:r>
        <w:rPr>
          <w:rFonts w:hint="eastAsia"/>
        </w:rPr>
        <w:t>13</w:t>
      </w:r>
      <w:r>
        <w:rPr>
          <w:rFonts w:hint="eastAsia"/>
        </w:rPr>
        <w:t>个社区广播电台配备了电脑和互联网联接。主要的目标听众为广播覆盖面不足和边缘化农村地区的女性听众，以及没有互联网连接的偏远农村地区的女性听众。第二类目标听众为可使用互联网以及可通过地方电台收听广播节目的女性和整个社区。</w:t>
      </w:r>
    </w:p>
    <w:p w:rsidR="00C229BC" w:rsidRDefault="00C229BC" w:rsidP="00E573F8">
      <w:pPr>
        <w:pStyle w:val="SingleTxtGC"/>
        <w:rPr>
          <w:rFonts w:hint="eastAsia"/>
        </w:rPr>
      </w:pPr>
      <w:r>
        <w:rPr>
          <w:rFonts w:hint="eastAsia"/>
        </w:rPr>
        <w:t xml:space="preserve">15.  </w:t>
      </w:r>
      <w:r>
        <w:rPr>
          <w:rFonts w:hint="eastAsia"/>
        </w:rPr>
        <w:t>另一社区多媒体中心项目为“预防妇女参与有组织武装暴力行为”。该项目旨在提高有关妇女和武装暴力行为、人类安全和发展问题的报道的质量与数量，项目内容包括：</w:t>
      </w:r>
      <w:r>
        <w:rPr>
          <w:rFonts w:hint="eastAsia"/>
        </w:rPr>
        <w:t xml:space="preserve">(a) </w:t>
      </w:r>
      <w:r>
        <w:rPr>
          <w:rFonts w:hint="eastAsia"/>
        </w:rPr>
        <w:t>制作有关里约妇女和有组织武装暴力事件的准确资料和分析，供电视、广播、报纸和电子媒体等媒体机构发布；</w:t>
      </w:r>
      <w:r>
        <w:rPr>
          <w:rFonts w:hint="eastAsia"/>
        </w:rPr>
        <w:t xml:space="preserve">(b) </w:t>
      </w:r>
      <w:r>
        <w:rPr>
          <w:rFonts w:hint="eastAsia"/>
        </w:rPr>
        <w:t>为受影响社区的妇女提供培训，以建设媒体宣传能力，发展与所有媒体记者合作的技能，并考虑安全因素；</w:t>
      </w:r>
      <w:r>
        <w:rPr>
          <w:rFonts w:hint="eastAsia"/>
        </w:rPr>
        <w:t xml:space="preserve">(c) </w:t>
      </w:r>
      <w:r>
        <w:rPr>
          <w:rFonts w:hint="eastAsia"/>
        </w:rPr>
        <w:t>为致力于妇女问题的民间社会组织的代表提供培训，以统一发布信息，提高媒体对女性和武装犯罪问题的关注；</w:t>
      </w:r>
      <w:r>
        <w:rPr>
          <w:rFonts w:hint="eastAsia"/>
        </w:rPr>
        <w:t xml:space="preserve">(d) </w:t>
      </w:r>
      <w:r>
        <w:rPr>
          <w:rFonts w:hint="eastAsia"/>
        </w:rPr>
        <w:t>为在里约工作的记者，尤其是妇女提供培训课程，为报道这个城市的武装暴力问题提供资料和新的手段；</w:t>
      </w:r>
      <w:r>
        <w:rPr>
          <w:rFonts w:hint="eastAsia"/>
        </w:rPr>
        <w:t xml:space="preserve">(e) </w:t>
      </w:r>
      <w:r>
        <w:rPr>
          <w:rFonts w:hint="eastAsia"/>
        </w:rPr>
        <w:t>建设一个国际数据库，纳入联系信息和有关妇女、人类安全和发展的其他有用信息；</w:t>
      </w:r>
      <w:r>
        <w:rPr>
          <w:rFonts w:hint="eastAsia"/>
        </w:rPr>
        <w:t xml:space="preserve">(f) </w:t>
      </w:r>
      <w:r>
        <w:rPr>
          <w:rFonts w:hint="eastAsia"/>
        </w:rPr>
        <w:t>监测通过印刷媒体和电子简报服务对这些问题的媒体报道。该项目的主要长期目标之一，是建设妇女作为倡导者的能力，以通过媒体影响公众舆论的方式改善治安状况。</w:t>
      </w:r>
    </w:p>
    <w:p w:rsidR="00C229BC" w:rsidRDefault="00C229BC" w:rsidP="00E573F8">
      <w:pPr>
        <w:pStyle w:val="SingleTxtGC"/>
        <w:rPr>
          <w:rFonts w:hint="eastAsia"/>
        </w:rPr>
      </w:pPr>
      <w:r>
        <w:rPr>
          <w:rFonts w:hint="eastAsia"/>
        </w:rPr>
        <w:t xml:space="preserve">16.  </w:t>
      </w:r>
      <w:r>
        <w:rPr>
          <w:rFonts w:hint="eastAsia"/>
        </w:rPr>
        <w:t>另一社区多媒体中心项目是“通过媒体提高对性别问题的认识区域研讨会”，该项目努力倡导为消除对妇女的歧视制定对性别敏感的政策和法律，项目为媒体专业人员提供必要的知识和技能，以便他们在所有传播过程中承认并讨论两性平等问题，在制作新闻时注重两性差异，进行客观的报道。该项目旨在为</w:t>
      </w:r>
      <w:r>
        <w:rPr>
          <w:rFonts w:hint="eastAsia"/>
        </w:rPr>
        <w:t>25</w:t>
      </w:r>
      <w:r>
        <w:rPr>
          <w:rFonts w:hint="eastAsia"/>
        </w:rPr>
        <w:t>名记者和</w:t>
      </w:r>
      <w:r>
        <w:rPr>
          <w:rFonts w:hint="eastAsia"/>
        </w:rPr>
        <w:t>/</w:t>
      </w:r>
      <w:r>
        <w:rPr>
          <w:rFonts w:hint="eastAsia"/>
        </w:rPr>
        <w:t>或媒体专业人员提供有关注重性别差异的报道的培训，以促进通过媒体增进两性平等，加强机构能力，创办一个全国媒体实验室。</w:t>
      </w:r>
    </w:p>
    <w:p w:rsidR="00C229BC" w:rsidRDefault="00C229BC" w:rsidP="00E573F8">
      <w:pPr>
        <w:pStyle w:val="H1GC"/>
        <w:rPr>
          <w:rFonts w:hint="eastAsia"/>
        </w:rPr>
      </w:pPr>
      <w:r>
        <w:rPr>
          <w:rFonts w:hint="eastAsia"/>
        </w:rPr>
        <w:tab/>
      </w:r>
      <w:r>
        <w:rPr>
          <w:rFonts w:hint="eastAsia"/>
        </w:rPr>
        <w:tab/>
      </w:r>
      <w:r>
        <w:rPr>
          <w:rFonts w:hint="eastAsia"/>
        </w:rPr>
        <w:t>刚果</w:t>
      </w:r>
    </w:p>
    <w:p w:rsidR="00C229BC" w:rsidRDefault="00C229BC" w:rsidP="00E573F8">
      <w:pPr>
        <w:pStyle w:val="SingleTxtGC"/>
        <w:rPr>
          <w:rFonts w:hint="eastAsia"/>
        </w:rPr>
      </w:pPr>
      <w:r>
        <w:rPr>
          <w:rFonts w:hint="eastAsia"/>
        </w:rPr>
        <w:t xml:space="preserve">17.  </w:t>
      </w:r>
      <w:r>
        <w:rPr>
          <w:rFonts w:hint="eastAsia"/>
        </w:rPr>
        <w:t>教科文组织的项目</w:t>
      </w:r>
      <w:r>
        <w:rPr>
          <w:rFonts w:hint="eastAsia"/>
          <w:spacing w:val="-50"/>
        </w:rPr>
        <w:t>―</w:t>
      </w:r>
      <w:r>
        <w:rPr>
          <w:rFonts w:hint="eastAsia"/>
        </w:rPr>
        <w:t>―“加强全球对刚果的教育问题和艾滋病毒及艾滋病问题的反应”旨在为受到边缘化和被排斥的妇女提供学习机会，减少毁谤和歧视，同时尊重人权、文化多样性和两性平等。项目还将帮助促进妇女和女童在工作场所和学校获得高质量的学习机会，以了解艾滋病毒和艾滋病。</w:t>
      </w:r>
    </w:p>
    <w:p w:rsidR="00C229BC" w:rsidRDefault="00C229BC" w:rsidP="00E573F8">
      <w:pPr>
        <w:pStyle w:val="H1GC"/>
        <w:rPr>
          <w:rFonts w:hint="eastAsia"/>
        </w:rPr>
      </w:pPr>
      <w:r>
        <w:rPr>
          <w:rFonts w:hint="eastAsia"/>
        </w:rPr>
        <w:tab/>
      </w:r>
      <w:r>
        <w:rPr>
          <w:rFonts w:hint="eastAsia"/>
        </w:rPr>
        <w:tab/>
      </w:r>
      <w:r>
        <w:rPr>
          <w:rFonts w:hint="eastAsia"/>
        </w:rPr>
        <w:t>格林纳达</w:t>
      </w:r>
    </w:p>
    <w:p w:rsidR="00C229BC" w:rsidRDefault="00C229BC" w:rsidP="00E573F8">
      <w:pPr>
        <w:pStyle w:val="SingleTxtGC"/>
        <w:rPr>
          <w:rFonts w:hint="eastAsia"/>
        </w:rPr>
      </w:pPr>
      <w:r>
        <w:rPr>
          <w:rFonts w:hint="eastAsia"/>
        </w:rPr>
        <w:t xml:space="preserve">18.  </w:t>
      </w:r>
      <w:r>
        <w:rPr>
          <w:rFonts w:hint="eastAsia"/>
        </w:rPr>
        <w:t>教科文组织与格林纳达设立了一个社区多媒体中心，旨在提高农村妇女和女童的沟通能力，以便她们能够获得所需的信息，从而参与影响其生计的国家对话和民主决策进程。该中心将提供沟通服务，为至少</w:t>
      </w:r>
      <w:r>
        <w:rPr>
          <w:rFonts w:hint="eastAsia"/>
        </w:rPr>
        <w:t>40</w:t>
      </w:r>
      <w:r>
        <w:rPr>
          <w:rFonts w:hint="eastAsia"/>
        </w:rPr>
        <w:t>名农村妇女和女童提供与通信技术相关技能的培训，如网站开发、视听录像和互联网技能。非政府组织“格林纳达社区发展局”自</w:t>
      </w:r>
      <w:r>
        <w:rPr>
          <w:rFonts w:hint="eastAsia"/>
        </w:rPr>
        <w:t>1985</w:t>
      </w:r>
      <w:r>
        <w:rPr>
          <w:rFonts w:hint="eastAsia"/>
        </w:rPr>
        <w:t>年以来一直致力于农村发展，该机构目前向农村妇女提供一系列培训方案和重要信息，项目将为这些举措提供支持，对培训内容进行编辑和记录，制作成套的自学多媒体资料。项目还将为至少</w:t>
      </w:r>
      <w:r>
        <w:rPr>
          <w:rFonts w:hint="eastAsia"/>
        </w:rPr>
        <w:t>45</w:t>
      </w:r>
      <w:r>
        <w:rPr>
          <w:rFonts w:hint="eastAsia"/>
        </w:rPr>
        <w:t>名当地女性和男性制作人提供桌面出版方面的培训。</w:t>
      </w:r>
    </w:p>
    <w:p w:rsidR="00C229BC" w:rsidRDefault="00C229BC" w:rsidP="00E573F8">
      <w:pPr>
        <w:pStyle w:val="H1GC"/>
        <w:rPr>
          <w:rFonts w:hint="eastAsia"/>
        </w:rPr>
      </w:pPr>
      <w:r>
        <w:rPr>
          <w:rFonts w:hint="eastAsia"/>
        </w:rPr>
        <w:tab/>
      </w:r>
      <w:r>
        <w:rPr>
          <w:rFonts w:hint="eastAsia"/>
        </w:rPr>
        <w:tab/>
      </w:r>
      <w:r>
        <w:rPr>
          <w:rFonts w:hint="eastAsia"/>
        </w:rPr>
        <w:t>约旦</w:t>
      </w:r>
    </w:p>
    <w:p w:rsidR="00C229BC" w:rsidRDefault="00C229BC" w:rsidP="00E573F8">
      <w:pPr>
        <w:pStyle w:val="SingleTxtGC"/>
        <w:rPr>
          <w:rFonts w:hint="eastAsia"/>
        </w:rPr>
      </w:pPr>
      <w:r>
        <w:rPr>
          <w:rFonts w:hint="eastAsia"/>
        </w:rPr>
        <w:t xml:space="preserve">19.  </w:t>
      </w:r>
      <w:r>
        <w:rPr>
          <w:rFonts w:hint="eastAsia"/>
        </w:rPr>
        <w:t>教科文组织驻贝鲁特办事处正在对约旦教育体系的法律和政策框架进行审查。审查的目的在于确定该国的法律和政策是否符合有关受教育权的国际人权框架以及有关两性平等的规定。教科文组织将根据该审查的结论，为开展对性别问题敏感的教育改革和制定法律提供建议。该活动旨在协助会员国加快努力，以实现国际发展目标，尤其是与两性平等相关的目标。</w:t>
      </w:r>
    </w:p>
    <w:p w:rsidR="00C229BC" w:rsidRDefault="00C229BC" w:rsidP="00E573F8">
      <w:pPr>
        <w:pStyle w:val="SingleTxtGC"/>
        <w:rPr>
          <w:rFonts w:hint="eastAsia"/>
        </w:rPr>
      </w:pPr>
      <w:r>
        <w:rPr>
          <w:rFonts w:hint="eastAsia"/>
        </w:rPr>
        <w:t xml:space="preserve">20.  </w:t>
      </w:r>
      <w:r>
        <w:rPr>
          <w:rFonts w:hint="eastAsia"/>
        </w:rPr>
        <w:t>题为“农村地区女性公民记者的能力建设”的项目旨在通过吸纳女性和男性社区成员讨论地方问题，为女性参与社区发展提供大力支持。该项目将建设一个网络，由六名年龄在</w:t>
      </w:r>
      <w:r>
        <w:rPr>
          <w:rFonts w:hint="eastAsia"/>
        </w:rPr>
        <w:t>20</w:t>
      </w:r>
      <w:r>
        <w:rPr>
          <w:rFonts w:hint="eastAsia"/>
        </w:rPr>
        <w:t>到</w:t>
      </w:r>
      <w:r>
        <w:rPr>
          <w:rFonts w:hint="eastAsia"/>
        </w:rPr>
        <w:t>35</w:t>
      </w:r>
      <w:r>
        <w:rPr>
          <w:rFonts w:hint="eastAsia"/>
        </w:rPr>
        <w:t>岁之间的女性社区电台记者组成，她们将接受为期</w:t>
      </w:r>
      <w:r>
        <w:rPr>
          <w:rFonts w:hint="eastAsia"/>
        </w:rPr>
        <w:t>6</w:t>
      </w:r>
      <w:r>
        <w:rPr>
          <w:rFonts w:hint="eastAsia"/>
        </w:rPr>
        <w:t>个月的培训，以制作</w:t>
      </w:r>
      <w:r>
        <w:rPr>
          <w:rFonts w:hint="eastAsia"/>
        </w:rPr>
        <w:t>12</w:t>
      </w:r>
      <w:r>
        <w:rPr>
          <w:rFonts w:hint="eastAsia"/>
        </w:rPr>
        <w:t>个节目，从两性平等的角度出发，讲述一些涉及其社区社会经济现实的事件，并努力促进对妇女的扶持，缩小约旦媒体界内部的两性差异。</w:t>
      </w:r>
    </w:p>
    <w:p w:rsidR="00C229BC" w:rsidRDefault="00C229BC" w:rsidP="00E573F8">
      <w:pPr>
        <w:pStyle w:val="H1GC"/>
        <w:rPr>
          <w:rFonts w:hint="eastAsia"/>
        </w:rPr>
      </w:pPr>
      <w:r>
        <w:rPr>
          <w:rFonts w:hint="eastAsia"/>
        </w:rPr>
        <w:tab/>
      </w:r>
      <w:r>
        <w:rPr>
          <w:rFonts w:hint="eastAsia"/>
        </w:rPr>
        <w:tab/>
      </w:r>
      <w:r>
        <w:rPr>
          <w:rFonts w:hint="eastAsia"/>
        </w:rPr>
        <w:t>挪威</w:t>
      </w:r>
    </w:p>
    <w:p w:rsidR="00C229BC" w:rsidRDefault="00C229BC" w:rsidP="00E573F8">
      <w:pPr>
        <w:pStyle w:val="SingleTxtGC"/>
        <w:rPr>
          <w:rFonts w:hint="eastAsia"/>
        </w:rPr>
      </w:pPr>
      <w:r>
        <w:rPr>
          <w:rFonts w:hint="eastAsia"/>
        </w:rPr>
        <w:t xml:space="preserve">21.  </w:t>
      </w:r>
      <w:r>
        <w:rPr>
          <w:rFonts w:hint="eastAsia"/>
        </w:rPr>
        <w:t>没有相关资料。</w:t>
      </w:r>
    </w:p>
    <w:p w:rsidR="00C229BC" w:rsidRDefault="00C229BC" w:rsidP="00E573F8">
      <w:pPr>
        <w:pStyle w:val="H1GC"/>
        <w:rPr>
          <w:rFonts w:hint="eastAsia"/>
        </w:rPr>
      </w:pPr>
      <w:r>
        <w:rPr>
          <w:rFonts w:hint="eastAsia"/>
        </w:rPr>
        <w:tab/>
      </w:r>
      <w:r>
        <w:rPr>
          <w:rFonts w:hint="eastAsia"/>
        </w:rPr>
        <w:tab/>
      </w:r>
      <w:r>
        <w:rPr>
          <w:rFonts w:hint="eastAsia"/>
        </w:rPr>
        <w:t>津巴布韦</w:t>
      </w:r>
    </w:p>
    <w:p w:rsidR="00C229BC" w:rsidRDefault="00C229BC" w:rsidP="00E573F8">
      <w:pPr>
        <w:pStyle w:val="SingleTxtGC"/>
        <w:rPr>
          <w:rFonts w:hint="eastAsia"/>
        </w:rPr>
      </w:pPr>
      <w:r>
        <w:rPr>
          <w:rFonts w:hint="eastAsia"/>
        </w:rPr>
        <w:t xml:space="preserve">22.  </w:t>
      </w:r>
      <w:r>
        <w:rPr>
          <w:rFonts w:hint="eastAsia"/>
        </w:rPr>
        <w:t>题为“哈拉雷集群国家</w:t>
      </w:r>
      <w:r>
        <w:rPr>
          <w:rFonts w:hint="eastAsia"/>
        </w:rPr>
        <w:t>(</w:t>
      </w:r>
      <w:r>
        <w:rPr>
          <w:rFonts w:hint="eastAsia"/>
        </w:rPr>
        <w:t>博茨瓦纳、马拉维、莫桑比克、赞比亚和津巴布韦</w:t>
      </w:r>
      <w:r>
        <w:rPr>
          <w:rFonts w:hint="eastAsia"/>
        </w:rPr>
        <w:t>)</w:t>
      </w:r>
      <w:r>
        <w:rPr>
          <w:rFonts w:hint="eastAsia"/>
        </w:rPr>
        <w:t>的国家技术和职业教育培训体系”的项目将致力于制定政策，以促进男孩和女孩平等获得接受中等综合教育及技术和职业教育的机会，并通过考虑科学原则、文化和交流，以及尊重文化多样性和性别平等的联合活动，支持有关可持续发展教育的政策对话。该项目的受益者包括就读于国家教育体系的青年男女以及国家技术和职业教育主管机关。</w:t>
      </w:r>
    </w:p>
    <w:p w:rsidR="00C229BC" w:rsidRDefault="00C229BC" w:rsidP="00E573F8">
      <w:pPr>
        <w:pStyle w:val="SingleTxtGC"/>
        <w:rPr>
          <w:rFonts w:hint="eastAsia"/>
        </w:rPr>
      </w:pPr>
      <w:r>
        <w:rPr>
          <w:rFonts w:hint="eastAsia"/>
        </w:rPr>
        <w:t xml:space="preserve">23.  </w:t>
      </w:r>
      <w:r>
        <w:rPr>
          <w:rFonts w:hint="eastAsia"/>
        </w:rPr>
        <w:t>教科文组织在</w:t>
      </w:r>
      <w:r>
        <w:rPr>
          <w:rFonts w:hint="eastAsia"/>
        </w:rPr>
        <w:t>1972</w:t>
      </w:r>
      <w:r>
        <w:rPr>
          <w:rFonts w:hint="eastAsia"/>
        </w:rPr>
        <w:t>年《世界人类遗产公约》的框架下，努力促进对哈拉雷集群国家</w:t>
      </w:r>
      <w:r>
        <w:rPr>
          <w:rFonts w:hint="eastAsia"/>
        </w:rPr>
        <w:t>(</w:t>
      </w:r>
      <w:r>
        <w:rPr>
          <w:rFonts w:hint="eastAsia"/>
        </w:rPr>
        <w:t>博茨瓦纳、马拉维、莫桑比克、赞比亚和津巴布韦</w:t>
      </w:r>
      <w:r>
        <w:rPr>
          <w:rFonts w:hint="eastAsia"/>
        </w:rPr>
        <w:t>)</w:t>
      </w:r>
      <w:r>
        <w:rPr>
          <w:rFonts w:hint="eastAsia"/>
        </w:rPr>
        <w:t>的世界遗产的保护、恢复和可持续管理，这方面的工作主要包括鼓励妇女积极参与世界人类遗产委员会以及为世界遗产采取的相关管理和保护倡议，强调非物质文化遗产方面的两性平等问题以及女性在传承非物质遗产方面发挥的重要作用。教科文组织还致力于促进津巴布韦立足社区的文化旅游，通过促进妇女作为行为主体积极和明显地参与文化和创意行业等方式，恢复文化产品市场，并在遗产所在地和国家纪念碑周围开展创意者能力建设活动。</w:t>
      </w:r>
    </w:p>
    <w:p w:rsidR="00C229BC" w:rsidRPr="00D27687" w:rsidRDefault="00C229BC" w:rsidP="00E573F8">
      <w:pPr>
        <w:pStyle w:val="SingleTxtGC"/>
        <w:rPr>
          <w:rFonts w:hint="eastAsia"/>
        </w:rPr>
      </w:pPr>
      <w:r>
        <w:rPr>
          <w:rFonts w:hint="eastAsia"/>
        </w:rPr>
        <w:t xml:space="preserve">24.  </w:t>
      </w:r>
      <w:r>
        <w:rPr>
          <w:rFonts w:hint="eastAsia"/>
        </w:rPr>
        <w:t>教科文组织和“津巴布韦女导演”于</w:t>
      </w:r>
      <w:r>
        <w:rPr>
          <w:rFonts w:hint="eastAsia"/>
        </w:rPr>
        <w:t>2010</w:t>
      </w:r>
      <w:r>
        <w:rPr>
          <w:rFonts w:hint="eastAsia"/>
        </w:rPr>
        <w:t>年</w:t>
      </w:r>
      <w:r>
        <w:rPr>
          <w:rFonts w:hint="eastAsia"/>
        </w:rPr>
        <w:t>11</w:t>
      </w:r>
      <w:r>
        <w:rPr>
          <w:rFonts w:hint="eastAsia"/>
        </w:rPr>
        <w:t>月举办了国际电影节，旨在扶持女性导演，促进妇女的创造多样性。</w:t>
      </w:r>
    </w:p>
    <w:p w:rsidR="009F4C7B" w:rsidRDefault="009F4C7B" w:rsidP="009F4C7B">
      <w:pPr>
        <w:sectPr w:rsidR="009F4C7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pPr>
    </w:p>
    <w:p w:rsidR="009F4C7B" w:rsidRPr="009F4C7B" w:rsidRDefault="009F4C7B" w:rsidP="009F4C7B">
      <w:pPr>
        <w:pStyle w:val="SingleTxtGC"/>
        <w:rPr>
          <w:rFonts w:eastAsia="SimHei" w:hint="eastAsia"/>
        </w:rPr>
      </w:pPr>
      <w:r w:rsidRPr="009F4C7B">
        <w:rPr>
          <w:rFonts w:eastAsia="SimHei" w:hint="eastAsia"/>
        </w:rPr>
        <w:t>表格：向第五十一届会议提交报告的所有国家的女性与男性总入学率：两性均等指数教育统计数据</w:t>
      </w:r>
    </w:p>
    <w:tbl>
      <w:tblPr>
        <w:tblW w:w="12359" w:type="dxa"/>
        <w:tblCellSpacing w:w="0" w:type="dxa"/>
        <w:tblInd w:w="283" w:type="dxa"/>
        <w:tblBorders>
          <w:top w:val="single" w:sz="4" w:space="0" w:color="auto"/>
          <w:bottom w:val="single" w:sz="12" w:space="0" w:color="auto"/>
        </w:tblBorders>
        <w:shd w:val="clear" w:color="000000" w:fill="auto"/>
        <w:tblCellMar>
          <w:left w:w="0" w:type="dxa"/>
          <w:right w:w="0" w:type="dxa"/>
        </w:tblCellMar>
        <w:tblLook w:val="0000" w:firstRow="0" w:lastRow="0" w:firstColumn="0" w:lastColumn="0" w:noHBand="0" w:noVBand="0"/>
      </w:tblPr>
      <w:tblGrid>
        <w:gridCol w:w="1033"/>
        <w:gridCol w:w="677"/>
        <w:gridCol w:w="1184"/>
        <w:gridCol w:w="1184"/>
        <w:gridCol w:w="1184"/>
        <w:gridCol w:w="1184"/>
        <w:gridCol w:w="1184"/>
        <w:gridCol w:w="1184"/>
        <w:gridCol w:w="1184"/>
        <w:gridCol w:w="1184"/>
        <w:gridCol w:w="1177"/>
      </w:tblGrid>
      <w:tr w:rsidR="00E54117" w:rsidRPr="007A4FA9" w:rsidTr="00B14475">
        <w:trPr>
          <w:trHeight w:val="240"/>
          <w:tblHeader/>
          <w:tblCellSpacing w:w="0" w:type="dxa"/>
        </w:trPr>
        <w:tc>
          <w:tcPr>
            <w:tcW w:w="418" w:type="pct"/>
            <w:tcBorders>
              <w:top w:val="single" w:sz="4" w:space="0" w:color="auto"/>
              <w:bottom w:val="single" w:sz="12" w:space="0" w:color="auto"/>
              <w:right w:val="single" w:sz="4" w:space="0" w:color="auto"/>
            </w:tcBorders>
            <w:shd w:val="clear" w:color="000000" w:fill="auto"/>
            <w:vAlign w:val="bottom"/>
          </w:tcPr>
          <w:p w:rsidR="000B2056" w:rsidRPr="007A4FA9" w:rsidRDefault="000B2056" w:rsidP="00E54117">
            <w:pPr>
              <w:pStyle w:val="a0"/>
              <w:ind w:right="0"/>
              <w:jc w:val="left"/>
            </w:pPr>
            <w:r>
              <w:rPr>
                <w:rFonts w:hint="eastAsia"/>
              </w:rPr>
              <w:t>数据</w:t>
            </w:r>
          </w:p>
        </w:tc>
        <w:tc>
          <w:tcPr>
            <w:tcW w:w="274" w:type="pct"/>
            <w:tcBorders>
              <w:top w:val="single" w:sz="4" w:space="0" w:color="auto"/>
              <w:left w:val="nil"/>
              <w:bottom w:val="single" w:sz="12" w:space="0" w:color="auto"/>
              <w:right w:val="single" w:sz="4" w:space="0" w:color="auto"/>
            </w:tcBorders>
            <w:shd w:val="clear" w:color="000000" w:fill="auto"/>
            <w:vAlign w:val="bottom"/>
          </w:tcPr>
          <w:p w:rsidR="000B2056" w:rsidRPr="007A4FA9" w:rsidRDefault="000B2056" w:rsidP="00E54117">
            <w:pPr>
              <w:pStyle w:val="a0"/>
              <w:ind w:right="57"/>
              <w:jc w:val="right"/>
            </w:pPr>
          </w:p>
        </w:tc>
        <w:tc>
          <w:tcPr>
            <w:tcW w:w="479" w:type="pct"/>
            <w:tcBorders>
              <w:top w:val="single" w:sz="4" w:space="0" w:color="auto"/>
              <w:left w:val="nil"/>
              <w:bottom w:val="single" w:sz="12" w:space="0" w:color="auto"/>
              <w:right w:val="single" w:sz="4" w:space="0" w:color="auto"/>
            </w:tcBorders>
            <w:shd w:val="clear" w:color="000000" w:fill="auto"/>
            <w:vAlign w:val="bottom"/>
          </w:tcPr>
          <w:p w:rsidR="000B2056" w:rsidRDefault="000B2056" w:rsidP="00E54117">
            <w:pPr>
              <w:pStyle w:val="a0"/>
              <w:ind w:right="57"/>
              <w:jc w:val="right"/>
            </w:pPr>
            <w:r>
              <w:rPr>
                <w:rFonts w:hint="eastAsia"/>
              </w:rPr>
              <w:t>总入学率</w:t>
            </w:r>
          </w:p>
          <w:p w:rsidR="000B2056" w:rsidRPr="007A4FA9" w:rsidRDefault="000B2056" w:rsidP="00E54117">
            <w:pPr>
              <w:pStyle w:val="a0"/>
              <w:ind w:right="57"/>
              <w:jc w:val="right"/>
            </w:pPr>
            <w:r>
              <w:rPr>
                <w:rFonts w:hint="eastAsia"/>
              </w:rPr>
              <w:t>小学女生</w:t>
            </w:r>
          </w:p>
        </w:tc>
        <w:tc>
          <w:tcPr>
            <w:tcW w:w="479" w:type="pct"/>
            <w:tcBorders>
              <w:top w:val="single" w:sz="4" w:space="0" w:color="auto"/>
              <w:left w:val="nil"/>
              <w:bottom w:val="single" w:sz="12" w:space="0" w:color="auto"/>
              <w:right w:val="single" w:sz="4" w:space="0" w:color="auto"/>
            </w:tcBorders>
            <w:shd w:val="clear" w:color="000000" w:fill="auto"/>
            <w:vAlign w:val="bottom"/>
          </w:tcPr>
          <w:p w:rsidR="000B2056" w:rsidRDefault="000B2056" w:rsidP="00E54117">
            <w:pPr>
              <w:pStyle w:val="a0"/>
              <w:ind w:right="57"/>
              <w:jc w:val="right"/>
            </w:pPr>
            <w:r>
              <w:rPr>
                <w:rFonts w:hint="eastAsia"/>
              </w:rPr>
              <w:t>总入学率</w:t>
            </w:r>
          </w:p>
          <w:p w:rsidR="000B2056" w:rsidRPr="007A4FA9" w:rsidRDefault="000B2056" w:rsidP="00E54117">
            <w:pPr>
              <w:pStyle w:val="a0"/>
              <w:ind w:right="57"/>
              <w:jc w:val="right"/>
            </w:pPr>
            <w:r>
              <w:rPr>
                <w:rFonts w:hint="eastAsia"/>
              </w:rPr>
              <w:t>小学男生</w:t>
            </w:r>
          </w:p>
        </w:tc>
        <w:tc>
          <w:tcPr>
            <w:tcW w:w="479" w:type="pct"/>
            <w:tcBorders>
              <w:top w:val="single" w:sz="4" w:space="0" w:color="auto"/>
              <w:left w:val="nil"/>
              <w:bottom w:val="single" w:sz="12" w:space="0" w:color="auto"/>
              <w:right w:val="single" w:sz="4" w:space="0" w:color="auto"/>
            </w:tcBorders>
            <w:shd w:val="clear" w:color="000000" w:fill="auto"/>
            <w:vAlign w:val="bottom"/>
          </w:tcPr>
          <w:p w:rsidR="000B2056" w:rsidRDefault="000B2056" w:rsidP="00E54117">
            <w:pPr>
              <w:pStyle w:val="a0"/>
              <w:ind w:right="57"/>
              <w:jc w:val="right"/>
            </w:pPr>
            <w:r>
              <w:rPr>
                <w:rFonts w:hint="eastAsia"/>
              </w:rPr>
              <w:t>总入学率</w:t>
            </w:r>
          </w:p>
          <w:p w:rsidR="000B2056" w:rsidRPr="007A4FA9" w:rsidRDefault="000B2056" w:rsidP="00E54117">
            <w:pPr>
              <w:pStyle w:val="a0"/>
              <w:ind w:right="57"/>
              <w:jc w:val="right"/>
            </w:pPr>
            <w:r>
              <w:rPr>
                <w:rFonts w:hint="eastAsia"/>
              </w:rPr>
              <w:t>中学女生</w:t>
            </w:r>
          </w:p>
        </w:tc>
        <w:tc>
          <w:tcPr>
            <w:tcW w:w="479" w:type="pct"/>
            <w:tcBorders>
              <w:top w:val="single" w:sz="4" w:space="0" w:color="auto"/>
              <w:left w:val="nil"/>
              <w:bottom w:val="single" w:sz="12" w:space="0" w:color="auto"/>
              <w:right w:val="single" w:sz="4" w:space="0" w:color="auto"/>
            </w:tcBorders>
            <w:shd w:val="clear" w:color="000000" w:fill="auto"/>
            <w:vAlign w:val="bottom"/>
          </w:tcPr>
          <w:p w:rsidR="000B2056" w:rsidRDefault="000B2056" w:rsidP="00E54117">
            <w:pPr>
              <w:pStyle w:val="a0"/>
              <w:ind w:right="57"/>
              <w:jc w:val="right"/>
            </w:pPr>
            <w:r>
              <w:rPr>
                <w:rFonts w:hint="eastAsia"/>
              </w:rPr>
              <w:t>总入学率</w:t>
            </w:r>
          </w:p>
          <w:p w:rsidR="000B2056" w:rsidRPr="007A4FA9" w:rsidRDefault="000B2056" w:rsidP="00E54117">
            <w:pPr>
              <w:pStyle w:val="a0"/>
              <w:ind w:right="57"/>
              <w:jc w:val="right"/>
            </w:pPr>
            <w:r>
              <w:rPr>
                <w:rFonts w:hint="eastAsia"/>
              </w:rPr>
              <w:t>中学男生</w:t>
            </w:r>
          </w:p>
        </w:tc>
        <w:tc>
          <w:tcPr>
            <w:tcW w:w="479" w:type="pct"/>
            <w:tcBorders>
              <w:top w:val="single" w:sz="4" w:space="0" w:color="auto"/>
              <w:left w:val="nil"/>
              <w:bottom w:val="single" w:sz="12" w:space="0" w:color="auto"/>
              <w:right w:val="single" w:sz="4" w:space="0" w:color="auto"/>
            </w:tcBorders>
            <w:shd w:val="clear" w:color="000000" w:fill="auto"/>
            <w:vAlign w:val="bottom"/>
          </w:tcPr>
          <w:p w:rsidR="000B2056" w:rsidRDefault="000B2056" w:rsidP="00E54117">
            <w:pPr>
              <w:pStyle w:val="a0"/>
              <w:ind w:right="57"/>
              <w:jc w:val="right"/>
            </w:pPr>
            <w:r>
              <w:rPr>
                <w:rFonts w:hint="eastAsia"/>
              </w:rPr>
              <w:t>总入学率</w:t>
            </w:r>
          </w:p>
          <w:p w:rsidR="000B2056" w:rsidRPr="007A4FA9" w:rsidRDefault="000B2056" w:rsidP="00E54117">
            <w:pPr>
              <w:pStyle w:val="a0"/>
              <w:ind w:right="57"/>
              <w:jc w:val="right"/>
            </w:pPr>
            <w:r>
              <w:rPr>
                <w:rFonts w:hint="eastAsia"/>
              </w:rPr>
              <w:t>大学女生</w:t>
            </w:r>
          </w:p>
        </w:tc>
        <w:tc>
          <w:tcPr>
            <w:tcW w:w="479" w:type="pct"/>
            <w:tcBorders>
              <w:top w:val="single" w:sz="4" w:space="0" w:color="auto"/>
              <w:left w:val="nil"/>
              <w:bottom w:val="single" w:sz="12" w:space="0" w:color="auto"/>
              <w:right w:val="single" w:sz="4" w:space="0" w:color="auto"/>
            </w:tcBorders>
            <w:shd w:val="clear" w:color="000000" w:fill="auto"/>
            <w:vAlign w:val="bottom"/>
          </w:tcPr>
          <w:p w:rsidR="000B2056" w:rsidRDefault="000B2056" w:rsidP="00E54117">
            <w:pPr>
              <w:pStyle w:val="a0"/>
              <w:ind w:right="57"/>
              <w:jc w:val="right"/>
            </w:pPr>
            <w:r>
              <w:rPr>
                <w:rFonts w:hint="eastAsia"/>
              </w:rPr>
              <w:t>总入学率</w:t>
            </w:r>
          </w:p>
          <w:p w:rsidR="000B2056" w:rsidRPr="007A4FA9" w:rsidRDefault="000B2056" w:rsidP="00E54117">
            <w:pPr>
              <w:pStyle w:val="a0"/>
              <w:ind w:right="57"/>
              <w:jc w:val="right"/>
            </w:pPr>
            <w:r>
              <w:rPr>
                <w:rFonts w:hint="eastAsia"/>
              </w:rPr>
              <w:t>大学男生</w:t>
            </w:r>
          </w:p>
        </w:tc>
        <w:tc>
          <w:tcPr>
            <w:tcW w:w="479" w:type="pct"/>
            <w:tcBorders>
              <w:top w:val="single" w:sz="4" w:space="0" w:color="auto"/>
              <w:left w:val="nil"/>
              <w:bottom w:val="single" w:sz="12" w:space="0" w:color="auto"/>
              <w:right w:val="single" w:sz="4" w:space="0" w:color="auto"/>
            </w:tcBorders>
            <w:shd w:val="clear" w:color="000000" w:fill="auto"/>
            <w:vAlign w:val="bottom"/>
          </w:tcPr>
          <w:p w:rsidR="000B2056" w:rsidRPr="00141258" w:rsidRDefault="000B2056" w:rsidP="00E54117">
            <w:pPr>
              <w:pStyle w:val="a0"/>
              <w:ind w:right="57"/>
              <w:jc w:val="right"/>
              <w:rPr>
                <w:szCs w:val="18"/>
              </w:rPr>
            </w:pPr>
            <w:r w:rsidRPr="00141258">
              <w:rPr>
                <w:rFonts w:ascii="KaiTi_GB2312" w:hAnsi="SimSun" w:hint="eastAsia"/>
                <w:spacing w:val="-4"/>
                <w:szCs w:val="18"/>
              </w:rPr>
              <w:t>总入学率</w:t>
            </w:r>
            <w:r>
              <w:rPr>
                <w:rFonts w:ascii="KaiTi_GB2312" w:hAnsi="SimSun"/>
                <w:spacing w:val="-4"/>
                <w:szCs w:val="18"/>
              </w:rPr>
              <w:br/>
            </w:r>
            <w:r w:rsidRPr="00141258">
              <w:rPr>
                <w:rFonts w:ascii="KaiTi_GB2312" w:hAnsi="SimSun" w:hint="eastAsia"/>
                <w:spacing w:val="-4"/>
                <w:szCs w:val="18"/>
              </w:rPr>
              <w:t>的两性均等</w:t>
            </w:r>
            <w:r>
              <w:rPr>
                <w:rFonts w:ascii="KaiTi_GB2312" w:hAnsi="SimSun"/>
                <w:spacing w:val="-4"/>
                <w:szCs w:val="18"/>
              </w:rPr>
              <w:br/>
            </w:r>
            <w:r w:rsidRPr="00141258">
              <w:rPr>
                <w:rFonts w:ascii="KaiTi_GB2312" w:hAnsi="SimSun" w:hint="eastAsia"/>
                <w:spacing w:val="-4"/>
                <w:szCs w:val="18"/>
              </w:rPr>
              <w:t>指数，小学</w:t>
            </w:r>
          </w:p>
        </w:tc>
        <w:tc>
          <w:tcPr>
            <w:tcW w:w="479" w:type="pct"/>
            <w:tcBorders>
              <w:top w:val="single" w:sz="4" w:space="0" w:color="auto"/>
              <w:left w:val="nil"/>
              <w:bottom w:val="single" w:sz="12" w:space="0" w:color="auto"/>
              <w:right w:val="single" w:sz="4" w:space="0" w:color="auto"/>
            </w:tcBorders>
            <w:shd w:val="clear" w:color="000000" w:fill="auto"/>
            <w:vAlign w:val="bottom"/>
          </w:tcPr>
          <w:p w:rsidR="000B2056" w:rsidRPr="00141258" w:rsidRDefault="000B2056" w:rsidP="00E54117">
            <w:pPr>
              <w:pStyle w:val="a0"/>
              <w:ind w:right="57"/>
              <w:jc w:val="right"/>
              <w:rPr>
                <w:szCs w:val="18"/>
              </w:rPr>
            </w:pPr>
            <w:r w:rsidRPr="00141258">
              <w:rPr>
                <w:rFonts w:ascii="KaiTi_GB2312" w:hAnsi="SimSun" w:hint="eastAsia"/>
                <w:spacing w:val="-4"/>
                <w:szCs w:val="18"/>
              </w:rPr>
              <w:t>总入学率</w:t>
            </w:r>
            <w:r>
              <w:rPr>
                <w:rFonts w:ascii="KaiTi_GB2312" w:hAnsi="SimSun"/>
                <w:spacing w:val="-4"/>
                <w:szCs w:val="18"/>
              </w:rPr>
              <w:br/>
            </w:r>
            <w:r w:rsidRPr="00141258">
              <w:rPr>
                <w:rFonts w:ascii="KaiTi_GB2312" w:hAnsi="SimSun" w:hint="eastAsia"/>
                <w:spacing w:val="-4"/>
                <w:szCs w:val="18"/>
              </w:rPr>
              <w:t>的两性均等</w:t>
            </w:r>
            <w:r>
              <w:rPr>
                <w:rFonts w:ascii="KaiTi_GB2312" w:hAnsi="SimSun"/>
                <w:spacing w:val="-4"/>
                <w:szCs w:val="18"/>
              </w:rPr>
              <w:br/>
            </w:r>
            <w:r w:rsidRPr="00141258">
              <w:rPr>
                <w:rFonts w:ascii="KaiTi_GB2312" w:hAnsi="SimSun" w:hint="eastAsia"/>
                <w:spacing w:val="-4"/>
                <w:szCs w:val="18"/>
              </w:rPr>
              <w:t>指数，中学</w:t>
            </w:r>
          </w:p>
        </w:tc>
        <w:tc>
          <w:tcPr>
            <w:tcW w:w="479" w:type="pct"/>
            <w:tcBorders>
              <w:top w:val="single" w:sz="4" w:space="0" w:color="auto"/>
              <w:left w:val="nil"/>
              <w:bottom w:val="single" w:sz="12" w:space="0" w:color="auto"/>
              <w:right w:val="single" w:sz="4" w:space="0" w:color="FFFFFF"/>
            </w:tcBorders>
            <w:shd w:val="clear" w:color="000000" w:fill="auto"/>
            <w:vAlign w:val="bottom"/>
          </w:tcPr>
          <w:p w:rsidR="000B2056" w:rsidRPr="00141258" w:rsidRDefault="000B2056" w:rsidP="00E54117">
            <w:pPr>
              <w:pStyle w:val="a0"/>
              <w:ind w:right="57"/>
              <w:jc w:val="right"/>
              <w:rPr>
                <w:szCs w:val="18"/>
              </w:rPr>
            </w:pPr>
            <w:r w:rsidRPr="00141258">
              <w:rPr>
                <w:rFonts w:ascii="KaiTi_GB2312" w:hAnsi="SimSun" w:hint="eastAsia"/>
                <w:spacing w:val="-4"/>
                <w:szCs w:val="18"/>
              </w:rPr>
              <w:t>总入学率</w:t>
            </w:r>
            <w:r>
              <w:rPr>
                <w:rFonts w:ascii="KaiTi_GB2312" w:hAnsi="SimSun"/>
                <w:spacing w:val="-4"/>
                <w:szCs w:val="18"/>
              </w:rPr>
              <w:br/>
            </w:r>
            <w:r w:rsidRPr="00141258">
              <w:rPr>
                <w:rFonts w:ascii="KaiTi_GB2312" w:hAnsi="SimSun" w:hint="eastAsia"/>
                <w:spacing w:val="-4"/>
                <w:szCs w:val="18"/>
              </w:rPr>
              <w:t>的两性均等</w:t>
            </w:r>
            <w:r>
              <w:rPr>
                <w:rFonts w:ascii="KaiTi_GB2312" w:hAnsi="SimSun"/>
                <w:spacing w:val="-4"/>
                <w:szCs w:val="18"/>
              </w:rPr>
              <w:br/>
            </w:r>
            <w:r w:rsidRPr="00141258">
              <w:rPr>
                <w:rFonts w:ascii="KaiTi_GB2312" w:hAnsi="SimSun" w:hint="eastAsia"/>
                <w:spacing w:val="-4"/>
                <w:szCs w:val="18"/>
              </w:rPr>
              <w:t>指数，大学</w:t>
            </w:r>
          </w:p>
        </w:tc>
      </w:tr>
      <w:tr w:rsidR="00E54117" w:rsidRPr="007A4FA9" w:rsidTr="00B14475">
        <w:trPr>
          <w:trHeight w:val="240"/>
          <w:tblHeader/>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r>
              <w:rPr>
                <w:rFonts w:hint="eastAsia"/>
              </w:rPr>
              <w:t>国家</w:t>
            </w: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Pr>
                <w:rFonts w:hint="eastAsia"/>
              </w:rPr>
              <w:t>年份</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 </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 </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 </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 </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 </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 </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 </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 </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 </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r>
              <w:t>阿尔及利亚</w:t>
            </w: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115</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28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20</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1.40</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106</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113</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96</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36</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25</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1.02</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1.44</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2010</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113</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37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25</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1.46</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r>
              <w:t>约旦</w:t>
            </w: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100</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91</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88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41</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36</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1.02</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1.04</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1.12</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93</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89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44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39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1.01</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1.04</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1.12</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44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39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1.12</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2010</w:t>
            </w:r>
          </w:p>
        </w:tc>
        <w:tc>
          <w:tcPr>
            <w:tcW w:w="479" w:type="pct"/>
            <w:tcBorders>
              <w:top w:val="nil"/>
              <w:left w:val="nil"/>
              <w:bottom w:val="nil"/>
              <w:right w:val="single" w:sz="4" w:space="0" w:color="auto"/>
            </w:tcBorders>
            <w:shd w:val="clear" w:color="auto"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r>
              <w:t>巴西</w:t>
            </w: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34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27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1.29</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123</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132</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106</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96</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39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30</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0.93</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1.11</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1.29</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42</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31</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1.35</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2010</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r>
              <w:t>格林纳达</w:t>
            </w: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96</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112</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0.97</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102</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105</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115</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0.95</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0.91</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102</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101</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101</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61</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45</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1.00</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1.36</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2010</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102</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105</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106</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1.03</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r>
              <w:t>挪威</w:t>
            </w: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113</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93</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59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1.00</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0.99</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1.58</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111</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113</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91</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56</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1.00</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0.98</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1.62</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111</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92</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56</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1.00</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0.98</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1.64</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2010</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r>
              <w:t>刚果</w:t>
            </w: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106</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113</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111</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108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116</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2</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0.94</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0.21</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2010</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112</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118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3</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0.95</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0.33</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r>
              <w:t>津巴布韦</w:t>
            </w: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2008</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2009</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w:t>
            </w:r>
          </w:p>
        </w:tc>
      </w:tr>
      <w:tr w:rsidR="00E54117" w:rsidRPr="007A4FA9" w:rsidTr="00B14475">
        <w:trPr>
          <w:trHeight w:val="240"/>
          <w:tblCellSpacing w:w="0" w:type="dxa"/>
        </w:trPr>
        <w:tc>
          <w:tcPr>
            <w:tcW w:w="418" w:type="pct"/>
            <w:tcBorders>
              <w:top w:val="nil"/>
              <w:bottom w:val="nil"/>
              <w:right w:val="single" w:sz="4" w:space="0" w:color="auto"/>
            </w:tcBorders>
            <w:shd w:val="clear" w:color="000000" w:fill="auto"/>
          </w:tcPr>
          <w:p w:rsidR="000B2056" w:rsidRPr="007A4FA9" w:rsidRDefault="000B2056" w:rsidP="00E54117">
            <w:pPr>
              <w:pStyle w:val="a5"/>
              <w:overflowPunct/>
              <w:ind w:right="0"/>
              <w:jc w:val="left"/>
            </w:pPr>
          </w:p>
        </w:tc>
        <w:tc>
          <w:tcPr>
            <w:tcW w:w="274" w:type="pct"/>
            <w:tcBorders>
              <w:top w:val="nil"/>
              <w:left w:val="nil"/>
              <w:bottom w:val="nil"/>
              <w:right w:val="single" w:sz="4" w:space="0" w:color="auto"/>
            </w:tcBorders>
            <w:shd w:val="clear" w:color="000000" w:fill="auto"/>
          </w:tcPr>
          <w:p w:rsidR="000B2056" w:rsidRPr="007A4FA9" w:rsidRDefault="000B2056" w:rsidP="00E54117">
            <w:pPr>
              <w:pStyle w:val="a5"/>
              <w:overflowPunct/>
              <w:ind w:right="57"/>
              <w:jc w:val="right"/>
            </w:pPr>
            <w:r w:rsidRPr="007A4FA9">
              <w:t>2010</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5</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7</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auto"/>
            </w:tcBorders>
            <w:shd w:val="clear" w:color="000000" w:fill="auto"/>
            <w:vAlign w:val="bottom"/>
          </w:tcPr>
          <w:p w:rsidR="000B2056" w:rsidRPr="007A4FA9" w:rsidRDefault="000B2056" w:rsidP="00E54117">
            <w:pPr>
              <w:pStyle w:val="a5"/>
              <w:overflowPunct/>
              <w:ind w:right="57"/>
              <w:jc w:val="right"/>
            </w:pPr>
            <w:r w:rsidRPr="007A4FA9">
              <w:t>…</w:t>
            </w:r>
          </w:p>
        </w:tc>
        <w:tc>
          <w:tcPr>
            <w:tcW w:w="479" w:type="pct"/>
            <w:tcBorders>
              <w:top w:val="nil"/>
              <w:left w:val="nil"/>
              <w:bottom w:val="nil"/>
              <w:right w:val="single" w:sz="4" w:space="0" w:color="FFFFFF"/>
            </w:tcBorders>
            <w:shd w:val="clear" w:color="000000" w:fill="auto"/>
            <w:vAlign w:val="bottom"/>
          </w:tcPr>
          <w:p w:rsidR="000B2056" w:rsidRPr="007A4FA9" w:rsidRDefault="000B2056" w:rsidP="00E54117">
            <w:pPr>
              <w:pStyle w:val="a5"/>
              <w:overflowPunct/>
              <w:ind w:right="57"/>
              <w:jc w:val="right"/>
            </w:pPr>
            <w:r w:rsidRPr="007A4FA9">
              <w:t>0.80</w:t>
            </w:r>
          </w:p>
        </w:tc>
      </w:tr>
    </w:tbl>
    <w:p w:rsidR="009F4C7B" w:rsidRDefault="009F4C7B" w:rsidP="009F4C7B">
      <w:pPr>
        <w:spacing w:line="336" w:lineRule="auto"/>
        <w:rPr>
          <w:rFonts w:hint="eastAsia"/>
        </w:rPr>
      </w:pPr>
    </w:p>
    <w:p w:rsidR="009F4C7B" w:rsidRPr="002D6A9C" w:rsidRDefault="009F4C7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F4C7B" w:rsidRPr="002D6A9C" w:rsidSect="009F4C7B">
      <w:headerReference w:type="even" r:id="rId14"/>
      <w:headerReference w:type="default" r:id="rId15"/>
      <w:footerReference w:type="even" r:id="rId16"/>
      <w:footerReference w:type="default" r:id="rId17"/>
      <w:headerReference w:type="first" r:id="rId18"/>
      <w:endnotePr>
        <w:numFmt w:val="decimal"/>
      </w:endnotePr>
      <w:pgSz w:w="16838" w:h="11906" w:orient="landscape" w:code="9"/>
      <w:pgMar w:top="1134" w:right="1701" w:bottom="1134" w:left="2268" w:header="567" w:footer="567"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D73" w:rsidRPr="008845C5" w:rsidRDefault="00EA0D73"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A0D73" w:rsidRPr="008845C5" w:rsidRDefault="00EA0D73"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67" w:rsidRPr="00C229BC" w:rsidRDefault="008A7667"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D1121">
      <w:rPr>
        <w:rStyle w:val="PageNumber"/>
        <w:noProof/>
      </w:rPr>
      <w:t>6</w:t>
    </w:r>
    <w:r>
      <w:rPr>
        <w:rStyle w:val="PageNumber"/>
      </w:rPr>
      <w:fldChar w:fldCharType="end"/>
    </w:r>
    <w:r>
      <w:rPr>
        <w:rStyle w:val="PageNumber"/>
        <w:rFonts w:eastAsia="SimSun" w:hint="eastAsia"/>
        <w:lang w:eastAsia="zh-CN"/>
      </w:rPr>
      <w:tab/>
    </w:r>
    <w:r w:rsidRPr="00C229BC">
      <w:rPr>
        <w:rFonts w:eastAsia="SimSun"/>
        <w:lang w:eastAsia="zh-CN"/>
      </w:rPr>
      <w:t>GE.12-40011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67" w:rsidRDefault="008A7667">
    <w:pPr>
      <w:pStyle w:val="Footer"/>
      <w:tabs>
        <w:tab w:val="right" w:pos="9639"/>
      </w:tabs>
    </w:pPr>
    <w:r w:rsidRPr="00C229BC">
      <w:rPr>
        <w:rFonts w:eastAsia="SimSun"/>
        <w:lang w:eastAsia="zh-CN"/>
      </w:rPr>
      <w:t>GE.12-40011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D1121">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67" w:rsidRPr="005C5B87" w:rsidRDefault="008A7667" w:rsidP="005C5B87">
    <w:pPr>
      <w:pStyle w:val="Footer"/>
      <w:tabs>
        <w:tab w:val="left" w:pos="1701"/>
        <w:tab w:val="left" w:pos="2552"/>
        <w:tab w:val="left" w:pos="8618"/>
      </w:tabs>
      <w:rPr>
        <w:rFonts w:eastAsia="SimSun" w:hint="eastAsia"/>
        <w:sz w:val="20"/>
        <w:lang w:eastAsia="zh-CN"/>
      </w:rPr>
    </w:pPr>
    <w:bookmarkStart w:id="0" w:name="OLE_LINK5"/>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w:t>
    </w:r>
    <w:r w:rsidRPr="00EE277A">
      <w:rPr>
        <w:rFonts w:eastAsia="SimSun"/>
        <w:sz w:val="20"/>
        <w:lang w:eastAsia="zh-CN"/>
      </w:rPr>
      <w:t>00</w:t>
    </w:r>
    <w:r>
      <w:rPr>
        <w:rFonts w:eastAsia="SimSun" w:hint="eastAsia"/>
        <w:sz w:val="20"/>
        <w:lang w:eastAsia="zh-CN"/>
      </w:rPr>
      <w:t>11</w:t>
    </w:r>
    <w:bookmarkEnd w:id="0"/>
    <w:r w:rsidRPr="00EE277A">
      <w:rPr>
        <w:rFonts w:eastAsia="SimSun"/>
        <w:sz w:val="20"/>
        <w:lang w:eastAsia="zh-CN"/>
      </w:rPr>
      <w:t xml:space="preserve"> (C)</w:t>
    </w:r>
    <w:r>
      <w:rPr>
        <w:rFonts w:eastAsia="SimSun"/>
        <w:sz w:val="20"/>
        <w:lang w:eastAsia="zh-CN"/>
      </w:rPr>
      <w:tab/>
    </w:r>
    <w:r>
      <w:rPr>
        <w:rFonts w:eastAsia="SimSun" w:hint="eastAsia"/>
        <w:sz w:val="20"/>
        <w:lang w:eastAsia="zh-CN"/>
      </w:rPr>
      <w:t>300112</w:t>
    </w:r>
    <w:r>
      <w:rPr>
        <w:rFonts w:eastAsia="SimSun"/>
        <w:sz w:val="20"/>
        <w:lang w:eastAsia="zh-CN"/>
      </w:rPr>
      <w:tab/>
    </w:r>
    <w:r>
      <w:rPr>
        <w:rFonts w:eastAsia="SimSun" w:hint="eastAsia"/>
        <w:sz w:val="20"/>
        <w:lang w:eastAsia="zh-CN"/>
      </w:rPr>
      <w:t>010212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67" w:rsidRPr="009F4C7B" w:rsidRDefault="008A7667" w:rsidP="009F4C7B">
    <w:pPr>
      <w:pStyle w:val="Footer"/>
      <w:rPr>
        <w:rStyle w:val="PageNumber"/>
        <w:rFonts w:eastAsia="SimSun" w:hint="eastAsia"/>
        <w:b w:val="0"/>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67" w:rsidRPr="009F4C7B" w:rsidRDefault="008A7667" w:rsidP="009F4C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D73" w:rsidRPr="00363561" w:rsidRDefault="00EA0D7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A0D73" w:rsidRPr="00363561" w:rsidRDefault="00EA0D7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A7667" w:rsidRPr="00E909B7" w:rsidRDefault="008A7667" w:rsidP="00C229BC">
      <w:pPr>
        <w:pStyle w:val="FootnoteText"/>
      </w:pPr>
      <w:r>
        <w:rPr>
          <w:rFonts w:hint="eastAsia"/>
        </w:rPr>
        <w:tab/>
      </w:r>
      <w:r w:rsidRPr="00C229BC">
        <w:rPr>
          <w:rStyle w:val="FootnoteReference"/>
          <w:vertAlign w:val="baseline"/>
        </w:rPr>
        <w:t>*</w:t>
      </w:r>
      <w:r>
        <w:rPr>
          <w:rFonts w:hint="eastAsia"/>
        </w:rPr>
        <w:tab/>
      </w:r>
      <w:r w:rsidRPr="00E909B7">
        <w:rPr>
          <w:rFonts w:hint="eastAsia"/>
        </w:rPr>
        <w:t>迟交。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67" w:rsidRPr="00C229BC" w:rsidRDefault="008A7667">
    <w:pPr>
      <w:pStyle w:val="Header"/>
    </w:pPr>
    <w:r w:rsidRPr="00C229BC">
      <w:t>CEDAW/C/51/2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67" w:rsidRPr="00C229BC" w:rsidRDefault="008A7667" w:rsidP="00DA36A7">
    <w:pPr>
      <w:pStyle w:val="Header"/>
      <w:jc w:val="right"/>
      <w:rPr>
        <w:rFonts w:hint="eastAsia"/>
        <w:lang w:eastAsia="zh-CN"/>
      </w:rPr>
    </w:pPr>
    <w:r w:rsidRPr="00C229BC">
      <w:rPr>
        <w:lang w:eastAsia="zh-CN"/>
      </w:rPr>
      <w:t>CEDAW/C/51/2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67" w:rsidRDefault="008A7667">
    <w:pPr>
      <w:pStyle w:val="Header"/>
      <w:jc w:val="right"/>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67" w:rsidRPr="009F4C7B" w:rsidRDefault="008A7667" w:rsidP="009F4C7B">
    <w:pPr>
      <w:pStyle w:val="Header"/>
      <w:pBdr>
        <w:bottom w:val="none" w:sz="0" w:space="0" w:color="auto"/>
      </w:pBdr>
    </w:pPr>
    <w:r>
      <w:rPr>
        <w:noProof/>
        <w:snapToGrid/>
        <w:lang w:val="en-US" w:eastAsia="zh-CN"/>
      </w:rPr>
      <w:pict>
        <v:shapetype id="_x0000_t202" coordsize="21600,21600" o:spt="202" path="m,l,21600r21600,l21600,xe">
          <v:stroke joinstyle="miter"/>
          <v:path gradientshapeok="t" o:connecttype="rect"/>
        </v:shapetype>
        <v:shape id="_x0000_s2052" type="#_x0000_t202" style="position:absolute;left:0;text-align:left;margin-left:78.5pt;margin-top:56.65pt;width:17.55pt;height:481.9pt;z-index:4;mso-position-horizontal-relative:page;mso-position-vertical-relative:page" stroked="f">
          <v:textbox style="layout-flow:vertical;mso-next-textbox:#_x0000_s2052" inset="0,0,0,0">
            <w:txbxContent>
              <w:p w:rsidR="008A7667" w:rsidRPr="00C229BC" w:rsidRDefault="008A7667" w:rsidP="009F4C7B">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D1121">
                  <w:rPr>
                    <w:rStyle w:val="PageNumber"/>
                    <w:noProof/>
                  </w:rPr>
                  <w:t>8</w:t>
                </w:r>
                <w:r>
                  <w:rPr>
                    <w:rStyle w:val="PageNumber"/>
                  </w:rPr>
                  <w:fldChar w:fldCharType="end"/>
                </w:r>
                <w:r>
                  <w:rPr>
                    <w:rStyle w:val="PageNumber"/>
                    <w:rFonts w:eastAsia="SimSun" w:hint="eastAsia"/>
                    <w:lang w:eastAsia="zh-CN"/>
                  </w:rPr>
                  <w:tab/>
                </w:r>
                <w:r w:rsidRPr="00C229BC">
                  <w:rPr>
                    <w:rFonts w:eastAsia="SimSun"/>
                    <w:lang w:eastAsia="zh-CN"/>
                  </w:rPr>
                  <w:t>GE.12-40011</w:t>
                </w:r>
              </w:p>
              <w:p w:rsidR="008A7667" w:rsidRDefault="008A7667"/>
            </w:txbxContent>
          </v:textbox>
          <w10:anchorlock/>
        </v:shape>
      </w:pict>
    </w:r>
    <w:r>
      <w:rPr>
        <w:noProof/>
        <w:snapToGrid/>
        <w:lang w:val="en-US" w:eastAsia="zh-CN"/>
      </w:rPr>
      <w:pict>
        <v:shape id="_x0000_s2051" type="#_x0000_t202" style="position:absolute;left:0;text-align:left;margin-left:771pt;margin-top:56.65pt;width:17.55pt;height:481.9pt;z-index:3;mso-position-horizontal-relative:page;mso-position-vertical-relative:page" stroked="f">
          <v:textbox style="layout-flow:vertical;mso-next-textbox:#_x0000_s2051" inset="0,0,0,0">
            <w:txbxContent>
              <w:p w:rsidR="008A7667" w:rsidRPr="00C229BC" w:rsidRDefault="008A7667" w:rsidP="009F4C7B">
                <w:pPr>
                  <w:pStyle w:val="Header"/>
                </w:pPr>
                <w:r w:rsidRPr="00C229BC">
                  <w:t>CEDAW/C/51/2</w:t>
                </w:r>
              </w:p>
              <w:p w:rsidR="008A7667" w:rsidRDefault="008A7667"/>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67" w:rsidRPr="009F4C7B" w:rsidRDefault="008A7667" w:rsidP="009F4C7B">
    <w:pPr>
      <w:pStyle w:val="Header"/>
      <w:pBdr>
        <w:bottom w:val="none" w:sz="0" w:space="0" w:color="auto"/>
      </w:pBdr>
      <w:rPr>
        <w:rFonts w:hint="eastAsia"/>
      </w:rPr>
    </w:pPr>
    <w:r>
      <w:rPr>
        <w:rFonts w:hint="eastAsia"/>
        <w:noProof/>
        <w:snapToGrid/>
        <w:lang w:val="en-US" w:eastAsia="zh-CN"/>
      </w:rPr>
      <w:pict>
        <v:shapetype id="_x0000_t202" coordsize="21600,21600" o:spt="202" path="m,l,21600r21600,l21600,xe">
          <v:stroke joinstyle="miter"/>
          <v:path gradientshapeok="t" o:connecttype="rect"/>
        </v:shapetype>
        <v:shape id="_x0000_s2050" type="#_x0000_t202" style="position:absolute;left:0;text-align:left;margin-left:78.5pt;margin-top:56.65pt;width:17.55pt;height:481.9pt;z-index:2;mso-position-horizontal-relative:page;mso-position-vertical-relative:page" stroked="f">
          <v:textbox style="layout-flow:vertical;mso-next-textbox:#_x0000_s2050" inset="0,0,0,0">
            <w:txbxContent>
              <w:p w:rsidR="008A7667" w:rsidRDefault="008A7667" w:rsidP="009F4C7B">
                <w:pPr>
                  <w:pStyle w:val="Footer"/>
                  <w:tabs>
                    <w:tab w:val="right" w:pos="9639"/>
                  </w:tabs>
                </w:pPr>
                <w:r w:rsidRPr="00C229BC">
                  <w:rPr>
                    <w:rFonts w:eastAsia="SimSun"/>
                    <w:lang w:eastAsia="zh-CN"/>
                  </w:rPr>
                  <w:t>GE.12-40011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D1121">
                  <w:rPr>
                    <w:rStyle w:val="PageNumber"/>
                    <w:noProof/>
                  </w:rPr>
                  <w:t>7</w:t>
                </w:r>
                <w:r>
                  <w:rPr>
                    <w:rStyle w:val="PageNumber"/>
                  </w:rPr>
                  <w:fldChar w:fldCharType="end"/>
                </w:r>
              </w:p>
              <w:p w:rsidR="008A7667" w:rsidRDefault="008A7667"/>
            </w:txbxContent>
          </v:textbox>
          <w10:anchorlock/>
        </v:shape>
      </w:pict>
    </w:r>
    <w:r>
      <w:rPr>
        <w:rFonts w:hint="eastAsia"/>
        <w:noProof/>
        <w:snapToGrid/>
        <w:lang w:val="en-US" w:eastAsia="zh-CN"/>
      </w:rPr>
      <w:pict>
        <v:shape id="_x0000_s2049" type="#_x0000_t202" style="position:absolute;left:0;text-align:left;margin-left:771pt;margin-top:56.65pt;width:17.55pt;height:481.9pt;z-index:1;mso-position-horizontal-relative:page;mso-position-vertical-relative:page" stroked="f">
          <v:textbox style="layout-flow:vertical;mso-next-textbox:#_x0000_s2049" inset="0,0,0,0">
            <w:txbxContent>
              <w:p w:rsidR="008A7667" w:rsidRPr="00C229BC" w:rsidRDefault="008A7667" w:rsidP="009F4C7B">
                <w:pPr>
                  <w:pStyle w:val="Header"/>
                  <w:jc w:val="right"/>
                  <w:rPr>
                    <w:rFonts w:hint="eastAsia"/>
                    <w:lang w:eastAsia="zh-CN"/>
                  </w:rPr>
                </w:pPr>
                <w:r w:rsidRPr="00C229BC">
                  <w:rPr>
                    <w:lang w:eastAsia="zh-CN"/>
                  </w:rPr>
                  <w:t>CEDAW/C/51/2</w:t>
                </w:r>
              </w:p>
              <w:p w:rsidR="008A7667" w:rsidRDefault="008A7667"/>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67" w:rsidRDefault="008A766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29BC"/>
    <w:rsid w:val="000233C7"/>
    <w:rsid w:val="000277CB"/>
    <w:rsid w:val="00085957"/>
    <w:rsid w:val="000B2056"/>
    <w:rsid w:val="000B40D6"/>
    <w:rsid w:val="000B5AAE"/>
    <w:rsid w:val="000E23C8"/>
    <w:rsid w:val="0012768D"/>
    <w:rsid w:val="001539A6"/>
    <w:rsid w:val="00194D4C"/>
    <w:rsid w:val="001974C5"/>
    <w:rsid w:val="001B5B95"/>
    <w:rsid w:val="001D5EC5"/>
    <w:rsid w:val="001E53DE"/>
    <w:rsid w:val="00252D02"/>
    <w:rsid w:val="00283BF5"/>
    <w:rsid w:val="002A0A29"/>
    <w:rsid w:val="002C6169"/>
    <w:rsid w:val="00343E38"/>
    <w:rsid w:val="00360A5A"/>
    <w:rsid w:val="00363561"/>
    <w:rsid w:val="003916A2"/>
    <w:rsid w:val="003C59D1"/>
    <w:rsid w:val="003D0921"/>
    <w:rsid w:val="003D0CAD"/>
    <w:rsid w:val="003E1FA3"/>
    <w:rsid w:val="003F0150"/>
    <w:rsid w:val="0040530D"/>
    <w:rsid w:val="004455D3"/>
    <w:rsid w:val="004838FD"/>
    <w:rsid w:val="00493C2C"/>
    <w:rsid w:val="004E626A"/>
    <w:rsid w:val="005069C1"/>
    <w:rsid w:val="00522FEB"/>
    <w:rsid w:val="00545D76"/>
    <w:rsid w:val="00547708"/>
    <w:rsid w:val="00570754"/>
    <w:rsid w:val="005C5B87"/>
    <w:rsid w:val="005D25AD"/>
    <w:rsid w:val="005D33EE"/>
    <w:rsid w:val="005E28F8"/>
    <w:rsid w:val="005E47D2"/>
    <w:rsid w:val="005E6EDE"/>
    <w:rsid w:val="006156DF"/>
    <w:rsid w:val="00622F66"/>
    <w:rsid w:val="00636379"/>
    <w:rsid w:val="006465BF"/>
    <w:rsid w:val="00646D55"/>
    <w:rsid w:val="0065153A"/>
    <w:rsid w:val="006A59A2"/>
    <w:rsid w:val="006C22D9"/>
    <w:rsid w:val="006D2443"/>
    <w:rsid w:val="006F20AD"/>
    <w:rsid w:val="00720CB2"/>
    <w:rsid w:val="007500A3"/>
    <w:rsid w:val="007863D0"/>
    <w:rsid w:val="00787E80"/>
    <w:rsid w:val="007F6102"/>
    <w:rsid w:val="007F7187"/>
    <w:rsid w:val="0081277D"/>
    <w:rsid w:val="008233D3"/>
    <w:rsid w:val="008354CE"/>
    <w:rsid w:val="00840A66"/>
    <w:rsid w:val="00872452"/>
    <w:rsid w:val="008747DC"/>
    <w:rsid w:val="008845C5"/>
    <w:rsid w:val="008A7667"/>
    <w:rsid w:val="008F4C4A"/>
    <w:rsid w:val="00941751"/>
    <w:rsid w:val="00960FB2"/>
    <w:rsid w:val="00961300"/>
    <w:rsid w:val="00966CAE"/>
    <w:rsid w:val="00981BBE"/>
    <w:rsid w:val="0098424F"/>
    <w:rsid w:val="0098441C"/>
    <w:rsid w:val="009A05E0"/>
    <w:rsid w:val="009A2799"/>
    <w:rsid w:val="009C1A5F"/>
    <w:rsid w:val="009D1A81"/>
    <w:rsid w:val="009D6897"/>
    <w:rsid w:val="009F4C7B"/>
    <w:rsid w:val="00A075AA"/>
    <w:rsid w:val="00A25080"/>
    <w:rsid w:val="00A64FC3"/>
    <w:rsid w:val="00AA3046"/>
    <w:rsid w:val="00AB16A6"/>
    <w:rsid w:val="00AD29BB"/>
    <w:rsid w:val="00AF0610"/>
    <w:rsid w:val="00AF7C1B"/>
    <w:rsid w:val="00B10A59"/>
    <w:rsid w:val="00B11CC6"/>
    <w:rsid w:val="00B14475"/>
    <w:rsid w:val="00B17C50"/>
    <w:rsid w:val="00B3023A"/>
    <w:rsid w:val="00B55660"/>
    <w:rsid w:val="00B973F8"/>
    <w:rsid w:val="00BC682A"/>
    <w:rsid w:val="00BD1121"/>
    <w:rsid w:val="00BE1220"/>
    <w:rsid w:val="00BF3DDF"/>
    <w:rsid w:val="00BF691A"/>
    <w:rsid w:val="00BF6CF0"/>
    <w:rsid w:val="00C229BC"/>
    <w:rsid w:val="00C40EE1"/>
    <w:rsid w:val="00C47CB8"/>
    <w:rsid w:val="00C82E94"/>
    <w:rsid w:val="00CA5F0A"/>
    <w:rsid w:val="00CC5FAA"/>
    <w:rsid w:val="00D143C0"/>
    <w:rsid w:val="00D25318"/>
    <w:rsid w:val="00D56F18"/>
    <w:rsid w:val="00DA36A7"/>
    <w:rsid w:val="00DC4381"/>
    <w:rsid w:val="00DD0BA0"/>
    <w:rsid w:val="00DD720D"/>
    <w:rsid w:val="00E06285"/>
    <w:rsid w:val="00E0787A"/>
    <w:rsid w:val="00E11B2D"/>
    <w:rsid w:val="00E54117"/>
    <w:rsid w:val="00E573F8"/>
    <w:rsid w:val="00E57452"/>
    <w:rsid w:val="00E76A86"/>
    <w:rsid w:val="00E9425B"/>
    <w:rsid w:val="00EA0D73"/>
    <w:rsid w:val="00ED539D"/>
    <w:rsid w:val="00EE16D3"/>
    <w:rsid w:val="00F0027D"/>
    <w:rsid w:val="00F03C40"/>
    <w:rsid w:val="00F11C42"/>
    <w:rsid w:val="00F55CFA"/>
    <w:rsid w:val="00F65065"/>
    <w:rsid w:val="00F67F3A"/>
    <w:rsid w:val="00F72EDD"/>
    <w:rsid w:val="00FA7E25"/>
    <w:rsid w:val="00FA7FA9"/>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禁止1"/>
    <w:rsid w:val="00C229BC"/>
    <w:pPr>
      <w:tabs>
        <w:tab w:val="left" w:pos="510"/>
        <w:tab w:val="left" w:pos="1021"/>
        <w:tab w:val="left" w:pos="1531"/>
        <w:tab w:val="left" w:pos="2041"/>
        <w:tab w:val="left" w:pos="2552"/>
        <w:tab w:val="left" w:pos="3062"/>
        <w:tab w:val="left" w:pos="3572"/>
        <w:tab w:val="left" w:pos="4082"/>
        <w:tab w:val="left" w:pos="4593"/>
        <w:tab w:val="left" w:pos="5103"/>
        <w:tab w:val="left" w:pos="5613"/>
        <w:tab w:val="left" w:pos="6124"/>
        <w:tab w:val="left" w:pos="6634"/>
        <w:tab w:val="left" w:pos="7144"/>
        <w:tab w:val="left" w:pos="7655"/>
        <w:tab w:val="left" w:pos="8165"/>
      </w:tabs>
      <w:adjustRightInd w:val="0"/>
      <w:spacing w:line="336" w:lineRule="auto"/>
      <w:jc w:val="both"/>
      <w:textAlignment w:val="baseline"/>
    </w:pPr>
    <w:rPr>
      <w:rFonts w:ascii="SimSun" w:hAnsi="Courier New"/>
      <w:spacing w:val="10"/>
      <w:kern w:val="24"/>
      <w:sz w:val="21"/>
      <w:lang w:val="en-US" w:eastAsia="zh-CN"/>
    </w:rPr>
  </w:style>
  <w:style w:type="character" w:customStyle="1" w:styleId="SingleTxtGCChar">
    <w:name w:val="_ Single Txt_GC Char"/>
    <w:link w:val="SingleTxtGC"/>
    <w:locked/>
    <w:rsid w:val="00C229BC"/>
    <w:rPr>
      <w:rFonts w:eastAsia="SimSun"/>
      <w:snapToGrid w:val="0"/>
      <w:sz w:val="21"/>
      <w:lang w:val="en-US" w:eastAsia="zh-CN" w:bidi="ar-SA"/>
    </w:rPr>
  </w:style>
  <w:style w:type="paragraph" w:customStyle="1" w:styleId="SingleTxtG">
    <w:name w:val="_ Single Txt_G"/>
    <w:basedOn w:val="Normal"/>
    <w:link w:val="SingleTxtGChar"/>
    <w:rsid w:val="009F4C7B"/>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9F4C7B"/>
    <w:rPr>
      <w:rFonts w:eastAsia="SimSun"/>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957</Words>
  <Characters>5458</Characters>
  <Application>Microsoft Office Word</Application>
  <DocSecurity>4</DocSecurity>
  <Lines>45</Lines>
  <Paragraphs>12</Paragraphs>
  <ScaleCrop>false</ScaleCrop>
  <Company>CSD</Company>
  <LinksUpToDate>false</LinksUpToDate>
  <CharactersWithSpaces>6403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 X</dc:creator>
  <cp:keywords/>
  <dc:description/>
  <cp:lastModifiedBy>KONG</cp:lastModifiedBy>
  <cp:revision>3</cp:revision>
  <cp:lastPrinted>2012-02-01T09:29:00Z</cp:lastPrinted>
  <dcterms:created xsi:type="dcterms:W3CDTF">2012-02-01T09:29:00Z</dcterms:created>
  <dcterms:modified xsi:type="dcterms:W3CDTF">2012-02-01T09:30:00Z</dcterms:modified>
</cp:coreProperties>
</file>