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6F4" w:rsidRDefault="009B66F4" w:rsidP="009B66F4">
      <w:pPr>
        <w:spacing w:line="60" w:lineRule="exact"/>
        <w:rPr>
          <w:color w:val="010000"/>
          <w:sz w:val="6"/>
        </w:rPr>
        <w:sectPr w:rsidR="009B66F4" w:rsidSect="009B66F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DD2824" w:rsidRDefault="00DD2824" w:rsidP="00DD2824">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rPr>
          <w:rFonts w:ascii="Times New Roman Bold" w:eastAsia="Times New Roman" w:hAnsi="Times New Roman Bold"/>
          <w:b/>
          <w:spacing w:val="0"/>
          <w:w w:val="100"/>
          <w:kern w:val="0"/>
          <w:sz w:val="24"/>
          <w:szCs w:val="20"/>
          <w:lang w:val="en-US"/>
        </w:rPr>
      </w:pPr>
      <w:r w:rsidRPr="00DD2824">
        <w:rPr>
          <w:rFonts w:ascii="Times New Roman Bold" w:eastAsia="Times New Roman" w:hAnsi="Times New Roman Bold"/>
          <w:b/>
          <w:spacing w:val="0"/>
          <w:w w:val="100"/>
          <w:kern w:val="0"/>
          <w:sz w:val="24"/>
          <w:szCs w:val="20"/>
        </w:rPr>
        <w:t xml:space="preserve">Комитет по ликвидации дискриминации </w:t>
      </w:r>
      <w:r w:rsidRPr="00DD2824">
        <w:rPr>
          <w:rFonts w:ascii="Times New Roman Bold" w:eastAsia="Times New Roman" w:hAnsi="Times New Roman Bold"/>
          <w:b/>
          <w:spacing w:val="0"/>
          <w:w w:val="100"/>
          <w:kern w:val="0"/>
          <w:sz w:val="24"/>
          <w:szCs w:val="20"/>
        </w:rPr>
        <w:br/>
        <w:t>в отношении женщин</w:t>
      </w:r>
    </w:p>
    <w:p w:rsidR="00DD2824" w:rsidRPr="00DD2824" w:rsidRDefault="00DD2824" w:rsidP="00DD2824">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outlineLvl w:val="0"/>
        <w:rPr>
          <w:rFonts w:ascii="Times New Roman Bold" w:eastAsia="Times New Roman" w:hAnsi="Times New Roman Bold"/>
          <w:b/>
          <w:spacing w:val="0"/>
          <w:w w:val="100"/>
          <w:kern w:val="0"/>
          <w:sz w:val="10"/>
          <w:szCs w:val="20"/>
          <w:lang w:val="en-US"/>
        </w:rPr>
      </w:pPr>
    </w:p>
    <w:p w:rsidR="00DD2824" w:rsidRDefault="00DD2824" w:rsidP="00DD2824">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outlineLvl w:val="0"/>
        <w:rPr>
          <w:rFonts w:ascii="Times New Roman Bold" w:eastAsia="Times New Roman" w:hAnsi="Times New Roman Bold"/>
          <w:b/>
          <w:spacing w:val="0"/>
          <w:w w:val="100"/>
          <w:kern w:val="0"/>
          <w:sz w:val="10"/>
          <w:szCs w:val="20"/>
          <w:lang w:val="en-US"/>
        </w:rPr>
      </w:pPr>
    </w:p>
    <w:p w:rsidR="00DD2824" w:rsidRPr="00DD2824" w:rsidRDefault="00DD2824" w:rsidP="00DD2824">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outlineLvl w:val="0"/>
        <w:rPr>
          <w:rFonts w:ascii="Times New Roman Bold" w:eastAsia="Times New Roman" w:hAnsi="Times New Roman Bold"/>
          <w:b/>
          <w:spacing w:val="0"/>
          <w:w w:val="100"/>
          <w:kern w:val="0"/>
          <w:sz w:val="10"/>
          <w:szCs w:val="20"/>
          <w:lang w:val="en-US"/>
        </w:rPr>
      </w:pPr>
    </w:p>
    <w:p w:rsidR="00DD2824" w:rsidRPr="00DD2824" w:rsidRDefault="00DD2824" w:rsidP="00DD28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DD2824">
        <w:rPr>
          <w:w w:val="100"/>
        </w:rPr>
        <w:tab/>
      </w:r>
      <w:r w:rsidRPr="00DD2824">
        <w:rPr>
          <w:w w:val="100"/>
        </w:rPr>
        <w:tab/>
        <w:t>Рассмотрение докладов, представляемых государствами-участниками в соответствии со</w:t>
      </w:r>
      <w:r w:rsidRPr="00DD2824">
        <w:rPr>
          <w:w w:val="100"/>
          <w:lang w:val="en-US"/>
        </w:rPr>
        <w:t> </w:t>
      </w:r>
      <w:r w:rsidRPr="00DD2824">
        <w:rPr>
          <w:w w:val="100"/>
        </w:rPr>
        <w:t>статьей 18 Конвенции</w:t>
      </w:r>
    </w:p>
    <w:p w:rsidR="00DD2824" w:rsidRPr="00DD2824" w:rsidRDefault="00DD2824" w:rsidP="00DD28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DD2824">
        <w:rPr>
          <w:w w:val="100"/>
        </w:rPr>
        <w:tab/>
      </w:r>
      <w:r w:rsidRPr="00DD2824">
        <w:rPr>
          <w:w w:val="100"/>
        </w:rPr>
        <w:tab/>
        <w:t>Объединенные седьмой и восьмой периодические доклады государств-участников, подлежавшие представлению в 2013 году</w:t>
      </w:r>
    </w:p>
    <w:p w:rsidR="00DD2824" w:rsidRPr="00DD2824" w:rsidRDefault="00DD2824" w:rsidP="00DD2824">
      <w:pPr>
        <w:keepNext/>
        <w:keepLines/>
        <w:tabs>
          <w:tab w:val="right" w:pos="851"/>
        </w:tabs>
        <w:suppressAutoHyphens/>
        <w:spacing w:before="240" w:after="240" w:line="360" w:lineRule="exact"/>
        <w:ind w:left="1134" w:right="1134" w:hanging="1134"/>
        <w:rPr>
          <w:rFonts w:eastAsia="Times New Roman"/>
          <w:b/>
          <w:spacing w:val="0"/>
          <w:w w:val="100"/>
          <w:kern w:val="0"/>
          <w:sz w:val="28"/>
          <w:szCs w:val="28"/>
        </w:rPr>
      </w:pPr>
      <w:r w:rsidRPr="00DD2824">
        <w:rPr>
          <w:rFonts w:eastAsia="Times New Roman"/>
          <w:b/>
          <w:spacing w:val="0"/>
          <w:w w:val="100"/>
          <w:kern w:val="0"/>
          <w:sz w:val="28"/>
          <w:szCs w:val="28"/>
        </w:rPr>
        <w:tab/>
      </w:r>
      <w:r w:rsidRPr="00DD2824">
        <w:rPr>
          <w:rFonts w:eastAsia="Times New Roman"/>
          <w:b/>
          <w:spacing w:val="0"/>
          <w:w w:val="100"/>
          <w:kern w:val="0"/>
          <w:sz w:val="28"/>
          <w:szCs w:val="28"/>
        </w:rPr>
        <w:tab/>
        <w:t>Либерия</w:t>
      </w:r>
      <w:r w:rsidRPr="00DD2824">
        <w:rPr>
          <w:rFonts w:eastAsia="Times New Roman"/>
          <w:spacing w:val="0"/>
          <w:w w:val="100"/>
          <w:kern w:val="0"/>
          <w:szCs w:val="28"/>
          <w:vertAlign w:val="superscript"/>
        </w:rPr>
        <w:footnoteReference w:customMarkFollows="1" w:id="1"/>
        <w:t>*</w:t>
      </w:r>
    </w:p>
    <w:p w:rsidR="00DD2824" w:rsidRPr="00DD2824" w:rsidRDefault="00DD2824" w:rsidP="00DD2824">
      <w:pPr>
        <w:suppressAutoHyphens/>
        <w:spacing w:line="240" w:lineRule="atLeast"/>
        <w:jc w:val="right"/>
        <w:rPr>
          <w:rFonts w:eastAsia="Times New Roman"/>
          <w:spacing w:val="0"/>
          <w:w w:val="100"/>
          <w:kern w:val="0"/>
          <w:szCs w:val="20"/>
        </w:rPr>
      </w:pPr>
      <w:r w:rsidRPr="00DD2824">
        <w:rPr>
          <w:rFonts w:eastAsia="Times New Roman"/>
          <w:spacing w:val="0"/>
          <w:w w:val="100"/>
          <w:kern w:val="0"/>
          <w:szCs w:val="20"/>
        </w:rPr>
        <w:t>[17 марта 2014 года]</w:t>
      </w:r>
    </w:p>
    <w:p w:rsidR="00DD2824" w:rsidRPr="00DD2824" w:rsidRDefault="00DD2824" w:rsidP="00DD2824">
      <w:pPr>
        <w:suppressAutoHyphens/>
        <w:spacing w:after="120" w:line="480" w:lineRule="auto"/>
        <w:rPr>
          <w:rFonts w:eastAsia="Times New Roman"/>
          <w:spacing w:val="0"/>
          <w:w w:val="100"/>
          <w:kern w:val="0"/>
          <w:szCs w:val="20"/>
        </w:rPr>
      </w:pPr>
    </w:p>
    <w:p w:rsidR="00DD2824" w:rsidRDefault="00DD2824" w:rsidP="00DD2824">
      <w:pPr>
        <w:spacing w:after="120" w:line="480" w:lineRule="auto"/>
        <w:rPr>
          <w:b/>
          <w:sz w:val="28"/>
          <w:szCs w:val="28"/>
        </w:rPr>
      </w:pPr>
      <w:r w:rsidRPr="00DD2824">
        <w:rPr>
          <w:rFonts w:eastAsia="Times New Roman"/>
          <w:spacing w:val="0"/>
          <w:w w:val="100"/>
          <w:kern w:val="0"/>
          <w:szCs w:val="20"/>
          <w:lang w:val="fr-FR"/>
        </w:rPr>
        <w:br w:type="page"/>
      </w:r>
      <w:r>
        <w:rPr>
          <w:b/>
          <w:sz w:val="28"/>
          <w:szCs w:val="28"/>
        </w:rPr>
        <w:t>Содержание</w:t>
      </w:r>
    </w:p>
    <w:p w:rsidR="00DD2824" w:rsidRDefault="00DD2824" w:rsidP="00DD2824">
      <w:pPr>
        <w:tabs>
          <w:tab w:val="right" w:pos="8929"/>
          <w:tab w:val="right" w:pos="9638"/>
        </w:tabs>
        <w:spacing w:after="120" w:line="240" w:lineRule="auto"/>
        <w:ind w:left="283"/>
        <w:rPr>
          <w:sz w:val="16"/>
          <w:szCs w:val="16"/>
        </w:rPr>
      </w:pPr>
      <w:r>
        <w:rPr>
          <w:i/>
          <w:sz w:val="16"/>
          <w:szCs w:val="16"/>
          <w:lang w:val="fr-FR"/>
        </w:rPr>
        <w:tab/>
      </w:r>
      <w:r>
        <w:rPr>
          <w:i/>
          <w:sz w:val="16"/>
          <w:szCs w:val="16"/>
        </w:rPr>
        <w:tab/>
        <w:t>Стр.</w:t>
      </w:r>
    </w:p>
    <w:p w:rsidR="00DD2824" w:rsidRDefault="00DD2824" w:rsidP="00DD2824">
      <w:pPr>
        <w:pStyle w:val="TOC1"/>
        <w:tabs>
          <w:tab w:val="clear" w:pos="9629"/>
          <w:tab w:val="right" w:leader="dot" w:pos="8931"/>
          <w:tab w:val="right" w:pos="9639"/>
        </w:tabs>
        <w:ind w:right="708"/>
        <w:rPr>
          <w:noProof/>
        </w:rPr>
      </w:pPr>
      <w:r>
        <w:rPr>
          <w:b/>
          <w:szCs w:val="24"/>
        </w:rPr>
        <w:fldChar w:fldCharType="begin"/>
      </w:r>
      <w:r>
        <w:rPr>
          <w:b/>
          <w:szCs w:val="24"/>
        </w:rPr>
        <w:instrText xml:space="preserve"> TOC \h \z \t "_ H_1_G;1" </w:instrText>
      </w:r>
      <w:r>
        <w:rPr>
          <w:b/>
          <w:szCs w:val="24"/>
        </w:rPr>
        <w:fldChar w:fldCharType="separate"/>
      </w:r>
      <w:hyperlink r:id="rId14" w:anchor="_Toc388281182" w:history="1">
        <w:r>
          <w:rPr>
            <w:rStyle w:val="Hyperlink"/>
            <w:noProof/>
          </w:rPr>
          <w:t>Выражение признательности</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_Toc388281182 \h </w:instrText>
        </w:r>
        <w:r>
          <w:rPr>
            <w:rStyle w:val="Hyperlink"/>
            <w:noProof/>
          </w:rPr>
        </w:r>
        <w:r>
          <w:rPr>
            <w:rStyle w:val="Hyperlink"/>
            <w:noProof/>
          </w:rPr>
          <w:fldChar w:fldCharType="separate"/>
        </w:r>
        <w:r w:rsidR="00662DF9">
          <w:rPr>
            <w:rStyle w:val="Hyperlink"/>
            <w:noProof/>
            <w:webHidden/>
          </w:rPr>
          <w:t>3</w:t>
        </w:r>
        <w:r>
          <w:rPr>
            <w:rStyle w:val="Hyperlink"/>
            <w:noProof/>
          </w:rPr>
          <w:fldChar w:fldCharType="end"/>
        </w:r>
      </w:hyperlink>
    </w:p>
    <w:p w:rsidR="00DD2824" w:rsidRDefault="00DD2824" w:rsidP="00DD2824">
      <w:pPr>
        <w:pStyle w:val="TOC1"/>
        <w:tabs>
          <w:tab w:val="clear" w:pos="9629"/>
          <w:tab w:val="right" w:leader="dot" w:pos="8931"/>
          <w:tab w:val="right" w:pos="9639"/>
        </w:tabs>
        <w:ind w:right="708"/>
        <w:rPr>
          <w:noProof/>
        </w:rPr>
      </w:pPr>
      <w:hyperlink r:id="rId15" w:anchor="_Toc388281183" w:history="1">
        <w:r>
          <w:rPr>
            <w:rStyle w:val="Hyperlink"/>
            <w:noProof/>
          </w:rPr>
          <w:t>Акронимы и сокращения</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_Toc388281183 \h </w:instrText>
        </w:r>
        <w:r>
          <w:rPr>
            <w:rStyle w:val="Hyperlink"/>
            <w:noProof/>
          </w:rPr>
        </w:r>
        <w:r>
          <w:rPr>
            <w:rStyle w:val="Hyperlink"/>
            <w:noProof/>
          </w:rPr>
          <w:fldChar w:fldCharType="separate"/>
        </w:r>
        <w:r w:rsidR="00662DF9">
          <w:rPr>
            <w:rStyle w:val="Hyperlink"/>
            <w:noProof/>
            <w:webHidden/>
          </w:rPr>
          <w:t>4</w:t>
        </w:r>
        <w:r>
          <w:rPr>
            <w:rStyle w:val="Hyperlink"/>
            <w:noProof/>
          </w:rPr>
          <w:fldChar w:fldCharType="end"/>
        </w:r>
      </w:hyperlink>
    </w:p>
    <w:p w:rsidR="00DD2824" w:rsidRDefault="00DD2824" w:rsidP="00DD2824">
      <w:pPr>
        <w:pStyle w:val="TOC1"/>
        <w:tabs>
          <w:tab w:val="clear" w:pos="9629"/>
          <w:tab w:val="right" w:leader="dot" w:pos="8931"/>
          <w:tab w:val="right" w:pos="9639"/>
        </w:tabs>
        <w:ind w:right="708"/>
        <w:rPr>
          <w:noProof/>
        </w:rPr>
      </w:pPr>
      <w:hyperlink r:id="rId16" w:anchor="_Toc388281184" w:history="1">
        <w:r>
          <w:rPr>
            <w:rStyle w:val="Hyperlink"/>
            <w:noProof/>
          </w:rPr>
          <w:t>I.</w:t>
        </w:r>
        <w:r>
          <w:rPr>
            <w:rStyle w:val="Hyperlink"/>
            <w:noProof/>
          </w:rPr>
          <w:tab/>
          <w:t>Предисловие</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_Toc388281184 \h </w:instrText>
        </w:r>
        <w:r>
          <w:rPr>
            <w:rStyle w:val="Hyperlink"/>
            <w:noProof/>
          </w:rPr>
        </w:r>
        <w:r>
          <w:rPr>
            <w:rStyle w:val="Hyperlink"/>
            <w:noProof/>
          </w:rPr>
          <w:fldChar w:fldCharType="separate"/>
        </w:r>
        <w:r w:rsidR="00662DF9">
          <w:rPr>
            <w:rStyle w:val="Hyperlink"/>
            <w:noProof/>
            <w:webHidden/>
          </w:rPr>
          <w:t>6</w:t>
        </w:r>
        <w:r>
          <w:rPr>
            <w:rStyle w:val="Hyperlink"/>
            <w:noProof/>
          </w:rPr>
          <w:fldChar w:fldCharType="end"/>
        </w:r>
      </w:hyperlink>
    </w:p>
    <w:p w:rsidR="00DD2824" w:rsidRDefault="00DD2824" w:rsidP="00DD2824">
      <w:pPr>
        <w:pStyle w:val="TOC1"/>
        <w:tabs>
          <w:tab w:val="clear" w:pos="9629"/>
          <w:tab w:val="right" w:leader="dot" w:pos="8931"/>
          <w:tab w:val="right" w:pos="9639"/>
        </w:tabs>
        <w:ind w:right="708"/>
        <w:rPr>
          <w:noProof/>
        </w:rPr>
      </w:pPr>
      <w:hyperlink r:id="rId17" w:anchor="_Toc388281185" w:history="1">
        <w:r>
          <w:rPr>
            <w:rStyle w:val="Hyperlink"/>
            <w:noProof/>
          </w:rPr>
          <w:t>II.</w:t>
        </w:r>
        <w:r>
          <w:rPr>
            <w:rStyle w:val="Hyperlink"/>
            <w:noProof/>
          </w:rPr>
          <w:tab/>
          <w:t>Общее введение</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_Toc388281185 \h </w:instrText>
        </w:r>
        <w:r>
          <w:rPr>
            <w:rStyle w:val="Hyperlink"/>
            <w:noProof/>
          </w:rPr>
        </w:r>
        <w:r>
          <w:rPr>
            <w:rStyle w:val="Hyperlink"/>
            <w:noProof/>
          </w:rPr>
          <w:fldChar w:fldCharType="separate"/>
        </w:r>
        <w:r w:rsidR="00662DF9">
          <w:rPr>
            <w:rStyle w:val="Hyperlink"/>
            <w:noProof/>
            <w:webHidden/>
          </w:rPr>
          <w:t>7</w:t>
        </w:r>
        <w:r>
          <w:rPr>
            <w:rStyle w:val="Hyperlink"/>
            <w:noProof/>
          </w:rPr>
          <w:fldChar w:fldCharType="end"/>
        </w:r>
      </w:hyperlink>
    </w:p>
    <w:p w:rsidR="00DD2824" w:rsidRDefault="00DD2824" w:rsidP="00DD2824">
      <w:pPr>
        <w:pStyle w:val="TOC1"/>
        <w:tabs>
          <w:tab w:val="clear" w:pos="9629"/>
          <w:tab w:val="right" w:leader="dot" w:pos="8931"/>
          <w:tab w:val="right" w:pos="9639"/>
        </w:tabs>
        <w:ind w:right="708"/>
        <w:rPr>
          <w:noProof/>
        </w:rPr>
      </w:pPr>
      <w:hyperlink r:id="rId18" w:anchor="_Toc388281186" w:history="1">
        <w:r>
          <w:rPr>
            <w:rStyle w:val="Hyperlink"/>
            <w:noProof/>
          </w:rPr>
          <w:t>III.</w:t>
        </w:r>
        <w:r>
          <w:rPr>
            <w:rStyle w:val="Hyperlink"/>
            <w:noProof/>
          </w:rPr>
          <w:tab/>
          <w:t>Часть вторая. Рекомендации/замечания</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_Toc388281186 \h </w:instrText>
        </w:r>
        <w:r>
          <w:rPr>
            <w:rStyle w:val="Hyperlink"/>
            <w:noProof/>
          </w:rPr>
        </w:r>
        <w:r>
          <w:rPr>
            <w:rStyle w:val="Hyperlink"/>
            <w:noProof/>
          </w:rPr>
          <w:fldChar w:fldCharType="separate"/>
        </w:r>
        <w:r w:rsidR="00662DF9">
          <w:rPr>
            <w:rStyle w:val="Hyperlink"/>
            <w:noProof/>
            <w:webHidden/>
          </w:rPr>
          <w:t>7</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19" w:anchor="_Toc388281187" w:history="1">
        <w:r>
          <w:rPr>
            <w:rStyle w:val="Hyperlink"/>
            <w:noProof/>
          </w:rPr>
          <w:t>Статьи 1 и 2. Политические и правовые меры по ликвидации дискриминации</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_Toc388281187 \h </w:instrText>
        </w:r>
        <w:r>
          <w:rPr>
            <w:rStyle w:val="Hyperlink"/>
            <w:noProof/>
          </w:rPr>
        </w:r>
        <w:r>
          <w:rPr>
            <w:rStyle w:val="Hyperlink"/>
            <w:noProof/>
          </w:rPr>
          <w:fldChar w:fldCharType="separate"/>
        </w:r>
        <w:r w:rsidR="00662DF9">
          <w:rPr>
            <w:rStyle w:val="Hyperlink"/>
            <w:noProof/>
            <w:webHidden/>
          </w:rPr>
          <w:t>7</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0" w:anchor="_Toc388281188" w:history="1">
        <w:r>
          <w:rPr>
            <w:rStyle w:val="Hyperlink"/>
            <w:noProof/>
          </w:rPr>
          <w:t>Статья 3. Меры по улучшению положения женщин и их развитию</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_Toc388281188 \h </w:instrText>
        </w:r>
        <w:r>
          <w:rPr>
            <w:rStyle w:val="Hyperlink"/>
            <w:noProof/>
          </w:rPr>
        </w:r>
        <w:r>
          <w:rPr>
            <w:rStyle w:val="Hyperlink"/>
            <w:noProof/>
          </w:rPr>
          <w:fldChar w:fldCharType="separate"/>
        </w:r>
        <w:r w:rsidR="00662DF9">
          <w:rPr>
            <w:rStyle w:val="Hyperlink"/>
            <w:noProof/>
            <w:webHidden/>
          </w:rPr>
          <w:t>9</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1" w:anchor="_Toc388281189" w:history="1">
        <w:r>
          <w:rPr>
            <w:rStyle w:val="Hyperlink"/>
            <w:noProof/>
          </w:rPr>
          <w:t>Статья 4. Меры, направленные на ускорение установления фактического равенства между мужчинами и женщинами</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_Toc388281189 \h </w:instrText>
        </w:r>
        <w:r>
          <w:rPr>
            <w:rStyle w:val="Hyperlink"/>
            <w:noProof/>
          </w:rPr>
        </w:r>
        <w:r>
          <w:rPr>
            <w:rStyle w:val="Hyperlink"/>
            <w:noProof/>
          </w:rPr>
          <w:fldChar w:fldCharType="separate"/>
        </w:r>
        <w:r w:rsidR="00662DF9">
          <w:rPr>
            <w:rStyle w:val="Hyperlink"/>
            <w:noProof/>
            <w:webHidden/>
          </w:rPr>
          <w:t>13</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2" w:anchor="_Toc388281190" w:history="1">
        <w:r>
          <w:rPr>
            <w:rStyle w:val="Hyperlink"/>
            <w:noProof/>
          </w:rPr>
          <w:t>Статья 5. Роли, определяемые полом, и стереотипные представления о роли мужчин и женщин</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_Toc388281190 \h </w:instrText>
        </w:r>
        <w:r>
          <w:rPr>
            <w:rStyle w:val="Hyperlink"/>
            <w:noProof/>
          </w:rPr>
        </w:r>
        <w:r>
          <w:rPr>
            <w:rStyle w:val="Hyperlink"/>
            <w:noProof/>
          </w:rPr>
          <w:fldChar w:fldCharType="separate"/>
        </w:r>
        <w:r w:rsidR="00662DF9">
          <w:rPr>
            <w:rStyle w:val="Hyperlink"/>
            <w:noProof/>
            <w:webHidden/>
          </w:rPr>
          <w:t>14</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3" w:anchor="_Toc388281191" w:history="1">
        <w:r>
          <w:rPr>
            <w:rStyle w:val="Hyperlink"/>
            <w:noProof/>
          </w:rPr>
          <w:t>Статья 6. Торговля людьми и эксплуатация</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_Toc388281191 \h </w:instrText>
        </w:r>
        <w:r>
          <w:rPr>
            <w:rStyle w:val="Hyperlink"/>
            <w:noProof/>
          </w:rPr>
        </w:r>
        <w:r>
          <w:rPr>
            <w:rStyle w:val="Hyperlink"/>
            <w:noProof/>
          </w:rPr>
          <w:fldChar w:fldCharType="separate"/>
        </w:r>
        <w:r w:rsidR="00662DF9">
          <w:rPr>
            <w:rStyle w:val="Hyperlink"/>
            <w:noProof/>
            <w:webHidden/>
          </w:rPr>
          <w:t>16</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4" w:anchor="_Toc388281192" w:history="1">
        <w:r>
          <w:rPr>
            <w:rStyle w:val="Hyperlink"/>
            <w:noProof/>
          </w:rPr>
          <w:t>Статьи 7 и 8. Содействие достижению равенства при принятии политических решений</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_Toc388281192 \h </w:instrText>
        </w:r>
        <w:r>
          <w:rPr>
            <w:rStyle w:val="Hyperlink"/>
            <w:noProof/>
          </w:rPr>
        </w:r>
        <w:r>
          <w:rPr>
            <w:rStyle w:val="Hyperlink"/>
            <w:noProof/>
          </w:rPr>
          <w:fldChar w:fldCharType="separate"/>
        </w:r>
        <w:r w:rsidR="00662DF9">
          <w:rPr>
            <w:rStyle w:val="Hyperlink"/>
            <w:noProof/>
            <w:webHidden/>
          </w:rPr>
          <w:t>17</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5" w:anchor="_Toc388281193" w:history="1">
        <w:r>
          <w:rPr>
            <w:rStyle w:val="Hyperlink"/>
            <w:noProof/>
          </w:rPr>
          <w:t>Статья 9. Гражданство</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_Toc388281193 \h </w:instrText>
        </w:r>
        <w:r>
          <w:rPr>
            <w:rStyle w:val="Hyperlink"/>
            <w:noProof/>
          </w:rPr>
        </w:r>
        <w:r>
          <w:rPr>
            <w:rStyle w:val="Hyperlink"/>
            <w:noProof/>
          </w:rPr>
          <w:fldChar w:fldCharType="separate"/>
        </w:r>
        <w:r w:rsidR="00662DF9">
          <w:rPr>
            <w:rStyle w:val="Hyperlink"/>
            <w:noProof/>
            <w:webHidden/>
          </w:rPr>
          <w:t>19</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6" w:anchor="_Toc388281194" w:history="1">
        <w:r>
          <w:rPr>
            <w:rStyle w:val="Hyperlink"/>
            <w:noProof/>
          </w:rPr>
          <w:t>Статья 10. Равенство в доступе к образованию</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_Toc388281194 \h </w:instrText>
        </w:r>
        <w:r>
          <w:rPr>
            <w:rStyle w:val="Hyperlink"/>
            <w:noProof/>
          </w:rPr>
        </w:r>
        <w:r>
          <w:rPr>
            <w:rStyle w:val="Hyperlink"/>
            <w:noProof/>
          </w:rPr>
          <w:fldChar w:fldCharType="separate"/>
        </w:r>
        <w:r w:rsidR="00662DF9">
          <w:rPr>
            <w:rStyle w:val="Hyperlink"/>
            <w:noProof/>
            <w:webHidden/>
          </w:rPr>
          <w:t>20</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7" w:anchor="_Toc388281195" w:history="1">
        <w:r>
          <w:rPr>
            <w:rStyle w:val="Hyperlink"/>
            <w:noProof/>
          </w:rPr>
          <w:t>Статья 11. Занятость</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_Toc388281195 \h </w:instrText>
        </w:r>
        <w:r>
          <w:rPr>
            <w:rStyle w:val="Hyperlink"/>
            <w:noProof/>
          </w:rPr>
        </w:r>
        <w:r>
          <w:rPr>
            <w:rStyle w:val="Hyperlink"/>
            <w:noProof/>
          </w:rPr>
          <w:fldChar w:fldCharType="separate"/>
        </w:r>
        <w:r w:rsidR="00662DF9">
          <w:rPr>
            <w:rStyle w:val="Hyperlink"/>
            <w:noProof/>
            <w:webHidden/>
          </w:rPr>
          <w:t>26</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8" w:anchor="_Toc388281196" w:history="1">
        <w:r>
          <w:rPr>
            <w:rStyle w:val="Hyperlink"/>
            <w:noProof/>
          </w:rPr>
          <w:t>Статья 12. Доступ к здравоохранению</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_Toc388281196 \h </w:instrText>
        </w:r>
        <w:r>
          <w:rPr>
            <w:rStyle w:val="Hyperlink"/>
            <w:noProof/>
          </w:rPr>
        </w:r>
        <w:r>
          <w:rPr>
            <w:rStyle w:val="Hyperlink"/>
            <w:noProof/>
          </w:rPr>
          <w:fldChar w:fldCharType="separate"/>
        </w:r>
        <w:r w:rsidR="00662DF9">
          <w:rPr>
            <w:rStyle w:val="Hyperlink"/>
            <w:noProof/>
            <w:webHidden/>
          </w:rPr>
          <w:t>29</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29" w:anchor="_Toc388281197" w:history="1">
        <w:r>
          <w:rPr>
            <w:rStyle w:val="Hyperlink"/>
            <w:noProof/>
          </w:rPr>
          <w:t>Статья 13. Экономические и социальные права</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_Toc388281197 \h </w:instrText>
        </w:r>
        <w:r>
          <w:rPr>
            <w:rStyle w:val="Hyperlink"/>
            <w:noProof/>
          </w:rPr>
        </w:r>
        <w:r>
          <w:rPr>
            <w:rStyle w:val="Hyperlink"/>
            <w:noProof/>
          </w:rPr>
          <w:fldChar w:fldCharType="separate"/>
        </w:r>
        <w:r w:rsidR="00662DF9">
          <w:rPr>
            <w:rStyle w:val="Hyperlink"/>
            <w:noProof/>
            <w:webHidden/>
          </w:rPr>
          <w:t>35</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30" w:anchor="_Toc388281198" w:history="1">
        <w:r>
          <w:rPr>
            <w:rStyle w:val="Hyperlink"/>
            <w:noProof/>
          </w:rPr>
          <w:t>Статья 14. Сельские женщины</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_Toc388281198 \h </w:instrText>
        </w:r>
        <w:r>
          <w:rPr>
            <w:rStyle w:val="Hyperlink"/>
            <w:noProof/>
          </w:rPr>
        </w:r>
        <w:r>
          <w:rPr>
            <w:rStyle w:val="Hyperlink"/>
            <w:noProof/>
          </w:rPr>
          <w:fldChar w:fldCharType="separate"/>
        </w:r>
        <w:r w:rsidR="00662DF9">
          <w:rPr>
            <w:rStyle w:val="Hyperlink"/>
            <w:noProof/>
            <w:webHidden/>
          </w:rPr>
          <w:t>36</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31" w:anchor="_Toc388281199" w:history="1">
        <w:r>
          <w:rPr>
            <w:rStyle w:val="Hyperlink"/>
            <w:noProof/>
          </w:rPr>
          <w:t>Статья 15. Равенство перед законом</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_Toc388281199 \h </w:instrText>
        </w:r>
        <w:r>
          <w:rPr>
            <w:rStyle w:val="Hyperlink"/>
            <w:noProof/>
          </w:rPr>
        </w:r>
        <w:r>
          <w:rPr>
            <w:rStyle w:val="Hyperlink"/>
            <w:noProof/>
          </w:rPr>
          <w:fldChar w:fldCharType="separate"/>
        </w:r>
        <w:r w:rsidR="00662DF9">
          <w:rPr>
            <w:rStyle w:val="Hyperlink"/>
            <w:noProof/>
            <w:webHidden/>
          </w:rPr>
          <w:t>37</w:t>
        </w:r>
        <w:r>
          <w:rPr>
            <w:rStyle w:val="Hyperlink"/>
            <w:noProof/>
          </w:rPr>
          <w:fldChar w:fldCharType="end"/>
        </w:r>
      </w:hyperlink>
    </w:p>
    <w:p w:rsidR="00DD2824" w:rsidRDefault="00DD2824" w:rsidP="00DD2824">
      <w:pPr>
        <w:pStyle w:val="TOC1"/>
        <w:tabs>
          <w:tab w:val="clear" w:pos="9629"/>
          <w:tab w:val="right" w:leader="dot" w:pos="8931"/>
          <w:tab w:val="right" w:pos="9639"/>
        </w:tabs>
        <w:ind w:left="426" w:right="708"/>
        <w:rPr>
          <w:noProof/>
        </w:rPr>
      </w:pPr>
      <w:hyperlink r:id="rId32" w:anchor="_Toc388281200" w:history="1">
        <w:r>
          <w:rPr>
            <w:rStyle w:val="Hyperlink"/>
            <w:noProof/>
          </w:rPr>
          <w:t>Статья 16. Брак и семья</w:t>
        </w:r>
        <w:r>
          <w:rPr>
            <w:rStyle w:val="Hyperlink"/>
            <w:noProof/>
            <w:webHidden/>
          </w:rPr>
          <w:tab/>
        </w:r>
        <w:r>
          <w:rPr>
            <w:rStyle w:val="Hyperlink"/>
            <w:noProof/>
            <w:webHidden/>
            <w:lang w:val="ru-RU"/>
          </w:rPr>
          <w:tab/>
        </w:r>
        <w:r>
          <w:rPr>
            <w:rStyle w:val="Hyperlink"/>
            <w:noProof/>
          </w:rPr>
          <w:fldChar w:fldCharType="begin"/>
        </w:r>
        <w:r>
          <w:rPr>
            <w:rStyle w:val="Hyperlink"/>
            <w:noProof/>
            <w:webHidden/>
          </w:rPr>
          <w:instrText xml:space="preserve"> PAGEREF _Toc388281200 \h </w:instrText>
        </w:r>
        <w:r>
          <w:rPr>
            <w:rStyle w:val="Hyperlink"/>
            <w:noProof/>
          </w:rPr>
        </w:r>
        <w:r>
          <w:rPr>
            <w:rStyle w:val="Hyperlink"/>
            <w:noProof/>
          </w:rPr>
          <w:fldChar w:fldCharType="separate"/>
        </w:r>
        <w:r w:rsidR="00662DF9">
          <w:rPr>
            <w:rStyle w:val="Hyperlink"/>
            <w:noProof/>
            <w:webHidden/>
          </w:rPr>
          <w:t>37</w:t>
        </w:r>
        <w:r>
          <w:rPr>
            <w:rStyle w:val="Hyperlink"/>
            <w:noProof/>
          </w:rPr>
          <w:fldChar w:fldCharType="end"/>
        </w:r>
      </w:hyperlink>
    </w:p>
    <w:p w:rsidR="00DD2824" w:rsidRDefault="00DD2824" w:rsidP="00DD2824">
      <w:pPr>
        <w:pStyle w:val="TOC1"/>
        <w:tabs>
          <w:tab w:val="clear" w:pos="9629"/>
          <w:tab w:val="right" w:leader="dot" w:pos="8931"/>
          <w:tab w:val="right" w:pos="9639"/>
        </w:tabs>
        <w:ind w:right="708"/>
        <w:rPr>
          <w:noProof/>
        </w:rPr>
      </w:pPr>
      <w:hyperlink r:id="rId33" w:anchor="_Toc388281201" w:history="1">
        <w:r>
          <w:rPr>
            <w:rStyle w:val="Hyperlink"/>
            <w:noProof/>
            <w:lang w:val="en-US"/>
          </w:rPr>
          <w:t>IV</w:t>
        </w:r>
        <w:r>
          <w:rPr>
            <w:rStyle w:val="Hyperlink"/>
            <w:noProof/>
          </w:rPr>
          <w:t>.</w:t>
        </w:r>
        <w:r>
          <w:rPr>
            <w:rStyle w:val="Hyperlink"/>
            <w:noProof/>
          </w:rPr>
          <w:tab/>
          <w:t>Заключение</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_Toc388281201 \h </w:instrText>
        </w:r>
        <w:r>
          <w:rPr>
            <w:rStyle w:val="Hyperlink"/>
            <w:noProof/>
          </w:rPr>
        </w:r>
        <w:r>
          <w:rPr>
            <w:rStyle w:val="Hyperlink"/>
            <w:noProof/>
          </w:rPr>
          <w:fldChar w:fldCharType="separate"/>
        </w:r>
        <w:r w:rsidR="00662DF9">
          <w:rPr>
            <w:rStyle w:val="Hyperlink"/>
            <w:noProof/>
            <w:webHidden/>
          </w:rPr>
          <w:t>39</w:t>
        </w:r>
        <w:r>
          <w:rPr>
            <w:rStyle w:val="Hyperlink"/>
            <w:noProof/>
          </w:rPr>
          <w:fldChar w:fldCharType="end"/>
        </w:r>
      </w:hyperlink>
    </w:p>
    <w:p w:rsidR="00DD2824" w:rsidRDefault="00DD2824" w:rsidP="00DD2824">
      <w:pPr>
        <w:pStyle w:val="TOC1"/>
        <w:tabs>
          <w:tab w:val="clear" w:pos="9629"/>
          <w:tab w:val="right" w:leader="dot" w:pos="8931"/>
          <w:tab w:val="right" w:pos="9639"/>
        </w:tabs>
        <w:ind w:right="708"/>
        <w:rPr>
          <w:noProof/>
        </w:rPr>
      </w:pPr>
      <w:hyperlink r:id="rId34" w:anchor="_Toc388281202" w:history="1">
        <w:r>
          <w:rPr>
            <w:rStyle w:val="Hyperlink"/>
            <w:noProof/>
            <w:lang w:val="en-US"/>
          </w:rPr>
          <w:t>V.</w:t>
        </w:r>
        <w:r>
          <w:rPr>
            <w:rStyle w:val="Hyperlink"/>
            <w:noProof/>
          </w:rPr>
          <w:tab/>
          <w:t>Ссылки</w:t>
        </w:r>
        <w:r>
          <w:rPr>
            <w:rStyle w:val="Hyperlink"/>
            <w:noProof/>
            <w:webHidden/>
          </w:rPr>
          <w:tab/>
        </w:r>
        <w:r>
          <w:rPr>
            <w:rStyle w:val="Hyperlink"/>
            <w:noProof/>
            <w:lang w:val="ru-RU"/>
          </w:rPr>
          <w:tab/>
        </w:r>
        <w:r>
          <w:rPr>
            <w:rStyle w:val="Hyperlink"/>
            <w:noProof/>
          </w:rPr>
          <w:fldChar w:fldCharType="begin"/>
        </w:r>
        <w:r>
          <w:rPr>
            <w:rStyle w:val="Hyperlink"/>
            <w:noProof/>
            <w:webHidden/>
          </w:rPr>
          <w:instrText xml:space="preserve"> PAGEREF _Toc388281202 \h </w:instrText>
        </w:r>
        <w:r>
          <w:rPr>
            <w:rStyle w:val="Hyperlink"/>
            <w:noProof/>
          </w:rPr>
        </w:r>
        <w:r>
          <w:rPr>
            <w:rStyle w:val="Hyperlink"/>
            <w:noProof/>
          </w:rPr>
          <w:fldChar w:fldCharType="separate"/>
        </w:r>
        <w:r w:rsidR="00662DF9">
          <w:rPr>
            <w:rStyle w:val="Hyperlink"/>
            <w:noProof/>
            <w:webHidden/>
          </w:rPr>
          <w:t>40</w:t>
        </w:r>
        <w:r>
          <w:rPr>
            <w:rStyle w:val="Hyperlink"/>
            <w:noProof/>
          </w:rPr>
          <w:fldChar w:fldCharType="end"/>
        </w:r>
      </w:hyperlink>
    </w:p>
    <w:p w:rsidR="00DD2824" w:rsidRDefault="00DD2824" w:rsidP="00DD28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fldChar w:fldCharType="end"/>
      </w:r>
      <w:r w:rsidRPr="00DD2824">
        <w:rPr>
          <w:w w:val="100"/>
          <w:szCs w:val="20"/>
        </w:rPr>
        <w:br w:type="page"/>
      </w:r>
      <w:bookmarkStart w:id="1" w:name="_Toc388281182"/>
      <w:r>
        <w:t>Выражение признательности</w:t>
      </w:r>
      <w:bookmarkEnd w:id="1"/>
    </w:p>
    <w:p w:rsidR="00DD2824" w:rsidRPr="00DD2824" w:rsidRDefault="00DD2824" w:rsidP="00DD2824">
      <w:pPr>
        <w:pStyle w:val="SingleTxt"/>
        <w:spacing w:after="0" w:line="120" w:lineRule="exact"/>
        <w:rPr>
          <w:sz w:val="10"/>
          <w:lang w:val="en-US"/>
        </w:rPr>
      </w:pPr>
    </w:p>
    <w:p w:rsidR="00DD2824" w:rsidRPr="00DD2824" w:rsidRDefault="00DD2824" w:rsidP="00DD2824">
      <w:pPr>
        <w:pStyle w:val="SingleTxt"/>
        <w:rPr>
          <w:w w:val="100"/>
        </w:rPr>
      </w:pPr>
      <w:r w:rsidRPr="00DD2824">
        <w:rPr>
          <w:w w:val="100"/>
        </w:rPr>
        <w:t>Правительство Либерии в лице Министерства по гендерным вопросам и разв</w:t>
      </w:r>
      <w:r w:rsidRPr="00DD2824">
        <w:rPr>
          <w:w w:val="100"/>
        </w:rPr>
        <w:t>и</w:t>
      </w:r>
      <w:r w:rsidRPr="00DD2824">
        <w:rPr>
          <w:w w:val="100"/>
        </w:rPr>
        <w:t>тию выражает признательность тематическим рабочим группам за проделанную ими огромную работу по подготовке настоящего доклада. Похвалы заслуживают неустанные усилия и целеустремленность представителей различных мин</w:t>
      </w:r>
      <w:r w:rsidRPr="00DD2824">
        <w:rPr>
          <w:w w:val="100"/>
        </w:rPr>
        <w:t>и</w:t>
      </w:r>
      <w:r w:rsidRPr="00DD2824">
        <w:rPr>
          <w:w w:val="100"/>
        </w:rPr>
        <w:t>стерств и правительственных учреждений, которые усердно трудились, чтобы обеспечить завершение данного доклада в срок.</w:t>
      </w:r>
    </w:p>
    <w:p w:rsidR="00DD2824" w:rsidRPr="00DD2824" w:rsidRDefault="00DD2824" w:rsidP="00DD2824">
      <w:pPr>
        <w:pStyle w:val="SingleTxt"/>
        <w:rPr>
          <w:w w:val="100"/>
        </w:rPr>
      </w:pPr>
      <w:r w:rsidRPr="00DD2824">
        <w:rPr>
          <w:w w:val="100"/>
        </w:rPr>
        <w:t>Мы выражаем особую благодарность сотрудникам структуры "ООН-женщины" за их руководство и постоянную поддержку, а также нашим консультантам за их д</w:t>
      </w:r>
      <w:r w:rsidRPr="00DD2824">
        <w:rPr>
          <w:w w:val="100"/>
        </w:rPr>
        <w:t>о</w:t>
      </w:r>
      <w:r w:rsidRPr="00DD2824">
        <w:rPr>
          <w:w w:val="100"/>
        </w:rPr>
        <w:t>стоверную информацию, руководство и координацию процесса составления д</w:t>
      </w:r>
      <w:r w:rsidRPr="00DD2824">
        <w:rPr>
          <w:w w:val="100"/>
        </w:rPr>
        <w:t>о</w:t>
      </w:r>
      <w:r w:rsidRPr="00DD2824">
        <w:rPr>
          <w:w w:val="100"/>
        </w:rPr>
        <w:t>клада.</w:t>
      </w:r>
    </w:p>
    <w:p w:rsidR="00DD2824" w:rsidRPr="00DD2824" w:rsidRDefault="00DD2824" w:rsidP="00DD2824">
      <w:pPr>
        <w:pStyle w:val="SingleTxt"/>
        <w:rPr>
          <w:w w:val="100"/>
        </w:rPr>
      </w:pPr>
      <w:r w:rsidRPr="00DD2824">
        <w:rPr>
          <w:w w:val="100"/>
        </w:rPr>
        <w:t>Доклад явился результатом тесной совместной работы министерств и правител</w:t>
      </w:r>
      <w:r w:rsidRPr="00DD2824">
        <w:rPr>
          <w:w w:val="100"/>
        </w:rPr>
        <w:t>ь</w:t>
      </w:r>
      <w:r w:rsidRPr="00DD2824">
        <w:rPr>
          <w:w w:val="100"/>
        </w:rPr>
        <w:t>ственных учреждений, организаций гражданского общества, национальных и международных неправительственных организаций. Из этих структурных единиц были сформированы пять тематических групп, которым было поручено проан</w:t>
      </w:r>
      <w:r w:rsidRPr="00DD2824">
        <w:rPr>
          <w:w w:val="100"/>
        </w:rPr>
        <w:t>а</w:t>
      </w:r>
      <w:r w:rsidRPr="00DD2824">
        <w:rPr>
          <w:w w:val="100"/>
        </w:rPr>
        <w:t>лизировать заключительные замечания по последнему периодическому докладу Либерии о выполнении КЛДЖ, сообщить об осуществленной правительством д</w:t>
      </w:r>
      <w:r w:rsidRPr="00DD2824">
        <w:rPr>
          <w:w w:val="100"/>
        </w:rPr>
        <w:t>е</w:t>
      </w:r>
      <w:r w:rsidRPr="00DD2824">
        <w:rPr>
          <w:w w:val="100"/>
        </w:rPr>
        <w:t>ятельности по выполнению статей КЛДЖ за отчетный период, собрать все соо</w:t>
      </w:r>
      <w:r w:rsidRPr="00DD2824">
        <w:rPr>
          <w:w w:val="100"/>
        </w:rPr>
        <w:t>т</w:t>
      </w:r>
      <w:r w:rsidRPr="00DD2824">
        <w:rPr>
          <w:w w:val="100"/>
        </w:rPr>
        <w:t>ветствующие данные и составить окончательный вариант доклада.</w:t>
      </w:r>
    </w:p>
    <w:p w:rsidR="00DD2824" w:rsidRPr="00DD2824" w:rsidRDefault="00DD2824" w:rsidP="00DD2824">
      <w:pPr>
        <w:pStyle w:val="SingleTxt"/>
        <w:rPr>
          <w:w w:val="100"/>
        </w:rPr>
      </w:pPr>
      <w:r w:rsidRPr="00DD2824">
        <w:rPr>
          <w:w w:val="100"/>
        </w:rPr>
        <w:t>Были проведены три региональные консультации по проекту доклада с участием представителей всех пятнадцати графств Либерии. Результаты этих консультаций были включены в окончательный вариант доклада о выполнении КЛДЖ.</w:t>
      </w:r>
    </w:p>
    <w:p w:rsidR="00DD2824" w:rsidRPr="00DD2824" w:rsidRDefault="00DD2824" w:rsidP="00DD2824">
      <w:pPr>
        <w:pStyle w:val="SingleTxt"/>
        <w:rPr>
          <w:w w:val="100"/>
        </w:rPr>
      </w:pPr>
      <w:r w:rsidRPr="00DD2824">
        <w:rPr>
          <w:w w:val="100"/>
        </w:rPr>
        <w:t>Окончательная редакция доклада была утверждена на состоявшемся в Монровии общенациональном мероприятии по подтверждению подлинности данных, в котором приняли участие представители правительственных министерств, учреждений, организаций гражданского общества, женских групп, молодежи, общинные и традиционные лидеры.</w:t>
      </w:r>
    </w:p>
    <w:p w:rsidR="00DD2824" w:rsidRPr="00DD2824" w:rsidRDefault="00DD2824" w:rsidP="00DD2824">
      <w:pPr>
        <w:pStyle w:val="SingleTxt"/>
        <w:rPr>
          <w:w w:val="100"/>
        </w:rPr>
      </w:pPr>
      <w:r w:rsidRPr="00DD2824">
        <w:rPr>
          <w:w w:val="100"/>
        </w:rPr>
        <w:t xml:space="preserve">Кульминацией всех этих событий стало принятие настоящего доклада. </w:t>
      </w:r>
    </w:p>
    <w:p w:rsidR="00DD2824" w:rsidRPr="00DD2824" w:rsidRDefault="00DD2824" w:rsidP="00DD2824">
      <w:pPr>
        <w:pStyle w:val="SingleTxt"/>
        <w:rPr>
          <w:w w:val="100"/>
        </w:rPr>
      </w:pPr>
      <w:r w:rsidRPr="00DD2824">
        <w:rPr>
          <w:w w:val="100"/>
        </w:rPr>
        <w:t>Мы бесконечно благодарны всем, кто внес свой вклад в реализацию этой задачи.</w:t>
      </w:r>
    </w:p>
    <w:p w:rsidR="00DD2824" w:rsidRPr="00DD2824" w:rsidRDefault="00DD2824" w:rsidP="00DD2824">
      <w:pPr>
        <w:pStyle w:val="SingleTxt"/>
        <w:rPr>
          <w:w w:val="100"/>
        </w:rPr>
      </w:pPr>
      <w:r w:rsidRPr="00DD2824">
        <w:rPr>
          <w:w w:val="100"/>
        </w:rPr>
        <w:t>С уважением,</w:t>
      </w:r>
    </w:p>
    <w:p w:rsidR="00DD2824" w:rsidRPr="00DD2824" w:rsidRDefault="00DD2824" w:rsidP="00DD2824">
      <w:pPr>
        <w:suppressAutoHyphens/>
        <w:spacing w:after="120"/>
        <w:ind w:left="1134" w:right="1134"/>
        <w:jc w:val="right"/>
        <w:rPr>
          <w:rFonts w:eastAsia="Times New Roman"/>
          <w:i/>
          <w:spacing w:val="0"/>
          <w:w w:val="100"/>
          <w:kern w:val="0"/>
          <w:szCs w:val="20"/>
        </w:rPr>
      </w:pPr>
      <w:r w:rsidRPr="00DD2824">
        <w:rPr>
          <w:rFonts w:eastAsia="Times New Roman"/>
          <w:i/>
          <w:spacing w:val="0"/>
          <w:w w:val="100"/>
          <w:kern w:val="0"/>
          <w:szCs w:val="20"/>
        </w:rPr>
        <w:t>Джулия Дункан-Кассел</w:t>
      </w:r>
    </w:p>
    <w:p w:rsidR="00DD2824" w:rsidRPr="00DD2824" w:rsidRDefault="00DD2824" w:rsidP="00DD2824">
      <w:pPr>
        <w:suppressAutoHyphens/>
        <w:spacing w:after="120"/>
        <w:ind w:left="1134" w:right="1134"/>
        <w:jc w:val="right"/>
        <w:rPr>
          <w:rFonts w:eastAsia="Times New Roman"/>
          <w:b/>
          <w:i/>
          <w:spacing w:val="0"/>
          <w:w w:val="100"/>
          <w:kern w:val="0"/>
          <w:szCs w:val="20"/>
        </w:rPr>
      </w:pPr>
      <w:r w:rsidRPr="00DD2824">
        <w:rPr>
          <w:rFonts w:eastAsia="Times New Roman"/>
          <w:b/>
          <w:i/>
          <w:spacing w:val="0"/>
          <w:w w:val="100"/>
          <w:kern w:val="0"/>
          <w:szCs w:val="20"/>
        </w:rPr>
        <w:t>Министр по гендерным вопросам и развитию</w:t>
      </w:r>
    </w:p>
    <w:p w:rsidR="00DD2824" w:rsidRPr="00DD2824" w:rsidRDefault="00DD2824" w:rsidP="00DD2824">
      <w:pPr>
        <w:keepNext/>
        <w:keepLines/>
        <w:tabs>
          <w:tab w:val="right" w:pos="851"/>
        </w:tabs>
        <w:suppressAutoHyphens/>
        <w:spacing w:after="240"/>
        <w:ind w:left="1134" w:right="1134"/>
        <w:rPr>
          <w:rFonts w:eastAsia="Times New Roman"/>
          <w:b/>
          <w:spacing w:val="0"/>
          <w:w w:val="100"/>
          <w:kern w:val="0"/>
          <w:sz w:val="28"/>
          <w:szCs w:val="24"/>
        </w:rPr>
      </w:pPr>
      <w:r w:rsidRPr="00DD2824">
        <w:rPr>
          <w:rFonts w:eastAsia="Times New Roman"/>
          <w:spacing w:val="0"/>
          <w:w w:val="100"/>
          <w:kern w:val="0"/>
          <w:sz w:val="28"/>
          <w:szCs w:val="20"/>
        </w:rPr>
        <w:br w:type="page"/>
      </w:r>
      <w:bookmarkStart w:id="2" w:name="_Toc388281183"/>
      <w:r w:rsidRPr="00DD2824">
        <w:rPr>
          <w:rFonts w:eastAsia="Times New Roman"/>
          <w:b/>
          <w:spacing w:val="0"/>
          <w:w w:val="100"/>
          <w:kern w:val="0"/>
          <w:sz w:val="28"/>
          <w:szCs w:val="24"/>
        </w:rPr>
        <w:t>Акронимы и сокращения</w:t>
      </w:r>
      <w:bookmarkEnd w:id="2"/>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БАО</w:t>
      </w:r>
      <w:r w:rsidRPr="00DD2824">
        <w:rPr>
          <w:rFonts w:eastAsia="Times New Roman"/>
          <w:spacing w:val="0"/>
          <w:w w:val="100"/>
          <w:kern w:val="0"/>
          <w:szCs w:val="20"/>
        </w:rPr>
        <w:tab/>
        <w:t>базовое альтернативное образование</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АКО</w:t>
      </w:r>
      <w:r w:rsidRPr="00DD2824">
        <w:rPr>
          <w:rFonts w:eastAsia="Times New Roman"/>
          <w:spacing w:val="0"/>
          <w:w w:val="100"/>
          <w:kern w:val="0"/>
          <w:szCs w:val="20"/>
        </w:rPr>
        <w:tab/>
        <w:t>Американское колонизационное общество</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АЖЮЛ</w:t>
      </w:r>
      <w:r w:rsidRPr="00DD2824">
        <w:rPr>
          <w:rFonts w:eastAsia="Times New Roman"/>
          <w:spacing w:val="0"/>
          <w:w w:val="100"/>
          <w:kern w:val="0"/>
          <w:szCs w:val="20"/>
        </w:rPr>
        <w:tab/>
        <w:t>Ассоциация женщин – юристов Либерии</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ПП </w:t>
      </w:r>
      <w:r w:rsidRPr="00DD2824">
        <w:rPr>
          <w:rFonts w:eastAsia="Times New Roman"/>
          <w:spacing w:val="0"/>
          <w:w w:val="100"/>
          <w:kern w:val="0"/>
          <w:szCs w:val="20"/>
        </w:rPr>
        <w:tab/>
        <w:t>Программа преобразований</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СПИД </w:t>
      </w:r>
      <w:r w:rsidRPr="00DD2824">
        <w:rPr>
          <w:rFonts w:eastAsia="Times New Roman"/>
          <w:spacing w:val="0"/>
          <w:w w:val="100"/>
          <w:kern w:val="0"/>
          <w:szCs w:val="20"/>
        </w:rPr>
        <w:tab/>
        <w:t>синдром приобретенного иммунодефицита</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ПУО </w:t>
      </w:r>
      <w:r w:rsidRPr="00DD2824">
        <w:rPr>
          <w:rFonts w:eastAsia="Times New Roman"/>
          <w:spacing w:val="0"/>
          <w:w w:val="100"/>
          <w:kern w:val="0"/>
          <w:szCs w:val="20"/>
        </w:rPr>
        <w:tab/>
        <w:t>программа ускоренного обучения</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ДМП </w:t>
      </w:r>
      <w:r w:rsidRPr="00DD2824">
        <w:rPr>
          <w:rFonts w:eastAsia="Times New Roman"/>
          <w:spacing w:val="0"/>
          <w:w w:val="100"/>
          <w:kern w:val="0"/>
          <w:szCs w:val="20"/>
        </w:rPr>
        <w:tab/>
        <w:t>дородовая медицинская помощь</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АРВТ </w:t>
      </w:r>
      <w:r w:rsidRPr="00DD2824">
        <w:rPr>
          <w:rFonts w:eastAsia="Times New Roman"/>
          <w:spacing w:val="0"/>
          <w:w w:val="100"/>
          <w:kern w:val="0"/>
          <w:szCs w:val="20"/>
        </w:rPr>
        <w:tab/>
        <w:t xml:space="preserve">антиретровирусная терапия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БИН </w:t>
      </w:r>
      <w:r w:rsidRPr="00DD2824">
        <w:rPr>
          <w:rFonts w:eastAsia="Times New Roman"/>
          <w:spacing w:val="0"/>
          <w:w w:val="100"/>
          <w:kern w:val="0"/>
          <w:szCs w:val="20"/>
        </w:rPr>
        <w:tab/>
        <w:t xml:space="preserve">Бюро иммиграции и натурализации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БНМСУ</w:t>
      </w:r>
      <w:r w:rsidRPr="00DD2824">
        <w:rPr>
          <w:rFonts w:eastAsia="Times New Roman"/>
          <w:spacing w:val="0"/>
          <w:w w:val="100"/>
          <w:kern w:val="0"/>
          <w:szCs w:val="20"/>
        </w:rPr>
        <w:tab/>
        <w:t>базовый набор медико-санитарных услуг</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КЛДЖ</w:t>
      </w:r>
      <w:r w:rsidRPr="00DD2824">
        <w:rPr>
          <w:rFonts w:eastAsia="Times New Roman"/>
          <w:spacing w:val="0"/>
          <w:w w:val="100"/>
          <w:kern w:val="0"/>
          <w:szCs w:val="20"/>
        </w:rPr>
        <w:tab/>
        <w:t xml:space="preserve">Конвенция о ликвидации всех форм дискриминации в отношении женщин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КПБП </w:t>
      </w:r>
      <w:r w:rsidRPr="00DD2824">
        <w:rPr>
          <w:rFonts w:eastAsia="Times New Roman"/>
          <w:spacing w:val="0"/>
          <w:w w:val="100"/>
          <w:kern w:val="0"/>
          <w:szCs w:val="20"/>
        </w:rPr>
        <w:tab/>
        <w:t xml:space="preserve">Комплексное обследование продовольственной безопасности и питания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КПК</w:t>
      </w:r>
      <w:r w:rsidRPr="00DD2824">
        <w:rPr>
          <w:rFonts w:eastAsia="Times New Roman"/>
          <w:spacing w:val="0"/>
          <w:w w:val="100"/>
          <w:kern w:val="0"/>
          <w:szCs w:val="20"/>
        </w:rPr>
        <w:tab/>
        <w:t>Комитет по пересмотру Конституции</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КПР </w:t>
      </w:r>
      <w:r w:rsidRPr="00DD2824">
        <w:rPr>
          <w:rFonts w:eastAsia="Times New Roman"/>
          <w:spacing w:val="0"/>
          <w:w w:val="100"/>
          <w:kern w:val="0"/>
          <w:szCs w:val="20"/>
        </w:rPr>
        <w:tab/>
        <w:t xml:space="preserve">Конвенция по правам ребенка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ППК</w:t>
      </w:r>
      <w:r w:rsidRPr="00DD2824">
        <w:rPr>
          <w:rFonts w:eastAsia="Times New Roman"/>
          <w:spacing w:val="0"/>
          <w:w w:val="100"/>
          <w:kern w:val="0"/>
          <w:szCs w:val="20"/>
        </w:rPr>
        <w:tab/>
        <w:t xml:space="preserve">процесс пересмотра Конституции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ОГО</w:t>
      </w:r>
      <w:r w:rsidRPr="00DD2824">
        <w:rPr>
          <w:rFonts w:eastAsia="Times New Roman"/>
          <w:spacing w:val="0"/>
          <w:w w:val="100"/>
          <w:kern w:val="0"/>
          <w:szCs w:val="20"/>
        </w:rPr>
        <w:tab/>
        <w:t xml:space="preserve">организации гражданского общества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КПЖ</w:t>
      </w:r>
      <w:r w:rsidRPr="00DD2824">
        <w:rPr>
          <w:rFonts w:eastAsia="Times New Roman"/>
          <w:spacing w:val="0"/>
          <w:w w:val="100"/>
          <w:kern w:val="0"/>
          <w:szCs w:val="20"/>
        </w:rPr>
        <w:tab/>
        <w:t xml:space="preserve">Комиссия по положению женщин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КБД </w:t>
      </w:r>
      <w:r w:rsidRPr="00DD2824">
        <w:rPr>
          <w:rFonts w:eastAsia="Times New Roman"/>
          <w:spacing w:val="0"/>
          <w:w w:val="100"/>
          <w:kern w:val="0"/>
          <w:szCs w:val="20"/>
        </w:rPr>
        <w:tab/>
        <w:t>Комитет по вопросам благополучия детей</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БДР </w:t>
      </w:r>
      <w:r w:rsidRPr="00DD2824">
        <w:rPr>
          <w:rFonts w:eastAsia="Times New Roman"/>
          <w:spacing w:val="0"/>
          <w:w w:val="100"/>
          <w:kern w:val="0"/>
          <w:szCs w:val="20"/>
        </w:rPr>
        <w:tab/>
        <w:t xml:space="preserve">Билль о достойной работе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ЭКОВАС </w:t>
      </w:r>
      <w:r w:rsidRPr="00DD2824">
        <w:rPr>
          <w:rFonts w:eastAsia="Times New Roman"/>
          <w:spacing w:val="0"/>
          <w:w w:val="100"/>
          <w:kern w:val="0"/>
          <w:szCs w:val="20"/>
        </w:rPr>
        <w:tab/>
        <w:t xml:space="preserve">Экономическое сообщество западноафриканских государств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ЭПАГ </w:t>
      </w:r>
      <w:r w:rsidRPr="00DD2824">
        <w:rPr>
          <w:rFonts w:eastAsia="Times New Roman"/>
          <w:spacing w:val="0"/>
          <w:w w:val="100"/>
          <w:kern w:val="0"/>
          <w:szCs w:val="20"/>
        </w:rPr>
        <w:tab/>
        <w:t>Расширение экономических прав и возможностей девочек-подростков и молодых женщин</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БПМСУ </w:t>
      </w:r>
      <w:r w:rsidRPr="00DD2824">
        <w:rPr>
          <w:rFonts w:eastAsia="Times New Roman"/>
          <w:spacing w:val="0"/>
          <w:w w:val="100"/>
          <w:kern w:val="0"/>
          <w:szCs w:val="20"/>
        </w:rPr>
        <w:tab/>
        <w:t>базовый пакет медико-санитарных услуг</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ФАЖП </w:t>
      </w:r>
      <w:r w:rsidRPr="00DD2824">
        <w:rPr>
          <w:rFonts w:eastAsia="Times New Roman"/>
          <w:spacing w:val="0"/>
          <w:w w:val="100"/>
          <w:kern w:val="0"/>
          <w:szCs w:val="20"/>
        </w:rPr>
        <w:tab/>
        <w:t>Форум африканских женщин-педагогов</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ПИИ </w:t>
      </w:r>
      <w:r w:rsidRPr="00DD2824">
        <w:rPr>
          <w:rFonts w:eastAsia="Times New Roman"/>
          <w:spacing w:val="0"/>
          <w:w w:val="100"/>
          <w:kern w:val="0"/>
          <w:szCs w:val="20"/>
        </w:rPr>
        <w:tab/>
        <w:t>прямые иностранные инвестиции</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КОЖПО </w:t>
      </w:r>
      <w:r w:rsidRPr="00DD2824">
        <w:rPr>
          <w:rFonts w:eastAsia="Times New Roman"/>
          <w:spacing w:val="0"/>
          <w:w w:val="100"/>
          <w:kern w:val="0"/>
          <w:szCs w:val="20"/>
        </w:rPr>
        <w:tab/>
        <w:t>калечащие операции на женских половых органах</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АПСЛ </w:t>
      </w:r>
      <w:r w:rsidRPr="00DD2824">
        <w:rPr>
          <w:rFonts w:eastAsia="Times New Roman"/>
          <w:spacing w:val="0"/>
          <w:w w:val="100"/>
          <w:kern w:val="0"/>
          <w:szCs w:val="20"/>
        </w:rPr>
        <w:tab/>
        <w:t xml:space="preserve">Ассоциация планирования семьи Либерии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НГП </w:t>
      </w:r>
      <w:r w:rsidRPr="00DD2824">
        <w:rPr>
          <w:rFonts w:eastAsia="Times New Roman"/>
          <w:spacing w:val="0"/>
          <w:w w:val="100"/>
          <w:kern w:val="0"/>
          <w:szCs w:val="20"/>
        </w:rPr>
        <w:tab/>
        <w:t xml:space="preserve">насилие по гендерному признаку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КГВ </w:t>
      </w:r>
      <w:r w:rsidRPr="00DD2824">
        <w:rPr>
          <w:rFonts w:eastAsia="Times New Roman"/>
          <w:spacing w:val="0"/>
          <w:w w:val="100"/>
          <w:kern w:val="0"/>
          <w:szCs w:val="20"/>
        </w:rPr>
        <w:tab/>
        <w:t>координаторы по гендерным вопросам</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ВИЧ </w:t>
      </w:r>
      <w:r w:rsidRPr="00DD2824">
        <w:rPr>
          <w:rFonts w:eastAsia="Times New Roman"/>
          <w:spacing w:val="0"/>
          <w:w w:val="100"/>
          <w:kern w:val="0"/>
          <w:szCs w:val="20"/>
        </w:rPr>
        <w:tab/>
        <w:t>вирус иммунодефицита человека</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МНПО </w:t>
      </w:r>
      <w:r w:rsidRPr="00DD2824">
        <w:rPr>
          <w:rFonts w:eastAsia="Times New Roman"/>
          <w:spacing w:val="0"/>
          <w:w w:val="100"/>
          <w:kern w:val="0"/>
          <w:szCs w:val="20"/>
        </w:rPr>
        <w:tab/>
        <w:t xml:space="preserve">международные неправительственные организации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ЛАВО </w:t>
      </w:r>
      <w:r w:rsidRPr="00DD2824">
        <w:rPr>
          <w:rFonts w:eastAsia="Times New Roman"/>
          <w:spacing w:val="0"/>
          <w:w w:val="100"/>
          <w:kern w:val="0"/>
          <w:szCs w:val="20"/>
        </w:rPr>
        <w:tab/>
        <w:t>Либерийское агентство по расширению возможностей общин</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ЛД </w:t>
      </w:r>
      <w:r w:rsidRPr="00DD2824">
        <w:rPr>
          <w:rFonts w:eastAsia="Times New Roman"/>
          <w:spacing w:val="0"/>
          <w:w w:val="100"/>
          <w:kern w:val="0"/>
          <w:szCs w:val="20"/>
        </w:rPr>
        <w:tab/>
        <w:t>либерийский доллар</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ОРС </w:t>
      </w:r>
      <w:r w:rsidRPr="00DD2824">
        <w:rPr>
          <w:rFonts w:eastAsia="Times New Roman"/>
          <w:spacing w:val="0"/>
          <w:w w:val="100"/>
          <w:kern w:val="0"/>
          <w:szCs w:val="20"/>
        </w:rPr>
        <w:tab/>
        <w:t>обследование рабочей силы</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ЛИСГИ </w:t>
      </w:r>
      <w:r w:rsidRPr="00DD2824">
        <w:rPr>
          <w:rFonts w:eastAsia="Times New Roman"/>
          <w:spacing w:val="0"/>
          <w:w w:val="100"/>
          <w:kern w:val="0"/>
          <w:szCs w:val="20"/>
        </w:rPr>
        <w:tab/>
        <w:t>Либерийский институт статистики и геоинформационных исследований</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МДО </w:t>
      </w:r>
      <w:r w:rsidRPr="00DD2824">
        <w:rPr>
          <w:rFonts w:eastAsia="Times New Roman"/>
          <w:spacing w:val="0"/>
          <w:w w:val="100"/>
          <w:kern w:val="0"/>
          <w:szCs w:val="20"/>
        </w:rPr>
        <w:tab/>
        <w:t xml:space="preserve">медико-демографическое обследование в Либерии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СЛЖЗ </w:t>
      </w:r>
      <w:r w:rsidRPr="00DD2824">
        <w:rPr>
          <w:rFonts w:eastAsia="Times New Roman"/>
          <w:spacing w:val="0"/>
          <w:w w:val="100"/>
          <w:kern w:val="0"/>
          <w:szCs w:val="20"/>
        </w:rPr>
        <w:tab/>
        <w:t xml:space="preserve">Совещание либерийских женщин-законодателей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КМЧ </w:t>
      </w:r>
      <w:r w:rsidRPr="00DD2824">
        <w:rPr>
          <w:rFonts w:eastAsia="Times New Roman"/>
          <w:spacing w:val="0"/>
          <w:w w:val="100"/>
          <w:kern w:val="0"/>
          <w:szCs w:val="20"/>
        </w:rPr>
        <w:tab/>
        <w:t>корпорация "Миллениум челендж"</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МЕСШО </w:t>
      </w:r>
      <w:r w:rsidRPr="00DD2824">
        <w:rPr>
          <w:rFonts w:eastAsia="Times New Roman"/>
          <w:spacing w:val="0"/>
          <w:w w:val="100"/>
          <w:kern w:val="0"/>
          <w:szCs w:val="20"/>
        </w:rPr>
        <w:tab/>
        <w:t>Монровийская единая система школьного образования</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МО</w:t>
      </w:r>
      <w:r w:rsidRPr="00DD2824">
        <w:rPr>
          <w:rFonts w:eastAsia="Times New Roman"/>
          <w:spacing w:val="0"/>
          <w:w w:val="100"/>
          <w:kern w:val="0"/>
          <w:szCs w:val="20"/>
        </w:rPr>
        <w:tab/>
        <w:t>Министерство образования</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МГВР </w:t>
      </w:r>
      <w:r w:rsidRPr="00DD2824">
        <w:rPr>
          <w:rFonts w:eastAsia="Times New Roman"/>
          <w:spacing w:val="0"/>
          <w:w w:val="100"/>
          <w:kern w:val="0"/>
          <w:szCs w:val="20"/>
        </w:rPr>
        <w:tab/>
        <w:t xml:space="preserve">Министерство по гендерным вопросам и развитию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МЗСО </w:t>
      </w:r>
      <w:r w:rsidRPr="00DD2824">
        <w:rPr>
          <w:rFonts w:eastAsia="Times New Roman"/>
          <w:spacing w:val="0"/>
          <w:w w:val="100"/>
          <w:kern w:val="0"/>
          <w:szCs w:val="20"/>
        </w:rPr>
        <w:tab/>
        <w:t xml:space="preserve">Министерство здравоохранения и социального обеспечения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МЮ </w:t>
      </w:r>
      <w:r w:rsidRPr="00DD2824">
        <w:rPr>
          <w:rFonts w:eastAsia="Times New Roman"/>
          <w:spacing w:val="0"/>
          <w:w w:val="100"/>
          <w:kern w:val="0"/>
          <w:szCs w:val="20"/>
        </w:rPr>
        <w:tab/>
        <w:t>Министерство юстиции</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МТ </w:t>
      </w:r>
      <w:r w:rsidRPr="00DD2824">
        <w:rPr>
          <w:rFonts w:eastAsia="Times New Roman"/>
          <w:spacing w:val="0"/>
          <w:w w:val="100"/>
          <w:kern w:val="0"/>
          <w:szCs w:val="20"/>
        </w:rPr>
        <w:tab/>
        <w:t>Министерство труда</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НКСОСС </w:t>
      </w:r>
      <w:r w:rsidRPr="00DD2824">
        <w:rPr>
          <w:rFonts w:eastAsia="Times New Roman"/>
          <w:spacing w:val="0"/>
          <w:w w:val="100"/>
          <w:kern w:val="0"/>
          <w:szCs w:val="20"/>
        </w:rPr>
        <w:tab/>
        <w:t>Национальная корпорация социального обеспечения и социального страхования</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НАТЗЗ </w:t>
      </w:r>
      <w:r w:rsidRPr="00DD2824">
        <w:rPr>
          <w:rFonts w:eastAsia="Times New Roman"/>
          <w:spacing w:val="0"/>
          <w:w w:val="100"/>
          <w:kern w:val="0"/>
          <w:szCs w:val="20"/>
        </w:rPr>
        <w:tab/>
        <w:t xml:space="preserve">Национальная ассоциация по проблеме традиций, затрагивающих здоровье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НКВО</w:t>
      </w:r>
      <w:r w:rsidRPr="00DD2824">
        <w:rPr>
          <w:rFonts w:eastAsia="Times New Roman"/>
          <w:spacing w:val="0"/>
          <w:w w:val="100"/>
          <w:kern w:val="0"/>
          <w:szCs w:val="20"/>
        </w:rPr>
        <w:tab/>
        <w:t xml:space="preserve">Национальная комиссия по высшему образованию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НЕПАД </w:t>
      </w:r>
      <w:r w:rsidRPr="00DD2824">
        <w:rPr>
          <w:rFonts w:eastAsia="Times New Roman"/>
          <w:spacing w:val="0"/>
          <w:w w:val="100"/>
          <w:kern w:val="0"/>
          <w:szCs w:val="20"/>
        </w:rPr>
        <w:tab/>
        <w:t xml:space="preserve">Новое партнерство в интересах развития Африки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НПО </w:t>
      </w:r>
      <w:r w:rsidRPr="00DD2824">
        <w:rPr>
          <w:rFonts w:eastAsia="Times New Roman"/>
          <w:spacing w:val="0"/>
          <w:w w:val="100"/>
          <w:kern w:val="0"/>
          <w:szCs w:val="20"/>
        </w:rPr>
        <w:tab/>
        <w:t xml:space="preserve">неправительственная организация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НГП </w:t>
      </w:r>
      <w:r w:rsidRPr="00DD2824">
        <w:rPr>
          <w:rFonts w:eastAsia="Times New Roman"/>
          <w:spacing w:val="0"/>
          <w:w w:val="100"/>
          <w:kern w:val="0"/>
          <w:szCs w:val="20"/>
        </w:rPr>
        <w:tab/>
        <w:t xml:space="preserve">Национальная гендерная политика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ПМСП </w:t>
      </w:r>
      <w:r w:rsidRPr="00DD2824">
        <w:rPr>
          <w:rFonts w:eastAsia="Times New Roman"/>
          <w:spacing w:val="0"/>
          <w:w w:val="100"/>
          <w:kern w:val="0"/>
          <w:szCs w:val="20"/>
        </w:rPr>
        <w:tab/>
        <w:t>первичная медико-санитарная помощь</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ППМР </w:t>
      </w:r>
      <w:r w:rsidRPr="00DD2824">
        <w:rPr>
          <w:rFonts w:eastAsia="Times New Roman"/>
          <w:spacing w:val="0"/>
          <w:w w:val="100"/>
          <w:kern w:val="0"/>
          <w:szCs w:val="20"/>
        </w:rPr>
        <w:tab/>
        <w:t xml:space="preserve">предотвращение передачи ВИЧ от матери ребенку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ПРМП </w:t>
      </w:r>
      <w:r w:rsidRPr="00DD2824">
        <w:rPr>
          <w:rFonts w:eastAsia="Times New Roman"/>
          <w:spacing w:val="0"/>
          <w:w w:val="100"/>
          <w:kern w:val="0"/>
          <w:szCs w:val="20"/>
        </w:rPr>
        <w:tab/>
        <w:t xml:space="preserve">послеродовая медицинская помощь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РЗ </w:t>
      </w:r>
      <w:r w:rsidRPr="00DD2824">
        <w:rPr>
          <w:rFonts w:eastAsia="Times New Roman"/>
          <w:spacing w:val="0"/>
          <w:w w:val="100"/>
          <w:kern w:val="0"/>
          <w:szCs w:val="20"/>
        </w:rPr>
        <w:tab/>
        <w:t>репродуктивное здоровье</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ИПСУ </w:t>
      </w:r>
      <w:r w:rsidRPr="00DD2824">
        <w:rPr>
          <w:rFonts w:eastAsia="Times New Roman"/>
          <w:spacing w:val="0"/>
          <w:w w:val="100"/>
          <w:kern w:val="0"/>
          <w:szCs w:val="20"/>
        </w:rPr>
        <w:tab/>
        <w:t>Институт по подготовке сельских учителей</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СПДП </w:t>
      </w:r>
      <w:r w:rsidRPr="00DD2824">
        <w:rPr>
          <w:rFonts w:eastAsia="Times New Roman"/>
          <w:spacing w:val="0"/>
          <w:w w:val="100"/>
          <w:kern w:val="0"/>
          <w:szCs w:val="20"/>
        </w:rPr>
        <w:tab/>
        <w:t xml:space="preserve">Социальная программа денежных переводов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СИОД </w:t>
      </w:r>
      <w:r w:rsidRPr="00DD2824">
        <w:rPr>
          <w:rFonts w:eastAsia="Times New Roman"/>
          <w:spacing w:val="0"/>
          <w:w w:val="100"/>
          <w:kern w:val="0"/>
          <w:szCs w:val="20"/>
        </w:rPr>
        <w:tab/>
        <w:t>Специальная инициатива по вопросам образования девочек</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ПИ</w:t>
      </w:r>
      <w:r w:rsidRPr="00DD2824">
        <w:rPr>
          <w:rFonts w:eastAsia="Times New Roman"/>
          <w:spacing w:val="0"/>
          <w:w w:val="100"/>
          <w:kern w:val="0"/>
          <w:szCs w:val="20"/>
        </w:rPr>
        <w:tab/>
        <w:t>Педагогический институт (ПИ)</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ТПТОП </w:t>
      </w:r>
      <w:r w:rsidRPr="00DD2824">
        <w:rPr>
          <w:rFonts w:eastAsia="Times New Roman"/>
          <w:spacing w:val="0"/>
          <w:w w:val="100"/>
          <w:kern w:val="0"/>
          <w:szCs w:val="20"/>
        </w:rPr>
        <w:tab/>
        <w:t>техническое и профессионально-техническое образование и подготовка</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ЮСАИД </w:t>
      </w:r>
      <w:r w:rsidRPr="00DD2824">
        <w:rPr>
          <w:rFonts w:eastAsia="Times New Roman"/>
          <w:spacing w:val="0"/>
          <w:w w:val="100"/>
          <w:kern w:val="0"/>
          <w:szCs w:val="20"/>
        </w:rPr>
        <w:tab/>
        <w:t xml:space="preserve">Агентство Соединенных Штатов по международному развитию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ПЗЖД </w:t>
      </w:r>
      <w:r w:rsidRPr="00DD2824">
        <w:rPr>
          <w:rFonts w:eastAsia="Times New Roman"/>
          <w:spacing w:val="0"/>
          <w:w w:val="100"/>
          <w:kern w:val="0"/>
          <w:szCs w:val="20"/>
        </w:rPr>
        <w:tab/>
        <w:t xml:space="preserve">Подразделение по защите женщин и детей </w:t>
      </w:r>
    </w:p>
    <w:p w:rsidR="00DD2824" w:rsidRPr="00DD2824" w:rsidRDefault="00DD2824" w:rsidP="00DD2824">
      <w:pPr>
        <w:tabs>
          <w:tab w:val="left" w:pos="2410"/>
        </w:tabs>
        <w:suppressAutoHyphens/>
        <w:spacing w:after="120"/>
        <w:ind w:left="2410" w:right="1134" w:hanging="1276"/>
        <w:jc w:val="both"/>
        <w:rPr>
          <w:rFonts w:eastAsia="Times New Roman"/>
          <w:spacing w:val="0"/>
          <w:w w:val="100"/>
          <w:kern w:val="0"/>
          <w:szCs w:val="20"/>
        </w:rPr>
      </w:pPr>
      <w:r w:rsidRPr="00DD2824">
        <w:rPr>
          <w:rFonts w:eastAsia="Times New Roman"/>
          <w:spacing w:val="0"/>
          <w:w w:val="100"/>
          <w:kern w:val="0"/>
          <w:szCs w:val="20"/>
        </w:rPr>
        <w:t xml:space="preserve">ВПП </w:t>
      </w:r>
      <w:r w:rsidRPr="00DD2824">
        <w:rPr>
          <w:rFonts w:eastAsia="Times New Roman"/>
          <w:spacing w:val="0"/>
          <w:w w:val="100"/>
          <w:kern w:val="0"/>
          <w:szCs w:val="20"/>
        </w:rPr>
        <w:tab/>
        <w:t>Всемирная продовольственная программа</w:t>
      </w:r>
    </w:p>
    <w:p w:rsidR="00DD2824" w:rsidRPr="00DD2824" w:rsidRDefault="00DD2824" w:rsidP="00DD2824">
      <w:pPr>
        <w:keepNext/>
        <w:keepLines/>
        <w:tabs>
          <w:tab w:val="right" w:pos="851"/>
        </w:tabs>
        <w:suppressAutoHyphens/>
        <w:spacing w:after="240"/>
        <w:ind w:left="1135" w:right="1134" w:hanging="284"/>
        <w:rPr>
          <w:rFonts w:eastAsia="Times New Roman"/>
          <w:b/>
          <w:spacing w:val="0"/>
          <w:w w:val="100"/>
          <w:kern w:val="0"/>
          <w:sz w:val="28"/>
          <w:szCs w:val="24"/>
        </w:rPr>
      </w:pPr>
      <w:r w:rsidRPr="00DD2824">
        <w:rPr>
          <w:rFonts w:eastAsia="Times New Roman"/>
          <w:spacing w:val="0"/>
          <w:w w:val="100"/>
          <w:kern w:val="0"/>
          <w:sz w:val="28"/>
          <w:szCs w:val="24"/>
        </w:rPr>
        <w:br w:type="page"/>
      </w:r>
      <w:bookmarkStart w:id="3" w:name="_Toc388281184"/>
      <w:r w:rsidRPr="00DD2824">
        <w:rPr>
          <w:rFonts w:eastAsia="Times New Roman"/>
          <w:b/>
          <w:spacing w:val="0"/>
          <w:w w:val="100"/>
          <w:kern w:val="0"/>
          <w:sz w:val="28"/>
          <w:szCs w:val="24"/>
        </w:rPr>
        <w:t>I.</w:t>
      </w:r>
      <w:r w:rsidRPr="00DD2824">
        <w:rPr>
          <w:rFonts w:eastAsia="Times New Roman"/>
          <w:b/>
          <w:spacing w:val="0"/>
          <w:w w:val="100"/>
          <w:kern w:val="0"/>
          <w:sz w:val="28"/>
          <w:szCs w:val="24"/>
        </w:rPr>
        <w:tab/>
        <w:t>Предисловие</w:t>
      </w:r>
      <w:bookmarkEnd w:id="3"/>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Нарождающаяся либерийская демократия переживает восьмой год своего становления со времени проведения многопартийных выборов, состоявшихся </w:t>
      </w:r>
      <w:r w:rsidRPr="00DD2824">
        <w:rPr>
          <w:rFonts w:eastAsia="Times New Roman"/>
          <w:spacing w:val="0"/>
          <w:w w:val="100"/>
          <w:kern w:val="0"/>
          <w:szCs w:val="20"/>
        </w:rPr>
        <w:br/>
        <w:t>в ноябре 2005 года. В результате первых многопартийных выборов, проведенных в постконфликтный период, к власти пришла действующий президент, Ее превосходительство Элен Джонсон-Серлиф, которая затем была переизбрана на второй шестилетний срок. Наиболее важным достижением этого периода является сохранение мира и безопасности, что играет решающую роль для экономического роста и развития страны. Либерия прошла путь от состояния постконфликтного восстановления к социально-экономическому росту и развитию. В стратегии и программы, принимаемые с целью ускорения развития Либерии, в настоящее время чаще, чем раньше, включаются гендерные вопросы. Кроме того, было начато осуществление дополнительных программ, конкретно предназначенных для женщин и приносящих хорошие результаты.</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Права либерийских женщин ущемлены во всех секторах и на всех уровнях. Для того чтобы повысить уровень участия женщин и обеспечить их вовлечение в процессы принятия решений, были реализованы программы, нацеленные на минимизацию такого неравенства. Эти программы весьма многообразны – от специализированных программ в области образования до расширения экономических возможностей женщин с помощью программ кредитования, обучения и возможностей для занятости. Среди прочих программ – расширение возможностей для женщин занимать руководящие должности и увеличение найма женщин для работы в секторе безопасности.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настоящем докладе дается краткая информация о положении женщин в Либерии и говорится о приверженности правительства выполнению положений КЛДЖ. Представленные в докладе факты подвергались тщательному отбору. В тех случаях, когда в этом выполнении имелись недостатки, в докладе обеспечена возможность осветить эти пробелы, с тем чтобы представить дополнительные возможности для обновления обязательств и принятия соответствующих мер по их выполнению.</w:t>
      </w:r>
    </w:p>
    <w:p w:rsidR="00DD2824" w:rsidRPr="00DD2824" w:rsidRDefault="00DD2824" w:rsidP="00DD2824">
      <w:pPr>
        <w:suppressAutoHyphens/>
        <w:spacing w:after="120" w:line="240" w:lineRule="atLeast"/>
        <w:ind w:left="1134" w:right="1134"/>
        <w:jc w:val="both"/>
        <w:rPr>
          <w:rFonts w:eastAsia="Times New Roman"/>
          <w:spacing w:val="0"/>
          <w:w w:val="100"/>
          <w:kern w:val="0"/>
          <w:sz w:val="24"/>
          <w:szCs w:val="24"/>
        </w:rPr>
      </w:pPr>
      <w:r w:rsidRPr="00DD2824">
        <w:rPr>
          <w:rFonts w:eastAsia="Times New Roman"/>
          <w:spacing w:val="0"/>
          <w:w w:val="100"/>
          <w:kern w:val="0"/>
          <w:szCs w:val="20"/>
        </w:rPr>
        <w:t>Мы понимаем, что за один отчетный период невозможно выполнить все наши обязательства по Конвенции, но мы вновь подтверждаем нашу приверженность делу улучшения положения женщин во всех секторах и на всех уровнях и искоренению всех форм дискриминации в отношении женщин. С этой целью наша страна в настоящее время предпринимает пересмотр Конституции, осуществляет правовую реформу, реформу государственного сектора, реформу системы землепользования, а также принимает другие меры для обеспечения справедливого гендерного паритета.</w:t>
      </w:r>
    </w:p>
    <w:p w:rsidR="00DD2824" w:rsidRDefault="00DD2824" w:rsidP="00DD2824">
      <w:pPr>
        <w:pStyle w:val="H1G"/>
        <w:spacing w:before="0" w:line="240" w:lineRule="exact"/>
        <w:rPr>
          <w:szCs w:val="24"/>
        </w:rPr>
      </w:pPr>
      <w:r>
        <w:br w:type="page"/>
      </w:r>
      <w:r w:rsidRPr="00DD2824">
        <w:tab/>
      </w:r>
      <w:r>
        <w:rPr>
          <w:szCs w:val="24"/>
        </w:rPr>
        <w:tab/>
      </w:r>
      <w:bookmarkStart w:id="4" w:name="_Toc388281185"/>
      <w:r>
        <w:rPr>
          <w:szCs w:val="24"/>
        </w:rPr>
        <w:t>II.</w:t>
      </w:r>
      <w:r>
        <w:rPr>
          <w:szCs w:val="24"/>
        </w:rPr>
        <w:tab/>
        <w:t>Общее введение</w:t>
      </w:r>
      <w:bookmarkEnd w:id="4"/>
    </w:p>
    <w:p w:rsidR="00DD2824" w:rsidRDefault="00DD2824" w:rsidP="00DD2824">
      <w:pPr>
        <w:pStyle w:val="H1G"/>
        <w:spacing w:line="240" w:lineRule="exact"/>
        <w:rPr>
          <w:szCs w:val="24"/>
        </w:rPr>
      </w:pPr>
      <w:r>
        <w:rPr>
          <w:szCs w:val="24"/>
        </w:rPr>
        <w:tab/>
      </w:r>
      <w:bookmarkStart w:id="5" w:name="_Toc388281186"/>
      <w:r>
        <w:rPr>
          <w:szCs w:val="24"/>
        </w:rPr>
        <w:t>III.</w:t>
      </w:r>
      <w:r>
        <w:rPr>
          <w:szCs w:val="24"/>
        </w:rPr>
        <w:tab/>
        <w:t>Часть вторая. Рекомендации/замечания</w:t>
      </w:r>
      <w:bookmarkEnd w:id="5"/>
    </w:p>
    <w:p w:rsidR="00DD2824" w:rsidRDefault="00DD2824" w:rsidP="00DD2824">
      <w:pPr>
        <w:pStyle w:val="H1G"/>
        <w:spacing w:line="240" w:lineRule="exact"/>
        <w:rPr>
          <w:sz w:val="24"/>
          <w:szCs w:val="24"/>
        </w:rPr>
      </w:pPr>
      <w:r>
        <w:rPr>
          <w:sz w:val="24"/>
          <w:szCs w:val="24"/>
        </w:rPr>
        <w:tab/>
      </w:r>
      <w:r>
        <w:rPr>
          <w:sz w:val="24"/>
          <w:szCs w:val="24"/>
        </w:rPr>
        <w:tab/>
      </w:r>
      <w:bookmarkStart w:id="6" w:name="_Toc388281187"/>
      <w:r>
        <w:rPr>
          <w:sz w:val="24"/>
          <w:szCs w:val="24"/>
        </w:rPr>
        <w:t>Статьи 1 и 2. Политические и правовые меры по ликвидации дискриминации</w:t>
      </w:r>
      <w:bookmarkEnd w:id="6"/>
    </w:p>
    <w:p w:rsidR="00DD2824" w:rsidRDefault="00DD2824" w:rsidP="00DD2824">
      <w:pPr>
        <w:pStyle w:val="SingleTxtG"/>
        <w:rPr>
          <w:lang w:val="ru-RU"/>
        </w:rPr>
      </w:pPr>
      <w:r>
        <w:rPr>
          <w:lang w:val="ru-RU"/>
        </w:rPr>
        <w:t>Меры, принимаемые для выполнения заключительных замечаний, подробно рассматриваются в разделах о статьях, относящихся к этим замечаниям. В то же время важно отметить, что были достигнуты заметные успехи в области ликвидации дискриминации в сфере занятости благодаря разработке Билля о достойной работе, который в настоящее время находится на рассмотрении парламента – Национального собрания Либерии. Подробнее об этом говорится в разделе, посвященном статье 11.</w:t>
      </w:r>
    </w:p>
    <w:p w:rsidR="00DD2824" w:rsidRDefault="00DD2824" w:rsidP="00DD2824">
      <w:pPr>
        <w:pStyle w:val="H23G"/>
        <w:rPr>
          <w:lang w:val="ru-RU"/>
        </w:rPr>
      </w:pPr>
      <w:r>
        <w:rPr>
          <w:lang w:val="ru-RU"/>
        </w:rPr>
        <w:tab/>
      </w:r>
      <w:r>
        <w:rPr>
          <w:lang w:val="ru-RU"/>
        </w:rPr>
        <w:tab/>
        <w:t>Основные права и свободы, провозглашенные в Конституции</w:t>
      </w:r>
    </w:p>
    <w:p w:rsidR="00DD2824" w:rsidRDefault="00DD2824" w:rsidP="00DD2824">
      <w:pPr>
        <w:pStyle w:val="SingleTxtG"/>
        <w:rPr>
          <w:lang w:val="ru-RU"/>
        </w:rPr>
      </w:pPr>
      <w:r>
        <w:rPr>
          <w:lang w:val="ru-RU"/>
        </w:rPr>
        <w:t>Основные права граждан гарантируются в статьях 8 и 11 Конституции Либерии. Конституция защищает и предоставляет основные права и свободы всем лицам, независимо от их национальной принадлежности, расы, пола, а также вероисповедания, места рождения или политических предпочтений.</w:t>
      </w:r>
    </w:p>
    <w:p w:rsidR="00DD2824" w:rsidRDefault="00DD2824" w:rsidP="00DD2824">
      <w:pPr>
        <w:pStyle w:val="SingleTxtG"/>
        <w:rPr>
          <w:lang w:val="ru-RU"/>
        </w:rPr>
      </w:pPr>
      <w:r>
        <w:rPr>
          <w:lang w:val="ru-RU"/>
        </w:rPr>
        <w:t>Определение дискриминации в соответствии со статьей 1 Конвенции или положения о равных правах женщин согласно статье 2 Конвенции все еще не закреплены в нашей Конституции. Женщины Либерии вырабатывают стратегию внесения предложений о проблемах женщин для рассмотрения в процессе пересмотра Конституции, который происходит в настоящее время. Эти предложения включают определение дискриминации, вопрос о возрасте вступления в брак и вопросы, касающиеся прав женщин. Этим процессом руководит объединенная группа, включающая представителей Министерства по гендерным вопросам и развитию, организации гражданского общества, НПО и других профессиональных групп женщин.</w:t>
      </w:r>
    </w:p>
    <w:p w:rsidR="00DD2824" w:rsidRDefault="00DD2824" w:rsidP="00DD2824">
      <w:pPr>
        <w:pStyle w:val="SingleTxtG"/>
        <w:rPr>
          <w:lang w:val="ru-RU"/>
        </w:rPr>
      </w:pPr>
      <w:r>
        <w:rPr>
          <w:lang w:val="ru-RU"/>
        </w:rPr>
        <w:t>КЛДЖ все еще не воплощена в жизнь в полном объеме. Министерство по гендерным вопросам и развитию при поддержке ЮНФПА занимается подготовкой соответствующих законов с целью реализации различных положений Конвенции. Среди этих актов – Закон о борьбе с насилием в семье, который включает вопросы гендерного насилия, законы о правах детей и т. д.</w:t>
      </w:r>
    </w:p>
    <w:p w:rsidR="00DD2824" w:rsidRDefault="00DD2824" w:rsidP="00DD2824">
      <w:pPr>
        <w:pStyle w:val="H23G"/>
        <w:rPr>
          <w:lang w:val="ru-RU"/>
        </w:rPr>
      </w:pPr>
      <w:r>
        <w:rPr>
          <w:lang w:val="ru-RU"/>
        </w:rPr>
        <w:tab/>
      </w:r>
      <w:r>
        <w:rPr>
          <w:lang w:val="ru-RU"/>
        </w:rPr>
        <w:tab/>
        <w:t>ПОЛИТИЧЕСКАЯ РЕФОРМА</w:t>
      </w:r>
    </w:p>
    <w:p w:rsidR="00DD2824" w:rsidRDefault="00DD2824" w:rsidP="00DD2824">
      <w:pPr>
        <w:pStyle w:val="Bullet1G"/>
        <w:numPr>
          <w:ilvl w:val="0"/>
          <w:numId w:val="0"/>
        </w:numPr>
        <w:tabs>
          <w:tab w:val="left" w:pos="708"/>
        </w:tabs>
        <w:ind w:left="1531"/>
      </w:pPr>
      <w:r>
        <w:t>Был начат ряд политических реформ, направленных на преодоление неравенства женщин и мужчин во всех секторах. Среди них:</w:t>
      </w:r>
    </w:p>
    <w:p w:rsidR="00DD2824" w:rsidRDefault="00DD2824" w:rsidP="00DD2824">
      <w:pPr>
        <w:pStyle w:val="Bullet1G"/>
        <w:numPr>
          <w:ilvl w:val="0"/>
          <w:numId w:val="0"/>
        </w:numPr>
        <w:tabs>
          <w:tab w:val="left" w:pos="708"/>
        </w:tabs>
        <w:ind w:left="1701" w:hanging="170"/>
      </w:pPr>
      <w:r>
        <w:rPr>
          <w:rFonts w:ascii="Wingdings" w:hAnsi="Wingdings"/>
        </w:rPr>
        <w:t></w:t>
      </w:r>
      <w:r>
        <w:tab/>
        <w:t>Национальная стратегия и оперативный план в области обеспечения безопасности репродуктивного здоровья, 2008–2012 годы;</w:t>
      </w:r>
    </w:p>
    <w:p w:rsidR="00DD2824" w:rsidRDefault="00DD2824" w:rsidP="00DD2824">
      <w:pPr>
        <w:pStyle w:val="Bullet1G"/>
        <w:numPr>
          <w:ilvl w:val="0"/>
          <w:numId w:val="0"/>
        </w:numPr>
        <w:tabs>
          <w:tab w:val="left" w:pos="708"/>
        </w:tabs>
        <w:ind w:left="1531"/>
      </w:pPr>
      <w:r>
        <w:rPr>
          <w:rFonts w:ascii="Wingdings" w:hAnsi="Wingdings"/>
        </w:rPr>
        <w:t></w:t>
      </w:r>
      <w:r>
        <w:tab/>
        <w:t>Стратегия сокращения масштабов нищеты, 2008–2011 годы;</w:t>
      </w:r>
    </w:p>
    <w:p w:rsidR="00DD2824" w:rsidRDefault="00DD2824" w:rsidP="00DD2824">
      <w:pPr>
        <w:pStyle w:val="Bullet1G"/>
        <w:numPr>
          <w:ilvl w:val="0"/>
          <w:numId w:val="0"/>
        </w:numPr>
        <w:tabs>
          <w:tab w:val="left" w:pos="708"/>
        </w:tabs>
        <w:ind w:left="1531"/>
      </w:pPr>
      <w:r>
        <w:rPr>
          <w:rFonts w:ascii="Wingdings" w:hAnsi="Wingdings"/>
        </w:rPr>
        <w:t></w:t>
      </w:r>
      <w:r>
        <w:tab/>
        <w:t>Программа преобразований: концепция развития до 2030 года;</w:t>
      </w:r>
    </w:p>
    <w:p w:rsidR="00DD2824" w:rsidRDefault="00DD2824" w:rsidP="00DD2824">
      <w:pPr>
        <w:pStyle w:val="Bullet1G"/>
        <w:numPr>
          <w:ilvl w:val="0"/>
          <w:numId w:val="0"/>
        </w:numPr>
        <w:tabs>
          <w:tab w:val="left" w:pos="708"/>
        </w:tabs>
        <w:ind w:left="1531"/>
      </w:pPr>
      <w:r>
        <w:rPr>
          <w:rFonts w:ascii="Wingdings" w:hAnsi="Wingdings"/>
        </w:rPr>
        <w:t></w:t>
      </w:r>
      <w:r>
        <w:tab/>
        <w:t>Билль о достойной работе, 2013 год;</w:t>
      </w:r>
    </w:p>
    <w:p w:rsidR="00DD2824" w:rsidRDefault="00DD2824" w:rsidP="00DD2824">
      <w:pPr>
        <w:pStyle w:val="Bullet1G"/>
        <w:numPr>
          <w:ilvl w:val="0"/>
          <w:numId w:val="0"/>
        </w:numPr>
        <w:tabs>
          <w:tab w:val="left" w:pos="708"/>
        </w:tabs>
        <w:ind w:left="1531"/>
      </w:pPr>
      <w:r>
        <w:rPr>
          <w:rFonts w:ascii="Wingdings" w:hAnsi="Wingdings"/>
        </w:rPr>
        <w:t></w:t>
      </w:r>
      <w:r>
        <w:tab/>
        <w:t>Законодательный акт о реформе в области образования, 2011 год;</w:t>
      </w:r>
    </w:p>
    <w:p w:rsidR="00DD2824" w:rsidRDefault="00DD2824" w:rsidP="00DD2824">
      <w:pPr>
        <w:pStyle w:val="Bullet1G"/>
        <w:numPr>
          <w:ilvl w:val="0"/>
          <w:numId w:val="0"/>
        </w:numPr>
        <w:tabs>
          <w:tab w:val="left" w:pos="708"/>
        </w:tabs>
        <w:ind w:left="1531"/>
      </w:pPr>
      <w:r>
        <w:rPr>
          <w:rFonts w:ascii="Wingdings" w:hAnsi="Wingdings"/>
        </w:rPr>
        <w:t></w:t>
      </w:r>
      <w:r>
        <w:tab/>
        <w:t>Закон о Комиссии по вопросам реформы законодательства, 2011 год;</w:t>
      </w:r>
    </w:p>
    <w:p w:rsidR="00DD2824" w:rsidRPr="00DD2824" w:rsidRDefault="00DD2824" w:rsidP="00DD2824">
      <w:pPr>
        <w:pStyle w:val="Bullet1G"/>
        <w:numPr>
          <w:ilvl w:val="0"/>
          <w:numId w:val="0"/>
        </w:numPr>
        <w:tabs>
          <w:tab w:val="left" w:pos="708"/>
        </w:tabs>
        <w:ind w:left="1531"/>
      </w:pPr>
      <w:r w:rsidRPr="00DD2824">
        <w:rPr>
          <w:rFonts w:ascii="Wingdings" w:hAnsi="Wingdings"/>
        </w:rPr>
        <w:t></w:t>
      </w:r>
      <w:r w:rsidRPr="00DD2824">
        <w:tab/>
        <w:t>Национальная гендерная политика, 2009 год;</w:t>
      </w:r>
    </w:p>
    <w:p w:rsidR="00DD2824" w:rsidRPr="00DD2824" w:rsidRDefault="00DD2824" w:rsidP="00DD2824">
      <w:pPr>
        <w:tabs>
          <w:tab w:val="left" w:pos="708"/>
        </w:tabs>
        <w:suppressAutoHyphens/>
        <w:spacing w:after="120" w:line="240" w:lineRule="atLeast"/>
        <w:ind w:left="1531" w:right="1134"/>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создание целевой рабочей группы по вопросу верховенства права;</w:t>
      </w:r>
    </w:p>
    <w:p w:rsidR="00DD2824" w:rsidRPr="00DD2824" w:rsidRDefault="00DD2824" w:rsidP="00DD2824">
      <w:pPr>
        <w:tabs>
          <w:tab w:val="left" w:pos="708"/>
        </w:tabs>
        <w:suppressAutoHyphens/>
        <w:spacing w:after="120" w:line="240" w:lineRule="atLeast"/>
        <w:ind w:left="1701" w:right="1134" w:hanging="170"/>
        <w:jc w:val="both"/>
        <w:rPr>
          <w:rFonts w:eastAsia="Times New Roman"/>
          <w:i/>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составление сборника норм обычного права и пересмотр нормативных актов внутренних районов страны.</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ДОСТУП К ПРАВОСУДИЮ</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Согласно закону, женщины имеют равный доступ к правосудию. В соответствии с законами, права женщин являются теми основными правами, которые провозглашены в Конституции и Законе о ратификации Протокола к Африканской хартии прав человека и народов, под которым стоит и подпись Либерии. Другие механизмы, которые внедрило правительство, включают:</w:t>
      </w:r>
    </w:p>
    <w:p w:rsidR="00DD2824" w:rsidRPr="00DD2824" w:rsidRDefault="00DD2824" w:rsidP="00DD2824">
      <w:pPr>
        <w:suppressAutoHyphens/>
        <w:spacing w:after="120" w:line="240" w:lineRule="atLeast"/>
        <w:ind w:left="1134" w:right="1134" w:firstLine="567"/>
        <w:jc w:val="both"/>
        <w:rPr>
          <w:rFonts w:eastAsia="Times New Roman"/>
          <w:spacing w:val="0"/>
          <w:w w:val="100"/>
          <w:kern w:val="0"/>
          <w:szCs w:val="20"/>
        </w:rPr>
      </w:pPr>
      <w:r w:rsidRPr="00DD2824">
        <w:rPr>
          <w:rFonts w:eastAsia="Times New Roman"/>
          <w:spacing w:val="0"/>
          <w:w w:val="100"/>
          <w:kern w:val="0"/>
          <w:szCs w:val="20"/>
        </w:rPr>
        <w:t>a)</w:t>
      </w:r>
      <w:r w:rsidRPr="00DD2824">
        <w:rPr>
          <w:rFonts w:eastAsia="Times New Roman"/>
          <w:spacing w:val="0"/>
          <w:w w:val="100"/>
          <w:kern w:val="0"/>
          <w:szCs w:val="20"/>
        </w:rPr>
        <w:tab/>
        <w:t xml:space="preserve">Подразделение по защите женщин и детей (ПЗЖД) в главном управлении Либерийской национальной полиции и других подотделов для обслуживания потребностей женщин и детей; </w:t>
      </w:r>
    </w:p>
    <w:p w:rsidR="00DD2824" w:rsidRPr="00DD2824" w:rsidRDefault="00DD2824" w:rsidP="00DD2824">
      <w:pPr>
        <w:suppressAutoHyphens/>
        <w:spacing w:after="120" w:line="240" w:lineRule="atLeast"/>
        <w:ind w:left="1134" w:right="1134" w:firstLine="567"/>
        <w:jc w:val="both"/>
        <w:rPr>
          <w:rFonts w:eastAsia="Times New Roman"/>
          <w:spacing w:val="0"/>
          <w:w w:val="100"/>
          <w:kern w:val="0"/>
          <w:szCs w:val="20"/>
        </w:rPr>
      </w:pPr>
      <w:r w:rsidRPr="00DD2824">
        <w:rPr>
          <w:rFonts w:eastAsia="Times New Roman"/>
          <w:spacing w:val="0"/>
          <w:w w:val="100"/>
          <w:kern w:val="0"/>
          <w:szCs w:val="20"/>
        </w:rPr>
        <w:t>b)</w:t>
      </w:r>
      <w:r w:rsidRPr="00DD2824">
        <w:rPr>
          <w:rFonts w:eastAsia="Times New Roman"/>
          <w:spacing w:val="0"/>
          <w:w w:val="100"/>
          <w:kern w:val="0"/>
          <w:szCs w:val="20"/>
        </w:rPr>
        <w:tab/>
        <w:t>подразделение по борьбе с преступлениями, связанными с сексуальным и гендерным насилием; и</w:t>
      </w:r>
    </w:p>
    <w:p w:rsidR="00DD2824" w:rsidRPr="00DD2824" w:rsidRDefault="00DD2824" w:rsidP="00DD2824">
      <w:pPr>
        <w:suppressAutoHyphens/>
        <w:spacing w:after="120" w:line="240" w:lineRule="atLeast"/>
        <w:ind w:left="1134" w:right="1134" w:firstLine="567"/>
        <w:jc w:val="both"/>
        <w:rPr>
          <w:rFonts w:eastAsia="Times New Roman"/>
          <w:spacing w:val="0"/>
          <w:w w:val="100"/>
          <w:kern w:val="0"/>
          <w:szCs w:val="20"/>
        </w:rPr>
      </w:pPr>
      <w:r w:rsidRPr="00DD2824">
        <w:rPr>
          <w:rFonts w:eastAsia="Times New Roman"/>
          <w:spacing w:val="0"/>
          <w:w w:val="100"/>
          <w:kern w:val="0"/>
          <w:szCs w:val="20"/>
        </w:rPr>
        <w:t>c)</w:t>
      </w:r>
      <w:r w:rsidRPr="00DD2824">
        <w:rPr>
          <w:rFonts w:eastAsia="Times New Roman"/>
          <w:spacing w:val="0"/>
          <w:w w:val="100"/>
          <w:kern w:val="0"/>
          <w:szCs w:val="20"/>
        </w:rPr>
        <w:tab/>
        <w:t xml:space="preserve">уголовный суд "Е", специализирующийся на рассмотрении дел о сексуальном и гендерном насилии. </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Что касается доступа к правосудию, то у Комитета есть опасения в отношении традиционных судов. Они упраздняются в силу директив, направленных Министерством внутренних дел местным органам власти. В каждом графстве были созданы суды по гражданским делам. Вследствие территориального распределения населения женщинам приходится совершать длительные поездки, чтобы добраться до судов, но если они добираются туда, правосудие осуществляется на основе равноправия.</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Принцип равенства с мужчинами провозглашен в Конституции Либерии, но в области культуры, религии и традиций сохраняются определенные диспропорции, что создает множество проблем. Правительство Либерии инициировало процесс пересмотра Конституции (ППК). В августе 2012 года был создан Комитет по пересмотру Конституции (КПК) в составе пяти членов для пересмотра Конституции 1986 года и представления рекомендаций по внесению поправок во все положения, не отвечающие современным реалиям. Одним из первых мероприятий, предпринятых Комитетом, было проведение в апреле 2013 года национального "женского консультативного форума" с целью выяснения мнений женщин в отношении статей, от которых, как они полагают, следует отказаться и в которые следует внести поправки или пересмотреть. Эти мнения затем будут обсуждаться во время проведения общенациональных консультаций с целью обеспечения того, чтобы были представлены и включены в процесс пересмотра Конституции взгляды всех женщин страны.</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Общенациональные консультации планируется провести в период пересмотра Конституции, который охватывает 2013–2016 годы. Ожидается, что для включения в новую конституцию будут предложены вопросы неравенства между мужчинами и женщинами, если эти вопросы являются конституционными. Если же рекомендации касаются вопросов, не являющихся конституционными, то они будут направлены в соответствующие правительственные министерства или учреждения для принятия возможных мер по их реализации. </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Тема первой консультации с участием женщин была сформулирована следующим образом: "Либерийские женщины, воспользуемся моментом для реформы Конституции!" Данный форум предоставил платформу для обмена мнениями о процессе пересмотра и реформы Конституции в Либерии, обзора опыта других стран по учету гендерных факторов в конституции, оценки возможностей и разработке стратегий и методов привлечения женщин к участию в происходящем процессе пересмотра Конституции, что призвано гарантировать осуществление прав женщин и гендерное равенство в Либерии. Участники этого форума передали Комитету по пересмотру Конституции и президенту Либерии резолюцию, состоящую из 11 пунктов. Можно отметить следующие рекомендации: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организовать инклюзивный и предусматривающий широкое участие процесс, в котором могли бы активно участвовать женщины;</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привлечь достаточно средств для поддержки участия женщин в процессе пересмотра Конституции;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активно воспитывать гражданственность у всего населения при широком участии женщин на всех уровнях;</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доводить до сведения всего населения информацию о различных вопросах, вызывающих обеспокоенность, включая, среди прочего, землевладение, экономику, насилие, брак, природные ресурсы и воспитание гражданственности;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обновить базы данных женщин – руководителей в графствах с целью обеспечения их активного участия в данном процессе. Это будет способствовать тому, что постоянные жители соответствующих графств, особенно женщины, будут должным образом участвовать в данном процессе и тем самым содействовать его непрерывности;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женщинам необходимо выработать стратегии для осуществления последующих действий и обеспечения того, чтобы все вопросы, поставленные на форуме и во время других последующих обсуждений и встреч, были отражены в заключительном документе;</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создать на различных уровнях, начиная с низового, структуры для участия женщин в процессе пересмотра Конституции (ППК). Женщины должны организовать в графствах группы для мобилизации женщин, обсуждения ППК и связи с КПК;</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создать в КПК отдел для содействия проведению дискуссий с законодателями и другими партнерами по вопросу участия женщин в ППК. Это включает осуществление исследовательской и аналитической работы и налаживание контактов с женщинами в графствах для обмена информацией и установления обратной связи.</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7" w:name="_Toc388281188"/>
      <w:r w:rsidRPr="00DD2824">
        <w:rPr>
          <w:rFonts w:eastAsia="Times New Roman"/>
          <w:b/>
          <w:spacing w:val="0"/>
          <w:w w:val="100"/>
          <w:kern w:val="0"/>
          <w:sz w:val="24"/>
          <w:szCs w:val="24"/>
        </w:rPr>
        <w:t>Статья 3. Меры по улучшению положения женщин и их развитию</w:t>
      </w:r>
      <w:bookmarkEnd w:id="7"/>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Министерство по гендерным вопросам и развитию было создано среди прочего в следующих целях:</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4"/>
        </w:rPr>
        <w:t></w:t>
      </w:r>
      <w:r w:rsidRPr="00DD2824">
        <w:rPr>
          <w:rFonts w:eastAsia="Times New Roman"/>
          <w:spacing w:val="0"/>
          <w:w w:val="100"/>
          <w:kern w:val="0"/>
          <w:szCs w:val="24"/>
        </w:rPr>
        <w:tab/>
      </w:r>
      <w:r w:rsidRPr="00DD2824">
        <w:rPr>
          <w:rFonts w:eastAsia="Times New Roman"/>
          <w:spacing w:val="0"/>
          <w:w w:val="100"/>
          <w:kern w:val="0"/>
          <w:szCs w:val="20"/>
        </w:rPr>
        <w:t>"Информировать правительство Либерии обо всех проблемах, негативно влияющих на развитие и благополучие женщин и детей, а также вырабатывать рекомендации по любым вопросам, направляемым ему правительством Республики Либерия.</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4"/>
        </w:rPr>
        <w:t></w:t>
      </w:r>
      <w:r w:rsidRPr="00DD2824">
        <w:rPr>
          <w:rFonts w:eastAsia="Times New Roman"/>
          <w:spacing w:val="0"/>
          <w:w w:val="100"/>
          <w:kern w:val="0"/>
          <w:szCs w:val="24"/>
        </w:rPr>
        <w:tab/>
      </w:r>
      <w:r w:rsidRPr="00DD2824">
        <w:rPr>
          <w:rFonts w:eastAsia="Times New Roman"/>
          <w:spacing w:val="0"/>
          <w:w w:val="100"/>
          <w:kern w:val="0"/>
          <w:szCs w:val="20"/>
        </w:rPr>
        <w:t>Эффективно координировать усилия правительства по учету гендерных факторов, с тем чтобы при формулировании политики, законодательства, распределении ресурсов, планировании и принятии политических решений и программ, касающихся гендерного равенства, расширения прав и возможностей женщин и развития детей, во главу угла ставились интересы как мужчин, так и женщин.</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4"/>
        </w:rPr>
        <w:t></w:t>
      </w:r>
      <w:r w:rsidRPr="00DD2824">
        <w:rPr>
          <w:rFonts w:eastAsia="Times New Roman"/>
          <w:spacing w:val="0"/>
          <w:w w:val="100"/>
          <w:kern w:val="0"/>
          <w:szCs w:val="24"/>
        </w:rPr>
        <w:tab/>
      </w:r>
      <w:r w:rsidRPr="00DD2824">
        <w:rPr>
          <w:rFonts w:eastAsia="Times New Roman"/>
          <w:spacing w:val="0"/>
          <w:w w:val="100"/>
          <w:kern w:val="0"/>
          <w:szCs w:val="20"/>
        </w:rPr>
        <w:t>Контролировать и сообщать о воздействии национальной политики и программ на жизнь женщин и детей, а также рекомендовать соответствующие меры по привлечению и вовлечению женщин в качестве равных партнеров мужчин в экономическое, социальное, политическое и культурное развитие страны".</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данном Министерстве насчитывается 192 сотрудника, из них 112 женщин. Средства для исполнения Министерством своего мандата выделяются из государственного бюджета. Эта доля бюджетных средств дополняется средствами, предоставляемыми партнерами по развитию для специальных программ, направленных на поддержку женщин. Бюджетные средства, выделенные правительством Министерству в 2012/13 финансовом году, составили 1 201 013 долл. США, или 0,178 процента государственного бюджета, равного 672 050 415 долл. США. В 2013/14 финансовом году размер этих средств несколько вырос и достиг 1 214 752 долл. США, или 0,23 процента от государственного бюджета, равного 520 млн. долл. США. Несмотря на увеличение доли бюджетных средств, выделенных Министерству по гендерным вопросам и развитию, это финансирование недостаточно для выполнения всех его программ в полном объеме.</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НАЦИОНАЛЬНАЯ ГЕНДЕРНАЯ ПОЛИТИКА</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Национальная гендерная политика Либерии была принята в 2009 году для решения проблем гендерного неравенства и маргинализации женщин в стране. Эта политика направлена на включение гендерной проблематики в национальные процессы развития, активизацию расширения прав и возможностей женщин и девочек в целях устойчивого и справедливого развития и создания и укрепления структур и механизмов, учитывающих гендерные факторы, в которых могут участвовать как женщины, так и мужчины и извлекать пользу из программ развития на равной основе (Национальная гендерная политика, 2009 год). Национальная гендерная политика и институциализация Национального форума по гендерной проблематике в Либерии являются шагами на пути создания благоприятных условий для перестройки гендерных отношений и обеспечения помощи в осуществлении запланированных перемен, создании потенциала для обеспечения и управления этими изменениями и разработки программ на основе стратегических рамок. Данная политика направлена на решение вопросов занятости, образования, доступа к правосудию, сельского хозяйства, окружающей среды, здравоохранения, молодежи, инвалидов, лиц, живущих с ВИЧ и СПИДом, формирования и исполнения бюджета с учетом гендерных факторов, управления, верховенства закона и т. д. </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Во всех министерствах и государственных учреждениях есть координаторы по гендерным вопросам. Сотрудники, занимающиеся гендерными вопросами, имеются также в графствах, и они отвечают за то, чтобы все гендерные проблемы в графствах решались должным образом и в соответствии с утвержденной политикой и законами. Министерство по гендерным вопросам и развитию будет укреплять координационные центры, занимающиеся стоящими перед ними многочисленными проблемами.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После представления в 2010 году предыдущего доклада в структуре Министерства по гендерным вопросам и развитию произошли изменения, в результате которых были созданы новый департамент, отделы и подразделения, в частности отдел по правам человека, отвечающий за координацию работы с Министерством юстиции и другими учреждениями, занимающимися вопросами нарушения прав человека. Подразделение, занимавшееся детскими проблемами, было преобразовано в Отдел по защите детей, который должен координировать деятельность всех международных и национальных неправительственных и правительственных организаций, занимающихся правами ребенка и вопросами защиты детей.</w:t>
      </w:r>
    </w:p>
    <w:p w:rsidR="00DD2824" w:rsidRPr="00DD2824" w:rsidRDefault="00DD2824" w:rsidP="00DD2824">
      <w:pPr>
        <w:keepNext/>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Министерство по гендерным вопросам и развитию (МГВР) смогло достичь успеха в следующих областях:</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Расширение прав и возможностей женщин</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Во время выборов в 2011 году МГВР провело информационно-разъяснительную кампанию, поощряя женщин зарегистрироваться и принять участие в голосовании. Оно также оказывало моральную, финансовую и материальную поддержку женщинам-кандидатам.</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С целью расширения прав и возможностей сельских женщин МГВР в рамках своей программы "Гендерное равенство и расширение экономических прав и возможностей женщин" организовало в 2009–2012 годах в девяти графствах курсы грамотности для взрослых, создало сельские ссудно-сберегательные ассоциации и организацию "Женщины в трансграничной торговле". Оно также способствовало развитию навыков предпринимательской деятельности у женщин, в особенности сельских, чтобы дать им возможность лучше вести свой бизнес. Для обмена информацией и налаживания связей создана ассоциация коммерсантов, занимающихся приграничной торговлей.</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2009 году МГВР создало в 15 графствах Либерии организации сельских женщин. Эти структуры предоставляют женщинам возможность рассказать о своих проблемах, оценить свои достижения и выработать пути решения этих проблем. Они регулярно встречаются на форумах руководителей и проводят ежегодные конференции для составления планов будущей деятельности.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По инициативе Министерства Новое партнерство в интересах развития Африки (НЕПАД) в рамках своей программы кредитования "Проект и обсуждение" предоставило микрокредиты 6500 наименее обеспеченным и социально уязвимым женщинам.</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Правительство Либерии в сотрудничестве с правительством Индии организовало обучение восьми (8) сельских женщин из четырех (4) графств (Баса, Кейп-Маунт, Лофа и сельская часть Монтсеррадо) способам получения солнечной энергии, чтобы соединить сельских женщин с энергетическим сектором. В результате осуществления этих программ женщины имеют доступ к электричеству и могут участвовать в программах распространения грамотности среди взрослого населения. Благодаря этой экспериментальной программе, электрификация сельских общин будет продолжена.</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рамках проекта "Расширение экономических прав и возможностей девочек-подростков и молодых женщин" (ЭПАГ) в 2009–2011 годах 2500 девочек и молодых женщин в возрасте от 16 до 24 лет прошли подготовку по различным специальностям, управлению предприятием и развитию жизненных навыков и после обучения были приняты на работу. Были организованы кредитные программы, которыми воспользовались 3000 женщин.</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Продовольственная безопасность и питание</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2010 году МГВР организовало обучение 160 женщин послеуборочной обработке, пропариванию, сушке и дроблению риса и снабдило семенами и инструментами женщин в 15 графствах, а также создало в 12 графствах банки семян.</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ВЫПОЛНЕНИЕ КЛДЖ</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После представления Либерией в 2009 году своего доклада как государства – участника Конвенции в стране были созданы целевая группа и пять тематических групп по выполнению КЛДЖ для сбора и сопоставления данных и информации о достигнутом прогрессе в выполнении рекомендаций Комитета по ликвидации дискриминации в отношении женщин. В целевую группу входят представители различных правительственных министерств и учреждений, которые регулярно встречаются, чтобы отчитаться о проделанной работе. В настоящее время результаты мониторинга обсуждаются на периодических совещаниях отраслевых министерств и ведомств, которые регулярно представляют свои отчеты.</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Гендерная проблематика была включена в правительственную Стратегию сокращения масштабов нищеты и текущую Программу преобразований, которая определяет направление политического развития страны до 2030 года. Конкретные гендерные вопросы в этом политическом документе включают выдвижение на первый план сквозных для всех секторов вопросов, касающихся общей продуктивности и благосостояния общества с особым акцентом на уязвимые сегменты населения страны, такие как женщины, дети, лица с инвалидностью и молодежь. В Программе преобразований особо выделены следующие аспекты:</w:t>
      </w:r>
    </w:p>
    <w:p w:rsidR="00DD2824" w:rsidRPr="00DD2824" w:rsidRDefault="00DD2824" w:rsidP="00DD2824">
      <w:pPr>
        <w:tabs>
          <w:tab w:val="left" w:pos="1701"/>
        </w:tabs>
        <w:suppressAutoHyphens/>
        <w:spacing w:after="120" w:line="240" w:lineRule="atLeast"/>
        <w:ind w:left="1701" w:right="1134" w:hanging="170"/>
        <w:jc w:val="both"/>
        <w:rPr>
          <w:rFonts w:eastAsia="Times New Roman"/>
          <w:spacing w:val="0"/>
          <w:w w:val="100"/>
          <w:kern w:val="0"/>
          <w:szCs w:val="20"/>
        </w:rPr>
      </w:pPr>
      <w:r w:rsidRPr="00DD2824">
        <w:rPr>
          <w:rFonts w:eastAsia="Times New Roman"/>
          <w:spacing w:val="0"/>
          <w:w w:val="100"/>
          <w:kern w:val="0"/>
          <w:szCs w:val="20"/>
        </w:rPr>
        <w:t>•</w:t>
      </w:r>
      <w:r w:rsidRPr="00DD2824">
        <w:rPr>
          <w:rFonts w:eastAsia="Times New Roman"/>
          <w:spacing w:val="0"/>
          <w:w w:val="100"/>
          <w:kern w:val="0"/>
          <w:szCs w:val="20"/>
        </w:rPr>
        <w:tab/>
      </w:r>
      <w:r w:rsidRPr="00DD2824">
        <w:rPr>
          <w:rFonts w:eastAsia="Times New Roman"/>
          <w:b/>
          <w:bCs/>
          <w:spacing w:val="0"/>
          <w:w w:val="100"/>
          <w:kern w:val="0"/>
          <w:szCs w:val="20"/>
        </w:rPr>
        <w:t xml:space="preserve">ГЕНДЕРНОЕ РАВЕНСТВО: </w:t>
      </w:r>
      <w:r w:rsidRPr="00DD2824">
        <w:rPr>
          <w:rFonts w:eastAsia="Times New Roman"/>
          <w:bCs/>
          <w:spacing w:val="0"/>
          <w:w w:val="100"/>
          <w:kern w:val="0"/>
          <w:szCs w:val="20"/>
        </w:rPr>
        <w:t>повысить социально-экономический и политический статус и потенциал женщин Либерии</w:t>
      </w:r>
      <w:r w:rsidRPr="00DD2824">
        <w:rPr>
          <w:rFonts w:eastAsia="Times New Roman"/>
          <w:spacing w:val="0"/>
          <w:w w:val="100"/>
          <w:kern w:val="0"/>
          <w:szCs w:val="20"/>
        </w:rPr>
        <w:t xml:space="preserve">. </w:t>
      </w:r>
    </w:p>
    <w:p w:rsidR="00DD2824" w:rsidRPr="00DD2824" w:rsidRDefault="00DD2824" w:rsidP="00DD2824">
      <w:pPr>
        <w:tabs>
          <w:tab w:val="left" w:pos="1701"/>
        </w:tabs>
        <w:suppressAutoHyphens/>
        <w:spacing w:after="120" w:line="240" w:lineRule="atLeast"/>
        <w:ind w:left="1701" w:right="1134" w:hanging="170"/>
        <w:jc w:val="both"/>
        <w:rPr>
          <w:rFonts w:eastAsia="Times New Roman"/>
          <w:spacing w:val="0"/>
          <w:w w:val="100"/>
          <w:kern w:val="0"/>
          <w:szCs w:val="20"/>
        </w:rPr>
      </w:pPr>
      <w:r w:rsidRPr="00DD2824">
        <w:rPr>
          <w:rFonts w:eastAsia="Times New Roman"/>
          <w:spacing w:val="0"/>
          <w:w w:val="100"/>
          <w:kern w:val="0"/>
          <w:szCs w:val="20"/>
        </w:rPr>
        <w:t>•</w:t>
      </w:r>
      <w:r w:rsidRPr="00DD2824">
        <w:rPr>
          <w:rFonts w:eastAsia="Times New Roman"/>
          <w:spacing w:val="0"/>
          <w:w w:val="100"/>
          <w:kern w:val="0"/>
          <w:szCs w:val="20"/>
        </w:rPr>
        <w:tab/>
      </w:r>
      <w:r w:rsidRPr="00DD2824">
        <w:rPr>
          <w:rFonts w:eastAsia="Times New Roman"/>
          <w:b/>
          <w:bCs/>
          <w:spacing w:val="0"/>
          <w:w w:val="100"/>
          <w:kern w:val="0"/>
          <w:szCs w:val="20"/>
        </w:rPr>
        <w:t xml:space="preserve">ЗАЩИТА ДЕТЕЙ: </w:t>
      </w:r>
      <w:r w:rsidRPr="00DD2824">
        <w:rPr>
          <w:rFonts w:eastAsia="Times New Roman"/>
          <w:bCs/>
          <w:spacing w:val="0"/>
          <w:w w:val="100"/>
          <w:kern w:val="0"/>
          <w:szCs w:val="20"/>
        </w:rPr>
        <w:t>обеспечить защиту прав детей, защищать их от воздействия уязвимости и дискриминации и создать безопасную среду, в которой они могут полностью реализовать свой потенциал</w:t>
      </w:r>
      <w:r w:rsidRPr="00DD2824">
        <w:rPr>
          <w:rFonts w:eastAsia="Times New Roman"/>
          <w:spacing w:val="0"/>
          <w:w w:val="100"/>
          <w:kern w:val="0"/>
          <w:szCs w:val="20"/>
        </w:rPr>
        <w:t xml:space="preserve">. </w:t>
      </w:r>
    </w:p>
    <w:p w:rsidR="00DD2824" w:rsidRPr="00DD2824" w:rsidRDefault="00DD2824" w:rsidP="00DD2824">
      <w:pPr>
        <w:tabs>
          <w:tab w:val="left" w:pos="1701"/>
        </w:tabs>
        <w:suppressAutoHyphens/>
        <w:spacing w:after="120" w:line="240" w:lineRule="atLeast"/>
        <w:ind w:left="1701" w:right="1134" w:hanging="170"/>
        <w:jc w:val="both"/>
        <w:rPr>
          <w:rFonts w:eastAsia="Times New Roman"/>
          <w:spacing w:val="0"/>
          <w:w w:val="100"/>
          <w:kern w:val="0"/>
          <w:szCs w:val="20"/>
        </w:rPr>
      </w:pPr>
      <w:r w:rsidRPr="00DD2824">
        <w:rPr>
          <w:rFonts w:eastAsia="Times New Roman"/>
          <w:spacing w:val="0"/>
          <w:w w:val="100"/>
          <w:kern w:val="0"/>
          <w:szCs w:val="20"/>
        </w:rPr>
        <w:t>•</w:t>
      </w:r>
      <w:r w:rsidRPr="00DD2824">
        <w:rPr>
          <w:rFonts w:eastAsia="Times New Roman"/>
          <w:spacing w:val="0"/>
          <w:w w:val="100"/>
          <w:kern w:val="0"/>
          <w:szCs w:val="20"/>
        </w:rPr>
        <w:tab/>
      </w:r>
      <w:r w:rsidRPr="00DD2824">
        <w:rPr>
          <w:rFonts w:eastAsia="Times New Roman"/>
          <w:b/>
          <w:bCs/>
          <w:spacing w:val="0"/>
          <w:w w:val="100"/>
          <w:kern w:val="0"/>
          <w:szCs w:val="20"/>
        </w:rPr>
        <w:t xml:space="preserve">ИНВАЛИДНОСТЬ: </w:t>
      </w:r>
      <w:r w:rsidRPr="00DD2824">
        <w:rPr>
          <w:rFonts w:eastAsia="Times New Roman"/>
          <w:bCs/>
          <w:spacing w:val="0"/>
          <w:w w:val="100"/>
          <w:kern w:val="0"/>
          <w:szCs w:val="20"/>
        </w:rPr>
        <w:t>расширить доступ к социальным, политическим и экономическим возможностям и обеспечить лицам с инвалидностью в полной и равной мере соблюдение всех прав человека и основных свобод</w:t>
      </w:r>
      <w:r w:rsidRPr="00DD2824">
        <w:rPr>
          <w:rFonts w:eastAsia="Times New Roman"/>
          <w:spacing w:val="0"/>
          <w:w w:val="100"/>
          <w:kern w:val="0"/>
          <w:szCs w:val="20"/>
        </w:rPr>
        <w:t>.</w:t>
      </w:r>
    </w:p>
    <w:p w:rsidR="00DD2824" w:rsidRPr="00DD2824" w:rsidRDefault="00DD2824" w:rsidP="00DD2824">
      <w:pPr>
        <w:tabs>
          <w:tab w:val="left" w:pos="1701"/>
        </w:tabs>
        <w:suppressAutoHyphens/>
        <w:spacing w:after="120" w:line="240" w:lineRule="atLeast"/>
        <w:ind w:left="1701" w:right="1134" w:hanging="170"/>
        <w:jc w:val="both"/>
        <w:rPr>
          <w:rFonts w:eastAsia="Times New Roman"/>
          <w:b/>
          <w:spacing w:val="0"/>
          <w:w w:val="100"/>
          <w:kern w:val="0"/>
          <w:szCs w:val="20"/>
        </w:rPr>
      </w:pPr>
      <w:r w:rsidRPr="00DD2824">
        <w:rPr>
          <w:rFonts w:eastAsia="Times New Roman"/>
          <w:spacing w:val="0"/>
          <w:w w:val="100"/>
          <w:kern w:val="0"/>
          <w:szCs w:val="20"/>
        </w:rPr>
        <w:t>•</w:t>
      </w:r>
      <w:r w:rsidRPr="00DD2824">
        <w:rPr>
          <w:rFonts w:eastAsia="Times New Roman"/>
          <w:spacing w:val="0"/>
          <w:w w:val="100"/>
          <w:kern w:val="0"/>
          <w:szCs w:val="20"/>
        </w:rPr>
        <w:tab/>
      </w:r>
      <w:r w:rsidRPr="00DD2824">
        <w:rPr>
          <w:rFonts w:eastAsia="Times New Roman"/>
          <w:b/>
          <w:bCs/>
          <w:spacing w:val="0"/>
          <w:w w:val="100"/>
          <w:kern w:val="0"/>
          <w:szCs w:val="20"/>
        </w:rPr>
        <w:t>РАСШИРЕНИЕ ПРАВ И ВОЗМОЖНОСТЕЙ МОЛОДЕЖИ:</w:t>
      </w:r>
      <w:r w:rsidRPr="00DD2824">
        <w:rPr>
          <w:rFonts w:eastAsia="Times New Roman"/>
          <w:bCs/>
          <w:spacing w:val="0"/>
          <w:w w:val="100"/>
          <w:kern w:val="0"/>
          <w:szCs w:val="20"/>
        </w:rPr>
        <w:t xml:space="preserve"> обеспечить молодым людям права и возможности в качестве полноправных участников во всех сферах жизни либерийского общества.</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ПЕКИНСКАЯ ПЛАТФОРМА ДЕЙСТВИЙ</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Либерия приняла меры по выполнению Пекинской платформы действий, создав целевые группы, которые занимаются 12 важнейшими областями, указанными в Пекинской платформе. МГВР осуществляет координацию выполнения Пекинской платформы действий с соответствующими правительственными министерствами и учреждениями.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Сектор безопасности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отношении сектора безопасности следует отметить, что Национальная служба безопасности стремится повысить общественное доверие к силам безопасности путем набора квалифицированных сотрудников с использованием процессов транспарентной и беспристрастной проверки с целью учета различного этнического, гендерного и религиозного представительства, а также путем подготовки персонала в соответствии с международными стандартами, обеспечивающими подотчетность, этичное и профессиональное поведение в условиях демократического гражданского контроля.</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Действия и программы спланированы таким образом, чтобы привлечь в сектор безопасности больше женщин. С целью поощрения женщин к вступлению в ряды полицейских сокращено количество критериев для набора. В последнее время на службу в полицию было принято больше женщин, но их численность все еще мала. Например, из общего числа зачисленных в Вооруженные силы Либерии женщины составляют только около 2 процентов. Соответственно, растет количество подразделений по защите женщин и детей в Национальной полиции и укрепление их квалифицированными кадрами. Подразделения по защите женщин и детей существуют во всех графствах, но в большинстве случаев они недостаточно укомплектованы кадрами. Например, в графстве Ривер-Ги есть только один полицейский участок и один сотрудник, имеющий специальную подготовку.</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Сельское хозяйство</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Ожидается, что Программа преобразований в Либерии, национальный план, рассчитанный на восемнадцать лет, позволит увеличить число жизнеспособных общин и лесохозяйственных предприятий частного сектора, экспорт лесоматериалов, добавленную стоимость и занятость, особенно среди молодежи, женщин и других уязвимых групп, что подтверждается учетом движения лесоматериалов. Учет движения лесоматериалов свидетельствует о том, что в данной общине учитываются лесные ресурсы, в разработке которых участвуют инвесторы или общинные лидеры. Это должно делаться в интересах всех заинтересованных сторон, принимая во внимание воздействие на окружающую среду. В этом случае природные ресурсы в общине будут приносить пользу всем, в частности женщинам, которые обрабатывают землю.</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8" w:name="_Toc388281189"/>
      <w:r w:rsidRPr="00DD2824">
        <w:rPr>
          <w:rFonts w:eastAsia="Times New Roman"/>
          <w:b/>
          <w:spacing w:val="0"/>
          <w:w w:val="100"/>
          <w:kern w:val="0"/>
          <w:sz w:val="24"/>
          <w:szCs w:val="24"/>
        </w:rPr>
        <w:t>Статья 4. Меры, направленные на ускорение установления фактического равенства между мужчинами и женщинами</w:t>
      </w:r>
      <w:bookmarkEnd w:id="8"/>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За отчетный период принимались различные меры, направленные на решение вопросов равенства женщин и мужчин. Некоторые из этих мер включают отмену дискриминационных законов в области обычного и традиционного права, обеспечение доступа к качественным услугам здравоохранения и специализированным образовательным программам. Подробнее эти программы и меры рассматриваются в соответствующих разделах данного доклада.</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9" w:name="_Toc388281190"/>
      <w:r w:rsidRPr="00DD2824">
        <w:rPr>
          <w:rFonts w:eastAsia="Times New Roman"/>
          <w:b/>
          <w:spacing w:val="0"/>
          <w:w w:val="100"/>
          <w:kern w:val="0"/>
          <w:sz w:val="24"/>
          <w:szCs w:val="24"/>
        </w:rPr>
        <w:t>Статья 5. Роли, определяемые полом, и стереотипные представления о роли мужчин и женщин</w:t>
      </w:r>
      <w:bookmarkEnd w:id="9"/>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Правительство Либерии осуществляло масштабные общенациональные информационные мероприятия, касающиеся роли женщин и мужчин в обществе. С помощью партнеров были разработаны программы по созданию потенциала у девочек-подростков и молодых женщин для работы в таких областях, как кирпичная кладка, плотницкое дело, электротехнические работы, малярное дело, вождение большегрузных автомобилей и т. д.</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Традиционная практика</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За время, прошедшее с представления последнего доклада о выполнении КЛДЖ в 2009 году, правительство Либерии предприняло конкретные шаги по отмене выдачи разрешений традиционным лидерам и лицам, практикующим проведение КОЖПО в 15 графствах, чтобы с помощью Министерства внутренних дел положить конец наносящей вред обычной и традиционной практике, которая отражается на благополучии женщин и девочек. В ноябре 2010 года Министерство внутренних дел, традиционные лидеры и лица, практикующие проведение КОЖПО, договорились, что все тайные общества (Sande bushes) или "полевые школы" должны располагаться в 25 милях от общин и ни одного ребенка нельзя насильственно заставлять проходить обряд посвящения или забирать из официальной школы для прохождения этого обряда.</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Только лица, достигшие 18 лет, или старше могут давать согласие на вступление в это общество и прохождение обряда посвящения. В поддержку этого решения в 2011 году был принят Закон о детях, в котором говорится, что "любая не вызванная необходимостью или нецивилизованная практика, которая может причинить ребенку физические, психосоциальные или эмоциональные страдания или каким-либо иным образом нарушает или подвергает опасности его физическую неприкосновенность, жизнь, здоровье, достоинство, образование, благополучие или общее развитие, является наказуемой" (раздел 4 d) статьи 6). Эта мера привела к увеличению численности девочек в школах и потенциально приведет к снижению показателя КОЖПО, поскольку теперь меньше девочек записывают в "полевые школы", где превалирует проведение КОЖПО.</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15 января 2013 года Министерство внутренних дел издало Циркуляр № 12, в котором конкретно указывается, что "лицо, которое использует любую форму принуждения или запугивания, чтобы заставить другое лицо согласиться на или пройти обряд посвящения по какой-либо племенной ритуальной или традиционной практике.., может быть арестовано, в отношении него может быть выдвинуто обвинение и оно может преследоваться в судебном порядке за нарушение гражданских прав или прав человека в Либерии". Традиционные лидеры и представители правительства Либерии провели соответствующую информационно-разъяснительную работу, чтобы обеспечить полную реализацию этой политики. Согласно сообщениям, в результате осуществления этой политики и стратегий, утвержденных для просвещения и повышения информированности населения, в сельских районах наблюдается сокращение применения традиционной практики, причиняющей вред здоровью женщин.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Насилие в отношении женщин</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Либерии разработан План борьбы с насилием по гендерному признаку для предупреждения и реагирования на случаи такого насилия. Этот План включает создание в семи графствах убежищ для жертв сексуального насилия. Шесть из них функционируют в графствах Баса, Бонг, Лофа, Кейп-Маунт, Маргибиаданд Нимба и еще одно в графстве Ривер-Ги, как ожидается, скоро будет построено и начнет работать. Эти убежища предоставляют временную защиту для подвергшихся жестокому обращению женщин и детей, а также психосоциальное консультирование, отдых и последующее лечение для жертв изнасилования. Наряду с этим были организованы учебные занятия для сотрудников сил безопасности и медицинских работников по чуткому реагированию на случаи гендерного насилия с учетом прав, потребностей в лечении, интересов и неприкосновенности частной жизни жертв.</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Кроме того, Ассоциация женщин – юристов Либерии (АЖЮЛ) и Национальная ассоциация адвокатов организовали юридические консультации, где женщины могут получить бесплатную правовую помощь. Эти услуги предоставляются бесплатно женщинам и жертвам сексуального насилия. В мае 2013 года АЖЮЛ открыла свое отделение в графстве Боми в качестве первого шага по децентрализации этих услуг и предоставлению их в других районах Либерии.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МГВР, некоторые другие государственные учреждения, такие как Министерство здравоохранения и социального обеспечения, а также  международные неправительственные организации, учреждения системы Организации Объединенных Наций, "</w:t>
      </w:r>
      <w:r w:rsidRPr="00DD2824">
        <w:rPr>
          <w:rFonts w:eastAsia="Times New Roman"/>
          <w:spacing w:val="0"/>
          <w:w w:val="100"/>
          <w:kern w:val="0"/>
          <w:szCs w:val="20"/>
          <w:lang w:val="en-US"/>
        </w:rPr>
        <w:t>Medical</w:t>
      </w:r>
      <w:r w:rsidRPr="00DD2824">
        <w:rPr>
          <w:rFonts w:eastAsia="Times New Roman"/>
          <w:spacing w:val="0"/>
          <w:w w:val="100"/>
          <w:kern w:val="0"/>
          <w:szCs w:val="20"/>
        </w:rPr>
        <w:t xml:space="preserve"> </w:t>
      </w:r>
      <w:r w:rsidRPr="00DD2824">
        <w:rPr>
          <w:rFonts w:eastAsia="Times New Roman"/>
          <w:spacing w:val="0"/>
          <w:w w:val="100"/>
          <w:kern w:val="0"/>
          <w:szCs w:val="20"/>
          <w:lang w:val="en-US"/>
        </w:rPr>
        <w:t>Mondiale</w:t>
      </w:r>
      <w:r w:rsidRPr="00DD2824">
        <w:rPr>
          <w:rFonts w:eastAsia="Times New Roman"/>
          <w:spacing w:val="0"/>
          <w:w w:val="100"/>
          <w:kern w:val="0"/>
          <w:szCs w:val="20"/>
        </w:rPr>
        <w:t>", "</w:t>
      </w:r>
      <w:r w:rsidRPr="00DD2824">
        <w:rPr>
          <w:rFonts w:eastAsia="Times New Roman"/>
          <w:spacing w:val="0"/>
          <w:w w:val="100"/>
          <w:kern w:val="0"/>
          <w:szCs w:val="20"/>
          <w:lang w:val="en-US"/>
        </w:rPr>
        <w:t>Equip</w:t>
      </w:r>
      <w:r w:rsidRPr="00DD2824">
        <w:rPr>
          <w:rFonts w:eastAsia="Times New Roman"/>
          <w:spacing w:val="0"/>
          <w:w w:val="100"/>
          <w:kern w:val="0"/>
          <w:szCs w:val="20"/>
        </w:rPr>
        <w:t xml:space="preserve"> </w:t>
      </w:r>
      <w:r w:rsidRPr="00DD2824">
        <w:rPr>
          <w:rFonts w:eastAsia="Times New Roman"/>
          <w:spacing w:val="0"/>
          <w:w w:val="100"/>
          <w:kern w:val="0"/>
          <w:szCs w:val="20"/>
          <w:lang w:val="en-US"/>
        </w:rPr>
        <w:t>Liberia</w:t>
      </w:r>
      <w:r w:rsidRPr="00DD2824">
        <w:rPr>
          <w:rFonts w:eastAsia="Times New Roman"/>
          <w:spacing w:val="0"/>
          <w:w w:val="100"/>
          <w:kern w:val="0"/>
          <w:szCs w:val="20"/>
        </w:rPr>
        <w:t>", организация "На службе человечества, нуждающегося в доброте" (THINK), "</w:t>
      </w:r>
      <w:r w:rsidRPr="00DD2824">
        <w:rPr>
          <w:rFonts w:eastAsia="Times New Roman"/>
          <w:spacing w:val="0"/>
          <w:w w:val="100"/>
          <w:kern w:val="0"/>
          <w:szCs w:val="20"/>
          <w:lang w:val="en-US"/>
        </w:rPr>
        <w:t>Women</w:t>
      </w:r>
      <w:r w:rsidRPr="00DD2824">
        <w:rPr>
          <w:rFonts w:eastAsia="Times New Roman"/>
          <w:spacing w:val="0"/>
          <w:w w:val="100"/>
          <w:kern w:val="0"/>
          <w:szCs w:val="20"/>
        </w:rPr>
        <w:t xml:space="preserve"> </w:t>
      </w:r>
      <w:r w:rsidRPr="00DD2824">
        <w:rPr>
          <w:rFonts w:eastAsia="Times New Roman"/>
          <w:spacing w:val="0"/>
          <w:w w:val="100"/>
          <w:kern w:val="0"/>
          <w:szCs w:val="20"/>
          <w:lang w:val="en-US"/>
        </w:rPr>
        <w:t>Aid</w:t>
      </w:r>
      <w:r w:rsidRPr="00DD2824">
        <w:rPr>
          <w:rFonts w:eastAsia="Times New Roman"/>
          <w:spacing w:val="0"/>
          <w:w w:val="100"/>
          <w:kern w:val="0"/>
          <w:szCs w:val="20"/>
        </w:rPr>
        <w:t xml:space="preserve"> </w:t>
      </w:r>
      <w:r w:rsidRPr="00DD2824">
        <w:rPr>
          <w:rFonts w:eastAsia="Times New Roman"/>
          <w:spacing w:val="0"/>
          <w:w w:val="100"/>
          <w:kern w:val="0"/>
          <w:szCs w:val="20"/>
          <w:lang w:val="en-US"/>
        </w:rPr>
        <w:t>Incorporated</w:t>
      </w:r>
      <w:r w:rsidRPr="00DD2824">
        <w:rPr>
          <w:rFonts w:eastAsia="Times New Roman"/>
          <w:spacing w:val="0"/>
          <w:w w:val="100"/>
          <w:kern w:val="0"/>
          <w:szCs w:val="20"/>
        </w:rPr>
        <w:t>" и Норвежский совет по делам беженцев предоставляют услуги жертвам сексуального насилия, в том числе защиту в убежищах, правовую, медицинскую и психологическую поддержку.</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ИНФОРМИРОВАНИЕ О ПРАВАХ ЖЕНЩИН</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Министерство по гендерным вопросам и развитию, НПО и учреждения системы Организации Объединенных Наций проводили многочисленные публичные информационно-пропагандистские кампании с целью изменения в общественном мнении негативного представления о женщинах. Эти кампании были направлены на уменьшение масштабов насилия в отношении женщин, против изображения женщин в качестве объектов сексуальных устремлений и дискриминации в отношении женщин. В целях повышения осведомленности, просвещения и информирования общественности о предупреждении изнасилований и реагировании на эти случаи, а также о правах женщин, вытекающих из Закона о наследовании, соответствующие законы разъяснялись понятным, простым языком. Для просвещения населения с целью прекращения всех форм насилия в отношении женщин, включая насилие в семье, против которого в настоящее время не принято какого-либо конкретного закона, использовались радиопостановки, ток-шоу и короткие информационные ролики.</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Разработка в Либерии Закона о насилии в семье</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В Либерии подготовлен проект Закона о насилии в семье, в основу которого была положена информация, полученная из городов и сельских районов страны. Вступление этого Закона в силу окажет большую помощь в решении проблемы насилия в отношении женщин и детей и обеспечит максимальную защиту их прав в семье. Проект Закона о насилии в семье составлен в ответ на пункт 23 заключительных замечаний Комитета КЛДЖ, в котором содержится призыв к правительству Либерии разработать и внедрить комплексную правовую основу для борьбы с насилием в отношении женщин и детей. </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0" w:name="_Toc388281191"/>
      <w:r w:rsidRPr="00DD2824">
        <w:rPr>
          <w:rFonts w:eastAsia="Times New Roman"/>
          <w:b/>
          <w:spacing w:val="0"/>
          <w:w w:val="100"/>
          <w:kern w:val="0"/>
          <w:sz w:val="24"/>
          <w:szCs w:val="24"/>
        </w:rPr>
        <w:t>Статья 6. Торговля людьми и эксплуатация</w:t>
      </w:r>
      <w:bookmarkEnd w:id="10"/>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Правительство Либерии прилагает значительные усилия, чтобы в полной мере соблюдать минимальные нормы для искоренения торговли людьми в стране. Правительство Либерии определяет торговлю людьми как "вербовку, перевозку, передачу, укрывательство или получение людей путем угрозы силой или ее применения, или других форм принуждения, похищения, мошенничества, обмана, злоупотребления властью или уязвимостью положения, или путем подкупа в виде платежей или выгод для получения согласия лица, контролирующего другое лицо в целях эксплуатации". Торговля людьми принимает многочисленные формы, людей продают из сельских районов в города и в обратном направлении, а также незаконно ввозят в Либерию из других стран.</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Для борьбы с этим явлением была создана Национальная целевая группа по борьбе с торговлей людьми. Эта Целевая группа осуществляет свою деятельность с помощью Национального секретариата по борьбе с торговлей людьми и состоит из представителей всех органов службы безопасности Либерии. Данная группа несет ответственность за проведение расследований случаев торговли людьми и сотрудничает в этом вопросе с Национальной полицией и судами. </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Правительство подготовило новые стратегии по защите детей в интернатных учреждениях, пересмотрев руководства по аккредитации поставщиков соответствующих услуг в отношении качества и предоставления альтернативного ухода за детьми. Бюро иммиграции внедряет практику предоставления родителями разрешений на поездку за границу несовершеннолетних детей. Такие разрешения оформляет Министерство здравоохранения и социального обеспечения. В Либерии наложен мораторий на усыновление детей, поскольку эта процедура является одним каналов незаконного ввоза детей в страну.</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Правительство Либерии и ЮНИСЕФ провели в 2011 году общенациональное исследование проблемы торговли людьми в стране, которое выявило, что большинство жертв торговли людьми – это дети и девочки, которых используют для уличной торговли, проституции и в качестве домашней прислуги. Усилия Либерии по борьбе с торговлей людьми подкрепляются просветительской работой среди населения об опасностях, которые представляет торговля людьми. Для сотрудников сектора безопасности и жителей общин, расположенных вдоль границы Либерии с другими странами, были организованы 30 учебных занятий по предупреждению торговли людьми. Секретариат по борьбе с торговлей людьми подготовил также 12 групп родителей в сельских районах по всей стране, которые отслеживают случаи нарушения прав человека в сельских общинах. Пока оценка эффективности этой работы в общинах еще не проводилась. Однако ожидается, что такая специальная подготовка поможет уменьшить число случаев торговли людьми.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целях укрепления сотрудничества в этой области с западноафриканскими и другими странами Либерийский национальный план действий по борьбе с торговлей людьми выполняется в полном соответствии с Планом действий ЭКОВАС. Этот план и включенные в него виды деятельности ежегодно пересматриваются.</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Либерия также ратифицировала и выполняет следующие Конвенции: </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Конвенцию о взаимопомощи в правовой сфере Экономического сообщества западноафриканских государств;</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Протокол против незаконного ввоза мигрантов по суше, воздуху и морю, дополняющий Конвенцию Организации Объединенных Наций против транснациональной организованной преступности;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Конвенцию Организации Объединенных Наций против транснациональной организованной преступности;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Конвенцию ЭКОВАС об экстрадиции и Протокол о предупреждении и пресечении торговли людьми, особенно женщинами и детьми.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За отчетный период, с 2009 по 2013 год, было зарегистрировано несколько случаев торговли людьми. В 2009–2010 годах в Либерию были незаконно ввезены 45 человек в возрасте 18–44 лет, из них 37 бангладешцев, 7 марокканцев и 1 тунисец. Среди них были 7 женщин и 38 мужчин. Правительство Либерии успешно репатриировало этих жертв торговли, а один преступник был осужден. В течение этого же периода было зарегистрировано 6 случаев незаконного вывоза из Либерии 111 человек. Среди этих 111 человек было 14 женщин, 37 мужчин и 60 детей.</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Внутри страны было зарегистрировано 15 случаев продажи сельских жителей – 11 девочек и 4 мальчиков – в города. Бюро иммиграции и натурализации (БИН) также зарегистрировало 6 случаев продажи городских детей в сельские районы: были проданы 5 девочек и 1 мальчик в возрасте 14–19 лет. Большинство потерпевших воссоединились со своими семьями, а преступникам были предъявлены обвинения и они были осуждены. Дополнительного внимания со стороны органов борьбы с торговлей людьми требует незаконный вывоз девочек в различные районы Либерии для занятия проституцией. </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1" w:name="_Toc388281192"/>
      <w:r w:rsidRPr="00DD2824">
        <w:rPr>
          <w:rFonts w:eastAsia="Times New Roman"/>
          <w:b/>
          <w:spacing w:val="0"/>
          <w:w w:val="100"/>
          <w:kern w:val="0"/>
          <w:sz w:val="24"/>
          <w:szCs w:val="24"/>
        </w:rPr>
        <w:t>Статьи 7 и 8. Содействие достижению равенства при принятии политических решений</w:t>
      </w:r>
      <w:bookmarkEnd w:id="11"/>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"Билль справедливости", который призван обеспечивать и поощрять равенство при принятии политических решений, находится на рассмотрении в парламенте уже в течение последних четырех лет. Принятые в прошлом стратегии по утверждению этого законопроекта были пересмотрены с целью определения просчетов, приведших к его непринятию. Выяснилось, что в целом методы были спорными и конфронтационными. Были разработаны новые стратегии лоббирования мужчин-парламентариев. Были организованы ознакомительные поездки в страны, где в парламент успешно были избраны более 40 процентов женщин, которые смогут послужить руководством по продвижению и принятию "Билля справедливости". Согласно этому законопроекту, для женщин выделяется 30-процентная квота, что подавляющее большинство мужчин – депутатов парламента считают недемократичным.</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Предложение о внесении поправки в раздел 4.5 Закона Либерии о выборах, касающейся соблюдения гендерного равенства при выдвижении кандидатов, гласит: "Список кандидатов на выборные должности должен содержать не менее 30 процентов и не более 70 процентов лиц того или иного пола". Выработанный в результате согласования с Бюро по гендерным вопросам Национальной избирательной комиссии новый Закон о выборах представляет собой еще один способ расширения участия женщин в избирательном процессе. Предлагаемую поправку к Закону о выборах поддерживает также Совещание либерийских женщин-законодателей (СЛЖЗ), которое является автором "Билля справедливости".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Женщины поддерживают этот законопроект, агитируя своих представителей выступать за его принятие. Они также участвуют в слушаниях о предлагаемом законопроекте на открытых заседаниях парламента. В своих выступлениях по национальному радио некоторые мужчины – депутаты парламента выразили свою поддержку новому Закону о выборах. Еще одна стратегия заручиться дополнительной поддержкой этого законопроекта состоит в том, чтобы добиться от президента Эллен Джонсон-Серлиф публичного выражения поддержки нового Закона о выборах.</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Во время выборов в 2011 году в избирательном процессе участвовали 102 женщины. Трое из них были кандидатами в президенты. Хотя избраны были только 12 женщин (8 членов Палаты представителей и 4 сенатора), выборы продемонстрировали рост числа женщин, участвующих в выборах на государственные должности. В то же время было отмечено снижение – с 14 до 12 процентов – числа женщин, избранных в Законодательное собрание. В настоящее время эта цифра возросла до 13, поскольку еще одна женщина победила на дополнительных выборах. Сейчас женщины составляют 30 процентов членов правительства, назначаемых президентом, и двое из пяти членов Верховного суда также являются женщинами.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Шесть из 17 основных послов Либерии – женщины. Либерия также представлена женщинами-послами и высокопоставленными дипломатическими сотрудниками во многих странах мира, например в Южной Африке, Эфиопии, Гвинее, Японии, Великобритании, Сьерра-Леоне, Уганде и т. д. Кроме того, женщины представляют Либерию в таких международных организациях, как Организация Объединенных Наций и Африканский Союз. Правительство Либерии постоянно представлено различными организациями гражданского общества, сельскими женщинами и отраслевыми министерствами и учреждениями в международных организациях, и среди последних событий можно назвать участие в конференции Комиссии по положению женщин (КПЖ), состоявшейся в Нью-Йорке, Соединенные Штаты Америки, в марте 2013 года.</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Было проведено несколько мероприятий по повышению информированности относительно важности участия женщин в политической жизни. Среди этих мероприятий – однодневная консультативная встреча с членами парламента Либерии по вопросу об участии женщин в процессах принятия решений по теме "Меры по соблюдению гендерного паритета при назначении на ответственные посты в Либерии". Были также проведены практикумы и семинары для заинтересованных сторон, подготовлены национальные программы по проблемам женщин, публикуются статьи в прессе, проводятся ток-шоу по радио и используется уличная реклама, распространяются печатные материалы и публикации о наиболее важных событиях.</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Другие мероприятия по повышению информированности населения включают среди прочего:</w:t>
      </w:r>
    </w:p>
    <w:p w:rsidR="00DD2824" w:rsidRPr="00DD2824" w:rsidRDefault="00DD2824" w:rsidP="00DD2824">
      <w:pPr>
        <w:tabs>
          <w:tab w:val="left" w:pos="708"/>
        </w:tabs>
        <w:suppressAutoHyphens/>
        <w:spacing w:after="120" w:line="240" w:lineRule="atLeast"/>
        <w:ind w:left="1531" w:right="1134"/>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ежегодное празднование Международного женского дня;</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ежегодные 16-дневные кампании активных действий против гендерного насилия;</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кампании против изнасилований;</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конференции сельских женщин;</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общенациональные конференции женщин;</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учреждение Секретариата по вопросам гендерного насилия.</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Значительные шаги были предприняты по продвижению женщин на ключевые посты, связанные с принятием решений. При наличии возможностей женщины назначались на ответственные должности и затем эффективно трудились в этих сферах. Основной проблемной областью остается победа женщин на парламентских выборах. Различные женские организации и защитники прав женщин осуществляют программы по подготовке и обучению женщин навыкам лидерства и помогают им в выработке стратегий предвыборной борьбы. На сегодняшний день данные о численности женщин на руководящих постах таковы:</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ЖЕНЩИНЫ, ЗАНИМАЮЩИЕ РУКОВОДЯЩИЕ ДОЛЖНОСТИ</w:t>
      </w:r>
    </w:p>
    <w:p w:rsidR="00DD2824" w:rsidRPr="00DD2824" w:rsidRDefault="00DD2824" w:rsidP="00DD2824">
      <w:pPr>
        <w:tabs>
          <w:tab w:val="left" w:pos="708"/>
        </w:tabs>
        <w:suppressAutoHyphens/>
        <w:spacing w:after="120" w:line="240" w:lineRule="atLeast"/>
        <w:ind w:left="1531" w:right="1134"/>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Президентом и главой государства является женщина.</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Из 21 члена кабинета министров 15 мужчин и 6 женщин (назначаемые должности).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Из 318 руководителей в системе государственной службы 52 женщины и 266 мужчин (назначаемые должности).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В графствах 5 из 15 префектов – женщины (назначаемые должности).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Сектор безопасности: 20 процентов личного состава иммиграционной службы составляют женщины.</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Сектор безопасности: 14,6 процента полицейских – женщины.</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Сектор безопасности: женщины составляют 4,7 процента от численности Вооруженных сил Либерии.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2 из 5 судей Верховного суда – женщины (назначаемые должности).</w:t>
      </w:r>
    </w:p>
    <w:p w:rsidR="00DD2824" w:rsidRPr="00DD2824" w:rsidRDefault="00DD2824" w:rsidP="00DD2824">
      <w:pPr>
        <w:tabs>
          <w:tab w:val="left" w:pos="708"/>
        </w:tabs>
        <w:suppressAutoHyphens/>
        <w:spacing w:after="120" w:line="240" w:lineRule="atLeast"/>
        <w:ind w:left="1701" w:right="1134" w:hanging="170"/>
        <w:jc w:val="both"/>
        <w:rPr>
          <w:rFonts w:eastAsia="Times New Roman"/>
          <w:spacing w:val="0"/>
          <w:w w:val="100"/>
          <w:kern w:val="0"/>
          <w:szCs w:val="20"/>
        </w:rPr>
      </w:pPr>
      <w:r w:rsidRPr="00DD2824">
        <w:rPr>
          <w:rFonts w:ascii="Wingdings" w:eastAsia="Times New Roman" w:hAnsi="Wingdings"/>
          <w:spacing w:val="0"/>
          <w:w w:val="100"/>
          <w:kern w:val="0"/>
          <w:szCs w:val="20"/>
        </w:rPr>
        <w:t></w:t>
      </w:r>
      <w:r w:rsidRPr="00DD2824">
        <w:rPr>
          <w:rFonts w:eastAsia="Times New Roman"/>
          <w:spacing w:val="0"/>
          <w:w w:val="100"/>
          <w:kern w:val="0"/>
          <w:szCs w:val="20"/>
        </w:rPr>
        <w:tab/>
        <w:t>В парламенте 13 из 108 депутатов – женщины и 95 – мужчины (выборные должности).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Многие женщины занимают руководящие должности в государственных автономных учреждениях в качестве директоров и управляющих. Среди таких учреждений – Администрация порта, Национальное портовое управление, Либерийская комиссия по предоставлению убежища, репатриации и переселению и Национальное бюро иммиграции и натурализации. </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2" w:name="_Toc388281193"/>
      <w:r w:rsidRPr="00DD2824">
        <w:rPr>
          <w:rFonts w:eastAsia="Times New Roman"/>
          <w:b/>
          <w:spacing w:val="0"/>
          <w:w w:val="100"/>
          <w:kern w:val="0"/>
          <w:sz w:val="24"/>
          <w:szCs w:val="24"/>
        </w:rPr>
        <w:t>Статья 9. Гражданство</w:t>
      </w:r>
      <w:bookmarkEnd w:id="12"/>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статье 27 Конституции Либерии предусматривается:</w:t>
      </w:r>
    </w:p>
    <w:p w:rsidR="00DD2824" w:rsidRPr="00DD2824" w:rsidRDefault="00DD2824" w:rsidP="00DD2824">
      <w:pPr>
        <w:suppressAutoHyphens/>
        <w:spacing w:after="120" w:line="240" w:lineRule="atLeast"/>
        <w:ind w:left="1134" w:right="1134" w:firstLine="567"/>
        <w:jc w:val="both"/>
        <w:rPr>
          <w:rFonts w:eastAsia="Times New Roman"/>
          <w:spacing w:val="0"/>
          <w:w w:val="100"/>
          <w:kern w:val="0"/>
          <w:szCs w:val="20"/>
        </w:rPr>
      </w:pPr>
      <w:r w:rsidRPr="00DD2824">
        <w:rPr>
          <w:rFonts w:eastAsia="Times New Roman"/>
          <w:spacing w:val="0"/>
          <w:w w:val="100"/>
          <w:kern w:val="0"/>
          <w:szCs w:val="20"/>
        </w:rPr>
        <w:t>a)</w:t>
      </w:r>
      <w:r w:rsidRPr="00DD2824">
        <w:rPr>
          <w:rFonts w:eastAsia="Times New Roman"/>
          <w:spacing w:val="0"/>
          <w:w w:val="100"/>
          <w:kern w:val="0"/>
          <w:szCs w:val="20"/>
        </w:rPr>
        <w:tab/>
        <w:t xml:space="preserve">Все лица, которые на момент вступления в силу настоящей Конституции были на законных основаниях гражданами Либерии, продолжат оставаться таковыми. </w:t>
      </w:r>
    </w:p>
    <w:p w:rsidR="00DD2824" w:rsidRPr="00DD2824" w:rsidRDefault="00DD2824" w:rsidP="00DD2824">
      <w:pPr>
        <w:suppressAutoHyphens/>
        <w:spacing w:after="120" w:line="240" w:lineRule="atLeast"/>
        <w:ind w:left="1134" w:right="1134" w:firstLine="567"/>
        <w:jc w:val="both"/>
        <w:rPr>
          <w:rFonts w:eastAsia="Times New Roman"/>
          <w:spacing w:val="0"/>
          <w:w w:val="100"/>
          <w:kern w:val="0"/>
          <w:szCs w:val="20"/>
        </w:rPr>
      </w:pPr>
      <w:r w:rsidRPr="00DD2824">
        <w:rPr>
          <w:rFonts w:eastAsia="Times New Roman"/>
          <w:spacing w:val="0"/>
          <w:w w:val="100"/>
          <w:kern w:val="0"/>
          <w:szCs w:val="20"/>
        </w:rPr>
        <w:t>b)</w:t>
      </w:r>
      <w:r w:rsidRPr="00DD2824">
        <w:rPr>
          <w:rFonts w:eastAsia="Times New Roman"/>
          <w:spacing w:val="0"/>
          <w:w w:val="100"/>
          <w:kern w:val="0"/>
          <w:szCs w:val="20"/>
        </w:rPr>
        <w:tab/>
        <w:t>В целях сохранения, культивирования и поддержания положительных черт характера либерийцев, а также культуры и ценностей Либерии только лица, являющиеся неграми или имеющими негритянское происхождение могут считаться гражданами Либерии по рождению или путем натурализации.</w:t>
      </w:r>
    </w:p>
    <w:p w:rsidR="00DD2824" w:rsidRPr="00DD2824" w:rsidRDefault="00DD2824" w:rsidP="00DD2824">
      <w:pPr>
        <w:suppressAutoHyphens/>
        <w:spacing w:after="120" w:line="240" w:lineRule="atLeast"/>
        <w:ind w:left="1134" w:right="1134" w:firstLine="567"/>
        <w:jc w:val="both"/>
        <w:rPr>
          <w:rFonts w:eastAsia="Times New Roman"/>
          <w:spacing w:val="0"/>
          <w:w w:val="100"/>
          <w:kern w:val="0"/>
          <w:szCs w:val="20"/>
        </w:rPr>
      </w:pPr>
      <w:r w:rsidRPr="00DD2824">
        <w:rPr>
          <w:rFonts w:eastAsia="Times New Roman"/>
          <w:spacing w:val="0"/>
          <w:w w:val="100"/>
          <w:kern w:val="0"/>
          <w:szCs w:val="20"/>
        </w:rPr>
        <w:t>c)</w:t>
      </w:r>
      <w:r w:rsidRPr="00DD2824">
        <w:rPr>
          <w:rFonts w:eastAsia="Times New Roman"/>
          <w:spacing w:val="0"/>
          <w:w w:val="100"/>
          <w:kern w:val="0"/>
          <w:szCs w:val="20"/>
        </w:rPr>
        <w:tab/>
        <w:t xml:space="preserve">Другие квалифицирующие критерии для процедур получения натурализации устанавливаются парламентом в соответствии с вышеизложенной нормой. </w:t>
      </w:r>
    </w:p>
    <w:p w:rsidR="00DD2824" w:rsidRPr="00DD2824" w:rsidRDefault="00DD2824" w:rsidP="00DD2824">
      <w:pPr>
        <w:keepNext/>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Статья 28 Конституции гласит: </w:t>
      </w:r>
    </w:p>
    <w:p w:rsidR="00DD2824" w:rsidRPr="00DD2824" w:rsidRDefault="00DD2824" w:rsidP="00DD2824">
      <w:pPr>
        <w:suppressAutoHyphens/>
        <w:spacing w:after="120" w:line="240" w:lineRule="atLeast"/>
        <w:ind w:left="1134" w:right="1134" w:firstLine="567"/>
        <w:jc w:val="both"/>
        <w:rPr>
          <w:rFonts w:eastAsia="Times New Roman"/>
          <w:spacing w:val="0"/>
          <w:w w:val="100"/>
          <w:kern w:val="0"/>
          <w:szCs w:val="20"/>
        </w:rPr>
      </w:pPr>
      <w:r w:rsidRPr="00DD2824">
        <w:rPr>
          <w:rFonts w:eastAsia="Times New Roman"/>
          <w:spacing w:val="0"/>
          <w:w w:val="100"/>
          <w:kern w:val="0"/>
          <w:szCs w:val="20"/>
        </w:rPr>
        <w:t>1.</w:t>
      </w:r>
      <w:r w:rsidRPr="00DD2824">
        <w:rPr>
          <w:rFonts w:eastAsia="Times New Roman"/>
          <w:spacing w:val="0"/>
          <w:w w:val="100"/>
          <w:kern w:val="0"/>
          <w:szCs w:val="20"/>
        </w:rPr>
        <w:tab/>
        <w:t xml:space="preserve">Любое лицо, по крайней мере один из родителей которого являлся гражданином Либерии на момент рождения данного лица, является гражданином Либерии, при условии что любое такое лицо по достижении совершеннолетия откажется от любого другого гражданства, принятого по причине гражданства другой страны одного из родителей. </w:t>
      </w:r>
    </w:p>
    <w:p w:rsidR="00DD2824" w:rsidRPr="00DD2824" w:rsidRDefault="00DD2824" w:rsidP="00DD2824">
      <w:pPr>
        <w:suppressAutoHyphens/>
        <w:spacing w:after="120" w:line="240" w:lineRule="atLeast"/>
        <w:ind w:left="1134" w:right="1134" w:firstLine="567"/>
        <w:jc w:val="both"/>
        <w:rPr>
          <w:rFonts w:eastAsia="Times New Roman"/>
          <w:spacing w:val="0"/>
          <w:w w:val="100"/>
          <w:kern w:val="0"/>
          <w:szCs w:val="20"/>
        </w:rPr>
      </w:pPr>
      <w:r w:rsidRPr="00DD2824">
        <w:rPr>
          <w:rFonts w:eastAsia="Times New Roman"/>
          <w:spacing w:val="0"/>
          <w:w w:val="100"/>
          <w:kern w:val="0"/>
          <w:szCs w:val="20"/>
        </w:rPr>
        <w:t>2.</w:t>
      </w:r>
      <w:r w:rsidRPr="00DD2824">
        <w:rPr>
          <w:rFonts w:eastAsia="Times New Roman"/>
          <w:spacing w:val="0"/>
          <w:w w:val="100"/>
          <w:kern w:val="0"/>
          <w:szCs w:val="20"/>
        </w:rPr>
        <w:tab/>
        <w:t xml:space="preserve">Ни один из граждан Республики не может быть лишен гражданства или государственной принадлежности, если это не предусмотрено законом, и ни одно лицо не может быть лишено права изменить гражданство или государственную принадлежность. </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В процессе пересмотра Конституции предпринимались усилия по преодолению всех несоответствий, в особенности тех, которые касаются детей, рожденных от матерей-либериек и отцов-иностранцев за пределами Либерии. В результате этих мер Закон о гражданстве должен быть приведен в соответствие с Конституцией в отношении всех детей, один из родителей которых иностранец, независимо от пола.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Женщины имеют равные права на изменение или сохранение своего гражданства, на котором никоим образом не отражается их вступление в брак. Либерийские женщины, вступающие в брак с иностранцами, не обязаны принимать гражданство своих мужей. То же относится и к женщинам, имеющим иное гражданство, которые вышли замуж за мужчин-либерийцев. Изменение гражданства является делом индивидуального выбора. </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highlight w:val="cyan"/>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3" w:name="_Toc388281194"/>
      <w:r w:rsidRPr="00DD2824">
        <w:rPr>
          <w:rFonts w:eastAsia="Times New Roman"/>
          <w:b/>
          <w:spacing w:val="0"/>
          <w:w w:val="100"/>
          <w:kern w:val="0"/>
          <w:sz w:val="24"/>
          <w:szCs w:val="24"/>
        </w:rPr>
        <w:t>Статья 10. Равенство в доступе к образованию</w:t>
      </w:r>
      <w:bookmarkEnd w:id="13"/>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Правительство Либерии предприняло значительные усилия и осуществило ряд мер для решения вопросов, отмеченных в рекомендациях, касающихся образования, которому посвящены статьи 4 и 10 Конвенции. Образование является одним из важнейших путей помочь населению преодолеть нищету и достичь процветания и стабильности. Наш человеческий капитал значительно возрастет, если выработать более эффективные стратегии для расширения девочкам возможностей получить образование.</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административно-управленческой политике Либерии в области образования, предусмотренной в Законе о реформе образования 2011 года, рассматриваются среди прочего вопросы образования девочек, специального образования, школьных грантов и стипендий. Закон о реформе образования был принят 8 августа 2011 года и заменил Закон об образовании 2001 года, принятый 8 января 2002 года.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Законе о реформе образования 2011 года нашли свое дальнейшее развитие предпосылки, сформулированные в Политике в области образования девочек 2006 года; кроме того, в нем предусматриваются:</w:t>
      </w:r>
    </w:p>
    <w:p w:rsidR="00DD2824" w:rsidRPr="00DD2824" w:rsidRDefault="00DD2824" w:rsidP="00DD2824">
      <w:pPr>
        <w:suppressAutoHyphens/>
        <w:spacing w:after="120"/>
        <w:ind w:left="1134" w:right="1134" w:firstLine="567"/>
        <w:jc w:val="both"/>
        <w:rPr>
          <w:rFonts w:eastAsia="Times New Roman"/>
          <w:spacing w:val="0"/>
          <w:w w:val="100"/>
          <w:kern w:val="0"/>
          <w:szCs w:val="20"/>
        </w:rPr>
      </w:pPr>
      <w:r w:rsidRPr="00DD2824">
        <w:rPr>
          <w:rFonts w:eastAsia="Times New Roman"/>
          <w:spacing w:val="0"/>
          <w:w w:val="100"/>
          <w:kern w:val="0"/>
          <w:szCs w:val="20"/>
          <w:lang w:val="en-GB"/>
        </w:rPr>
        <w:t>a</w:t>
      </w:r>
      <w:r w:rsidRPr="00DD2824">
        <w:rPr>
          <w:rFonts w:eastAsia="Times New Roman"/>
          <w:spacing w:val="0"/>
          <w:w w:val="100"/>
          <w:kern w:val="0"/>
          <w:szCs w:val="20"/>
        </w:rPr>
        <w:t>)</w:t>
      </w:r>
      <w:r w:rsidRPr="00DD2824">
        <w:rPr>
          <w:rFonts w:eastAsia="Times New Roman"/>
          <w:spacing w:val="0"/>
          <w:w w:val="100"/>
          <w:kern w:val="0"/>
          <w:szCs w:val="20"/>
        </w:rPr>
        <w:tab/>
        <w:t>бесплатное и обязательное начальное образование для всех учащихся в масштабе всей страны.</w:t>
      </w:r>
    </w:p>
    <w:p w:rsidR="00DD2824" w:rsidRPr="00DD2824" w:rsidRDefault="00DD2824" w:rsidP="00DD2824">
      <w:pPr>
        <w:suppressAutoHyphens/>
        <w:spacing w:after="120"/>
        <w:ind w:left="1134" w:right="1134" w:firstLine="567"/>
        <w:jc w:val="both"/>
        <w:rPr>
          <w:rFonts w:eastAsia="Times New Roman"/>
          <w:spacing w:val="0"/>
          <w:w w:val="100"/>
          <w:kern w:val="0"/>
          <w:szCs w:val="20"/>
        </w:rPr>
      </w:pPr>
      <w:r w:rsidRPr="00DD2824">
        <w:rPr>
          <w:rFonts w:eastAsia="Times New Roman"/>
          <w:spacing w:val="0"/>
          <w:w w:val="100"/>
          <w:kern w:val="0"/>
          <w:szCs w:val="20"/>
          <w:lang w:val="en-GB"/>
        </w:rPr>
        <w:t>b</w:t>
      </w:r>
      <w:r w:rsidRPr="00DD2824">
        <w:rPr>
          <w:rFonts w:eastAsia="Times New Roman"/>
          <w:spacing w:val="0"/>
          <w:w w:val="100"/>
          <w:kern w:val="0"/>
          <w:szCs w:val="20"/>
        </w:rPr>
        <w:t>)</w:t>
      </w:r>
      <w:r w:rsidRPr="00DD2824">
        <w:rPr>
          <w:rFonts w:eastAsia="Times New Roman"/>
          <w:spacing w:val="0"/>
          <w:w w:val="100"/>
          <w:kern w:val="0"/>
          <w:szCs w:val="20"/>
        </w:rPr>
        <w:tab/>
        <w:t>увеличение набора и подготовка женщин-учителей;</w:t>
      </w:r>
    </w:p>
    <w:p w:rsidR="00DD2824" w:rsidRPr="00DD2824" w:rsidRDefault="00DD2824" w:rsidP="00DD2824">
      <w:pPr>
        <w:suppressAutoHyphens/>
        <w:spacing w:after="120"/>
        <w:ind w:left="1134" w:right="1134" w:firstLine="567"/>
        <w:jc w:val="both"/>
        <w:rPr>
          <w:rFonts w:eastAsia="Times New Roman"/>
          <w:spacing w:val="0"/>
          <w:w w:val="100"/>
          <w:kern w:val="0"/>
          <w:szCs w:val="20"/>
        </w:rPr>
      </w:pPr>
      <w:r w:rsidRPr="00DD2824">
        <w:rPr>
          <w:rFonts w:eastAsia="Times New Roman"/>
          <w:spacing w:val="0"/>
          <w:w w:val="100"/>
          <w:kern w:val="0"/>
          <w:szCs w:val="20"/>
          <w:lang w:val="en-GB"/>
        </w:rPr>
        <w:t>c</w:t>
      </w:r>
      <w:r w:rsidRPr="00DD2824">
        <w:rPr>
          <w:rFonts w:eastAsia="Times New Roman"/>
          <w:spacing w:val="0"/>
          <w:w w:val="100"/>
          <w:kern w:val="0"/>
          <w:szCs w:val="20"/>
        </w:rPr>
        <w:t>)</w:t>
      </w:r>
      <w:r w:rsidRPr="00DD2824">
        <w:rPr>
          <w:rFonts w:eastAsia="Times New Roman"/>
          <w:spacing w:val="0"/>
          <w:w w:val="100"/>
          <w:kern w:val="0"/>
          <w:szCs w:val="20"/>
        </w:rPr>
        <w:tab/>
        <w:t>предоставление в школах консультаций для девочек;</w:t>
      </w:r>
    </w:p>
    <w:p w:rsidR="00DD2824" w:rsidRPr="00DD2824" w:rsidRDefault="00DD2824" w:rsidP="00DD2824">
      <w:pPr>
        <w:suppressAutoHyphens/>
        <w:spacing w:after="120"/>
        <w:ind w:left="1134" w:right="1134" w:firstLine="567"/>
        <w:jc w:val="both"/>
        <w:rPr>
          <w:rFonts w:eastAsia="Times New Roman"/>
          <w:spacing w:val="0"/>
          <w:w w:val="100"/>
          <w:kern w:val="0"/>
          <w:szCs w:val="20"/>
        </w:rPr>
      </w:pPr>
      <w:r w:rsidRPr="00DD2824">
        <w:rPr>
          <w:rFonts w:eastAsia="Times New Roman"/>
          <w:spacing w:val="0"/>
          <w:w w:val="100"/>
          <w:kern w:val="0"/>
          <w:szCs w:val="20"/>
          <w:lang w:val="en-GB"/>
        </w:rPr>
        <w:t>d</w:t>
      </w:r>
      <w:r w:rsidRPr="00DD2824">
        <w:rPr>
          <w:rFonts w:eastAsia="Times New Roman"/>
          <w:spacing w:val="0"/>
          <w:w w:val="100"/>
          <w:kern w:val="0"/>
          <w:szCs w:val="20"/>
        </w:rPr>
        <w:t>)</w:t>
      </w:r>
      <w:r w:rsidRPr="00DD2824">
        <w:rPr>
          <w:rFonts w:eastAsia="Times New Roman"/>
          <w:spacing w:val="0"/>
          <w:w w:val="100"/>
          <w:kern w:val="0"/>
          <w:szCs w:val="20"/>
        </w:rPr>
        <w:tab/>
        <w:t>обеспечение и применение соответствующих санкций против учителей, совершающих сексуальные надругательства и физическое насилие в отношении учащихся;</w:t>
      </w:r>
    </w:p>
    <w:p w:rsidR="00DD2824" w:rsidRPr="00DD2824" w:rsidRDefault="00DD2824" w:rsidP="00DD2824">
      <w:pPr>
        <w:suppressAutoHyphens/>
        <w:spacing w:after="120"/>
        <w:ind w:left="1134" w:right="1134" w:firstLine="567"/>
        <w:jc w:val="both"/>
        <w:rPr>
          <w:rFonts w:eastAsia="Times New Roman"/>
          <w:spacing w:val="0"/>
          <w:w w:val="100"/>
          <w:kern w:val="0"/>
          <w:szCs w:val="20"/>
        </w:rPr>
      </w:pPr>
      <w:r w:rsidRPr="00DD2824">
        <w:rPr>
          <w:rFonts w:eastAsia="Times New Roman"/>
          <w:spacing w:val="0"/>
          <w:w w:val="100"/>
          <w:kern w:val="0"/>
          <w:szCs w:val="20"/>
          <w:lang w:val="en-GB"/>
        </w:rPr>
        <w:t>e</w:t>
      </w:r>
      <w:r w:rsidRPr="00DD2824">
        <w:rPr>
          <w:rFonts w:eastAsia="Times New Roman"/>
          <w:spacing w:val="0"/>
          <w:w w:val="100"/>
          <w:kern w:val="0"/>
          <w:szCs w:val="20"/>
        </w:rPr>
        <w:t>)</w:t>
      </w:r>
      <w:r w:rsidRPr="00DD2824">
        <w:rPr>
          <w:rFonts w:eastAsia="Times New Roman"/>
          <w:spacing w:val="0"/>
          <w:w w:val="100"/>
          <w:kern w:val="0"/>
          <w:szCs w:val="20"/>
        </w:rPr>
        <w:tab/>
        <w:t>обучение девочек в школе жизненным навыкам для повышения их самооценки, с тем чтобы они могли соответствующим образом противостоять сексуальным домогательствам;</w:t>
      </w:r>
    </w:p>
    <w:p w:rsidR="00DD2824" w:rsidRPr="00DD2824" w:rsidRDefault="00DD2824" w:rsidP="00DD2824">
      <w:pPr>
        <w:suppressAutoHyphens/>
        <w:spacing w:after="120"/>
        <w:ind w:left="1134" w:right="1134" w:firstLine="567"/>
        <w:jc w:val="both"/>
        <w:rPr>
          <w:rFonts w:eastAsia="Times New Roman"/>
          <w:spacing w:val="0"/>
          <w:w w:val="100"/>
          <w:kern w:val="0"/>
          <w:szCs w:val="20"/>
        </w:rPr>
      </w:pPr>
      <w:r w:rsidRPr="00DD2824">
        <w:rPr>
          <w:rFonts w:eastAsia="Times New Roman"/>
          <w:spacing w:val="0"/>
          <w:w w:val="100"/>
          <w:kern w:val="0"/>
          <w:szCs w:val="20"/>
          <w:lang w:val="en-GB"/>
        </w:rPr>
        <w:t>f</w:t>
      </w:r>
      <w:r w:rsidRPr="00DD2824">
        <w:rPr>
          <w:rFonts w:eastAsia="Times New Roman"/>
          <w:spacing w:val="0"/>
          <w:w w:val="100"/>
          <w:kern w:val="0"/>
          <w:szCs w:val="20"/>
        </w:rPr>
        <w:t>)</w:t>
      </w:r>
      <w:r w:rsidRPr="00DD2824">
        <w:rPr>
          <w:rFonts w:eastAsia="Times New Roman"/>
          <w:spacing w:val="0"/>
          <w:w w:val="100"/>
          <w:kern w:val="0"/>
          <w:szCs w:val="20"/>
        </w:rPr>
        <w:tab/>
        <w:t>повышение доступности стипендий для девочек.</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Политика по вопросам образования девочек, разработанная в 2006 году, была пересмотрена в 2013 году с целью учета нынешних реалий и приведения ее в соответствие с новым Законом о реформе образования, который направлен на развитие образования девочек на региональном, национальном и местном уровнях с применением реалистичных стратегий и мер вмешательства. Эти меры включают:</w:t>
      </w:r>
    </w:p>
    <w:p w:rsidR="00DD2824" w:rsidRPr="00DD2824" w:rsidRDefault="00DD2824" w:rsidP="00DD2824">
      <w:pPr>
        <w:tabs>
          <w:tab w:val="num" w:pos="1701"/>
        </w:tabs>
        <w:suppressAutoHyphens/>
        <w:spacing w:after="120"/>
        <w:ind w:left="1701" w:right="1134" w:hanging="170"/>
        <w:jc w:val="both"/>
        <w:rPr>
          <w:rFonts w:eastAsia="Times New Roman"/>
          <w:spacing w:val="0"/>
          <w:w w:val="100"/>
          <w:kern w:val="0"/>
          <w:szCs w:val="20"/>
        </w:rPr>
      </w:pPr>
      <w:r w:rsidRPr="00DD2824">
        <w:rPr>
          <w:rFonts w:eastAsia="Times New Roman"/>
          <w:spacing w:val="0"/>
          <w:w w:val="100"/>
          <w:kern w:val="0"/>
          <w:szCs w:val="20"/>
        </w:rPr>
        <w:t>специальную политику в области образования, направленную на устранение неравенства между учащимися с ограниченными возможностями и учащимися без ограничения возможностей в образовательной системе, включая девочек с инвалидностью;</w:t>
      </w:r>
    </w:p>
    <w:p w:rsidR="00DD2824" w:rsidRPr="00DD2824" w:rsidRDefault="00DD2824" w:rsidP="00DD2824">
      <w:pPr>
        <w:tabs>
          <w:tab w:val="num" w:pos="1701"/>
        </w:tabs>
        <w:suppressAutoHyphens/>
        <w:spacing w:after="120"/>
        <w:ind w:left="1701" w:right="1134" w:hanging="170"/>
        <w:jc w:val="both"/>
        <w:rPr>
          <w:rFonts w:eastAsia="Times New Roman"/>
          <w:spacing w:val="0"/>
          <w:w w:val="100"/>
          <w:kern w:val="0"/>
          <w:szCs w:val="20"/>
        </w:rPr>
      </w:pPr>
      <w:r w:rsidRPr="00DD2824">
        <w:rPr>
          <w:rFonts w:eastAsia="Times New Roman"/>
          <w:spacing w:val="0"/>
          <w:w w:val="100"/>
          <w:kern w:val="0"/>
          <w:szCs w:val="20"/>
        </w:rPr>
        <w:t>программу ускоренного обучения (ПУО), которая защищает право детей на образование и обеспечивает доступ к качественному образованию. Программа была разработана с целью охвата обучением переростков и детей, не посещающих школу, а также молодежь. В частности, от реализации этой программы должны выиграть те, кто выбыл из школы, не закончив образование.</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главе 2 Политики по вопросам образования девочек говорится, что центральные и местные органы власти должны выполнить все предусмотренные в данной Политике положения с целью преодоления социальных и культурных барьеров на пути образования девочек как средства расширения прав и возможностей девочек и женщин.</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главе 3 Национальной политики в области образования девочек, озаглавленной "Улучшение доступа девочек и женщин к профессиональному обучению, научно-технической подготовке и непрерывному образованию", подчеркивается важность разработки и осуществления политики в области образования, подготовки и переподготовки для женщин, особенно молодых женщин и женщин, возвращающихся на рынок труда, для выработки у них навыков, которые отвечают потребностям меняющихся социально-экономических условий и повышают для них возможности трудоустройства.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отношении защиты от гендерного насилия в этом документе предусматривается, что Министерство образования и Министерство по гендерным вопросам и развитию будут тесно сотрудничать с Министерством юстиции, с тем чтобы жертвы сексуального насилия в образовательных учреждениях могли рассчитывать на безотлагательное рассмотрение дела в компетентном судебном органе и на возмещение вреда. Необходимо усилить меры по борьбе с сексуальным домогательством и насилием в отношении девочек в школах, в частности в сельских районах, где отсутствует надлежащий мониторинг соблюдения законов. Недостаточная осведомленность об этом документе и его воздействии подвергает опасности осуществление Политики в области образования девочек, что способствует сокращению числа девочек, продолжающих обучение в школе. Отдел по вопросам образования девочек Министерства образования проводит разъяснительную работу, обучает учащихся и местные органы власти тому, как следует документировать все подобные случаи и сообщать о них в Министерство образования с целью их расследования и судебного преследования виновных.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Показатели отсева мальчиков и девочек как в начальных, так и в средних школах примерно одинаковы. Согласно данным отчета о переписи, проведенной в школах в 2011 году, из 39 405 учащихся, выбывших из школы, девочек было 19 842. На уровне неполной средней школы из общего числа выбывших, равного 8868 , школу оставили 4462 девочки, а в средней школе из 3566 выбывших девочки составили 1714. Показатели отсева среди девочек выше из-за случаев подростковой беременности, ранних браков и уязвимости девочек к неблагоприятным социально-экономическим ситуациям. Предпринимаются попытки исправления такого положения с помощью различных программ, направленных на удержание девочек в школах.</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Несколько педагогических учебных заведений в Либерии были восстановлены и укомплектованы кадрами и оборудованием с целью обеспечения базовой педагогической подготовки учителей начальной школы. Стимулами для повышения численности квалифицированных учителей в стране служат бесплатное высшее образование и стипендии, которые предоставляются правительством всем студентам, специализирующимся в области преподавания. Эта политика начала осуществляться в 2011 году.</w:t>
      </w:r>
    </w:p>
    <w:p w:rsidR="00DD2824" w:rsidRPr="00DD2824" w:rsidRDefault="00DD2824" w:rsidP="00DD2824">
      <w:pPr>
        <w:suppressAutoHyphens/>
        <w:spacing w:after="240"/>
        <w:ind w:left="1134" w:right="1134"/>
        <w:jc w:val="both"/>
        <w:rPr>
          <w:rFonts w:eastAsia="Times New Roman"/>
          <w:spacing w:val="0"/>
          <w:w w:val="100"/>
          <w:kern w:val="0"/>
          <w:szCs w:val="20"/>
        </w:rPr>
      </w:pPr>
      <w:r w:rsidRPr="00DD2824">
        <w:rPr>
          <w:rFonts w:eastAsia="Times New Roman"/>
          <w:spacing w:val="0"/>
          <w:w w:val="100"/>
          <w:kern w:val="0"/>
          <w:szCs w:val="20"/>
        </w:rPr>
        <w:t xml:space="preserve">Отсутствие дискриминации в отношении женщин во всех формах образования – это принцип национальной политики. И в городах, и в сельских районах строятся школы, чтобы разместить постоянно растущее число детей школьного возраста. Однако в сельских районах возможности получения образования для большинства учащихся сокращаются в силу таких препятствий, как отсутствие квалифицированных учителей и технических училищ. Согласно имеющимся статистическим данным (2011–2012 годы) в отношении таких профессионально-технических учебных заведений, девочки в них составляют свыше 30 процентов всех выпускников. </w:t>
      </w:r>
    </w:p>
    <w:p w:rsidR="00DD2824" w:rsidRPr="00DD2824" w:rsidRDefault="00DD2824" w:rsidP="00DD2824">
      <w:pPr>
        <w:suppressAutoHyphens/>
        <w:spacing w:after="120"/>
        <w:ind w:left="1134" w:right="1134"/>
        <w:rPr>
          <w:rFonts w:eastAsia="Times New Roman"/>
          <w:b/>
          <w:spacing w:val="0"/>
          <w:w w:val="100"/>
          <w:kern w:val="0"/>
          <w:szCs w:val="20"/>
        </w:rPr>
      </w:pPr>
      <w:r w:rsidRPr="00DD2824">
        <w:rPr>
          <w:rFonts w:eastAsia="Times New Roman"/>
          <w:b/>
          <w:spacing w:val="0"/>
          <w:w w:val="100"/>
          <w:kern w:val="0"/>
          <w:szCs w:val="20"/>
        </w:rPr>
        <w:t>Сводные данные о численности выпускников государственных учебных заведений технического и профессионально-технического образования и подготовки за 2011–2012 годы:</w:t>
      </w:r>
    </w:p>
    <w:tbl>
      <w:tblPr>
        <w:tblW w:w="7371" w:type="dxa"/>
        <w:tblInd w:w="1134" w:type="dxa"/>
        <w:tblBorders>
          <w:top w:val="single" w:sz="4" w:space="0" w:color="auto"/>
        </w:tblBorders>
        <w:tblCellMar>
          <w:left w:w="0" w:type="dxa"/>
          <w:right w:w="0" w:type="dxa"/>
        </w:tblCellMar>
        <w:tblLook w:val="04A0"/>
      </w:tblPr>
      <w:tblGrid>
        <w:gridCol w:w="151"/>
        <w:gridCol w:w="4952"/>
        <w:gridCol w:w="709"/>
        <w:gridCol w:w="851"/>
        <w:gridCol w:w="708"/>
      </w:tblGrid>
      <w:tr w:rsidR="00DD2824" w:rsidRPr="00DD2824" w:rsidTr="00DD2824">
        <w:trPr>
          <w:trHeight w:val="240"/>
          <w:tblHeader/>
        </w:trPr>
        <w:tc>
          <w:tcPr>
            <w:tcW w:w="0" w:type="auto"/>
            <w:tcBorders>
              <w:top w:val="single" w:sz="4" w:space="0" w:color="auto"/>
              <w:left w:val="nil"/>
              <w:bottom w:val="single" w:sz="12" w:space="0" w:color="auto"/>
              <w:right w:val="nil"/>
            </w:tcBorders>
            <w:vAlign w:val="bottom"/>
            <w:hideMark/>
          </w:tcPr>
          <w:p w:rsidR="00DD2824" w:rsidRPr="00DD2824" w:rsidRDefault="00DD2824" w:rsidP="00DD2824">
            <w:pPr>
              <w:spacing w:before="40" w:after="40" w:line="240" w:lineRule="auto"/>
              <w:rPr>
                <w:rFonts w:eastAsia="Times New Roman"/>
                <w:i/>
                <w:spacing w:val="0"/>
                <w:w w:val="100"/>
                <w:kern w:val="0"/>
                <w:sz w:val="16"/>
                <w:szCs w:val="16"/>
              </w:rPr>
            </w:pPr>
            <w:r w:rsidRPr="00DD2824">
              <w:rPr>
                <w:rFonts w:eastAsia="Times New Roman"/>
                <w:i/>
                <w:spacing w:val="0"/>
                <w:w w:val="100"/>
                <w:kern w:val="0"/>
                <w:sz w:val="16"/>
                <w:szCs w:val="16"/>
              </w:rPr>
              <w:t>№</w:t>
            </w:r>
          </w:p>
        </w:tc>
        <w:tc>
          <w:tcPr>
            <w:tcW w:w="4952" w:type="dxa"/>
            <w:tcBorders>
              <w:top w:val="single" w:sz="4" w:space="0" w:color="auto"/>
              <w:left w:val="nil"/>
              <w:bottom w:val="single" w:sz="12" w:space="0" w:color="auto"/>
              <w:right w:val="nil"/>
            </w:tcBorders>
            <w:vAlign w:val="bottom"/>
            <w:hideMark/>
          </w:tcPr>
          <w:p w:rsidR="00DD2824" w:rsidRPr="00DD2824" w:rsidRDefault="00DD2824" w:rsidP="00DD2824">
            <w:pPr>
              <w:spacing w:before="40" w:after="40" w:line="240" w:lineRule="auto"/>
              <w:ind w:left="113"/>
              <w:rPr>
                <w:rFonts w:eastAsia="Times New Roman"/>
                <w:i/>
                <w:spacing w:val="0"/>
                <w:w w:val="100"/>
                <w:kern w:val="0"/>
                <w:sz w:val="16"/>
                <w:szCs w:val="16"/>
                <w:lang w:val="en-US"/>
              </w:rPr>
            </w:pPr>
            <w:r w:rsidRPr="00DD2824">
              <w:rPr>
                <w:rFonts w:eastAsia="Times New Roman"/>
                <w:i/>
                <w:spacing w:val="0"/>
                <w:w w:val="100"/>
                <w:kern w:val="0"/>
                <w:sz w:val="16"/>
                <w:szCs w:val="16"/>
              </w:rPr>
              <w:t>Учебное заведение</w:t>
            </w:r>
          </w:p>
        </w:tc>
        <w:tc>
          <w:tcPr>
            <w:tcW w:w="709" w:type="dxa"/>
            <w:tcBorders>
              <w:top w:val="single" w:sz="4" w:space="0" w:color="auto"/>
              <w:left w:val="nil"/>
              <w:bottom w:val="single" w:sz="12" w:space="0" w:color="auto"/>
              <w:right w:val="nil"/>
            </w:tcBorders>
            <w:hideMark/>
          </w:tcPr>
          <w:p w:rsidR="00DD2824" w:rsidRPr="00DD2824" w:rsidRDefault="00DD2824" w:rsidP="00DD2824">
            <w:pPr>
              <w:suppressAutoHyphens/>
              <w:spacing w:before="40" w:after="40" w:line="240" w:lineRule="auto"/>
              <w:jc w:val="right"/>
              <w:rPr>
                <w:rFonts w:eastAsia="Times New Roman"/>
                <w:i/>
                <w:spacing w:val="0"/>
                <w:w w:val="100"/>
                <w:kern w:val="0"/>
                <w:sz w:val="16"/>
                <w:szCs w:val="16"/>
              </w:rPr>
            </w:pPr>
            <w:r w:rsidRPr="00DD2824">
              <w:rPr>
                <w:rFonts w:eastAsia="Times New Roman"/>
                <w:i/>
                <w:spacing w:val="0"/>
                <w:w w:val="100"/>
                <w:kern w:val="0"/>
                <w:sz w:val="16"/>
                <w:szCs w:val="16"/>
              </w:rPr>
              <w:t>Женщины</w:t>
            </w:r>
          </w:p>
        </w:tc>
        <w:tc>
          <w:tcPr>
            <w:tcW w:w="851" w:type="dxa"/>
            <w:tcBorders>
              <w:top w:val="single" w:sz="4" w:space="0" w:color="auto"/>
              <w:left w:val="nil"/>
              <w:bottom w:val="single" w:sz="12" w:space="0" w:color="auto"/>
              <w:right w:val="nil"/>
            </w:tcBorders>
            <w:hideMark/>
          </w:tcPr>
          <w:p w:rsidR="00DD2824" w:rsidRPr="00DD2824" w:rsidRDefault="00DD2824" w:rsidP="00DD2824">
            <w:pPr>
              <w:suppressAutoHyphens/>
              <w:spacing w:before="40" w:after="40" w:line="240" w:lineRule="auto"/>
              <w:jc w:val="right"/>
              <w:rPr>
                <w:rFonts w:eastAsia="Times New Roman"/>
                <w:i/>
                <w:spacing w:val="0"/>
                <w:w w:val="100"/>
                <w:kern w:val="0"/>
                <w:sz w:val="16"/>
                <w:szCs w:val="16"/>
              </w:rPr>
            </w:pPr>
            <w:r w:rsidRPr="00DD2824">
              <w:rPr>
                <w:rFonts w:eastAsia="Times New Roman"/>
                <w:i/>
                <w:spacing w:val="0"/>
                <w:w w:val="100"/>
                <w:kern w:val="0"/>
                <w:sz w:val="16"/>
                <w:szCs w:val="16"/>
              </w:rPr>
              <w:t>Мужчины</w:t>
            </w:r>
          </w:p>
        </w:tc>
        <w:tc>
          <w:tcPr>
            <w:tcW w:w="708" w:type="dxa"/>
            <w:tcBorders>
              <w:top w:val="single" w:sz="4" w:space="0" w:color="auto"/>
              <w:left w:val="nil"/>
              <w:bottom w:val="single" w:sz="12" w:space="0" w:color="auto"/>
              <w:right w:val="nil"/>
            </w:tcBorders>
            <w:hideMark/>
          </w:tcPr>
          <w:p w:rsidR="00DD2824" w:rsidRPr="00DD2824" w:rsidRDefault="00DD2824" w:rsidP="00DD2824">
            <w:pPr>
              <w:suppressAutoHyphens/>
              <w:spacing w:before="40" w:after="40" w:line="240" w:lineRule="auto"/>
              <w:jc w:val="right"/>
              <w:rPr>
                <w:rFonts w:eastAsia="Times New Roman"/>
                <w:spacing w:val="0"/>
                <w:w w:val="100"/>
                <w:kern w:val="0"/>
                <w:sz w:val="16"/>
                <w:szCs w:val="16"/>
                <w:lang w:val="en-GB"/>
              </w:rPr>
            </w:pPr>
            <w:r w:rsidRPr="00DD2824">
              <w:rPr>
                <w:rFonts w:eastAsia="Times New Roman"/>
                <w:i/>
                <w:spacing w:val="0"/>
                <w:w w:val="100"/>
                <w:kern w:val="0"/>
                <w:sz w:val="16"/>
                <w:szCs w:val="16"/>
              </w:rPr>
              <w:t>Всего</w:t>
            </w:r>
          </w:p>
        </w:tc>
      </w:tr>
      <w:tr w:rsidR="00DD2824" w:rsidRPr="00DD2824" w:rsidTr="00DD2824">
        <w:trPr>
          <w:trHeight w:val="240"/>
        </w:trPr>
        <w:tc>
          <w:tcPr>
            <w:tcW w:w="0" w:type="auto"/>
            <w:tcBorders>
              <w:top w:val="single" w:sz="12" w:space="0" w:color="auto"/>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lang w:val="en-US"/>
              </w:rPr>
              <w:t>1.</w:t>
            </w:r>
          </w:p>
        </w:tc>
        <w:tc>
          <w:tcPr>
            <w:tcW w:w="4952"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lang w:val="en-US"/>
              </w:rPr>
            </w:pPr>
            <w:r w:rsidRPr="00DD2824">
              <w:rPr>
                <w:rFonts w:eastAsia="Times New Roman"/>
                <w:spacing w:val="0"/>
                <w:w w:val="100"/>
                <w:kern w:val="0"/>
                <w:sz w:val="18"/>
                <w:szCs w:val="18"/>
              </w:rPr>
              <w:t>Институт Букера Вашингтона</w:t>
            </w:r>
          </w:p>
        </w:tc>
        <w:tc>
          <w:tcPr>
            <w:tcW w:w="709"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200</w:t>
            </w:r>
          </w:p>
        </w:tc>
        <w:tc>
          <w:tcPr>
            <w:tcW w:w="851"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98</w:t>
            </w:r>
          </w:p>
        </w:tc>
        <w:tc>
          <w:tcPr>
            <w:tcW w:w="708"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298</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lang w:val="en-US"/>
              </w:rPr>
              <w:t>2.</w:t>
            </w:r>
          </w:p>
        </w:tc>
        <w:tc>
          <w:tcPr>
            <w:tcW w:w="4952" w:type="dxa"/>
            <w:tcBorders>
              <w:top w:val="nil"/>
              <w:left w:val="nil"/>
              <w:bottom w:val="nil"/>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rPr>
            </w:pPr>
            <w:r w:rsidRPr="00DD2824">
              <w:rPr>
                <w:rFonts w:eastAsia="Times New Roman"/>
                <w:spacing w:val="0"/>
                <w:w w:val="100"/>
                <w:kern w:val="0"/>
                <w:sz w:val="18"/>
                <w:szCs w:val="18"/>
              </w:rPr>
              <w:t>Многопрофильная средняя школа в городе Харбел</w:t>
            </w:r>
          </w:p>
        </w:tc>
        <w:tc>
          <w:tcPr>
            <w:tcW w:w="70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197</w:t>
            </w:r>
          </w:p>
        </w:tc>
        <w:tc>
          <w:tcPr>
            <w:tcW w:w="851"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103</w:t>
            </w:r>
          </w:p>
        </w:tc>
        <w:tc>
          <w:tcPr>
            <w:tcW w:w="708"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300</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lang w:val="en-US"/>
              </w:rPr>
              <w:t>3.</w:t>
            </w:r>
          </w:p>
        </w:tc>
        <w:tc>
          <w:tcPr>
            <w:tcW w:w="4952" w:type="dxa"/>
            <w:tcBorders>
              <w:top w:val="nil"/>
              <w:left w:val="nil"/>
              <w:bottom w:val="nil"/>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lang w:val="en-US"/>
              </w:rPr>
            </w:pPr>
            <w:r w:rsidRPr="00DD2824">
              <w:rPr>
                <w:rFonts w:eastAsia="Times New Roman"/>
                <w:spacing w:val="0"/>
                <w:w w:val="100"/>
                <w:kern w:val="0"/>
                <w:sz w:val="18"/>
                <w:szCs w:val="18"/>
              </w:rPr>
              <w:t>Средняя школа (Уильям Табмен)</w:t>
            </w:r>
          </w:p>
        </w:tc>
        <w:tc>
          <w:tcPr>
            <w:tcW w:w="70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90</w:t>
            </w:r>
          </w:p>
        </w:tc>
        <w:tc>
          <w:tcPr>
            <w:tcW w:w="851"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w:t>
            </w:r>
          </w:p>
        </w:tc>
        <w:tc>
          <w:tcPr>
            <w:tcW w:w="708"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101</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lang w:val="en-US"/>
              </w:rPr>
              <w:t>4.</w:t>
            </w:r>
          </w:p>
        </w:tc>
        <w:tc>
          <w:tcPr>
            <w:tcW w:w="4952" w:type="dxa"/>
            <w:tcBorders>
              <w:top w:val="nil"/>
              <w:left w:val="nil"/>
              <w:bottom w:val="nil"/>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rPr>
            </w:pPr>
            <w:r w:rsidRPr="00DD2824">
              <w:rPr>
                <w:rFonts w:eastAsia="Times New Roman"/>
                <w:spacing w:val="0"/>
                <w:w w:val="100"/>
                <w:kern w:val="0"/>
                <w:sz w:val="18"/>
                <w:szCs w:val="18"/>
              </w:rPr>
              <w:t>Программа профподготовки для взрослых: кустарные пр</w:t>
            </w:r>
            <w:r w:rsidRPr="00DD2824">
              <w:rPr>
                <w:rFonts w:eastAsia="Times New Roman"/>
                <w:spacing w:val="0"/>
                <w:w w:val="100"/>
                <w:kern w:val="0"/>
                <w:sz w:val="18"/>
                <w:szCs w:val="18"/>
              </w:rPr>
              <w:t>о</w:t>
            </w:r>
            <w:r w:rsidRPr="00DD2824">
              <w:rPr>
                <w:rFonts w:eastAsia="Times New Roman"/>
                <w:spacing w:val="0"/>
                <w:w w:val="100"/>
                <w:kern w:val="0"/>
                <w:sz w:val="18"/>
                <w:szCs w:val="18"/>
              </w:rPr>
              <w:t>мыслы/косметология (Мэриан Чесман)</w:t>
            </w:r>
          </w:p>
        </w:tc>
        <w:tc>
          <w:tcPr>
            <w:tcW w:w="70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0</w:t>
            </w:r>
          </w:p>
        </w:tc>
        <w:tc>
          <w:tcPr>
            <w:tcW w:w="851"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55</w:t>
            </w:r>
          </w:p>
        </w:tc>
        <w:tc>
          <w:tcPr>
            <w:tcW w:w="708"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55</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lang w:val="en-US"/>
              </w:rPr>
              <w:t>5.</w:t>
            </w:r>
          </w:p>
        </w:tc>
        <w:tc>
          <w:tcPr>
            <w:tcW w:w="4952" w:type="dxa"/>
            <w:tcBorders>
              <w:top w:val="nil"/>
              <w:left w:val="nil"/>
              <w:bottom w:val="nil"/>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rPr>
            </w:pPr>
            <w:r w:rsidRPr="00DD2824">
              <w:rPr>
                <w:rFonts w:eastAsia="Times New Roman"/>
                <w:spacing w:val="0"/>
                <w:w w:val="100"/>
                <w:kern w:val="0"/>
                <w:sz w:val="18"/>
                <w:szCs w:val="18"/>
              </w:rPr>
              <w:t>Школа кустарных промыслов Мэриан Чесман/</w:t>
            </w:r>
            <w:r w:rsidRPr="00DD2824">
              <w:rPr>
                <w:rFonts w:eastAsia="Times New Roman"/>
                <w:spacing w:val="0"/>
                <w:w w:val="100"/>
                <w:kern w:val="0"/>
                <w:sz w:val="18"/>
                <w:szCs w:val="18"/>
              </w:rPr>
              <w:br/>
              <w:t>Национальное училище косметологии</w:t>
            </w:r>
          </w:p>
        </w:tc>
        <w:tc>
          <w:tcPr>
            <w:tcW w:w="70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0</w:t>
            </w:r>
          </w:p>
        </w:tc>
        <w:tc>
          <w:tcPr>
            <w:tcW w:w="851"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56</w:t>
            </w:r>
          </w:p>
        </w:tc>
        <w:tc>
          <w:tcPr>
            <w:tcW w:w="708"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56</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6.</w:t>
            </w:r>
          </w:p>
        </w:tc>
        <w:tc>
          <w:tcPr>
            <w:tcW w:w="4952" w:type="dxa"/>
            <w:tcBorders>
              <w:top w:val="nil"/>
              <w:left w:val="nil"/>
              <w:bottom w:val="nil"/>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rPr>
            </w:pPr>
            <w:r w:rsidRPr="00DD2824">
              <w:rPr>
                <w:rFonts w:eastAsia="Times New Roman"/>
                <w:spacing w:val="0"/>
                <w:w w:val="100"/>
                <w:kern w:val="0"/>
                <w:sz w:val="18"/>
                <w:szCs w:val="18"/>
              </w:rPr>
              <w:t>Шведский центр профессиональной подготовки</w:t>
            </w:r>
          </w:p>
        </w:tc>
        <w:tc>
          <w:tcPr>
            <w:tcW w:w="70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31</w:t>
            </w:r>
          </w:p>
        </w:tc>
        <w:tc>
          <w:tcPr>
            <w:tcW w:w="851"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20</w:t>
            </w:r>
          </w:p>
        </w:tc>
        <w:tc>
          <w:tcPr>
            <w:tcW w:w="708"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51</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7.</w:t>
            </w:r>
          </w:p>
        </w:tc>
        <w:tc>
          <w:tcPr>
            <w:tcW w:w="4952" w:type="dxa"/>
            <w:tcBorders>
              <w:top w:val="nil"/>
              <w:left w:val="nil"/>
              <w:bottom w:val="nil"/>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rPr>
            </w:pPr>
            <w:r w:rsidRPr="00DD2824">
              <w:rPr>
                <w:rFonts w:eastAsia="Times New Roman"/>
                <w:spacing w:val="0"/>
                <w:w w:val="100"/>
                <w:kern w:val="0"/>
                <w:sz w:val="18"/>
                <w:szCs w:val="18"/>
              </w:rPr>
              <w:t>Многопрофильная средняя школа в городе Воиньяма</w:t>
            </w:r>
          </w:p>
        </w:tc>
        <w:tc>
          <w:tcPr>
            <w:tcW w:w="70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214</w:t>
            </w:r>
          </w:p>
        </w:tc>
        <w:tc>
          <w:tcPr>
            <w:tcW w:w="851"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74</w:t>
            </w:r>
          </w:p>
        </w:tc>
        <w:tc>
          <w:tcPr>
            <w:tcW w:w="708"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288</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lang w:val="en-US"/>
              </w:rPr>
              <w:t>8.</w:t>
            </w:r>
          </w:p>
        </w:tc>
        <w:tc>
          <w:tcPr>
            <w:tcW w:w="4952" w:type="dxa"/>
            <w:tcBorders>
              <w:top w:val="nil"/>
              <w:left w:val="nil"/>
              <w:bottom w:val="nil"/>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rPr>
            </w:pPr>
            <w:r w:rsidRPr="00DD2824">
              <w:rPr>
                <w:rFonts w:eastAsia="Times New Roman"/>
                <w:spacing w:val="0"/>
                <w:w w:val="100"/>
                <w:kern w:val="0"/>
                <w:sz w:val="18"/>
                <w:szCs w:val="18"/>
              </w:rPr>
              <w:t>Многопрофильная средняя школа в графстве Синоэ</w:t>
            </w:r>
          </w:p>
        </w:tc>
        <w:tc>
          <w:tcPr>
            <w:tcW w:w="70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125</w:t>
            </w:r>
          </w:p>
        </w:tc>
        <w:tc>
          <w:tcPr>
            <w:tcW w:w="851"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75</w:t>
            </w:r>
          </w:p>
        </w:tc>
        <w:tc>
          <w:tcPr>
            <w:tcW w:w="708"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200</w:t>
            </w:r>
          </w:p>
        </w:tc>
      </w:tr>
      <w:tr w:rsidR="00DD2824" w:rsidRPr="00DD2824" w:rsidTr="00DD2824">
        <w:trPr>
          <w:trHeight w:val="240"/>
        </w:trPr>
        <w:tc>
          <w:tcPr>
            <w:tcW w:w="0" w:type="auto"/>
            <w:tcBorders>
              <w:top w:val="nil"/>
              <w:left w:val="nil"/>
              <w:bottom w:val="single" w:sz="12" w:space="0" w:color="auto"/>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lang w:val="en-US"/>
              </w:rPr>
              <w:t>9.</w:t>
            </w:r>
          </w:p>
        </w:tc>
        <w:tc>
          <w:tcPr>
            <w:tcW w:w="4952"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rPr>
                <w:rFonts w:eastAsia="Times New Roman"/>
                <w:spacing w:val="0"/>
                <w:w w:val="100"/>
                <w:kern w:val="0"/>
                <w:sz w:val="18"/>
                <w:szCs w:val="18"/>
              </w:rPr>
            </w:pPr>
            <w:r w:rsidRPr="00DD2824">
              <w:rPr>
                <w:rFonts w:eastAsia="Times New Roman"/>
                <w:spacing w:val="0"/>
                <w:w w:val="100"/>
                <w:kern w:val="0"/>
                <w:sz w:val="18"/>
                <w:szCs w:val="18"/>
              </w:rPr>
              <w:t>Итого</w:t>
            </w:r>
          </w:p>
        </w:tc>
        <w:tc>
          <w:tcPr>
            <w:tcW w:w="709"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857</w:t>
            </w:r>
          </w:p>
        </w:tc>
        <w:tc>
          <w:tcPr>
            <w:tcW w:w="851"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492</w:t>
            </w:r>
          </w:p>
        </w:tc>
        <w:tc>
          <w:tcPr>
            <w:tcW w:w="708"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w:t>
            </w:r>
            <w:r w:rsidRPr="00DD2824">
              <w:rPr>
                <w:rFonts w:eastAsia="Times New Roman"/>
                <w:spacing w:val="0"/>
                <w:w w:val="100"/>
                <w:kern w:val="0"/>
                <w:sz w:val="18"/>
                <w:szCs w:val="18"/>
              </w:rPr>
              <w:t xml:space="preserve"> </w:t>
            </w:r>
            <w:r w:rsidRPr="00DD2824">
              <w:rPr>
                <w:rFonts w:eastAsia="Times New Roman"/>
                <w:spacing w:val="0"/>
                <w:w w:val="100"/>
                <w:kern w:val="0"/>
                <w:sz w:val="18"/>
                <w:szCs w:val="18"/>
                <w:lang w:val="en-US"/>
              </w:rPr>
              <w:t>349</w:t>
            </w:r>
          </w:p>
        </w:tc>
      </w:tr>
    </w:tbl>
    <w:p w:rsidR="00DD2824" w:rsidRPr="00DD2824" w:rsidRDefault="00DD2824" w:rsidP="00DD2824">
      <w:pPr>
        <w:suppressAutoHyphens/>
        <w:spacing w:after="120"/>
        <w:ind w:left="1134" w:right="1134"/>
        <w:jc w:val="both"/>
        <w:rPr>
          <w:rFonts w:eastAsia="Times New Roman"/>
          <w:spacing w:val="0"/>
          <w:w w:val="100"/>
          <w:kern w:val="0"/>
          <w:sz w:val="18"/>
          <w:szCs w:val="18"/>
          <w:lang w:val="en-US"/>
        </w:rPr>
      </w:pPr>
      <w:r w:rsidRPr="00DD2824">
        <w:rPr>
          <w:rFonts w:eastAsia="Times New Roman"/>
          <w:i/>
          <w:spacing w:val="0"/>
          <w:w w:val="100"/>
          <w:kern w:val="0"/>
          <w:sz w:val="18"/>
          <w:szCs w:val="18"/>
          <w:lang w:val="en-GB"/>
        </w:rPr>
        <w:t>Источник:</w:t>
      </w:r>
      <w:r w:rsidRPr="00DD2824">
        <w:rPr>
          <w:rFonts w:eastAsia="Times New Roman"/>
          <w:b/>
          <w:spacing w:val="0"/>
          <w:w w:val="100"/>
          <w:kern w:val="0"/>
          <w:sz w:val="18"/>
          <w:szCs w:val="18"/>
          <w:lang w:val="en-GB"/>
        </w:rPr>
        <w:t xml:space="preserve"> </w:t>
      </w:r>
      <w:r w:rsidRPr="00DD2824">
        <w:rPr>
          <w:rFonts w:eastAsia="Times New Roman"/>
          <w:spacing w:val="0"/>
          <w:w w:val="100"/>
          <w:kern w:val="0"/>
          <w:sz w:val="18"/>
          <w:szCs w:val="18"/>
          <w:lang w:val="en-GB"/>
        </w:rPr>
        <w:t>Education statistics for the Republic of Liberia, MOE, 2012</w:t>
      </w:r>
      <w:r w:rsidRPr="00DD2824">
        <w:rPr>
          <w:rFonts w:eastAsia="Times New Roman"/>
          <w:spacing w:val="0"/>
          <w:w w:val="100"/>
          <w:kern w:val="0"/>
          <w:sz w:val="18"/>
          <w:szCs w:val="18"/>
          <w:lang w:val="en-US"/>
        </w:rPr>
        <w:t>.</w:t>
      </w:r>
    </w:p>
    <w:p w:rsidR="00DD2824" w:rsidRPr="00DD2824" w:rsidRDefault="00DD2824" w:rsidP="00DD2824">
      <w:pPr>
        <w:suppressAutoHyphens/>
        <w:spacing w:line="240" w:lineRule="atLeast"/>
        <w:ind w:left="1134" w:right="1134"/>
        <w:jc w:val="both"/>
        <w:rPr>
          <w:rFonts w:eastAsia="Times New Roman"/>
          <w:spacing w:val="0"/>
          <w:w w:val="100"/>
          <w:kern w:val="0"/>
          <w:szCs w:val="20"/>
          <w:lang w:val="en-US"/>
        </w:rPr>
      </w:pP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Проблема гендерного неравенства в системе образования решается путем поощрения девушек к выбору профессии учителя. Число женщин-учителей в образовательной системе на уровне как начальной, так и средней школы в настоящее время ниже, чем число учителей-мужчин. Это удерживает девушек от продолжения образования в определенных областях, особенно в области естественных наук, и создает препятствия для решения проблем сексуальной эксплуатации и насилия в этом секторе. </w:t>
      </w:r>
    </w:p>
    <w:p w:rsidR="00DD2824" w:rsidRPr="00DD2824" w:rsidRDefault="00DD2824" w:rsidP="00DD2824">
      <w:pPr>
        <w:suppressAutoHyphens/>
        <w:spacing w:after="120"/>
        <w:ind w:left="1134" w:right="1134"/>
        <w:jc w:val="both"/>
        <w:rPr>
          <w:rFonts w:eastAsia="Times New Roman"/>
          <w:b/>
          <w:spacing w:val="0"/>
          <w:w w:val="100"/>
          <w:kern w:val="0"/>
          <w:szCs w:val="20"/>
        </w:rPr>
      </w:pPr>
      <w:r w:rsidRPr="00DD2824">
        <w:rPr>
          <w:rFonts w:eastAsia="Times New Roman"/>
          <w:b/>
          <w:spacing w:val="0"/>
          <w:w w:val="100"/>
          <w:kern w:val="0"/>
          <w:sz w:val="24"/>
          <w:szCs w:val="24"/>
        </w:rPr>
        <w:br w:type="page"/>
      </w:r>
      <w:r w:rsidRPr="00DD2824">
        <w:rPr>
          <w:rFonts w:eastAsia="Times New Roman"/>
          <w:b/>
          <w:spacing w:val="0"/>
          <w:w w:val="100"/>
          <w:kern w:val="0"/>
          <w:szCs w:val="20"/>
        </w:rPr>
        <w:t>Число зачисленных в начальные школы с разбивкой по графствам и полу</w:t>
      </w:r>
    </w:p>
    <w:tbl>
      <w:tblPr>
        <w:tblW w:w="7371" w:type="dxa"/>
        <w:tblInd w:w="1134" w:type="dxa"/>
        <w:tblBorders>
          <w:top w:val="single" w:sz="4" w:space="0" w:color="auto"/>
        </w:tblBorders>
        <w:tblCellMar>
          <w:left w:w="0" w:type="dxa"/>
          <w:right w:w="0" w:type="dxa"/>
        </w:tblCellMar>
        <w:tblLook w:val="04A0"/>
      </w:tblPr>
      <w:tblGrid>
        <w:gridCol w:w="1793"/>
        <w:gridCol w:w="1184"/>
        <w:gridCol w:w="1134"/>
        <w:gridCol w:w="1134"/>
        <w:gridCol w:w="1134"/>
        <w:gridCol w:w="992"/>
      </w:tblGrid>
      <w:tr w:rsidR="00DD2824" w:rsidRPr="00DD2824" w:rsidTr="00DD2824">
        <w:trPr>
          <w:trHeight w:val="240"/>
          <w:tblHeader/>
        </w:trPr>
        <w:tc>
          <w:tcPr>
            <w:tcW w:w="1793" w:type="dxa"/>
            <w:vMerge w:val="restart"/>
            <w:tcBorders>
              <w:top w:val="single" w:sz="4" w:space="0" w:color="auto"/>
              <w:left w:val="nil"/>
              <w:bottom w:val="single" w:sz="12" w:space="0" w:color="auto"/>
              <w:right w:val="nil"/>
            </w:tcBorders>
            <w:vAlign w:val="bottom"/>
            <w:hideMark/>
          </w:tcPr>
          <w:p w:rsidR="00DD2824" w:rsidRPr="00DD2824" w:rsidRDefault="00DD2824" w:rsidP="00DD2824">
            <w:pPr>
              <w:spacing w:before="40" w:after="40" w:line="240" w:lineRule="auto"/>
              <w:rPr>
                <w:rFonts w:eastAsia="Times New Roman"/>
                <w:i/>
                <w:spacing w:val="0"/>
                <w:w w:val="100"/>
                <w:kern w:val="0"/>
                <w:sz w:val="16"/>
                <w:szCs w:val="16"/>
                <w:lang w:val="en-US"/>
              </w:rPr>
            </w:pPr>
            <w:r w:rsidRPr="00DD2824">
              <w:rPr>
                <w:rFonts w:eastAsia="Times New Roman"/>
                <w:i/>
                <w:spacing w:val="0"/>
                <w:w w:val="100"/>
                <w:kern w:val="0"/>
                <w:sz w:val="16"/>
                <w:szCs w:val="16"/>
              </w:rPr>
              <w:t>Графство</w:t>
            </w:r>
          </w:p>
        </w:tc>
        <w:tc>
          <w:tcPr>
            <w:tcW w:w="2318" w:type="dxa"/>
            <w:gridSpan w:val="2"/>
            <w:tcBorders>
              <w:top w:val="single" w:sz="4" w:space="0" w:color="auto"/>
              <w:left w:val="nil"/>
              <w:bottom w:val="nil"/>
              <w:right w:val="nil"/>
            </w:tcBorders>
            <w:vAlign w:val="bottom"/>
            <w:hideMark/>
          </w:tcPr>
          <w:p w:rsidR="00DD2824" w:rsidRPr="00DD2824" w:rsidRDefault="00DD2824" w:rsidP="00DD2824">
            <w:pPr>
              <w:spacing w:before="40" w:after="40" w:line="240" w:lineRule="auto"/>
              <w:ind w:left="113"/>
              <w:jc w:val="center"/>
              <w:rPr>
                <w:rFonts w:eastAsia="Times New Roman"/>
                <w:i/>
                <w:spacing w:val="0"/>
                <w:w w:val="100"/>
                <w:kern w:val="0"/>
                <w:sz w:val="16"/>
                <w:szCs w:val="16"/>
                <w:lang w:val="en-US"/>
              </w:rPr>
            </w:pPr>
            <w:r w:rsidRPr="00DD2824">
              <w:rPr>
                <w:rFonts w:eastAsia="Times New Roman"/>
                <w:i/>
                <w:spacing w:val="0"/>
                <w:w w:val="100"/>
                <w:kern w:val="0"/>
                <w:sz w:val="16"/>
                <w:szCs w:val="16"/>
              </w:rPr>
              <w:t>Количество зачисленных</w:t>
            </w:r>
          </w:p>
        </w:tc>
        <w:tc>
          <w:tcPr>
            <w:tcW w:w="1134" w:type="dxa"/>
            <w:vMerge w:val="restart"/>
            <w:tcBorders>
              <w:top w:val="single" w:sz="4" w:space="0" w:color="auto"/>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c>
          <w:tcPr>
            <w:tcW w:w="1134" w:type="dxa"/>
            <w:vMerge w:val="restart"/>
            <w:tcBorders>
              <w:top w:val="single" w:sz="4" w:space="0" w:color="auto"/>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 xml:space="preserve">Процент </w:t>
            </w:r>
            <w:r w:rsidRPr="00DD2824">
              <w:rPr>
                <w:rFonts w:eastAsia="Times New Roman"/>
                <w:i/>
                <w:spacing w:val="0"/>
                <w:w w:val="100"/>
                <w:kern w:val="0"/>
                <w:sz w:val="16"/>
                <w:szCs w:val="16"/>
              </w:rPr>
              <w:br/>
              <w:t>женщин</w:t>
            </w:r>
          </w:p>
        </w:tc>
        <w:tc>
          <w:tcPr>
            <w:tcW w:w="992" w:type="dxa"/>
            <w:vMerge w:val="restart"/>
            <w:tcBorders>
              <w:top w:val="single" w:sz="4" w:space="0" w:color="auto"/>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Процент мужчин</w:t>
            </w:r>
          </w:p>
        </w:tc>
      </w:tr>
      <w:tr w:rsidR="00DD2824" w:rsidRPr="00DD2824" w:rsidTr="00DD2824">
        <w:trPr>
          <w:trHeight w:val="240"/>
          <w:tblHeader/>
        </w:trPr>
        <w:tc>
          <w:tcPr>
            <w:tcW w:w="0" w:type="auto"/>
            <w:vMerge/>
            <w:tcBorders>
              <w:top w:val="single" w:sz="4" w:space="0" w:color="auto"/>
              <w:left w:val="nil"/>
              <w:bottom w:val="single" w:sz="12" w:space="0" w:color="auto"/>
              <w:right w:val="nil"/>
            </w:tcBorders>
            <w:vAlign w:val="center"/>
            <w:hideMark/>
          </w:tcPr>
          <w:p w:rsidR="00DD2824" w:rsidRPr="00DD2824" w:rsidRDefault="00DD2824" w:rsidP="00DD2824">
            <w:pPr>
              <w:spacing w:line="240" w:lineRule="auto"/>
              <w:rPr>
                <w:rFonts w:eastAsia="Times New Roman"/>
                <w:i/>
                <w:spacing w:val="0"/>
                <w:w w:val="100"/>
                <w:kern w:val="0"/>
                <w:sz w:val="16"/>
                <w:szCs w:val="16"/>
                <w:lang w:val="en-US"/>
              </w:rPr>
            </w:pPr>
          </w:p>
        </w:tc>
        <w:tc>
          <w:tcPr>
            <w:tcW w:w="1184" w:type="dxa"/>
            <w:tcBorders>
              <w:top w:val="single" w:sz="4" w:space="0" w:color="auto"/>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Женщины</w:t>
            </w:r>
          </w:p>
        </w:tc>
        <w:tc>
          <w:tcPr>
            <w:tcW w:w="1134" w:type="dxa"/>
            <w:tcBorders>
              <w:top w:val="single" w:sz="4" w:space="0" w:color="auto"/>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Мужчины</w:t>
            </w:r>
          </w:p>
        </w:tc>
        <w:tc>
          <w:tcPr>
            <w:tcW w:w="0" w:type="auto"/>
            <w:vMerge/>
            <w:tcBorders>
              <w:top w:val="single" w:sz="4" w:space="0" w:color="auto"/>
              <w:left w:val="nil"/>
              <w:bottom w:val="single" w:sz="12" w:space="0" w:color="auto"/>
              <w:right w:val="nil"/>
            </w:tcBorders>
            <w:vAlign w:val="center"/>
            <w:hideMark/>
          </w:tcPr>
          <w:p w:rsidR="00DD2824" w:rsidRPr="00DD2824" w:rsidRDefault="00DD2824" w:rsidP="00DD2824">
            <w:pPr>
              <w:spacing w:line="240" w:lineRule="auto"/>
              <w:rPr>
                <w:rFonts w:eastAsia="Times New Roman"/>
                <w:i/>
                <w:spacing w:val="0"/>
                <w:w w:val="100"/>
                <w:kern w:val="0"/>
                <w:sz w:val="16"/>
                <w:szCs w:val="16"/>
              </w:rPr>
            </w:pPr>
          </w:p>
        </w:tc>
        <w:tc>
          <w:tcPr>
            <w:tcW w:w="0" w:type="auto"/>
            <w:vMerge/>
            <w:tcBorders>
              <w:top w:val="single" w:sz="4" w:space="0" w:color="auto"/>
              <w:left w:val="nil"/>
              <w:bottom w:val="single" w:sz="12" w:space="0" w:color="auto"/>
              <w:right w:val="nil"/>
            </w:tcBorders>
            <w:vAlign w:val="center"/>
            <w:hideMark/>
          </w:tcPr>
          <w:p w:rsidR="00DD2824" w:rsidRPr="00DD2824" w:rsidRDefault="00DD2824" w:rsidP="00DD2824">
            <w:pPr>
              <w:spacing w:line="240" w:lineRule="auto"/>
              <w:rPr>
                <w:rFonts w:eastAsia="Times New Roman"/>
                <w:i/>
                <w:spacing w:val="0"/>
                <w:w w:val="100"/>
                <w:kern w:val="0"/>
                <w:sz w:val="16"/>
                <w:szCs w:val="16"/>
              </w:rPr>
            </w:pPr>
          </w:p>
        </w:tc>
        <w:tc>
          <w:tcPr>
            <w:tcW w:w="0" w:type="auto"/>
            <w:vMerge/>
            <w:tcBorders>
              <w:top w:val="single" w:sz="4" w:space="0" w:color="auto"/>
              <w:left w:val="nil"/>
              <w:bottom w:val="single" w:sz="12" w:space="0" w:color="auto"/>
              <w:right w:val="nil"/>
            </w:tcBorders>
            <w:vAlign w:val="center"/>
            <w:hideMark/>
          </w:tcPr>
          <w:p w:rsidR="00DD2824" w:rsidRPr="00DD2824" w:rsidRDefault="00DD2824" w:rsidP="00DD2824">
            <w:pPr>
              <w:spacing w:line="240" w:lineRule="auto"/>
              <w:rPr>
                <w:rFonts w:eastAsia="Times New Roman"/>
                <w:i/>
                <w:spacing w:val="0"/>
                <w:w w:val="100"/>
                <w:kern w:val="0"/>
                <w:sz w:val="16"/>
                <w:szCs w:val="16"/>
              </w:rPr>
            </w:pPr>
          </w:p>
        </w:tc>
      </w:tr>
      <w:tr w:rsidR="00DD2824" w:rsidRPr="00DD2824" w:rsidTr="00DD2824">
        <w:trPr>
          <w:trHeight w:val="240"/>
        </w:trPr>
        <w:tc>
          <w:tcPr>
            <w:tcW w:w="1793" w:type="dxa"/>
            <w:tcBorders>
              <w:top w:val="single" w:sz="12" w:space="0" w:color="auto"/>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Боми</w:t>
            </w:r>
          </w:p>
        </w:tc>
        <w:tc>
          <w:tcPr>
            <w:tcW w:w="1184"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5 573</w:t>
            </w:r>
          </w:p>
        </w:tc>
        <w:tc>
          <w:tcPr>
            <w:tcW w:w="1134"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6 318</w:t>
            </w:r>
          </w:p>
        </w:tc>
        <w:tc>
          <w:tcPr>
            <w:tcW w:w="1134"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11 891</w:t>
            </w:r>
          </w:p>
        </w:tc>
        <w:tc>
          <w:tcPr>
            <w:tcW w:w="1134"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46,9</w:t>
            </w:r>
          </w:p>
        </w:tc>
        <w:tc>
          <w:tcPr>
            <w:tcW w:w="992"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53,1</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Бонг</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31 915</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38 652</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70 567</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45,2</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54,8</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Гбарполу</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7 180</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9 530</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rPr>
              <w:t>16 71</w:t>
            </w:r>
            <w:r w:rsidRPr="00DD2824">
              <w:rPr>
                <w:rFonts w:eastAsia="Times New Roman"/>
                <w:spacing w:val="0"/>
                <w:w w:val="100"/>
                <w:kern w:val="0"/>
                <w:sz w:val="18"/>
                <w:szCs w:val="18"/>
                <w:lang w:val="en-US"/>
              </w:rPr>
              <w:t>0</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43,0</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57,0</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Гранд-Баса</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13 722</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17 756</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31 478</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43,6</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56,4</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Гранд-Кейп-Маунт</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6 167</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6 973</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13 140</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46,9</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53,1</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Гранд-Геде</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9 239</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10 950</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20 189</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45,8</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54,2</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Гранд-Кру</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7 623</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10 198</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17 821</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42,8</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57,2</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Лофа</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24 594</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29 636</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54 230</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45,4</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54,6</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Маргиби</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21 128</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22 414</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43 542</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48,5</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51,5</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Мэриленд</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11 157</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13 172</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24 329</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45,9</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54,1</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Монтсеррадо</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112 859</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110 487</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223 346</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50,5</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49,5</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Нимба</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47 838</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59 360</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107 198</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44,6</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55,4</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Ривер-Сесс</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5 107</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6 611</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11 718</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43,6</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56,4</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Ривер</w:t>
            </w:r>
            <w:r w:rsidRPr="00DD2824">
              <w:rPr>
                <w:rFonts w:eastAsia="Times New Roman"/>
                <w:spacing w:val="0"/>
                <w:w w:val="100"/>
                <w:kern w:val="0"/>
                <w:sz w:val="18"/>
                <w:szCs w:val="18"/>
                <w:lang w:val="en-US"/>
              </w:rPr>
              <w:t>-</w:t>
            </w:r>
            <w:r w:rsidRPr="00DD2824">
              <w:rPr>
                <w:rFonts w:eastAsia="Times New Roman"/>
                <w:spacing w:val="0"/>
                <w:w w:val="100"/>
                <w:kern w:val="0"/>
                <w:sz w:val="18"/>
                <w:szCs w:val="18"/>
              </w:rPr>
              <w:t>Ги</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5 300</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6 921</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12 221</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43,4</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56,6</w:t>
            </w:r>
          </w:p>
        </w:tc>
      </w:tr>
      <w:tr w:rsidR="00DD2824" w:rsidRPr="00DD2824" w:rsidTr="00DD2824">
        <w:trPr>
          <w:trHeight w:val="240"/>
        </w:trPr>
        <w:tc>
          <w:tcPr>
            <w:tcW w:w="1793"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Синоэ</w:t>
            </w:r>
          </w:p>
        </w:tc>
        <w:tc>
          <w:tcPr>
            <w:tcW w:w="118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7 043</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9 111</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16 154</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43,6</w:t>
            </w:r>
          </w:p>
        </w:tc>
        <w:tc>
          <w:tcPr>
            <w:tcW w:w="992"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56,4</w:t>
            </w:r>
          </w:p>
        </w:tc>
      </w:tr>
      <w:tr w:rsidR="00DD2824" w:rsidRPr="00DD2824" w:rsidTr="00DD2824">
        <w:trPr>
          <w:trHeight w:val="240"/>
        </w:trPr>
        <w:tc>
          <w:tcPr>
            <w:tcW w:w="1793" w:type="dxa"/>
            <w:tcBorders>
              <w:top w:val="nil"/>
              <w:left w:val="nil"/>
              <w:bottom w:val="single" w:sz="12" w:space="0" w:color="auto"/>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Всего</w:t>
            </w:r>
          </w:p>
        </w:tc>
        <w:tc>
          <w:tcPr>
            <w:tcW w:w="1184"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316 445</w:t>
            </w:r>
          </w:p>
        </w:tc>
        <w:tc>
          <w:tcPr>
            <w:tcW w:w="1134"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358 089</w:t>
            </w:r>
          </w:p>
        </w:tc>
        <w:tc>
          <w:tcPr>
            <w:tcW w:w="1134"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674 534</w:t>
            </w:r>
          </w:p>
        </w:tc>
        <w:tc>
          <w:tcPr>
            <w:tcW w:w="1134"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46,9</w:t>
            </w:r>
          </w:p>
        </w:tc>
        <w:tc>
          <w:tcPr>
            <w:tcW w:w="992"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53,1</w:t>
            </w:r>
          </w:p>
        </w:tc>
      </w:tr>
    </w:tbl>
    <w:p w:rsidR="00DD2824" w:rsidRPr="00DD2824" w:rsidRDefault="00DD2824" w:rsidP="00DD2824">
      <w:pPr>
        <w:suppressAutoHyphens/>
        <w:spacing w:after="240"/>
        <w:ind w:left="1134" w:right="1134"/>
        <w:jc w:val="both"/>
        <w:rPr>
          <w:rFonts w:eastAsia="Times New Roman"/>
          <w:spacing w:val="0"/>
          <w:w w:val="100"/>
          <w:kern w:val="0"/>
          <w:sz w:val="18"/>
          <w:szCs w:val="18"/>
          <w:lang w:val="en-US"/>
        </w:rPr>
      </w:pPr>
      <w:r w:rsidRPr="00DD2824">
        <w:rPr>
          <w:rFonts w:eastAsia="Times New Roman"/>
          <w:i/>
          <w:spacing w:val="0"/>
          <w:w w:val="100"/>
          <w:kern w:val="0"/>
          <w:sz w:val="18"/>
          <w:szCs w:val="18"/>
          <w:lang w:val="en-GB"/>
        </w:rPr>
        <w:t>Источник:</w:t>
      </w:r>
      <w:r w:rsidRPr="00DD2824">
        <w:rPr>
          <w:rFonts w:eastAsia="Times New Roman"/>
          <w:b/>
          <w:spacing w:val="0"/>
          <w:w w:val="100"/>
          <w:kern w:val="0"/>
          <w:sz w:val="18"/>
          <w:szCs w:val="18"/>
          <w:lang w:val="en-GB"/>
        </w:rPr>
        <w:t xml:space="preserve"> </w:t>
      </w:r>
      <w:r w:rsidRPr="00DD2824">
        <w:rPr>
          <w:rFonts w:eastAsia="Times New Roman"/>
          <w:spacing w:val="0"/>
          <w:w w:val="100"/>
          <w:kern w:val="0"/>
          <w:sz w:val="18"/>
          <w:szCs w:val="18"/>
          <w:lang w:val="en-GB"/>
        </w:rPr>
        <w:t>Education statistics for the Republic of Liberia, MOE, 2012</w:t>
      </w:r>
      <w:r w:rsidRPr="00DD2824">
        <w:rPr>
          <w:rFonts w:eastAsia="Times New Roman"/>
          <w:spacing w:val="0"/>
          <w:w w:val="100"/>
          <w:kern w:val="0"/>
          <w:sz w:val="18"/>
          <w:szCs w:val="18"/>
          <w:lang w:val="en-US"/>
        </w:rPr>
        <w:t>.</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Число девочек, зачисленных в начальные школы Либерии, вселяет надежды. Согласно приведенным выше результатам переписи, проведенной в школах в 2011 году, в начальные школы Либерии было зачислено 674 534 учащихся, из них 316 445 девочек, или 46,9 процента от общего числа зачисленных. Данные о зачисленных в начальные школы девочек в разбивке по графствам свидетельствуют о том, что больше всего девочек было зачислено в графстве Монтсеррадо – 50,5 процента девочек и 49,5 процента мальчиков. На уровне неполной средней школы всего было зачислено 138 029 учащихся, из которых 61 612, или 45 процентов составили девочки.</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За этот же период отмечен самый высокий показатель зачисления в средние школы – 782 049  учащихся, из них 328 460 девочек, или 42 процента. Изменение процентной доли зачисленных в период с 2008/09 по 2010/11 учебный год показало рост на 25,5 процента, при этом рост числа зачисленных девочек составил 27,6 процента (МО, 2011 год).</w:t>
      </w:r>
    </w:p>
    <w:p w:rsidR="00DD2824" w:rsidRPr="00DD2824" w:rsidRDefault="00DD2824" w:rsidP="00DD2824">
      <w:pPr>
        <w:suppressAutoHyphens/>
        <w:spacing w:after="120" w:line="240" w:lineRule="atLeast"/>
        <w:ind w:left="1134" w:right="1134"/>
        <w:jc w:val="both"/>
        <w:rPr>
          <w:rFonts w:eastAsia="Times New Roman"/>
          <w:spacing w:val="0"/>
          <w:w w:val="100"/>
          <w:kern w:val="0"/>
          <w:szCs w:val="20"/>
        </w:rPr>
      </w:pPr>
      <w:r w:rsidRPr="00DD2824">
        <w:rPr>
          <w:rFonts w:eastAsia="Times New Roman"/>
          <w:spacing w:val="0"/>
          <w:w w:val="100"/>
          <w:kern w:val="0"/>
          <w:szCs w:val="20"/>
        </w:rPr>
        <w:t xml:space="preserve">Осуществляемая МГВР программа для девочек из числа учащихся, входящих в группу, предусматривает предоставление 200 таким девочкам в возрасте от 12 до 16 лет стипендий для посещения школ-интернатов. Это девочки из десяти графств, а именно Лофа, Бонг, Нимба, Гранд-Баса, Кейп-Маунт, Гбарполу, Боми, сельской части Монтсеррадо и Маргиби. Правительство также учредило в этих графствах колледжи с двухгодичным курсом обучения с целью удовлетворения потребности в среднем образовании. В то же время существует необходимость в создании дополнительных технических училищ для тех, кто не смог поступить в эти колледжи. Число принятых в учебные заведения третьего уровня составляет 6,4 процента от общего числа зачисленных в учебные заведения (ПП, 2012 год). Растет число девушек-студенток, принятых в высшие учебные заведения на технические специальности, но оно все еще составляет менее 10 процентов. </w:t>
      </w:r>
    </w:p>
    <w:p w:rsidR="00DD2824" w:rsidRPr="00DD2824" w:rsidRDefault="00DD2824" w:rsidP="00DD2824">
      <w:pPr>
        <w:suppressAutoHyphens/>
        <w:spacing w:after="120"/>
        <w:ind w:left="1134" w:right="1134"/>
        <w:jc w:val="both"/>
        <w:rPr>
          <w:rFonts w:eastAsia="Times New Roman"/>
          <w:b/>
          <w:spacing w:val="0"/>
          <w:w w:val="100"/>
          <w:kern w:val="0"/>
          <w:szCs w:val="20"/>
        </w:rPr>
      </w:pPr>
      <w:r w:rsidRPr="00DD2824">
        <w:rPr>
          <w:rFonts w:eastAsia="Times New Roman"/>
          <w:b/>
          <w:spacing w:val="0"/>
          <w:w w:val="100"/>
          <w:kern w:val="0"/>
          <w:szCs w:val="20"/>
        </w:rPr>
        <w:t>Число и процент учителей в государственных средних школах с разбивкой по графствам и полу</w:t>
      </w:r>
    </w:p>
    <w:tbl>
      <w:tblPr>
        <w:tblW w:w="7371" w:type="dxa"/>
        <w:tblInd w:w="1134" w:type="dxa"/>
        <w:tblBorders>
          <w:top w:val="single" w:sz="4" w:space="0" w:color="auto"/>
        </w:tblBorders>
        <w:tblCellMar>
          <w:left w:w="0" w:type="dxa"/>
          <w:right w:w="0" w:type="dxa"/>
        </w:tblCellMar>
        <w:tblLook w:val="04A0"/>
      </w:tblPr>
      <w:tblGrid>
        <w:gridCol w:w="2310"/>
        <w:gridCol w:w="746"/>
        <w:gridCol w:w="939"/>
        <w:gridCol w:w="1147"/>
        <w:gridCol w:w="1082"/>
        <w:gridCol w:w="1147"/>
      </w:tblGrid>
      <w:tr w:rsidR="00DD2824" w:rsidRPr="00DD2824" w:rsidTr="00DD2824">
        <w:trPr>
          <w:trHeight w:val="240"/>
          <w:tblHeader/>
        </w:trPr>
        <w:tc>
          <w:tcPr>
            <w:tcW w:w="0" w:type="auto"/>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rPr>
                <w:rFonts w:eastAsia="Times New Roman"/>
                <w:i/>
                <w:spacing w:val="0"/>
                <w:w w:val="100"/>
                <w:kern w:val="0"/>
                <w:sz w:val="16"/>
                <w:szCs w:val="16"/>
                <w:lang w:val="en-US"/>
              </w:rPr>
            </w:pPr>
            <w:r w:rsidRPr="00DD2824">
              <w:rPr>
                <w:rFonts w:eastAsia="Times New Roman"/>
                <w:i/>
                <w:spacing w:val="0"/>
                <w:w w:val="100"/>
                <w:kern w:val="0"/>
                <w:sz w:val="16"/>
                <w:szCs w:val="16"/>
              </w:rPr>
              <w:t>Графство</w:t>
            </w:r>
            <w:r w:rsidRPr="00DD2824">
              <w:rPr>
                <w:rFonts w:eastAsia="Times New Roman"/>
                <w:i/>
                <w:spacing w:val="0"/>
                <w:w w:val="100"/>
                <w:kern w:val="0"/>
                <w:sz w:val="16"/>
                <w:szCs w:val="16"/>
                <w:lang w:val="en-US"/>
              </w:rPr>
              <w:t xml:space="preserve"> </w:t>
            </w:r>
          </w:p>
        </w:tc>
        <w:tc>
          <w:tcPr>
            <w:tcW w:w="746"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c>
          <w:tcPr>
            <w:tcW w:w="939"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Число мужчин</w:t>
            </w:r>
          </w:p>
        </w:tc>
        <w:tc>
          <w:tcPr>
            <w:tcW w:w="0" w:type="auto"/>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 xml:space="preserve">Процент </w:t>
            </w:r>
            <w:r w:rsidRPr="00DD2824">
              <w:rPr>
                <w:rFonts w:eastAsia="Times New Roman"/>
                <w:i/>
                <w:spacing w:val="0"/>
                <w:w w:val="100"/>
                <w:kern w:val="0"/>
                <w:sz w:val="16"/>
                <w:szCs w:val="16"/>
              </w:rPr>
              <w:br/>
              <w:t>мужчин</w:t>
            </w:r>
          </w:p>
        </w:tc>
        <w:tc>
          <w:tcPr>
            <w:tcW w:w="0" w:type="auto"/>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 xml:space="preserve">Число </w:t>
            </w:r>
            <w:r w:rsidRPr="00DD2824">
              <w:rPr>
                <w:rFonts w:eastAsia="Times New Roman"/>
                <w:i/>
                <w:spacing w:val="0"/>
                <w:w w:val="100"/>
                <w:kern w:val="0"/>
                <w:sz w:val="16"/>
                <w:szCs w:val="16"/>
              </w:rPr>
              <w:br/>
              <w:t>женщин</w:t>
            </w:r>
          </w:p>
        </w:tc>
        <w:tc>
          <w:tcPr>
            <w:tcW w:w="0" w:type="auto"/>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 xml:space="preserve">Процент </w:t>
            </w:r>
            <w:r w:rsidRPr="00DD2824">
              <w:rPr>
                <w:rFonts w:eastAsia="Times New Roman"/>
                <w:i/>
                <w:spacing w:val="0"/>
                <w:w w:val="100"/>
                <w:kern w:val="0"/>
                <w:sz w:val="16"/>
                <w:szCs w:val="16"/>
              </w:rPr>
              <w:br/>
              <w:t>женщин</w:t>
            </w:r>
          </w:p>
        </w:tc>
      </w:tr>
      <w:tr w:rsidR="00DD2824" w:rsidRPr="00DD2824" w:rsidTr="00DD2824">
        <w:trPr>
          <w:trHeight w:val="240"/>
        </w:trPr>
        <w:tc>
          <w:tcPr>
            <w:tcW w:w="0" w:type="auto"/>
            <w:tcBorders>
              <w:top w:val="single" w:sz="12" w:space="0" w:color="auto"/>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Боми</w:t>
            </w:r>
          </w:p>
        </w:tc>
        <w:tc>
          <w:tcPr>
            <w:tcW w:w="746"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62</w:t>
            </w:r>
          </w:p>
        </w:tc>
        <w:tc>
          <w:tcPr>
            <w:tcW w:w="939"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61</w:t>
            </w:r>
          </w:p>
        </w:tc>
        <w:tc>
          <w:tcPr>
            <w:tcW w:w="0" w:type="auto"/>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98,4</w:t>
            </w:r>
          </w:p>
        </w:tc>
        <w:tc>
          <w:tcPr>
            <w:tcW w:w="0" w:type="auto"/>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1</w:t>
            </w:r>
          </w:p>
        </w:tc>
        <w:tc>
          <w:tcPr>
            <w:tcW w:w="0" w:type="auto"/>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1,6</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Бонг</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313</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303</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96,8</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10</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3,2</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Гбарполу</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39</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38</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97,4</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1</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2,6</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Гранд-Баса</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78</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75</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96,2</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3,8</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Гранд-Кейп-Маунт</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rPr>
            </w:pPr>
            <w:r w:rsidRPr="00DD2824">
              <w:rPr>
                <w:rFonts w:eastAsia="Times New Roman"/>
                <w:spacing w:val="0"/>
                <w:w w:val="100"/>
                <w:kern w:val="0"/>
                <w:sz w:val="18"/>
                <w:szCs w:val="18"/>
              </w:rPr>
              <w:t>69</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rPr>
              <w:t>6</w:t>
            </w:r>
            <w:r w:rsidRPr="00DD2824">
              <w:rPr>
                <w:rFonts w:eastAsia="Times New Roman"/>
                <w:spacing w:val="0"/>
                <w:w w:val="100"/>
                <w:kern w:val="0"/>
                <w:sz w:val="18"/>
                <w:szCs w:val="18"/>
                <w:lang w:val="en-US"/>
              </w:rPr>
              <w:t>3</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91,3</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8,7</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Гранд-Геде</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195</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181</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92,8</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7,2</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Гранд-Кру</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142</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140</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98,6</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Лофа</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308</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300</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97,4</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8</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2,6</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uppressAutoHyphens/>
              <w:spacing w:before="40" w:after="4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Маргиби</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34</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33</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97,1</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2,9</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uppressAutoHyphens/>
              <w:spacing w:before="40" w:after="4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Мэриленд</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139</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132</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95,0</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5,0</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uppressAutoHyphens/>
              <w:spacing w:before="40" w:after="4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Монтсеррадо</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221</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197</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89,1</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24</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10,9</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uppressAutoHyphens/>
              <w:spacing w:before="40" w:after="4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Нимба</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517</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491</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95,0</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26</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5,0</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uppressAutoHyphens/>
              <w:spacing w:before="40" w:after="4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Ривер-Сесс</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33</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33</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100</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0</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0,0</w:t>
            </w:r>
          </w:p>
        </w:tc>
      </w:tr>
      <w:tr w:rsidR="00DD2824" w:rsidRPr="00DD2824" w:rsidTr="00DD2824">
        <w:trPr>
          <w:trHeight w:val="240"/>
        </w:trPr>
        <w:tc>
          <w:tcPr>
            <w:tcW w:w="0" w:type="auto"/>
            <w:tcBorders>
              <w:top w:val="nil"/>
              <w:left w:val="nil"/>
              <w:bottom w:val="nil"/>
              <w:right w:val="nil"/>
            </w:tcBorders>
            <w:hideMark/>
          </w:tcPr>
          <w:p w:rsidR="00DD2824" w:rsidRPr="00DD2824" w:rsidRDefault="00DD2824" w:rsidP="00DD2824">
            <w:pPr>
              <w:suppressAutoHyphens/>
              <w:spacing w:before="40" w:after="4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Ривер-Ги</w:t>
            </w:r>
          </w:p>
        </w:tc>
        <w:tc>
          <w:tcPr>
            <w:tcW w:w="746"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47</w:t>
            </w:r>
          </w:p>
        </w:tc>
        <w:tc>
          <w:tcPr>
            <w:tcW w:w="939"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45</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95,7</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w:t>
            </w:r>
          </w:p>
        </w:tc>
        <w:tc>
          <w:tcPr>
            <w:tcW w:w="0" w:type="auto"/>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w:t>
            </w:r>
          </w:p>
        </w:tc>
      </w:tr>
      <w:tr w:rsidR="00DD2824" w:rsidRPr="00DD2824" w:rsidTr="00DD2824">
        <w:trPr>
          <w:trHeight w:val="240"/>
        </w:trPr>
        <w:tc>
          <w:tcPr>
            <w:tcW w:w="0" w:type="auto"/>
            <w:tcBorders>
              <w:top w:val="nil"/>
              <w:left w:val="nil"/>
              <w:bottom w:val="single" w:sz="12" w:space="0" w:color="auto"/>
              <w:right w:val="nil"/>
            </w:tcBorders>
            <w:hideMark/>
          </w:tcPr>
          <w:p w:rsidR="00DD2824" w:rsidRPr="00DD2824" w:rsidRDefault="00DD2824" w:rsidP="00DD2824">
            <w:pPr>
              <w:suppressAutoHyphens/>
              <w:spacing w:before="40" w:after="40" w:line="240" w:lineRule="auto"/>
              <w:jc w:val="both"/>
              <w:rPr>
                <w:rFonts w:eastAsia="Times New Roman"/>
                <w:spacing w:val="0"/>
                <w:w w:val="100"/>
                <w:kern w:val="0"/>
                <w:sz w:val="18"/>
                <w:szCs w:val="18"/>
                <w:lang w:val="en-US"/>
              </w:rPr>
            </w:pPr>
            <w:r w:rsidRPr="00DD2824">
              <w:rPr>
                <w:rFonts w:eastAsia="Times New Roman"/>
                <w:spacing w:val="0"/>
                <w:w w:val="100"/>
                <w:kern w:val="0"/>
                <w:sz w:val="18"/>
                <w:szCs w:val="18"/>
              </w:rPr>
              <w:t>Синоэ</w:t>
            </w:r>
          </w:p>
        </w:tc>
        <w:tc>
          <w:tcPr>
            <w:tcW w:w="746"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97</w:t>
            </w:r>
          </w:p>
        </w:tc>
        <w:tc>
          <w:tcPr>
            <w:tcW w:w="939"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96</w:t>
            </w:r>
          </w:p>
        </w:tc>
        <w:tc>
          <w:tcPr>
            <w:tcW w:w="0" w:type="auto"/>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99,0</w:t>
            </w:r>
          </w:p>
        </w:tc>
        <w:tc>
          <w:tcPr>
            <w:tcW w:w="0" w:type="auto"/>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w:t>
            </w:r>
          </w:p>
        </w:tc>
        <w:tc>
          <w:tcPr>
            <w:tcW w:w="0" w:type="auto"/>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w:t>
            </w:r>
          </w:p>
        </w:tc>
      </w:tr>
    </w:tbl>
    <w:p w:rsidR="00DD2824" w:rsidRPr="00DD2824" w:rsidRDefault="00DD2824" w:rsidP="00DD2824">
      <w:pPr>
        <w:suppressAutoHyphens/>
        <w:spacing w:after="240"/>
        <w:ind w:left="1134" w:right="1134"/>
        <w:jc w:val="both"/>
        <w:rPr>
          <w:rFonts w:eastAsia="Times New Roman"/>
          <w:spacing w:val="0"/>
          <w:w w:val="100"/>
          <w:kern w:val="0"/>
          <w:sz w:val="18"/>
          <w:szCs w:val="18"/>
          <w:lang w:val="en-US"/>
        </w:rPr>
      </w:pPr>
      <w:r w:rsidRPr="00DD2824">
        <w:rPr>
          <w:rFonts w:eastAsia="Times New Roman"/>
          <w:i/>
          <w:spacing w:val="0"/>
          <w:w w:val="100"/>
          <w:kern w:val="0"/>
          <w:sz w:val="18"/>
          <w:szCs w:val="18"/>
        </w:rPr>
        <w:t>Источник</w:t>
      </w:r>
      <w:r w:rsidRPr="00DD2824">
        <w:rPr>
          <w:rFonts w:eastAsia="Times New Roman"/>
          <w:i/>
          <w:spacing w:val="0"/>
          <w:w w:val="100"/>
          <w:kern w:val="0"/>
          <w:sz w:val="18"/>
          <w:szCs w:val="18"/>
          <w:lang w:val="en-US"/>
        </w:rPr>
        <w:t>:</w:t>
      </w:r>
      <w:r w:rsidRPr="00DD2824">
        <w:rPr>
          <w:rFonts w:eastAsia="Times New Roman"/>
          <w:b/>
          <w:spacing w:val="0"/>
          <w:w w:val="100"/>
          <w:kern w:val="0"/>
          <w:sz w:val="18"/>
          <w:szCs w:val="18"/>
          <w:lang w:val="en-US"/>
        </w:rPr>
        <w:t xml:space="preserve"> </w:t>
      </w:r>
      <w:r w:rsidRPr="00DD2824">
        <w:rPr>
          <w:rFonts w:eastAsia="Times New Roman"/>
          <w:spacing w:val="0"/>
          <w:w w:val="100"/>
          <w:kern w:val="0"/>
          <w:sz w:val="18"/>
          <w:szCs w:val="18"/>
          <w:lang w:val="en-GB"/>
        </w:rPr>
        <w:t>Education</w:t>
      </w:r>
      <w:r w:rsidRPr="00DD2824">
        <w:rPr>
          <w:rFonts w:eastAsia="Times New Roman"/>
          <w:spacing w:val="0"/>
          <w:w w:val="100"/>
          <w:kern w:val="0"/>
          <w:sz w:val="18"/>
          <w:szCs w:val="18"/>
          <w:lang w:val="en-US"/>
        </w:rPr>
        <w:t xml:space="preserve"> </w:t>
      </w:r>
      <w:r w:rsidRPr="00DD2824">
        <w:rPr>
          <w:rFonts w:eastAsia="Times New Roman"/>
          <w:spacing w:val="0"/>
          <w:w w:val="100"/>
          <w:kern w:val="0"/>
          <w:sz w:val="18"/>
          <w:szCs w:val="18"/>
          <w:lang w:val="en-GB"/>
        </w:rPr>
        <w:t>statistics</w:t>
      </w:r>
      <w:r w:rsidRPr="00DD2824">
        <w:rPr>
          <w:rFonts w:eastAsia="Times New Roman"/>
          <w:spacing w:val="0"/>
          <w:w w:val="100"/>
          <w:kern w:val="0"/>
          <w:sz w:val="18"/>
          <w:szCs w:val="18"/>
          <w:lang w:val="en-US"/>
        </w:rPr>
        <w:t xml:space="preserve"> </w:t>
      </w:r>
      <w:r w:rsidRPr="00DD2824">
        <w:rPr>
          <w:rFonts w:eastAsia="Times New Roman"/>
          <w:spacing w:val="0"/>
          <w:w w:val="100"/>
          <w:kern w:val="0"/>
          <w:sz w:val="18"/>
          <w:szCs w:val="18"/>
          <w:lang w:val="en-GB"/>
        </w:rPr>
        <w:t>for</w:t>
      </w:r>
      <w:r w:rsidRPr="00DD2824">
        <w:rPr>
          <w:rFonts w:eastAsia="Times New Roman"/>
          <w:spacing w:val="0"/>
          <w:w w:val="100"/>
          <w:kern w:val="0"/>
          <w:sz w:val="18"/>
          <w:szCs w:val="18"/>
          <w:lang w:val="en-US"/>
        </w:rPr>
        <w:t xml:space="preserve"> </w:t>
      </w:r>
      <w:r w:rsidRPr="00DD2824">
        <w:rPr>
          <w:rFonts w:eastAsia="Times New Roman"/>
          <w:spacing w:val="0"/>
          <w:w w:val="100"/>
          <w:kern w:val="0"/>
          <w:sz w:val="18"/>
          <w:szCs w:val="18"/>
          <w:lang w:val="en-GB"/>
        </w:rPr>
        <w:t>the</w:t>
      </w:r>
      <w:r w:rsidRPr="00DD2824">
        <w:rPr>
          <w:rFonts w:eastAsia="Times New Roman"/>
          <w:spacing w:val="0"/>
          <w:w w:val="100"/>
          <w:kern w:val="0"/>
          <w:sz w:val="18"/>
          <w:szCs w:val="18"/>
          <w:lang w:val="en-US"/>
        </w:rPr>
        <w:t xml:space="preserve"> </w:t>
      </w:r>
      <w:r w:rsidRPr="00DD2824">
        <w:rPr>
          <w:rFonts w:eastAsia="Times New Roman"/>
          <w:spacing w:val="0"/>
          <w:w w:val="100"/>
          <w:kern w:val="0"/>
          <w:sz w:val="18"/>
          <w:szCs w:val="18"/>
          <w:lang w:val="en-GB"/>
        </w:rPr>
        <w:t>Republic</w:t>
      </w:r>
      <w:r w:rsidRPr="00DD2824">
        <w:rPr>
          <w:rFonts w:eastAsia="Times New Roman"/>
          <w:spacing w:val="0"/>
          <w:w w:val="100"/>
          <w:kern w:val="0"/>
          <w:sz w:val="18"/>
          <w:szCs w:val="18"/>
          <w:lang w:val="en-US"/>
        </w:rPr>
        <w:t xml:space="preserve"> </w:t>
      </w:r>
      <w:r w:rsidRPr="00DD2824">
        <w:rPr>
          <w:rFonts w:eastAsia="Times New Roman"/>
          <w:spacing w:val="0"/>
          <w:w w:val="100"/>
          <w:kern w:val="0"/>
          <w:sz w:val="18"/>
          <w:szCs w:val="18"/>
          <w:lang w:val="en-GB"/>
        </w:rPr>
        <w:t>of</w:t>
      </w:r>
      <w:r w:rsidRPr="00DD2824">
        <w:rPr>
          <w:rFonts w:eastAsia="Times New Roman"/>
          <w:spacing w:val="0"/>
          <w:w w:val="100"/>
          <w:kern w:val="0"/>
          <w:sz w:val="18"/>
          <w:szCs w:val="18"/>
          <w:lang w:val="en-US"/>
        </w:rPr>
        <w:t xml:space="preserve"> </w:t>
      </w:r>
      <w:r w:rsidRPr="00DD2824">
        <w:rPr>
          <w:rFonts w:eastAsia="Times New Roman"/>
          <w:spacing w:val="0"/>
          <w:w w:val="100"/>
          <w:kern w:val="0"/>
          <w:sz w:val="18"/>
          <w:szCs w:val="18"/>
          <w:lang w:val="en-GB"/>
        </w:rPr>
        <w:t>Liberia</w:t>
      </w:r>
      <w:r w:rsidRPr="00DD2824">
        <w:rPr>
          <w:rFonts w:eastAsia="Times New Roman"/>
          <w:spacing w:val="0"/>
          <w:w w:val="100"/>
          <w:kern w:val="0"/>
          <w:sz w:val="18"/>
          <w:szCs w:val="18"/>
          <w:lang w:val="en-US"/>
        </w:rPr>
        <w:t xml:space="preserve">, </w:t>
      </w:r>
      <w:r w:rsidRPr="00DD2824">
        <w:rPr>
          <w:rFonts w:eastAsia="Times New Roman"/>
          <w:spacing w:val="0"/>
          <w:w w:val="100"/>
          <w:kern w:val="0"/>
          <w:sz w:val="18"/>
          <w:szCs w:val="18"/>
          <w:lang w:val="en-GB"/>
        </w:rPr>
        <w:t>MOE</w:t>
      </w:r>
      <w:r w:rsidRPr="00DD2824">
        <w:rPr>
          <w:rFonts w:eastAsia="Times New Roman"/>
          <w:spacing w:val="0"/>
          <w:w w:val="100"/>
          <w:kern w:val="0"/>
          <w:sz w:val="18"/>
          <w:szCs w:val="18"/>
          <w:lang w:val="en-US"/>
        </w:rPr>
        <w:t>, 2012.</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Специальные программы профессионального обучения для девочек в сельской местности все еще стереотипны, основной акцент в них делается на обучение шитью, изготовлению мыла и художественной росписи тканей.</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Учебные планы и государственные экзамены во всех школах Либерии едины. Учебные планы были пересмотрены, утверждены и разосланы во все школы страны. Предпринимаются усилия по ликвидации стереотипной подачи материала о роли женщин и мужчин в учебниках и учебно-методических пособиях.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Мальчики и девочки в равной степени пользуются возможностью получения стипендии, но в то же время есть специальные стипендии, предназначенные только для девочек, с целью повышения их интереса к изучению естественных наук и педагогики, где существует большой гендерный разрыв. В основном это относится к учащимся в городах. Учащиеся в сельских районах редко пользуются возможностями, предоставляемыми программами оказания финансовой помощи, в силу отсутствия информации о существовании таких стипендий, которая обычно публикуется в столице. Министерство образования предоставляет стипендии учащимся второго и третьего уровней обучения. Количество специальных стипендий для девочек, присуждаемых Министерством по гендерным вопросам и развитию, составило 190.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Правительство Либерии в лице отдела образования для девочек в Министерстве образования предоставило стипендии для девочек в следующих областях.</w:t>
      </w:r>
    </w:p>
    <w:p w:rsidR="00DD2824" w:rsidRPr="00DD2824" w:rsidRDefault="00DD2824" w:rsidP="00DD2824">
      <w:pPr>
        <w:tabs>
          <w:tab w:val="left" w:pos="708"/>
        </w:tabs>
        <w:suppressAutoHyphens/>
        <w:spacing w:after="80"/>
        <w:ind w:left="1701" w:right="1134"/>
        <w:jc w:val="both"/>
        <w:rPr>
          <w:rFonts w:eastAsia="Times New Roman"/>
          <w:spacing w:val="0"/>
          <w:w w:val="100"/>
          <w:kern w:val="0"/>
          <w:szCs w:val="20"/>
        </w:rPr>
      </w:pPr>
      <w:r w:rsidRPr="00DD2824">
        <w:rPr>
          <w:rFonts w:eastAsia="Times New Roman"/>
          <w:spacing w:val="0"/>
          <w:w w:val="100"/>
          <w:kern w:val="0"/>
          <w:szCs w:val="20"/>
        </w:rPr>
        <w:t>1.</w:t>
      </w:r>
      <w:r w:rsidRPr="00DD2824">
        <w:rPr>
          <w:rFonts w:eastAsia="Times New Roman"/>
          <w:spacing w:val="0"/>
          <w:w w:val="100"/>
          <w:kern w:val="0"/>
          <w:szCs w:val="20"/>
        </w:rPr>
        <w:tab/>
        <w:t>наука и техника;</w:t>
      </w:r>
    </w:p>
    <w:p w:rsidR="00DD2824" w:rsidRPr="00DD2824" w:rsidRDefault="00DD2824" w:rsidP="00DD2824">
      <w:pPr>
        <w:tabs>
          <w:tab w:val="left" w:pos="708"/>
        </w:tabs>
        <w:suppressAutoHyphens/>
        <w:spacing w:after="80"/>
        <w:ind w:left="1701" w:right="1134"/>
        <w:jc w:val="both"/>
        <w:rPr>
          <w:rFonts w:eastAsia="Times New Roman"/>
          <w:spacing w:val="0"/>
          <w:w w:val="100"/>
          <w:kern w:val="0"/>
          <w:szCs w:val="20"/>
        </w:rPr>
      </w:pPr>
      <w:r w:rsidRPr="00DD2824">
        <w:rPr>
          <w:rFonts w:eastAsia="Times New Roman"/>
          <w:spacing w:val="0"/>
          <w:w w:val="100"/>
          <w:kern w:val="0"/>
          <w:szCs w:val="20"/>
        </w:rPr>
        <w:t>2.</w:t>
      </w:r>
      <w:r w:rsidRPr="00DD2824">
        <w:rPr>
          <w:rFonts w:eastAsia="Times New Roman"/>
          <w:spacing w:val="0"/>
          <w:w w:val="100"/>
          <w:kern w:val="0"/>
          <w:szCs w:val="20"/>
        </w:rPr>
        <w:tab/>
        <w:t>медицина;</w:t>
      </w:r>
    </w:p>
    <w:p w:rsidR="00DD2824" w:rsidRPr="00DD2824" w:rsidRDefault="00DD2824" w:rsidP="00DD2824">
      <w:pPr>
        <w:tabs>
          <w:tab w:val="left" w:pos="708"/>
        </w:tabs>
        <w:suppressAutoHyphens/>
        <w:spacing w:after="80"/>
        <w:ind w:left="1701" w:right="1134"/>
        <w:jc w:val="both"/>
        <w:rPr>
          <w:rFonts w:eastAsia="Times New Roman"/>
          <w:spacing w:val="0"/>
          <w:w w:val="100"/>
          <w:kern w:val="0"/>
          <w:szCs w:val="20"/>
        </w:rPr>
      </w:pPr>
      <w:r w:rsidRPr="00DD2824">
        <w:rPr>
          <w:rFonts w:eastAsia="Times New Roman"/>
          <w:spacing w:val="0"/>
          <w:w w:val="100"/>
          <w:kern w:val="0"/>
          <w:szCs w:val="20"/>
        </w:rPr>
        <w:t>3.</w:t>
      </w:r>
      <w:r w:rsidRPr="00DD2824">
        <w:rPr>
          <w:rFonts w:eastAsia="Times New Roman"/>
          <w:spacing w:val="0"/>
          <w:w w:val="100"/>
          <w:kern w:val="0"/>
          <w:szCs w:val="20"/>
        </w:rPr>
        <w:tab/>
        <w:t>инженерное дело;</w:t>
      </w:r>
    </w:p>
    <w:p w:rsidR="00DD2824" w:rsidRPr="00DD2824" w:rsidRDefault="00DD2824" w:rsidP="00DD2824">
      <w:pPr>
        <w:tabs>
          <w:tab w:val="left" w:pos="708"/>
        </w:tabs>
        <w:suppressAutoHyphens/>
        <w:spacing w:after="120"/>
        <w:ind w:left="1701" w:right="1134"/>
        <w:jc w:val="both"/>
        <w:rPr>
          <w:rFonts w:eastAsia="Times New Roman"/>
          <w:spacing w:val="0"/>
          <w:w w:val="100"/>
          <w:kern w:val="0"/>
          <w:szCs w:val="20"/>
        </w:rPr>
      </w:pPr>
      <w:r w:rsidRPr="00DD2824">
        <w:rPr>
          <w:rFonts w:eastAsia="Times New Roman"/>
          <w:spacing w:val="0"/>
          <w:w w:val="100"/>
          <w:kern w:val="0"/>
          <w:szCs w:val="20"/>
        </w:rPr>
        <w:t>4.</w:t>
      </w:r>
      <w:r w:rsidRPr="00DD2824">
        <w:rPr>
          <w:rFonts w:eastAsia="Times New Roman"/>
          <w:spacing w:val="0"/>
          <w:w w:val="100"/>
          <w:kern w:val="0"/>
          <w:szCs w:val="20"/>
        </w:rPr>
        <w:tab/>
        <w:t>педагогика.</w:t>
      </w:r>
    </w:p>
    <w:p w:rsidR="00DD2824" w:rsidRPr="00DD2824" w:rsidRDefault="00DD2824" w:rsidP="00DD2824">
      <w:pPr>
        <w:suppressAutoHyphens/>
        <w:spacing w:after="240"/>
        <w:ind w:left="1134" w:right="1134"/>
        <w:jc w:val="both"/>
        <w:rPr>
          <w:rFonts w:eastAsia="Times New Roman"/>
          <w:spacing w:val="0"/>
          <w:w w:val="100"/>
          <w:kern w:val="0"/>
          <w:szCs w:val="20"/>
        </w:rPr>
      </w:pPr>
      <w:r w:rsidRPr="00DD2824">
        <w:rPr>
          <w:rFonts w:eastAsia="Times New Roman"/>
          <w:spacing w:val="0"/>
          <w:w w:val="100"/>
          <w:kern w:val="0"/>
          <w:szCs w:val="20"/>
        </w:rPr>
        <w:t>Общая статистика о числе девушек, получающих стипендии по этим специальным программам, имеется в различных учреждениях, неправительственных и правительственных организациях, занимающихся этим вопросом. Общее количество стипендий, предоставленных по этим трем категориям в 2013 году:</w:t>
      </w:r>
    </w:p>
    <w:tbl>
      <w:tblPr>
        <w:tblW w:w="7371" w:type="dxa"/>
        <w:tblInd w:w="1134" w:type="dxa"/>
        <w:tblBorders>
          <w:top w:val="single" w:sz="4" w:space="0" w:color="auto"/>
        </w:tblBorders>
        <w:tblCellMar>
          <w:left w:w="0" w:type="dxa"/>
          <w:right w:w="0" w:type="dxa"/>
        </w:tblCellMar>
        <w:tblLook w:val="04A0"/>
      </w:tblPr>
      <w:tblGrid>
        <w:gridCol w:w="3969"/>
        <w:gridCol w:w="993"/>
        <w:gridCol w:w="1275"/>
        <w:gridCol w:w="1134"/>
      </w:tblGrid>
      <w:tr w:rsidR="00DD2824" w:rsidRPr="00DD2824" w:rsidTr="00DD2824">
        <w:trPr>
          <w:trHeight w:val="240"/>
          <w:tblHeader/>
        </w:trPr>
        <w:tc>
          <w:tcPr>
            <w:tcW w:w="3969"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rPr>
                <w:rFonts w:eastAsia="Times New Roman"/>
                <w:i/>
                <w:spacing w:val="0"/>
                <w:w w:val="100"/>
                <w:kern w:val="0"/>
                <w:sz w:val="16"/>
                <w:szCs w:val="16"/>
                <w:lang w:val="en-US"/>
              </w:rPr>
            </w:pPr>
            <w:r w:rsidRPr="00DD2824">
              <w:rPr>
                <w:rFonts w:eastAsia="Times New Roman"/>
                <w:i/>
                <w:spacing w:val="0"/>
                <w:w w:val="100"/>
                <w:kern w:val="0"/>
                <w:sz w:val="16"/>
                <w:szCs w:val="16"/>
              </w:rPr>
              <w:t>Категория</w:t>
            </w:r>
          </w:p>
        </w:tc>
        <w:tc>
          <w:tcPr>
            <w:tcW w:w="993"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c>
          <w:tcPr>
            <w:tcW w:w="1275"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Мужчины</w:t>
            </w:r>
          </w:p>
        </w:tc>
        <w:tc>
          <w:tcPr>
            <w:tcW w:w="1134"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Женщины</w:t>
            </w:r>
          </w:p>
        </w:tc>
      </w:tr>
      <w:tr w:rsidR="00DD2824" w:rsidRPr="00DD2824" w:rsidTr="00DD2824">
        <w:trPr>
          <w:trHeight w:val="240"/>
        </w:trPr>
        <w:tc>
          <w:tcPr>
            <w:tcW w:w="3969" w:type="dxa"/>
            <w:tcBorders>
              <w:top w:val="single" w:sz="12" w:space="0" w:color="auto"/>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Средняя школа</w:t>
            </w:r>
          </w:p>
        </w:tc>
        <w:tc>
          <w:tcPr>
            <w:tcW w:w="993"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181</w:t>
            </w:r>
          </w:p>
        </w:tc>
        <w:tc>
          <w:tcPr>
            <w:tcW w:w="1275"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118</w:t>
            </w:r>
          </w:p>
        </w:tc>
        <w:tc>
          <w:tcPr>
            <w:tcW w:w="1134" w:type="dxa"/>
            <w:tcBorders>
              <w:top w:val="single" w:sz="12" w:space="0" w:color="auto"/>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73</w:t>
            </w:r>
          </w:p>
        </w:tc>
      </w:tr>
      <w:tr w:rsidR="00DD2824" w:rsidRPr="00DD2824" w:rsidTr="00DD2824">
        <w:trPr>
          <w:trHeight w:val="240"/>
        </w:trPr>
        <w:tc>
          <w:tcPr>
            <w:tcW w:w="3969" w:type="dxa"/>
            <w:tcBorders>
              <w:top w:val="nil"/>
              <w:left w:val="nil"/>
              <w:bottom w:val="nil"/>
              <w:right w:val="nil"/>
            </w:tcBorders>
            <w:hideMark/>
          </w:tcPr>
          <w:p w:rsidR="00DD2824" w:rsidRPr="00DD2824" w:rsidRDefault="00DD2824" w:rsidP="00DD2824">
            <w:pPr>
              <w:spacing w:before="40" w:after="40" w:line="240" w:lineRule="auto"/>
              <w:rPr>
                <w:rFonts w:eastAsia="Times New Roman"/>
                <w:spacing w:val="0"/>
                <w:w w:val="100"/>
                <w:kern w:val="0"/>
                <w:sz w:val="18"/>
                <w:szCs w:val="18"/>
                <w:lang w:val="en-US"/>
              </w:rPr>
            </w:pPr>
            <w:r w:rsidRPr="00DD2824">
              <w:rPr>
                <w:rFonts w:eastAsia="Times New Roman"/>
                <w:spacing w:val="0"/>
                <w:w w:val="100"/>
                <w:kern w:val="0"/>
                <w:sz w:val="18"/>
                <w:szCs w:val="18"/>
              </w:rPr>
              <w:t>Колледж с двухгодичным образованием</w:t>
            </w:r>
          </w:p>
        </w:tc>
        <w:tc>
          <w:tcPr>
            <w:tcW w:w="993"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296</w:t>
            </w:r>
          </w:p>
        </w:tc>
        <w:tc>
          <w:tcPr>
            <w:tcW w:w="1275"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87</w:t>
            </w:r>
          </w:p>
        </w:tc>
        <w:tc>
          <w:tcPr>
            <w:tcW w:w="1134" w:type="dxa"/>
            <w:tcBorders>
              <w:top w:val="nil"/>
              <w:left w:val="nil"/>
              <w:bottom w:val="nil"/>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209</w:t>
            </w:r>
          </w:p>
        </w:tc>
      </w:tr>
      <w:tr w:rsidR="00DD2824" w:rsidRPr="00DD2824" w:rsidTr="00DD2824">
        <w:trPr>
          <w:trHeight w:val="240"/>
        </w:trPr>
        <w:tc>
          <w:tcPr>
            <w:tcW w:w="3969" w:type="dxa"/>
            <w:tcBorders>
              <w:top w:val="nil"/>
              <w:left w:val="nil"/>
              <w:bottom w:val="single" w:sz="12" w:space="0" w:color="auto"/>
              <w:right w:val="nil"/>
            </w:tcBorders>
            <w:hideMark/>
          </w:tcPr>
          <w:p w:rsidR="00DD2824" w:rsidRPr="00DD2824" w:rsidRDefault="00DD2824" w:rsidP="00DD2824">
            <w:pPr>
              <w:spacing w:before="40" w:after="40" w:line="240" w:lineRule="auto"/>
              <w:rPr>
                <w:rFonts w:eastAsia="Times New Roman"/>
                <w:spacing w:val="0"/>
                <w:w w:val="100"/>
                <w:kern w:val="0"/>
                <w:sz w:val="18"/>
                <w:szCs w:val="18"/>
              </w:rPr>
            </w:pPr>
            <w:r w:rsidRPr="00DD2824">
              <w:rPr>
                <w:rFonts w:eastAsia="Times New Roman"/>
                <w:spacing w:val="0"/>
                <w:w w:val="100"/>
                <w:kern w:val="0"/>
                <w:sz w:val="18"/>
                <w:szCs w:val="18"/>
              </w:rPr>
              <w:t>Университет</w:t>
            </w:r>
          </w:p>
        </w:tc>
        <w:tc>
          <w:tcPr>
            <w:tcW w:w="993"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w:t>
            </w:r>
            <w:r w:rsidRPr="00DD2824">
              <w:rPr>
                <w:rFonts w:eastAsia="Times New Roman"/>
                <w:spacing w:val="0"/>
                <w:w w:val="100"/>
                <w:kern w:val="0"/>
                <w:sz w:val="18"/>
                <w:szCs w:val="18"/>
              </w:rPr>
              <w:t xml:space="preserve"> </w:t>
            </w:r>
            <w:r w:rsidRPr="00DD2824">
              <w:rPr>
                <w:rFonts w:eastAsia="Times New Roman"/>
                <w:spacing w:val="0"/>
                <w:w w:val="100"/>
                <w:kern w:val="0"/>
                <w:sz w:val="18"/>
                <w:szCs w:val="18"/>
                <w:lang w:val="en-US"/>
              </w:rPr>
              <w:t>143</w:t>
            </w:r>
          </w:p>
        </w:tc>
        <w:tc>
          <w:tcPr>
            <w:tcW w:w="1275"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w:t>
            </w:r>
            <w:r w:rsidRPr="00DD2824">
              <w:rPr>
                <w:rFonts w:eastAsia="Times New Roman"/>
                <w:spacing w:val="0"/>
                <w:w w:val="100"/>
                <w:kern w:val="0"/>
                <w:sz w:val="18"/>
                <w:szCs w:val="18"/>
              </w:rPr>
              <w:t xml:space="preserve"> </w:t>
            </w:r>
            <w:r w:rsidRPr="00DD2824">
              <w:rPr>
                <w:rFonts w:eastAsia="Times New Roman"/>
                <w:spacing w:val="0"/>
                <w:w w:val="100"/>
                <w:kern w:val="0"/>
                <w:sz w:val="18"/>
                <w:szCs w:val="18"/>
                <w:lang w:val="en-US"/>
              </w:rPr>
              <w:t>797</w:t>
            </w:r>
          </w:p>
        </w:tc>
        <w:tc>
          <w:tcPr>
            <w:tcW w:w="1134" w:type="dxa"/>
            <w:tcBorders>
              <w:top w:val="nil"/>
              <w:left w:val="nil"/>
              <w:bottom w:val="single" w:sz="12" w:space="0" w:color="auto"/>
              <w:right w:val="nil"/>
            </w:tcBorders>
            <w:vAlign w:val="bottom"/>
            <w:hideMark/>
          </w:tcPr>
          <w:p w:rsidR="00DD2824" w:rsidRPr="00DD2824" w:rsidRDefault="00DD2824" w:rsidP="00DD2824">
            <w:pPr>
              <w:spacing w:before="40" w:after="4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w:t>
            </w:r>
            <w:r w:rsidRPr="00DD2824">
              <w:rPr>
                <w:rFonts w:eastAsia="Times New Roman"/>
                <w:spacing w:val="0"/>
                <w:w w:val="100"/>
                <w:kern w:val="0"/>
                <w:sz w:val="18"/>
                <w:szCs w:val="18"/>
              </w:rPr>
              <w:t xml:space="preserve"> </w:t>
            </w:r>
            <w:r w:rsidRPr="00DD2824">
              <w:rPr>
                <w:rFonts w:eastAsia="Times New Roman"/>
                <w:spacing w:val="0"/>
                <w:w w:val="100"/>
                <w:kern w:val="0"/>
                <w:sz w:val="18"/>
                <w:szCs w:val="18"/>
                <w:lang w:val="en-US"/>
              </w:rPr>
              <w:t>345</w:t>
            </w:r>
          </w:p>
        </w:tc>
      </w:tr>
    </w:tbl>
    <w:p w:rsidR="00DD2824" w:rsidRPr="00DD2824" w:rsidRDefault="00DD2824" w:rsidP="00DD2824">
      <w:pPr>
        <w:suppressAutoHyphens/>
        <w:spacing w:after="240"/>
        <w:ind w:left="1134" w:right="1134"/>
        <w:jc w:val="both"/>
        <w:rPr>
          <w:rFonts w:eastAsia="Times New Roman"/>
          <w:spacing w:val="0"/>
          <w:w w:val="100"/>
          <w:kern w:val="0"/>
          <w:sz w:val="18"/>
          <w:szCs w:val="18"/>
        </w:rPr>
      </w:pPr>
      <w:r w:rsidRPr="00DD2824">
        <w:rPr>
          <w:rFonts w:eastAsia="Times New Roman"/>
          <w:i/>
          <w:spacing w:val="0"/>
          <w:w w:val="100"/>
          <w:kern w:val="0"/>
          <w:sz w:val="18"/>
          <w:szCs w:val="18"/>
          <w:lang w:val="en-GB"/>
        </w:rPr>
        <w:t>Источник:</w:t>
      </w:r>
      <w:r w:rsidRPr="00DD2824">
        <w:rPr>
          <w:rFonts w:eastAsia="Times New Roman"/>
          <w:spacing w:val="0"/>
          <w:w w:val="100"/>
          <w:kern w:val="0"/>
          <w:sz w:val="18"/>
          <w:szCs w:val="18"/>
          <w:lang w:val="en-GB"/>
        </w:rPr>
        <w:t xml:space="preserve"> Scholarship Div. Ministry of Education. </w:t>
      </w:r>
      <w:r w:rsidRPr="00DD2824">
        <w:rPr>
          <w:rFonts w:eastAsia="Times New Roman"/>
          <w:spacing w:val="0"/>
          <w:w w:val="100"/>
          <w:kern w:val="0"/>
          <w:sz w:val="18"/>
          <w:szCs w:val="18"/>
        </w:rPr>
        <w:t>2013.</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Общий показатель грамотности в Либерии составляет 56 процентов, и среди мужчин он выше (66 процентов), чем среди женщин (44 процента). Уровень грамотности лиц в возрасте от 15 до 24 лет равен 69 процентам у мужчин и 31 проценту у женщин (ЛИСГИ, июль 2011 года).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Министерство образования, осуществляя процесс децентрализации, создало Национальный совет по обучению взрослого населения, возглавляемый факультетом непрерывного образования в Либерийском университете. В пяти из 15 графств Либерии созданы также вечерние школы для оказания помощи в получении образования выбывшим из обычных школ учащимся, в частности беременным девушкам и пожилым женщинам. Эта программа не была распространена на все графства в силу проблем с электроснабжением.</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Базовое альтернативное образование (БАО) представляет собой программу неформального образования, предназначенную для молодежи, которая вышла из школьного возраста, и взрослых обоих полов, которые не посещали школу. Программа БАО была принята в 2011 году с целью предоставления возможности получения образования молодым людям и взрослым в возрасте от 15 до 35 лет. Начальное образование предоставляется в три этапа: уровень первый – от детского сада до второго класса; уровень второй – третий и четвертый классы; и уровень третий – пятый и шестой классы. Программа предусматривает также включение в учебный план таких тем, как планирование семьи, ВИЧ и СПИД, владение компьютером и способы зарабатывания средств к существованию.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Специальная инициатива по вопросу образования девочек (СИОД) представляет собой программу вечернего школьного образования для беременных девочек-подростков, девочек, выбывших из школы, и женщин с детьми. В настоящее время СИОД осуществляется в двух из 15 графств Либерии – Лофа и Боми. Распространению этой программы на другие графства мешают такие препятствия, как отсутствие электричества, средств и учителей, имеющих надлежащую квалификацию. Эта программа не связана с Программой альтернативного базового образования, которая упоминалась в предыдущем пункте.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Во всех школах Либерии существует программа физического воспитания, которая является обязательной для всех учащихся, независимо от пола.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Отдел школьной гигиены Министерства образования совместно с Ассоциацией планирования семьи Либерии (АПСЛ) осуществляет информирование учащихся старших классов о надлежащем использовании контрацептивов (мужских и женских презервативов, ло-феменала, микролюта и микрогинона и т. д.). Услуги по планированию семьи предоставляются учащимся путем направления их в ближайшую поликлинику в пределах данной общины. Темы планирования семьи, подростковой беременности, злоупотребления наркотическими средствами и психотропными веществами включены в преподавание курсов естествознания и биологии. </w:t>
      </w:r>
    </w:p>
    <w:p w:rsidR="00DD2824" w:rsidRPr="00DD2824" w:rsidRDefault="00DD2824" w:rsidP="00DD2824">
      <w:pPr>
        <w:keepNext/>
        <w:keepLines/>
        <w:tabs>
          <w:tab w:val="right" w:pos="851"/>
        </w:tabs>
        <w:suppressAutoHyphens/>
        <w:spacing w:before="360" w:after="240" w:line="270" w:lineRule="exact"/>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4" w:name="_Toc388281195"/>
      <w:r w:rsidRPr="00DD2824">
        <w:rPr>
          <w:rFonts w:eastAsia="Times New Roman"/>
          <w:b/>
          <w:spacing w:val="0"/>
          <w:w w:val="100"/>
          <w:kern w:val="0"/>
          <w:sz w:val="24"/>
          <w:szCs w:val="24"/>
        </w:rPr>
        <w:t>Статья 11. Занятость</w:t>
      </w:r>
      <w:bookmarkEnd w:id="14"/>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Предложенный новый либерийский Закон о труде, дублирующий Билль о достойной работе, принятый Палатой представителей 7 июля 2013 года, не получил одобрения в Сенате, и, следовательно, его прохождение затянулось. Две палаты Национального собрания не пришли к согласию относительно минимального дневного заработка, равного 5,60 долл. США. Предложенный законопроект предусматривает, чтобы "Республика осуществляла свою политику в направлении обеспечения для всех граждан, без какой-либо дискриминации, возможности для занятости и получения средств к существованию на справедливых и гуманных условиях, а также в направлении содействия безопасности, охране здоровья и благосостоянию".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пунктах а) и </w:t>
      </w:r>
      <w:r w:rsidRPr="00DD2824">
        <w:rPr>
          <w:rFonts w:eastAsia="Times New Roman"/>
          <w:spacing w:val="0"/>
          <w:w w:val="100"/>
          <w:kern w:val="0"/>
          <w:szCs w:val="20"/>
          <w:lang w:val="en-US"/>
        </w:rPr>
        <w:t>b</w:t>
      </w:r>
      <w:r w:rsidRPr="00DD2824">
        <w:rPr>
          <w:rFonts w:eastAsia="Times New Roman"/>
          <w:spacing w:val="0"/>
          <w:w w:val="100"/>
          <w:kern w:val="0"/>
          <w:szCs w:val="20"/>
        </w:rPr>
        <w:t xml:space="preserve">) этого закона говорится: "Всем женщинам и мужчинам предоставлено право без каких-либо различий, исключений или предпочтений пользоваться и осуществлять права и средства защиты прав, предусмотренные в этом законодательном акте. Без ограничения сферы действия вышеприведенных положений все лица, которые работают или ищут работу в Либерии, имеют право пользоваться и осуществлять права и средства защиты прав, предоставленные данным Законом, независимо от: </w:t>
      </w:r>
    </w:p>
    <w:p w:rsidR="00DD2824" w:rsidRPr="00DD2824" w:rsidRDefault="00DD2824" w:rsidP="00DD2824">
      <w:pPr>
        <w:tabs>
          <w:tab w:val="left" w:pos="708"/>
        </w:tabs>
        <w:suppressAutoHyphens/>
        <w:spacing w:after="120"/>
        <w:ind w:left="2268" w:right="1134" w:hanging="567"/>
        <w:jc w:val="both"/>
        <w:rPr>
          <w:rFonts w:eastAsia="Times New Roman"/>
          <w:spacing w:val="0"/>
          <w:w w:val="100"/>
          <w:kern w:val="0"/>
          <w:szCs w:val="20"/>
        </w:rPr>
      </w:pPr>
      <w:r w:rsidRPr="00DD2824">
        <w:rPr>
          <w:rFonts w:eastAsia="Times New Roman"/>
          <w:spacing w:val="0"/>
          <w:w w:val="100"/>
          <w:kern w:val="0"/>
          <w:szCs w:val="20"/>
          <w:lang w:val="en-US"/>
        </w:rPr>
        <w:t>i</w:t>
      </w:r>
      <w:r w:rsidRPr="00DD2824">
        <w:rPr>
          <w:rFonts w:eastAsia="Times New Roman"/>
          <w:spacing w:val="0"/>
          <w:w w:val="100"/>
          <w:kern w:val="0"/>
          <w:szCs w:val="20"/>
        </w:rPr>
        <w:t>.</w:t>
      </w:r>
      <w:r w:rsidRPr="00DD2824">
        <w:rPr>
          <w:rFonts w:eastAsia="Times New Roman"/>
          <w:spacing w:val="0"/>
          <w:w w:val="100"/>
          <w:kern w:val="0"/>
          <w:szCs w:val="20"/>
        </w:rPr>
        <w:tab/>
        <w:t>расы, племени, принадлежности к коренной народности, языка, цвета кожи, происхождения, гражданства, социального или этнического происхождения, экономического положения, принадлежности к общине или рода занятий;</w:t>
      </w:r>
    </w:p>
    <w:p w:rsidR="00DD2824" w:rsidRPr="00DD2824" w:rsidRDefault="00DD2824" w:rsidP="00DD2824">
      <w:pPr>
        <w:tabs>
          <w:tab w:val="left" w:pos="708"/>
        </w:tabs>
        <w:suppressAutoHyphens/>
        <w:spacing w:after="120"/>
        <w:ind w:left="2268" w:right="1134" w:hanging="567"/>
        <w:jc w:val="both"/>
        <w:rPr>
          <w:rFonts w:eastAsia="Times New Roman"/>
          <w:spacing w:val="0"/>
          <w:w w:val="100"/>
          <w:kern w:val="0"/>
          <w:szCs w:val="20"/>
        </w:rPr>
      </w:pPr>
      <w:r w:rsidRPr="00DD2824">
        <w:rPr>
          <w:rFonts w:eastAsia="Times New Roman"/>
          <w:spacing w:val="0"/>
          <w:w w:val="100"/>
          <w:kern w:val="0"/>
          <w:szCs w:val="20"/>
          <w:lang w:val="en-US"/>
        </w:rPr>
        <w:t>ii</w:t>
      </w:r>
      <w:r w:rsidRPr="00DD2824">
        <w:rPr>
          <w:rFonts w:eastAsia="Times New Roman"/>
          <w:spacing w:val="0"/>
          <w:w w:val="100"/>
          <w:kern w:val="0"/>
          <w:szCs w:val="20"/>
        </w:rPr>
        <w:t>.</w:t>
      </w:r>
      <w:r w:rsidRPr="00DD2824">
        <w:rPr>
          <w:rFonts w:eastAsia="Times New Roman"/>
          <w:spacing w:val="0"/>
          <w:w w:val="100"/>
          <w:kern w:val="0"/>
          <w:szCs w:val="20"/>
        </w:rPr>
        <w:tab/>
        <w:t>статуса иммигранта или временно проживающего;</w:t>
      </w:r>
    </w:p>
    <w:p w:rsidR="00DD2824" w:rsidRPr="00DD2824" w:rsidRDefault="00DD2824" w:rsidP="00DD2824">
      <w:pPr>
        <w:tabs>
          <w:tab w:val="left" w:pos="708"/>
        </w:tabs>
        <w:suppressAutoHyphens/>
        <w:spacing w:after="120"/>
        <w:ind w:left="2268" w:right="1134" w:hanging="567"/>
        <w:jc w:val="both"/>
        <w:rPr>
          <w:rFonts w:eastAsia="Times New Roman"/>
          <w:spacing w:val="0"/>
          <w:w w:val="100"/>
          <w:kern w:val="0"/>
          <w:szCs w:val="20"/>
        </w:rPr>
      </w:pPr>
      <w:r w:rsidRPr="00DD2824">
        <w:rPr>
          <w:rFonts w:eastAsia="Times New Roman"/>
          <w:spacing w:val="0"/>
          <w:w w:val="100"/>
          <w:kern w:val="0"/>
          <w:szCs w:val="20"/>
          <w:lang w:val="en-US"/>
        </w:rPr>
        <w:t>iii</w:t>
      </w:r>
      <w:r w:rsidRPr="00DD2824">
        <w:rPr>
          <w:rFonts w:eastAsia="Times New Roman"/>
          <w:spacing w:val="0"/>
          <w:w w:val="100"/>
          <w:kern w:val="0"/>
          <w:szCs w:val="20"/>
        </w:rPr>
        <w:t>.</w:t>
      </w:r>
      <w:r w:rsidRPr="00DD2824">
        <w:rPr>
          <w:rFonts w:eastAsia="Times New Roman"/>
          <w:spacing w:val="0"/>
          <w:w w:val="100"/>
          <w:kern w:val="0"/>
          <w:szCs w:val="20"/>
        </w:rPr>
        <w:tab/>
        <w:t>пола или сексуальной ориентации;</w:t>
      </w:r>
    </w:p>
    <w:p w:rsidR="00DD2824" w:rsidRPr="00DD2824" w:rsidRDefault="00DD2824" w:rsidP="00DD2824">
      <w:pPr>
        <w:tabs>
          <w:tab w:val="left" w:pos="708"/>
        </w:tabs>
        <w:suppressAutoHyphens/>
        <w:spacing w:after="120"/>
        <w:ind w:left="2268" w:right="1134" w:hanging="567"/>
        <w:jc w:val="both"/>
        <w:rPr>
          <w:rFonts w:eastAsia="Times New Roman"/>
          <w:spacing w:val="0"/>
          <w:w w:val="100"/>
          <w:kern w:val="0"/>
          <w:szCs w:val="20"/>
        </w:rPr>
      </w:pPr>
      <w:r w:rsidRPr="00DD2824">
        <w:rPr>
          <w:rFonts w:eastAsia="Times New Roman"/>
          <w:spacing w:val="0"/>
          <w:w w:val="100"/>
          <w:kern w:val="0"/>
          <w:szCs w:val="20"/>
          <w:lang w:val="en-US"/>
        </w:rPr>
        <w:t>iv</w:t>
      </w:r>
      <w:r w:rsidRPr="00DD2824">
        <w:rPr>
          <w:rFonts w:eastAsia="Times New Roman"/>
          <w:spacing w:val="0"/>
          <w:w w:val="100"/>
          <w:kern w:val="0"/>
          <w:szCs w:val="20"/>
        </w:rPr>
        <w:t>.</w:t>
      </w:r>
      <w:r w:rsidRPr="00DD2824">
        <w:rPr>
          <w:rFonts w:eastAsia="Times New Roman"/>
          <w:spacing w:val="0"/>
          <w:w w:val="100"/>
          <w:kern w:val="0"/>
          <w:szCs w:val="20"/>
        </w:rPr>
        <w:tab/>
        <w:t>семейного положения или семейных обязанностей;</w:t>
      </w:r>
    </w:p>
    <w:p w:rsidR="00DD2824" w:rsidRPr="00DD2824" w:rsidRDefault="00DD2824" w:rsidP="00DD2824">
      <w:pPr>
        <w:tabs>
          <w:tab w:val="left" w:pos="708"/>
        </w:tabs>
        <w:suppressAutoHyphens/>
        <w:spacing w:after="120"/>
        <w:ind w:left="2268" w:right="1134" w:hanging="567"/>
        <w:jc w:val="both"/>
        <w:rPr>
          <w:rFonts w:eastAsia="Times New Roman"/>
          <w:spacing w:val="0"/>
          <w:w w:val="100"/>
          <w:kern w:val="0"/>
          <w:szCs w:val="20"/>
        </w:rPr>
      </w:pPr>
      <w:r w:rsidRPr="00DD2824">
        <w:rPr>
          <w:rFonts w:eastAsia="Times New Roman"/>
          <w:spacing w:val="0"/>
          <w:w w:val="100"/>
          <w:kern w:val="0"/>
          <w:szCs w:val="20"/>
          <w:lang w:val="en-US"/>
        </w:rPr>
        <w:t>v</w:t>
      </w:r>
      <w:r w:rsidRPr="00DD2824">
        <w:rPr>
          <w:rFonts w:eastAsia="Times New Roman"/>
          <w:spacing w:val="0"/>
          <w:w w:val="100"/>
          <w:kern w:val="0"/>
          <w:szCs w:val="20"/>
        </w:rPr>
        <w:t>.</w:t>
      </w:r>
      <w:r w:rsidRPr="00DD2824">
        <w:rPr>
          <w:rFonts w:eastAsia="Times New Roman"/>
          <w:spacing w:val="0"/>
          <w:w w:val="100"/>
          <w:kern w:val="0"/>
          <w:szCs w:val="20"/>
        </w:rPr>
        <w:tab/>
        <w:t>предыдущей, настоящей или будущей беременности или кормления грудью;</w:t>
      </w:r>
    </w:p>
    <w:p w:rsidR="00DD2824" w:rsidRPr="00DD2824" w:rsidRDefault="00DD2824" w:rsidP="00DD2824">
      <w:pPr>
        <w:tabs>
          <w:tab w:val="left" w:pos="708"/>
        </w:tabs>
        <w:suppressAutoHyphens/>
        <w:spacing w:after="120"/>
        <w:ind w:left="2268" w:right="1134" w:hanging="567"/>
        <w:jc w:val="both"/>
        <w:rPr>
          <w:rFonts w:eastAsia="Times New Roman"/>
          <w:spacing w:val="0"/>
          <w:w w:val="100"/>
          <w:kern w:val="0"/>
          <w:szCs w:val="20"/>
        </w:rPr>
      </w:pPr>
      <w:r w:rsidRPr="00DD2824">
        <w:rPr>
          <w:rFonts w:eastAsia="Times New Roman"/>
          <w:spacing w:val="0"/>
          <w:w w:val="100"/>
          <w:kern w:val="0"/>
          <w:szCs w:val="20"/>
          <w:lang w:val="en-US"/>
        </w:rPr>
        <w:t>vi</w:t>
      </w:r>
      <w:r w:rsidRPr="00DD2824">
        <w:rPr>
          <w:rFonts w:eastAsia="Times New Roman"/>
          <w:spacing w:val="0"/>
          <w:w w:val="100"/>
          <w:kern w:val="0"/>
          <w:szCs w:val="20"/>
        </w:rPr>
        <w:t>.</w:t>
      </w:r>
      <w:r w:rsidRPr="00DD2824">
        <w:rPr>
          <w:rFonts w:eastAsia="Times New Roman"/>
          <w:spacing w:val="0"/>
          <w:w w:val="100"/>
          <w:kern w:val="0"/>
          <w:szCs w:val="20"/>
        </w:rPr>
        <w:tab/>
        <w:t>состояния здоровья, включая статус, фактический или предполагаемый, ВИЧ-инфицированного или больного СПИДом".</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Новый Билль о достойной работе приходит на смену старому Закону о труде и вносит в него улучшения. В новом Билле о достойной работе предусматриваются защитные меры для беременных женщин и кормящих матерей, то есть положение, которого не было в старых законах о труде. Кроме того, отпуск по беременности и родам был увеличен с 12 недель, как предусматривалось в старых законах о труде, до 14 оплачиваемых недель. По окончании отпуска по беременности и родам работающая женщина может возобновить работу на тех же условиях, что и до своего отпуска, и работницу, кормящую грудью, нельзя заставлять выполнять работу, которая представляет опасность для ее здоровья или здоровья ее ребенка.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Либерии отсутствует сеть учреждений по уходу за детьми. В то же время уход за детьми обычно осуществляется с помощью платных нянек, кем-либо из членов расширенной семьи или нанятых нянек, которые ухаживают за детьми, давая возможность родителям сочетать семейные обязанности с работой и участвовать в общественной жизни.</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Билль о достойной работе предусматривает также, что женщины и мужчины имеют право без каких-либо различий, исключений или предпочтений получать равное вознаграждение за равный или сравнимый по ценности труд. Равное вознаграждение определяется в нем как ставка оплаты труда, установленная без какой-либо дискриминации по признаку пола, и каждому работнику предоставляется право получать заработок не ниже ставки, зафиксированной в приказе о минимальной плате за работу, для выполнения которой был нанят данный работник. В дополнение к этому в Билле устанавливается минимальная заработная плата для всех домашних работников с целью обеспечить получение ими заработка, достаточного для удовлетворения их основных потребностей. Тем самым будет гарантировано, что женщины, которые составляют большинство домашних работников, будут получать достаточное вознаграждение за свою работу. До создания проекта этого Билля заработная плата домашних работников никак не регулировалась.</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Пособия по социальному обеспечению выплачиваются государственным служащим при выходе на пенсию или при утрате трудоспособности. Эти программы выплат по социальному обеспечению в случае выхода на пенсию, нетрудоспособности или по старости одинаково применяются в отношении как мужчин, так и женщин, находящихся на государственной службе. Государственная программа по охвату такими пособиями работников частного и неформального секторов пока не разработана. Однако Либерия стремится исправить эту ситуацию с помощью своей программы перспективного развития до 2030 года, в которой делается попытка выровнять оклады и пособия для работников в обоих секторах. В настоящее время у Либерии нет комплексной программы по уходу за престарелыми. Но в большинстве случаев за стариками ухаживают в их семьях, поскольку эта система является неотъемлемой частью культуры и традиций либерийцев.</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Возможности трудоустройства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Согласно данным Доклада об обследовании рабочей силы за 2010 год (ЛИСГИ, 2010 год) коэффициент безработицы в Либерии составляет 3,7 процента, нестабильной занятости – 79 процентов и неформальной занятости – 68 процентов. Женщины в Либерии играют ключевую и решающую роль в экономике, ее рабочей силе и вносят огромный вклад в формирование доходов домохозяйств. Вместе с тем женщины и мужчины не в равной степени представлены в производственных секторах, и их труд оплачивается по-разному. В экономике страны, где преобладает сельскохозяйственный и неформальный труд, на плечах женщин лежит самое тяжелое бремя работы в этих секторах, и у таких неквалифицированных работниц во всех отношениях меньше шансов на получение платы за свой труд.</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Занятое население в Либерии, в частности в возрасте от 15 лет и старше, можно распределить по трем ключевым переменным: полу, возрасту и месту проживания. Работающее население в возрасте от 15 лет и старше насчитывает в целом 1,1 млн. человек. Число работающих мужчин и женщин примерно одинаково. В приведенной ниже таблице из 484 тыс. человек, работающих в городах, мужчин больше (244 тыс.), чем женщин (240 тыс.). Однако в сельских районах ситуация несколько иная, поскольку основная масса работающих занята в сельскохозяйственном секторе. Из 607 тыс. человек, занятых в сельском хозяйстве, женщин больше (305 тыс.), чем мужчин (302 тыс.).</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Неформальная занятость</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Либерии почти 750 тыс. человек заняты в неформальном секторе, на который приходится 68 процентов общей занятости. В этом секторе занято больше женщин, чем мужчин, что более характерно для сельских районов, где неформальная занятость составляет 75 процентов от общей занятости.</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Наемные работники, получающие заработную плату, насчитывают 195 тыс. человек, при этом две трети из них работают в городах. Из этого числа занятость 79 процентов работников следует признать нестабильной. Женщины составляют 89 процентов уязвимых работников, в частности в сельском хозяйстве и оптовой и розничной торговле.</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b/>
          <w:spacing w:val="0"/>
          <w:w w:val="100"/>
          <w:kern w:val="0"/>
          <w:szCs w:val="20"/>
        </w:rPr>
        <w:t>Численность рабочей силы в разбивке по секторам и полу (ОРС, 2010 год)</w:t>
      </w:r>
    </w:p>
    <w:tbl>
      <w:tblPr>
        <w:tblW w:w="0" w:type="auto"/>
        <w:tblInd w:w="1134" w:type="dxa"/>
        <w:tblBorders>
          <w:top w:val="single" w:sz="4" w:space="0" w:color="auto"/>
        </w:tblBorders>
        <w:tblLayout w:type="fixed"/>
        <w:tblCellMar>
          <w:left w:w="0" w:type="dxa"/>
          <w:right w:w="0" w:type="dxa"/>
        </w:tblCellMar>
        <w:tblLook w:val="04A0"/>
      </w:tblPr>
      <w:tblGrid>
        <w:gridCol w:w="3261"/>
        <w:gridCol w:w="992"/>
        <w:gridCol w:w="850"/>
        <w:gridCol w:w="851"/>
        <w:gridCol w:w="992"/>
        <w:gridCol w:w="1012"/>
        <w:gridCol w:w="547"/>
      </w:tblGrid>
      <w:tr w:rsidR="00DD2824" w:rsidRPr="00DD2824" w:rsidTr="00DD2824">
        <w:trPr>
          <w:trHeight w:val="240"/>
          <w:tblHeader/>
        </w:trPr>
        <w:tc>
          <w:tcPr>
            <w:tcW w:w="3261" w:type="dxa"/>
            <w:tcBorders>
              <w:top w:val="single" w:sz="4" w:space="0" w:color="auto"/>
              <w:left w:val="nil"/>
              <w:bottom w:val="single" w:sz="4" w:space="0" w:color="auto"/>
              <w:right w:val="nil"/>
            </w:tcBorders>
            <w:vAlign w:val="bottom"/>
            <w:hideMark/>
          </w:tcPr>
          <w:p w:rsidR="00DD2824" w:rsidRPr="00DD2824" w:rsidRDefault="00DD2824" w:rsidP="00DD2824">
            <w:pPr>
              <w:spacing w:before="80" w:after="80" w:line="240" w:lineRule="auto"/>
              <w:rPr>
                <w:rFonts w:eastAsia="Times New Roman"/>
                <w:i/>
                <w:spacing w:val="0"/>
                <w:w w:val="100"/>
                <w:kern w:val="0"/>
                <w:sz w:val="16"/>
                <w:szCs w:val="16"/>
                <w:lang w:val="en-US"/>
              </w:rPr>
            </w:pPr>
            <w:r w:rsidRPr="00DD2824">
              <w:rPr>
                <w:rFonts w:eastAsia="Times New Roman"/>
                <w:i/>
                <w:spacing w:val="0"/>
                <w:w w:val="100"/>
                <w:kern w:val="0"/>
                <w:sz w:val="16"/>
                <w:szCs w:val="16"/>
              </w:rPr>
              <w:t>Сектор экономики/вид деятельности</w:t>
            </w:r>
          </w:p>
        </w:tc>
        <w:tc>
          <w:tcPr>
            <w:tcW w:w="2693" w:type="dxa"/>
            <w:gridSpan w:val="3"/>
            <w:tcBorders>
              <w:top w:val="single" w:sz="4" w:space="0" w:color="auto"/>
              <w:left w:val="nil"/>
              <w:bottom w:val="single" w:sz="4" w:space="0" w:color="auto"/>
              <w:right w:val="nil"/>
            </w:tcBorders>
            <w:vAlign w:val="bottom"/>
            <w:hideMark/>
          </w:tcPr>
          <w:p w:rsidR="00DD2824" w:rsidRPr="00DD2824" w:rsidRDefault="00DD2824" w:rsidP="00DD2824">
            <w:pPr>
              <w:spacing w:before="80" w:after="80" w:line="240" w:lineRule="auto"/>
              <w:ind w:left="113"/>
              <w:jc w:val="center"/>
              <w:rPr>
                <w:rFonts w:eastAsia="Times New Roman"/>
                <w:i/>
                <w:spacing w:val="0"/>
                <w:w w:val="100"/>
                <w:kern w:val="0"/>
                <w:sz w:val="16"/>
                <w:szCs w:val="16"/>
              </w:rPr>
            </w:pPr>
            <w:r w:rsidRPr="00DD2824">
              <w:rPr>
                <w:rFonts w:eastAsia="Times New Roman"/>
                <w:i/>
                <w:spacing w:val="0"/>
                <w:w w:val="100"/>
                <w:kern w:val="0"/>
                <w:sz w:val="16"/>
                <w:szCs w:val="16"/>
              </w:rPr>
              <w:t>Число занятых в неформальном се</w:t>
            </w:r>
            <w:r w:rsidRPr="00DD2824">
              <w:rPr>
                <w:rFonts w:eastAsia="Times New Roman"/>
                <w:i/>
                <w:spacing w:val="0"/>
                <w:w w:val="100"/>
                <w:kern w:val="0"/>
                <w:sz w:val="16"/>
                <w:szCs w:val="16"/>
              </w:rPr>
              <w:t>к</w:t>
            </w:r>
            <w:r w:rsidRPr="00DD2824">
              <w:rPr>
                <w:rFonts w:eastAsia="Times New Roman"/>
                <w:i/>
                <w:spacing w:val="0"/>
                <w:w w:val="100"/>
                <w:kern w:val="0"/>
                <w:sz w:val="16"/>
                <w:szCs w:val="16"/>
              </w:rPr>
              <w:t>торе</w:t>
            </w:r>
          </w:p>
        </w:tc>
        <w:tc>
          <w:tcPr>
            <w:tcW w:w="2551" w:type="dxa"/>
            <w:gridSpan w:val="3"/>
            <w:tcBorders>
              <w:top w:val="single" w:sz="4" w:space="0" w:color="auto"/>
              <w:left w:val="nil"/>
              <w:bottom w:val="single" w:sz="4" w:space="0" w:color="auto"/>
              <w:right w:val="nil"/>
            </w:tcBorders>
            <w:vAlign w:val="bottom"/>
            <w:hideMark/>
          </w:tcPr>
          <w:p w:rsidR="00DD2824" w:rsidRPr="00DD2824" w:rsidRDefault="00DD2824" w:rsidP="00DD2824">
            <w:pPr>
              <w:spacing w:before="80" w:after="80" w:line="240" w:lineRule="auto"/>
              <w:ind w:left="113"/>
              <w:jc w:val="center"/>
              <w:rPr>
                <w:rFonts w:eastAsia="Times New Roman"/>
                <w:i/>
                <w:spacing w:val="0"/>
                <w:w w:val="100"/>
                <w:kern w:val="0"/>
                <w:sz w:val="16"/>
                <w:szCs w:val="16"/>
              </w:rPr>
            </w:pPr>
            <w:r w:rsidRPr="00DD2824">
              <w:rPr>
                <w:rFonts w:eastAsia="Times New Roman"/>
                <w:i/>
                <w:spacing w:val="0"/>
                <w:w w:val="100"/>
                <w:kern w:val="0"/>
                <w:sz w:val="16"/>
                <w:szCs w:val="16"/>
              </w:rPr>
              <w:t>Процентная доля занятых в формальном секторе</w:t>
            </w:r>
          </w:p>
        </w:tc>
      </w:tr>
      <w:tr w:rsidR="00DD2824" w:rsidRPr="00DD2824" w:rsidTr="00DD2824">
        <w:trPr>
          <w:trHeight w:val="240"/>
        </w:trPr>
        <w:tc>
          <w:tcPr>
            <w:tcW w:w="3261" w:type="dxa"/>
            <w:tcBorders>
              <w:top w:val="single" w:sz="4" w:space="0" w:color="auto"/>
              <w:left w:val="nil"/>
              <w:bottom w:val="single" w:sz="12" w:space="0" w:color="auto"/>
              <w:right w:val="nil"/>
            </w:tcBorders>
          </w:tcPr>
          <w:p w:rsidR="00DD2824" w:rsidRPr="00DD2824" w:rsidRDefault="00DD2824" w:rsidP="00DD2824">
            <w:pPr>
              <w:spacing w:before="40" w:after="40"/>
              <w:rPr>
                <w:rFonts w:eastAsia="Times New Roman"/>
                <w:spacing w:val="0"/>
                <w:w w:val="100"/>
                <w:kern w:val="0"/>
                <w:sz w:val="16"/>
                <w:szCs w:val="16"/>
              </w:rPr>
            </w:pPr>
          </w:p>
        </w:tc>
        <w:tc>
          <w:tcPr>
            <w:tcW w:w="992"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Мужчины</w:t>
            </w:r>
          </w:p>
        </w:tc>
        <w:tc>
          <w:tcPr>
            <w:tcW w:w="850"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Женщины</w:t>
            </w:r>
          </w:p>
        </w:tc>
        <w:tc>
          <w:tcPr>
            <w:tcW w:w="851"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c>
          <w:tcPr>
            <w:tcW w:w="992"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lang w:val="en-US"/>
              </w:rPr>
            </w:pPr>
            <w:r w:rsidRPr="00DD2824">
              <w:rPr>
                <w:rFonts w:eastAsia="Times New Roman"/>
                <w:i/>
                <w:spacing w:val="0"/>
                <w:w w:val="100"/>
                <w:kern w:val="0"/>
                <w:sz w:val="16"/>
                <w:szCs w:val="16"/>
              </w:rPr>
              <w:t>Мужчины</w:t>
            </w:r>
          </w:p>
        </w:tc>
        <w:tc>
          <w:tcPr>
            <w:tcW w:w="1012"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Женщины</w:t>
            </w:r>
          </w:p>
        </w:tc>
        <w:tc>
          <w:tcPr>
            <w:tcW w:w="547"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r>
      <w:tr w:rsidR="00DD2824" w:rsidRPr="00DD2824" w:rsidTr="00DD2824">
        <w:trPr>
          <w:trHeight w:val="240"/>
        </w:trPr>
        <w:tc>
          <w:tcPr>
            <w:tcW w:w="3261" w:type="dxa"/>
            <w:tcBorders>
              <w:top w:val="single" w:sz="12" w:space="0" w:color="auto"/>
              <w:left w:val="nil"/>
              <w:bottom w:val="nil"/>
              <w:right w:val="nil"/>
            </w:tcBorders>
            <w:hideMark/>
          </w:tcPr>
          <w:p w:rsidR="00DD2824" w:rsidRPr="00DD2824" w:rsidRDefault="00DD2824" w:rsidP="00DD2824">
            <w:pPr>
              <w:spacing w:before="40" w:after="40"/>
              <w:rPr>
                <w:rFonts w:eastAsia="Times New Roman"/>
                <w:spacing w:val="0"/>
                <w:w w:val="100"/>
                <w:kern w:val="0"/>
                <w:sz w:val="18"/>
                <w:szCs w:val="18"/>
              </w:rPr>
            </w:pPr>
            <w:r w:rsidRPr="00DD2824">
              <w:rPr>
                <w:rFonts w:eastAsia="Times New Roman"/>
                <w:spacing w:val="0"/>
                <w:w w:val="100"/>
                <w:kern w:val="0"/>
                <w:sz w:val="18"/>
                <w:szCs w:val="18"/>
              </w:rPr>
              <w:t>Сельское хозяйство, лесное хозяйство и рыболовство</w:t>
            </w:r>
          </w:p>
        </w:tc>
        <w:tc>
          <w:tcPr>
            <w:tcW w:w="992"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200 000</w:t>
            </w:r>
          </w:p>
        </w:tc>
        <w:tc>
          <w:tcPr>
            <w:tcW w:w="850"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209 000</w:t>
            </w:r>
          </w:p>
        </w:tc>
        <w:tc>
          <w:tcPr>
            <w:tcW w:w="851"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409 000</w:t>
            </w:r>
          </w:p>
        </w:tc>
        <w:tc>
          <w:tcPr>
            <w:tcW w:w="992"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48,9</w:t>
            </w:r>
          </w:p>
        </w:tc>
        <w:tc>
          <w:tcPr>
            <w:tcW w:w="1012"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51,1</w:t>
            </w:r>
          </w:p>
        </w:tc>
        <w:tc>
          <w:tcPr>
            <w:tcW w:w="547"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100</w:t>
            </w:r>
          </w:p>
        </w:tc>
      </w:tr>
      <w:tr w:rsidR="00DD2824" w:rsidRPr="00DD2824" w:rsidTr="00DD2824">
        <w:trPr>
          <w:trHeight w:val="240"/>
        </w:trPr>
        <w:tc>
          <w:tcPr>
            <w:tcW w:w="3261" w:type="dxa"/>
            <w:tcBorders>
              <w:top w:val="nil"/>
              <w:left w:val="nil"/>
              <w:bottom w:val="nil"/>
              <w:right w:val="nil"/>
            </w:tcBorders>
            <w:hideMark/>
          </w:tcPr>
          <w:p w:rsidR="00DD2824" w:rsidRPr="00DD2824" w:rsidRDefault="00DD2824" w:rsidP="00DD2824">
            <w:pPr>
              <w:spacing w:before="40" w:after="40"/>
              <w:rPr>
                <w:rFonts w:eastAsia="Times New Roman"/>
                <w:spacing w:val="0"/>
                <w:w w:val="100"/>
                <w:kern w:val="0"/>
                <w:sz w:val="18"/>
                <w:szCs w:val="18"/>
              </w:rPr>
            </w:pPr>
            <w:r w:rsidRPr="00DD2824">
              <w:rPr>
                <w:rFonts w:eastAsia="Times New Roman"/>
                <w:spacing w:val="0"/>
                <w:w w:val="100"/>
                <w:kern w:val="0"/>
                <w:sz w:val="18"/>
                <w:szCs w:val="18"/>
              </w:rPr>
              <w:t>Горнодобывающая промышленность и разработка карьеров</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7 000</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10 000</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70,0</w:t>
            </w:r>
          </w:p>
        </w:tc>
        <w:tc>
          <w:tcPr>
            <w:tcW w:w="101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30,0</w:t>
            </w:r>
          </w:p>
        </w:tc>
        <w:tc>
          <w:tcPr>
            <w:tcW w:w="547"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100</w:t>
            </w:r>
          </w:p>
        </w:tc>
      </w:tr>
      <w:tr w:rsidR="00DD2824" w:rsidRPr="00DD2824" w:rsidTr="00DD2824">
        <w:trPr>
          <w:trHeight w:val="240"/>
        </w:trPr>
        <w:tc>
          <w:tcPr>
            <w:tcW w:w="3261" w:type="dxa"/>
            <w:tcBorders>
              <w:top w:val="nil"/>
              <w:left w:val="nil"/>
              <w:bottom w:val="nil"/>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Производство</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27 000</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16 000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43 000</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62,8</w:t>
            </w:r>
          </w:p>
        </w:tc>
        <w:tc>
          <w:tcPr>
            <w:tcW w:w="101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37,2</w:t>
            </w:r>
          </w:p>
        </w:tc>
        <w:tc>
          <w:tcPr>
            <w:tcW w:w="547"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100</w:t>
            </w:r>
          </w:p>
        </w:tc>
      </w:tr>
      <w:tr w:rsidR="00DD2824" w:rsidRPr="00DD2824" w:rsidTr="00DD2824">
        <w:trPr>
          <w:trHeight w:val="240"/>
        </w:trPr>
        <w:tc>
          <w:tcPr>
            <w:tcW w:w="3261" w:type="dxa"/>
            <w:tcBorders>
              <w:top w:val="nil"/>
              <w:left w:val="nil"/>
              <w:bottom w:val="nil"/>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Строительство</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13 000</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 xml:space="preserve"> 3 000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16 000</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81,3</w:t>
            </w:r>
          </w:p>
        </w:tc>
        <w:tc>
          <w:tcPr>
            <w:tcW w:w="101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18,7</w:t>
            </w:r>
          </w:p>
        </w:tc>
        <w:tc>
          <w:tcPr>
            <w:tcW w:w="547"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100</w:t>
            </w:r>
          </w:p>
        </w:tc>
      </w:tr>
      <w:tr w:rsidR="00DD2824" w:rsidRPr="00DD2824" w:rsidTr="00DD2824">
        <w:trPr>
          <w:trHeight w:val="240"/>
        </w:trPr>
        <w:tc>
          <w:tcPr>
            <w:tcW w:w="3261" w:type="dxa"/>
            <w:tcBorders>
              <w:top w:val="nil"/>
              <w:left w:val="nil"/>
              <w:bottom w:val="nil"/>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Здравоохранение</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1 000</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 xml:space="preserve"> 2 000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3 000</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33,3</w:t>
            </w:r>
          </w:p>
        </w:tc>
        <w:tc>
          <w:tcPr>
            <w:tcW w:w="101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66,7</w:t>
            </w:r>
          </w:p>
        </w:tc>
        <w:tc>
          <w:tcPr>
            <w:tcW w:w="547"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100</w:t>
            </w:r>
          </w:p>
        </w:tc>
      </w:tr>
      <w:tr w:rsidR="00DD2824" w:rsidRPr="00DD2824" w:rsidTr="00DD2824">
        <w:trPr>
          <w:trHeight w:val="240"/>
        </w:trPr>
        <w:tc>
          <w:tcPr>
            <w:tcW w:w="3261" w:type="dxa"/>
            <w:tcBorders>
              <w:top w:val="nil"/>
              <w:left w:val="nil"/>
              <w:bottom w:val="nil"/>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Оптовая/розничная торговля</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2 000</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 xml:space="preserve"> 4 000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6 000</w:t>
            </w:r>
          </w:p>
        </w:tc>
        <w:tc>
          <w:tcPr>
            <w:tcW w:w="99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33,3</w:t>
            </w:r>
          </w:p>
        </w:tc>
        <w:tc>
          <w:tcPr>
            <w:tcW w:w="1012"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66,7</w:t>
            </w:r>
          </w:p>
        </w:tc>
        <w:tc>
          <w:tcPr>
            <w:tcW w:w="547"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100</w:t>
            </w:r>
          </w:p>
        </w:tc>
      </w:tr>
      <w:tr w:rsidR="00DD2824" w:rsidRPr="00DD2824" w:rsidTr="00DD2824">
        <w:trPr>
          <w:trHeight w:val="240"/>
        </w:trPr>
        <w:tc>
          <w:tcPr>
            <w:tcW w:w="3261" w:type="dxa"/>
            <w:tcBorders>
              <w:top w:val="nil"/>
              <w:left w:val="nil"/>
              <w:bottom w:val="single" w:sz="12" w:space="0" w:color="auto"/>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Другие услуги</w:t>
            </w:r>
          </w:p>
        </w:tc>
        <w:tc>
          <w:tcPr>
            <w:tcW w:w="992"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53 000</w:t>
            </w:r>
          </w:p>
        </w:tc>
        <w:tc>
          <w:tcPr>
            <w:tcW w:w="850"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148 000</w:t>
            </w:r>
          </w:p>
        </w:tc>
        <w:tc>
          <w:tcPr>
            <w:tcW w:w="851"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201 000</w:t>
            </w:r>
          </w:p>
        </w:tc>
        <w:tc>
          <w:tcPr>
            <w:tcW w:w="992"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26,4</w:t>
            </w:r>
          </w:p>
        </w:tc>
        <w:tc>
          <w:tcPr>
            <w:tcW w:w="1012"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73,6</w:t>
            </w:r>
          </w:p>
        </w:tc>
        <w:tc>
          <w:tcPr>
            <w:tcW w:w="547"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100</w:t>
            </w:r>
          </w:p>
        </w:tc>
      </w:tr>
    </w:tbl>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Данные о занятости в разбивке по полу, месту проживания и основному роду занятий (ОРС, 2010 год)</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таблице ниже приводятся данные о занятости в разбивке по полу, месту проживания и основному роду занятий. Из доклада следует, что на управленческих должностях как в городах, так и сельских районах мужчин больше, чем женщин. Однако занятость женщин на квалифицированной сельскохозяйственной работе в городах почти равна занятости мужчин, но этот разрыв увеличивается в сельских районах. Занятость женщин на неквалифицированной работе в городах почти в два раза превышает занятость мужчин. В сельских районах ситуация совсем иная: здесь занятость женщин на неквалифицированной работе почти такая же, как и занятость мужчин.</w:t>
      </w:r>
    </w:p>
    <w:p w:rsidR="00DD2824" w:rsidRPr="00DD2824" w:rsidRDefault="00DD2824" w:rsidP="00DD2824">
      <w:pPr>
        <w:suppressAutoHyphens/>
        <w:spacing w:after="120"/>
        <w:ind w:left="1134" w:right="1134"/>
        <w:jc w:val="both"/>
        <w:rPr>
          <w:rFonts w:eastAsia="Times New Roman"/>
          <w:spacing w:val="0"/>
          <w:w w:val="100"/>
          <w:kern w:val="0"/>
          <w:szCs w:val="20"/>
        </w:rPr>
      </w:pPr>
    </w:p>
    <w:tbl>
      <w:tblPr>
        <w:tblW w:w="9659" w:type="dxa"/>
        <w:tblBorders>
          <w:top w:val="single" w:sz="4" w:space="0" w:color="auto"/>
        </w:tblBorders>
        <w:tblCellMar>
          <w:left w:w="0" w:type="dxa"/>
          <w:right w:w="0" w:type="dxa"/>
        </w:tblCellMar>
        <w:tblLook w:val="04A0"/>
      </w:tblPr>
      <w:tblGrid>
        <w:gridCol w:w="2127"/>
        <w:gridCol w:w="850"/>
        <w:gridCol w:w="851"/>
        <w:gridCol w:w="708"/>
        <w:gridCol w:w="993"/>
        <w:gridCol w:w="850"/>
        <w:gridCol w:w="731"/>
        <w:gridCol w:w="970"/>
        <w:gridCol w:w="851"/>
        <w:gridCol w:w="728"/>
      </w:tblGrid>
      <w:tr w:rsidR="00DD2824" w:rsidRPr="00DD2824" w:rsidTr="00DD2824">
        <w:trPr>
          <w:trHeight w:val="240"/>
          <w:tblHeader/>
        </w:trPr>
        <w:tc>
          <w:tcPr>
            <w:tcW w:w="2127" w:type="dxa"/>
            <w:vMerge w:val="restart"/>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rPr>
                <w:rFonts w:eastAsia="Times New Roman"/>
                <w:i/>
                <w:spacing w:val="0"/>
                <w:w w:val="100"/>
                <w:kern w:val="0"/>
                <w:sz w:val="18"/>
                <w:szCs w:val="18"/>
                <w:lang w:val="en-US"/>
              </w:rPr>
            </w:pPr>
            <w:r w:rsidRPr="00DD2824">
              <w:rPr>
                <w:rFonts w:eastAsia="Times New Roman"/>
                <w:i/>
                <w:spacing w:val="0"/>
                <w:w w:val="100"/>
                <w:kern w:val="0"/>
                <w:sz w:val="18"/>
                <w:szCs w:val="18"/>
              </w:rPr>
              <w:t>Род занятий</w:t>
            </w:r>
          </w:p>
        </w:tc>
        <w:tc>
          <w:tcPr>
            <w:tcW w:w="2409" w:type="dxa"/>
            <w:gridSpan w:val="3"/>
            <w:tcBorders>
              <w:top w:val="single" w:sz="4" w:space="0" w:color="auto"/>
              <w:left w:val="nil"/>
              <w:bottom w:val="single" w:sz="4" w:space="0" w:color="auto"/>
              <w:right w:val="nil"/>
            </w:tcBorders>
            <w:vAlign w:val="bottom"/>
            <w:hideMark/>
          </w:tcPr>
          <w:p w:rsidR="00DD2824" w:rsidRPr="00DD2824" w:rsidRDefault="00DD2824" w:rsidP="00DD2824">
            <w:pPr>
              <w:spacing w:before="80" w:after="80" w:line="240" w:lineRule="auto"/>
              <w:ind w:left="113"/>
              <w:jc w:val="center"/>
              <w:rPr>
                <w:rFonts w:eastAsia="Times New Roman"/>
                <w:i/>
                <w:spacing w:val="0"/>
                <w:w w:val="100"/>
                <w:kern w:val="0"/>
                <w:sz w:val="16"/>
                <w:szCs w:val="16"/>
              </w:rPr>
            </w:pPr>
            <w:r w:rsidRPr="00DD2824">
              <w:rPr>
                <w:rFonts w:eastAsia="Times New Roman"/>
                <w:i/>
                <w:spacing w:val="0"/>
                <w:w w:val="100"/>
                <w:kern w:val="0"/>
                <w:sz w:val="16"/>
                <w:szCs w:val="16"/>
              </w:rPr>
              <w:t>Города</w:t>
            </w:r>
          </w:p>
        </w:tc>
        <w:tc>
          <w:tcPr>
            <w:tcW w:w="2574" w:type="dxa"/>
            <w:gridSpan w:val="3"/>
            <w:tcBorders>
              <w:top w:val="single" w:sz="4" w:space="0" w:color="auto"/>
              <w:left w:val="nil"/>
              <w:bottom w:val="single" w:sz="4" w:space="0" w:color="auto"/>
              <w:right w:val="nil"/>
            </w:tcBorders>
            <w:vAlign w:val="bottom"/>
            <w:hideMark/>
          </w:tcPr>
          <w:p w:rsidR="00DD2824" w:rsidRPr="00DD2824" w:rsidRDefault="00DD2824" w:rsidP="00DD2824">
            <w:pPr>
              <w:spacing w:before="80" w:after="80" w:line="240" w:lineRule="auto"/>
              <w:ind w:left="113"/>
              <w:jc w:val="center"/>
              <w:rPr>
                <w:rFonts w:eastAsia="Times New Roman"/>
                <w:i/>
                <w:spacing w:val="0"/>
                <w:w w:val="100"/>
                <w:kern w:val="0"/>
                <w:sz w:val="16"/>
                <w:szCs w:val="16"/>
                <w:lang w:val="en-US"/>
              </w:rPr>
            </w:pPr>
            <w:r w:rsidRPr="00DD2824">
              <w:rPr>
                <w:rFonts w:eastAsia="Times New Roman"/>
                <w:i/>
                <w:spacing w:val="0"/>
                <w:w w:val="100"/>
                <w:kern w:val="0"/>
                <w:sz w:val="16"/>
                <w:szCs w:val="16"/>
              </w:rPr>
              <w:t>Сельские районы</w:t>
            </w:r>
          </w:p>
        </w:tc>
        <w:tc>
          <w:tcPr>
            <w:tcW w:w="2549" w:type="dxa"/>
            <w:gridSpan w:val="3"/>
            <w:tcBorders>
              <w:top w:val="single" w:sz="4" w:space="0" w:color="auto"/>
              <w:left w:val="nil"/>
              <w:bottom w:val="single" w:sz="4" w:space="0" w:color="auto"/>
              <w:right w:val="nil"/>
            </w:tcBorders>
            <w:vAlign w:val="bottom"/>
            <w:hideMark/>
          </w:tcPr>
          <w:p w:rsidR="00DD2824" w:rsidRPr="00DD2824" w:rsidRDefault="00DD2824" w:rsidP="00DD2824">
            <w:pPr>
              <w:spacing w:before="80" w:after="80" w:line="240" w:lineRule="auto"/>
              <w:ind w:left="113"/>
              <w:jc w:val="center"/>
              <w:rPr>
                <w:rFonts w:eastAsia="Times New Roman"/>
                <w:i/>
                <w:spacing w:val="0"/>
                <w:w w:val="100"/>
                <w:kern w:val="0"/>
                <w:sz w:val="16"/>
                <w:szCs w:val="16"/>
              </w:rPr>
            </w:pPr>
            <w:r w:rsidRPr="00DD2824">
              <w:rPr>
                <w:rFonts w:eastAsia="Times New Roman"/>
                <w:i/>
                <w:spacing w:val="0"/>
                <w:w w:val="100"/>
                <w:kern w:val="0"/>
                <w:sz w:val="16"/>
                <w:szCs w:val="16"/>
              </w:rPr>
              <w:t>Всего</w:t>
            </w:r>
          </w:p>
        </w:tc>
      </w:tr>
      <w:tr w:rsidR="00DD2824" w:rsidRPr="00DD2824" w:rsidTr="00DD2824">
        <w:trPr>
          <w:trHeight w:val="240"/>
          <w:tblHeader/>
        </w:trPr>
        <w:tc>
          <w:tcPr>
            <w:tcW w:w="0" w:type="auto"/>
            <w:vMerge/>
            <w:tcBorders>
              <w:top w:val="single" w:sz="4" w:space="0" w:color="auto"/>
              <w:left w:val="nil"/>
              <w:bottom w:val="single" w:sz="12" w:space="0" w:color="auto"/>
              <w:right w:val="nil"/>
            </w:tcBorders>
            <w:vAlign w:val="center"/>
            <w:hideMark/>
          </w:tcPr>
          <w:p w:rsidR="00DD2824" w:rsidRPr="00DD2824" w:rsidRDefault="00DD2824" w:rsidP="00DD2824">
            <w:pPr>
              <w:spacing w:line="240" w:lineRule="auto"/>
              <w:rPr>
                <w:rFonts w:eastAsia="Times New Roman"/>
                <w:i/>
                <w:spacing w:val="0"/>
                <w:w w:val="100"/>
                <w:kern w:val="0"/>
                <w:sz w:val="18"/>
                <w:szCs w:val="18"/>
                <w:lang w:val="en-US"/>
              </w:rPr>
            </w:pPr>
          </w:p>
        </w:tc>
        <w:tc>
          <w:tcPr>
            <w:tcW w:w="850"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Мужчины</w:t>
            </w:r>
          </w:p>
        </w:tc>
        <w:tc>
          <w:tcPr>
            <w:tcW w:w="851"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Женщины</w:t>
            </w:r>
          </w:p>
        </w:tc>
        <w:tc>
          <w:tcPr>
            <w:tcW w:w="708"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c>
          <w:tcPr>
            <w:tcW w:w="993"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Мужчины</w:t>
            </w:r>
          </w:p>
        </w:tc>
        <w:tc>
          <w:tcPr>
            <w:tcW w:w="850"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Женщины</w:t>
            </w:r>
          </w:p>
        </w:tc>
        <w:tc>
          <w:tcPr>
            <w:tcW w:w="731"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c>
          <w:tcPr>
            <w:tcW w:w="970"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Мужчины</w:t>
            </w:r>
          </w:p>
        </w:tc>
        <w:tc>
          <w:tcPr>
            <w:tcW w:w="851"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ind w:left="113"/>
              <w:jc w:val="right"/>
              <w:rPr>
                <w:rFonts w:eastAsia="Times New Roman"/>
                <w:i/>
                <w:spacing w:val="0"/>
                <w:w w:val="100"/>
                <w:kern w:val="0"/>
                <w:sz w:val="16"/>
                <w:szCs w:val="16"/>
              </w:rPr>
            </w:pPr>
            <w:r w:rsidRPr="00DD2824">
              <w:rPr>
                <w:rFonts w:eastAsia="Times New Roman"/>
                <w:i/>
                <w:spacing w:val="0"/>
                <w:w w:val="100"/>
                <w:kern w:val="0"/>
                <w:sz w:val="16"/>
                <w:szCs w:val="16"/>
              </w:rPr>
              <w:t>Женщины</w:t>
            </w:r>
          </w:p>
        </w:tc>
        <w:tc>
          <w:tcPr>
            <w:tcW w:w="728"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r>
      <w:tr w:rsidR="00DD2824" w:rsidRPr="00DD2824" w:rsidTr="00DD2824">
        <w:trPr>
          <w:trHeight w:val="240"/>
        </w:trPr>
        <w:tc>
          <w:tcPr>
            <w:tcW w:w="2127" w:type="dxa"/>
            <w:tcBorders>
              <w:top w:val="single" w:sz="12" w:space="0" w:color="auto"/>
              <w:left w:val="nil"/>
              <w:bottom w:val="nil"/>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Управленцы</w:t>
            </w:r>
          </w:p>
        </w:tc>
        <w:tc>
          <w:tcPr>
            <w:tcW w:w="850"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7 000</w:t>
            </w:r>
          </w:p>
        </w:tc>
        <w:tc>
          <w:tcPr>
            <w:tcW w:w="851"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1 000</w:t>
            </w:r>
          </w:p>
        </w:tc>
        <w:tc>
          <w:tcPr>
            <w:tcW w:w="708"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8 000</w:t>
            </w:r>
          </w:p>
        </w:tc>
        <w:tc>
          <w:tcPr>
            <w:tcW w:w="993"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 xml:space="preserve"> 3 000</w:t>
            </w:r>
          </w:p>
        </w:tc>
        <w:tc>
          <w:tcPr>
            <w:tcW w:w="850"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1 000</w:t>
            </w:r>
          </w:p>
        </w:tc>
        <w:tc>
          <w:tcPr>
            <w:tcW w:w="731"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4 000</w:t>
            </w:r>
          </w:p>
        </w:tc>
        <w:tc>
          <w:tcPr>
            <w:tcW w:w="970"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11 000</w:t>
            </w:r>
          </w:p>
        </w:tc>
        <w:tc>
          <w:tcPr>
            <w:tcW w:w="851"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3 000</w:t>
            </w:r>
          </w:p>
        </w:tc>
        <w:tc>
          <w:tcPr>
            <w:tcW w:w="728" w:type="dxa"/>
            <w:tcBorders>
              <w:top w:val="single" w:sz="12" w:space="0" w:color="auto"/>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14 000</w:t>
            </w:r>
          </w:p>
        </w:tc>
      </w:tr>
      <w:tr w:rsidR="00DD2824" w:rsidRPr="00DD2824" w:rsidTr="00DD2824">
        <w:trPr>
          <w:trHeight w:val="240"/>
        </w:trPr>
        <w:tc>
          <w:tcPr>
            <w:tcW w:w="2127" w:type="dxa"/>
            <w:tcBorders>
              <w:top w:val="nil"/>
              <w:left w:val="nil"/>
              <w:bottom w:val="nil"/>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Специалисты</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29 000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19 000</w:t>
            </w:r>
          </w:p>
        </w:tc>
        <w:tc>
          <w:tcPr>
            <w:tcW w:w="708"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48 000</w:t>
            </w:r>
          </w:p>
        </w:tc>
        <w:tc>
          <w:tcPr>
            <w:tcW w:w="993"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14 000</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7 000</w:t>
            </w:r>
          </w:p>
        </w:tc>
        <w:tc>
          <w:tcPr>
            <w:tcW w:w="73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21 000</w:t>
            </w:r>
          </w:p>
        </w:tc>
        <w:tc>
          <w:tcPr>
            <w:tcW w:w="97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43 000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26 000</w:t>
            </w:r>
          </w:p>
        </w:tc>
        <w:tc>
          <w:tcPr>
            <w:tcW w:w="728"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69 000</w:t>
            </w:r>
          </w:p>
        </w:tc>
      </w:tr>
      <w:tr w:rsidR="00DD2824" w:rsidRPr="00DD2824" w:rsidTr="00DD2824">
        <w:trPr>
          <w:trHeight w:val="240"/>
        </w:trPr>
        <w:tc>
          <w:tcPr>
            <w:tcW w:w="2127" w:type="dxa"/>
            <w:tcBorders>
              <w:top w:val="nil"/>
              <w:left w:val="nil"/>
              <w:bottom w:val="nil"/>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Квалифицированные сел</w:t>
            </w:r>
            <w:r w:rsidRPr="00DD2824">
              <w:rPr>
                <w:rFonts w:eastAsia="Times New Roman"/>
                <w:spacing w:val="0"/>
                <w:w w:val="100"/>
                <w:kern w:val="0"/>
                <w:sz w:val="18"/>
                <w:szCs w:val="18"/>
              </w:rPr>
              <w:t>ь</w:t>
            </w:r>
            <w:r w:rsidRPr="00DD2824">
              <w:rPr>
                <w:rFonts w:eastAsia="Times New Roman"/>
                <w:spacing w:val="0"/>
                <w:w w:val="100"/>
                <w:kern w:val="0"/>
                <w:sz w:val="18"/>
                <w:szCs w:val="18"/>
              </w:rPr>
              <w:t>скохозяйственные рабо</w:t>
            </w:r>
            <w:r w:rsidRPr="00DD2824">
              <w:rPr>
                <w:rFonts w:eastAsia="Times New Roman"/>
                <w:spacing w:val="0"/>
                <w:w w:val="100"/>
                <w:kern w:val="0"/>
                <w:sz w:val="18"/>
                <w:szCs w:val="18"/>
              </w:rPr>
              <w:t>т</w:t>
            </w:r>
            <w:r w:rsidRPr="00DD2824">
              <w:rPr>
                <w:rFonts w:eastAsia="Times New Roman"/>
                <w:spacing w:val="0"/>
                <w:w w:val="100"/>
                <w:kern w:val="0"/>
                <w:sz w:val="18"/>
                <w:szCs w:val="18"/>
              </w:rPr>
              <w:t>ники</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30 000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29 000</w:t>
            </w:r>
          </w:p>
        </w:tc>
        <w:tc>
          <w:tcPr>
            <w:tcW w:w="708"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59 000</w:t>
            </w:r>
          </w:p>
        </w:tc>
        <w:tc>
          <w:tcPr>
            <w:tcW w:w="993"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186 000</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172 000</w:t>
            </w:r>
          </w:p>
        </w:tc>
        <w:tc>
          <w:tcPr>
            <w:tcW w:w="73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358 000</w:t>
            </w:r>
          </w:p>
        </w:tc>
        <w:tc>
          <w:tcPr>
            <w:tcW w:w="97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216 000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201 000</w:t>
            </w:r>
          </w:p>
        </w:tc>
        <w:tc>
          <w:tcPr>
            <w:tcW w:w="728"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417 000</w:t>
            </w:r>
          </w:p>
        </w:tc>
      </w:tr>
      <w:tr w:rsidR="00DD2824" w:rsidRPr="00DD2824" w:rsidTr="00DD2824">
        <w:trPr>
          <w:trHeight w:val="240"/>
        </w:trPr>
        <w:tc>
          <w:tcPr>
            <w:tcW w:w="2127" w:type="dxa"/>
            <w:tcBorders>
              <w:top w:val="nil"/>
              <w:left w:val="nil"/>
              <w:bottom w:val="nil"/>
              <w:right w:val="nil"/>
            </w:tcBorders>
            <w:hideMark/>
          </w:tcPr>
          <w:p w:rsidR="00DD2824" w:rsidRPr="00DD2824" w:rsidRDefault="00DD2824" w:rsidP="00DD2824">
            <w:pPr>
              <w:spacing w:before="40" w:after="40"/>
              <w:rPr>
                <w:rFonts w:eastAsia="Times New Roman"/>
                <w:spacing w:val="0"/>
                <w:w w:val="100"/>
                <w:kern w:val="0"/>
                <w:sz w:val="18"/>
                <w:szCs w:val="18"/>
                <w:lang w:val="en-US"/>
              </w:rPr>
            </w:pPr>
            <w:r w:rsidRPr="00DD2824">
              <w:rPr>
                <w:rFonts w:eastAsia="Times New Roman"/>
                <w:spacing w:val="0"/>
                <w:w w:val="100"/>
                <w:kern w:val="0"/>
                <w:sz w:val="18"/>
                <w:szCs w:val="18"/>
              </w:rPr>
              <w:t>Основные и неквалифиц</w:t>
            </w:r>
            <w:r w:rsidRPr="00DD2824">
              <w:rPr>
                <w:rFonts w:eastAsia="Times New Roman"/>
                <w:spacing w:val="0"/>
                <w:w w:val="100"/>
                <w:kern w:val="0"/>
                <w:sz w:val="18"/>
                <w:szCs w:val="18"/>
              </w:rPr>
              <w:t>и</w:t>
            </w:r>
            <w:r w:rsidRPr="00DD2824">
              <w:rPr>
                <w:rFonts w:eastAsia="Times New Roman"/>
                <w:spacing w:val="0"/>
                <w:w w:val="100"/>
                <w:kern w:val="0"/>
                <w:sz w:val="18"/>
                <w:szCs w:val="18"/>
              </w:rPr>
              <w:t>рованные работники</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28 000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51 000</w:t>
            </w:r>
          </w:p>
        </w:tc>
        <w:tc>
          <w:tcPr>
            <w:tcW w:w="708"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79 000</w:t>
            </w:r>
          </w:p>
        </w:tc>
        <w:tc>
          <w:tcPr>
            <w:tcW w:w="993"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55 000</w:t>
            </w:r>
          </w:p>
        </w:tc>
        <w:tc>
          <w:tcPr>
            <w:tcW w:w="85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59 000</w:t>
            </w:r>
          </w:p>
        </w:tc>
        <w:tc>
          <w:tcPr>
            <w:tcW w:w="73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115 000</w:t>
            </w:r>
          </w:p>
        </w:tc>
        <w:tc>
          <w:tcPr>
            <w:tcW w:w="970"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83 000</w:t>
            </w:r>
          </w:p>
        </w:tc>
        <w:tc>
          <w:tcPr>
            <w:tcW w:w="851"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110 000</w:t>
            </w:r>
          </w:p>
        </w:tc>
        <w:tc>
          <w:tcPr>
            <w:tcW w:w="728" w:type="dxa"/>
            <w:tcBorders>
              <w:top w:val="nil"/>
              <w:left w:val="nil"/>
              <w:bottom w:val="nil"/>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193 000</w:t>
            </w:r>
          </w:p>
        </w:tc>
      </w:tr>
      <w:tr w:rsidR="00DD2824" w:rsidRPr="00DD2824" w:rsidTr="00DD2824">
        <w:trPr>
          <w:trHeight w:val="240"/>
        </w:trPr>
        <w:tc>
          <w:tcPr>
            <w:tcW w:w="2127" w:type="dxa"/>
            <w:tcBorders>
              <w:top w:val="nil"/>
              <w:left w:val="nil"/>
              <w:bottom w:val="single" w:sz="12" w:space="0" w:color="auto"/>
              <w:right w:val="nil"/>
            </w:tcBorders>
            <w:hideMark/>
          </w:tcPr>
          <w:p w:rsidR="00DD2824" w:rsidRPr="00DD2824" w:rsidRDefault="00DD2824" w:rsidP="00DD2824">
            <w:pPr>
              <w:spacing w:before="40" w:after="40"/>
              <w:rPr>
                <w:rFonts w:eastAsia="Times New Roman"/>
                <w:spacing w:val="0"/>
                <w:w w:val="100"/>
                <w:kern w:val="0"/>
                <w:sz w:val="18"/>
                <w:szCs w:val="18"/>
              </w:rPr>
            </w:pPr>
            <w:r w:rsidRPr="00DD2824">
              <w:rPr>
                <w:rFonts w:eastAsia="Times New Roman"/>
                <w:spacing w:val="0"/>
                <w:w w:val="100"/>
                <w:kern w:val="0"/>
                <w:sz w:val="18"/>
                <w:szCs w:val="18"/>
              </w:rPr>
              <w:t>Техники/работники сме</w:t>
            </w:r>
            <w:r w:rsidRPr="00DD2824">
              <w:rPr>
                <w:rFonts w:eastAsia="Times New Roman"/>
                <w:spacing w:val="0"/>
                <w:w w:val="100"/>
                <w:kern w:val="0"/>
                <w:sz w:val="18"/>
                <w:szCs w:val="18"/>
              </w:rPr>
              <w:t>ж</w:t>
            </w:r>
            <w:r w:rsidRPr="00DD2824">
              <w:rPr>
                <w:rFonts w:eastAsia="Times New Roman"/>
                <w:spacing w:val="0"/>
                <w:w w:val="100"/>
                <w:kern w:val="0"/>
                <w:sz w:val="18"/>
                <w:szCs w:val="18"/>
              </w:rPr>
              <w:t>ных профессий,</w:t>
            </w:r>
            <w:r w:rsidRPr="00DD2824">
              <w:rPr>
                <w:rFonts w:eastAsia="Times New Roman"/>
                <w:spacing w:val="0"/>
                <w:w w:val="100"/>
                <w:kern w:val="0"/>
                <w:sz w:val="18"/>
                <w:szCs w:val="18"/>
              </w:rPr>
              <w:br/>
              <w:t>преподаватели</w:t>
            </w:r>
          </w:p>
        </w:tc>
        <w:tc>
          <w:tcPr>
            <w:tcW w:w="850"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11 000</w:t>
            </w:r>
          </w:p>
        </w:tc>
        <w:tc>
          <w:tcPr>
            <w:tcW w:w="851"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4 000</w:t>
            </w:r>
          </w:p>
        </w:tc>
        <w:tc>
          <w:tcPr>
            <w:tcW w:w="708"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15 000</w:t>
            </w:r>
          </w:p>
        </w:tc>
        <w:tc>
          <w:tcPr>
            <w:tcW w:w="993"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3 000</w:t>
            </w:r>
          </w:p>
        </w:tc>
        <w:tc>
          <w:tcPr>
            <w:tcW w:w="850"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2 000</w:t>
            </w:r>
          </w:p>
        </w:tc>
        <w:tc>
          <w:tcPr>
            <w:tcW w:w="731"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5 000</w:t>
            </w:r>
          </w:p>
        </w:tc>
        <w:tc>
          <w:tcPr>
            <w:tcW w:w="970"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14 000</w:t>
            </w:r>
          </w:p>
        </w:tc>
        <w:tc>
          <w:tcPr>
            <w:tcW w:w="851"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5 000</w:t>
            </w:r>
          </w:p>
        </w:tc>
        <w:tc>
          <w:tcPr>
            <w:tcW w:w="728" w:type="dxa"/>
            <w:tcBorders>
              <w:top w:val="nil"/>
              <w:left w:val="nil"/>
              <w:bottom w:val="single" w:sz="12" w:space="0" w:color="auto"/>
              <w:right w:val="nil"/>
            </w:tcBorders>
            <w:vAlign w:val="bottom"/>
            <w:hideMark/>
          </w:tcPr>
          <w:p w:rsidR="00DD2824" w:rsidRPr="00DD2824" w:rsidRDefault="00DD2824" w:rsidP="00DD2824">
            <w:pPr>
              <w:spacing w:before="40" w:after="40"/>
              <w:ind w:left="113"/>
              <w:jc w:val="right"/>
              <w:rPr>
                <w:rFonts w:eastAsia="Times New Roman"/>
                <w:spacing w:val="0"/>
                <w:w w:val="100"/>
                <w:kern w:val="0"/>
                <w:sz w:val="18"/>
                <w:szCs w:val="18"/>
              </w:rPr>
            </w:pPr>
            <w:r w:rsidRPr="00DD2824">
              <w:rPr>
                <w:rFonts w:eastAsia="Times New Roman"/>
                <w:spacing w:val="0"/>
                <w:w w:val="100"/>
                <w:kern w:val="0"/>
                <w:sz w:val="18"/>
                <w:szCs w:val="18"/>
              </w:rPr>
              <w:t>19 000</w:t>
            </w:r>
          </w:p>
        </w:tc>
      </w:tr>
    </w:tbl>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Политика и стратегии в сфере занятости</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Правительство Либерии и частный сектор стремятся обеспечить как мужчинам, так и женщинам равные возможности на рынке труда. Отчеты о занятости свидетельствуют о том, что некоторые частные, равно как и государственные структуры не предоставляют женщинам равных с мужчинами возможностей для получения работы на основе компетентности и профессионализма.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сельских районах Либерии ситуация с занятостью женщин иная. Патриархальные тенденции, присущие нашей культуре, продолжают способствовать низкой самооценке женщин и препятствуют их выходу на рынок труда, даже если их квалификация позволяет им занимать те или иные должности. Традиционные роли, определяемые полом, препятствуют участию женщин в соперничестве на выборах в местные органы власти и устройству на работу в сектор безопасности.</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Искоренение детского труда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2008 году правительство Либерии ввело в действие Закон о ликвидации наихудших форм детского труда, а в 2011 году приняло Закон о детях. Этот Закон предусматривает, что никто не имеет права нанимать ребенка на работу, не подходящую для его возраста, или на такую работу, которая может причинить вред здоровью, эмоциональному или физическому развитию ребенка, а также мешать получению ребенком образования. Это относится к выполняемой детьми работе, независимо от того, является ли она работой по договору или за плату и вознаграждение.</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5" w:name="_Toc388281196"/>
      <w:r w:rsidRPr="00DD2824">
        <w:rPr>
          <w:rFonts w:eastAsia="Times New Roman"/>
          <w:b/>
          <w:spacing w:val="0"/>
          <w:w w:val="100"/>
          <w:kern w:val="0"/>
          <w:sz w:val="24"/>
          <w:szCs w:val="24"/>
        </w:rPr>
        <w:t>Статья 12. Доступ к здравоохранению</w:t>
      </w:r>
      <w:bookmarkEnd w:id="15"/>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настоящее время правительство Либерии уделяет большее внимание поддержке оказания услуг в области здравоохранения, чем в 2009 году, когда оно в значительной степени зависело от финансируемых донорами вертикальных программ. Кроме того, ассигнования из государственного бюджета в сектор здравоохранения увеличились за последние три года с 39,8 млн. долл. в 2010/11 финансовом году до 54,9 млн. долл. в 2012/13 году (Ежегодный доклад МЗСО за 2012 год).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КОНСТИТУЦИОННЫЕ ГАРАНТИИ, НАЦИОНАЛЬНЫЕ СТРАТЕГИИ И ПРОГРАММЫ В ОБЛАСТИ ЗДРАВООХРАНЕНИЯ</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Доступ к здравоохранению является основным правом человека, закрепленным в Конституции Либерии. Здоровье – необходимая предпосылка развития личности и общества. Признавая важность охраны здоровья, Министерство здравоохранения и социального обеспечения (МЗСО) приложило усилия для обеспечения каждому либерийцу доступа к услугам в области здравоохранения и социального обеспечения, независимо от экономического положения, происхождения, вероисповедания, пола или географического места проживания. Для того чтобы обеспечить доступ к услугам здравоохранения, правительство Либерии разработало 10-летний План </w:t>
      </w:r>
      <w:r w:rsidRPr="00DD2824">
        <w:rPr>
          <w:rFonts w:eastAsia="Times New Roman"/>
          <w:spacing w:val="0"/>
          <w:w w:val="100"/>
          <w:kern w:val="0"/>
          <w:szCs w:val="20"/>
        </w:rPr>
        <w:br/>
        <w:t>в области национального здравоохранения и социального обеспечения (2011–2021 годы), предусматривающий оказание услуг в области здравоохранения на первичном, вторичном и третичном уровнях. Цель политики Либерии в области здравоохранения и социального обеспечения заключается в улучшении на равноправной основе состояния здоровья все большего числа граждан посредством расширения доступа к эффективному базовому медико-санитарному обслуживанию, подкрепленного надлежащими справочными службами и ресурсами как в краткосрочной, так и в долгосрочной перспективе.</w:t>
      </w:r>
    </w:p>
    <w:p w:rsidR="00DD2824" w:rsidRPr="00DD2824" w:rsidRDefault="00DD2824" w:rsidP="00DD2824">
      <w:pPr>
        <w:suppressAutoHyphens/>
        <w:spacing w:after="120"/>
        <w:ind w:left="1134" w:right="1134"/>
        <w:jc w:val="both"/>
        <w:rPr>
          <w:rFonts w:eastAsia="Times New Roman"/>
          <w:b/>
          <w:spacing w:val="0"/>
          <w:w w:val="100"/>
          <w:kern w:val="0"/>
          <w:szCs w:val="20"/>
        </w:rPr>
      </w:pPr>
      <w:r w:rsidRPr="00DD2824">
        <w:rPr>
          <w:rFonts w:eastAsia="Times New Roman"/>
          <w:spacing w:val="0"/>
          <w:w w:val="100"/>
          <w:kern w:val="0"/>
          <w:szCs w:val="20"/>
        </w:rPr>
        <w:t xml:space="preserve">В Либерии функционирует трехуровневая система оказания услуг в области здравоохранения – первичный, вторичный и третичный уровни, при этом первичный и вторичный уровни выполняют посредническую роль при необходимости перехода на следующий уровень. Правительство Либерии привержено делу обеспечения справедливости и качества на основе предоставления базового пакета медико-санитарных услуг (БПМСУ). Основные виды услуг в области профилактики и лечения предоставляются на каждом из уровней системы здравоохранения – от общинного уровня до специализированных лечебно-диагностических центров. В рамках БПМСУ основное внимание уделяется 11 приоритетным областям: охране здоровья матерей и новорожденных, услугам по охране здоровья матери и ребенка (включая детское питание), здравоохранению в общинах, здоровью подростков, борьбе с инфекционными заболеваниями (включая ВИЧ и СПИД), охране психического здоровья, школьной гигиене, медико-санитарному обслуживанию в тюрьмах, проблеме сексуального и гендерного насилия, неотложной помощи и неинфекционным заболеваниям.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 xml:space="preserve">НЕКОТОРЫЕ ОБЩИЕ ПОКАЗАТЕЛИ В ОБЛАСТИ ЗДРАВООХРАНЕНИЯ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Ожидаемая продолжительность жизни составляет в среднем 46 лет – 38 лет для мужчин и 41 год для женщин (МДО, 2007 год). Некоторые ключевые показатели в области здравоохранения с 2009 года улучшились. Это относится к использованию медицинских учреждений в Либерии, которое измеряется числом обращений за первичной медико-санитарной помощью (ПМСП) и лечебными консультациями. В 2012 году 82 процента из 656 функционирующих медицинских учреждений в стране сообщили о 4 981 322 посещениях по сравнению с 76 процентами из 422 функционирующих медицинских учреждений, сообщивших о 3 879 958 посещениях в 2010 году. Данные о количестве посещений предоставляются без разбивки по полу.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Материнская смертность</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Либерии высок показатель материнской смертности</w:t>
      </w:r>
      <w:r w:rsidRPr="00DD2824">
        <w:rPr>
          <w:rFonts w:eastAsia="Times New Roman"/>
          <w:b/>
          <w:spacing w:val="0"/>
          <w:w w:val="100"/>
          <w:kern w:val="0"/>
          <w:szCs w:val="20"/>
        </w:rPr>
        <w:t xml:space="preserve">, </w:t>
      </w:r>
      <w:r w:rsidRPr="00DD2824">
        <w:rPr>
          <w:rFonts w:eastAsia="Times New Roman"/>
          <w:spacing w:val="0"/>
          <w:w w:val="100"/>
          <w:kern w:val="0"/>
          <w:szCs w:val="20"/>
        </w:rPr>
        <w:t>что объясняется случаями послеродового кровотечения, родами при наличии механических препятствий при прохождении плода или затяжными родами, осложнениями из-за проведения небезопасных абортов, эклампсией, малярией и анемией (Ежегодный доклад МЗСО, 2010 и 2012 годы). Однако предварительные данные свидетельствуют об устойчивом снижении этого показателя благодаря повышению качества оказания медицинских услуг со времени составления последнего доклада. Уровень материнской смертности в Либерии демонстрирует тенденцию к снижению – с 994 случаев на 100 000 живорождений в 2010 году до 770 случаев на 100 000 живорождений в 2012 году. В Либерии увеличился доступ к квалифицированному обеспечению охраны материнского здоровья. Доля проходящих в медицинских учреждениях родоразрешений, которые принимают квалифицированные акушерки, возросла на 15,3 процента (64,7 процента в 2010 году и 80 процентов в 2012 году). Согласно данным Медико-демографического обследования в Либерии 2007 года, восемь из десяти матерей (79 процентов) получали дородовую медицинскую помощь специалистов-медиков (врача, медсестры, акушерки или фельдшера). В 2012 году квалифицированный медперсонал обслужил 87 процентов женщин, впервые посетивших клиники дородовых услуг. Отчет о доступе к услугам в области охраны материнского здоровья в 2012 году показал, что 87 процентов беременных женщин посетили клинику дородовых услуг впервые. Процентная доля совершивших четвертое посещение клиники дородовых услуг составила 58 процентов по сравнению с 40,9 процента в 2010 году.</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При медицинском уходе в послеродовой период в настоящее время в центре внимания находится мать, тогда как в прошлом больше внимания уделялось новорожденному. Независимо от того, где происходили роды, ожидается, что мать должна посетить клинику послеродовой медицинской помощи для обследования квалифицированными медицинскими работниками в течение 42 дней, чтобы избежать послеродовых осложнений. Однако Министерство здравоохранения и социального обеспечения сообщает о некотором уменьшении числа таких посещений. В 2010 году сообщалось о 64 962 посещениях клиник послеродовой медицинской помощи, тогда как в 2012 году их было 64 597 (Доклады МЗСО за 2010 и 2012 годы).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сельских районах Либерии квалифицированные традиционные акушерки убеждают беременных женщин рожать в медицинских центрах. В этом их поддерживают группы медработников-добровольцев, созданные в сельских общинах для помощи в проведении информационно-просветительских программ по предупреждению проведения родов в домашних условиях. Эти добровольцы также обучены распознавать ранние симптомы малярии и других заболеваний для направления заболевших в медицинские центры.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ОХРАНА ЗДОРОВЬЯ ПОДРОСТКОВ</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средних школах Либерии такие темы, как планирование семьи, беременность в подростковом возрасте, злоупотребление наркотическими средствами и психотропными веществами, включены в учебные планы наряду с четырьмя профилирующими предметами – естествознанием, математикой, обществознанием и биологией. Услуги по вопросам планирования семьи предоставляются учащимся, получившим направление в ближайшие клиники, расположенные в той же общине, что и школа.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ПЛАНИРОВАНИЕ СЕМЬИ</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Несколько лет назад Либерия сообщала о низком показателе использования противозачаточных средств (11 процентов) и значительном уровне неудовлетворенной потребности в услугах по планированию семьи (36 процентов) (МДО, 2007 год). В 2012 году услуги по планированию семьи были предоставлены 96 755 новым пользователям (женщинам репродуктивного возраста от 15 до 49 лет). Для сравнения: в 2010 году этот показатель составлял 65 812 человек, исключая тех, кто предпочитал применение презервативов.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РАСПРОСТРАНЕННОСТЬ ЗППП, ВИЧ И СПИДа СРЕДИ ЖЕНЩИН</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Хотя общий показатель распространенности ВИЧ среди женщин выше (1,8 процента), чем среди мужчин (1,2 процента), результаты дородового контрольного обследования показали снижение распространенности ВИЧ среди беременных женщин с 4 процентов в 2010 году до 2,6 процента. Всем беременным женщинам, впервые посещающим консультацию дородовой медицинской помощи, обычно предлагают пройти тест на сифилис и гепатит В.</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Услуги, связанные с ВИЧ-инфицированием, были значительно децентрализованы, чтобы обеспечить доступ гражданам к профилактике, уходу и лечению. Для снижения случаев передачи инфекции от матери ребенку и сохранения здоровья беременных женщин услуги по предотвращению передачи ВИЧ-инфекции от матери ребенку (ППМР) были внедрены в 336 медицинских учреждениях, предоставляющих дородовую медицинскую помощь; для сравнения: в 2009 году таких учреждений было 18. Кроме того, по всей стране в 46 медицинских учреждениях были созданы центры антиретровирусной терапии (АРВТ). С начала оказания бесплатных услуг в области АРВТ общее число женщин (в возрасте от 15 лет и старше), находящихся на лечении и проходящих АРВТ (за исключением беременных) и записавшихся на лечение, составляет 55,3 процента (5090/8875), при этом число беременных женщин в этой категории составляет 434 (доклад </w:t>
      </w:r>
      <w:r w:rsidRPr="00DD2824">
        <w:rPr>
          <w:rFonts w:eastAsia="Times New Roman"/>
          <w:spacing w:val="0"/>
          <w:w w:val="100"/>
          <w:kern w:val="0"/>
          <w:szCs w:val="20"/>
          <w:lang w:val="en-US"/>
        </w:rPr>
        <w:t>NACP</w:t>
      </w:r>
      <w:r w:rsidRPr="00DD2824">
        <w:rPr>
          <w:rFonts w:eastAsia="Times New Roman"/>
          <w:spacing w:val="0"/>
          <w:w w:val="100"/>
          <w:kern w:val="0"/>
          <w:szCs w:val="20"/>
        </w:rPr>
        <w:t>, декабрь 2012 года). 37 процентов из этих женщин (482/1521) проходили антиретровирусную профилактику для снижения риска передачи ВИЧ от матери ребенку; для сравнения: в 2010 году их было 32 процента.</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ПИТАНИЕ В ПЕРИОД БЕРЕМЕННОСТИ И ГРУДНОГО ВСКАРМЛИВАНИЯ</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2010 году МЗСО создало Группу по вопросам питания с целью разработки комплексного набора питания для кормящих матерей. В настоящее время Группа занимается вопросами питания и женщин, и детей. Кроме того, МЗСО содействовало повышению квалификации 214 медико-санитарных работников и 483 общинных добровольцев в шести подразделениях, организовав консультации относительно так называемых "7 основных действий, касающихся питания".</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ПРОСВЕЩЕНИЕ В СФЕРЕ ЗДРАВООХРАНЕНИЯ</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МЗСО и его партнеры с помощью Отдела национального здравоохранения разработали принципы государственной санитарно-гигиенической пропаганды и стратегию санитарно-просветительской работы. Одним из основных объектов такой пропаганды являются женщины репродуктивного возраста (от 14 до 49 лет), для которых подготовлена специальная информация, касающаяся женского здоровья и направленная на уменьшение ложных представлений и наносящей вред здоровью женщин традиционной практики.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КВАЛИФИЦИРОВАННЫЙ МЕДИЦИНСКИЙ ПЕРСОНАЛ, ЗАНИМАЮЩИЙСЯ ВОПРОСАМИ ЖЕНСКОГО ЗДОРОВЬЯ</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Примерно 470 студентов обучаются в настоящее время медицине в Либерии и за границей. Но для повышения потенциала в этой области их должно быть гораздо больше. В настоящее время население, насчитывающее 3 489 072 человека, обслуживают 82 врача, 308 фельдшеров, 1455 медсестер и 645 акушерок. Были подготовлены медико-санитарные работники по следующим специальностям: 96 медико-санитарных работников были обучены основным навыкам оказания неотложной помощи; 115 соответствующих специалистов повысили квалификацию в области планирования семьи; было подготовлено 120 медико-санитарных работников для работы в неонатальной реанимации; 50 человек повысили квалификацию в области оказания помощи матерям и новорожденным на дому. Кроме того, 54 медико-санитарных работника были обучены предупреждению возникновения акушерской фистулы; 198 человек прошли обучение в центрах ППМР в шести графствах: подготовлено 32 медработника в качестве инструкторов по ППМР; 120 человек в двух графствах и 10 социальных работников в пяти графствах были обучены выявлению случаев фистулы, наблюдению за пациентами и своевременному направлению на лечение; 54 врача из пяти графств прошли подготовку по предупреждению возникновения фистулы с использованием катетера Фолея и по другим вопросам.</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ОБЕСПЕЧЕНИЕ ИНФРАСТРУКТУРЫ ЗДРАВООХРАНЕНИЯ</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Инфраструктура здравоохранения является одним из основных компонентов Национального плана в области здравоохранения и социального обеспечения. В масштабе страны за 2009–2010 годы инфраструктура здравоохранения увеличилась на 20,7 процента, что привело к снижению числа обслуживаемых в одном медицинском учреждении в среднем с 8 тыс. в 2006 году до 5,5 тыс. в 2010 году. Эти цифры неуклонно росли на всей территории Либерии. </w:t>
      </w:r>
    </w:p>
    <w:p w:rsidR="00DD2824" w:rsidRPr="00DD2824" w:rsidRDefault="00DD2824" w:rsidP="00DD2824">
      <w:pPr>
        <w:suppressAutoHyphens/>
        <w:spacing w:after="120"/>
        <w:ind w:left="1134" w:right="1134"/>
        <w:rPr>
          <w:rFonts w:eastAsia="Times New Roman"/>
          <w:b/>
          <w:spacing w:val="0"/>
          <w:w w:val="100"/>
          <w:kern w:val="0"/>
          <w:szCs w:val="20"/>
        </w:rPr>
      </w:pPr>
      <w:r w:rsidRPr="00DD2824">
        <w:rPr>
          <w:rFonts w:eastAsia="Times New Roman"/>
          <w:b/>
          <w:spacing w:val="0"/>
          <w:w w:val="100"/>
          <w:kern w:val="0"/>
          <w:szCs w:val="20"/>
        </w:rPr>
        <w:t>Таблица 1.5</w:t>
      </w:r>
      <w:r w:rsidRPr="00DD2824">
        <w:rPr>
          <w:rFonts w:eastAsia="Times New Roman"/>
          <w:spacing w:val="0"/>
          <w:w w:val="100"/>
          <w:kern w:val="0"/>
          <w:szCs w:val="20"/>
        </w:rPr>
        <w:t xml:space="preserve"> </w:t>
      </w:r>
      <w:r w:rsidRPr="00DD2824">
        <w:rPr>
          <w:rFonts w:eastAsia="Times New Roman"/>
          <w:b/>
          <w:spacing w:val="0"/>
          <w:w w:val="100"/>
          <w:kern w:val="0"/>
          <w:szCs w:val="20"/>
        </w:rPr>
        <w:t xml:space="preserve">Распределение медицинских учреждений по графствам </w:t>
      </w:r>
      <w:r w:rsidRPr="00DD2824">
        <w:rPr>
          <w:rFonts w:eastAsia="Times New Roman"/>
          <w:b/>
          <w:spacing w:val="0"/>
          <w:w w:val="100"/>
          <w:kern w:val="0"/>
          <w:szCs w:val="20"/>
        </w:rPr>
        <w:br/>
        <w:t>и виду собственности</w:t>
      </w:r>
    </w:p>
    <w:tbl>
      <w:tblPr>
        <w:tblW w:w="7371" w:type="dxa"/>
        <w:tblInd w:w="1134" w:type="dxa"/>
        <w:tblBorders>
          <w:top w:val="single" w:sz="4" w:space="0" w:color="auto"/>
        </w:tblBorders>
        <w:tblCellMar>
          <w:left w:w="0" w:type="dxa"/>
          <w:right w:w="0" w:type="dxa"/>
        </w:tblCellMar>
        <w:tblLook w:val="04A0"/>
      </w:tblPr>
      <w:tblGrid>
        <w:gridCol w:w="1843"/>
        <w:gridCol w:w="1304"/>
        <w:gridCol w:w="1531"/>
        <w:gridCol w:w="1843"/>
        <w:gridCol w:w="850"/>
      </w:tblGrid>
      <w:tr w:rsidR="00DD2824" w:rsidRPr="00DD2824" w:rsidTr="00DD2824">
        <w:trPr>
          <w:trHeight w:val="240"/>
          <w:tblHeader/>
        </w:trPr>
        <w:tc>
          <w:tcPr>
            <w:tcW w:w="1843"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rPr>
                <w:rFonts w:eastAsia="Times New Roman"/>
                <w:i/>
                <w:spacing w:val="0"/>
                <w:w w:val="100"/>
                <w:kern w:val="0"/>
                <w:sz w:val="16"/>
                <w:szCs w:val="16"/>
                <w:lang w:val="en-US"/>
              </w:rPr>
            </w:pPr>
            <w:r w:rsidRPr="00DD2824">
              <w:rPr>
                <w:rFonts w:eastAsia="Times New Roman"/>
                <w:i/>
                <w:spacing w:val="0"/>
                <w:w w:val="100"/>
                <w:kern w:val="0"/>
                <w:sz w:val="16"/>
                <w:szCs w:val="16"/>
              </w:rPr>
              <w:t>Графство</w:t>
            </w:r>
            <w:r w:rsidRPr="00DD2824">
              <w:rPr>
                <w:rFonts w:eastAsia="Times New Roman"/>
                <w:i/>
                <w:spacing w:val="0"/>
                <w:w w:val="100"/>
                <w:kern w:val="0"/>
                <w:sz w:val="16"/>
                <w:szCs w:val="16"/>
                <w:lang w:val="en-US"/>
              </w:rPr>
              <w:t xml:space="preserve"> </w:t>
            </w:r>
          </w:p>
        </w:tc>
        <w:tc>
          <w:tcPr>
            <w:tcW w:w="1304"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lang w:val="en-US"/>
              </w:rPr>
            </w:pPr>
            <w:r w:rsidRPr="00DD2824">
              <w:rPr>
                <w:rFonts w:eastAsia="Times New Roman"/>
                <w:i/>
                <w:spacing w:val="0"/>
                <w:w w:val="100"/>
                <w:kern w:val="0"/>
                <w:sz w:val="16"/>
                <w:szCs w:val="16"/>
              </w:rPr>
              <w:t>Государственное</w:t>
            </w:r>
          </w:p>
        </w:tc>
        <w:tc>
          <w:tcPr>
            <w:tcW w:w="1531"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lang w:val="en-US"/>
              </w:rPr>
            </w:pPr>
            <w:r w:rsidRPr="00DD2824">
              <w:rPr>
                <w:rFonts w:eastAsia="Times New Roman"/>
                <w:i/>
                <w:spacing w:val="0"/>
                <w:w w:val="100"/>
                <w:kern w:val="0"/>
                <w:sz w:val="16"/>
                <w:szCs w:val="16"/>
              </w:rPr>
              <w:t>Некоммерческое</w:t>
            </w:r>
          </w:p>
        </w:tc>
        <w:tc>
          <w:tcPr>
            <w:tcW w:w="1843"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lang w:val="en-US"/>
              </w:rPr>
            </w:pPr>
            <w:r w:rsidRPr="00DD2824">
              <w:rPr>
                <w:rFonts w:eastAsia="Times New Roman"/>
                <w:i/>
                <w:spacing w:val="0"/>
                <w:w w:val="100"/>
                <w:kern w:val="0"/>
                <w:sz w:val="16"/>
                <w:szCs w:val="16"/>
              </w:rPr>
              <w:t>Частное коммерческое</w:t>
            </w:r>
          </w:p>
        </w:tc>
        <w:tc>
          <w:tcPr>
            <w:tcW w:w="850"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r>
      <w:tr w:rsidR="00DD2824" w:rsidRPr="00DD2824" w:rsidTr="00DD2824">
        <w:trPr>
          <w:trHeight w:val="240"/>
        </w:trPr>
        <w:tc>
          <w:tcPr>
            <w:tcW w:w="1843" w:type="dxa"/>
            <w:tcBorders>
              <w:top w:val="single" w:sz="12" w:space="0" w:color="auto"/>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Боми</w:t>
            </w:r>
          </w:p>
        </w:tc>
        <w:tc>
          <w:tcPr>
            <w:tcW w:w="1304" w:type="dxa"/>
            <w:tcBorders>
              <w:top w:val="single" w:sz="12" w:space="0" w:color="auto"/>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w:t>
            </w:r>
          </w:p>
        </w:tc>
        <w:tc>
          <w:tcPr>
            <w:tcW w:w="1531" w:type="dxa"/>
            <w:tcBorders>
              <w:top w:val="single" w:sz="12" w:space="0" w:color="auto"/>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w:t>
            </w:r>
          </w:p>
        </w:tc>
        <w:tc>
          <w:tcPr>
            <w:tcW w:w="1843" w:type="dxa"/>
            <w:tcBorders>
              <w:top w:val="single" w:sz="12" w:space="0" w:color="auto"/>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w:t>
            </w:r>
          </w:p>
        </w:tc>
        <w:tc>
          <w:tcPr>
            <w:tcW w:w="850" w:type="dxa"/>
            <w:tcBorders>
              <w:top w:val="single" w:sz="12" w:space="0" w:color="auto"/>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24</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Бонг</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32</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w:t>
            </w:r>
          </w:p>
        </w:tc>
        <w:tc>
          <w:tcPr>
            <w:tcW w:w="1843"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w:t>
            </w: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38</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Гбарполу</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w:t>
            </w:r>
          </w:p>
        </w:tc>
        <w:tc>
          <w:tcPr>
            <w:tcW w:w="1531" w:type="dxa"/>
            <w:tcBorders>
              <w:top w:val="nil"/>
              <w:left w:val="nil"/>
              <w:bottom w:val="nil"/>
              <w:right w:val="nil"/>
            </w:tcBorders>
            <w:vAlign w:val="bottom"/>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p>
        </w:tc>
        <w:tc>
          <w:tcPr>
            <w:tcW w:w="1843" w:type="dxa"/>
            <w:tcBorders>
              <w:top w:val="nil"/>
              <w:left w:val="nil"/>
              <w:bottom w:val="nil"/>
              <w:right w:val="nil"/>
            </w:tcBorders>
            <w:vAlign w:val="bottom"/>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Гранд-Баса</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21</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w:t>
            </w:r>
          </w:p>
        </w:tc>
        <w:tc>
          <w:tcPr>
            <w:tcW w:w="1843"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w:t>
            </w: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30</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Гранд-Кейп-Маунт</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32</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0</w:t>
            </w:r>
          </w:p>
        </w:tc>
        <w:tc>
          <w:tcPr>
            <w:tcW w:w="1843"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0</w:t>
            </w: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32</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Гранд-Геде</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17</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w:t>
            </w:r>
          </w:p>
        </w:tc>
        <w:tc>
          <w:tcPr>
            <w:tcW w:w="1843" w:type="dxa"/>
            <w:tcBorders>
              <w:top w:val="nil"/>
              <w:left w:val="nil"/>
              <w:bottom w:val="nil"/>
              <w:right w:val="nil"/>
            </w:tcBorders>
            <w:vAlign w:val="bottom"/>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18</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Гранд-Кру</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17</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0</w:t>
            </w:r>
          </w:p>
        </w:tc>
        <w:tc>
          <w:tcPr>
            <w:tcW w:w="1843"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0</w:t>
            </w: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17</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Лофа</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53</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w:t>
            </w:r>
          </w:p>
        </w:tc>
        <w:tc>
          <w:tcPr>
            <w:tcW w:w="1843" w:type="dxa"/>
            <w:tcBorders>
              <w:top w:val="nil"/>
              <w:left w:val="nil"/>
              <w:bottom w:val="nil"/>
              <w:right w:val="nil"/>
            </w:tcBorders>
            <w:vAlign w:val="bottom"/>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56</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Маргиби</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18</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w:t>
            </w:r>
          </w:p>
        </w:tc>
        <w:tc>
          <w:tcPr>
            <w:tcW w:w="1843"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14</w:t>
            </w: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34</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Мэриленд</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20</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w:t>
            </w:r>
          </w:p>
        </w:tc>
        <w:tc>
          <w:tcPr>
            <w:tcW w:w="1843" w:type="dxa"/>
            <w:tcBorders>
              <w:top w:val="nil"/>
              <w:left w:val="nil"/>
              <w:bottom w:val="nil"/>
              <w:right w:val="nil"/>
            </w:tcBorders>
            <w:vAlign w:val="bottom"/>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24</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Монтсеррадо</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47</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34</w:t>
            </w:r>
          </w:p>
        </w:tc>
        <w:tc>
          <w:tcPr>
            <w:tcW w:w="1843"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75</w:t>
            </w: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156</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Нимба</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42</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12</w:t>
            </w:r>
          </w:p>
        </w:tc>
        <w:tc>
          <w:tcPr>
            <w:tcW w:w="1843"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w:t>
            </w: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58</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Ривер-Сесс</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16</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w:t>
            </w:r>
          </w:p>
        </w:tc>
        <w:tc>
          <w:tcPr>
            <w:tcW w:w="1843" w:type="dxa"/>
            <w:tcBorders>
              <w:top w:val="nil"/>
              <w:left w:val="nil"/>
              <w:bottom w:val="nil"/>
              <w:right w:val="nil"/>
            </w:tcBorders>
            <w:vAlign w:val="bottom"/>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17</w:t>
            </w:r>
          </w:p>
        </w:tc>
      </w:tr>
      <w:tr w:rsidR="00DD2824" w:rsidRPr="00DD2824" w:rsidTr="00DD2824">
        <w:trPr>
          <w:trHeight w:val="240"/>
        </w:trPr>
        <w:tc>
          <w:tcPr>
            <w:tcW w:w="1843"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US"/>
              </w:rPr>
            </w:pPr>
            <w:r w:rsidRPr="00DD2824">
              <w:rPr>
                <w:rFonts w:eastAsia="Times New Roman"/>
                <w:spacing w:val="0"/>
                <w:w w:val="100"/>
                <w:kern w:val="0"/>
                <w:sz w:val="18"/>
                <w:szCs w:val="18"/>
              </w:rPr>
              <w:t>Синоэ</w:t>
            </w:r>
          </w:p>
        </w:tc>
        <w:tc>
          <w:tcPr>
            <w:tcW w:w="130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31</w:t>
            </w:r>
          </w:p>
        </w:tc>
        <w:tc>
          <w:tcPr>
            <w:tcW w:w="1531"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w:t>
            </w:r>
          </w:p>
        </w:tc>
        <w:tc>
          <w:tcPr>
            <w:tcW w:w="1843" w:type="dxa"/>
            <w:tcBorders>
              <w:top w:val="nil"/>
              <w:left w:val="nil"/>
              <w:bottom w:val="nil"/>
              <w:right w:val="nil"/>
            </w:tcBorders>
            <w:vAlign w:val="bottom"/>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p>
        </w:tc>
        <w:tc>
          <w:tcPr>
            <w:tcW w:w="850"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32</w:t>
            </w:r>
          </w:p>
        </w:tc>
      </w:tr>
      <w:tr w:rsidR="00DD2824" w:rsidRPr="00DD2824" w:rsidTr="00DD2824">
        <w:trPr>
          <w:trHeight w:val="240"/>
        </w:trPr>
        <w:tc>
          <w:tcPr>
            <w:tcW w:w="1843" w:type="dxa"/>
            <w:tcBorders>
              <w:top w:val="nil"/>
              <w:left w:val="nil"/>
              <w:bottom w:val="single" w:sz="12" w:space="0" w:color="auto"/>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US"/>
              </w:rPr>
            </w:pPr>
            <w:r w:rsidRPr="00DD2824">
              <w:rPr>
                <w:rFonts w:eastAsia="Times New Roman"/>
                <w:spacing w:val="0"/>
                <w:w w:val="100"/>
                <w:kern w:val="0"/>
                <w:sz w:val="18"/>
                <w:szCs w:val="18"/>
              </w:rPr>
              <w:t>Всего</w:t>
            </w:r>
          </w:p>
        </w:tc>
        <w:tc>
          <w:tcPr>
            <w:tcW w:w="1304" w:type="dxa"/>
            <w:tcBorders>
              <w:top w:val="nil"/>
              <w:left w:val="nil"/>
              <w:bottom w:val="single" w:sz="12" w:space="0" w:color="auto"/>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396</w:t>
            </w:r>
          </w:p>
        </w:tc>
        <w:tc>
          <w:tcPr>
            <w:tcW w:w="1531" w:type="dxa"/>
            <w:tcBorders>
              <w:top w:val="nil"/>
              <w:left w:val="nil"/>
              <w:bottom w:val="single" w:sz="12" w:space="0" w:color="auto"/>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73</w:t>
            </w:r>
          </w:p>
        </w:tc>
        <w:tc>
          <w:tcPr>
            <w:tcW w:w="1843" w:type="dxa"/>
            <w:tcBorders>
              <w:top w:val="nil"/>
              <w:left w:val="nil"/>
              <w:bottom w:val="single" w:sz="12" w:space="0" w:color="auto"/>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98</w:t>
            </w:r>
          </w:p>
        </w:tc>
        <w:tc>
          <w:tcPr>
            <w:tcW w:w="850" w:type="dxa"/>
            <w:tcBorders>
              <w:top w:val="nil"/>
              <w:left w:val="nil"/>
              <w:bottom w:val="single" w:sz="12" w:space="0" w:color="auto"/>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567</w:t>
            </w:r>
          </w:p>
        </w:tc>
      </w:tr>
    </w:tbl>
    <w:p w:rsidR="00DD2824" w:rsidRPr="00DD2824" w:rsidRDefault="00DD2824" w:rsidP="00DD2824">
      <w:pPr>
        <w:suppressAutoHyphens/>
        <w:spacing w:after="120"/>
        <w:ind w:left="1134" w:right="1134"/>
        <w:jc w:val="both"/>
        <w:rPr>
          <w:rFonts w:eastAsia="Times New Roman"/>
          <w:i/>
          <w:spacing w:val="0"/>
          <w:w w:val="100"/>
          <w:kern w:val="0"/>
          <w:sz w:val="18"/>
          <w:szCs w:val="18"/>
          <w:lang w:val="en-GB"/>
        </w:rPr>
      </w:pPr>
      <w:r w:rsidRPr="00DD2824">
        <w:rPr>
          <w:rFonts w:eastAsia="Times New Roman"/>
          <w:i/>
          <w:spacing w:val="0"/>
          <w:w w:val="100"/>
          <w:kern w:val="0"/>
          <w:sz w:val="18"/>
          <w:szCs w:val="18"/>
        </w:rPr>
        <w:t>Источник</w:t>
      </w:r>
      <w:r w:rsidRPr="00DD2824">
        <w:rPr>
          <w:rFonts w:eastAsia="Times New Roman"/>
          <w:i/>
          <w:spacing w:val="0"/>
          <w:w w:val="100"/>
          <w:kern w:val="0"/>
          <w:sz w:val="18"/>
          <w:szCs w:val="18"/>
          <w:lang w:val="en-US"/>
        </w:rPr>
        <w:t>:</w:t>
      </w:r>
      <w:r w:rsidRPr="00DD2824">
        <w:rPr>
          <w:rFonts w:eastAsia="Times New Roman"/>
          <w:spacing w:val="0"/>
          <w:w w:val="100"/>
          <w:kern w:val="0"/>
          <w:sz w:val="18"/>
          <w:szCs w:val="18"/>
          <w:lang w:val="en-US"/>
        </w:rPr>
        <w:t xml:space="preserve"> Country Situational Analysis Report, 2011.</w:t>
      </w:r>
    </w:p>
    <w:p w:rsidR="00DD2824" w:rsidRPr="00DD2824" w:rsidRDefault="00DD2824" w:rsidP="00DD2824">
      <w:pPr>
        <w:suppressAutoHyphens/>
        <w:spacing w:after="120"/>
        <w:ind w:left="1134" w:right="1134"/>
        <w:jc w:val="both"/>
        <w:rPr>
          <w:rFonts w:eastAsia="Times New Roman"/>
          <w:b/>
          <w:spacing w:val="0"/>
          <w:w w:val="100"/>
          <w:kern w:val="0"/>
          <w:szCs w:val="20"/>
        </w:rPr>
      </w:pPr>
      <w:r w:rsidRPr="00DD2824">
        <w:rPr>
          <w:rFonts w:eastAsia="Times New Roman"/>
          <w:b/>
          <w:spacing w:val="0"/>
          <w:w w:val="100"/>
          <w:kern w:val="0"/>
          <w:szCs w:val="20"/>
        </w:rPr>
        <w:t>Таблица 1.6 Сводные данные о медицинских учреждениях в разбивке по виду собственности</w:t>
      </w:r>
    </w:p>
    <w:tbl>
      <w:tblPr>
        <w:tblW w:w="7371" w:type="dxa"/>
        <w:tblInd w:w="1134" w:type="dxa"/>
        <w:tblBorders>
          <w:top w:val="single" w:sz="4" w:space="0" w:color="auto"/>
        </w:tblBorders>
        <w:tblCellMar>
          <w:left w:w="0" w:type="dxa"/>
          <w:right w:w="0" w:type="dxa"/>
        </w:tblCellMar>
        <w:tblLook w:val="04A0"/>
      </w:tblPr>
      <w:tblGrid>
        <w:gridCol w:w="3119"/>
        <w:gridCol w:w="1134"/>
        <w:gridCol w:w="1276"/>
        <w:gridCol w:w="1134"/>
        <w:gridCol w:w="708"/>
      </w:tblGrid>
      <w:tr w:rsidR="00DD2824" w:rsidRPr="00DD2824" w:rsidTr="00DD2824">
        <w:trPr>
          <w:trHeight w:val="240"/>
          <w:tblHeader/>
        </w:trPr>
        <w:tc>
          <w:tcPr>
            <w:tcW w:w="3119"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rPr>
                <w:rFonts w:eastAsia="Times New Roman"/>
                <w:i/>
                <w:spacing w:val="0"/>
                <w:w w:val="100"/>
                <w:kern w:val="0"/>
                <w:sz w:val="16"/>
                <w:szCs w:val="16"/>
              </w:rPr>
            </w:pPr>
            <w:r w:rsidRPr="00DD2824">
              <w:rPr>
                <w:rFonts w:eastAsia="Times New Roman"/>
                <w:i/>
                <w:spacing w:val="0"/>
                <w:w w:val="100"/>
                <w:kern w:val="0"/>
                <w:sz w:val="16"/>
                <w:szCs w:val="16"/>
              </w:rPr>
              <w:t>Собственник</w:t>
            </w:r>
          </w:p>
        </w:tc>
        <w:tc>
          <w:tcPr>
            <w:tcW w:w="1134"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Клиника</w:t>
            </w:r>
          </w:p>
        </w:tc>
        <w:tc>
          <w:tcPr>
            <w:tcW w:w="1276"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lang w:val="en-US"/>
              </w:rPr>
            </w:pPr>
            <w:r w:rsidRPr="00DD2824">
              <w:rPr>
                <w:rFonts w:eastAsia="Times New Roman"/>
                <w:i/>
                <w:spacing w:val="0"/>
                <w:w w:val="100"/>
                <w:kern w:val="0"/>
                <w:sz w:val="16"/>
                <w:szCs w:val="16"/>
              </w:rPr>
              <w:t>Медицинский центр</w:t>
            </w:r>
          </w:p>
        </w:tc>
        <w:tc>
          <w:tcPr>
            <w:tcW w:w="1134"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lang w:val="en-US"/>
              </w:rPr>
            </w:pPr>
            <w:r w:rsidRPr="00DD2824">
              <w:rPr>
                <w:rFonts w:eastAsia="Times New Roman"/>
                <w:i/>
                <w:spacing w:val="0"/>
                <w:w w:val="100"/>
                <w:kern w:val="0"/>
                <w:sz w:val="16"/>
                <w:szCs w:val="16"/>
              </w:rPr>
              <w:t>Больница</w:t>
            </w:r>
          </w:p>
        </w:tc>
        <w:tc>
          <w:tcPr>
            <w:tcW w:w="708" w:type="dxa"/>
            <w:tcBorders>
              <w:top w:val="single" w:sz="4" w:space="0" w:color="auto"/>
              <w:left w:val="nil"/>
              <w:bottom w:val="single" w:sz="12" w:space="0" w:color="auto"/>
              <w:right w:val="nil"/>
            </w:tcBorders>
            <w:vAlign w:val="bottom"/>
            <w:hideMark/>
          </w:tcPr>
          <w:p w:rsidR="00DD2824" w:rsidRPr="00DD2824" w:rsidRDefault="00DD2824" w:rsidP="00DD2824">
            <w:pPr>
              <w:spacing w:before="80" w:after="80" w:line="240" w:lineRule="auto"/>
              <w:ind w:left="113"/>
              <w:jc w:val="right"/>
              <w:rPr>
                <w:rFonts w:eastAsia="Times New Roman"/>
                <w:i/>
                <w:spacing w:val="0"/>
                <w:w w:val="100"/>
                <w:kern w:val="0"/>
                <w:sz w:val="16"/>
                <w:szCs w:val="16"/>
              </w:rPr>
            </w:pPr>
            <w:r w:rsidRPr="00DD2824">
              <w:rPr>
                <w:rFonts w:eastAsia="Times New Roman"/>
                <w:i/>
                <w:spacing w:val="0"/>
                <w:w w:val="100"/>
                <w:kern w:val="0"/>
                <w:sz w:val="16"/>
                <w:szCs w:val="16"/>
              </w:rPr>
              <w:t>Всего</w:t>
            </w:r>
          </w:p>
        </w:tc>
      </w:tr>
      <w:tr w:rsidR="00DD2824" w:rsidRPr="00DD2824" w:rsidTr="00DD2824">
        <w:trPr>
          <w:trHeight w:val="240"/>
        </w:trPr>
        <w:tc>
          <w:tcPr>
            <w:tcW w:w="3119" w:type="dxa"/>
            <w:tcBorders>
              <w:top w:val="single" w:sz="12" w:space="0" w:color="auto"/>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Государство</w:t>
            </w:r>
          </w:p>
        </w:tc>
        <w:tc>
          <w:tcPr>
            <w:tcW w:w="1134" w:type="dxa"/>
            <w:tcBorders>
              <w:top w:val="single" w:sz="12" w:space="0" w:color="auto"/>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333</w:t>
            </w:r>
          </w:p>
        </w:tc>
        <w:tc>
          <w:tcPr>
            <w:tcW w:w="1276" w:type="dxa"/>
            <w:tcBorders>
              <w:top w:val="single" w:sz="12" w:space="0" w:color="auto"/>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40</w:t>
            </w:r>
          </w:p>
        </w:tc>
        <w:tc>
          <w:tcPr>
            <w:tcW w:w="1134" w:type="dxa"/>
            <w:tcBorders>
              <w:top w:val="single" w:sz="12" w:space="0" w:color="auto"/>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23</w:t>
            </w:r>
          </w:p>
        </w:tc>
        <w:tc>
          <w:tcPr>
            <w:tcW w:w="708" w:type="dxa"/>
            <w:tcBorders>
              <w:top w:val="single" w:sz="12" w:space="0" w:color="auto"/>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396</w:t>
            </w:r>
          </w:p>
        </w:tc>
      </w:tr>
      <w:tr w:rsidR="00DD2824" w:rsidRPr="00DD2824" w:rsidTr="00DD2824">
        <w:trPr>
          <w:trHeight w:val="240"/>
        </w:trPr>
        <w:tc>
          <w:tcPr>
            <w:tcW w:w="3119"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 xml:space="preserve">Некоммерческое учреждение </w:t>
            </w:r>
          </w:p>
        </w:tc>
        <w:tc>
          <w:tcPr>
            <w:tcW w:w="113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56</w:t>
            </w:r>
          </w:p>
        </w:tc>
        <w:tc>
          <w:tcPr>
            <w:tcW w:w="1276"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w:t>
            </w:r>
          </w:p>
        </w:tc>
        <w:tc>
          <w:tcPr>
            <w:tcW w:w="113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10</w:t>
            </w:r>
          </w:p>
        </w:tc>
        <w:tc>
          <w:tcPr>
            <w:tcW w:w="708"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73</w:t>
            </w:r>
          </w:p>
        </w:tc>
      </w:tr>
      <w:tr w:rsidR="00DD2824" w:rsidRPr="00DD2824" w:rsidTr="00DD2824">
        <w:trPr>
          <w:trHeight w:val="240"/>
        </w:trPr>
        <w:tc>
          <w:tcPr>
            <w:tcW w:w="3119" w:type="dxa"/>
            <w:tcBorders>
              <w:top w:val="nil"/>
              <w:left w:val="nil"/>
              <w:bottom w:val="nil"/>
              <w:right w:val="nil"/>
            </w:tcBorders>
            <w:hideMark/>
          </w:tcPr>
          <w:p w:rsidR="00DD2824" w:rsidRPr="00DD2824" w:rsidRDefault="00DD2824" w:rsidP="00DD2824">
            <w:pPr>
              <w:suppressAutoHyphens/>
              <w:spacing w:before="30" w:after="30" w:line="240" w:lineRule="auto"/>
              <w:jc w:val="both"/>
              <w:rPr>
                <w:rFonts w:eastAsia="Times New Roman"/>
                <w:spacing w:val="0"/>
                <w:w w:val="100"/>
                <w:kern w:val="0"/>
                <w:sz w:val="18"/>
                <w:szCs w:val="18"/>
                <w:lang w:val="en-GB"/>
              </w:rPr>
            </w:pPr>
            <w:r w:rsidRPr="00DD2824">
              <w:rPr>
                <w:rFonts w:eastAsia="Times New Roman"/>
                <w:spacing w:val="0"/>
                <w:w w:val="100"/>
                <w:kern w:val="0"/>
                <w:sz w:val="18"/>
                <w:szCs w:val="18"/>
              </w:rPr>
              <w:t xml:space="preserve">Частное коммерческое учреждение </w:t>
            </w:r>
          </w:p>
        </w:tc>
        <w:tc>
          <w:tcPr>
            <w:tcW w:w="113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90</w:t>
            </w:r>
          </w:p>
        </w:tc>
        <w:tc>
          <w:tcPr>
            <w:tcW w:w="1276"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w:t>
            </w:r>
          </w:p>
        </w:tc>
        <w:tc>
          <w:tcPr>
            <w:tcW w:w="1134"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w:t>
            </w:r>
          </w:p>
        </w:tc>
        <w:tc>
          <w:tcPr>
            <w:tcW w:w="708" w:type="dxa"/>
            <w:tcBorders>
              <w:top w:val="nil"/>
              <w:left w:val="nil"/>
              <w:bottom w:val="nil"/>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98</w:t>
            </w:r>
          </w:p>
        </w:tc>
      </w:tr>
      <w:tr w:rsidR="00DD2824" w:rsidRPr="00DD2824" w:rsidTr="00DD2824">
        <w:trPr>
          <w:trHeight w:val="240"/>
        </w:trPr>
        <w:tc>
          <w:tcPr>
            <w:tcW w:w="3119" w:type="dxa"/>
            <w:tcBorders>
              <w:top w:val="nil"/>
              <w:left w:val="nil"/>
              <w:bottom w:val="single" w:sz="12" w:space="0" w:color="auto"/>
              <w:right w:val="nil"/>
            </w:tcBorders>
            <w:hideMark/>
          </w:tcPr>
          <w:p w:rsidR="00DD2824" w:rsidRPr="00DD2824" w:rsidRDefault="00DD2824" w:rsidP="00DD2824">
            <w:pPr>
              <w:suppressAutoHyphens/>
              <w:spacing w:before="30" w:after="30" w:line="240" w:lineRule="auto"/>
              <w:rPr>
                <w:rFonts w:eastAsia="Times New Roman"/>
                <w:spacing w:val="0"/>
                <w:w w:val="100"/>
                <w:kern w:val="0"/>
                <w:sz w:val="18"/>
                <w:szCs w:val="18"/>
                <w:lang w:val="en-GB"/>
              </w:rPr>
            </w:pPr>
            <w:r w:rsidRPr="00DD2824">
              <w:rPr>
                <w:rFonts w:eastAsia="Times New Roman"/>
                <w:spacing w:val="0"/>
                <w:w w:val="100"/>
                <w:kern w:val="0"/>
                <w:sz w:val="18"/>
                <w:szCs w:val="18"/>
              </w:rPr>
              <w:t>Всего</w:t>
            </w:r>
          </w:p>
        </w:tc>
        <w:tc>
          <w:tcPr>
            <w:tcW w:w="1134" w:type="dxa"/>
            <w:tcBorders>
              <w:top w:val="nil"/>
              <w:left w:val="nil"/>
              <w:bottom w:val="single" w:sz="12" w:space="0" w:color="auto"/>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479</w:t>
            </w:r>
          </w:p>
        </w:tc>
        <w:tc>
          <w:tcPr>
            <w:tcW w:w="1276" w:type="dxa"/>
            <w:tcBorders>
              <w:top w:val="nil"/>
              <w:left w:val="nil"/>
              <w:bottom w:val="single" w:sz="12" w:space="0" w:color="auto"/>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51</w:t>
            </w:r>
          </w:p>
        </w:tc>
        <w:tc>
          <w:tcPr>
            <w:tcW w:w="1134" w:type="dxa"/>
            <w:tcBorders>
              <w:top w:val="nil"/>
              <w:left w:val="nil"/>
              <w:bottom w:val="single" w:sz="12" w:space="0" w:color="auto"/>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37</w:t>
            </w:r>
          </w:p>
        </w:tc>
        <w:tc>
          <w:tcPr>
            <w:tcW w:w="708" w:type="dxa"/>
            <w:tcBorders>
              <w:top w:val="nil"/>
              <w:left w:val="nil"/>
              <w:bottom w:val="single" w:sz="12" w:space="0" w:color="auto"/>
              <w:right w:val="nil"/>
            </w:tcBorders>
            <w:vAlign w:val="bottom"/>
            <w:hideMark/>
          </w:tcPr>
          <w:p w:rsidR="00DD2824" w:rsidRPr="00DD2824" w:rsidRDefault="00DD2824" w:rsidP="00DD2824">
            <w:pPr>
              <w:spacing w:before="30" w:after="30" w:line="240" w:lineRule="auto"/>
              <w:ind w:left="113"/>
              <w:jc w:val="right"/>
              <w:rPr>
                <w:rFonts w:eastAsia="Times New Roman"/>
                <w:spacing w:val="0"/>
                <w:w w:val="100"/>
                <w:kern w:val="0"/>
                <w:sz w:val="18"/>
                <w:szCs w:val="18"/>
                <w:lang w:val="en-US"/>
              </w:rPr>
            </w:pPr>
            <w:r w:rsidRPr="00DD2824">
              <w:rPr>
                <w:rFonts w:eastAsia="Times New Roman"/>
                <w:spacing w:val="0"/>
                <w:w w:val="100"/>
                <w:kern w:val="0"/>
                <w:sz w:val="18"/>
                <w:szCs w:val="18"/>
                <w:lang w:val="en-US"/>
              </w:rPr>
              <w:t>567</w:t>
            </w:r>
          </w:p>
        </w:tc>
      </w:tr>
    </w:tbl>
    <w:p w:rsidR="00DD2824" w:rsidRPr="00DD2824" w:rsidRDefault="00DD2824" w:rsidP="00DD2824">
      <w:pPr>
        <w:suppressAutoHyphens/>
        <w:spacing w:before="240"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то же время, согласно статистическим данным за 2012 год, наблюдался значительный рост количества медицинских учреждений – с 422 в 2010 году до 656 в 2012 году.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ГЕНДЕРНОЕ НАСИЛИЕ</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Клиническое и психосоциальное ведение пострадавших от гендерного насилия является одним из основных компонентов национальной политики в области здравоохранения и комплекса основных медицинских услуг. В связи с этим в рамках национальной программы по борьбе со СПИДом был разработан показатель информирования об общем числе жертв изнасилования, получающих постконтактную профилактику в течение 72 часов. Кроме того, в больницах графств были созданы отделения для жертв гендерного насилия, укомплектованные квалифицированными медицинскими работниками для реагирования на зарегистрированные случаи изнасилования. С целью клинического ведения жертв изнасилования было подготовлено 173 медицинских работника и 120 поставщиков медицинских услуг. 90 человек были обучены направлению пострадавших от гендерного насилия к врачам-специалистам, а 325 человек из 12 общин были обучены предоставлению психосоциальных услуг пострадавшим от гендерного насилия и оформлению их направления в медицинские учреждения.</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Психическое здоровье и лица преклонного возраста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Лица преклонного возраста составляют приблизительно 5 процентов населения Либерии. Из этого числа мужчины составляют 49 процентов (83 761), а женщины – 51 процент (87 180). Примерно 39 процентов престарелых живут во временных домах, и лишь небольшое их число (18 процентов) имеют постоянное место жительства. Большая доля престарелых являются инвалидами по старости и имеют проблемы со зрением. Большинство этих людей живут в сельских районах – 58 процентов в Боми, 5 процентов в Гбарполу и 2 процента в Гранд-Геде. В стране имеется одно государственное учреждение для престарелых мужчин и женщин, но оно не способно вместить большое число стариков. В соответствии с традициями некоторым старикам предоставлен уход на дому со стороны близких родственников. В Либерии, как и в большинстве частей Африки, считается недостойным отдавать престарелых родителей и родственников в дома престарелых.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Психиатрические больницы в Либерии серьезно пострадали во время гражданской войны. Хотя в Министерстве здравоохранения и социального обеспечения есть Отдел психического здоровья, существует только одна небольшая психиатрическая больница, расположенная в Монровии. Она была создана Организацией немецких врачей для оказания экстренной помощи, которая руководила ее деятельностью с 2003 по 2011 год, когда эта программа была свернута. В 2011 году данное учреждение перешло в ведение правительства Либерии. В больнице 56 пациентов (31 мужчина и 25 женщин), которые проходят лечение от шизофрении, состояний, вызванных употреблением наркотических средств, депрессивных расстройств и психосоциальных травм. Понимая, что в предоставлении услуг по психическому здоровью существует серьезный пробел, правительство организует подготовку медсестер психиатрического профиля, которые по окончании курса обучения будут направлены в больницы в графствах для обеспечения необходимых услуг.</w:t>
      </w:r>
    </w:p>
    <w:p w:rsidR="00DD2824" w:rsidRPr="00DD2824" w:rsidRDefault="00DD2824" w:rsidP="00DD2824">
      <w:pPr>
        <w:keepNext/>
        <w:keepLines/>
        <w:tabs>
          <w:tab w:val="right" w:pos="851"/>
        </w:tabs>
        <w:suppressAutoHyphens/>
        <w:spacing w:before="360" w:after="240" w:line="270" w:lineRule="exact"/>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6" w:name="_Toc388281197"/>
      <w:r w:rsidRPr="00DD2824">
        <w:rPr>
          <w:rFonts w:eastAsia="Times New Roman"/>
          <w:b/>
          <w:spacing w:val="0"/>
          <w:w w:val="100"/>
          <w:kern w:val="0"/>
          <w:sz w:val="24"/>
          <w:szCs w:val="24"/>
        </w:rPr>
        <w:t>Статья 13. Экономические и социальные права</w:t>
      </w:r>
      <w:bookmarkEnd w:id="16"/>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С целью расширения для женщин доступа к финансовым средствам за отчетный период было начато осуществление нескольких программ. Среди них – программа подготовки женщин-предпринимателей в целях увеличения источников дохода для женщин и создания для них большего числа рабочих мест и лучше оплачиваемой работы. Возможностями, предоставляемыми этим проектом, воспользовались 300 групп женщин в сельских и городских районах общей численностью 22 тыс. человек.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Женщинам также были предоставлены льготные кредиты для расширения их предприятий. В 2009 году 3 тыс. женщин получили кредиты в ссудном фонде "Коллоквиум". Для обеспечения надлежащего распоряжения этими кредитами был создан учебный центр "Женщины традиционных племен за мир", призванный удовлетворить потребности в знаниях получателей этих кредитов. В рамках проекта Фонда Элен-Джонсон Серлиф для работающих на рынках женщин были построены рыночные помещения, колодцы и склады в различных местах Либерии. Женщины, участвовавшие в этом проекте, смогли также воспользоваться программой ликвидации неграмотности, в рамках которой 500 неграмотных женщин научились читать и писать.</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Государственная программа для сельских женщин, осуществляемая под эгидой Министерства по гендерным вопросам и развитию, способствовала повышению потенциала сельских женщин благодаря обеспечению их сельскохозяйственным инвентарем, семенами, канцелярскими товарами и проведению для них учебных практикумов. В 12 графствах были также построены складские помещения для их сельскохозяйственной продукции.</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Правительство Либерии и его партнеры осуществили совместную программу по продовольствию и питанию для смягчения воздействия роста внутренних цен, организовав обеспечение продовольствием и улучшенным питанием уязвимые семьи. Предполагалось, что в основном выгоду от этой программы получат женщины, составляющие большинство мелких арендаторов земли и производителей в сельскохозяйственном секторе. В 2010 году 160 женщин из графств Бонг, Нимба и Лофа прошли обучение в рамках этой программы по послеуборочной обработке риса, включая пропаривание, сушку и шлифование. В 2009–2010 годах 12 тыс. женщин-фермеров получили сельскохозяйственный инвентарь и различные семена для расширения своего производства. Еще 30 женщин прошли обучение маркетингу, привлечению ресурсов, обмену информацией и формированию групп, а также выработке качеств руководителя. </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7" w:name="_Toc388281198"/>
      <w:r w:rsidRPr="00DD2824">
        <w:rPr>
          <w:rFonts w:eastAsia="Times New Roman"/>
          <w:b/>
          <w:spacing w:val="0"/>
          <w:w w:val="100"/>
          <w:kern w:val="0"/>
          <w:sz w:val="24"/>
          <w:szCs w:val="24"/>
        </w:rPr>
        <w:t>Статья 14. Сельские женщины</w:t>
      </w:r>
      <w:bookmarkEnd w:id="17"/>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Министерство по гендерным вопросам и развитию по поручению правительства Либерии создало в 2009 году в 15 графствах сельские женские организации с целью привлечения сельских женщин к участию во всех видах деятельности, политических, социальных, культурных и экономических делах без какого-либо ограничения. Это способствовало повышению информированности сельских женщин об их основных правах человека и юридических правах, предусмотренных законами. Хотя к настоящему времени еще не было проведено какой-либо оценки предпринятой информационно-пропагандистской работы, свидетельством воздействия этой работы можно считать рост участия женщин в принятии решений на местном уровне.</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Серьезной проблемой в Либерии остается обеспечение такими общественными услугами, как электро- и водоснабжение, а также санитария. В своей публикации в июле 2011 года Либерийский институт статистики и геоинформационных исследований (ЛИСГИ) определяет нехватку основных активов как 85-процентную. Использование водопроводной воды находится на низком уровне – 39 процентов при высоком уровне ненадлежащего удаления отходов, а 87 процентов домашних хозяйств не имеют смывных туалетов для удаления фекалий. Источниками чистой питьевой воды как в городах, так и в сельских районах являются ручные насосы и колодцы. Женщины и девочки тратят многие часы на доставку воды для использования в домашнем хозяйстве. 77 процентов всех сельских и 30 процентов городских домохозяйств не имеют систем удаления твердых отходов. Плохой дренаж и ненадлежащие системы удаления бытовых отходов зачастую являются причиной загрязнения питьевой воды.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Монровии имеется программа удаления твердых отходов, которая в основном функциональна и приемлема с экологической точки зрения, но на остальной территории Либерии услуги по удалению твердых отходов отсутствуют.</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Электричество в основном вырабатывается генераторами. Инвестиции в энергетический сектор, запланированные в соответствии с Программой преобразований (ПП), включают восстановление гидроэлектростанции Маунт-Кофи, подключение резервной мощности для выработки тяжелого дизельного топлива на сухой период, завершение создания магистральной ЛЭП и распределительных сетей и подсоединение к Западноафриканской энергетической системе (ЗАЭС). ЗАЭС, являющаяся проектом ЭКОВАС в области электрификации, уже сдана в эксплуатацию, и электричество из этой системы в настоящее время распределяется в подветренные графства. Графство Нимба, второе по численности населения графство в Либерии, первым воспользовалось этим проектом в июле 2013 года.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Правительство также организует установку фонарей, работающих от солнечных батарей, в более чем 10 тыс. деревнях. Поскольку большинство общин в ближайшем будущем не планируется подключать к системам энергоснабжения, правительство будет оказывать им помощь в разработке альтернативных вариантов с использованием малых источников тепло-, гидро- и солнечной энергии. В настоящее время проводятся эксперименты по применению сельскохозяйственной биомассы для небольших дизельных генераторов. Если такие экспериментальные проекты окажутся успешными, правительство поддержит их распространение (ПП, 2012 год). Экспериментальный проект по снабжению электричеством сельских женщин с использованием солнечной энергии осуществляется в настоящее время в Тодди, графство Монтсеррадо. Сельские женщины прошли обучение надлежащей эксплуатации этой технологии.</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Благодаря созданию сельских женских организаций женщины в сельских районах в настоящее время участвуют в политической и социально-экономической деятельности. Во время всеобщих выборов 2011 года сельские женщины проявили активность и выдвинули соответствующих кандидатов для участия в предвыборной борьбе, и некоторые из них победили на парламентских выборах. Кроме того, с помощью этой структуры сельские женщины активизировали действия по получению микроссуд и приобрели другие основные навыки для улучшения своего экономического положения.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Сельские женщины были также ознакомлены с Законом о наследовании и получили представление о своих правах человека и основных правах. Это помогло им в избавлении от комплекса неполноценности и свободном выражении своего мнения. Данные законы способствовали преодолению двойственности правовой системы в отношении городских и сельских женщин. Такие женские структуры функционируют во всех 15 графствах, и мониторинг их деятельности осуществляет Министерство по гендерным вопросам и развитию. Кроме того, мощная сеть организаций сельских женщин на местном уровне и уровне графств усиливает эти структуры. В настоящее время все женщины, независимо от их статуса, могут в равной мере воспользоваться этими законами.</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Данные о бедности населения свидетельствуют о том, что люди в сельских районах живут в условиях крайней нищеты. Правительство стремится исправить это положение, расширяя социальные услуги. Либерия проводит в графстве Боми эксперимент по осуществлению Социальной программы денежных переводов (СПДП) с целью обеспечения наличностью домохозяйств, которые испытывают сложности с трудоустройством и живут за чертой бедности. Эта Программа в настоящее время осуществляется Министерством по гендерным вопросам и развитию, финансируется донорами и управляется ЮНИСЕФ. После проведения ее тщательной оценки правительство рассмотрит возможности по расширению ее охвата, а также применения других схем, например предоставления микрокредитов и проведения общественных работ, с целью оказания помощи наиболее уязвимым домохозяйствам по улучшению их экономического положения и преодолению крайней нищеты. В то же время было получено дополнительное финансирование для распространения этой Программы на графства Мэриленд и Гранд-Кру. К настоящему времени переводы получают 1900 домохозяйств с числом бенефициаров 7123 человека. </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8" w:name="_Toc388281199"/>
      <w:r w:rsidRPr="00DD2824">
        <w:rPr>
          <w:rFonts w:eastAsia="Times New Roman"/>
          <w:b/>
          <w:spacing w:val="0"/>
          <w:w w:val="100"/>
          <w:kern w:val="0"/>
          <w:sz w:val="24"/>
          <w:szCs w:val="24"/>
        </w:rPr>
        <w:t>Статья 15. Равенство перед законом</w:t>
      </w:r>
      <w:bookmarkEnd w:id="18"/>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Тема этого раздела рассматривалась выше, в разделах, касающихся положений Конституции о равенстве всех граждан перед законом независимо от пола.</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4"/>
          <w:szCs w:val="24"/>
        </w:rPr>
      </w:pPr>
      <w:r w:rsidRPr="00DD2824">
        <w:rPr>
          <w:rFonts w:eastAsia="Times New Roman"/>
          <w:b/>
          <w:spacing w:val="0"/>
          <w:w w:val="100"/>
          <w:kern w:val="0"/>
          <w:sz w:val="24"/>
          <w:szCs w:val="24"/>
        </w:rPr>
        <w:tab/>
      </w:r>
      <w:r w:rsidRPr="00DD2824">
        <w:rPr>
          <w:rFonts w:eastAsia="Times New Roman"/>
          <w:b/>
          <w:spacing w:val="0"/>
          <w:w w:val="100"/>
          <w:kern w:val="0"/>
          <w:sz w:val="24"/>
          <w:szCs w:val="24"/>
        </w:rPr>
        <w:tab/>
      </w:r>
      <w:bookmarkStart w:id="19" w:name="_Toc388281200"/>
      <w:r w:rsidRPr="00DD2824">
        <w:rPr>
          <w:rFonts w:eastAsia="Times New Roman"/>
          <w:b/>
          <w:spacing w:val="0"/>
          <w:w w:val="100"/>
          <w:kern w:val="0"/>
          <w:sz w:val="24"/>
          <w:szCs w:val="24"/>
        </w:rPr>
        <w:t>Статья 16. Брак и семья</w:t>
      </w:r>
      <w:bookmarkEnd w:id="19"/>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Во все противоречащие друг другу законы обычного и статутного права, ущемляющие права женщин в Республике Либерии, к 21 марта 2009 года были внесены поправки. Среди них – Закон об управлении переходом наследуемого имущества и установлении прав наследования для супругов, вступивших в брак как по статутному, так и обычному праву. Процедуры в традиционных судах в настоящее время отвечают нормам и стандартам прав человека, что гарантирует равный доступ женщин и мужчин к обращению в суды компетентной юрисдикции. Традиционные лидеры, получившие разъяснения о положениях законов Либерии в области прав человека, владеют новой информацией о предоставленном женщинам праве владеть собственностью.</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Со времени внесения этой поправки до настоящего момента каких-либо дел, касающихся брака и семьи, зарегистрировано не было; в то же время при вынесении судебного решения в результате рассмотрения недавней межэтнической проблемы между группами мандинго и лорма в графстве Лофа были применены нормы в области прав человека.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Права вдов на долю наследства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Правительство Либерии приняло меры по приведению в соответствие норм статутного и обычно права, касающихся брака. Закон об управлении переходом наследуемого имущества и установлении прав наследования для супругов, вступивших в брак в соответствии как со статутным, так и обычным правом, принятый 7 октября 2003 года, предусматривает в разделе 2.1 главы 2 "О правах, обязанностях и ответственности при заключении брака по обычному праву", что "все браки, заключенные по обычному праву, считаются в пределах Республики законными, и все женщины, вступившие в брак по обычному праву, наделяются теми же правами, обязанностями и ответственностью, что и официальные жены, в соответствии и во исполнение положений, содержащихся в законе, который включает Новый семейный кодекс, известный как раздел 9 пересмотренного Кодекса законов Либерии 1973 года, который полностью включен в данный документ как процитированный дословно". Данный Закон определяет брак, заключенный по обычному праву, как брак между мужчиной и женщиной, совершенный в соответствии с традицией племени, в котором они проживают. </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разделе 3.2 главы 3 говорится: "После смерти мужа вдова или несколько вдов имеют право только на треть (1/3) имущества покойного мужа, остальные две трети (2/3) имущества покойного переходят к его детям, если таковые имеются, или к его наследникам по боковой линии в соответствии с Законом об имуществе умершего".</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Свобода вдовы после смерти мужа не может быть ограничена или ущемлена</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этом разделе Закона говорится, что после смерти или похорон мужа его вдова/вдовы, состоявшая (состоявшие) с ним в браке по обычному праву, может (могут) либо остаться в доме покойного мужа, чтобы распоряжаться вышеупомянутым имуществом, либо выбрать другого мужа и в этом случае покинуть дом своего покойного мужа ввиду того, что вступление в новый брак отменяет вышеупомянутые права, и ее (их) имущество обращается во владение наследников или детей покойного мужа.</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Закон о наследовании</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соответствии с Законом о наследовании отменяются все формы дискриминации в отношении женщин и ликвидируется неравенство в правах, которое существовало между городскими и сельскими женщинами. Закон также предоставляет всем женщинам следующие права: на владение землей, на вступление в брак по согласию, на доступ к услугам здравоохранения, на получение информации, на образование и услуги в области репродуктивного здоровья. Эти права также включают право решать вопрос о числе детей, право быть опекунами, попечителями, усыновителями и одинаковые права мужа и жены в отношении приобретения, управления, пользования и распоряжения имуществом.</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Права собственности жены</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Предусматривается, что все жены, живут ли они в городе или сельских районах, имеют право приобретать и владеть собственностью, независимо от того, была ли эта собственность приобретена до или после вступления в брак. Предусматривается, что женщины свободны в ведении своего собственного законного бизнеса под своими собственными именами, включая право на заключение договоров с третьими сторонами при полной осведомленности об этом и согласии их мужей. </w:t>
      </w:r>
    </w:p>
    <w:p w:rsidR="00DD2824" w:rsidRPr="00DD2824" w:rsidRDefault="00DD2824" w:rsidP="00DD2824">
      <w:pPr>
        <w:keepNext/>
        <w:keepLines/>
        <w:tabs>
          <w:tab w:val="right" w:pos="851"/>
        </w:tabs>
        <w:suppressAutoHyphens/>
        <w:spacing w:before="240" w:after="120"/>
        <w:ind w:left="1134" w:right="1134" w:hanging="1134"/>
        <w:rPr>
          <w:rFonts w:eastAsia="Times New Roman"/>
          <w:b/>
          <w:spacing w:val="0"/>
          <w:w w:val="100"/>
          <w:kern w:val="0"/>
          <w:szCs w:val="20"/>
        </w:rPr>
      </w:pPr>
      <w:r w:rsidRPr="00DD2824">
        <w:rPr>
          <w:rFonts w:eastAsia="Times New Roman"/>
          <w:b/>
          <w:spacing w:val="0"/>
          <w:w w:val="100"/>
          <w:kern w:val="0"/>
          <w:szCs w:val="20"/>
        </w:rPr>
        <w:tab/>
      </w:r>
      <w:r w:rsidRPr="00DD2824">
        <w:rPr>
          <w:rFonts w:eastAsia="Times New Roman"/>
          <w:b/>
          <w:spacing w:val="0"/>
          <w:w w:val="100"/>
          <w:kern w:val="0"/>
          <w:szCs w:val="20"/>
        </w:rPr>
        <w:tab/>
        <w:t>Вступление в брак по согласию</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В Либерии выбор родителями мужей для своих дочерей считается незаконным. Любая женщина из племени, достигшая совершеннолетия, имеет безусловное право вступить в брак с мужчиной по своему выбору. Выбирать мужа для своей дочери любым из родителей или заставлять дочь или другую родственницу выходить замуж против ее воли считается незаконным. Любой родитель, который нарушает этот закон, совершает уголовное преступление первой степени, наказуемое при признании вины штрафом в сумме не менее 500 и не более 1000 либерийских долларов.</w:t>
      </w:r>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 xml:space="preserve">В то же время обычная и религиозная практика в некоторых районах Либерии допускает ранние браки девочек-подростков. В качестве обоснования этого приводятся доводы о предупреждении подростковой беременности и необходимости сохранения и защиты девочек от злоумышленного сексуального надругательства. Для сокращения применения такой практики требуется дополнительная информационно-разъяснительная работа, в особенности касающаяся Закона о борьбе с изнасилованием и новых законов в отношении женщин, подкрепленная жестким мониторингом и системой судебного преследования. </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8"/>
          <w:szCs w:val="24"/>
        </w:rPr>
      </w:pPr>
      <w:r w:rsidRPr="00DD2824">
        <w:rPr>
          <w:rFonts w:eastAsia="Times New Roman"/>
          <w:b/>
          <w:spacing w:val="0"/>
          <w:w w:val="100"/>
          <w:kern w:val="0"/>
          <w:sz w:val="28"/>
          <w:szCs w:val="24"/>
        </w:rPr>
        <w:tab/>
      </w:r>
      <w:bookmarkStart w:id="20" w:name="_Toc388281201"/>
      <w:r w:rsidRPr="00DD2824">
        <w:rPr>
          <w:rFonts w:eastAsia="Times New Roman"/>
          <w:b/>
          <w:spacing w:val="0"/>
          <w:w w:val="100"/>
          <w:kern w:val="0"/>
          <w:sz w:val="28"/>
          <w:szCs w:val="24"/>
          <w:lang w:val="en-US"/>
        </w:rPr>
        <w:t>IV</w:t>
      </w:r>
      <w:r w:rsidRPr="00DD2824">
        <w:rPr>
          <w:rFonts w:eastAsia="Times New Roman"/>
          <w:b/>
          <w:spacing w:val="0"/>
          <w:w w:val="100"/>
          <w:kern w:val="0"/>
          <w:sz w:val="28"/>
          <w:szCs w:val="24"/>
        </w:rPr>
        <w:t>.</w:t>
      </w:r>
      <w:r w:rsidRPr="00DD2824">
        <w:rPr>
          <w:rFonts w:eastAsia="Times New Roman"/>
          <w:b/>
          <w:spacing w:val="0"/>
          <w:w w:val="100"/>
          <w:kern w:val="0"/>
          <w:sz w:val="28"/>
          <w:szCs w:val="24"/>
        </w:rPr>
        <w:tab/>
      </w:r>
      <w:r w:rsidRPr="00DD2824">
        <w:rPr>
          <w:rFonts w:eastAsia="Times New Roman"/>
          <w:b/>
          <w:spacing w:val="0"/>
          <w:w w:val="100"/>
          <w:kern w:val="0"/>
          <w:sz w:val="28"/>
          <w:szCs w:val="28"/>
        </w:rPr>
        <w:t>Заключение</w:t>
      </w:r>
      <w:bookmarkEnd w:id="20"/>
    </w:p>
    <w:p w:rsidR="00DD2824" w:rsidRPr="00DD2824" w:rsidRDefault="00DD2824" w:rsidP="00DD2824">
      <w:pPr>
        <w:suppressAutoHyphens/>
        <w:spacing w:after="120"/>
        <w:ind w:left="1134" w:right="1134"/>
        <w:jc w:val="both"/>
        <w:rPr>
          <w:rFonts w:eastAsia="Times New Roman"/>
          <w:spacing w:val="0"/>
          <w:w w:val="100"/>
          <w:kern w:val="0"/>
          <w:szCs w:val="20"/>
        </w:rPr>
      </w:pPr>
      <w:r w:rsidRPr="00DD2824">
        <w:rPr>
          <w:rFonts w:eastAsia="Times New Roman"/>
          <w:spacing w:val="0"/>
          <w:w w:val="100"/>
          <w:kern w:val="0"/>
          <w:szCs w:val="20"/>
        </w:rPr>
        <w:t>168.</w:t>
      </w:r>
      <w:r w:rsidRPr="00DD2824">
        <w:rPr>
          <w:rFonts w:eastAsia="Times New Roman"/>
          <w:spacing w:val="0"/>
          <w:w w:val="100"/>
          <w:kern w:val="0"/>
          <w:szCs w:val="20"/>
        </w:rPr>
        <w:tab/>
        <w:t>За время, прошедшее со времени представления последнего доклада, правительство Либерии приняло жесткие меры по обеспечению соблюдения принципов, закрепленных в статьях КЛДЖ. Несмотря на то что в таких областях как формулирование политики, программ и мер вмешательства по устранению неравенства, были достигнуты определенные улучшения, мы признаем, что для решения вопросов, связанных с культурой, традициями и социальными услугами, предстоит еще сделать многое. Правительство Либерии сохраняет свою приверженность делу ликвидации всех форм гендерного неравенства.</w:t>
      </w:r>
    </w:p>
    <w:p w:rsidR="00DD2824" w:rsidRPr="00DD2824" w:rsidRDefault="00DD2824" w:rsidP="00DD2824">
      <w:pPr>
        <w:keepNext/>
        <w:keepLines/>
        <w:tabs>
          <w:tab w:val="right" w:pos="851"/>
        </w:tabs>
        <w:suppressAutoHyphens/>
        <w:spacing w:before="360" w:after="240"/>
        <w:ind w:left="1134" w:right="1134" w:hanging="1134"/>
        <w:rPr>
          <w:rFonts w:eastAsia="Times New Roman"/>
          <w:b/>
          <w:spacing w:val="0"/>
          <w:w w:val="100"/>
          <w:kern w:val="0"/>
          <w:sz w:val="28"/>
          <w:szCs w:val="24"/>
          <w:lang w:val="en-US"/>
        </w:rPr>
      </w:pPr>
      <w:r>
        <w:rPr>
          <w:rFonts w:eastAsia="Times New Roman"/>
          <w:b/>
          <w:spacing w:val="0"/>
          <w:w w:val="100"/>
          <w:kern w:val="0"/>
          <w:sz w:val="28"/>
          <w:szCs w:val="24"/>
        </w:rPr>
        <w:br w:type="page"/>
      </w:r>
      <w:r w:rsidRPr="00DD2824">
        <w:rPr>
          <w:rFonts w:eastAsia="Times New Roman"/>
          <w:b/>
          <w:spacing w:val="0"/>
          <w:w w:val="100"/>
          <w:kern w:val="0"/>
          <w:sz w:val="28"/>
          <w:szCs w:val="24"/>
        </w:rPr>
        <w:tab/>
      </w:r>
      <w:bookmarkStart w:id="21" w:name="_Toc388281202"/>
      <w:r w:rsidRPr="00DD2824">
        <w:rPr>
          <w:rFonts w:eastAsia="Times New Roman"/>
          <w:b/>
          <w:spacing w:val="0"/>
          <w:w w:val="100"/>
          <w:kern w:val="0"/>
          <w:sz w:val="28"/>
          <w:szCs w:val="24"/>
          <w:lang w:val="en-US"/>
        </w:rPr>
        <w:t>V.</w:t>
      </w:r>
      <w:r w:rsidRPr="00DD2824">
        <w:rPr>
          <w:rFonts w:eastAsia="Times New Roman"/>
          <w:b/>
          <w:spacing w:val="0"/>
          <w:w w:val="100"/>
          <w:kern w:val="0"/>
          <w:sz w:val="28"/>
          <w:szCs w:val="24"/>
          <w:lang w:val="en-US"/>
        </w:rPr>
        <w:tab/>
      </w:r>
      <w:r w:rsidRPr="00DD2824">
        <w:rPr>
          <w:rFonts w:eastAsia="Times New Roman"/>
          <w:b/>
          <w:spacing w:val="0"/>
          <w:w w:val="100"/>
          <w:kern w:val="0"/>
          <w:sz w:val="28"/>
          <w:szCs w:val="28"/>
        </w:rPr>
        <w:t>Ссылки</w:t>
      </w:r>
      <w:bookmarkEnd w:id="21"/>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Agenda for Transformation: Steps towards vision 2030, Government of Liberia, 2012</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 xml:space="preserve">Annual Report, Ministry of Gender and Development, 2011 </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Annual Report, Ministry of Gender and Development, 2012</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Children’s Law, Government of Liberia, 2011</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Country situational Analysis Report 2011, Ministry of Health and social Welfare, 2011</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Decent work Bill, Ministry of Labor, 2011</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Education Reform Act of 2011, Ministry of Education, 2011</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Education statistics for the Republic of Liberia, MOE, 2011</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Education statistics for the Republic of Liberia, MOE, 2012</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Highlights of Data Analysis: Towards Evidence Based national Vision 2030 and PRS II, LISGIS, 2011.</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Labor Force Survey, 2010, Ministry of Labor, Ministry of Internal Affairs issued Circular 12, January 15, 2013</w:t>
      </w:r>
    </w:p>
    <w:p w:rsidR="00DD2824" w:rsidRPr="00DD2824" w:rsidRDefault="00DD2824" w:rsidP="00DD2824">
      <w:pPr>
        <w:suppressAutoHyphens/>
        <w:spacing w:after="120"/>
        <w:ind w:left="1134" w:right="1134"/>
        <w:jc w:val="both"/>
        <w:rPr>
          <w:rFonts w:eastAsia="Times New Roman"/>
          <w:b/>
          <w:spacing w:val="0"/>
          <w:w w:val="100"/>
          <w:kern w:val="0"/>
          <w:szCs w:val="20"/>
          <w:lang w:val="en-US"/>
        </w:rPr>
      </w:pPr>
      <w:r w:rsidRPr="00DD2824">
        <w:rPr>
          <w:rFonts w:eastAsia="Times New Roman"/>
          <w:spacing w:val="0"/>
          <w:w w:val="100"/>
          <w:kern w:val="0"/>
          <w:szCs w:val="20"/>
          <w:lang w:val="en-US"/>
        </w:rPr>
        <w:t>MOH&amp;SW Annual reports 2010 and 2012</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 xml:space="preserve">National Gender Policy of Liberia, Ministry of Gender and Development, adopted in 2009 </w:t>
      </w:r>
    </w:p>
    <w:p w:rsidR="00DD2824" w:rsidRPr="00DD2824" w:rsidRDefault="00DD2824" w:rsidP="00DD2824">
      <w:pPr>
        <w:suppressAutoHyphens/>
        <w:spacing w:after="120"/>
        <w:ind w:left="1134" w:right="1134"/>
        <w:jc w:val="both"/>
        <w:rPr>
          <w:rFonts w:eastAsia="Times New Roman"/>
          <w:b/>
          <w:spacing w:val="0"/>
          <w:w w:val="100"/>
          <w:kern w:val="0"/>
          <w:szCs w:val="20"/>
          <w:lang w:val="en-US"/>
        </w:rPr>
      </w:pPr>
      <w:r w:rsidRPr="00DD2824">
        <w:rPr>
          <w:rFonts w:eastAsia="Times New Roman"/>
          <w:spacing w:val="0"/>
          <w:w w:val="100"/>
          <w:kern w:val="0"/>
          <w:szCs w:val="20"/>
          <w:lang w:val="en-US"/>
        </w:rPr>
        <w:t>National Health and Social Welfare Plan, 2011 – 2021, Ministry of Health and Social Welfare, 2011</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Priorities for Education Sector Recovery in Post Conflict Liberia, FY 2007/08 to 2010/2012</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The National Reproductive Health and Commodity Security Strategy and Operational Plan, 2008-2012, Ministry of Health and Social Welfare, 2008</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Transforming Education for Children Liberia in Liberia: 2010/2012 National School Census, Ministry of Education, October 2011</w:t>
      </w:r>
    </w:p>
    <w:p w:rsidR="00DD2824" w:rsidRPr="00DD2824" w:rsidRDefault="00DD2824" w:rsidP="00DD2824">
      <w:pPr>
        <w:suppressAutoHyphens/>
        <w:spacing w:after="120"/>
        <w:ind w:left="1134" w:right="1134"/>
        <w:jc w:val="both"/>
        <w:rPr>
          <w:rFonts w:eastAsia="Times New Roman"/>
          <w:spacing w:val="0"/>
          <w:w w:val="100"/>
          <w:kern w:val="0"/>
          <w:szCs w:val="20"/>
          <w:lang w:val="en-US"/>
        </w:rPr>
      </w:pPr>
      <w:r w:rsidRPr="00DD2824">
        <w:rPr>
          <w:rFonts w:eastAsia="Times New Roman"/>
          <w:spacing w:val="0"/>
          <w:w w:val="100"/>
          <w:kern w:val="0"/>
          <w:szCs w:val="20"/>
          <w:lang w:val="en-US"/>
        </w:rPr>
        <w:t>Women and Men in Liberia: Baseline Statistics on Gender, Ministry of Gender and Development and Liberia Institute of Statistics and Geo-Information Services, July 2011.</w:t>
      </w:r>
    </w:p>
    <w:p w:rsidR="009B66F4" w:rsidRPr="00DD2824" w:rsidRDefault="00DD2824" w:rsidP="00DD2824">
      <w:pPr>
        <w:pStyle w:val="SingleTxt"/>
        <w:spacing w:after="0" w:line="240" w:lineRule="auto"/>
        <w:rPr>
          <w:lang w:val="en-US"/>
        </w:rPr>
      </w:pPr>
      <w:r>
        <w:rPr>
          <w:noProof/>
          <w:w w:val="100"/>
          <w:lang w:eastAsia="ru-RU"/>
        </w:rPr>
        <w:pict>
          <v:line id="_x0000_s1026" style="position:absolute;left:0;text-align:left;z-index:1" from="210.2pt,30pt" to="282.2pt,30pt" strokecolor="#010000" strokeweight=".25pt"/>
        </w:pict>
      </w:r>
    </w:p>
    <w:sectPr w:rsidR="009B66F4" w:rsidRPr="00DD2824" w:rsidSect="009B66F4">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21T13:09:00Z" w:initials="Start">
    <w:p w:rsidR="009B66F4" w:rsidRPr="00DD2824" w:rsidRDefault="009B66F4">
      <w:pPr>
        <w:pStyle w:val="CommentText"/>
        <w:rPr>
          <w:lang w:val="en-US"/>
        </w:rPr>
      </w:pPr>
      <w:r>
        <w:fldChar w:fldCharType="begin"/>
      </w:r>
      <w:r w:rsidRPr="00DD2824">
        <w:rPr>
          <w:rStyle w:val="CommentReference"/>
          <w:lang w:val="en-US"/>
        </w:rPr>
        <w:instrText xml:space="preserve"> </w:instrText>
      </w:r>
      <w:r w:rsidRPr="00DD2824">
        <w:rPr>
          <w:lang w:val="en-US"/>
        </w:rPr>
        <w:instrText>PAGE \# "'Page: '#'</w:instrText>
      </w:r>
      <w:r w:rsidRPr="00DD2824">
        <w:rPr>
          <w:lang w:val="en-US"/>
        </w:rPr>
        <w:br/>
        <w:instrText>'"</w:instrText>
      </w:r>
      <w:r w:rsidRPr="00DD2824">
        <w:rPr>
          <w:rStyle w:val="CommentReference"/>
          <w:lang w:val="en-US"/>
        </w:rPr>
        <w:instrText xml:space="preserve"> </w:instrText>
      </w:r>
      <w:r>
        <w:fldChar w:fldCharType="end"/>
      </w:r>
      <w:r>
        <w:rPr>
          <w:rStyle w:val="CommentReference"/>
        </w:rPr>
        <w:annotationRef/>
      </w:r>
      <w:r w:rsidRPr="00DD2824">
        <w:rPr>
          <w:lang w:val="en-US"/>
        </w:rPr>
        <w:t>&lt;&lt;ODS JOB NO&gt;&gt;N1429614R&lt;&lt;ODS JOB NO&gt;&gt;</w:t>
      </w:r>
    </w:p>
    <w:p w:rsidR="009B66F4" w:rsidRPr="00DD2824" w:rsidRDefault="009B66F4">
      <w:pPr>
        <w:pStyle w:val="CommentText"/>
        <w:rPr>
          <w:lang w:val="en-US"/>
        </w:rPr>
      </w:pPr>
      <w:r w:rsidRPr="00DD2824">
        <w:rPr>
          <w:lang w:val="en-US"/>
        </w:rPr>
        <w:t>&lt;&lt;ODS DOC SYMBOL1&gt;&gt;CEDAW/C/LBR/7-8&lt;&lt;ODS DOC SYMBOL1&gt;&gt;</w:t>
      </w:r>
    </w:p>
    <w:p w:rsidR="009B66F4" w:rsidRPr="00DD2824" w:rsidRDefault="009B66F4">
      <w:pPr>
        <w:pStyle w:val="CommentText"/>
        <w:rPr>
          <w:lang w:val="en-US"/>
        </w:rPr>
      </w:pPr>
      <w:r w:rsidRPr="00DD282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77F8" w:rsidRDefault="008D77F8" w:rsidP="008A1A7A">
      <w:pPr>
        <w:spacing w:line="240" w:lineRule="auto"/>
      </w:pPr>
      <w:r>
        <w:separator/>
      </w:r>
    </w:p>
  </w:endnote>
  <w:endnote w:type="continuationSeparator" w:id="0">
    <w:p w:rsidR="008D77F8" w:rsidRDefault="008D77F8"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charset w:val="CC"/>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9B66F4" w:rsidTr="009B66F4">
      <w:tblPrEx>
        <w:tblCellMar>
          <w:top w:w="0" w:type="dxa"/>
          <w:bottom w:w="0" w:type="dxa"/>
        </w:tblCellMar>
      </w:tblPrEx>
      <w:tc>
        <w:tcPr>
          <w:tcW w:w="5033" w:type="dxa"/>
          <w:shd w:val="clear" w:color="auto" w:fill="auto"/>
          <w:vAlign w:val="bottom"/>
        </w:tcPr>
        <w:p w:rsidR="009B66F4" w:rsidRPr="006F2E83" w:rsidRDefault="009B66F4" w:rsidP="009B66F4">
          <w:pPr>
            <w:pStyle w:val="Footer"/>
            <w:rPr>
              <w:color w:val="000000"/>
              <w:szCs w:val="22"/>
              <w:lang w:eastAsia="en-US"/>
            </w:rPr>
          </w:pPr>
          <w:r w:rsidRPr="006F2E83">
            <w:rPr>
              <w:szCs w:val="22"/>
              <w:lang w:eastAsia="en-US"/>
            </w:rPr>
            <w:fldChar w:fldCharType="begin"/>
          </w:r>
          <w:r w:rsidRPr="006F2E83">
            <w:rPr>
              <w:szCs w:val="22"/>
              <w:lang w:eastAsia="en-US"/>
            </w:rPr>
            <w:instrText xml:space="preserve"> PAGE  \* Arabic  \* MERGEFORMAT </w:instrText>
          </w:r>
          <w:r w:rsidRPr="006F2E83">
            <w:rPr>
              <w:szCs w:val="22"/>
              <w:lang w:eastAsia="en-US"/>
            </w:rPr>
            <w:fldChar w:fldCharType="separate"/>
          </w:r>
          <w:r w:rsidR="00662DF9" w:rsidRPr="006F2E83">
            <w:rPr>
              <w:noProof/>
              <w:szCs w:val="22"/>
              <w:lang w:eastAsia="en-US"/>
            </w:rPr>
            <w:t>40</w:t>
          </w:r>
          <w:r w:rsidRPr="006F2E83">
            <w:rPr>
              <w:szCs w:val="22"/>
              <w:lang w:eastAsia="en-US"/>
            </w:rPr>
            <w:fldChar w:fldCharType="end"/>
          </w:r>
          <w:r w:rsidRPr="006F2E83">
            <w:rPr>
              <w:szCs w:val="22"/>
              <w:lang w:eastAsia="en-US"/>
            </w:rPr>
            <w:t>/</w:t>
          </w:r>
          <w:fldSimple w:instr=" NUMPAGES  \* Arabic  \* MERGEFORMAT ">
            <w:r w:rsidR="00662DF9" w:rsidRPr="006F2E83">
              <w:rPr>
                <w:noProof/>
                <w:szCs w:val="22"/>
                <w:lang w:eastAsia="en-US"/>
              </w:rPr>
              <w:t>40</w:t>
            </w:r>
          </w:fldSimple>
        </w:p>
      </w:tc>
      <w:tc>
        <w:tcPr>
          <w:tcW w:w="5033" w:type="dxa"/>
          <w:shd w:val="clear" w:color="auto" w:fill="auto"/>
          <w:vAlign w:val="bottom"/>
        </w:tcPr>
        <w:p w:rsidR="009B66F4" w:rsidRPr="006F2E83" w:rsidRDefault="009B66F4" w:rsidP="009B66F4">
          <w:pPr>
            <w:pStyle w:val="Footer"/>
            <w:jc w:val="right"/>
            <w:rPr>
              <w:b w:val="0"/>
              <w:color w:val="000000"/>
              <w:sz w:val="14"/>
              <w:szCs w:val="22"/>
              <w:lang w:eastAsia="en-US"/>
            </w:rPr>
          </w:pPr>
          <w:fldSimple w:instr=" DOCVARIABLE &quot;FooterJN&quot; \* MERGEFORMAT ">
            <w:r w:rsidR="00662DF9" w:rsidRPr="006F2E83">
              <w:rPr>
                <w:b w:val="0"/>
                <w:color w:val="000000"/>
                <w:sz w:val="14"/>
                <w:szCs w:val="22"/>
                <w:lang w:eastAsia="en-US"/>
              </w:rPr>
              <w:t>14-03057</w:t>
            </w:r>
          </w:fldSimple>
        </w:p>
      </w:tc>
    </w:tr>
  </w:tbl>
  <w:p w:rsidR="009B66F4" w:rsidRPr="009B66F4" w:rsidRDefault="009B66F4" w:rsidP="009B66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9B66F4" w:rsidTr="009B66F4">
      <w:tblPrEx>
        <w:tblCellMar>
          <w:top w:w="0" w:type="dxa"/>
          <w:bottom w:w="0" w:type="dxa"/>
        </w:tblCellMar>
      </w:tblPrEx>
      <w:tc>
        <w:tcPr>
          <w:tcW w:w="5033" w:type="dxa"/>
          <w:shd w:val="clear" w:color="auto" w:fill="auto"/>
          <w:vAlign w:val="bottom"/>
        </w:tcPr>
        <w:p w:rsidR="009B66F4" w:rsidRPr="006F2E83" w:rsidRDefault="009B66F4" w:rsidP="009B66F4">
          <w:pPr>
            <w:pStyle w:val="Footer"/>
            <w:rPr>
              <w:b w:val="0"/>
              <w:color w:val="000000"/>
              <w:sz w:val="14"/>
              <w:szCs w:val="22"/>
              <w:lang w:eastAsia="en-US"/>
            </w:rPr>
          </w:pPr>
          <w:fldSimple w:instr=" DOCVARIABLE &quot;FooterJN&quot; \* MERGEFORMAT ">
            <w:r w:rsidR="00662DF9" w:rsidRPr="006F2E83">
              <w:rPr>
                <w:b w:val="0"/>
                <w:color w:val="000000"/>
                <w:sz w:val="14"/>
                <w:szCs w:val="22"/>
                <w:lang w:eastAsia="en-US"/>
              </w:rPr>
              <w:t>14-03057</w:t>
            </w:r>
          </w:fldSimple>
        </w:p>
      </w:tc>
      <w:tc>
        <w:tcPr>
          <w:tcW w:w="5033" w:type="dxa"/>
          <w:shd w:val="clear" w:color="auto" w:fill="auto"/>
          <w:vAlign w:val="bottom"/>
        </w:tcPr>
        <w:p w:rsidR="009B66F4" w:rsidRPr="006F2E83" w:rsidRDefault="009B66F4" w:rsidP="009B66F4">
          <w:pPr>
            <w:pStyle w:val="Footer"/>
            <w:jc w:val="right"/>
            <w:rPr>
              <w:szCs w:val="22"/>
              <w:lang w:eastAsia="en-US"/>
            </w:rPr>
          </w:pPr>
          <w:r w:rsidRPr="006F2E83">
            <w:rPr>
              <w:szCs w:val="22"/>
              <w:lang w:eastAsia="en-US"/>
            </w:rPr>
            <w:fldChar w:fldCharType="begin"/>
          </w:r>
          <w:r w:rsidRPr="006F2E83">
            <w:rPr>
              <w:szCs w:val="22"/>
              <w:lang w:eastAsia="en-US"/>
            </w:rPr>
            <w:instrText xml:space="preserve"> PAGE  \* Arabic  \* MERGEFORMAT </w:instrText>
          </w:r>
          <w:r w:rsidRPr="006F2E83">
            <w:rPr>
              <w:szCs w:val="22"/>
              <w:lang w:eastAsia="en-US"/>
            </w:rPr>
            <w:fldChar w:fldCharType="separate"/>
          </w:r>
          <w:r w:rsidR="00662DF9" w:rsidRPr="006F2E83">
            <w:rPr>
              <w:noProof/>
              <w:szCs w:val="22"/>
              <w:lang w:eastAsia="en-US"/>
            </w:rPr>
            <w:t>39</w:t>
          </w:r>
          <w:r w:rsidRPr="006F2E83">
            <w:rPr>
              <w:szCs w:val="22"/>
              <w:lang w:eastAsia="en-US"/>
            </w:rPr>
            <w:fldChar w:fldCharType="end"/>
          </w:r>
          <w:r w:rsidRPr="006F2E83">
            <w:rPr>
              <w:szCs w:val="22"/>
              <w:lang w:eastAsia="en-US"/>
            </w:rPr>
            <w:t>/</w:t>
          </w:r>
          <w:fldSimple w:instr=" NUMPAGES  \* Arabic  \* MERGEFORMAT ">
            <w:r w:rsidR="00662DF9" w:rsidRPr="006F2E83">
              <w:rPr>
                <w:noProof/>
                <w:szCs w:val="22"/>
                <w:lang w:eastAsia="en-US"/>
              </w:rPr>
              <w:t>40</w:t>
            </w:r>
          </w:fldSimple>
        </w:p>
      </w:tc>
    </w:tr>
  </w:tbl>
  <w:p w:rsidR="009B66F4" w:rsidRPr="009B66F4" w:rsidRDefault="009B66F4" w:rsidP="009B66F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6F4" w:rsidRDefault="009B66F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4pt;margin-top:683.75pt;width:54.9pt;height:54.9pt;z-index:1;mso-position-horizontal-relative:page;mso-position-vertical-relative:page" o:preferrelative="f">
          <v:imagedata r:id="rId1" o:title="7-8&amp;Size =1&amp;Lang = R"/>
          <w10:wrap anchorx="page" anchory="page"/>
        </v:shape>
      </w:pict>
    </w:r>
  </w:p>
  <w:tbl>
    <w:tblPr>
      <w:tblW w:w="0" w:type="auto"/>
      <w:tblLayout w:type="fixed"/>
      <w:tblLook w:val="0000"/>
    </w:tblPr>
    <w:tblGrid>
      <w:gridCol w:w="3830"/>
      <w:gridCol w:w="5033"/>
    </w:tblGrid>
    <w:tr w:rsidR="009B66F4" w:rsidTr="009B66F4">
      <w:tblPrEx>
        <w:tblCellMar>
          <w:top w:w="0" w:type="dxa"/>
          <w:bottom w:w="0" w:type="dxa"/>
        </w:tblCellMar>
      </w:tblPrEx>
      <w:tc>
        <w:tcPr>
          <w:tcW w:w="3830" w:type="dxa"/>
        </w:tcPr>
        <w:p w:rsidR="009B66F4" w:rsidRDefault="009B66F4" w:rsidP="009B66F4">
          <w:pPr>
            <w:pStyle w:val="ReleaseDate"/>
            <w:rPr>
              <w:color w:val="010000"/>
            </w:rPr>
          </w:pPr>
          <w:r>
            <w:t>14-03057 (R)</w:t>
          </w:r>
          <w:r>
            <w:rPr>
              <w:color w:val="010000"/>
            </w:rPr>
            <w:t xml:space="preserve">    210514    210514</w:t>
          </w:r>
        </w:p>
        <w:p w:rsidR="009B66F4" w:rsidRPr="009B66F4" w:rsidRDefault="009B66F4" w:rsidP="009B66F4">
          <w:pPr>
            <w:spacing w:before="80" w:line="210" w:lineRule="exact"/>
            <w:rPr>
              <w:rFonts w:ascii="Barcode 3 of 9 by request" w:hAnsi="Barcode 3 of 9 by request"/>
              <w:w w:val="100"/>
              <w:sz w:val="24"/>
            </w:rPr>
          </w:pPr>
          <w:r>
            <w:rPr>
              <w:rFonts w:ascii="Barcode 3 of 9 by request" w:hAnsi="Barcode 3 of 9 by request"/>
              <w:w w:val="100"/>
              <w:sz w:val="24"/>
            </w:rPr>
            <w:t>*1403057(R)*</w:t>
          </w:r>
        </w:p>
      </w:tc>
      <w:tc>
        <w:tcPr>
          <w:tcW w:w="5033" w:type="dxa"/>
        </w:tcPr>
        <w:p w:rsidR="009B66F4" w:rsidRPr="006F2E83" w:rsidRDefault="009B66F4" w:rsidP="009B66F4">
          <w:pPr>
            <w:pStyle w:val="Footer"/>
            <w:spacing w:line="240" w:lineRule="atLeast"/>
            <w:jc w:val="right"/>
            <w:rPr>
              <w:b w:val="0"/>
              <w:sz w:val="20"/>
              <w:szCs w:val="22"/>
              <w:lang w:eastAsia="en-US"/>
            </w:rPr>
          </w:pPr>
          <w:r w:rsidRPr="006F2E83">
            <w:rPr>
              <w:b w:val="0"/>
              <w:sz w:val="20"/>
              <w:szCs w:val="22"/>
              <w:lang w:eastAsia="en-US"/>
            </w:rPr>
            <w:pict>
              <v:shape id="_x0000_i1026" type="#_x0000_t75" style="width:213pt;height:18pt">
                <v:imagedata r:id="rId2" o:title="recycle_Russian"/>
              </v:shape>
            </w:pict>
          </w:r>
        </w:p>
      </w:tc>
    </w:tr>
  </w:tbl>
  <w:p w:rsidR="009B66F4" w:rsidRPr="009B66F4" w:rsidRDefault="009B66F4" w:rsidP="009B66F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77F8" w:rsidRPr="00DD2824" w:rsidRDefault="008D77F8" w:rsidP="00DD2824">
      <w:pPr>
        <w:pStyle w:val="Footer"/>
        <w:spacing w:after="80"/>
        <w:ind w:left="792"/>
        <w:rPr>
          <w:sz w:val="16"/>
        </w:rPr>
      </w:pPr>
      <w:r w:rsidRPr="00DD2824">
        <w:rPr>
          <w:sz w:val="16"/>
        </w:rPr>
        <w:t>__________________</w:t>
      </w:r>
    </w:p>
  </w:footnote>
  <w:footnote w:type="continuationSeparator" w:id="0">
    <w:p w:rsidR="008D77F8" w:rsidRPr="00DD2824" w:rsidRDefault="008D77F8" w:rsidP="00DD2824">
      <w:pPr>
        <w:pStyle w:val="Footer"/>
        <w:spacing w:after="80"/>
        <w:ind w:left="792"/>
        <w:rPr>
          <w:sz w:val="16"/>
        </w:rPr>
      </w:pPr>
      <w:r w:rsidRPr="00DD2824">
        <w:rPr>
          <w:sz w:val="16"/>
        </w:rPr>
        <w:t>__________________</w:t>
      </w:r>
    </w:p>
  </w:footnote>
  <w:footnote w:id="1">
    <w:p w:rsidR="00DD2824" w:rsidRDefault="00DD2824" w:rsidP="00DD2824">
      <w:pPr>
        <w:pStyle w:val="FootnoteText"/>
        <w:tabs>
          <w:tab w:val="right" w:pos="1195"/>
          <w:tab w:val="left" w:pos="1267"/>
          <w:tab w:val="left" w:pos="1742"/>
          <w:tab w:val="left" w:pos="2218"/>
          <w:tab w:val="left" w:pos="2693"/>
        </w:tabs>
        <w:ind w:left="1267" w:right="1260" w:hanging="432"/>
        <w:rPr>
          <w:szCs w:val="17"/>
        </w:rPr>
      </w:pPr>
      <w:r>
        <w:rPr>
          <w:rStyle w:val="FootnoteReference"/>
          <w:szCs w:val="17"/>
        </w:rPr>
        <w:tab/>
        <w:t>*</w:t>
      </w:r>
      <w:r>
        <w:rPr>
          <w:rStyle w:val="FootnoteReference"/>
          <w:szCs w:val="17"/>
        </w:rPr>
        <w:tab/>
      </w:r>
      <w:r>
        <w:rPr>
          <w:szCs w:val="17"/>
        </w:rPr>
        <w:t>Настоящий документ издается без официального редактирования.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B66F4" w:rsidTr="009B66F4">
      <w:tblPrEx>
        <w:tblCellMar>
          <w:top w:w="0" w:type="dxa"/>
          <w:bottom w:w="0" w:type="dxa"/>
        </w:tblCellMar>
      </w:tblPrEx>
      <w:trPr>
        <w:trHeight w:hRule="exact" w:val="864"/>
      </w:trPr>
      <w:tc>
        <w:tcPr>
          <w:tcW w:w="4838" w:type="dxa"/>
          <w:shd w:val="clear" w:color="auto" w:fill="auto"/>
          <w:vAlign w:val="bottom"/>
        </w:tcPr>
        <w:p w:rsidR="009B66F4" w:rsidRPr="006F2E83" w:rsidRDefault="009B66F4" w:rsidP="009B66F4">
          <w:pPr>
            <w:pStyle w:val="Header"/>
            <w:spacing w:after="80"/>
            <w:rPr>
              <w:b/>
              <w:szCs w:val="22"/>
              <w:lang w:eastAsia="en-US"/>
            </w:rPr>
          </w:pPr>
          <w:fldSimple w:instr=" DOCVARIABLE &quot;sss1&quot; \* MERGEFORMAT ">
            <w:r w:rsidR="00662DF9" w:rsidRPr="006F2E83">
              <w:rPr>
                <w:b/>
                <w:szCs w:val="22"/>
                <w:lang w:eastAsia="en-US"/>
              </w:rPr>
              <w:t>CEDAW/C/LBR/7-8</w:t>
            </w:r>
          </w:fldSimple>
        </w:p>
      </w:tc>
      <w:tc>
        <w:tcPr>
          <w:tcW w:w="5033" w:type="dxa"/>
          <w:shd w:val="clear" w:color="auto" w:fill="auto"/>
          <w:vAlign w:val="bottom"/>
        </w:tcPr>
        <w:p w:rsidR="009B66F4" w:rsidRPr="006F2E83" w:rsidRDefault="009B66F4" w:rsidP="009B66F4">
          <w:pPr>
            <w:pStyle w:val="Header"/>
            <w:rPr>
              <w:szCs w:val="22"/>
              <w:lang w:eastAsia="en-US"/>
            </w:rPr>
          </w:pPr>
        </w:p>
      </w:tc>
    </w:tr>
  </w:tbl>
  <w:p w:rsidR="009B66F4" w:rsidRPr="009B66F4" w:rsidRDefault="009B66F4" w:rsidP="009B66F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B66F4" w:rsidTr="009B66F4">
      <w:tblPrEx>
        <w:tblCellMar>
          <w:top w:w="0" w:type="dxa"/>
          <w:bottom w:w="0" w:type="dxa"/>
        </w:tblCellMar>
      </w:tblPrEx>
      <w:trPr>
        <w:trHeight w:hRule="exact" w:val="864"/>
      </w:trPr>
      <w:tc>
        <w:tcPr>
          <w:tcW w:w="4838" w:type="dxa"/>
          <w:shd w:val="clear" w:color="auto" w:fill="auto"/>
          <w:vAlign w:val="bottom"/>
        </w:tcPr>
        <w:p w:rsidR="009B66F4" w:rsidRPr="006F2E83" w:rsidRDefault="009B66F4" w:rsidP="009B66F4">
          <w:pPr>
            <w:pStyle w:val="Header"/>
            <w:rPr>
              <w:szCs w:val="22"/>
              <w:lang w:eastAsia="en-US"/>
            </w:rPr>
          </w:pPr>
        </w:p>
      </w:tc>
      <w:tc>
        <w:tcPr>
          <w:tcW w:w="5033" w:type="dxa"/>
          <w:shd w:val="clear" w:color="auto" w:fill="auto"/>
          <w:vAlign w:val="bottom"/>
        </w:tcPr>
        <w:p w:rsidR="009B66F4" w:rsidRPr="006F2E83" w:rsidRDefault="009B66F4" w:rsidP="009B66F4">
          <w:pPr>
            <w:pStyle w:val="Header"/>
            <w:spacing w:after="80"/>
            <w:jc w:val="right"/>
            <w:rPr>
              <w:b/>
              <w:szCs w:val="22"/>
              <w:lang w:eastAsia="en-US"/>
            </w:rPr>
          </w:pPr>
          <w:fldSimple w:instr=" DOCVARIABLE &quot;sss1&quot; \* MERGEFORMAT ">
            <w:r w:rsidR="00662DF9" w:rsidRPr="006F2E83">
              <w:rPr>
                <w:b/>
                <w:szCs w:val="22"/>
                <w:lang w:eastAsia="en-US"/>
              </w:rPr>
              <w:t>CEDAW/C/LBR/7-8</w:t>
            </w:r>
          </w:fldSimple>
        </w:p>
      </w:tc>
    </w:tr>
  </w:tbl>
  <w:p w:rsidR="009B66F4" w:rsidRPr="009B66F4" w:rsidRDefault="009B66F4" w:rsidP="009B66F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9B66F4" w:rsidTr="009B66F4">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9B66F4" w:rsidRPr="009B66F4" w:rsidRDefault="009B66F4" w:rsidP="009B66F4">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9B66F4" w:rsidRPr="006F2E83" w:rsidRDefault="009B66F4" w:rsidP="009B66F4">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9B66F4" w:rsidRPr="006F2E83" w:rsidRDefault="009B66F4" w:rsidP="009B66F4">
          <w:pPr>
            <w:pStyle w:val="Header"/>
            <w:spacing w:after="20"/>
            <w:jc w:val="right"/>
            <w:rPr>
              <w:sz w:val="20"/>
              <w:szCs w:val="22"/>
              <w:lang w:eastAsia="en-US"/>
            </w:rPr>
          </w:pPr>
          <w:r w:rsidRPr="006F2E83">
            <w:rPr>
              <w:sz w:val="40"/>
              <w:szCs w:val="22"/>
              <w:lang w:eastAsia="en-US"/>
            </w:rPr>
            <w:t>CEDAW</w:t>
          </w:r>
          <w:r w:rsidRPr="006F2E83">
            <w:rPr>
              <w:sz w:val="20"/>
              <w:szCs w:val="22"/>
              <w:lang w:eastAsia="en-US"/>
            </w:rPr>
            <w:t>/C/LBR/7-8</w:t>
          </w:r>
        </w:p>
      </w:tc>
    </w:tr>
    <w:tr w:rsidR="009B66F4" w:rsidRPr="00DD2824" w:rsidTr="009B66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B66F4" w:rsidRPr="006F2E83" w:rsidRDefault="009B66F4" w:rsidP="009B66F4">
          <w:pPr>
            <w:pStyle w:val="Header"/>
            <w:spacing w:before="109"/>
            <w:rPr>
              <w:szCs w:val="22"/>
              <w:lang w:eastAsia="en-US"/>
            </w:rPr>
          </w:pPr>
          <w:r w:rsidRPr="006F2E83">
            <w:rPr>
              <w:szCs w:val="22"/>
              <w:lang w:eastAsia="en-US"/>
            </w:rPr>
            <w:t xml:space="preserve"> </w:t>
          </w:r>
          <w:r w:rsidRPr="006F2E83">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66F4" w:rsidRPr="006F2E83" w:rsidRDefault="009B66F4" w:rsidP="009B66F4">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9B66F4" w:rsidRPr="009B66F4" w:rsidRDefault="009B66F4" w:rsidP="009B66F4">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9B66F4" w:rsidRPr="006F2E83" w:rsidRDefault="009B66F4" w:rsidP="009B66F4">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9B66F4" w:rsidRPr="00DD2824" w:rsidRDefault="009B66F4" w:rsidP="009B66F4">
          <w:pPr>
            <w:pStyle w:val="Distribution"/>
            <w:rPr>
              <w:color w:val="000000"/>
              <w:lang w:val="en-US"/>
            </w:rPr>
          </w:pPr>
          <w:r w:rsidRPr="00DD2824">
            <w:rPr>
              <w:color w:val="000000"/>
              <w:lang w:val="en-US"/>
            </w:rPr>
            <w:t>Distr.: General</w:t>
          </w:r>
        </w:p>
        <w:p w:rsidR="009B66F4" w:rsidRPr="00DD2824" w:rsidRDefault="009B66F4" w:rsidP="009B66F4">
          <w:pPr>
            <w:pStyle w:val="Publication"/>
            <w:rPr>
              <w:color w:val="000000"/>
              <w:lang w:val="en-US"/>
            </w:rPr>
          </w:pPr>
          <w:r w:rsidRPr="00DD2824">
            <w:rPr>
              <w:color w:val="000000"/>
              <w:lang w:val="en-US"/>
            </w:rPr>
            <w:t>10 April 2014</w:t>
          </w:r>
        </w:p>
        <w:p w:rsidR="009B66F4" w:rsidRPr="00DD2824" w:rsidRDefault="009B66F4" w:rsidP="009B66F4">
          <w:pPr>
            <w:rPr>
              <w:color w:val="000000"/>
              <w:lang w:val="en-US"/>
            </w:rPr>
          </w:pPr>
          <w:r w:rsidRPr="00DD2824">
            <w:rPr>
              <w:color w:val="000000"/>
              <w:lang w:val="en-US"/>
            </w:rPr>
            <w:t>Russian</w:t>
          </w:r>
        </w:p>
        <w:p w:rsidR="009B66F4" w:rsidRPr="00DD2824" w:rsidRDefault="009B66F4" w:rsidP="009B66F4">
          <w:pPr>
            <w:pStyle w:val="Original"/>
            <w:rPr>
              <w:color w:val="000000"/>
              <w:lang w:val="en-US"/>
            </w:rPr>
          </w:pPr>
          <w:r w:rsidRPr="00DD2824">
            <w:rPr>
              <w:color w:val="000000"/>
              <w:lang w:val="en-US"/>
            </w:rPr>
            <w:t>Original: English</w:t>
          </w:r>
        </w:p>
        <w:p w:rsidR="009B66F4" w:rsidRPr="00DD2824" w:rsidRDefault="009B66F4" w:rsidP="009B66F4">
          <w:pPr>
            <w:rPr>
              <w:lang w:val="en-US"/>
            </w:rPr>
          </w:pPr>
        </w:p>
      </w:tc>
    </w:tr>
  </w:tbl>
  <w:p w:rsidR="009B66F4" w:rsidRPr="00DD2824" w:rsidRDefault="009B66F4" w:rsidP="009B66F4">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4">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
  </w:num>
  <w:num w:numId="6">
    <w:abstractNumId w:val="1"/>
  </w:num>
  <w:num w:numId="7">
    <w:abstractNumId w:val="0"/>
  </w:num>
  <w:num w:numId="8">
    <w:abstractNumId w:val="2"/>
    <w:lvlOverride w:ilvl="0">
      <w:startOverride w:val="1"/>
    </w:lvlOverride>
  </w:num>
  <w:num w:numId="9">
    <w:abstractNumId w:val="9"/>
    <w:lvlOverride w:ilvl="0"/>
  </w:num>
  <w:num w:numId="10">
    <w:abstractNumId w:val="8"/>
    <w:lvlOverride w:ilvl="0">
      <w:startOverride w:val="1"/>
    </w:lvlOverride>
  </w:num>
  <w:num w:numId="11">
    <w:abstractNumId w:val="7"/>
    <w:lvlOverride w:ilvl="0"/>
  </w:num>
  <w:num w:numId="12">
    <w:abstractNumId w:val="6"/>
    <w:lvlOverride w:ilvl="0"/>
  </w:num>
  <w:num w:numId="13">
    <w:abstractNumId w:val="5"/>
    <w:lvlOverride w:ilvl="0"/>
  </w:num>
  <w:num w:numId="14">
    <w:abstractNumId w:val="4"/>
    <w:lvlOverride w:ilvl="0"/>
  </w:num>
  <w:num w:numId="15">
    <w:abstractNumId w:val="3"/>
    <w:lvlOverride w:ilvl="0">
      <w:startOverride w:val="1"/>
    </w:lvlOverride>
  </w:num>
  <w:num w:numId="16">
    <w:abstractNumId w:val="1"/>
    <w:lvlOverride w:ilvl="0">
      <w:startOverride w:val="1"/>
    </w:lvlOverride>
  </w:num>
  <w:num w:numId="17">
    <w:abstractNumId w:val="0"/>
    <w:lvlOverride w:ilvl="0">
      <w:startOverride w:val="1"/>
    </w:lvlOverride>
  </w:num>
  <w:num w:numId="18">
    <w:abstractNumId w:val="10"/>
    <w:lvlOverride w:ilvl="0"/>
    <w:lvlOverride w:ilvl="1"/>
    <w:lvlOverride w:ilvl="2"/>
    <w:lvlOverride w:ilvl="3"/>
    <w:lvlOverride w:ilvl="4"/>
    <w:lvlOverride w:ilvl="5"/>
    <w:lvlOverride w:ilvl="6"/>
    <w:lvlOverride w:ilvl="7"/>
    <w:lvlOverride w:ilvl="8"/>
  </w:num>
  <w:num w:numId="19">
    <w:abstractNumId w:val="16"/>
    <w:lvlOverride w:ilvl="0"/>
    <w:lvlOverride w:ilvl="1"/>
    <w:lvlOverride w:ilvl="2"/>
    <w:lvlOverride w:ilvl="3"/>
    <w:lvlOverride w:ilvl="4"/>
    <w:lvlOverride w:ilvl="5"/>
    <w:lvlOverride w:ilvl="6"/>
    <w:lvlOverride w:ilvl="7"/>
    <w:lvlOverride w:ilvl="8"/>
  </w:num>
  <w:num w:numId="20">
    <w:abstractNumId w:val="11"/>
  </w:num>
  <w:num w:numId="21">
    <w:abstractNumId w:val="12"/>
  </w:num>
  <w:num w:numId="22">
    <w:abstractNumId w:val="15"/>
  </w:num>
  <w:num w:numId="23">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7*"/>
    <w:docVar w:name="CreationDt" w:val="21/05/2014 1:09: PM"/>
    <w:docVar w:name="DocCategory" w:val="Doc"/>
    <w:docVar w:name="DocType" w:val="Final"/>
    <w:docVar w:name="FooterJN" w:val="14-03057"/>
    <w:docVar w:name="jobn" w:val="14-03057 (R)"/>
    <w:docVar w:name="jobnDT" w:val="14-03057 (R)   210514"/>
    <w:docVar w:name="jobnDTDT" w:val="14-03057 (R)   210514   210514"/>
    <w:docVar w:name="JobNo" w:val="1403057R"/>
    <w:docVar w:name="JobNo2" w:val="1429614R"/>
    <w:docVar w:name="OandT" w:val=" "/>
    <w:docVar w:name="sss1" w:val="CEDAW/C/LBR/7-8"/>
    <w:docVar w:name="sss2" w:val="-"/>
    <w:docVar w:name="Symbol1" w:val="CEDAW/C/LBR/7-8"/>
    <w:docVar w:name="Symbol2" w:val="-"/>
  </w:docVars>
  <w:rsids>
    <w:rsidRoot w:val="004873DC"/>
    <w:rsid w:val="00004615"/>
    <w:rsid w:val="00004756"/>
    <w:rsid w:val="00024A67"/>
    <w:rsid w:val="00033C1F"/>
    <w:rsid w:val="000513EF"/>
    <w:rsid w:val="0005420D"/>
    <w:rsid w:val="00055EA2"/>
    <w:rsid w:val="00067A90"/>
    <w:rsid w:val="00070C37"/>
    <w:rsid w:val="000A111E"/>
    <w:rsid w:val="000C67BC"/>
    <w:rsid w:val="000E4411"/>
    <w:rsid w:val="000F1ACD"/>
    <w:rsid w:val="000F5D07"/>
    <w:rsid w:val="00105B0E"/>
    <w:rsid w:val="001444A3"/>
    <w:rsid w:val="00153645"/>
    <w:rsid w:val="00153E8C"/>
    <w:rsid w:val="00162E88"/>
    <w:rsid w:val="001726A4"/>
    <w:rsid w:val="00177361"/>
    <w:rsid w:val="001A39EE"/>
    <w:rsid w:val="001A6777"/>
    <w:rsid w:val="001C54CE"/>
    <w:rsid w:val="001D1749"/>
    <w:rsid w:val="001E25A2"/>
    <w:rsid w:val="001E61AD"/>
    <w:rsid w:val="00211A7E"/>
    <w:rsid w:val="00217A24"/>
    <w:rsid w:val="00223C57"/>
    <w:rsid w:val="002535D8"/>
    <w:rsid w:val="00254046"/>
    <w:rsid w:val="00261386"/>
    <w:rsid w:val="00261C41"/>
    <w:rsid w:val="00264A43"/>
    <w:rsid w:val="00277697"/>
    <w:rsid w:val="002B6E2A"/>
    <w:rsid w:val="002C66D0"/>
    <w:rsid w:val="002D4606"/>
    <w:rsid w:val="002E1F79"/>
    <w:rsid w:val="002F5C45"/>
    <w:rsid w:val="002F6149"/>
    <w:rsid w:val="00326F5F"/>
    <w:rsid w:val="00337D91"/>
    <w:rsid w:val="00350756"/>
    <w:rsid w:val="003658B0"/>
    <w:rsid w:val="0039505F"/>
    <w:rsid w:val="003A150E"/>
    <w:rsid w:val="003C2842"/>
    <w:rsid w:val="003D0825"/>
    <w:rsid w:val="003D2003"/>
    <w:rsid w:val="003D5DA2"/>
    <w:rsid w:val="003E5193"/>
    <w:rsid w:val="003F338F"/>
    <w:rsid w:val="00427FE5"/>
    <w:rsid w:val="00433222"/>
    <w:rsid w:val="00436F13"/>
    <w:rsid w:val="004420FB"/>
    <w:rsid w:val="004504A6"/>
    <w:rsid w:val="00460D23"/>
    <w:rsid w:val="004645DD"/>
    <w:rsid w:val="004873DC"/>
    <w:rsid w:val="004A7499"/>
    <w:rsid w:val="004B1314"/>
    <w:rsid w:val="004D275F"/>
    <w:rsid w:val="004D656E"/>
    <w:rsid w:val="004E6443"/>
    <w:rsid w:val="005121DC"/>
    <w:rsid w:val="00513113"/>
    <w:rsid w:val="00515869"/>
    <w:rsid w:val="005214BA"/>
    <w:rsid w:val="00524A24"/>
    <w:rsid w:val="00526E12"/>
    <w:rsid w:val="00533411"/>
    <w:rsid w:val="0054563F"/>
    <w:rsid w:val="005469E1"/>
    <w:rsid w:val="00552E08"/>
    <w:rsid w:val="0056579C"/>
    <w:rsid w:val="00567706"/>
    <w:rsid w:val="005734C2"/>
    <w:rsid w:val="00574AA1"/>
    <w:rsid w:val="00590EDF"/>
    <w:rsid w:val="005933CB"/>
    <w:rsid w:val="005A1D01"/>
    <w:rsid w:val="005D38B6"/>
    <w:rsid w:val="005D7642"/>
    <w:rsid w:val="005E0A46"/>
    <w:rsid w:val="005E7DCF"/>
    <w:rsid w:val="005F6E5C"/>
    <w:rsid w:val="00602F9D"/>
    <w:rsid w:val="006261A6"/>
    <w:rsid w:val="0063491E"/>
    <w:rsid w:val="00635AF8"/>
    <w:rsid w:val="00646363"/>
    <w:rsid w:val="00655212"/>
    <w:rsid w:val="00657EE4"/>
    <w:rsid w:val="00662DF9"/>
    <w:rsid w:val="006A1698"/>
    <w:rsid w:val="006A1D06"/>
    <w:rsid w:val="006A3F10"/>
    <w:rsid w:val="006F2E83"/>
    <w:rsid w:val="006F3683"/>
    <w:rsid w:val="00700738"/>
    <w:rsid w:val="00705549"/>
    <w:rsid w:val="0071210D"/>
    <w:rsid w:val="00716BC5"/>
    <w:rsid w:val="00723115"/>
    <w:rsid w:val="00724550"/>
    <w:rsid w:val="00736A19"/>
    <w:rsid w:val="00745258"/>
    <w:rsid w:val="00781ACA"/>
    <w:rsid w:val="00787B44"/>
    <w:rsid w:val="00795A5A"/>
    <w:rsid w:val="007B098D"/>
    <w:rsid w:val="007B1DE5"/>
    <w:rsid w:val="007B5785"/>
    <w:rsid w:val="007B5CF3"/>
    <w:rsid w:val="007C62D1"/>
    <w:rsid w:val="007C706F"/>
    <w:rsid w:val="007E0E39"/>
    <w:rsid w:val="007E2B60"/>
    <w:rsid w:val="007E78F4"/>
    <w:rsid w:val="00803EC5"/>
    <w:rsid w:val="00821CE2"/>
    <w:rsid w:val="00830FF8"/>
    <w:rsid w:val="00844407"/>
    <w:rsid w:val="00853E2A"/>
    <w:rsid w:val="008541E9"/>
    <w:rsid w:val="00856EEB"/>
    <w:rsid w:val="008776BB"/>
    <w:rsid w:val="00880540"/>
    <w:rsid w:val="0088396E"/>
    <w:rsid w:val="008A1A7A"/>
    <w:rsid w:val="008B08A3"/>
    <w:rsid w:val="008B709D"/>
    <w:rsid w:val="008C6372"/>
    <w:rsid w:val="008D0CE3"/>
    <w:rsid w:val="008D77F8"/>
    <w:rsid w:val="008F12FD"/>
    <w:rsid w:val="008F13EA"/>
    <w:rsid w:val="00904F3C"/>
    <w:rsid w:val="00907EDB"/>
    <w:rsid w:val="009110C5"/>
    <w:rsid w:val="00915944"/>
    <w:rsid w:val="009327BF"/>
    <w:rsid w:val="00935F33"/>
    <w:rsid w:val="0094745A"/>
    <w:rsid w:val="0095649D"/>
    <w:rsid w:val="00984EE4"/>
    <w:rsid w:val="0099354F"/>
    <w:rsid w:val="009B3444"/>
    <w:rsid w:val="009B5DCD"/>
    <w:rsid w:val="009B66F4"/>
    <w:rsid w:val="009D6E3D"/>
    <w:rsid w:val="009F0808"/>
    <w:rsid w:val="00A14F1D"/>
    <w:rsid w:val="00A1703F"/>
    <w:rsid w:val="00A63339"/>
    <w:rsid w:val="00A90F41"/>
    <w:rsid w:val="00A9600A"/>
    <w:rsid w:val="00A96C80"/>
    <w:rsid w:val="00AA0ABF"/>
    <w:rsid w:val="00AA27C2"/>
    <w:rsid w:val="00AD6322"/>
    <w:rsid w:val="00AD78B1"/>
    <w:rsid w:val="00AF0B91"/>
    <w:rsid w:val="00B33139"/>
    <w:rsid w:val="00B5129B"/>
    <w:rsid w:val="00B56376"/>
    <w:rsid w:val="00B606B7"/>
    <w:rsid w:val="00B77FC0"/>
    <w:rsid w:val="00BB052D"/>
    <w:rsid w:val="00BB1F92"/>
    <w:rsid w:val="00BB5B7F"/>
    <w:rsid w:val="00BC43D2"/>
    <w:rsid w:val="00BD2F16"/>
    <w:rsid w:val="00BE448A"/>
    <w:rsid w:val="00BE531D"/>
    <w:rsid w:val="00BF3D60"/>
    <w:rsid w:val="00BF5FCB"/>
    <w:rsid w:val="00C16B93"/>
    <w:rsid w:val="00C2210E"/>
    <w:rsid w:val="00C2524E"/>
    <w:rsid w:val="00C32802"/>
    <w:rsid w:val="00C40B0B"/>
    <w:rsid w:val="00C60105"/>
    <w:rsid w:val="00C623BF"/>
    <w:rsid w:val="00C70D59"/>
    <w:rsid w:val="00C7432F"/>
    <w:rsid w:val="00C77473"/>
    <w:rsid w:val="00CA2CF3"/>
    <w:rsid w:val="00CB519E"/>
    <w:rsid w:val="00CC5B37"/>
    <w:rsid w:val="00CD2ED3"/>
    <w:rsid w:val="00CD3C62"/>
    <w:rsid w:val="00CF021B"/>
    <w:rsid w:val="00CF07BE"/>
    <w:rsid w:val="00D028FF"/>
    <w:rsid w:val="00D1470E"/>
    <w:rsid w:val="00D20AA4"/>
    <w:rsid w:val="00D434AF"/>
    <w:rsid w:val="00D61BB7"/>
    <w:rsid w:val="00D7165D"/>
    <w:rsid w:val="00D75705"/>
    <w:rsid w:val="00D961D6"/>
    <w:rsid w:val="00D97B17"/>
    <w:rsid w:val="00DA1A4A"/>
    <w:rsid w:val="00DC1E7E"/>
    <w:rsid w:val="00DC7A5F"/>
    <w:rsid w:val="00DD2824"/>
    <w:rsid w:val="00DD6A66"/>
    <w:rsid w:val="00DF1CF0"/>
    <w:rsid w:val="00E04C73"/>
    <w:rsid w:val="00E079A3"/>
    <w:rsid w:val="00E15D7D"/>
    <w:rsid w:val="00E17234"/>
    <w:rsid w:val="00E261F5"/>
    <w:rsid w:val="00E6111E"/>
    <w:rsid w:val="00E616D0"/>
    <w:rsid w:val="00E65C07"/>
    <w:rsid w:val="00E8225E"/>
    <w:rsid w:val="00E90547"/>
    <w:rsid w:val="00E970B0"/>
    <w:rsid w:val="00EA1656"/>
    <w:rsid w:val="00EA1819"/>
    <w:rsid w:val="00EB646E"/>
    <w:rsid w:val="00EC6F5D"/>
    <w:rsid w:val="00EF1FBD"/>
    <w:rsid w:val="00F07DDF"/>
    <w:rsid w:val="00F16256"/>
    <w:rsid w:val="00F231E8"/>
    <w:rsid w:val="00F33544"/>
    <w:rsid w:val="00F35ACF"/>
    <w:rsid w:val="00F624BD"/>
    <w:rsid w:val="00F62A5E"/>
    <w:rsid w:val="00F74A39"/>
    <w:rsid w:val="00F85203"/>
    <w:rsid w:val="00F92676"/>
    <w:rsid w:val="00F94262"/>
    <w:rsid w:val="00F979A8"/>
    <w:rsid w:val="00FA1B93"/>
    <w:rsid w:val="00FA5551"/>
    <w:rsid w:val="00FA7C7A"/>
    <w:rsid w:val="00FD213B"/>
    <w:rsid w:val="00FD3CE8"/>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unhideWhenUsed="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iPriority="0" w:unhideWhenUsed="0"/>
    <w:lsdException w:name="caption" w:uiPriority="35" w:qFormat="1"/>
    <w:lsdException w:name="footnote reference" w:uiPriority="0"/>
    <w:lsdException w:name="line number" w:semiHidden="0" w:uiPriority="0" w:unhideWhenUsed="0"/>
    <w:lsdException w:name="page number" w:uiPriority="0"/>
    <w:lsdException w:name="endnote reference" w:uiPriority="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List Continue" w:semiHidden="0" w:unhideWhenUsed="0"/>
    <w:lsdException w:name="List Continue 2" w:semiHidden="0" w:unhideWhenUsed="0"/>
    <w:lsdException w:name="Subtitle" w:unhideWhenUsed="0" w:qFormat="1"/>
    <w:lsdException w:name="FollowedHyperlink" w:uiPriority="0"/>
    <w:lsdException w:name="Strong" w:uiPriority="22" w:unhideWhenUsed="0"/>
    <w:lsdException w:name="Emphasis" w:uiPriority="20" w:unhideWhenUsed="0"/>
    <w:lsdException w:name="HTML Address" w:uiPriority="0"/>
    <w:lsdException w:name="HTML Code" w:uiPriority="0"/>
    <w:lsdException w:name="HTML Keyboard" w:uiPriority="0"/>
    <w:lsdException w:name="HTML Preformatted" w:uiPriority="0"/>
    <w:lsdException w:name="HTML Sample" w:uiPriority="0"/>
    <w:lsdException w:name="HTML Typewriter"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qFormat/>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qFormat/>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qFormat/>
    <w:rsid w:val="0071210D"/>
    <w:pPr>
      <w:keepNext/>
      <w:spacing w:before="240" w:after="60"/>
      <w:outlineLvl w:val="2"/>
    </w:pPr>
    <w:rPr>
      <w:rFonts w:ascii="Arial" w:eastAsia="SimSun" w:hAnsi="Arial"/>
      <w:b/>
      <w:bCs/>
      <w:sz w:val="26"/>
      <w:szCs w:val="20"/>
      <w:lang/>
    </w:rPr>
  </w:style>
  <w:style w:type="paragraph" w:styleId="Heading4">
    <w:name w:val="heading 4"/>
    <w:basedOn w:val="Normal"/>
    <w:next w:val="Normal"/>
    <w:link w:val="Heading4Char"/>
    <w:semiHidden/>
    <w:unhideWhenUsed/>
    <w:qFormat/>
    <w:rsid w:val="00DD2824"/>
    <w:pPr>
      <w:numPr>
        <w:ilvl w:val="3"/>
        <w:numId w:val="1"/>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semiHidden/>
    <w:unhideWhenUsed/>
    <w:qFormat/>
    <w:rsid w:val="00DD2824"/>
    <w:pPr>
      <w:numPr>
        <w:ilvl w:val="4"/>
        <w:numId w:val="1"/>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semiHidden/>
    <w:unhideWhenUsed/>
    <w:qFormat/>
    <w:rsid w:val="00DD2824"/>
    <w:pPr>
      <w:numPr>
        <w:ilvl w:val="5"/>
        <w:numId w:val="1"/>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uiPriority w:val="99"/>
    <w:semiHidden/>
    <w:unhideWhenUsed/>
    <w:qFormat/>
    <w:rsid w:val="00DD2824"/>
    <w:pPr>
      <w:numPr>
        <w:ilvl w:val="6"/>
        <w:numId w:val="1"/>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uiPriority w:val="99"/>
    <w:semiHidden/>
    <w:unhideWhenUsed/>
    <w:qFormat/>
    <w:rsid w:val="00DD2824"/>
    <w:pPr>
      <w:numPr>
        <w:ilvl w:val="7"/>
        <w:numId w:val="1"/>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uiPriority w:val="99"/>
    <w:semiHidden/>
    <w:unhideWhenUsed/>
    <w:qFormat/>
    <w:rsid w:val="00DD2824"/>
    <w:pPr>
      <w:numPr>
        <w:ilvl w:val="8"/>
        <w:numId w:val="1"/>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uiPriority w:val="99"/>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aliases w:val="3_G Char"/>
    <w:link w:val="Footer"/>
    <w:rsid w:val="00BE531D"/>
    <w:rPr>
      <w:rFonts w:ascii="Times New Roman" w:hAnsi="Times New Roman"/>
      <w:b/>
      <w:sz w:val="17"/>
      <w:lang w:val="ru-RU"/>
    </w:rPr>
  </w:style>
  <w:style w:type="paragraph" w:styleId="Header">
    <w:name w:val="header"/>
    <w:aliases w:val="6_G"/>
    <w:basedOn w:val="Normal"/>
    <w:link w:val="HeaderChar"/>
    <w:uiPriority w:val="99"/>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aliases w:val="6_G Char"/>
    <w:link w:val="Header"/>
    <w:uiPriority w:val="99"/>
    <w:rsid w:val="00BE531D"/>
    <w:rPr>
      <w:rFonts w:ascii="Times New Roman" w:hAnsi="Times New Roman"/>
      <w:sz w:val="17"/>
      <w:lang w:val="ru-RU"/>
    </w:rPr>
  </w:style>
  <w:style w:type="character" w:customStyle="1" w:styleId="Heading1Char">
    <w:name w:val="Heading 1 Char"/>
    <w:link w:val="Heading1"/>
    <w:rsid w:val="0088396E"/>
    <w:rPr>
      <w:rFonts w:ascii="Arial" w:eastAsia="SimSun" w:hAnsi="Arial" w:cs="Times New Roman"/>
      <w:b/>
      <w:bCs/>
      <w:spacing w:val="4"/>
      <w:w w:val="103"/>
      <w:kern w:val="14"/>
      <w:sz w:val="32"/>
      <w:szCs w:val="28"/>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Char Char2,Footnote Text Blue Char,EUMC_Lábjegyzetszöveg + 13 pt Char,Félkövér Char,Dolt Char,Középre zárt Char Char1,Középre zárt Char Char Char,Középre zárt Char1,Märk Char,Footnote Text Char1 Char,f Char"/>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unhideWhenUsed/>
    <w:rsid w:val="00EC6F5D"/>
    <w:rPr>
      <w:spacing w:val="-5"/>
      <w:w w:val="130"/>
      <w:position w:val="-4"/>
      <w:vertAlign w:val="superscript"/>
    </w:rPr>
  </w:style>
  <w:style w:type="paragraph" w:styleId="EndnoteText">
    <w:name w:val="endnote text"/>
    <w:aliases w:val="2_G"/>
    <w:basedOn w:val="Normal"/>
    <w:link w:val="EndnoteTextChar"/>
    <w:semiHidden/>
    <w:unhideWhenUsed/>
    <w:rsid w:val="00515869"/>
    <w:pPr>
      <w:suppressAutoHyphens/>
      <w:spacing w:line="240" w:lineRule="auto"/>
    </w:pPr>
    <w:rPr>
      <w:spacing w:val="5"/>
      <w:w w:val="104"/>
      <w:szCs w:val="20"/>
      <w:lang/>
    </w:rPr>
  </w:style>
  <w:style w:type="character" w:customStyle="1" w:styleId="EndnoteTextChar">
    <w:name w:val="Endnote Text Char"/>
    <w:aliases w:val="2_G Char1"/>
    <w:link w:val="EndnoteText"/>
    <w:semiHidden/>
    <w:rsid w:val="00515869"/>
    <w:rPr>
      <w:rFonts w:ascii="Times New Roman" w:hAnsi="Times New Roman"/>
      <w:spacing w:val="5"/>
      <w:w w:val="104"/>
      <w:kern w:val="14"/>
      <w:sz w:val="20"/>
      <w:szCs w:val="20"/>
      <w:lang w:val="ru-RU"/>
    </w:rPr>
  </w:style>
  <w:style w:type="character" w:styleId="CommentReference">
    <w:name w:val="annotation reference"/>
    <w:uiPriority w:val="99"/>
    <w:semiHidden/>
    <w:unhideWhenUsed/>
    <w:rsid w:val="009B66F4"/>
    <w:rPr>
      <w:sz w:val="16"/>
      <w:szCs w:val="16"/>
    </w:rPr>
  </w:style>
  <w:style w:type="paragraph" w:styleId="CommentText">
    <w:name w:val="annotation text"/>
    <w:basedOn w:val="Normal"/>
    <w:link w:val="CommentTextChar"/>
    <w:uiPriority w:val="99"/>
    <w:semiHidden/>
    <w:unhideWhenUsed/>
    <w:rsid w:val="009B66F4"/>
    <w:rPr>
      <w:szCs w:val="20"/>
      <w:lang/>
    </w:rPr>
  </w:style>
  <w:style w:type="character" w:customStyle="1" w:styleId="CommentTextChar">
    <w:name w:val="Comment Text Char"/>
    <w:link w:val="CommentText"/>
    <w:uiPriority w:val="99"/>
    <w:semiHidden/>
    <w:rsid w:val="009B66F4"/>
    <w:rPr>
      <w:rFonts w:ascii="Times New Roman" w:hAnsi="Times New Roman" w:cs="Times New Roman"/>
      <w:spacing w:val="4"/>
      <w:w w:val="103"/>
      <w:kern w:val="14"/>
      <w:lang w:eastAsia="en-US"/>
    </w:rPr>
  </w:style>
  <w:style w:type="paragraph" w:styleId="CommentSubject">
    <w:name w:val="annotation subject"/>
    <w:basedOn w:val="CommentText"/>
    <w:next w:val="CommentText"/>
    <w:link w:val="CommentSubjectChar"/>
    <w:uiPriority w:val="99"/>
    <w:semiHidden/>
    <w:unhideWhenUsed/>
    <w:rsid w:val="009B66F4"/>
    <w:rPr>
      <w:b/>
      <w:bCs/>
    </w:rPr>
  </w:style>
  <w:style w:type="character" w:customStyle="1" w:styleId="CommentSubjectChar">
    <w:name w:val="Comment Subject Char"/>
    <w:link w:val="CommentSubject"/>
    <w:uiPriority w:val="99"/>
    <w:semiHidden/>
    <w:rsid w:val="009B66F4"/>
    <w:rPr>
      <w:rFonts w:ascii="Times New Roman" w:hAnsi="Times New Roman" w:cs="Times New Roman"/>
      <w:b/>
      <w:bCs/>
      <w:spacing w:val="4"/>
      <w:w w:val="103"/>
      <w:kern w:val="14"/>
      <w:lang w:eastAsia="en-US"/>
    </w:rPr>
  </w:style>
  <w:style w:type="character" w:customStyle="1" w:styleId="Heading4Char">
    <w:name w:val="Heading 4 Char"/>
    <w:link w:val="Heading4"/>
    <w:semiHidden/>
    <w:rsid w:val="00DD2824"/>
    <w:rPr>
      <w:rFonts w:ascii="Times New Roman" w:eastAsia="Times New Roman" w:hAnsi="Times New Roman" w:cs="Times New Roman"/>
      <w:lang w:val="en-GB" w:eastAsia="en-US"/>
    </w:rPr>
  </w:style>
  <w:style w:type="character" w:customStyle="1" w:styleId="Heading5Char">
    <w:name w:val="Heading 5 Char"/>
    <w:link w:val="Heading5"/>
    <w:semiHidden/>
    <w:rsid w:val="00DD2824"/>
    <w:rPr>
      <w:rFonts w:ascii="Times New Roman" w:eastAsia="Times New Roman" w:hAnsi="Times New Roman" w:cs="Times New Roman"/>
      <w:lang w:val="en-GB" w:eastAsia="en-US"/>
    </w:rPr>
  </w:style>
  <w:style w:type="character" w:customStyle="1" w:styleId="Heading6Char">
    <w:name w:val="Heading 6 Char"/>
    <w:link w:val="Heading6"/>
    <w:semiHidden/>
    <w:rsid w:val="00DD2824"/>
    <w:rPr>
      <w:rFonts w:ascii="Times New Roman" w:eastAsia="Times New Roman" w:hAnsi="Times New Roman" w:cs="Times New Roman"/>
      <w:lang w:val="en-GB" w:eastAsia="en-US"/>
    </w:rPr>
  </w:style>
  <w:style w:type="character" w:customStyle="1" w:styleId="Heading7Char">
    <w:name w:val="Heading 7 Char"/>
    <w:link w:val="Heading7"/>
    <w:uiPriority w:val="99"/>
    <w:semiHidden/>
    <w:rsid w:val="00DD2824"/>
    <w:rPr>
      <w:rFonts w:ascii="Times New Roman" w:eastAsia="Times New Roman" w:hAnsi="Times New Roman" w:cs="Times New Roman"/>
      <w:lang w:val="en-GB" w:eastAsia="en-US"/>
    </w:rPr>
  </w:style>
  <w:style w:type="character" w:customStyle="1" w:styleId="Heading8Char">
    <w:name w:val="Heading 8 Char"/>
    <w:link w:val="Heading8"/>
    <w:uiPriority w:val="99"/>
    <w:semiHidden/>
    <w:rsid w:val="00DD2824"/>
    <w:rPr>
      <w:rFonts w:ascii="Times New Roman" w:eastAsia="Times New Roman" w:hAnsi="Times New Roman" w:cs="Times New Roman"/>
      <w:lang w:val="en-GB" w:eastAsia="en-US"/>
    </w:rPr>
  </w:style>
  <w:style w:type="character" w:customStyle="1" w:styleId="Heading9Char">
    <w:name w:val="Heading 9 Char"/>
    <w:link w:val="Heading9"/>
    <w:uiPriority w:val="99"/>
    <w:semiHidden/>
    <w:rsid w:val="00DD2824"/>
    <w:rPr>
      <w:rFonts w:ascii="Times New Roman" w:eastAsia="Times New Roman" w:hAnsi="Times New Roman" w:cs="Times New Roman"/>
      <w:lang w:val="en-GB" w:eastAsia="en-US"/>
    </w:rPr>
  </w:style>
  <w:style w:type="numbering" w:customStyle="1" w:styleId="NoList1">
    <w:name w:val="No List1"/>
    <w:next w:val="NoList"/>
    <w:uiPriority w:val="99"/>
    <w:semiHidden/>
    <w:unhideWhenUsed/>
    <w:rsid w:val="00DD2824"/>
  </w:style>
  <w:style w:type="character" w:styleId="Hyperlink">
    <w:name w:val="Hyperlink"/>
    <w:uiPriority w:val="99"/>
    <w:semiHidden/>
    <w:unhideWhenUsed/>
    <w:rsid w:val="00DD2824"/>
    <w:rPr>
      <w:strike w:val="0"/>
      <w:dstrike w:val="0"/>
      <w:color w:val="0000FF"/>
      <w:u w:val="none"/>
      <w:effect w:val="none"/>
    </w:rPr>
  </w:style>
  <w:style w:type="character" w:styleId="FollowedHyperlink">
    <w:name w:val="FollowedHyperlink"/>
    <w:semiHidden/>
    <w:unhideWhenUsed/>
    <w:rsid w:val="00DD2824"/>
    <w:rPr>
      <w:strike w:val="0"/>
      <w:dstrike w:val="0"/>
      <w:color w:val="0000FF"/>
      <w:u w:val="none"/>
      <w:effect w:val="none"/>
    </w:rPr>
  </w:style>
  <w:style w:type="paragraph" w:styleId="HTMLAddress">
    <w:name w:val="HTML Address"/>
    <w:basedOn w:val="Normal"/>
    <w:link w:val="HTMLAddressChar"/>
    <w:semiHidden/>
    <w:unhideWhenUsed/>
    <w:rsid w:val="00DD2824"/>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DD2824"/>
    <w:rPr>
      <w:rFonts w:ascii="Times New Roman" w:eastAsia="Times New Roman" w:hAnsi="Times New Roman" w:cs="Times New Roman"/>
      <w:i/>
      <w:iCs/>
      <w:lang w:val="en-GB" w:eastAsia="en-US"/>
    </w:rPr>
  </w:style>
  <w:style w:type="character" w:styleId="HTMLCode">
    <w:name w:val="HTML Code"/>
    <w:semiHidden/>
    <w:unhideWhenUsed/>
    <w:rsid w:val="00DD2824"/>
    <w:rPr>
      <w:rFonts w:ascii="Courier New" w:eastAsia="Times New Roman" w:hAnsi="Courier New" w:cs="Courier New" w:hint="default"/>
      <w:sz w:val="20"/>
      <w:szCs w:val="20"/>
    </w:rPr>
  </w:style>
  <w:style w:type="character" w:styleId="HTMLKeyboard">
    <w:name w:val="HTML Keyboard"/>
    <w:semiHidden/>
    <w:unhideWhenUsed/>
    <w:rsid w:val="00DD2824"/>
    <w:rPr>
      <w:rFonts w:ascii="Courier New" w:eastAsia="Times New Roman" w:hAnsi="Courier New" w:cs="Courier New" w:hint="default"/>
      <w:sz w:val="20"/>
      <w:szCs w:val="20"/>
    </w:rPr>
  </w:style>
  <w:style w:type="paragraph" w:styleId="HTMLPreformatted">
    <w:name w:val="HTML Preformatted"/>
    <w:basedOn w:val="Normal"/>
    <w:link w:val="HTMLPreformattedChar"/>
    <w:semiHidden/>
    <w:unhideWhenUsed/>
    <w:rsid w:val="00DD2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DD2824"/>
    <w:rPr>
      <w:rFonts w:ascii="Courier New" w:eastAsia="Times New Roman" w:hAnsi="Courier New" w:cs="Courier New"/>
      <w:lang w:val="en-GB" w:eastAsia="en-US"/>
    </w:rPr>
  </w:style>
  <w:style w:type="character" w:styleId="HTMLSample">
    <w:name w:val="HTML Sample"/>
    <w:semiHidden/>
    <w:unhideWhenUsed/>
    <w:rsid w:val="00DD2824"/>
    <w:rPr>
      <w:rFonts w:ascii="Courier New" w:eastAsia="Times New Roman" w:hAnsi="Courier New" w:cs="Courier New" w:hint="default"/>
    </w:rPr>
  </w:style>
  <w:style w:type="character" w:styleId="HTMLTypewriter">
    <w:name w:val="HTML Typewriter"/>
    <w:semiHidden/>
    <w:unhideWhenUsed/>
    <w:rsid w:val="00DD2824"/>
    <w:rPr>
      <w:rFonts w:ascii="Courier New" w:eastAsia="Times New Roman" w:hAnsi="Courier New" w:cs="Courier New" w:hint="default"/>
      <w:sz w:val="20"/>
      <w:szCs w:val="20"/>
    </w:rPr>
  </w:style>
  <w:style w:type="paragraph" w:styleId="NormalWeb">
    <w:name w:val="Normal (Web)"/>
    <w:basedOn w:val="Normal"/>
    <w:uiPriority w:val="99"/>
    <w:semiHidden/>
    <w:unhideWhenUsed/>
    <w:rsid w:val="00DD2824"/>
    <w:pPr>
      <w:suppressAutoHyphens/>
      <w:spacing w:line="240" w:lineRule="atLeast"/>
    </w:pPr>
    <w:rPr>
      <w:rFonts w:eastAsia="Times New Roman"/>
      <w:spacing w:val="0"/>
      <w:w w:val="100"/>
      <w:kern w:val="0"/>
      <w:sz w:val="24"/>
      <w:szCs w:val="24"/>
      <w:lang w:val="en-GB"/>
    </w:rPr>
  </w:style>
  <w:style w:type="paragraph" w:styleId="TOC1">
    <w:name w:val="toc 1"/>
    <w:basedOn w:val="Normal"/>
    <w:next w:val="Normal"/>
    <w:autoRedefine/>
    <w:uiPriority w:val="39"/>
    <w:semiHidden/>
    <w:unhideWhenUsed/>
    <w:rsid w:val="00DD2824"/>
    <w:pPr>
      <w:tabs>
        <w:tab w:val="left" w:pos="426"/>
        <w:tab w:val="right" w:leader="dot" w:pos="9629"/>
      </w:tabs>
      <w:suppressAutoHyphens/>
      <w:spacing w:after="120"/>
    </w:pPr>
    <w:rPr>
      <w:rFonts w:eastAsia="Times New Roman"/>
      <w:spacing w:val="0"/>
      <w:w w:val="100"/>
      <w:kern w:val="0"/>
      <w:szCs w:val="20"/>
      <w:lang w:val="en-GB"/>
    </w:rPr>
  </w:style>
  <w:style w:type="paragraph" w:styleId="NormalIndent">
    <w:name w:val="Normal Indent"/>
    <w:basedOn w:val="Normal"/>
    <w:uiPriority w:val="99"/>
    <w:semiHidden/>
    <w:unhideWhenUsed/>
    <w:rsid w:val="00DD2824"/>
    <w:pPr>
      <w:suppressAutoHyphens/>
      <w:spacing w:line="240" w:lineRule="atLeast"/>
      <w:ind w:left="567"/>
    </w:pPr>
    <w:rPr>
      <w:rFonts w:eastAsia="Times New Roman"/>
      <w:spacing w:val="0"/>
      <w:w w:val="100"/>
      <w:kern w:val="0"/>
      <w:szCs w:val="20"/>
      <w:lang w:val="en-GB"/>
    </w:rPr>
  </w:style>
  <w:style w:type="character" w:customStyle="1" w:styleId="FootnoteTextChar1">
    <w:name w:val="Footnote Text Char1"/>
    <w:uiPriority w:val="99"/>
    <w:semiHidden/>
    <w:rsid w:val="00DD2824"/>
    <w:rPr>
      <w:rFonts w:ascii="Times New Roman" w:eastAsia="Times New Roman" w:hAnsi="Times New Roman" w:cs="Times New Roman"/>
      <w:lang w:val="en-GB" w:eastAsia="en-US"/>
    </w:rPr>
  </w:style>
  <w:style w:type="character" w:customStyle="1" w:styleId="FootnoteTextChar2">
    <w:name w:val="Footnote Text Char2"/>
    <w:aliases w:val="5_G Char1,Char Char1,Footnote Text Blue Char1,EUMC_Lábjegyzetszöveg + 13 pt Char1,Félkövér Char1,Dolt Char1,Középre zárt Char Char2,Középre zárt Char Char Char1,Középre zárt Char2,Märk Char1,Footnote Text Char1 Char1,f Char1"/>
    <w:semiHidden/>
    <w:rsid w:val="00DD2824"/>
    <w:rPr>
      <w:lang w:val="en-GB" w:eastAsia="en-US"/>
    </w:rPr>
  </w:style>
  <w:style w:type="character" w:customStyle="1" w:styleId="HeaderChar1">
    <w:name w:val="Header Char1"/>
    <w:aliases w:val="6_G Char1"/>
    <w:uiPriority w:val="99"/>
    <w:semiHidden/>
    <w:rsid w:val="00DD2824"/>
    <w:rPr>
      <w:rFonts w:ascii="Times New Roman" w:eastAsia="Times New Roman" w:hAnsi="Times New Roman" w:cs="Times New Roman"/>
      <w:lang w:val="en-GB" w:eastAsia="en-US"/>
    </w:rPr>
  </w:style>
  <w:style w:type="character" w:customStyle="1" w:styleId="FooterChar1">
    <w:name w:val="Footer Char1"/>
    <w:aliases w:val="3_G Char1"/>
    <w:semiHidden/>
    <w:rsid w:val="00DD2824"/>
    <w:rPr>
      <w:rFonts w:ascii="Times New Roman" w:eastAsia="Times New Roman" w:hAnsi="Times New Roman" w:cs="Times New Roman"/>
      <w:lang w:val="en-GB" w:eastAsia="en-US"/>
    </w:rPr>
  </w:style>
  <w:style w:type="paragraph" w:styleId="EnvelopeAddress">
    <w:name w:val="envelope address"/>
    <w:basedOn w:val="Normal"/>
    <w:uiPriority w:val="99"/>
    <w:semiHidden/>
    <w:unhideWhenUsed/>
    <w:rsid w:val="00DD2824"/>
    <w:pPr>
      <w:framePr w:w="7920" w:h="1980"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styleId="EnvelopeReturn">
    <w:name w:val="envelope return"/>
    <w:basedOn w:val="Normal"/>
    <w:uiPriority w:val="99"/>
    <w:semiHidden/>
    <w:unhideWhenUsed/>
    <w:rsid w:val="00DD2824"/>
    <w:pPr>
      <w:suppressAutoHyphens/>
      <w:spacing w:line="240" w:lineRule="atLeast"/>
    </w:pPr>
    <w:rPr>
      <w:rFonts w:ascii="Arial" w:eastAsia="Times New Roman" w:hAnsi="Arial" w:cs="Arial"/>
      <w:spacing w:val="0"/>
      <w:w w:val="100"/>
      <w:kern w:val="0"/>
      <w:szCs w:val="20"/>
      <w:lang w:val="en-GB"/>
    </w:rPr>
  </w:style>
  <w:style w:type="character" w:customStyle="1" w:styleId="EndnoteTextChar1">
    <w:name w:val="Endnote Text Char1"/>
    <w:aliases w:val="2_G Char"/>
    <w:semiHidden/>
    <w:rsid w:val="00DD2824"/>
    <w:rPr>
      <w:rFonts w:ascii="Times New Roman" w:eastAsia="Times New Roman" w:hAnsi="Times New Roman" w:cs="Times New Roman"/>
      <w:lang w:val="en-GB" w:eastAsia="en-US"/>
    </w:rPr>
  </w:style>
  <w:style w:type="paragraph" w:styleId="List">
    <w:name w:val="List"/>
    <w:basedOn w:val="Normal"/>
    <w:uiPriority w:val="99"/>
    <w:semiHidden/>
    <w:unhideWhenUsed/>
    <w:rsid w:val="00DD2824"/>
    <w:pPr>
      <w:suppressAutoHyphens/>
      <w:spacing w:line="240" w:lineRule="atLeast"/>
      <w:ind w:left="283" w:hanging="283"/>
    </w:pPr>
    <w:rPr>
      <w:rFonts w:eastAsia="Times New Roman"/>
      <w:spacing w:val="0"/>
      <w:w w:val="100"/>
      <w:kern w:val="0"/>
      <w:szCs w:val="20"/>
      <w:lang w:val="en-GB"/>
    </w:rPr>
  </w:style>
  <w:style w:type="paragraph" w:styleId="ListBullet">
    <w:name w:val="List Bullet"/>
    <w:basedOn w:val="Normal"/>
    <w:uiPriority w:val="99"/>
    <w:semiHidden/>
    <w:unhideWhenUsed/>
    <w:rsid w:val="00DD2824"/>
    <w:pPr>
      <w:numPr>
        <w:numId w:val="9"/>
      </w:numPr>
      <w:suppressAutoHyphens/>
      <w:spacing w:line="240" w:lineRule="atLeast"/>
    </w:pPr>
    <w:rPr>
      <w:rFonts w:eastAsia="Times New Roman"/>
      <w:spacing w:val="0"/>
      <w:w w:val="100"/>
      <w:kern w:val="0"/>
      <w:szCs w:val="20"/>
      <w:lang w:val="en-GB"/>
    </w:rPr>
  </w:style>
  <w:style w:type="paragraph" w:styleId="List2">
    <w:name w:val="List 2"/>
    <w:basedOn w:val="Normal"/>
    <w:uiPriority w:val="99"/>
    <w:semiHidden/>
    <w:unhideWhenUsed/>
    <w:rsid w:val="00DD2824"/>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uiPriority w:val="99"/>
    <w:semiHidden/>
    <w:unhideWhenUsed/>
    <w:rsid w:val="00DD2824"/>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uiPriority w:val="99"/>
    <w:semiHidden/>
    <w:unhideWhenUsed/>
    <w:rsid w:val="00DD2824"/>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uiPriority w:val="99"/>
    <w:semiHidden/>
    <w:unhideWhenUsed/>
    <w:rsid w:val="00DD2824"/>
    <w:pPr>
      <w:suppressAutoHyphens/>
      <w:spacing w:line="240" w:lineRule="atLeast"/>
      <w:ind w:left="1415" w:hanging="283"/>
    </w:pPr>
    <w:rPr>
      <w:rFonts w:eastAsia="Times New Roman"/>
      <w:spacing w:val="0"/>
      <w:w w:val="100"/>
      <w:kern w:val="0"/>
      <w:szCs w:val="20"/>
      <w:lang w:val="en-GB"/>
    </w:rPr>
  </w:style>
  <w:style w:type="paragraph" w:styleId="ListBullet2">
    <w:name w:val="List Bullet 2"/>
    <w:basedOn w:val="Normal"/>
    <w:uiPriority w:val="99"/>
    <w:semiHidden/>
    <w:unhideWhenUsed/>
    <w:rsid w:val="00DD2824"/>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uiPriority w:val="99"/>
    <w:semiHidden/>
    <w:unhideWhenUsed/>
    <w:rsid w:val="00DD2824"/>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uiPriority w:val="99"/>
    <w:semiHidden/>
    <w:unhideWhenUsed/>
    <w:rsid w:val="00DD2824"/>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uiPriority w:val="99"/>
    <w:semiHidden/>
    <w:unhideWhenUsed/>
    <w:rsid w:val="00DD2824"/>
    <w:pPr>
      <w:numPr>
        <w:numId w:val="14"/>
      </w:numPr>
      <w:suppressAutoHyphens/>
      <w:spacing w:line="240" w:lineRule="atLeast"/>
    </w:pPr>
    <w:rPr>
      <w:rFonts w:eastAsia="Times New Roman"/>
      <w:spacing w:val="0"/>
      <w:w w:val="100"/>
      <w:kern w:val="0"/>
      <w:szCs w:val="20"/>
      <w:lang w:val="en-GB"/>
    </w:rPr>
  </w:style>
  <w:style w:type="paragraph" w:styleId="Title">
    <w:name w:val="Title"/>
    <w:basedOn w:val="Normal"/>
    <w:link w:val="TitleChar"/>
    <w:uiPriority w:val="99"/>
    <w:qFormat/>
    <w:rsid w:val="00DD2824"/>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uiPriority w:val="99"/>
    <w:rsid w:val="00DD2824"/>
    <w:rPr>
      <w:rFonts w:ascii="Arial" w:eastAsia="Times New Roman" w:hAnsi="Arial"/>
      <w:b/>
      <w:bCs/>
      <w:kern w:val="28"/>
      <w:sz w:val="32"/>
      <w:szCs w:val="32"/>
      <w:lang w:val="en-GB" w:eastAsia="en-US"/>
    </w:rPr>
  </w:style>
  <w:style w:type="paragraph" w:styleId="Closing">
    <w:name w:val="Closing"/>
    <w:basedOn w:val="Normal"/>
    <w:link w:val="ClosingChar"/>
    <w:uiPriority w:val="99"/>
    <w:semiHidden/>
    <w:unhideWhenUsed/>
    <w:rsid w:val="00DD2824"/>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uiPriority w:val="99"/>
    <w:semiHidden/>
    <w:rsid w:val="00DD2824"/>
    <w:rPr>
      <w:rFonts w:ascii="Times New Roman" w:eastAsia="Times New Roman" w:hAnsi="Times New Roman" w:cs="Times New Roman"/>
      <w:lang w:val="en-GB" w:eastAsia="en-US"/>
    </w:rPr>
  </w:style>
  <w:style w:type="paragraph" w:styleId="Signature">
    <w:name w:val="Signature"/>
    <w:basedOn w:val="Normal"/>
    <w:link w:val="SignatureChar"/>
    <w:uiPriority w:val="99"/>
    <w:semiHidden/>
    <w:unhideWhenUsed/>
    <w:rsid w:val="00DD2824"/>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uiPriority w:val="99"/>
    <w:semiHidden/>
    <w:rsid w:val="00DD2824"/>
    <w:rPr>
      <w:rFonts w:ascii="Times New Roman" w:eastAsia="Times New Roman" w:hAnsi="Times New Roman" w:cs="Times New Roman"/>
      <w:lang w:val="en-GB" w:eastAsia="en-US"/>
    </w:rPr>
  </w:style>
  <w:style w:type="paragraph" w:styleId="BodyText">
    <w:name w:val="Body Text"/>
    <w:basedOn w:val="Normal"/>
    <w:next w:val="Normal"/>
    <w:link w:val="BodyTextChar"/>
    <w:uiPriority w:val="99"/>
    <w:semiHidden/>
    <w:unhideWhenUsed/>
    <w:rsid w:val="00DD2824"/>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uiPriority w:val="99"/>
    <w:semiHidden/>
    <w:rsid w:val="00DD2824"/>
    <w:rPr>
      <w:rFonts w:ascii="Times New Roman" w:eastAsia="Times New Roman" w:hAnsi="Times New Roman" w:cs="Times New Roman"/>
      <w:lang w:val="en-GB" w:eastAsia="en-US"/>
    </w:rPr>
  </w:style>
  <w:style w:type="paragraph" w:styleId="BodyTextIndent">
    <w:name w:val="Body Text Indent"/>
    <w:basedOn w:val="Normal"/>
    <w:link w:val="BodyTextIndentChar"/>
    <w:uiPriority w:val="99"/>
    <w:semiHidden/>
    <w:unhideWhenUsed/>
    <w:rsid w:val="00DD2824"/>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uiPriority w:val="99"/>
    <w:semiHidden/>
    <w:rsid w:val="00DD2824"/>
    <w:rPr>
      <w:rFonts w:ascii="Times New Roman" w:eastAsia="Times New Roman" w:hAnsi="Times New Roman" w:cs="Times New Roman"/>
      <w:lang w:val="en-GB" w:eastAsia="en-US"/>
    </w:rPr>
  </w:style>
  <w:style w:type="paragraph" w:styleId="ListContinue3">
    <w:name w:val="List Continue 3"/>
    <w:basedOn w:val="Normal"/>
    <w:uiPriority w:val="99"/>
    <w:semiHidden/>
    <w:unhideWhenUsed/>
    <w:rsid w:val="00DD2824"/>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uiPriority w:val="99"/>
    <w:semiHidden/>
    <w:unhideWhenUsed/>
    <w:rsid w:val="00DD2824"/>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uiPriority w:val="99"/>
    <w:semiHidden/>
    <w:unhideWhenUsed/>
    <w:rsid w:val="00DD2824"/>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uiPriority w:val="99"/>
    <w:semiHidden/>
    <w:unhideWhenUsed/>
    <w:rsid w:val="00DD282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uiPriority w:val="99"/>
    <w:semiHidden/>
    <w:rsid w:val="00DD2824"/>
    <w:rPr>
      <w:rFonts w:ascii="Arial" w:eastAsia="Times New Roman" w:hAnsi="Arial"/>
      <w:sz w:val="24"/>
      <w:szCs w:val="24"/>
      <w:shd w:val="pct20" w:color="auto" w:fill="auto"/>
      <w:lang w:val="en-GB" w:eastAsia="en-US"/>
    </w:rPr>
  </w:style>
  <w:style w:type="paragraph" w:styleId="Subtitle">
    <w:name w:val="Subtitle"/>
    <w:basedOn w:val="Normal"/>
    <w:link w:val="SubtitleChar"/>
    <w:uiPriority w:val="99"/>
    <w:qFormat/>
    <w:rsid w:val="00DD2824"/>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uiPriority w:val="99"/>
    <w:rsid w:val="00DD2824"/>
    <w:rPr>
      <w:rFonts w:ascii="Arial" w:eastAsia="Times New Roman" w:hAnsi="Arial"/>
      <w:sz w:val="24"/>
      <w:szCs w:val="24"/>
      <w:lang w:val="en-GB" w:eastAsia="en-US"/>
    </w:rPr>
  </w:style>
  <w:style w:type="paragraph" w:styleId="Salutation">
    <w:name w:val="Salutation"/>
    <w:basedOn w:val="Normal"/>
    <w:next w:val="Normal"/>
    <w:link w:val="SalutationChar"/>
    <w:uiPriority w:val="99"/>
    <w:semiHidden/>
    <w:unhideWhenUsed/>
    <w:rsid w:val="00DD2824"/>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uiPriority w:val="99"/>
    <w:semiHidden/>
    <w:rsid w:val="00DD2824"/>
    <w:rPr>
      <w:rFonts w:ascii="Times New Roman" w:eastAsia="Times New Roman" w:hAnsi="Times New Roman" w:cs="Times New Roman"/>
      <w:lang w:val="en-GB" w:eastAsia="en-US"/>
    </w:rPr>
  </w:style>
  <w:style w:type="paragraph" w:styleId="Date">
    <w:name w:val="Date"/>
    <w:basedOn w:val="Normal"/>
    <w:next w:val="Normal"/>
    <w:link w:val="DateChar"/>
    <w:uiPriority w:val="99"/>
    <w:semiHidden/>
    <w:unhideWhenUsed/>
    <w:rsid w:val="00DD2824"/>
    <w:pPr>
      <w:suppressAutoHyphens/>
      <w:spacing w:line="240" w:lineRule="atLeast"/>
    </w:pPr>
    <w:rPr>
      <w:rFonts w:eastAsia="Times New Roman"/>
      <w:spacing w:val="0"/>
      <w:w w:val="100"/>
      <w:kern w:val="0"/>
      <w:szCs w:val="20"/>
      <w:lang w:val="en-GB"/>
    </w:rPr>
  </w:style>
  <w:style w:type="character" w:customStyle="1" w:styleId="DateChar">
    <w:name w:val="Date Char"/>
    <w:link w:val="Date"/>
    <w:uiPriority w:val="99"/>
    <w:semiHidden/>
    <w:rsid w:val="00DD2824"/>
    <w:rPr>
      <w:rFonts w:ascii="Times New Roman" w:eastAsia="Times New Roman" w:hAnsi="Times New Roman" w:cs="Times New Roman"/>
      <w:lang w:val="en-GB" w:eastAsia="en-US"/>
    </w:rPr>
  </w:style>
  <w:style w:type="paragraph" w:styleId="BodyTextFirstIndent">
    <w:name w:val="Body Text First Indent"/>
    <w:basedOn w:val="BodyText"/>
    <w:link w:val="BodyTextFirstIndentChar"/>
    <w:uiPriority w:val="99"/>
    <w:semiHidden/>
    <w:unhideWhenUsed/>
    <w:rsid w:val="00DD2824"/>
    <w:pPr>
      <w:spacing w:after="120"/>
      <w:ind w:firstLine="210"/>
    </w:pPr>
  </w:style>
  <w:style w:type="character" w:customStyle="1" w:styleId="BodyTextFirstIndentChar">
    <w:name w:val="Body Text First Indent Char"/>
    <w:basedOn w:val="BodyTextChar"/>
    <w:link w:val="BodyTextFirstIndent"/>
    <w:uiPriority w:val="99"/>
    <w:semiHidden/>
    <w:rsid w:val="00DD2824"/>
  </w:style>
  <w:style w:type="paragraph" w:styleId="BodyTextFirstIndent2">
    <w:name w:val="Body Text First Indent 2"/>
    <w:basedOn w:val="BodyTextIndent"/>
    <w:link w:val="BodyTextFirstIndent2Char"/>
    <w:uiPriority w:val="99"/>
    <w:semiHidden/>
    <w:unhideWhenUsed/>
    <w:rsid w:val="00DD2824"/>
    <w:pPr>
      <w:ind w:firstLine="210"/>
    </w:pPr>
  </w:style>
  <w:style w:type="character" w:customStyle="1" w:styleId="BodyTextFirstIndent2Char">
    <w:name w:val="Body Text First Indent 2 Char"/>
    <w:basedOn w:val="BodyTextIndentChar"/>
    <w:link w:val="BodyTextFirstIndent2"/>
    <w:uiPriority w:val="99"/>
    <w:semiHidden/>
    <w:rsid w:val="00DD2824"/>
  </w:style>
  <w:style w:type="paragraph" w:styleId="NoteHeading">
    <w:name w:val="Note Heading"/>
    <w:basedOn w:val="Normal"/>
    <w:next w:val="Normal"/>
    <w:link w:val="NoteHeadingChar"/>
    <w:uiPriority w:val="99"/>
    <w:semiHidden/>
    <w:unhideWhenUsed/>
    <w:rsid w:val="00DD2824"/>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uiPriority w:val="99"/>
    <w:semiHidden/>
    <w:rsid w:val="00DD2824"/>
    <w:rPr>
      <w:rFonts w:ascii="Times New Roman" w:eastAsia="Times New Roman" w:hAnsi="Times New Roman" w:cs="Times New Roman"/>
      <w:lang w:val="en-GB" w:eastAsia="en-US"/>
    </w:rPr>
  </w:style>
  <w:style w:type="paragraph" w:styleId="BodyText2">
    <w:name w:val="Body Text 2"/>
    <w:basedOn w:val="Normal"/>
    <w:link w:val="BodyText2Char"/>
    <w:uiPriority w:val="99"/>
    <w:semiHidden/>
    <w:unhideWhenUsed/>
    <w:rsid w:val="00DD2824"/>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uiPriority w:val="99"/>
    <w:semiHidden/>
    <w:rsid w:val="00DD2824"/>
    <w:rPr>
      <w:rFonts w:ascii="Times New Roman" w:eastAsia="Times New Roman" w:hAnsi="Times New Roman" w:cs="Times New Roman"/>
      <w:lang w:val="en-GB" w:eastAsia="en-US"/>
    </w:rPr>
  </w:style>
  <w:style w:type="paragraph" w:styleId="BodyText3">
    <w:name w:val="Body Text 3"/>
    <w:basedOn w:val="Normal"/>
    <w:link w:val="BodyText3Char"/>
    <w:uiPriority w:val="99"/>
    <w:semiHidden/>
    <w:unhideWhenUsed/>
    <w:rsid w:val="00DD2824"/>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uiPriority w:val="99"/>
    <w:semiHidden/>
    <w:rsid w:val="00DD2824"/>
    <w:rPr>
      <w:rFonts w:ascii="Times New Roman" w:eastAsia="Times New Roman" w:hAnsi="Times New Roman" w:cs="Times New Roman"/>
      <w:sz w:val="16"/>
      <w:szCs w:val="16"/>
      <w:lang w:val="en-GB" w:eastAsia="en-US"/>
    </w:rPr>
  </w:style>
  <w:style w:type="paragraph" w:styleId="BodyTextIndent2">
    <w:name w:val="Body Text Indent 2"/>
    <w:basedOn w:val="Normal"/>
    <w:link w:val="BodyTextIndent2Char"/>
    <w:uiPriority w:val="99"/>
    <w:semiHidden/>
    <w:unhideWhenUsed/>
    <w:rsid w:val="00DD2824"/>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uiPriority w:val="99"/>
    <w:semiHidden/>
    <w:rsid w:val="00DD2824"/>
    <w:rPr>
      <w:rFonts w:ascii="Times New Roman" w:eastAsia="Times New Roman" w:hAnsi="Times New Roman" w:cs="Times New Roman"/>
      <w:lang w:val="en-GB" w:eastAsia="en-US"/>
    </w:rPr>
  </w:style>
  <w:style w:type="paragraph" w:styleId="BodyTextIndent3">
    <w:name w:val="Body Text Indent 3"/>
    <w:basedOn w:val="Normal"/>
    <w:link w:val="BodyTextIndent3Char"/>
    <w:uiPriority w:val="99"/>
    <w:semiHidden/>
    <w:unhideWhenUsed/>
    <w:rsid w:val="00DD2824"/>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uiPriority w:val="99"/>
    <w:semiHidden/>
    <w:rsid w:val="00DD2824"/>
    <w:rPr>
      <w:rFonts w:ascii="Times New Roman" w:eastAsia="Times New Roman" w:hAnsi="Times New Roman" w:cs="Times New Roman"/>
      <w:sz w:val="16"/>
      <w:szCs w:val="16"/>
      <w:lang w:val="en-GB" w:eastAsia="en-US"/>
    </w:rPr>
  </w:style>
  <w:style w:type="paragraph" w:styleId="BlockText">
    <w:name w:val="Block Text"/>
    <w:basedOn w:val="Normal"/>
    <w:uiPriority w:val="99"/>
    <w:semiHidden/>
    <w:unhideWhenUsed/>
    <w:rsid w:val="00DD2824"/>
    <w:pPr>
      <w:suppressAutoHyphens/>
      <w:spacing w:line="240" w:lineRule="atLeast"/>
      <w:ind w:left="1440" w:right="1440"/>
    </w:pPr>
    <w:rPr>
      <w:rFonts w:eastAsia="Times New Roman"/>
      <w:spacing w:val="0"/>
      <w:w w:val="100"/>
      <w:kern w:val="0"/>
      <w:szCs w:val="20"/>
      <w:lang w:val="en-GB"/>
    </w:rPr>
  </w:style>
  <w:style w:type="paragraph" w:styleId="PlainText">
    <w:name w:val="Plain Text"/>
    <w:basedOn w:val="Normal"/>
    <w:link w:val="PlainTextChar"/>
    <w:uiPriority w:val="99"/>
    <w:semiHidden/>
    <w:unhideWhenUsed/>
    <w:rsid w:val="00DD2824"/>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uiPriority w:val="99"/>
    <w:semiHidden/>
    <w:rsid w:val="00DD2824"/>
    <w:rPr>
      <w:rFonts w:ascii="Times New Roman" w:eastAsia="Times New Roman" w:hAnsi="Times New Roman" w:cs="Courier New"/>
      <w:lang w:val="en-GB" w:eastAsia="en-US"/>
    </w:rPr>
  </w:style>
  <w:style w:type="paragraph" w:styleId="E-mailSignature">
    <w:name w:val="E-mail Signature"/>
    <w:basedOn w:val="Normal"/>
    <w:link w:val="E-mailSignatureChar"/>
    <w:uiPriority w:val="99"/>
    <w:semiHidden/>
    <w:unhideWhenUsed/>
    <w:rsid w:val="00DD2824"/>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uiPriority w:val="99"/>
    <w:semiHidden/>
    <w:rsid w:val="00DD2824"/>
    <w:rPr>
      <w:rFonts w:ascii="Times New Roman" w:eastAsia="Times New Roman" w:hAnsi="Times New Roman" w:cs="Times New Roman"/>
      <w:lang w:val="en-GB" w:eastAsia="en-US"/>
    </w:rPr>
  </w:style>
  <w:style w:type="paragraph" w:styleId="BalloonText">
    <w:name w:val="Balloon Text"/>
    <w:basedOn w:val="Normal"/>
    <w:link w:val="BalloonTextChar"/>
    <w:uiPriority w:val="99"/>
    <w:semiHidden/>
    <w:unhideWhenUsed/>
    <w:rsid w:val="00DD2824"/>
    <w:pPr>
      <w:spacing w:line="240" w:lineRule="auto"/>
    </w:pPr>
    <w:rPr>
      <w:rFonts w:ascii="Tahoma" w:eastAsia="SimSun" w:hAnsi="Tahoma"/>
      <w:spacing w:val="0"/>
      <w:w w:val="100"/>
      <w:kern w:val="0"/>
      <w:sz w:val="16"/>
      <w:szCs w:val="16"/>
      <w:lang w:val="en-US"/>
    </w:rPr>
  </w:style>
  <w:style w:type="character" w:customStyle="1" w:styleId="BalloonTextChar">
    <w:name w:val="Balloon Text Char"/>
    <w:link w:val="BalloonText"/>
    <w:uiPriority w:val="99"/>
    <w:semiHidden/>
    <w:rsid w:val="00DD2824"/>
    <w:rPr>
      <w:rFonts w:ascii="Tahoma" w:eastAsia="SimSun" w:hAnsi="Tahoma" w:cs="Tahoma"/>
      <w:sz w:val="16"/>
      <w:szCs w:val="16"/>
      <w:lang w:val="en-US" w:eastAsia="en-US"/>
    </w:rPr>
  </w:style>
  <w:style w:type="paragraph" w:customStyle="1" w:styleId="HMG">
    <w:name w:val="_ H __M_G"/>
    <w:basedOn w:val="Normal"/>
    <w:next w:val="Normal"/>
    <w:uiPriority w:val="99"/>
    <w:rsid w:val="00DD282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character" w:customStyle="1" w:styleId="HChGChar">
    <w:name w:val="_ H _Ch_G Char"/>
    <w:link w:val="HChG"/>
    <w:locked/>
    <w:rsid w:val="00DD2824"/>
    <w:rPr>
      <w:b/>
      <w:sz w:val="28"/>
      <w:lang w:val="en-GB" w:eastAsia="en-US"/>
    </w:rPr>
  </w:style>
  <w:style w:type="paragraph" w:customStyle="1" w:styleId="HChG">
    <w:name w:val="_ H _Ch_G"/>
    <w:basedOn w:val="Normal"/>
    <w:next w:val="Normal"/>
    <w:link w:val="HChGChar"/>
    <w:rsid w:val="00DD2824"/>
    <w:pPr>
      <w:keepNext/>
      <w:keepLines/>
      <w:tabs>
        <w:tab w:val="right" w:pos="851"/>
      </w:tabs>
      <w:suppressAutoHyphens/>
      <w:spacing w:before="360" w:after="240" w:line="300" w:lineRule="exact"/>
      <w:ind w:left="1134" w:right="1134" w:hanging="1134"/>
    </w:pPr>
    <w:rPr>
      <w:rFonts w:ascii="Calibri" w:hAnsi="Calibri"/>
      <w:b/>
      <w:spacing w:val="0"/>
      <w:w w:val="100"/>
      <w:kern w:val="0"/>
      <w:sz w:val="28"/>
      <w:szCs w:val="20"/>
      <w:lang w:val="en-GB"/>
    </w:rPr>
  </w:style>
  <w:style w:type="paragraph" w:customStyle="1" w:styleId="SingleTxtG">
    <w:name w:val="_ Single Txt_G"/>
    <w:basedOn w:val="Normal"/>
    <w:rsid w:val="00DD2824"/>
    <w:pPr>
      <w:suppressAutoHyphens/>
      <w:spacing w:after="120" w:line="240" w:lineRule="atLeast"/>
      <w:ind w:left="1134" w:right="1134"/>
      <w:jc w:val="both"/>
    </w:pPr>
    <w:rPr>
      <w:rFonts w:eastAsia="Times New Roman"/>
      <w:spacing w:val="0"/>
      <w:w w:val="100"/>
      <w:kern w:val="0"/>
      <w:szCs w:val="20"/>
      <w:lang w:val="en-GB"/>
    </w:rPr>
  </w:style>
  <w:style w:type="paragraph" w:customStyle="1" w:styleId="SMG">
    <w:name w:val="__S_M_G"/>
    <w:basedOn w:val="Normal"/>
    <w:next w:val="Normal"/>
    <w:uiPriority w:val="99"/>
    <w:rsid w:val="00DD282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uiPriority w:val="99"/>
    <w:rsid w:val="00DD282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uiPriority w:val="99"/>
    <w:rsid w:val="00DD282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uiPriority w:val="99"/>
    <w:rsid w:val="00DD282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DD2824"/>
    <w:pPr>
      <w:numPr>
        <w:numId w:val="18"/>
      </w:numPr>
      <w:suppressAutoHyphens/>
      <w:spacing w:after="120" w:line="240" w:lineRule="atLeast"/>
      <w:ind w:right="1134"/>
      <w:jc w:val="both"/>
    </w:pPr>
    <w:rPr>
      <w:rFonts w:eastAsia="Times New Roman"/>
      <w:spacing w:val="0"/>
      <w:w w:val="100"/>
      <w:kern w:val="0"/>
      <w:szCs w:val="20"/>
    </w:rPr>
  </w:style>
  <w:style w:type="paragraph" w:customStyle="1" w:styleId="Bullet2G">
    <w:name w:val="_Bullet 2_G"/>
    <w:basedOn w:val="Normal"/>
    <w:uiPriority w:val="99"/>
    <w:rsid w:val="00DD2824"/>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DD2824"/>
    <w:pPr>
      <w:keepNext/>
      <w:keepLines/>
      <w:tabs>
        <w:tab w:val="right" w:pos="851"/>
      </w:tabs>
      <w:suppressAutoHyphens/>
      <w:spacing w:before="360" w:after="240" w:line="270" w:lineRule="exact"/>
      <w:ind w:left="1134" w:right="1134" w:hanging="1134"/>
    </w:pPr>
    <w:rPr>
      <w:rFonts w:eastAsia="Times New Roman"/>
      <w:b/>
      <w:spacing w:val="0"/>
      <w:w w:val="100"/>
      <w:kern w:val="0"/>
      <w:sz w:val="28"/>
      <w:szCs w:val="20"/>
    </w:rPr>
  </w:style>
  <w:style w:type="paragraph" w:customStyle="1" w:styleId="H23G">
    <w:name w:val="_ H_2/3_G"/>
    <w:basedOn w:val="Normal"/>
    <w:next w:val="Normal"/>
    <w:rsid w:val="00DD2824"/>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uiPriority w:val="99"/>
    <w:rsid w:val="00DD2824"/>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uiPriority w:val="99"/>
    <w:rsid w:val="00DD2824"/>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1">
    <w:name w:val="Абзац списка1"/>
    <w:basedOn w:val="Normal"/>
    <w:uiPriority w:val="34"/>
    <w:qFormat/>
    <w:rsid w:val="00DD2824"/>
    <w:pPr>
      <w:spacing w:after="200" w:line="276" w:lineRule="auto"/>
      <w:ind w:left="720"/>
      <w:contextualSpacing/>
    </w:pPr>
    <w:rPr>
      <w:rFonts w:ascii="Calibri" w:eastAsia="SimSun" w:hAnsi="Calibri"/>
      <w:spacing w:val="0"/>
      <w:w w:val="100"/>
      <w:kern w:val="0"/>
      <w:sz w:val="22"/>
      <w:lang w:val="en-US"/>
    </w:rPr>
  </w:style>
  <w:style w:type="paragraph" w:customStyle="1" w:styleId="10">
    <w:name w:val="Без интервала1"/>
    <w:uiPriority w:val="1"/>
    <w:qFormat/>
    <w:rsid w:val="00DD2824"/>
    <w:rPr>
      <w:rFonts w:eastAsia="SimSun" w:cs="Times New Roman"/>
      <w:sz w:val="22"/>
      <w:szCs w:val="22"/>
    </w:rPr>
  </w:style>
  <w:style w:type="paragraph" w:customStyle="1" w:styleId="Default">
    <w:name w:val="Default"/>
    <w:uiPriority w:val="99"/>
    <w:rsid w:val="00DD2824"/>
    <w:pPr>
      <w:autoSpaceDE w:val="0"/>
      <w:autoSpaceDN w:val="0"/>
      <w:adjustRightInd w:val="0"/>
    </w:pPr>
    <w:rPr>
      <w:rFonts w:ascii="Arial Narrow" w:eastAsia="SimSun" w:hAnsi="Arial Narrow" w:cs="Arial Narrow"/>
      <w:color w:val="000000"/>
      <w:sz w:val="24"/>
      <w:szCs w:val="24"/>
    </w:rPr>
  </w:style>
  <w:style w:type="character" w:styleId="LineNumber">
    <w:name w:val="line number"/>
    <w:unhideWhenUsed/>
    <w:rsid w:val="00DD2824"/>
    <w:rPr>
      <w:sz w:val="14"/>
    </w:rPr>
  </w:style>
  <w:style w:type="character" w:styleId="PageNumber">
    <w:name w:val="page number"/>
    <w:aliases w:val="7_G"/>
    <w:semiHidden/>
    <w:unhideWhenUsed/>
    <w:rsid w:val="00DD2824"/>
    <w:rPr>
      <w:rFonts w:ascii="Times New Roman" w:hAnsi="Times New Roman" w:cs="Times New Roman" w:hint="default"/>
      <w:b/>
      <w:bCs w:val="0"/>
      <w:sz w:val="18"/>
    </w:rPr>
  </w:style>
  <w:style w:type="character" w:styleId="EndnoteReference">
    <w:name w:val="endnote reference"/>
    <w:aliases w:val="1_G"/>
    <w:semiHidden/>
    <w:unhideWhenUsed/>
    <w:rsid w:val="00DD2824"/>
    <w:rPr>
      <w:rFonts w:ascii="Times New Roman" w:hAnsi="Times New Roman" w:cs="Times New Roman" w:hint="default"/>
      <w:sz w:val="18"/>
      <w:vertAlign w:val="superscript"/>
    </w:rPr>
  </w:style>
  <w:style w:type="character" w:customStyle="1" w:styleId="CommentTextChar1">
    <w:name w:val="Comment Text Char1"/>
    <w:uiPriority w:val="99"/>
    <w:semiHidden/>
    <w:locked/>
    <w:rsid w:val="00DD2824"/>
    <w:rPr>
      <w:rFonts w:ascii="Times New Roman" w:eastAsia="Times New Roman" w:hAnsi="Times New Roman" w:cs="Times New Roman"/>
      <w:lang w:val="en-GB" w:eastAsia="en-US"/>
    </w:rPr>
  </w:style>
  <w:style w:type="table" w:styleId="TableSimple1">
    <w:name w:val="Table Simple 1"/>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DD2824"/>
    <w:pPr>
      <w:suppressAutoHyphens/>
      <w:spacing w:line="240" w:lineRule="atLeast"/>
    </w:pPr>
    <w:rPr>
      <w:rFonts w:ascii="Times New Roman" w:eastAsia="Times New Roman" w:hAnsi="Times New Roman" w:cs="Times New Roman"/>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DD2824"/>
    <w:pPr>
      <w:suppressAutoHyphens/>
      <w:spacing w:line="240" w:lineRule="atLeast"/>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unhideWhenUsed/>
    <w:rsid w:val="00DD2824"/>
    <w:pPr>
      <w:suppressAutoHyphens/>
      <w:spacing w:line="240" w:lineRule="atLeast"/>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DD2824"/>
    <w:pPr>
      <w:suppressAutoHyphens/>
      <w:spacing w:line="240" w:lineRule="atLeast"/>
    </w:pPr>
    <w:rPr>
      <w:rFonts w:ascii="Times New Roman" w:eastAsia="Times New Roman" w:hAnsi="Times New Roman" w:cs="Times New Roman"/>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DD2824"/>
    <w:pPr>
      <w:suppressAutoHyphens/>
      <w:spacing w:line="240" w:lineRule="atLeast"/>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DD2824"/>
    <w:pPr>
      <w:suppressAutoHyphens/>
      <w:spacing w:line="240" w:lineRule="atLeast"/>
    </w:pPr>
    <w:rPr>
      <w:rFonts w:ascii="Times New Roman" w:eastAsia="Times New Roman" w:hAnsi="Times New Roman" w:cs="Times New Roman"/>
      <w:b/>
      <w:bCs/>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DD2824"/>
    <w:pPr>
      <w:suppressAutoHyphens/>
      <w:spacing w:line="240" w:lineRule="atLeast"/>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DD2824"/>
    <w:pPr>
      <w:suppressAutoHyphens/>
      <w:spacing w:line="240" w:lineRule="atLeast"/>
    </w:pPr>
    <w:rPr>
      <w:rFonts w:ascii="Times New Roman" w:eastAsia="Times New Roman" w:hAnsi="Times New Roman" w:cs="Times New Roman"/>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DD2824"/>
    <w:pPr>
      <w:suppressAutoHyphens/>
      <w:spacing w:line="240" w:lineRule="atLeast"/>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DD2824"/>
    <w:pPr>
      <w:suppressAutoHyphens/>
      <w:spacing w:line="240" w:lineRule="atLeast"/>
    </w:pPr>
    <w:rPr>
      <w:rFonts w:ascii="Times New Roman" w:eastAsia="Times New Roman" w:hAnsi="Times New Roman" w:cs="Times New Roman"/>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DD2824"/>
    <w:pPr>
      <w:suppressAutoHyphens/>
      <w:spacing w:line="240" w:lineRule="atLeast"/>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DD2824"/>
    <w:pPr>
      <w:suppressAutoHyphens/>
      <w:spacing w:line="240" w:lineRule="atLeast"/>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unhideWhenUsed/>
    <w:rsid w:val="00DD2824"/>
    <w:pPr>
      <w:suppressAutoHyphens/>
      <w:spacing w:line="240" w:lineRule="atLeast"/>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DD2824"/>
    <w:pPr>
      <w:suppressAutoHyphens/>
      <w:spacing w:line="240" w:lineRule="atLeast"/>
    </w:pPr>
    <w:rPr>
      <w:rFonts w:ascii="Times New Roman" w:eastAsia="Times New Roman" w:hAnsi="Times New Roman" w:cs="Times New Roman"/>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DD2824"/>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DD2824"/>
    <w:pPr>
      <w:suppressAutoHyphens/>
      <w:spacing w:line="240" w:lineRule="atLeast"/>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DD2824"/>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semiHidden/>
    <w:unhideWhenUsed/>
    <w:rsid w:val="00DD2824"/>
    <w:pPr>
      <w:suppressAutoHyphens/>
      <w:spacing w:line="240" w:lineRule="atLeast"/>
    </w:pPr>
    <w:rPr>
      <w:rFonts w:ascii="Times New Roman" w:eastAsia="Times New Roman" w:hAnsi="Times New Roman" w:cs="Times New Roman"/>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DD2824"/>
    <w:pPr>
      <w:suppressAutoHyphens/>
      <w:spacing w:line="240" w:lineRule="atLeast"/>
    </w:pPr>
    <w:rPr>
      <w:rFonts w:ascii="Times New Roman" w:eastAsia="Times New Roman" w:hAnsi="Times New Roman" w:cs="Times New Roman"/>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DD2824"/>
    <w:pPr>
      <w:suppressAutoHyphens/>
      <w:spacing w:line="240" w:lineRule="atLeast"/>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unhideWhenUsed/>
    <w:rsid w:val="00DD2824"/>
    <w:pPr>
      <w:suppressAutoHyphens/>
      <w:spacing w:line="240" w:lineRule="atLeast"/>
    </w:pPr>
    <w:rPr>
      <w:rFonts w:ascii="Times New Roman" w:eastAsia="Times New Roman" w:hAnsi="Times New Roman" w:cs="Times New Roman"/>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DD2824"/>
    <w:pPr>
      <w:suppressAutoHyphens/>
      <w:spacing w:line="240" w:lineRule="atLeast"/>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DD2824"/>
    <w:pPr>
      <w:suppressAutoHyphens/>
      <w:spacing w:line="240" w:lineRule="atLeast"/>
    </w:pPr>
    <w:rPr>
      <w:rFonts w:ascii="Times New Roman" w:eastAsia="Times New Roman" w:hAnsi="Times New Roman" w:cs="Times New Roman"/>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DD2824"/>
    <w:pPr>
      <w:suppressAutoHyphens/>
      <w:spacing w:line="240" w:lineRule="atLeast"/>
    </w:pPr>
    <w:rPr>
      <w:rFonts w:ascii="Times New Roman" w:eastAsia="Times New Roman" w:hAnsi="Times New Roman" w:cs="Times New Roman"/>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unhideWhenUsed/>
    <w:rsid w:val="00DD2824"/>
    <w:pPr>
      <w:suppressAutoHyphens/>
      <w:spacing w:line="240" w:lineRule="atLeast"/>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DD2824"/>
    <w:pPr>
      <w:suppressAutoHyphens/>
      <w:spacing w:line="240" w:lineRule="atLeast"/>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DD2824"/>
    <w:pPr>
      <w:suppressAutoHyphens/>
      <w:spacing w:line="240" w:lineRule="atLeast"/>
    </w:pPr>
    <w:rPr>
      <w:rFonts w:ascii="Times New Roman" w:eastAsia="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basedOn w:val="TableNormal"/>
    <w:uiPriority w:val="59"/>
    <w:rsid w:val="00DD282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Theme">
    <w:name w:val="Table Theme"/>
    <w:basedOn w:val="TableNormal"/>
    <w:semiHidden/>
    <w:unhideWhenUsed/>
    <w:rsid w:val="00DD282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ArticleSection">
    <w:name w:val="Outline List 3"/>
    <w:basedOn w:val="NoList"/>
    <w:semiHidden/>
    <w:unhideWhenUsed/>
    <w:rsid w:val="00DD2824"/>
    <w:pPr>
      <w:numPr>
        <w:numId w:val="20"/>
      </w:numPr>
    </w:pPr>
  </w:style>
  <w:style w:type="numbering" w:styleId="1ai">
    <w:name w:val="Outline List 1"/>
    <w:basedOn w:val="NoList"/>
    <w:semiHidden/>
    <w:unhideWhenUsed/>
    <w:rsid w:val="00DD2824"/>
    <w:pPr>
      <w:numPr>
        <w:numId w:val="21"/>
      </w:numPr>
    </w:pPr>
  </w:style>
  <w:style w:type="numbering" w:styleId="111111">
    <w:name w:val="Outline List 2"/>
    <w:basedOn w:val="NoList"/>
    <w:semiHidden/>
    <w:unhideWhenUsed/>
    <w:rsid w:val="00DD2824"/>
    <w:pPr>
      <w:numPr>
        <w:numId w:val="22"/>
      </w:numPr>
    </w:pPr>
  </w:style>
</w:styles>
</file>

<file path=word/webSettings.xml><?xml version="1.0" encoding="utf-8"?>
<w:webSettings xmlns:r="http://schemas.openxmlformats.org/officeDocument/2006/relationships" xmlns:w="http://schemas.openxmlformats.org/wordprocessingml/2006/main">
  <w:divs>
    <w:div w:id="400829699">
      <w:bodyDiv w:val="1"/>
      <w:marLeft w:val="0"/>
      <w:marRight w:val="0"/>
      <w:marTop w:val="0"/>
      <w:marBottom w:val="0"/>
      <w:divBdr>
        <w:top w:val="none" w:sz="0" w:space="0" w:color="auto"/>
        <w:left w:val="none" w:sz="0" w:space="0" w:color="auto"/>
        <w:bottom w:val="none" w:sz="0" w:space="0" w:color="auto"/>
        <w:right w:val="none" w:sz="0" w:space="0" w:color="auto"/>
      </w:divBdr>
    </w:div>
    <w:div w:id="555360314">
      <w:bodyDiv w:val="1"/>
      <w:marLeft w:val="0"/>
      <w:marRight w:val="0"/>
      <w:marTop w:val="0"/>
      <w:marBottom w:val="0"/>
      <w:divBdr>
        <w:top w:val="none" w:sz="0" w:space="0" w:color="auto"/>
        <w:left w:val="none" w:sz="0" w:space="0" w:color="auto"/>
        <w:bottom w:val="none" w:sz="0" w:space="0" w:color="auto"/>
        <w:right w:val="none" w:sz="0" w:space="0" w:color="auto"/>
      </w:divBdr>
    </w:div>
    <w:div w:id="1299067314">
      <w:bodyDiv w:val="1"/>
      <w:marLeft w:val="0"/>
      <w:marRight w:val="0"/>
      <w:marTop w:val="0"/>
      <w:marBottom w:val="0"/>
      <w:divBdr>
        <w:top w:val="none" w:sz="0" w:space="0" w:color="auto"/>
        <w:left w:val="none" w:sz="0" w:space="0" w:color="auto"/>
        <w:bottom w:val="none" w:sz="0" w:space="0" w:color="auto"/>
        <w:right w:val="none" w:sz="0" w:space="0" w:color="auto"/>
      </w:divBdr>
    </w:div>
    <w:div w:id="1337076194">
      <w:bodyDiv w:val="1"/>
      <w:marLeft w:val="0"/>
      <w:marRight w:val="0"/>
      <w:marTop w:val="0"/>
      <w:marBottom w:val="0"/>
      <w:divBdr>
        <w:top w:val="none" w:sz="0" w:space="0" w:color="auto"/>
        <w:left w:val="none" w:sz="0" w:space="0" w:color="auto"/>
        <w:bottom w:val="none" w:sz="0" w:space="0" w:color="auto"/>
        <w:right w:val="none" w:sz="0" w:space="0" w:color="auto"/>
      </w:divBdr>
    </w:div>
    <w:div w:id="1382291552">
      <w:bodyDiv w:val="1"/>
      <w:marLeft w:val="0"/>
      <w:marRight w:val="0"/>
      <w:marTop w:val="0"/>
      <w:marBottom w:val="0"/>
      <w:divBdr>
        <w:top w:val="none" w:sz="0" w:space="0" w:color="auto"/>
        <w:left w:val="none" w:sz="0" w:space="0" w:color="auto"/>
        <w:bottom w:val="none" w:sz="0" w:space="0" w:color="auto"/>
        <w:right w:val="none" w:sz="0" w:space="0" w:color="auto"/>
      </w:divBdr>
    </w:div>
    <w:div w:id="14762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file:///W:\MSWDocs\_3Final\14-29614R.doc" TargetMode="External"/><Relationship Id="rId26" Type="http://schemas.openxmlformats.org/officeDocument/2006/relationships/hyperlink" Target="file:///W:\MSWDocs\_3Final\14-29614R.doc" TargetMode="External"/><Relationship Id="rId3" Type="http://schemas.openxmlformats.org/officeDocument/2006/relationships/settings" Target="settings.xml"/><Relationship Id="rId21" Type="http://schemas.openxmlformats.org/officeDocument/2006/relationships/hyperlink" Target="file:///W:\MSWDocs\_3Final\14-29614R.doc" TargetMode="External"/><Relationship Id="rId34" Type="http://schemas.openxmlformats.org/officeDocument/2006/relationships/hyperlink" Target="file:///W:\MSWDocs\_3Final\14-29614R.doc"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file:///W:\MSWDocs\_3Final\14-29614R.doc" TargetMode="External"/><Relationship Id="rId25" Type="http://schemas.openxmlformats.org/officeDocument/2006/relationships/hyperlink" Target="file:///W:\MSWDocs\_3Final\14-29614R.doc" TargetMode="External"/><Relationship Id="rId33" Type="http://schemas.openxmlformats.org/officeDocument/2006/relationships/hyperlink" Target="file:///W:\MSWDocs\_3Final\14-29614R.doc" TargetMode="External"/><Relationship Id="rId2" Type="http://schemas.openxmlformats.org/officeDocument/2006/relationships/styles" Target="styles.xml"/><Relationship Id="rId16" Type="http://schemas.openxmlformats.org/officeDocument/2006/relationships/hyperlink" Target="file:///W:\MSWDocs\_3Final\14-29614R.doc" TargetMode="External"/><Relationship Id="rId20" Type="http://schemas.openxmlformats.org/officeDocument/2006/relationships/hyperlink" Target="file:///W:\MSWDocs\_3Final\14-29614R.doc" TargetMode="External"/><Relationship Id="rId29" Type="http://schemas.openxmlformats.org/officeDocument/2006/relationships/hyperlink" Target="file:///W:\MSWDocs\_3Final\14-29614R.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file:///W:\MSWDocs\_3Final\14-29614R.doc" TargetMode="External"/><Relationship Id="rId32" Type="http://schemas.openxmlformats.org/officeDocument/2006/relationships/hyperlink" Target="file:///W:\MSWDocs\_3Final\14-29614R.doc" TargetMode="External"/><Relationship Id="rId5" Type="http://schemas.openxmlformats.org/officeDocument/2006/relationships/footnotes" Target="footnotes.xml"/><Relationship Id="rId15" Type="http://schemas.openxmlformats.org/officeDocument/2006/relationships/hyperlink" Target="file:///W:\MSWDocs\_3Final\14-29614R.doc" TargetMode="External"/><Relationship Id="rId23" Type="http://schemas.openxmlformats.org/officeDocument/2006/relationships/hyperlink" Target="file:///W:\MSWDocs\_3Final\14-29614R.doc" TargetMode="External"/><Relationship Id="rId28" Type="http://schemas.openxmlformats.org/officeDocument/2006/relationships/hyperlink" Target="file:///W:\MSWDocs\_3Final\14-29614R.doc"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file:///W:\MSWDocs\_3Final\14-29614R.doc" TargetMode="External"/><Relationship Id="rId31" Type="http://schemas.openxmlformats.org/officeDocument/2006/relationships/hyperlink" Target="file:///W:\MSWDocs\_3Final\14-29614R.doc"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W:\MSWDocs\_3Final\14-29614R.doc" TargetMode="External"/><Relationship Id="rId22" Type="http://schemas.openxmlformats.org/officeDocument/2006/relationships/hyperlink" Target="file:///W:\MSWDocs\_3Final\14-29614R.doc" TargetMode="External"/><Relationship Id="rId27" Type="http://schemas.openxmlformats.org/officeDocument/2006/relationships/hyperlink" Target="file:///W:\MSWDocs\_3Final\14-29614R.doc" TargetMode="External"/><Relationship Id="rId30" Type="http://schemas.openxmlformats.org/officeDocument/2006/relationships/hyperlink" Target="file:///W:\MSWDocs\_3Final\14-29614R.doc"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15935</Words>
  <Characters>90836</Characters>
  <Application>Microsoft Office Outlook</Application>
  <DocSecurity>4</DocSecurity>
  <Lines>756</Lines>
  <Paragraphs>213</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106558</CharactersWithSpaces>
  <SharedDoc>false</SharedDoc>
  <HLinks>
    <vt:vector size="126" baseType="variant">
      <vt:variant>
        <vt:i4>6750295</vt:i4>
      </vt:variant>
      <vt:variant>
        <vt:i4>122</vt:i4>
      </vt:variant>
      <vt:variant>
        <vt:i4>0</vt:i4>
      </vt:variant>
      <vt:variant>
        <vt:i4>5</vt:i4>
      </vt:variant>
      <vt:variant>
        <vt:lpwstr>\\SECF06\Russian_WP51\MSWDocs\_3Final\14-29614R.doc</vt:lpwstr>
      </vt:variant>
      <vt:variant>
        <vt:lpwstr>_Toc388281202</vt:lpwstr>
      </vt:variant>
      <vt:variant>
        <vt:i4>6750295</vt:i4>
      </vt:variant>
      <vt:variant>
        <vt:i4>116</vt:i4>
      </vt:variant>
      <vt:variant>
        <vt:i4>0</vt:i4>
      </vt:variant>
      <vt:variant>
        <vt:i4>5</vt:i4>
      </vt:variant>
      <vt:variant>
        <vt:lpwstr>\\SECF06\Russian_WP51\MSWDocs\_3Final\14-29614R.doc</vt:lpwstr>
      </vt:variant>
      <vt:variant>
        <vt:lpwstr>_Toc388281201</vt:lpwstr>
      </vt:variant>
      <vt:variant>
        <vt:i4>6750295</vt:i4>
      </vt:variant>
      <vt:variant>
        <vt:i4>110</vt:i4>
      </vt:variant>
      <vt:variant>
        <vt:i4>0</vt:i4>
      </vt:variant>
      <vt:variant>
        <vt:i4>5</vt:i4>
      </vt:variant>
      <vt:variant>
        <vt:lpwstr>\\SECF06\Russian_WP51\MSWDocs\_3Final\14-29614R.doc</vt:lpwstr>
      </vt:variant>
      <vt:variant>
        <vt:lpwstr>_Toc388281200</vt:lpwstr>
      </vt:variant>
      <vt:variant>
        <vt:i4>7209044</vt:i4>
      </vt:variant>
      <vt:variant>
        <vt:i4>104</vt:i4>
      </vt:variant>
      <vt:variant>
        <vt:i4>0</vt:i4>
      </vt:variant>
      <vt:variant>
        <vt:i4>5</vt:i4>
      </vt:variant>
      <vt:variant>
        <vt:lpwstr>\\SECF06\Russian_WP51\MSWDocs\_3Final\14-29614R.doc</vt:lpwstr>
      </vt:variant>
      <vt:variant>
        <vt:lpwstr>_Toc388281199</vt:lpwstr>
      </vt:variant>
      <vt:variant>
        <vt:i4>7209044</vt:i4>
      </vt:variant>
      <vt:variant>
        <vt:i4>98</vt:i4>
      </vt:variant>
      <vt:variant>
        <vt:i4>0</vt:i4>
      </vt:variant>
      <vt:variant>
        <vt:i4>5</vt:i4>
      </vt:variant>
      <vt:variant>
        <vt:lpwstr>\\SECF06\Russian_WP51\MSWDocs\_3Final\14-29614R.doc</vt:lpwstr>
      </vt:variant>
      <vt:variant>
        <vt:lpwstr>_Toc388281198</vt:lpwstr>
      </vt:variant>
      <vt:variant>
        <vt:i4>7209044</vt:i4>
      </vt:variant>
      <vt:variant>
        <vt:i4>92</vt:i4>
      </vt:variant>
      <vt:variant>
        <vt:i4>0</vt:i4>
      </vt:variant>
      <vt:variant>
        <vt:i4>5</vt:i4>
      </vt:variant>
      <vt:variant>
        <vt:lpwstr>\\SECF06\Russian_WP51\MSWDocs\_3Final\14-29614R.doc</vt:lpwstr>
      </vt:variant>
      <vt:variant>
        <vt:lpwstr>_Toc388281197</vt:lpwstr>
      </vt:variant>
      <vt:variant>
        <vt:i4>7209044</vt:i4>
      </vt:variant>
      <vt:variant>
        <vt:i4>86</vt:i4>
      </vt:variant>
      <vt:variant>
        <vt:i4>0</vt:i4>
      </vt:variant>
      <vt:variant>
        <vt:i4>5</vt:i4>
      </vt:variant>
      <vt:variant>
        <vt:lpwstr>\\SECF06\Russian_WP51\MSWDocs\_3Final\14-29614R.doc</vt:lpwstr>
      </vt:variant>
      <vt:variant>
        <vt:lpwstr>_Toc388281196</vt:lpwstr>
      </vt:variant>
      <vt:variant>
        <vt:i4>7209044</vt:i4>
      </vt:variant>
      <vt:variant>
        <vt:i4>80</vt:i4>
      </vt:variant>
      <vt:variant>
        <vt:i4>0</vt:i4>
      </vt:variant>
      <vt:variant>
        <vt:i4>5</vt:i4>
      </vt:variant>
      <vt:variant>
        <vt:lpwstr>\\SECF06\Russian_WP51\MSWDocs\_3Final\14-29614R.doc</vt:lpwstr>
      </vt:variant>
      <vt:variant>
        <vt:lpwstr>_Toc388281195</vt:lpwstr>
      </vt:variant>
      <vt:variant>
        <vt:i4>7209044</vt:i4>
      </vt:variant>
      <vt:variant>
        <vt:i4>74</vt:i4>
      </vt:variant>
      <vt:variant>
        <vt:i4>0</vt:i4>
      </vt:variant>
      <vt:variant>
        <vt:i4>5</vt:i4>
      </vt:variant>
      <vt:variant>
        <vt:lpwstr>\\SECF06\Russian_WP51\MSWDocs\_3Final\14-29614R.doc</vt:lpwstr>
      </vt:variant>
      <vt:variant>
        <vt:lpwstr>_Toc388281194</vt:lpwstr>
      </vt:variant>
      <vt:variant>
        <vt:i4>7209044</vt:i4>
      </vt:variant>
      <vt:variant>
        <vt:i4>68</vt:i4>
      </vt:variant>
      <vt:variant>
        <vt:i4>0</vt:i4>
      </vt:variant>
      <vt:variant>
        <vt:i4>5</vt:i4>
      </vt:variant>
      <vt:variant>
        <vt:lpwstr>\\SECF06\Russian_WP51\MSWDocs\_3Final\14-29614R.doc</vt:lpwstr>
      </vt:variant>
      <vt:variant>
        <vt:lpwstr>_Toc388281193</vt:lpwstr>
      </vt:variant>
      <vt:variant>
        <vt:i4>7209044</vt:i4>
      </vt:variant>
      <vt:variant>
        <vt:i4>62</vt:i4>
      </vt:variant>
      <vt:variant>
        <vt:i4>0</vt:i4>
      </vt:variant>
      <vt:variant>
        <vt:i4>5</vt:i4>
      </vt:variant>
      <vt:variant>
        <vt:lpwstr>\\SECF06\Russian_WP51\MSWDocs\_3Final\14-29614R.doc</vt:lpwstr>
      </vt:variant>
      <vt:variant>
        <vt:lpwstr>_Toc388281192</vt:lpwstr>
      </vt:variant>
      <vt:variant>
        <vt:i4>7209044</vt:i4>
      </vt:variant>
      <vt:variant>
        <vt:i4>56</vt:i4>
      </vt:variant>
      <vt:variant>
        <vt:i4>0</vt:i4>
      </vt:variant>
      <vt:variant>
        <vt:i4>5</vt:i4>
      </vt:variant>
      <vt:variant>
        <vt:lpwstr>\\SECF06\Russian_WP51\MSWDocs\_3Final\14-29614R.doc</vt:lpwstr>
      </vt:variant>
      <vt:variant>
        <vt:lpwstr>_Toc388281191</vt:lpwstr>
      </vt:variant>
      <vt:variant>
        <vt:i4>7209044</vt:i4>
      </vt:variant>
      <vt:variant>
        <vt:i4>50</vt:i4>
      </vt:variant>
      <vt:variant>
        <vt:i4>0</vt:i4>
      </vt:variant>
      <vt:variant>
        <vt:i4>5</vt:i4>
      </vt:variant>
      <vt:variant>
        <vt:lpwstr>\\SECF06\Russian_WP51\MSWDocs\_3Final\14-29614R.doc</vt:lpwstr>
      </vt:variant>
      <vt:variant>
        <vt:lpwstr>_Toc388281190</vt:lpwstr>
      </vt:variant>
      <vt:variant>
        <vt:i4>7274580</vt:i4>
      </vt:variant>
      <vt:variant>
        <vt:i4>44</vt:i4>
      </vt:variant>
      <vt:variant>
        <vt:i4>0</vt:i4>
      </vt:variant>
      <vt:variant>
        <vt:i4>5</vt:i4>
      </vt:variant>
      <vt:variant>
        <vt:lpwstr>\\SECF06\Russian_WP51\MSWDocs\_3Final\14-29614R.doc</vt:lpwstr>
      </vt:variant>
      <vt:variant>
        <vt:lpwstr>_Toc388281189</vt:lpwstr>
      </vt:variant>
      <vt:variant>
        <vt:i4>7274580</vt:i4>
      </vt:variant>
      <vt:variant>
        <vt:i4>38</vt:i4>
      </vt:variant>
      <vt:variant>
        <vt:i4>0</vt:i4>
      </vt:variant>
      <vt:variant>
        <vt:i4>5</vt:i4>
      </vt:variant>
      <vt:variant>
        <vt:lpwstr>\\SECF06\Russian_WP51\MSWDocs\_3Final\14-29614R.doc</vt:lpwstr>
      </vt:variant>
      <vt:variant>
        <vt:lpwstr>_Toc388281188</vt:lpwstr>
      </vt:variant>
      <vt:variant>
        <vt:i4>7274580</vt:i4>
      </vt:variant>
      <vt:variant>
        <vt:i4>32</vt:i4>
      </vt:variant>
      <vt:variant>
        <vt:i4>0</vt:i4>
      </vt:variant>
      <vt:variant>
        <vt:i4>5</vt:i4>
      </vt:variant>
      <vt:variant>
        <vt:lpwstr>\\SECF06\Russian_WP51\MSWDocs\_3Final\14-29614R.doc</vt:lpwstr>
      </vt:variant>
      <vt:variant>
        <vt:lpwstr>_Toc388281187</vt:lpwstr>
      </vt:variant>
      <vt:variant>
        <vt:i4>7274580</vt:i4>
      </vt:variant>
      <vt:variant>
        <vt:i4>26</vt:i4>
      </vt:variant>
      <vt:variant>
        <vt:i4>0</vt:i4>
      </vt:variant>
      <vt:variant>
        <vt:i4>5</vt:i4>
      </vt:variant>
      <vt:variant>
        <vt:lpwstr>\\SECF06\Russian_WP51\MSWDocs\_3Final\14-29614R.doc</vt:lpwstr>
      </vt:variant>
      <vt:variant>
        <vt:lpwstr>_Toc388281186</vt:lpwstr>
      </vt:variant>
      <vt:variant>
        <vt:i4>7274580</vt:i4>
      </vt:variant>
      <vt:variant>
        <vt:i4>20</vt:i4>
      </vt:variant>
      <vt:variant>
        <vt:i4>0</vt:i4>
      </vt:variant>
      <vt:variant>
        <vt:i4>5</vt:i4>
      </vt:variant>
      <vt:variant>
        <vt:lpwstr>\\SECF06\Russian_WP51\MSWDocs\_3Final\14-29614R.doc</vt:lpwstr>
      </vt:variant>
      <vt:variant>
        <vt:lpwstr>_Toc388281185</vt:lpwstr>
      </vt:variant>
      <vt:variant>
        <vt:i4>7274580</vt:i4>
      </vt:variant>
      <vt:variant>
        <vt:i4>14</vt:i4>
      </vt:variant>
      <vt:variant>
        <vt:i4>0</vt:i4>
      </vt:variant>
      <vt:variant>
        <vt:i4>5</vt:i4>
      </vt:variant>
      <vt:variant>
        <vt:lpwstr>\\SECF06\Russian_WP51\MSWDocs\_3Final\14-29614R.doc</vt:lpwstr>
      </vt:variant>
      <vt:variant>
        <vt:lpwstr>_Toc388281184</vt:lpwstr>
      </vt:variant>
      <vt:variant>
        <vt:i4>7274580</vt:i4>
      </vt:variant>
      <vt:variant>
        <vt:i4>8</vt:i4>
      </vt:variant>
      <vt:variant>
        <vt:i4>0</vt:i4>
      </vt:variant>
      <vt:variant>
        <vt:i4>5</vt:i4>
      </vt:variant>
      <vt:variant>
        <vt:lpwstr>\\SECF06\Russian_WP51\MSWDocs\_3Final\14-29614R.doc</vt:lpwstr>
      </vt:variant>
      <vt:variant>
        <vt:lpwstr>_Toc388281183</vt:lpwstr>
      </vt:variant>
      <vt:variant>
        <vt:i4>7274580</vt:i4>
      </vt:variant>
      <vt:variant>
        <vt:i4>2</vt:i4>
      </vt:variant>
      <vt:variant>
        <vt:i4>0</vt:i4>
      </vt:variant>
      <vt:variant>
        <vt:i4>5</vt:i4>
      </vt:variant>
      <vt:variant>
        <vt:lpwstr>\\SECF06\Russian_WP51\MSWDocs\_3Final\14-29614R.doc</vt:lpwstr>
      </vt:variant>
      <vt:variant>
        <vt:lpwstr>_Toc388281182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Maria Malik</dc:creator>
  <cp:keywords/>
  <cp:lastModifiedBy>Test</cp:lastModifiedBy>
  <cp:revision>4</cp:revision>
  <cp:lastPrinted>2014-05-21T11:22:00Z</cp:lastPrinted>
  <dcterms:created xsi:type="dcterms:W3CDTF">2014-05-21T11:21:00Z</dcterms:created>
  <dcterms:modified xsi:type="dcterms:W3CDTF">2014-05-21T12:49:00Z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1403057R</vt:lpwstr>
  </property>
  <property fmtid="{D5CDD505-2E9C-101B-9397-08002B2CF9AE}" pid="3" name="ODSRefJobNo">
    <vt:lpwstr>1429614R</vt:lpwstr>
  </property>
  <property fmtid="{D5CDD505-2E9C-101B-9397-08002B2CF9AE}" pid="4" name="Symbol1">
    <vt:lpwstr>CEDAW/C/LBR/7-8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English</vt:lpwstr>
  </property>
  <property fmtid="{D5CDD505-2E9C-101B-9397-08002B2CF9AE}" pid="10" name="Release Date">
    <vt:lpwstr>210514</vt:lpwstr>
  </property>
  <property fmtid="{D5CDD505-2E9C-101B-9397-08002B2CF9AE}" pid="11" name="Comment">
    <vt:lpwstr/>
  </property>
  <property fmtid="{D5CDD505-2E9C-101B-9397-08002B2CF9AE}" pid="12" name="DraftPages">
    <vt:lpwstr> 40</vt:lpwstr>
  </property>
  <property fmtid="{D5CDD505-2E9C-101B-9397-08002B2CF9AE}" pid="13" name="Operator">
    <vt:lpwstr>MALIK</vt:lpwstr>
  </property>
</Properties>
</file>