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695.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44148</w:t>
                  </w:r>
                  <w:r>
                    <w:rPr>
                      <w:lang w:val="en-US"/>
                    </w:rPr>
                    <w:fldChar w:fldCharType="end"/>
                  </w:r>
                  <w:r>
                    <w:rPr>
                      <w:lang w:val="en-US"/>
                    </w:rPr>
                    <w:t xml:space="preserve">   (R)    </w:t>
                  </w:r>
                  <w:r>
                    <w:t>201103    201103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360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CERD/C/452</w:t>
            </w:r>
            <w:r>
              <w:rPr>
                <w:sz w:val="22"/>
                <w:lang w:val="en-US"/>
              </w:rPr>
              <w:fldChar w:fldCharType="end"/>
            </w:r>
            <w:r>
              <w:rPr>
                <w:sz w:val="22"/>
                <w:lang w:val="en-US"/>
              </w:rPr>
              <w:t>/Add.4</w:t>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24 September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 w:rsidR="00000000" w:rsidRDefault="00000000">
      <w:r>
        <w:t>КОМИТЕТ ПО ЛИКВИДАЦИИ</w:t>
      </w:r>
    </w:p>
    <w:p w:rsidR="00000000" w:rsidRDefault="00000000">
      <w:r>
        <w:t xml:space="preserve">  РАСОВОЙ ДИСКРИМИНАЦИИ</w:t>
      </w:r>
    </w:p>
    <w:p w:rsidR="00000000" w:rsidRDefault="00000000"/>
    <w:p w:rsidR="00000000" w:rsidRDefault="00000000">
      <w:pPr>
        <w:jc w:val="center"/>
        <w:rPr>
          <w:b/>
          <w:bCs/>
        </w:rPr>
      </w:pPr>
      <w:r>
        <w:rPr>
          <w:b/>
          <w:bCs/>
        </w:rPr>
        <w:t>ДОКЛАДЫ, ПРЕДСТАВЛЕННЫЕ ГОСУДАРСТВАМИ-УЧАСТНИКАМИ</w:t>
      </w:r>
    </w:p>
    <w:p w:rsidR="00000000" w:rsidRDefault="00000000">
      <w:pPr>
        <w:jc w:val="center"/>
      </w:pPr>
      <w:r>
        <w:rPr>
          <w:b/>
          <w:bCs/>
        </w:rPr>
        <w:t>В СООТВЕТСТВИИ СО СТАТЬЕЙ 9 КОНВЕНЦИИ</w:t>
      </w:r>
      <w:r>
        <w:t xml:space="preserve"> </w:t>
      </w:r>
    </w:p>
    <w:p w:rsidR="00000000" w:rsidRDefault="00000000">
      <w:pPr>
        <w:jc w:val="center"/>
      </w:pPr>
    </w:p>
    <w:p w:rsidR="00000000" w:rsidRDefault="00000000">
      <w:pPr>
        <w:jc w:val="center"/>
        <w:rPr>
          <w:b/>
          <w:bCs/>
        </w:rPr>
      </w:pPr>
      <w:r>
        <w:rPr>
          <w:b/>
          <w:bCs/>
        </w:rPr>
        <w:t>Шестнадцатые периодические доклады государств-участников,</w:t>
      </w:r>
    </w:p>
    <w:p w:rsidR="00000000" w:rsidRDefault="00000000">
      <w:pPr>
        <w:jc w:val="center"/>
        <w:rPr>
          <w:u w:val="single"/>
        </w:rPr>
      </w:pPr>
      <w:r>
        <w:rPr>
          <w:b/>
          <w:bCs/>
        </w:rPr>
        <w:t>подлежащие представлению в 2003 году</w:t>
      </w:r>
      <w:r>
        <w:t xml:space="preserve"> </w:t>
      </w:r>
    </w:p>
    <w:p w:rsidR="00000000" w:rsidRDefault="00000000">
      <w:pPr>
        <w:jc w:val="center"/>
        <w:rPr>
          <w:u w:val="single"/>
        </w:rPr>
      </w:pPr>
    </w:p>
    <w:p w:rsidR="00000000" w:rsidRDefault="00000000">
      <w:pPr>
        <w:jc w:val="center"/>
      </w:pPr>
      <w:r>
        <w:rPr>
          <w:b/>
          <w:bCs/>
        </w:rPr>
        <w:t>Добавление</w:t>
      </w:r>
      <w:r>
        <w:t xml:space="preserve"> </w:t>
      </w:r>
    </w:p>
    <w:p w:rsidR="00000000" w:rsidRDefault="00000000">
      <w:pPr>
        <w:jc w:val="center"/>
        <w:rPr>
          <w:u w:val="single"/>
        </w:rPr>
      </w:pPr>
    </w:p>
    <w:p w:rsidR="00000000" w:rsidRDefault="00000000">
      <w:pPr>
        <w:jc w:val="center"/>
      </w:pPr>
      <w:r>
        <w:rPr>
          <w:b/>
          <w:bCs/>
        </w:rPr>
        <w:t>ШВЕЦИЯ</w:t>
      </w:r>
      <w:r>
        <w:t>*</w:t>
      </w:r>
    </w:p>
    <w:p w:rsidR="00000000" w:rsidRDefault="00000000">
      <w:pPr>
        <w:jc w:val="center"/>
      </w:pPr>
    </w:p>
    <w:p w:rsidR="00000000" w:rsidRDefault="00000000">
      <w:pPr>
        <w:jc w:val="right"/>
      </w:pPr>
      <w:r>
        <w:t>[15 июля 2003 года]</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r>
        <w:t>____________</w:t>
      </w:r>
    </w:p>
    <w:p w:rsidR="00000000" w:rsidRDefault="00000000">
      <w:r>
        <w:t>*</w:t>
      </w:r>
      <w:r>
        <w:tab/>
        <w:t xml:space="preserve">В настоящем документе содержатся пятнадцатый и шестнадцатый периодические доклады Швеции, подлежавшие представлению соответственно 5 января 2001 и 2003 года и представляемые в одном документе.  Тринадцатый и четырнадцатый периодические доклады (представленные в одном документе) Швеции и краткие отчеты о заседаниях, на которых Комитет рассматривал эти доклады, см. документы </w:t>
      </w:r>
      <w:r>
        <w:rPr>
          <w:lang w:val="en-US"/>
        </w:rPr>
        <w:t>CERD</w:t>
      </w:r>
      <w:r>
        <w:t>/</w:t>
      </w:r>
      <w:r>
        <w:rPr>
          <w:lang w:val="en-US"/>
        </w:rPr>
        <w:t>C</w:t>
      </w:r>
      <w:r>
        <w:t>/362/</w:t>
      </w:r>
      <w:r>
        <w:rPr>
          <w:lang w:val="en-US"/>
        </w:rPr>
        <w:t>Add</w:t>
      </w:r>
      <w:r>
        <w:t>.5 и </w:t>
      </w:r>
      <w:r>
        <w:rPr>
          <w:lang w:val="en-US"/>
        </w:rPr>
        <w:t>CERD</w:t>
      </w:r>
      <w:r>
        <w:t>/</w:t>
      </w:r>
      <w:r>
        <w:rPr>
          <w:lang w:val="en-US"/>
        </w:rPr>
        <w:t>C</w:t>
      </w:r>
      <w:r>
        <w:t>/</w:t>
      </w:r>
      <w:r>
        <w:rPr>
          <w:lang w:val="en-US"/>
        </w:rPr>
        <w:t>SR</w:t>
      </w:r>
      <w:r>
        <w:t>.1417-1418, 1431.</w:t>
      </w:r>
    </w:p>
    <w:p w:rsidR="00000000" w:rsidRDefault="00000000"/>
    <w:p w:rsidR="00000000" w:rsidRDefault="00000000">
      <w:r>
        <w:br w:type="page"/>
      </w:r>
    </w:p>
    <w:p w:rsidR="00000000" w:rsidRDefault="00000000">
      <w:pPr>
        <w:jc w:val="center"/>
      </w:pPr>
      <w:r>
        <w:rPr>
          <w:b/>
          <w:bCs/>
        </w:rPr>
        <w:t>СОДЕРЖАНИЕ</w:t>
      </w:r>
      <w:r>
        <w:t xml:space="preserve"> </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w:t>
      </w:r>
      <w:r>
        <w:t>.</w:t>
      </w:r>
      <w:r>
        <w:tab/>
        <w:t xml:space="preserve">ОБЩИЕ СВЕДЕНИЯ </w:t>
      </w:r>
      <w:r>
        <w:tab/>
      </w:r>
      <w:r>
        <w:tab/>
        <w:t>1 - 7</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II</w:t>
      </w:r>
      <w:r>
        <w:t>.</w:t>
      </w:r>
      <w:r>
        <w:tab/>
        <w:t>ИНФОРМАЦИЯ, КАСАЮЩАЯСЯ СТАТЕЙ 2–7</w:t>
      </w:r>
      <w:r>
        <w:tab/>
      </w:r>
      <w:r>
        <w:tab/>
        <w:t xml:space="preserve">8 </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 xml:space="preserve">Статья 2 </w:t>
      </w:r>
      <w:r>
        <w:tab/>
      </w:r>
      <w:r>
        <w:tab/>
        <w:t>8 - 58</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 xml:space="preserve">Статья 3 </w:t>
      </w:r>
      <w:r>
        <w:tab/>
      </w:r>
      <w:r>
        <w:tab/>
        <w:t>59</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 xml:space="preserve">Статья 4 </w:t>
      </w:r>
      <w:r>
        <w:tab/>
      </w:r>
      <w:r>
        <w:tab/>
        <w:t>60 - 75</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D</w:t>
      </w:r>
      <w:r>
        <w:t>.</w:t>
      </w:r>
      <w:r>
        <w:tab/>
        <w:t xml:space="preserve">Статья 5 </w:t>
      </w:r>
      <w:r>
        <w:tab/>
      </w:r>
      <w:r>
        <w:tab/>
        <w:t>76 - 110</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E</w:t>
      </w:r>
      <w:r>
        <w:t>.</w:t>
      </w:r>
      <w:r>
        <w:tab/>
        <w:t xml:space="preserve">Статья 6 </w:t>
      </w:r>
      <w:r>
        <w:tab/>
      </w:r>
      <w:r>
        <w:tab/>
        <w:t>111</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F</w:t>
      </w:r>
      <w:r>
        <w:t>.</w:t>
      </w:r>
      <w:r>
        <w:tab/>
        <w:t xml:space="preserve">Статья 7 </w:t>
      </w:r>
      <w:r>
        <w:tab/>
      </w:r>
      <w:r>
        <w:tab/>
        <w:t>112 - 124</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s>
        <w:jc w:val="center"/>
        <w:rPr>
          <w:b/>
          <w:bCs/>
        </w:rPr>
      </w:pPr>
      <w:r>
        <w:br w:type="page"/>
      </w:r>
      <w:r>
        <w:rPr>
          <w:b/>
          <w:bCs/>
          <w:lang w:val="en-US"/>
        </w:rPr>
        <w:t>I</w:t>
      </w:r>
      <w:r>
        <w:rPr>
          <w:b/>
          <w:bCs/>
        </w:rPr>
        <w:t>.</w:t>
      </w:r>
      <w:r>
        <w:rPr>
          <w:b/>
          <w:bCs/>
        </w:rPr>
        <w:tab/>
        <w:t>ОБЩИЕ СВЕДЕНИЯ</w:t>
      </w:r>
    </w:p>
    <w:p w:rsidR="00000000" w:rsidRDefault="00000000">
      <w:pPr>
        <w:tabs>
          <w:tab w:val="clear" w:pos="6237"/>
          <w:tab w:val="left" w:pos="567"/>
          <w:tab w:val="left" w:pos="1134"/>
          <w:tab w:val="left" w:pos="1701"/>
          <w:tab w:val="left" w:pos="2268"/>
        </w:tabs>
        <w:jc w:val="center"/>
        <w:rPr>
          <w:b/>
          <w:bCs/>
        </w:rPr>
      </w:pPr>
    </w:p>
    <w:p w:rsidR="00000000" w:rsidRDefault="00000000">
      <w:r>
        <w:t>1.</w:t>
      </w:r>
      <w:r>
        <w:tab/>
        <w:t>Настоящим правительство Швеции представляет в виде единого документа свои пятнадцатый и шестнадцатый доклады о принятых им законодательных, судебных, административных и иных мерах по осуществлению Международной конвенции о ликвидации всех форм расовой дискриминации.  Как было рекомендовано Комитетом по ликвидации расовой дискриминации, настоящий доклад представляется в порядке актуализации с рассмотрением конкретных вопросов, поднятых в заключительных замечаниях Комитета (</w:t>
      </w:r>
      <w:r>
        <w:rPr>
          <w:lang w:val="en-US"/>
        </w:rPr>
        <w:t>CERD</w:t>
      </w:r>
      <w:r>
        <w:t>/</w:t>
      </w:r>
      <w:r>
        <w:rPr>
          <w:lang w:val="en-US"/>
        </w:rPr>
        <w:t>C</w:t>
      </w:r>
      <w:r>
        <w:t>/304/</w:t>
      </w:r>
      <w:r>
        <w:rPr>
          <w:lang w:val="en-US"/>
        </w:rPr>
        <w:t>Add</w:t>
      </w:r>
      <w:r>
        <w:t>.103) в связи с тринадцатым и четырнадцатым докладами Швеции (</w:t>
      </w:r>
      <w:r>
        <w:rPr>
          <w:lang w:val="en-US"/>
        </w:rPr>
        <w:t>CERD</w:t>
      </w:r>
      <w:r>
        <w:t>/</w:t>
      </w:r>
      <w:r>
        <w:rPr>
          <w:lang w:val="en-US"/>
        </w:rPr>
        <w:t>C</w:t>
      </w:r>
      <w:r>
        <w:t>/362/</w:t>
      </w:r>
      <w:r>
        <w:rPr>
          <w:lang w:val="en-US"/>
        </w:rPr>
        <w:t>Add</w:t>
      </w:r>
      <w:r>
        <w:t>.5).  Доклады также касаются рассмотрения проблем, поднятых Комитетом по ликвидации расовой дискриминации на его пятьдесят седьмой сессии.</w:t>
      </w:r>
    </w:p>
    <w:p w:rsidR="00000000" w:rsidRDefault="00000000"/>
    <w:p w:rsidR="00000000" w:rsidRDefault="00000000">
      <w:r>
        <w:t>2.</w:t>
      </w:r>
      <w:r>
        <w:tab/>
        <w:t xml:space="preserve">В качестве главной основы для правовой защиты от этнической или расовой дискриминации выступает шведская Конституция (ср. часть </w:t>
      </w:r>
      <w:r>
        <w:rPr>
          <w:lang w:val="en-US"/>
        </w:rPr>
        <w:t>II</w:t>
      </w:r>
      <w:r>
        <w:t xml:space="preserve"> – статья 2 – шведского двенадцатого периодического доклада).  Кроме того, шведское уголовное законодательство содержит положения, запрещающие этническую дискриминацию.  Кардинальное значение имеют также Закон о борьбе с этнической дискриминацией в сфере труда и Закон об омбудсмене по борьбе с этнической дискриминацией.  </w:t>
      </w:r>
    </w:p>
    <w:p w:rsidR="00000000" w:rsidRDefault="00000000"/>
    <w:p w:rsidR="00000000" w:rsidRDefault="00000000">
      <w:r>
        <w:t>3.</w:t>
      </w:r>
      <w:r>
        <w:tab/>
        <w:t>Современная Швеция является страной иммиграции.  Всего лишь за несколько десятилетий состав ее населения претерпел существенные изменения.  Более 1 миллиона шведов почти из 9 миллионов жителей родились в другой стране.  Кроме того, более чем у 800 000 уроженцев Швеции один из родителей родился за рубежом.  То есть "зарубежные антецеденты" имеет более чем каждый пятый шведский гражданин.</w:t>
      </w:r>
    </w:p>
    <w:p w:rsidR="00000000" w:rsidRDefault="00000000"/>
    <w:p w:rsidR="00000000" w:rsidRDefault="00000000">
      <w:r>
        <w:t>4.</w:t>
      </w:r>
      <w:r>
        <w:tab/>
        <w:t>Контингент иммигрантов можно разбить на три приблизительно равные группы:  одна треть – уроженцы северных стран, одна треть - уроженцы других европейских стран и одна треть - уроженцы внеевропейского происхождения.  Большинство иммигрантов проживают в Швеции более десяти лет.  В Швецию иммигрирует примерно столько же женщин, сколько и мужчин.</w:t>
      </w:r>
    </w:p>
    <w:p w:rsidR="00000000" w:rsidRDefault="00000000"/>
    <w:p w:rsidR="00000000" w:rsidRDefault="00000000">
      <w:r>
        <w:t>5.</w:t>
      </w:r>
      <w:r>
        <w:tab/>
        <w:t xml:space="preserve">По состоянию на 31 декабря 2001 года наиболее многочисленные контингенты зарубежных уроженцев приходились на следующие страны (в скобках приводится примерная численность):  Финляндия (193 000), Югославия (73 000), Ирак (56 000), Босния и Герцеговина (52 000), Иран (52 000), Норвегия (43 000), Польша (40 000), Дания (39 000), Германия (38 000), Турция (32 000), Чили (27 000) и Ливан (20 000).  Среди других крупных групп можно также упомянуть следующие:  Сирия (15 000), Сомали (13 000), Эфиопия (12 000) и Индия (11 000).  </w:t>
      </w:r>
    </w:p>
    <w:p w:rsidR="00000000" w:rsidRDefault="00000000"/>
    <w:p w:rsidR="00000000" w:rsidRDefault="00000000">
      <w:r>
        <w:t>6.</w:t>
      </w:r>
      <w:r>
        <w:tab/>
        <w:t>К числу крупнейших контингентов нешведских уроженцев, прибывших в 1996</w:t>
      </w:r>
      <w:r>
        <w:noBreakHyphen/>
        <w:t>2001 годах, относятся следующие (по стране происхождения; в скобках приводится примерная численность):  Ирак (32 000), Югославия (12 000), Финляндия (11 000), Норвегия (8 600) и Босния и Герцеговина (8 200).  К числу других крупных групп нешведских уроженцев, прибывших в этот период, относятся выходцы из Турции (4 900), России (4 900), Китая (4 300) и Сомали (4 200).</w:t>
      </w:r>
    </w:p>
    <w:p w:rsidR="00000000" w:rsidRDefault="00000000"/>
    <w:p w:rsidR="00000000" w:rsidRDefault="00000000">
      <w:r>
        <w:t>7.</w:t>
      </w:r>
      <w:r>
        <w:tab/>
        <w:t xml:space="preserve">В Швеции не позволена регистрация людей по признаку этнической или религиозной принадлежности.  Дело в том, что в силу исторических причин, а также по соображениям личного достоинства не следует производить никаких разграничений на этой основе.  То же самое относится и к официальной статистике.  Следует также иметь в виду, что по истечении пяти лет законного проживания иностранцы имеют возможность обрести шведское гражданство.  Во многих сферах жизни общества статистические сведения отражают страну рождения.  Это облегчает текущую работу по мониторингу и последующей деятельности в том, что касается эффективности политики, практики и правовых документов, нацеленных на поощрение интеграции и равного статуса.  </w:t>
      </w:r>
    </w:p>
    <w:p w:rsidR="00000000" w:rsidRDefault="00000000"/>
    <w:p w:rsidR="00000000" w:rsidRDefault="00000000">
      <w:pPr>
        <w:pStyle w:val="Heading1"/>
        <w:jc w:val="center"/>
        <w:rPr>
          <w:bCs/>
        </w:rPr>
      </w:pPr>
      <w:r>
        <w:rPr>
          <w:bCs/>
        </w:rPr>
        <w:t>II.</w:t>
      </w:r>
      <w:r>
        <w:rPr>
          <w:bCs/>
        </w:rPr>
        <w:tab/>
        <w:t>ИНФОРМАЦИЯ, КАСАЮЩАЯСЯ СТАТЕЙ 2-7</w:t>
      </w:r>
    </w:p>
    <w:p w:rsidR="00000000" w:rsidRDefault="00000000">
      <w:pPr>
        <w:pStyle w:val="Heading1"/>
        <w:rPr>
          <w:bCs/>
        </w:rPr>
      </w:pPr>
    </w:p>
    <w:p w:rsidR="00000000" w:rsidRDefault="00000000">
      <w:pPr>
        <w:pStyle w:val="10"/>
        <w:rPr>
          <w:bCs/>
        </w:rPr>
      </w:pPr>
      <w:r>
        <w:rPr>
          <w:bCs/>
        </w:rPr>
        <w:t>Пункт 1 статьи 2</w:t>
      </w:r>
    </w:p>
    <w:p w:rsidR="00000000" w:rsidRDefault="00000000">
      <w:pPr>
        <w:pStyle w:val="10"/>
        <w:rPr>
          <w:bCs/>
        </w:rPr>
      </w:pPr>
    </w:p>
    <w:p w:rsidR="00000000" w:rsidRDefault="00000000">
      <w:r>
        <w:t>8.</w:t>
      </w:r>
      <w:r>
        <w:tab/>
        <w:t>Сведения о конституционном законе - Основном законе о свободе слова - изложены в пунктах 25-30 двенадцатого периодического доклада шведского правительства Комитету.</w:t>
      </w:r>
    </w:p>
    <w:p w:rsidR="00000000" w:rsidRDefault="00000000"/>
    <w:p w:rsidR="00000000" w:rsidRDefault="00000000">
      <w:r>
        <w:t>9.</w:t>
      </w:r>
      <w:r>
        <w:tab/>
        <w:t>В Основной закон о свободе слова были внесены поправки с целью расширить возможности принятия юридических мер против расовой агитации.  Поправки были одобрены парламентом и вступили в силу 1 января 2003 года (см. также пункт 63).</w:t>
      </w:r>
    </w:p>
    <w:p w:rsidR="00000000" w:rsidRDefault="00000000"/>
    <w:p w:rsidR="00000000" w:rsidRDefault="00000000">
      <w:pPr>
        <w:pStyle w:val="10"/>
        <w:jc w:val="left"/>
        <w:rPr>
          <w:bCs/>
        </w:rPr>
      </w:pPr>
      <w:r>
        <w:rPr>
          <w:bCs/>
        </w:rPr>
        <w:t>Шведское уголовное законодательство</w:t>
      </w:r>
    </w:p>
    <w:p w:rsidR="00000000" w:rsidRDefault="00000000">
      <w:pPr>
        <w:pStyle w:val="10"/>
        <w:rPr>
          <w:bCs/>
        </w:rPr>
      </w:pPr>
    </w:p>
    <w:p w:rsidR="00000000" w:rsidRDefault="00000000">
      <w:r>
        <w:t>10.</w:t>
      </w:r>
      <w:r>
        <w:tab/>
        <w:t>По статье 2 (7) главы 29 Уголовного кодекса, при определении наказания, если мотив преступления состоял в том, чтобы ущемить какое-либо лицо, этническую группу или какую</w:t>
      </w:r>
      <w:r>
        <w:noBreakHyphen/>
        <w:t>либо иную аналогичную группу по признаку расы, цвета кожи, национального или этнического происхождения, религиозных убеждений, половой ориентации или по иным сходным признакам, то это рассматривается в качестве отягчающего обстоятельства.  Данное положение призвано усилить общую защиту любого потерпевшего от правонарушений, совершаемых по расистским или иным аналогичным мотивам.  Это положение применимо ко всякого рода преступлениям.  1 июля 2002 года в него были внесены поправки в том, что касается половой ориентации.</w:t>
      </w:r>
    </w:p>
    <w:p w:rsidR="00000000" w:rsidRDefault="00000000"/>
    <w:p w:rsidR="00000000" w:rsidRDefault="00000000">
      <w:r>
        <w:t>11.</w:t>
      </w:r>
      <w:r>
        <w:tab/>
        <w:t>Уголовный кодекс содержит два положения, прямо касающихся оскорбления или дискриминации по признаку расы, цвета кожи, национального или этнического происхождения или религиозных убеждений, а именно положения, касающиеся агитации против национальной или этнической группы и противозаконной дискриминации.  Первоначальное описание этих положений приводится в пунктах 31 и 32 шведского двенадцатого периодического доклада.</w:t>
      </w:r>
    </w:p>
    <w:p w:rsidR="00000000" w:rsidRDefault="00000000"/>
    <w:p w:rsidR="00000000" w:rsidRDefault="00000000">
      <w:pPr>
        <w:pStyle w:val="10"/>
        <w:jc w:val="left"/>
        <w:rPr>
          <w:bCs/>
        </w:rPr>
      </w:pPr>
      <w:r>
        <w:rPr>
          <w:bCs/>
        </w:rPr>
        <w:t>Закон о деликтной ответственности</w:t>
      </w:r>
    </w:p>
    <w:p w:rsidR="00000000" w:rsidRDefault="00000000">
      <w:pPr>
        <w:pStyle w:val="10"/>
        <w:rPr>
          <w:bCs/>
        </w:rPr>
      </w:pPr>
    </w:p>
    <w:p w:rsidR="00000000" w:rsidRDefault="00000000">
      <w:r>
        <w:t>12.</w:t>
      </w:r>
      <w:r>
        <w:tab/>
        <w:t>Как правило, жертвы преступлений вправе требовать компенсации за материальный ущерб, финансовые убытки или личный вред.  По статье 3 главы 2 Закона о деликтной ответственности лицу, подвергнувшемуся незаконной дискриминации, может быть присуждена компенсация в порядке заглаживания вреда, убытков или ущерба, а также иных последствий для жертвы правонарушения.  Эта компенсация включает элемент компенсационного удовлетворения за унизительное и оскорбительное обращение или несправедливость, которым был подвергнут потерпевший.  За последние 10 лет были существенно повышены размеры компенсации.</w:t>
      </w:r>
    </w:p>
    <w:p w:rsidR="00000000" w:rsidRDefault="00000000"/>
    <w:p w:rsidR="00000000" w:rsidRDefault="00000000">
      <w:pPr>
        <w:pStyle w:val="10"/>
        <w:jc w:val="left"/>
        <w:rPr>
          <w:bCs/>
        </w:rPr>
      </w:pPr>
      <w:r>
        <w:rPr>
          <w:bCs/>
        </w:rPr>
        <w:t xml:space="preserve">Система уголовной юстиции </w:t>
      </w:r>
    </w:p>
    <w:p w:rsidR="00000000" w:rsidRDefault="00000000">
      <w:pPr>
        <w:pStyle w:val="10"/>
        <w:jc w:val="left"/>
        <w:rPr>
          <w:bCs/>
        </w:rPr>
      </w:pPr>
    </w:p>
    <w:p w:rsidR="00000000" w:rsidRDefault="00000000">
      <w:r>
        <w:t>13.</w:t>
      </w:r>
      <w:r>
        <w:tab/>
        <w:t>Как упомянуто в пункте 11 выше, некоторые положения Уголовного кодекса содержат четкую ссылку на расистские и ксенофобные мотивы, такие как агитация против национальной или этнической группы или противозаконная дискриминация.  Что касается других категорий правонарушений, таких как нападение, притеснения, противозаконные угрозы, то, если правонарушение совершено с таким мотивом, применяется упомянутое в пункте 10 положение Уголовного кодекса относительно отягчающих обстоятельств.</w:t>
      </w:r>
    </w:p>
    <w:p w:rsidR="00000000" w:rsidRDefault="00000000"/>
    <w:p w:rsidR="00000000" w:rsidRDefault="00000000">
      <w:r>
        <w:t>14.</w:t>
      </w:r>
      <w:r>
        <w:tab/>
        <w:t>В решении, принятом в декабре 1999 года, Генеральная прокуратура дала прокурорам конкретные установки и директивы относительно способов совершенствования деятельности по пресечению преступлений расистского или аналогичного свойства.  Как предусматривает это решение, все преступления, сопряженные с расистскими мотивами, должны разбираться прокурорскими ведомствами в приоритетном порядке.  В Генеральной прокуратуре, а также в шести региональных прокурорских ведомствах введена специальная функция для координации действий по пресечению преступлений, продиктованных расистскими или аналогичными мотивами.  Кроме того, расширена компетенция прокуратуры и укреплена ее способность – отчасти за счет усовершенствованных статистических данных - осуществлять надзор над деятельностью по борьбе с преступления расистского толка.</w:t>
      </w:r>
    </w:p>
    <w:p w:rsidR="00000000" w:rsidRDefault="00000000"/>
    <w:p w:rsidR="00000000" w:rsidRDefault="00000000">
      <w:r>
        <w:t>15.</w:t>
      </w:r>
      <w:r>
        <w:tab/>
        <w:t>В решении от ноября 2002 года Генеральная прокуратура модифицировала установки и директивы прокурорской службе относительно способов совершенствования деятельности по пресечению всех преступлений, совершаемых в обществе на почве ненависти.  Преступления на почве ненависти включают расистские преступления, противозаконную дискриминацию, равно как и всякого рода иные преступные деяния.  Согласно этим директивам прокуроры должны уделять этим преступлениям приоритетное внимание, а</w:t>
      </w:r>
      <w:r>
        <w:rPr>
          <w:lang w:val="en-US"/>
        </w:rPr>
        <w:t> </w:t>
      </w:r>
      <w:r>
        <w:t>также тесно сотрудничать с полицией в этом отношении.</w:t>
      </w:r>
    </w:p>
    <w:p w:rsidR="00000000" w:rsidRDefault="00000000"/>
    <w:p w:rsidR="00000000" w:rsidRDefault="00000000">
      <w:r>
        <w:t>16.</w:t>
      </w:r>
      <w:r>
        <w:tab/>
        <w:t>В течение 2001 года Национальное полицейское управление создало национальную сеть координационных пунктов в целях информации и кадровой подготовки по вопросам расизма, ксенофобии, антисемитизма, гомофобных угроз и дискриминации.  Основной задачей сети является облегчение деятельности полицейских ведомств по распространению информации о профилактической работе и операциях аналитического свойства, а также по отслеживанию и расследованию преступлений, сопряженных с признаками расизма, ксенофобии, антисемитизма или гомофобии.  Координационные пункты также призваны способствовать улучшению сотрудничества между разными ведомствами и организациями, в частности на локальном уровне.</w:t>
      </w:r>
    </w:p>
    <w:p w:rsidR="00000000" w:rsidRDefault="00000000"/>
    <w:p w:rsidR="00000000" w:rsidRDefault="00000000">
      <w:r>
        <w:t>17.</w:t>
      </w:r>
      <w:r>
        <w:tab/>
        <w:t>С 2002 года Национальное полицейское управление и Генеральная прокуратура ежегодно проводят одно-два совещания, на которых Министерство юстиции и шведский парламентский омбудсмен по вопросам юстиции и гражданской администрации представляют прокурорским работникам и полицейским координационным пунктам актуализированные справки о новых законах, характерных юридических случаях, заключениях/приговорах, информацию о надлежащем обращении с жертвами преступлений, равно как и о рабочих методах, профилактической деятельности, надзорной и следственной работе.  Вдобавок почти все полицейские ведомства, при поддержке со стороны координационных пунктов, проводят учебные курсы по вопросам преступлений на почве ненависти.  Их задача состоит в повышении информированности и осведомленности о расизме, ксенофобии, антисемитизме, гомофобных преступлениях и дискриминации.</w:t>
      </w:r>
    </w:p>
    <w:p w:rsidR="00000000" w:rsidRDefault="00000000"/>
    <w:p w:rsidR="00000000" w:rsidRDefault="00000000">
      <w:r>
        <w:t>18.</w:t>
      </w:r>
      <w:r>
        <w:tab/>
        <w:t>Полиция и служба безопасности практикуют сотрудничество по проблемам расизма, ксенофобии, антисемитизма, гомофобных угроз и дискриминации.  Например, в сеть координационных пунктов введены представители службы безопасности.</w:t>
      </w:r>
    </w:p>
    <w:p w:rsidR="00000000" w:rsidRDefault="00000000"/>
    <w:p w:rsidR="00000000" w:rsidRDefault="00000000">
      <w:r>
        <w:t>19.</w:t>
      </w:r>
      <w:r>
        <w:tab/>
        <w:t>С 1993 года, служба безопасности компилирует на национальном уровне статистические данные о сообщаемых преступлениях, продиктованных расистскими и ксенофобными мотивами.  В 2001 году полиция получила сообщения о 2 670 ксенофобных правонарушениях, включая нападки, угрозы, шельмование, оскорбительные надписи и дискриминацию.  В 2002 году было отмечено 2 260 подобных случаев, что на 15 процентов меньше, чем в предыдущем году (в 2000 году соответствующая величина составила 2 572 случая).</w:t>
      </w:r>
    </w:p>
    <w:p w:rsidR="00000000" w:rsidRDefault="00000000"/>
    <w:p w:rsidR="00000000" w:rsidRDefault="00000000">
      <w:r>
        <w:t>20.</w:t>
      </w:r>
      <w:r>
        <w:tab/>
        <w:t>Одним из основных приоритетов полиции в последние годы является предупреждение расистских преступлений и криминальной деятельности в рамках движения "За власть белых".  Для полицейских работников подготовлено специальное пособие "Внимание:  власть белым".  Как показывают последние статистические сводки, собранные службой безопасности, в 2002 году было зарегистрировано 1 374 преступления, связанных с движением "За власть белых", что свидетельствует о неизменности уровня по сравнению с предыдущим годом, когда насчитывалось 1 377 таких преступлений, но зато произошло их значительное снижение по сравнению с 2000 годом, когда было зафиксировано 2 092 преступления.  Было также отмечено снижение числа этнофобных преступлений: в 2002 году было сообщено о 668 таких преступлениях, тогда как в 2001 году речь шла о 721 преступлении, а в 2000 году – о 825 преступлениях.</w:t>
      </w:r>
    </w:p>
    <w:p w:rsidR="00000000" w:rsidRDefault="00000000"/>
    <w:p w:rsidR="00000000" w:rsidRDefault="00000000">
      <w:r>
        <w:t>21.</w:t>
      </w:r>
      <w:r>
        <w:tab/>
        <w:t>В мае 2003 года правительство поручило ведомствам системы уголовной юстиции разработать стратегии по борьбе с дискриминацией.  Эти стратегии призваны способствовать долгосрочной, неуклонной и всеобъемлющей работе системы уголовной юстиции по борьбе с дискриминацией.  Стратегии должны отражать подходы и отношение к людям, вступающим в контакт с системой уголовной юстиции.</w:t>
      </w:r>
    </w:p>
    <w:p w:rsidR="00000000" w:rsidRDefault="00000000"/>
    <w:p w:rsidR="00000000" w:rsidRDefault="00000000">
      <w:pPr>
        <w:rPr>
          <w:u w:val="single"/>
        </w:rPr>
      </w:pPr>
      <w:r>
        <w:rPr>
          <w:b/>
          <w:bCs/>
        </w:rPr>
        <w:t>Новое законодательство о мерах по противодействию этнической дискриминации</w:t>
      </w:r>
      <w:r>
        <w:t xml:space="preserve"> </w:t>
      </w:r>
    </w:p>
    <w:p w:rsidR="00000000" w:rsidRDefault="00000000">
      <w:pPr>
        <w:rPr>
          <w:u w:val="single"/>
        </w:rPr>
      </w:pPr>
    </w:p>
    <w:p w:rsidR="00000000" w:rsidRDefault="00000000">
      <w:r>
        <w:t>22.</w:t>
      </w:r>
      <w:r>
        <w:tab/>
        <w:t>В 2003 году парламент принял новое законодательство, рассчитанное на противодействие дискриминации по различным признакам, в том числе на почве этнического происхождения.  Новое законодательство, которое обеспечивает реализацию принятых в 2000 году двух антидискриминационных директив Европейского союза, вступит в силу 1 июля 2003 года.</w:t>
      </w:r>
    </w:p>
    <w:p w:rsidR="00000000" w:rsidRDefault="00000000"/>
    <w:p w:rsidR="00000000" w:rsidRDefault="00000000">
      <w:r>
        <w:t>23.</w:t>
      </w:r>
      <w:r>
        <w:tab/>
        <w:t>"Законодательственный пакет" состоит из нового текста законодательства - Закона  о запрещении дискриминации - и поправок к существующему законодательству по сфере труда и образования.  Новый закон предусматривает защиту от дискриминации по признакам этнического происхождения, религии или убеждений, половой ориентации и инвалидности в следующих областях:  программы по рынку труда и бюро трудоустройства, самодеятельная трудовая занятость и доступ к занятию бизнесом или к определенным профессиям, членство и участие в той или иной организации работников и работодателей или в любой иной профессиональной организации, доступ к товарам и услугам, включая жилье, социальное страхование и другие системы пособий, медико-санитарному попечению и другим медицинским услугам, социальным услугам и страхованию/пособиям по безработице.  Поправки к существующему законодательству по сфере труда и образования приводят эти акты в соответствие со стандартом Европейского союза в том, что касается сферы применения этих актов, равно как и таких явлений, как притеснение и дискриминация.</w:t>
      </w:r>
    </w:p>
    <w:p w:rsidR="00000000" w:rsidRDefault="00000000"/>
    <w:p w:rsidR="00000000" w:rsidRDefault="00000000">
      <w:r>
        <w:t>24.</w:t>
      </w:r>
      <w:r>
        <w:tab/>
        <w:t>Новое законодательство предполагает существенное расширение сферы надзора со стороны Управления омбудсмена по борьбе с этнической дискриминацией (ОБД).  До сих пор в мандат омбудсмена не были включены такие области, как товары и услуги (включая жилье), социальная защита и социальные пособия, да и образование в целом.  С 2001 года финансирование ОБД увеличилось на 6 миллионов шведских крон, и бюджет на 2003 год составляет примерно 16 миллионов шведских крон.</w:t>
      </w:r>
    </w:p>
    <w:p w:rsidR="00000000" w:rsidRDefault="00000000"/>
    <w:p w:rsidR="00000000" w:rsidRDefault="00000000">
      <w:r>
        <w:t>25.</w:t>
      </w:r>
      <w:r>
        <w:tab/>
        <w:t>В последние годы возросло число доведенных до ОБД случаев предположительной дискриминации в сфере труда.  В 2002 году было сообщено в общей сложности 307 таких случаев, что почти вдвое больше, чем в 2000 году.  В 2002 году ОБД было подано 379 индивидуальных жалоб по поводу этнической дискриминации вне места работы по сравнению с 291 жалобой в 2001 году.  Эти жалобы касались главным образом жилищного сектора, образования, правовой системы и социальных услуг.  Среди всех жалобщиков на мужчин приходилось 60 процентов, а на женщин – 40 процентов.  Рост заявленных случаев дискриминации может иметь несколько объяснений.  Быть может, он и отражает нарастание дискриминации, но вместе с тем и вполне вероятно, что такой рост, по крайней мере отчасти, отражает еще и рост осведомленности о существовании и функциях ОБД.</w:t>
      </w:r>
    </w:p>
    <w:p w:rsidR="00000000" w:rsidRDefault="00000000"/>
    <w:p w:rsidR="00000000" w:rsidRDefault="00000000">
      <w:r>
        <w:t>26.</w:t>
      </w:r>
      <w:r>
        <w:tab/>
        <w:t>С целью изучения всей сферы антидискриминационного права и политики был назначен межпартийный комитет, наделенный широким мандатом.  Проблемы, которые будет изучать комитет, включают возможные позитивные меры, возможность комбинирования различных антидискриминационных законов в форме единого акта и слияние разных омбудсменов в единое ведомство.  Комитет должен представить свой первый доклад 1 июля 2005 года.</w:t>
      </w:r>
    </w:p>
    <w:p w:rsidR="00000000" w:rsidRDefault="00000000"/>
    <w:p w:rsidR="00000000" w:rsidRDefault="00000000">
      <w:r>
        <w:t>27.</w:t>
      </w:r>
      <w:r>
        <w:tab/>
        <w:t>1 марта 2002 года вступил в действие Закон о равном статусе студентов в системе высшего образования.  Этот закон, будучи эквивалентом Закона о мерах по противодействию этнической дискриминации в сфере труда, содержит запреты на прямую или косвенную дискриминацию студентов и абитуриентов по признакам пола, этнического происхождения, половой ориентации или инвалидности.  Обеспечивать соблюдение этого акта уполномочены омбудсмены по этим соответствующим сферам.</w:t>
      </w:r>
    </w:p>
    <w:p w:rsidR="00000000" w:rsidRDefault="00000000"/>
    <w:p w:rsidR="00000000" w:rsidRDefault="00000000">
      <w:r>
        <w:t>28.</w:t>
      </w:r>
      <w:r>
        <w:tab/>
        <w:t>1 января 2003 года вступил в силу новый Закон о коллективной процедуре.  Согласно этому закону истец может быть возбудить коллективный иск в качестве представителя нескольких лиц, и его последствия будут иметь юридическую силу для всех этих лиц, даже если формально они и не являются сторонами в деле.  Коллективный иск может быть возбужден как "частный коллективный иск", как "коллективный иск от имени организации" или как "публичный коллективный иск".  Процедуры коллективного иска призваны дополнить обычные судебные процедуры.  И поэтому коллективный иск может разбираться судом только при наличии определенных предпосылок для такого производства.  Со вступлением же в силу намечаемого закона о расширенной защите от дискриминации появится возможность, в конкретных обстоятельствах, возбуждать коллективный иск по основаниям предположительной дискриминации (см. пункты 22 и 23).</w:t>
      </w:r>
    </w:p>
    <w:p w:rsidR="00000000" w:rsidRDefault="00000000"/>
    <w:p w:rsidR="00000000" w:rsidRDefault="00000000">
      <w:r>
        <w:rPr>
          <w:b/>
          <w:bCs/>
        </w:rPr>
        <w:t>Другие меры по противодействию расизму и дискриминации</w:t>
      </w:r>
      <w:r>
        <w:t xml:space="preserve"> </w:t>
      </w:r>
    </w:p>
    <w:p w:rsidR="00000000" w:rsidRDefault="00000000">
      <w:pPr>
        <w:rPr>
          <w:b/>
          <w:bCs/>
        </w:rPr>
      </w:pPr>
    </w:p>
    <w:p w:rsidR="00000000" w:rsidRDefault="00000000">
      <w:r>
        <w:t>29.</w:t>
      </w:r>
      <w:r>
        <w:tab/>
        <w:t>В феврале 2001 года правительство приняло План действий по борьбе с расизмом, ксенофобией, гомофобией и дискриминацией.  План действий рассчитан на то, чтобы мобилизовать все общество - правительственные ведомства, муниципалитеты и окружные советы; профсоюзы, конфедерации работодателей, деловые и торговые ассоциации; НПО и общественность в целом - на усилия по борьбе с дискриминацией по признакам цвета кожи, этнической или национальной принадлежности, религиозных убеждений или половой ориентации.  План действий является важным инструментом осуществления дурбанской Декларации и Программы действий, принятых в сентябре 2001 года на Всемирной конференции по борьбе против расизма, расовой дискриминации, ксенофобии и связанной с ними нетерпимости.</w:t>
      </w:r>
    </w:p>
    <w:p w:rsidR="00000000" w:rsidRDefault="00000000"/>
    <w:p w:rsidR="00000000" w:rsidRDefault="00000000">
      <w:r>
        <w:t>30.</w:t>
      </w:r>
      <w:r>
        <w:tab/>
        <w:t>Стратегическая роль в реализации и оценке Плана действий отводится Шведскому управлению по вопросам интеграции.  Управление должно регулярно докладывать правительству о результатах своих оценок.</w:t>
      </w:r>
    </w:p>
    <w:p w:rsidR="00000000" w:rsidRDefault="00000000"/>
    <w:p w:rsidR="00000000" w:rsidRDefault="00000000">
      <w:r>
        <w:t>31.</w:t>
      </w:r>
      <w:r>
        <w:tab/>
        <w:t>Шведское управление по вопросам интеграции создало на базе Интернета "банк знаний", содержащий информацию об опыте и методах работы в Швеции и других странах по борьбе с расизмом, ксенофобией и этнической дискриминацией.</w:t>
      </w:r>
    </w:p>
    <w:p w:rsidR="00000000" w:rsidRDefault="00000000"/>
    <w:p w:rsidR="00000000" w:rsidRDefault="00000000">
      <w:r>
        <w:t>32.</w:t>
      </w:r>
      <w:r>
        <w:tab/>
        <w:t>Кардинальное значение имеет и локальная деятельность по борьбе с дискриминацией.  В сотрудничестве со Шведской ассоциацией местных органов власти Шведское управление по вопросам интеграции разработало службу консультативного обеспечения и поддержки местных ведомств и других субъектов, нуждающихся в такой поддержке в рамках их работы по борьбе с расизмом и другими формами нетерпимости.</w:t>
      </w:r>
    </w:p>
    <w:p w:rsidR="00000000" w:rsidRDefault="00000000"/>
    <w:p w:rsidR="00000000" w:rsidRDefault="00000000">
      <w:r>
        <w:t>33.</w:t>
      </w:r>
      <w:r>
        <w:tab/>
        <w:t>Управление омбудсмена по борьбе с этнической дискриминацией и Национальное управление по вопросам интеграции способствуют созданию сети местных антидискриминационных бюро, на которые выделяется государственное финансирование.  Государственное финансирование выделялось в 2001-2003 годах и для локальной деятельности молодежных организаций по борьбе с расизмом, ксенофобией и дискриминацией.</w:t>
      </w:r>
    </w:p>
    <w:p w:rsidR="00000000" w:rsidRDefault="00000000"/>
    <w:p w:rsidR="00000000" w:rsidRDefault="00000000">
      <w:r>
        <w:t>34.</w:t>
      </w:r>
      <w:r>
        <w:tab/>
        <w:t>Государственное финансирование предоставляется и по проекту "</w:t>
      </w:r>
      <w:r>
        <w:rPr>
          <w:lang w:val="en-US"/>
        </w:rPr>
        <w:t>Exit</w:t>
      </w:r>
      <w:r>
        <w:t>", который является составным звеном работы на местном уровне по преодолению расистских и ксенофобских наклонностей.  Задача проекта заключается в разработке и распространении устойчивых стратегий с целью помочь молодым людям, которые хотели бы покинуть расистские или аналогичные группировки.  Проект осуществляется в тесном контакте с муниципалитетами, правительственными ведомствами и местными социальными службами.</w:t>
      </w:r>
    </w:p>
    <w:p w:rsidR="00000000" w:rsidRDefault="00000000"/>
    <w:p w:rsidR="00000000" w:rsidRDefault="00000000">
      <w:r>
        <w:t>35.</w:t>
      </w:r>
      <w:r>
        <w:tab/>
        <w:t>Существенное значение для борьбы с расизмом, ксенофобией, гомофобией и дискриминацией имеют активные меры со стороны НПО.  Чтобы поддерживать и еще больше развивать работу НПО и обеспечивать преемственность в их работе, правительство выделяет финансирование на учреждение независимого "Центра по борьбе с расизмом и связанной с ним нетерпимостью".  Новый центр начнет свою деятельность в 2003 году.</w:t>
      </w:r>
    </w:p>
    <w:p w:rsidR="00000000" w:rsidRDefault="00000000"/>
    <w:p w:rsidR="00000000" w:rsidRDefault="00000000">
      <w:r>
        <w:t>36.</w:t>
      </w:r>
      <w:r>
        <w:tab/>
        <w:t>Согласно Закону о государственных закупках, при государственных закупках может производиться обращение к антидискриминационной оговорке.  По указанию правительства Национальное управление по государственным закупкам разработало образец такой оговорки.  Правительство назначило Комитет для рассмотрения возможностей увязки государственных финансовых субсидий с условиями относительно недискриминации.</w:t>
      </w:r>
    </w:p>
    <w:p w:rsidR="00000000" w:rsidRDefault="00000000"/>
    <w:p w:rsidR="00000000" w:rsidRDefault="00000000">
      <w:r>
        <w:t>37.</w:t>
      </w:r>
      <w:r>
        <w:tab/>
        <w:t>В 2001 году правительство поручило Национальному управлению по вопросам общественного здравоохранения и социальной защиты оповестить ведомства, занимающиеся выдачей лицензий на право отпуска алкогольных напитков, и предприятия ресторанного сектора о положениях Закона об алкогольных напитках относительно возможности отзыва лицензии на право отпуска алкогольных напитков по причине дискриминационных правонарушений.  Соответственно, Управление обновило наставление касательно Закона об алкогольных напитках с целью разъяснить, что дискриминационные правонарушения относятся к разряду преступлений, которые могут повлечь за собой отзыв лицензии или отказ в выдаче лицензий на право отпуска алкогольных напитков, согласно Закону об алкогольных напитках.  Национальное управление по вопросам общественного здравоохранения и социальной защиты составило меморандум для ресторанного сектора и лицензирующих ведомств, который касается дискриминационных правонарушений в связи с обладанием лицензией на право отпуска алкогольных напитков.</w:t>
      </w:r>
    </w:p>
    <w:p w:rsidR="00000000" w:rsidRDefault="00000000"/>
    <w:p w:rsidR="00000000" w:rsidRDefault="00000000">
      <w:r>
        <w:t>38.</w:t>
      </w:r>
      <w:r>
        <w:tab/>
        <w:t xml:space="preserve">Правительство поручило Шведскому управлению по вопросам интеграции отслеживать положение мусульман в Швеции после событий 11 сентября 2001 года.  Согласно докладу, опубликованному Управлением в июне 2003 года, большинство мусульман в Швеции ощущали свое положение спустя год после этих событий как весьма проблематичное и трудное.  Многие мусульмане считали, что они подвергаются дискриминации.  Они также считали, что в средствах массовой информации складывается все более негативный облик ислама и мусульман.  </w:t>
      </w:r>
    </w:p>
    <w:p w:rsidR="00000000" w:rsidRDefault="00000000"/>
    <w:p w:rsidR="00000000" w:rsidRDefault="00000000">
      <w:r>
        <w:t>39.</w:t>
      </w:r>
      <w:r>
        <w:tab/>
        <w:t>Правительство расценивает это как серьезное веяние, которому надо противодействовать всеми возможными средствами.  Прежде всего общая работа по борьбе с расизмом, ксенофобией и дискриминацией, и не в последнюю очередь со стороны Национального управления по вопросам интеграции и со стороны Управления омбудсмена по борьбе с этнической дискриминацией, вкупе с эффективным законодательством, сказывается и на исламофобии.  В русле работы по борьбе с исламофобией важную роль призваны сыграть созданные недавно форум "Живая история" (см. пункты 122 и 123) и Центр по борьбе с расизмом и связанной с ним нетерпимостью (см. пункт 35), которые, как ожидается, начнут свою деятельность в 2003 году и будут получать финансирование со стороны правительства.  На 2003 год выделены дальнейшие финансовые ресурсы с целью финансирования проектов по борьбе с исламофобией и антисемитизмом.</w:t>
      </w:r>
    </w:p>
    <w:p w:rsidR="00000000" w:rsidRDefault="00000000"/>
    <w:p w:rsidR="00000000" w:rsidRDefault="00000000">
      <w:r>
        <w:t>40.</w:t>
      </w:r>
      <w:r>
        <w:tab/>
        <w:t>Можно упомянуть и о том, что в результате диалога между мусульманами и Управлением по вопросам интеграции была создана региональная рабочая группа.  В состав этой группы входят представители мусульман, полицейских служб, окружных административных советов и местных антидискриминационных бюро.</w:t>
      </w:r>
    </w:p>
    <w:p w:rsidR="00000000" w:rsidRDefault="00000000"/>
    <w:p w:rsidR="00000000" w:rsidRDefault="00000000">
      <w:r>
        <w:t>41.</w:t>
      </w:r>
      <w:r>
        <w:tab/>
        <w:t>В 2002 году Министерство иностранных дел выпустило антологию "Э</w:t>
      </w:r>
      <w:r>
        <w:noBreakHyphen/>
        <w:t xml:space="preserve">Эй! Давайте снова нарядим елку", куда вошли статьи, эссе, интервью и стихи молодых людей, экспертов и журналистов.  При этом основная цель состояла в том, чтобы вдохновить молодых людей на диалог и дискуссию по проблеме стыковки между западным миром и миром мусульманским.  Среди учащихся первой и второй ступени верхнего звена средней школы было распространено в общей сложности 250 000 экземпляров книги.  Книга была также переведена на английский (7 000 экземпляров) и арабский (3 000 экземпляров) языки.  </w:t>
      </w:r>
    </w:p>
    <w:p w:rsidR="00000000" w:rsidRDefault="00000000"/>
    <w:p w:rsidR="00000000" w:rsidRDefault="00000000">
      <w:pPr>
        <w:jc w:val="center"/>
      </w:pPr>
      <w:r>
        <w:rPr>
          <w:b/>
          <w:bCs/>
        </w:rPr>
        <w:t>Статья 2.2</w:t>
      </w:r>
      <w:r>
        <w:t xml:space="preserve"> </w:t>
      </w:r>
    </w:p>
    <w:p w:rsidR="00000000" w:rsidRDefault="00000000"/>
    <w:p w:rsidR="00000000" w:rsidRDefault="00000000">
      <w:r>
        <w:rPr>
          <w:b/>
          <w:bCs/>
        </w:rPr>
        <w:t>Национальные меньшинства</w:t>
      </w:r>
      <w:r>
        <w:t xml:space="preserve"> </w:t>
      </w:r>
    </w:p>
    <w:p w:rsidR="00000000" w:rsidRDefault="00000000"/>
    <w:p w:rsidR="00000000" w:rsidRDefault="00000000">
      <w:r>
        <w:t>42.</w:t>
      </w:r>
      <w:r>
        <w:tab/>
        <w:t>В рамках Совета Европы Швеция ратифицировала в феврале 2000 года Рамочную конвенцию о защите национальных меньшинств и Европейскую хартию региональных языков и языков меньшинств.  В результате в качестве национальных меньшинств были признаны саами, шведские финны, торнедальские финны, рома и евреи.</w:t>
      </w:r>
    </w:p>
    <w:p w:rsidR="00000000" w:rsidRDefault="00000000"/>
    <w:p w:rsidR="00000000" w:rsidRDefault="00000000">
      <w:r>
        <w:t>43.</w:t>
      </w:r>
      <w:r>
        <w:tab/>
        <w:t>Было принято два конкретных закона:  Закон о праве на использование финского языка и языка мянкиели в общении с публичными ведомствами и Закон о праве на использование языка саами в общении с публичными ведомствами и судебными органами.  Эти законы вступили в силу 1 апреля 2000 года.</w:t>
      </w:r>
    </w:p>
    <w:p w:rsidR="00000000" w:rsidRDefault="00000000"/>
    <w:p w:rsidR="00000000" w:rsidRDefault="00000000">
      <w:r>
        <w:t>44.</w:t>
      </w:r>
      <w:r>
        <w:tab/>
        <w:t>Важным компонентом политики по отношению к национальным меньшинствам являются регулярные консультативные встречи правительства с представителями миноритарных организаций.</w:t>
      </w:r>
    </w:p>
    <w:p w:rsidR="00000000" w:rsidRDefault="00000000"/>
    <w:p w:rsidR="00000000" w:rsidRDefault="00000000">
      <w:r>
        <w:rPr>
          <w:i/>
          <w:iCs/>
        </w:rPr>
        <w:t>Саами</w:t>
      </w:r>
      <w:r>
        <w:t xml:space="preserve"> </w:t>
      </w:r>
    </w:p>
    <w:p w:rsidR="00000000" w:rsidRDefault="00000000">
      <w:pPr>
        <w:jc w:val="center"/>
        <w:rPr>
          <w:b/>
          <w:bCs/>
        </w:rPr>
      </w:pPr>
    </w:p>
    <w:p w:rsidR="00000000" w:rsidRDefault="00000000">
      <w:r>
        <w:t>45.</w:t>
      </w:r>
      <w:r>
        <w:tab/>
        <w:t>Административному совету округа Норрботтен поручено изучить последствия возможного расширения административной зоны употребления языка саами еще и за счет включения кое-каких административных районов в южных частях традиционной зоны распространения языка саами.</w:t>
      </w:r>
    </w:p>
    <w:p w:rsidR="00000000" w:rsidRDefault="00000000"/>
    <w:p w:rsidR="00000000" w:rsidRDefault="00000000">
      <w:r>
        <w:t>46.</w:t>
      </w:r>
      <w:r>
        <w:tab/>
        <w:t xml:space="preserve">Комитет по политике в сфере оленеводства рекомендовал укрепить законодательство относительно оленеводства и установить новые соотношения между конкурирующими производствами в центральном Норланде - лесным делом, сельским хозяйством и оленеводством.  Эти рекомендации переданы на отзыв соответствующим сторонам.  </w:t>
      </w:r>
    </w:p>
    <w:p w:rsidR="00000000" w:rsidRDefault="00000000"/>
    <w:p w:rsidR="00000000" w:rsidRDefault="00000000">
      <w:r>
        <w:t>47.</w:t>
      </w:r>
      <w:r>
        <w:tab/>
        <w:t>В январе 2002 года была учреждена пограничная комиссия.  Комиссия внесет предложения об определении границ применительно к оленеводческим правам саами, отводя приоритет размерам территории, используемой под зимний выпас.  Как ожидается, Комиссия представит свои заключения в декабре 2004 года.  Туда будут включены и предложения относительно объема охотничьих и рыболовецких прав саами на традиционно занимаемых ими землях.</w:t>
      </w:r>
    </w:p>
    <w:p w:rsidR="00000000" w:rsidRDefault="00000000"/>
    <w:p w:rsidR="00000000" w:rsidRDefault="00000000">
      <w:r>
        <w:t>48.</w:t>
      </w:r>
      <w:r>
        <w:tab/>
        <w:t>Пока еще находится на стадии рассмотрения проблема присоединения к Конвенции № 169 МОТ (1989 года) о коренных народах и народах, ведущих племенной образ жизни в независимых странах.  Как указывалось в докладе Комитета по Конвенции № 169 МОТ, который был представлен в марте 1999 года, чтобы сделать такое присоединение стало возможным, понадобится укрепить шведское законодательство относительно прав собственности.  Точного графика ратификации Конвенции № 169 МОТ пока нет.  Но есть намерение как можно скорее ратифицировать Конвенцию № 169 МОТ в свете рекомендаций действующих комитетов и комиссий.</w:t>
      </w:r>
    </w:p>
    <w:p w:rsidR="00000000" w:rsidRDefault="00000000"/>
    <w:p w:rsidR="00000000" w:rsidRDefault="00000000">
      <w:r>
        <w:t>49.</w:t>
      </w:r>
      <w:r>
        <w:tab/>
        <w:t>Делегация по коренным народам на регулярной основе устраивает семинары, чтобы позволить парламентариям и другим субъектам обсудить содержание Конвенции № 169 и последствия ее ратификации.</w:t>
      </w:r>
    </w:p>
    <w:p w:rsidR="00000000" w:rsidRDefault="00000000"/>
    <w:p w:rsidR="00000000" w:rsidRDefault="00000000">
      <w:r>
        <w:t>50.</w:t>
      </w:r>
      <w:r>
        <w:tab/>
        <w:t>Как показывают опросы общественности, ощущается необходимость в более широкой информации о культуре саами.  Поэтому правительство развернуло информационную кампанию о народе саами, которая адресована публичным ведомствам, неправительственным организациям, средствам массовой информации и широкой общественности.  Кампания рассчитана на пять лет, а ее финансирование составляет в общей сложности 20 миллионов шведских крон.</w:t>
      </w:r>
    </w:p>
    <w:p w:rsidR="00000000" w:rsidRDefault="00000000"/>
    <w:p w:rsidR="00000000" w:rsidRDefault="00000000">
      <w:r>
        <w:rPr>
          <w:i/>
          <w:iCs/>
        </w:rPr>
        <w:t>Рома</w:t>
      </w:r>
      <w:r>
        <w:t xml:space="preserve"> </w:t>
      </w:r>
    </w:p>
    <w:p w:rsidR="00000000" w:rsidRDefault="00000000">
      <w:pPr>
        <w:rPr>
          <w:b/>
          <w:bCs/>
        </w:rPr>
      </w:pPr>
    </w:p>
    <w:p w:rsidR="00000000" w:rsidRDefault="00000000">
      <w:r>
        <w:t>51.</w:t>
      </w:r>
      <w:r>
        <w:tab/>
        <w:t>В своих заключительных замечаниях по шведскому четырнадцатому докладу Комитет рекомендовал Швеции представить дополнительную информацию о положении ромского меньшинства, особенно в плане образования, занятости и жилья.  Особое внимание следовало уделить положению ромских женщин и детей.</w:t>
      </w:r>
    </w:p>
    <w:p w:rsidR="00000000" w:rsidRDefault="00000000"/>
    <w:p w:rsidR="00000000" w:rsidRDefault="00000000">
      <w:r>
        <w:t>52.</w:t>
      </w:r>
      <w:r>
        <w:tab/>
        <w:t>Как отмечалось выше, в Швеции не позволяется регистрация людей по этническим признакам.  Поэтому учет рома ведется не по их этнической принадлежности, а по их рождению в соответствующей стране происхождения.  И соответственно, людей иного этнического происхождения нет возможности отделить от других уроженцев той же самой страны.  Вместе с тем такое обстоятельство не является препятствием для наращивания усилий с целью улучшить положение ромского меньшинства.  Эти усилия опираются на общую оценку, выработанную в ходе тесного и долгосрочного сотрудничества с представителями рома.</w:t>
      </w:r>
    </w:p>
    <w:p w:rsidR="00000000" w:rsidRDefault="00000000"/>
    <w:p w:rsidR="00000000" w:rsidRDefault="00000000">
      <w:r>
        <w:t>53.</w:t>
      </w:r>
      <w:r>
        <w:tab/>
        <w:t>Согласно этой оценке, ромские мужчины в значительной мере занимаются самодеятельным трудом, практикуя сбыт разного рода товаров, таких как автомашины.  В последнее время ромские семьи все больше открывают небольшие местные лавки.  Некоторые рома работают в школах в качестве "ученических помощников".  Немало рома прошли подготовку в качестве социальных работников.  Наемные работницы из числа рома нередко трудятся в социальном секторе, в ресторанных заведениях и в уборочных службах.</w:t>
      </w:r>
    </w:p>
    <w:p w:rsidR="00000000" w:rsidRDefault="00000000"/>
    <w:p w:rsidR="00000000" w:rsidRDefault="00000000">
      <w:r>
        <w:t>54.</w:t>
      </w:r>
      <w:r>
        <w:tab/>
        <w:t>Все более широкое распространения получает такая практика, когда взрослые рома проходят полный цикл обязательного обучения.  Многие молодые рома по окончании обязательного школьного обучения продолжают учебу в народных средних школах (школы со сниженными вступительными требованиями).  Спрос на рома имеет место в медиасекторе, и поэтому были разработаны специализированные медиакурсы для рома.</w:t>
      </w:r>
    </w:p>
    <w:p w:rsidR="00000000" w:rsidRDefault="00000000"/>
    <w:p w:rsidR="00000000" w:rsidRDefault="00000000">
      <w:r>
        <w:t>55.</w:t>
      </w:r>
      <w:r>
        <w:tab/>
        <w:t>В 2002 году в качестве консультативного органа при правительстве был учрежден Совет по проблемам рома.  Он отличается широкой репрезентативностью ромской общины, как в лице мужчин, так и в лице женщин, обеспечивая представленность всех крупных ромских групп в Швеции.  Совет возглавляется министром по проблемам меньшинств.  Основная задача Совета состоит в том, чтобы играть проактивную роль а национальных усилиях по улучшению положения рома в шведском обществе.  Работу Совета должна пронизывать гендерная и детская проблематика.</w:t>
      </w:r>
    </w:p>
    <w:p w:rsidR="00000000" w:rsidRDefault="00000000"/>
    <w:p w:rsidR="00000000" w:rsidRDefault="00000000">
      <w:r>
        <w:t>56.</w:t>
      </w:r>
      <w:r>
        <w:tab/>
        <w:t>Был также развернут процесс с целью побудить ромских женщин создавать свои сети и приобщаться к ромским организациям, где традиционно доминируют мужчины.  Для укрепления позиций ромских женщин и расширения их участия в общинной жизни была создана неформальная рабочая группа с участием представителей правительственных служб и ромских женщин.</w:t>
      </w:r>
    </w:p>
    <w:p w:rsidR="00000000" w:rsidRDefault="00000000"/>
    <w:p w:rsidR="00000000" w:rsidRDefault="00000000">
      <w:r>
        <w:t>57.</w:t>
      </w:r>
      <w:r>
        <w:tab/>
        <w:t>Как подчеркивает правительство, детям принадлежит ключевая роль в достижении долгосрочной трансформации рома как группы.  И поэтому правительство в сотрудничестве с Рабочей группой молодых ромских мужчин и женщин устроило в 2002 году Конференцию по вопросу о положении ромских детей и молодежи и о путях его возможного улучшения.  Ромская рабочая группа выбрала темы и символику Конференции.  По итогам Конференции омбудсмен по проблемам детей и несколько окружных советов активизировали свои усилия по поддержке ромских детей и молодежи.</w:t>
      </w:r>
    </w:p>
    <w:p w:rsidR="00000000" w:rsidRDefault="00000000"/>
    <w:p w:rsidR="00000000" w:rsidRDefault="00000000">
      <w:r>
        <w:t>58.</w:t>
      </w:r>
      <w:r>
        <w:tab/>
        <w:t>Правительство поручило омбудсмену по борьбе с этнической дискриминацией осуществить двухгодичную стратегическую программу по предупреждению и пресечению дискриминации против рома.  В феврале 2004 года правительству будет представлен доклад.</w:t>
      </w:r>
    </w:p>
    <w:p w:rsidR="00000000" w:rsidRDefault="00000000"/>
    <w:p w:rsidR="00000000" w:rsidRDefault="00000000">
      <w:pPr>
        <w:jc w:val="center"/>
      </w:pPr>
      <w:r>
        <w:rPr>
          <w:b/>
          <w:bCs/>
        </w:rPr>
        <w:t>Статья 3</w:t>
      </w:r>
    </w:p>
    <w:p w:rsidR="00000000" w:rsidRDefault="00000000">
      <w:pPr>
        <w:jc w:val="center"/>
      </w:pPr>
    </w:p>
    <w:p w:rsidR="00000000" w:rsidRDefault="00000000">
      <w:r>
        <w:t>59.</w:t>
      </w:r>
      <w:r>
        <w:tab/>
        <w:t>В Швеции нет институциональной расовой сегрегации.  Вместе с тем в некоторых городских районах, и особенно в более крупных городах, бытует неумышленная расовая сегрегация из</w:t>
      </w:r>
      <w:r>
        <w:noBreakHyphen/>
        <w:t>за различий в доходах, что нередко сочетается с различиями по национальному или этническому происхождению (см. также пункт 103).</w:t>
      </w:r>
    </w:p>
    <w:p w:rsidR="00000000" w:rsidRDefault="00000000"/>
    <w:p w:rsidR="00000000" w:rsidRDefault="00000000">
      <w:pPr>
        <w:keepNext/>
        <w:jc w:val="center"/>
      </w:pPr>
      <w:r>
        <w:rPr>
          <w:b/>
          <w:bCs/>
        </w:rPr>
        <w:t>Статья 4</w:t>
      </w:r>
    </w:p>
    <w:p w:rsidR="00000000" w:rsidRDefault="00000000">
      <w:pPr>
        <w:keepNext/>
        <w:jc w:val="center"/>
      </w:pPr>
    </w:p>
    <w:p w:rsidR="00000000" w:rsidRDefault="00000000">
      <w:pPr>
        <w:keepNext/>
        <w:jc w:val="center"/>
      </w:pPr>
      <w:r>
        <w:rPr>
          <w:b/>
          <w:bCs/>
        </w:rPr>
        <w:t>Статья 4</w:t>
      </w:r>
      <w:r>
        <w:t xml:space="preserve"> </w:t>
      </w:r>
      <w:r>
        <w:rPr>
          <w:b/>
          <w:bCs/>
        </w:rPr>
        <w:t>а)</w:t>
      </w:r>
    </w:p>
    <w:p w:rsidR="00000000" w:rsidRDefault="00000000">
      <w:pPr>
        <w:keepNext/>
        <w:rPr>
          <w:u w:val="single"/>
        </w:rPr>
      </w:pPr>
    </w:p>
    <w:p w:rsidR="00000000" w:rsidRDefault="00000000">
      <w:pPr>
        <w:keepNext/>
      </w:pPr>
      <w:r>
        <w:t>60.</w:t>
      </w:r>
      <w:r>
        <w:tab/>
        <w:t>Что касается первоначальной справки по этой статье, то Комитет отсылается к пунктам 72-76 шведского двенадцатого периодического доклада.</w:t>
      </w:r>
    </w:p>
    <w:p w:rsidR="00000000" w:rsidRDefault="00000000"/>
    <w:p w:rsidR="00000000" w:rsidRDefault="00000000">
      <w:r>
        <w:t>61.</w:t>
      </w:r>
      <w:r>
        <w:tab/>
        <w:t>Статья 8 главы 16 Уголовного кодекса Швеции запрещает агитацию против той или иной национальной или этнической группы.  Преступное деяние состоит в заявлении или сообщении с угрозой или выражением презрения по отношению к такого рода национальной, этнической или иной группе лиц с намеком на расу, цвет кожи, национальное или этническое происхождение, религиозные убеждения или половую ориентацию.</w:t>
      </w:r>
    </w:p>
    <w:p w:rsidR="00000000" w:rsidRDefault="00000000"/>
    <w:p w:rsidR="00000000" w:rsidRDefault="00000000">
      <w:r>
        <w:t>62.</w:t>
      </w:r>
      <w:r>
        <w:tab/>
        <w:t>Закон об ответственности за электронные доски объявлений требует от провайдеров электронных досок объявлений изымать любое сообщение, которое по своему содержанию явно представляет собой агитацию против той или иной этнической группы, что является предметом регламентации в Уголовном кодексе.</w:t>
      </w:r>
    </w:p>
    <w:p w:rsidR="00000000" w:rsidRDefault="00000000"/>
    <w:p w:rsidR="00000000" w:rsidRDefault="00000000">
      <w:r>
        <w:t>63.</w:t>
      </w:r>
      <w:r>
        <w:tab/>
        <w:t>Как указано в пункте 9, 1 января 2003 года была внесена поправка в Основной закон о свободе слова.  Закон применяется ко всем нынешним медиасредствам, таким как радио, телевидение и иные аналогичные способы вещания, кинофильмы, видеозаписи и другие средства воспроизведения динамических изображений и звуковых, графических и текстовых записей.  Возбуждать преследование виновных на основании распространении противоправного содержания при помощи вышеуказанных медиасредств власти могут только в случаях, санкционируемых шведской Конституцией, и только в порядке и в сроки, как это предписано в Конституции.  Согласно Основному закону о свободе слова юридическое разбирательство может быть в принципе возбуждено в течение шести – двенадцати месяцев со дня распространения материала.  Вместе с тем в случае технических записей сроки давности, установленные в Уголовном кодексе, будут применяться к правонарушениям в связи с записями, сопряженными с отсутствием определенной информации.  Поправка расширит возможности для противодействия музыке в духе "власть белым".</w:t>
      </w:r>
    </w:p>
    <w:p w:rsidR="00000000" w:rsidRDefault="00000000"/>
    <w:p w:rsidR="00000000" w:rsidRDefault="00000000">
      <w:r>
        <w:t>64.</w:t>
      </w:r>
      <w:r>
        <w:tab/>
        <w:t>Расовая агитация карается тюремных заключением сроком максимум на два года. 1 января 2003 года было введено положение о специальной мере наказания за наиболее тяжкие преступление в форме расовой агитации.  Это положение устанавливает, что в качестве меры наказания в таких случаях выступает тюремное заключение на срок от шести месяцев до четырех лет.</w:t>
      </w:r>
    </w:p>
    <w:p w:rsidR="00000000" w:rsidRDefault="00000000"/>
    <w:p w:rsidR="00000000" w:rsidRDefault="00000000">
      <w:r>
        <w:t>65.</w:t>
      </w:r>
      <w:r>
        <w:tab/>
        <w:t>Вдобавок статья 12 главы 16 Уголовного кодекса карает распространение среди детей и молодежи письменных, графических или технических записей, которые, по причине их  содержания, могут быть сопряжены с травмирующим эффектом или какой-либо иной серьезной опасностью для нравственного воспитания молодежи.  Такое преступление карается штрафом или тюремным заключением сроком до шести месяцев.  Это положение используется и с целью наказания за распространение расистской пропаганды среди молодежи, например, путем продажи компакт-дисков – но без ущерба для положений, содержащихся в Основном законе о свободе слова.</w:t>
      </w:r>
    </w:p>
    <w:p w:rsidR="00000000" w:rsidRDefault="00000000"/>
    <w:p w:rsidR="00000000" w:rsidRDefault="00000000">
      <w:pPr>
        <w:keepNext/>
        <w:jc w:val="center"/>
      </w:pPr>
      <w:r>
        <w:rPr>
          <w:b/>
          <w:bCs/>
        </w:rPr>
        <w:t>Статья 4</w:t>
      </w:r>
      <w:r>
        <w:t xml:space="preserve"> </w:t>
      </w:r>
      <w:r>
        <w:rPr>
          <w:b/>
          <w:bCs/>
          <w:lang w:val="en-US"/>
        </w:rPr>
        <w:t>b</w:t>
      </w:r>
      <w:r>
        <w:rPr>
          <w:b/>
          <w:bCs/>
        </w:rPr>
        <w:t>)</w:t>
      </w:r>
      <w:r>
        <w:t xml:space="preserve"> </w:t>
      </w:r>
    </w:p>
    <w:p w:rsidR="00000000" w:rsidRDefault="00000000">
      <w:pPr>
        <w:keepNext/>
      </w:pPr>
    </w:p>
    <w:p w:rsidR="00000000" w:rsidRDefault="00000000">
      <w:pPr>
        <w:keepNext/>
      </w:pPr>
      <w:r>
        <w:t>66.</w:t>
      </w:r>
      <w:r>
        <w:tab/>
        <w:t>Статья 8 главы 16 Уголовного кодекса, касающаяся агитации против национальной или этнической группы, запрещает публичное распространение расистских заявлений и иные способы выражение расистских подходов или убеждений.  Карается по закону и такого рода распространение через ту или иную организацию или аналогичную группу, равно как и распространение в рамках самой организации или группы.  1 января 2003 года было введено положение, предусматривающее специальное наказание за наиболее тяжкие преступления в форме агитации против той или иной национальной или этнической группы.  Как устанавливает это положение, в качестве наказания в таких случаях назначается тюремное заключение сроком от шести месяцев до четырех лет.  Это положение должно применяться, например, к случаям широкого распространения расистского материала, таким как расовая пропагандистская деятельность со стороны той или иной расистской организации.</w:t>
      </w:r>
    </w:p>
    <w:p w:rsidR="00000000" w:rsidRDefault="00000000"/>
    <w:p w:rsidR="00000000" w:rsidRDefault="00000000">
      <w:r>
        <w:t>67.</w:t>
      </w:r>
      <w:r>
        <w:tab/>
        <w:t>В 1996 году Верховный суд постановил, что публичное ношение нацистской символики может рассматриваться как агитация против национальной или этнической группы и тем самым может караться по статье 8 главы 16 Уголовного кодекса.  Такой прецедент повлек за собой дальнейшие осуждения за расовую агитацию, за использование нацистской символики и за другие способы выражения расистских взглядов.</w:t>
      </w:r>
    </w:p>
    <w:p w:rsidR="00000000" w:rsidRDefault="00000000"/>
    <w:p w:rsidR="00000000" w:rsidRDefault="00000000">
      <w:r>
        <w:t>68.</w:t>
      </w:r>
      <w:r>
        <w:tab/>
        <w:t>Ввиду этого постановления было, среди прочего, сочтено, что в свете наличия положения о запрете расовой пропаганды нет необходимости в Законе о запрещении ношения военной формы или аналогичной одежды, демонстрирующей политические воззрения ее владельца (упоминается в пункте 84 шведского двенадцатого периодического доклада), и 1 июля 2002 года он был упразднен.</w:t>
      </w:r>
    </w:p>
    <w:p w:rsidR="00000000" w:rsidRDefault="00000000"/>
    <w:p w:rsidR="00000000" w:rsidRDefault="00000000">
      <w:r>
        <w:t>69.</w:t>
      </w:r>
      <w:r>
        <w:tab/>
        <w:t>Кроме того, по статье 4 главы 18 Уголовного кодекса лицо, являющееся учредителем или участником ассоциации, представляющей собой или способной - в силу ее природы и предназначения - легко трансформироваться в насильственный инструмент, например в военное формирование или полицейское подразделение, и занимающейся без надлежащих на то полномочий выполнением оборонных или полицейских функций, или которое от имени такой ассоциации оперирует оружием, боеприпасами или другим подобным снаряжением, предоставляет под ее деятельность здание или земельный участок или поддерживает ее финансовыми средствами или иными способами, подлежит ответственности за незаконную военную деятельность.  Это положение призвано предотвратить учреждение организаций, недосягаемых для демократического контроля.</w:t>
      </w:r>
    </w:p>
    <w:p w:rsidR="00000000" w:rsidRDefault="00000000"/>
    <w:p w:rsidR="00000000" w:rsidRDefault="00000000">
      <w:r>
        <w:t>70.</w:t>
      </w:r>
      <w:r>
        <w:tab/>
        <w:t>Законом может караться и сообщничество в преступных деяниях, совершаемых в организованных формах.  По главе 23 Уголовного кодекса, лицо, намеревающееся совершить или содействовать совершению преступления, подлежит ответственности за приготовления, участие, сговор или сообщничество.  Наказание, предусмотренное в Уголовном кодексе, применяется не только к исполнителю преступления, но и к лицу, которое словом или делом способствовало его совершению.</w:t>
      </w:r>
    </w:p>
    <w:p w:rsidR="00000000" w:rsidRDefault="00000000"/>
    <w:p w:rsidR="00000000" w:rsidRDefault="00000000">
      <w:r>
        <w:t>71.</w:t>
      </w:r>
      <w:r>
        <w:tab/>
        <w:t>Лицо, изъявившее намерение совершить или способствовать совершению преступления, например, путем предложения или получения денежной или иной предварительной платы за преступление, привлекается к ответственности, в случае наличия специальных положений на этот счет, за приготовления к преступлению, если только оно не является виновным в оконченном преступлении или покушении на преступление.  В специально предусмотренных случаях выносится также приговор за участие в сговоре.  Сговор означает такую ситуацию, когда то или иное лицо задумывает соответствующее деяние заодно с другим лицом, а также обязуется или вызывается исполнить его или склонить на это кого</w:t>
      </w:r>
      <w:r>
        <w:noBreakHyphen/>
        <w:t>то другого.</w:t>
      </w:r>
    </w:p>
    <w:p w:rsidR="00000000" w:rsidRDefault="00000000"/>
    <w:p w:rsidR="00000000" w:rsidRDefault="00000000">
      <w:r>
        <w:t>72.</w:t>
      </w:r>
      <w:r>
        <w:tab/>
        <w:t>Как упоминается в пунктах 10 и 13, совершение преступления с мотивом ущемить то или иное лицо, этническую группу или какую</w:t>
      </w:r>
      <w:r>
        <w:noBreakHyphen/>
        <w:t>либо иную аналогичную группу людей по причине их расы, цвета кожи, национального или этнического происхождения, религиозных убеждений, половой ориентации или по другим аналогичным признакам, рассматривается еще и как отягчающее обстоятельство.</w:t>
      </w:r>
    </w:p>
    <w:p w:rsidR="00000000" w:rsidRDefault="00000000"/>
    <w:p w:rsidR="00000000" w:rsidRDefault="00000000">
      <w:r>
        <w:t>73.</w:t>
      </w:r>
      <w:r>
        <w:tab/>
        <w:t>Положения, закрепленные в законодательстве, упомянутом в пунктах 60-65 выше, означают, что организации, занимающиеся расистской деятельностью, своими действиями не могут не нарушать закона.  Другими словами, за счет этого законодательства парируется деятельность таких организаций.  В 1998 году правительство назначило межпартийный комитет для изучения преступлений, связанных с определенными организациями.  Комитету надлежало посмотреть, следует ли произвести уголовно-правовую квалификацию активного участия в организации, чья деятельность сопряжена с криминальными деяниями значительного размаха.  В своем докладе, представленном в 2000 году, Комитет пришел к заключению, что такое поведение не следует подвергать уголовно-правовой квалификации.  Этот доклад был разослан на отзыв авторитетным специалистам, и большинство таких авторитетов разделили мнение Комитета.</w:t>
      </w:r>
    </w:p>
    <w:p w:rsidR="00000000" w:rsidRDefault="00000000"/>
    <w:p w:rsidR="00000000" w:rsidRDefault="00000000">
      <w:r>
        <w:t>74.</w:t>
      </w:r>
      <w:r>
        <w:tab/>
        <w:t>Вдобавок недавно Швеция подписала Дополнительный протокол Совета Европы к Конвенции о киберпреступности на предмет криминализации деяний расистского и ксенофобного толка, совершаемых за счет компьютерных систем.  Как член Европейского союза, Швеция принимает участие и в текущей работе над рамочным решением Совета о борьбе с расизмом и ксенофобией.</w:t>
      </w:r>
    </w:p>
    <w:p w:rsidR="00000000" w:rsidRDefault="00000000"/>
    <w:p w:rsidR="00000000" w:rsidRDefault="00000000">
      <w:pPr>
        <w:keepNext/>
        <w:jc w:val="center"/>
        <w:rPr>
          <w:b/>
          <w:bCs/>
        </w:rPr>
      </w:pPr>
      <w:r>
        <w:rPr>
          <w:b/>
          <w:bCs/>
        </w:rPr>
        <w:t>Статья 4 с)</w:t>
      </w:r>
    </w:p>
    <w:p w:rsidR="00000000" w:rsidRDefault="00000000">
      <w:pPr>
        <w:keepNext/>
        <w:rPr>
          <w:b/>
          <w:bCs/>
        </w:rPr>
      </w:pPr>
    </w:p>
    <w:p w:rsidR="00000000" w:rsidRDefault="00000000">
      <w:r>
        <w:t>75.</w:t>
      </w:r>
      <w:r>
        <w:tab/>
        <w:t>Поддержка или поощрение расовой дискриминации публичными ведомствами прямо запрещена по Акту о форме правления и положениям Уголовного кодекса относительно противоправной дискриминации, агитации против национальных или этнических групп и других правонарушений.  Это запрещение применяется и к государственным служащим.</w:t>
      </w:r>
    </w:p>
    <w:p w:rsidR="00000000" w:rsidRDefault="00000000"/>
    <w:p w:rsidR="00000000" w:rsidRDefault="00000000">
      <w:pPr>
        <w:jc w:val="center"/>
      </w:pPr>
      <w:r>
        <w:rPr>
          <w:b/>
          <w:bCs/>
        </w:rPr>
        <w:t>Статья 5</w:t>
      </w:r>
    </w:p>
    <w:p w:rsidR="00000000" w:rsidRDefault="00000000">
      <w:pPr>
        <w:keepNext/>
        <w:jc w:val="center"/>
        <w:rPr>
          <w:b/>
          <w:bCs/>
        </w:rPr>
      </w:pPr>
    </w:p>
    <w:p w:rsidR="00000000" w:rsidRDefault="00000000">
      <w:pPr>
        <w:keepNext/>
        <w:jc w:val="center"/>
        <w:rPr>
          <w:b/>
          <w:bCs/>
        </w:rPr>
      </w:pPr>
      <w:r>
        <w:rPr>
          <w:b/>
          <w:bCs/>
        </w:rPr>
        <w:t>Статья 5 а)</w:t>
      </w:r>
      <w:r>
        <w:rPr>
          <w:b/>
          <w:bCs/>
        </w:rPr>
        <w:noBreakHyphen/>
        <w:t>b)</w:t>
      </w:r>
    </w:p>
    <w:p w:rsidR="00000000" w:rsidRDefault="00000000">
      <w:pPr>
        <w:keepNext/>
        <w:jc w:val="center"/>
        <w:rPr>
          <w:b/>
          <w:bCs/>
        </w:rPr>
      </w:pPr>
    </w:p>
    <w:p w:rsidR="00000000" w:rsidRDefault="00000000">
      <w:r>
        <w:t>76.</w:t>
      </w:r>
      <w:r>
        <w:tab/>
        <w:t>Что касается информации о соответствующем законодательстве в этой сфере, то Комитет отсылается к пунктам 86</w:t>
      </w:r>
      <w:r>
        <w:noBreakHyphen/>
        <w:t>89 шведского двенадцатого периодического доклада, а также к пункту 60 шведского четырнадцатого периодического доклада.</w:t>
      </w:r>
    </w:p>
    <w:p w:rsidR="00000000" w:rsidRDefault="00000000"/>
    <w:p w:rsidR="00000000" w:rsidRDefault="00000000">
      <w:r>
        <w:t>77.</w:t>
      </w:r>
      <w:r>
        <w:tab/>
        <w:t>В 2000 году Национальный совет по предупреждению преступности наметил стратегию с целью обеспечить адекватное осведомление сотрудников правовой системы о причинах расистских, ксенофобных или гомофобных преступлений, а также о положении жертв таких преступлений.  Ведомства правовой системы на ежегодной основе докладывают правительству о принимаемых мерах по поощрению этнического разнообразия в полицейских подразделениях, судебных ведомствах и прокурорских службах.</w:t>
      </w:r>
    </w:p>
    <w:p w:rsidR="00000000" w:rsidRDefault="00000000"/>
    <w:p w:rsidR="00000000" w:rsidRDefault="00000000">
      <w:pPr>
        <w:keepNext/>
        <w:jc w:val="center"/>
        <w:rPr>
          <w:b/>
          <w:bCs/>
        </w:rPr>
      </w:pPr>
      <w:r>
        <w:rPr>
          <w:b/>
          <w:bCs/>
        </w:rPr>
        <w:t>Статья 5 с)</w:t>
      </w:r>
    </w:p>
    <w:p w:rsidR="00000000" w:rsidRDefault="00000000">
      <w:pPr>
        <w:keepNext/>
        <w:jc w:val="center"/>
        <w:rPr>
          <w:b/>
          <w:bCs/>
        </w:rPr>
      </w:pPr>
    </w:p>
    <w:p w:rsidR="00000000" w:rsidRDefault="00000000">
      <w:pPr>
        <w:keepNext/>
      </w:pPr>
      <w:r>
        <w:rPr>
          <w:b/>
          <w:bCs/>
        </w:rPr>
        <w:t>Политические права</w:t>
      </w:r>
    </w:p>
    <w:p w:rsidR="00000000" w:rsidRDefault="00000000">
      <w:pPr>
        <w:keepNext/>
      </w:pPr>
    </w:p>
    <w:p w:rsidR="00000000" w:rsidRDefault="00000000">
      <w:r>
        <w:t>78.</w:t>
      </w:r>
      <w:r>
        <w:tab/>
        <w:t>Каждый гражданин в возрасте старше 18 лет, проживающий или проживавший в Швеции, имеет право голоса на всеобщих выборах.  Кроме того, нешведские граждане, законно проживающие в Швеции в течение по крайней мере 36 месяцев, имеют право голоса на выборах в местные органы власти.</w:t>
      </w:r>
    </w:p>
    <w:p w:rsidR="00000000" w:rsidRDefault="00000000"/>
    <w:p w:rsidR="00000000" w:rsidRDefault="00000000">
      <w:r>
        <w:t>79.</w:t>
      </w:r>
      <w:r>
        <w:tab/>
        <w:t>Лица, имеющие зарубежные антецеденты, принимают менее активное участие в политической жизни Швеции, чем шведские граждане, не имеющие зарубежных корней.  В последних всеобщих выборах, состоявшихся в 2002 году, приняли участие 83 процента шведских граждан, родившихся в стране от двух родителей-шведов, тогда как соответствующий уровень участия шведских граждан, родившихся за рубежом, составил 62 процента.  Уровень участия шведских граждан, родившихся в Швеции от двух родителей зарубежного происхождения, составил 67 процентов.  Расхождения с точки зрения участия можно в значительной мере отнести на счет различий в социально-экономическом статусе.</w:t>
      </w:r>
    </w:p>
    <w:p w:rsidR="00000000" w:rsidRDefault="00000000"/>
    <w:p w:rsidR="00000000" w:rsidRDefault="00000000">
      <w:r>
        <w:t>80.</w:t>
      </w:r>
      <w:r>
        <w:tab/>
        <w:t>Право голоса на местных выборах имеют около 323 тысяч граждан, родившихся за рубежом.  Избирательное участие по этой категории составило 35 процентов.  Участие же в местных выборах по всему электорату, то есть включая граждан и шведского и зарубежного происхождения, составило около 78 процентов.  По сравнению с местными выборами в 1998 году не наблюдалось какого</w:t>
      </w:r>
      <w:r>
        <w:noBreakHyphen/>
        <w:t>то снижения роста избирательного участия зарубежных граждан.</w:t>
      </w:r>
    </w:p>
    <w:p w:rsidR="00000000" w:rsidRDefault="00000000"/>
    <w:p w:rsidR="00000000" w:rsidRDefault="00000000">
      <w:r>
        <w:t>81.</w:t>
      </w:r>
      <w:r>
        <w:tab/>
        <w:t>Нешведские граждане, проживающие в Швеции по крайней мере в течение 36 месяцев, имеют право выдвигаться на местных выборах.  Меньше чем за 20 лет число избранных кандидатов зарубежного происхождения возросло в два раза, хотя нешведские граждане все еще недопредставленны по сравнению с их долей в составе всего населения.</w:t>
      </w:r>
    </w:p>
    <w:p w:rsidR="00000000" w:rsidRDefault="00000000"/>
    <w:p w:rsidR="00000000" w:rsidRDefault="00000000">
      <w:r>
        <w:t>82.</w:t>
      </w:r>
      <w:r>
        <w:tab/>
        <w:t>Принято несколько мер с целью повысить избирательное участие лиц с зарубежными антецедентами.  В законопроекте "</w:t>
      </w:r>
      <w:r>
        <w:rPr>
          <w:i/>
          <w:iCs/>
        </w:rPr>
        <w:t>Демократия нового века</w:t>
      </w:r>
      <w:r>
        <w:t>" 2001 года лица с зарубежными антецедентами были идентифицированы в качестве контингента, нуждающегося в большей поддержке, с тем чтобы расширить их участие в жизни общества.  В ходе подготовки ко всеобщим и местным выборам 2002 года государство выделило  политическим партиям 29 миллионов шведских крон на адресную информационную поддержку лиц с зарубежными антецедентами.</w:t>
      </w:r>
    </w:p>
    <w:p w:rsidR="00000000" w:rsidRDefault="00000000"/>
    <w:p w:rsidR="00000000" w:rsidRDefault="00000000">
      <w:r>
        <w:t>83.</w:t>
      </w:r>
      <w:r>
        <w:tab/>
        <w:t>В 2000 году правительство развернуло проект "</w:t>
      </w:r>
      <w:r>
        <w:rPr>
          <w:i/>
          <w:iCs/>
        </w:rPr>
        <w:t>Эпоха демократии</w:t>
      </w:r>
      <w:r>
        <w:t>", представляющий собой трехгодичную программу развития шведской демократии.  Одна из основных задач проекта состоит в финансовой поддержке НПО в русле инициатив по поощрению демократии, особенно среди маргинализированных контингентов населения.  35 из 142  проектов были нацелены на улучшение интеграции лиц с зарубежными антецедентами.  Проект был завершен в 2002 году, и в 2003 году он будет подвергнут оценке.</w:t>
      </w:r>
    </w:p>
    <w:p w:rsidR="00000000" w:rsidRDefault="00000000"/>
    <w:p w:rsidR="00000000" w:rsidRDefault="00000000">
      <w:r>
        <w:t>84.</w:t>
      </w:r>
      <w:r>
        <w:tab/>
        <w:t xml:space="preserve">Комитету, назначенному правительством, поручено проанализировать распределение власти и влияния в разных сферах общества, включая политическое участие.  Комитет должен рассмотреть вопрос о том, в какой мере различия с точки зрения власти и влияния могут быть объяснены половой принадлежностью, социальным происхождением, структурами шведского общества или подходами ведомств к людям иного этнического происхождения.  Доклад должен быть представлен правительству в декабре 2004 года.  </w:t>
      </w:r>
    </w:p>
    <w:p w:rsidR="00000000" w:rsidRDefault="00000000"/>
    <w:p w:rsidR="00000000" w:rsidRDefault="00000000">
      <w:r>
        <w:t>85.</w:t>
      </w:r>
      <w:r>
        <w:tab/>
        <w:t xml:space="preserve">Перед новым ведомством – избирательной комиссией – поставлена задача проводить разъяснительно-просветительские мероприятия на предмет выборов и гарантировать информирование граждан, имеющих право голоса, о выборах на понятном им языке.  </w:t>
      </w:r>
    </w:p>
    <w:p w:rsidR="00000000" w:rsidRDefault="00000000"/>
    <w:p w:rsidR="00000000" w:rsidRDefault="00000000">
      <w:pPr>
        <w:jc w:val="center"/>
      </w:pPr>
      <w:r>
        <w:rPr>
          <w:b/>
          <w:bCs/>
        </w:rPr>
        <w:t xml:space="preserve">Статья 5 </w:t>
      </w:r>
      <w:r>
        <w:rPr>
          <w:b/>
          <w:bCs/>
          <w:lang w:val="en-US"/>
        </w:rPr>
        <w:t>d</w:t>
      </w:r>
      <w:r>
        <w:rPr>
          <w:b/>
          <w:bCs/>
        </w:rPr>
        <w:t>)</w:t>
      </w:r>
      <w:r>
        <w:t xml:space="preserve"> </w:t>
      </w:r>
    </w:p>
    <w:p w:rsidR="00000000" w:rsidRDefault="00000000">
      <w:pPr>
        <w:jc w:val="center"/>
      </w:pPr>
    </w:p>
    <w:p w:rsidR="00000000" w:rsidRDefault="00000000">
      <w:r>
        <w:rPr>
          <w:b/>
          <w:bCs/>
        </w:rPr>
        <w:t>Право на гражданство</w:t>
      </w:r>
    </w:p>
    <w:p w:rsidR="00000000" w:rsidRDefault="00000000">
      <w:pPr>
        <w:jc w:val="center"/>
      </w:pPr>
    </w:p>
    <w:p w:rsidR="00000000" w:rsidRDefault="00000000">
      <w:r>
        <w:t>86.</w:t>
      </w:r>
      <w:r>
        <w:tab/>
        <w:t>1 июля 2001 года вступил в силу новый Закон о гражданстве.  Согласно этому закону полностью допускается двойное гражданство.  По прежнему закону основной принцип состоял в том, что двойного гражданства следовало избегать.  Новый закон также позволяет ребенку, чей отец является шведским гражданином, непременно приобрести шведское гражданство, если такой ребенок является шведским уроженцем.  Прежде этого не предусматривалось.  Таким образом, новый закон облегчает получение шведского гражданства детьми с зарубежными антецедентами.</w:t>
      </w:r>
    </w:p>
    <w:p w:rsidR="00000000" w:rsidRDefault="00000000"/>
    <w:p w:rsidR="00000000" w:rsidRDefault="00000000">
      <w:r>
        <w:t>87.</w:t>
      </w:r>
      <w:r>
        <w:tab/>
        <w:t xml:space="preserve">Что касается подпунктов статьи 5 </w:t>
      </w:r>
      <w:r>
        <w:rPr>
          <w:lang w:val="en-US"/>
        </w:rPr>
        <w:t>d</w:t>
      </w:r>
      <w:r>
        <w:t xml:space="preserve">) </w:t>
      </w:r>
      <w:r>
        <w:rPr>
          <w:lang w:val="en-US"/>
        </w:rPr>
        <w:t>vii</w:t>
      </w:r>
      <w:r>
        <w:t>)-</w:t>
      </w:r>
      <w:r>
        <w:rPr>
          <w:lang w:val="en-US"/>
        </w:rPr>
        <w:t>ix</w:t>
      </w:r>
      <w:r>
        <w:t>), то за информацией в этой связи Комитет отсылается к пункту 96 ее двенадцатого периодического доклада.</w:t>
      </w:r>
    </w:p>
    <w:p w:rsidR="00000000" w:rsidRDefault="00000000"/>
    <w:p w:rsidR="00000000" w:rsidRDefault="00000000">
      <w:pPr>
        <w:jc w:val="center"/>
        <w:rPr>
          <w:b/>
          <w:bCs/>
        </w:rPr>
      </w:pPr>
      <w:r>
        <w:rPr>
          <w:b/>
          <w:bCs/>
        </w:rPr>
        <w:t>Статья 5 е)</w:t>
      </w:r>
    </w:p>
    <w:p w:rsidR="00000000" w:rsidRDefault="00000000">
      <w:pPr>
        <w:jc w:val="center"/>
        <w:rPr>
          <w:b/>
          <w:bCs/>
        </w:rPr>
      </w:pPr>
    </w:p>
    <w:p w:rsidR="00000000" w:rsidRDefault="00000000">
      <w:r>
        <w:rPr>
          <w:b/>
          <w:bCs/>
        </w:rPr>
        <w:t>Интеграционная политика</w:t>
      </w:r>
      <w:r>
        <w:t xml:space="preserve"> </w:t>
      </w:r>
    </w:p>
    <w:p w:rsidR="00000000" w:rsidRDefault="00000000">
      <w:pPr>
        <w:jc w:val="center"/>
      </w:pPr>
    </w:p>
    <w:p w:rsidR="00000000" w:rsidRDefault="00000000">
      <w:r>
        <w:t>88.</w:t>
      </w:r>
      <w:r>
        <w:tab/>
        <w:t>Эксплицитным приоритетом правительства является использование интеграционной политики, с тем чтобы противодействовать социальному отчуждению зарубежных уроженцев.  В марте 2002 года в своей записке на имя парламента "Интеграционная политика в ХХ</w:t>
      </w:r>
      <w:r>
        <w:rPr>
          <w:lang w:val="en-US"/>
        </w:rPr>
        <w:t>I</w:t>
      </w:r>
      <w:r>
        <w:t xml:space="preserve"> веке" правительство осветило разработку интеграционной политики и ее будущую направленность.  Недавно цели интеграционной политики были уточнены следующим образом:  </w:t>
      </w:r>
    </w:p>
    <w:p w:rsidR="00000000" w:rsidRDefault="00000000"/>
    <w:p w:rsidR="00000000" w:rsidRDefault="00000000">
      <w:pPr>
        <w:ind w:left="1134" w:hanging="1134"/>
      </w:pPr>
      <w:r>
        <w:tab/>
        <w:t>-</w:t>
      </w:r>
      <w:r>
        <w:tab/>
        <w:t>равные права, обязанности и возможности для всех, независимо от этнических и культурных антецедентов;</w:t>
      </w:r>
    </w:p>
    <w:p w:rsidR="00000000" w:rsidRDefault="00000000">
      <w:pPr>
        <w:ind w:left="1134" w:hanging="1134"/>
      </w:pPr>
    </w:p>
    <w:p w:rsidR="00000000" w:rsidRDefault="00000000">
      <w:pPr>
        <w:ind w:left="1134" w:hanging="1134"/>
      </w:pPr>
      <w:r>
        <w:tab/>
        <w:t>-</w:t>
      </w:r>
      <w:r>
        <w:tab/>
        <w:t>общество, построенное на началах разнообразия;</w:t>
      </w:r>
    </w:p>
    <w:p w:rsidR="00000000" w:rsidRDefault="00000000">
      <w:pPr>
        <w:ind w:left="1134" w:hanging="1134"/>
      </w:pPr>
    </w:p>
    <w:p w:rsidR="00000000" w:rsidRDefault="00000000">
      <w:pPr>
        <w:ind w:left="1134" w:hanging="1134"/>
      </w:pPr>
      <w:r>
        <w:tab/>
        <w:t>-</w:t>
      </w:r>
      <w:r>
        <w:tab/>
        <w:t>социум, который отличается взаимным уважением различий в пределах, вытекающих из основополагающих демократических ценностей социума, и в котором каждый может принимать активное участие независимо от его антецедентов.</w:t>
      </w:r>
    </w:p>
    <w:p w:rsidR="00000000" w:rsidRDefault="00000000">
      <w:pPr>
        <w:ind w:left="1134" w:hanging="1134"/>
      </w:pPr>
    </w:p>
    <w:p w:rsidR="00000000" w:rsidRDefault="00000000">
      <w:r>
        <w:t>89.</w:t>
      </w:r>
      <w:r>
        <w:tab/>
        <w:t>Как подчеркивают недавние корректировки таких задач, уважение этнических, религиозных и культурных различий не должно использоваться в качестве предлога для действий, идущих вразрез с основополагающими ценностями демократического общества.  Например, каждый должен уважать демократические принципы, права человека и равенство женщин и мужчин.</w:t>
      </w:r>
    </w:p>
    <w:p w:rsidR="00000000" w:rsidRDefault="00000000"/>
    <w:p w:rsidR="00000000" w:rsidRDefault="00000000">
      <w:r>
        <w:t>90.</w:t>
      </w:r>
      <w:r>
        <w:tab/>
        <w:t>Записка отражает и кое</w:t>
      </w:r>
      <w:r>
        <w:noBreakHyphen/>
        <w:t>какие текущие инициативы с целью расширить эффект  интеграционной политики:</w:t>
      </w:r>
    </w:p>
    <w:p w:rsidR="00000000" w:rsidRDefault="00000000"/>
    <w:p w:rsidR="00000000" w:rsidRDefault="00000000">
      <w:pPr>
        <w:ind w:left="1134" w:hanging="1134"/>
      </w:pPr>
      <w:r>
        <w:tab/>
        <w:t>-</w:t>
      </w:r>
      <w:r>
        <w:tab/>
        <w:t>правительство назначило Комитет на предмет анализа необходимости дополнительных мер к тому, чтобы разработать более совершенное и более индивидуализированное устройство новоприбывших.  1 сентября 2003 года правительству будет представлен доклад;</w:t>
      </w:r>
    </w:p>
    <w:p w:rsidR="00000000" w:rsidRDefault="00000000">
      <w:pPr>
        <w:ind w:left="1134" w:hanging="1134"/>
      </w:pPr>
    </w:p>
    <w:p w:rsidR="00000000" w:rsidRDefault="00000000">
      <w:pPr>
        <w:ind w:left="1134" w:hanging="1134"/>
      </w:pPr>
      <w:r>
        <w:tab/>
        <w:t>-</w:t>
      </w:r>
      <w:r>
        <w:tab/>
        <w:t>умения и квалификацию иммигрантов надо востребовать на рынке труда (см. пункт 97);</w:t>
      </w:r>
    </w:p>
    <w:p w:rsidR="00000000" w:rsidRDefault="00000000">
      <w:pPr>
        <w:ind w:left="1134" w:hanging="1134"/>
      </w:pPr>
    </w:p>
    <w:p w:rsidR="00000000" w:rsidRDefault="00000000">
      <w:pPr>
        <w:ind w:left="1134" w:hanging="1134"/>
      </w:pPr>
      <w:r>
        <w:tab/>
        <w:t>-</w:t>
      </w:r>
      <w:r>
        <w:tab/>
        <w:t>принимается ряд мер к тому, чтобы улучшить владение шведским языком и усовершенствовать шведскоязычное обучение для иммигрантов;</w:t>
      </w:r>
    </w:p>
    <w:p w:rsidR="00000000" w:rsidRDefault="00000000">
      <w:pPr>
        <w:ind w:left="1134" w:hanging="1134"/>
      </w:pPr>
    </w:p>
    <w:p w:rsidR="00000000" w:rsidRDefault="00000000">
      <w:pPr>
        <w:ind w:left="1134" w:hanging="1134"/>
      </w:pPr>
      <w:r>
        <w:tab/>
        <w:t>-</w:t>
      </w:r>
      <w:r>
        <w:tab/>
        <w:t>в рамках правительственной градостроительной политики реализуются долгосрочные программы с целью добиться более благополучного развития сегрегированных жилых кварталов в метрополитанских районах;</w:t>
      </w:r>
    </w:p>
    <w:p w:rsidR="00000000" w:rsidRDefault="00000000">
      <w:pPr>
        <w:ind w:left="1134" w:hanging="1134"/>
      </w:pPr>
    </w:p>
    <w:p w:rsidR="00000000" w:rsidRDefault="00000000">
      <w:pPr>
        <w:ind w:left="1134" w:hanging="1134"/>
      </w:pPr>
      <w:r>
        <w:tab/>
        <w:t>-</w:t>
      </w:r>
      <w:r>
        <w:tab/>
        <w:t>будут введены должности региональных консультантов, ответственных за стимулирование поликультурной деятельности;</w:t>
      </w:r>
    </w:p>
    <w:p w:rsidR="00000000" w:rsidRDefault="00000000">
      <w:pPr>
        <w:ind w:left="1134" w:hanging="1134"/>
      </w:pPr>
    </w:p>
    <w:p w:rsidR="00000000" w:rsidRDefault="00000000">
      <w:pPr>
        <w:ind w:left="1134" w:hanging="1134"/>
      </w:pPr>
      <w:r>
        <w:tab/>
        <w:t>-</w:t>
      </w:r>
      <w:r>
        <w:tab/>
        <w:t>интенсифицируется диалог между религиозными общинами по проблемам прав женщин и прав ребенка;</w:t>
      </w:r>
    </w:p>
    <w:p w:rsidR="00000000" w:rsidRDefault="00000000">
      <w:pPr>
        <w:ind w:left="1134" w:hanging="1134"/>
      </w:pPr>
    </w:p>
    <w:p w:rsidR="00000000" w:rsidRDefault="00000000">
      <w:pPr>
        <w:ind w:left="1134" w:hanging="1134"/>
      </w:pPr>
      <w:r>
        <w:tab/>
        <w:t>-</w:t>
      </w:r>
      <w:r>
        <w:tab/>
        <w:t>интеграционным аспектам стало отводиться более заметное место в работе в сфере общественного здравоохранения, что получило отражение в законопроекте об общественном здравоохранении, внесенном правительством в парламент в 2002 году;</w:t>
      </w:r>
    </w:p>
    <w:p w:rsidR="00000000" w:rsidRDefault="00000000">
      <w:pPr>
        <w:ind w:left="1134" w:hanging="1134"/>
      </w:pPr>
    </w:p>
    <w:p w:rsidR="00000000" w:rsidRDefault="00000000">
      <w:pPr>
        <w:ind w:left="1134" w:hanging="1134"/>
      </w:pPr>
      <w:r>
        <w:tab/>
        <w:t>-</w:t>
      </w:r>
      <w:r>
        <w:tab/>
        <w:t>будут приложены дополнительные усилия к тому, чтобы на интеграционном процессе больше сказывались цели политики в сфере гендерного равенства.</w:t>
      </w:r>
    </w:p>
    <w:p w:rsidR="00000000" w:rsidRDefault="00000000">
      <w:pPr>
        <w:ind w:left="1134" w:hanging="1134"/>
      </w:pPr>
    </w:p>
    <w:p w:rsidR="00000000" w:rsidRDefault="00000000">
      <w:r>
        <w:t>91.</w:t>
      </w:r>
      <w:r>
        <w:tab/>
        <w:t>Как упоминалось в пунктах 22 и 23 выше, 1 июля 2003 года вступит в силу новое законодательство, запрещающее дискриминацию по различным признакам, включая этническое происхождение, применительно к программам на рынке труда и к бюро по трудоустройству.</w:t>
      </w:r>
    </w:p>
    <w:p w:rsidR="00000000" w:rsidRDefault="00000000"/>
    <w:p w:rsidR="00000000" w:rsidRDefault="00000000">
      <w:r>
        <w:t>92.</w:t>
      </w:r>
      <w:r>
        <w:tab/>
        <w:t xml:space="preserve">Будет обеспечена более действенная реализация интеграционной политики в разных сферах общества.  Будет отводиться приоритет положению детей и молодежи с зарубежными антецедентами.  Будет шире делаться акцент на равенстве женщин и мужчин и на проблематике общих основополагающих ценностей общества.  Будет четче определена ответственность публичных ведомств за интеграционную политику в их сферах ведения, и будет облегчаться проактивная роль Национального управления по вопросам интеграции в качестве инструмента ее сопровождения и оценки.  </w:t>
      </w:r>
    </w:p>
    <w:p w:rsidR="00000000" w:rsidRDefault="00000000"/>
    <w:p w:rsidR="00000000" w:rsidRDefault="00000000">
      <w:r>
        <w:t>93.</w:t>
      </w:r>
      <w:r>
        <w:tab/>
        <w:t>Недавно правительство предприняло инициативы с целью усовершенствовать структуру мониторинга и последующего развития в русле интеграции.  Такая усовершенствованная структура будет включать статистику, показатели и качественные и количественные целевые наметки.  Вместе с тем не вынашивается никаких планов регистрации людей по признаку этнической или религиозной принадлежности.</w:t>
      </w:r>
    </w:p>
    <w:p w:rsidR="00000000" w:rsidRDefault="00000000"/>
    <w:p w:rsidR="00000000" w:rsidRDefault="00000000">
      <w:pPr>
        <w:pStyle w:val="10"/>
        <w:keepNext/>
        <w:jc w:val="left"/>
        <w:rPr>
          <w:bCs/>
        </w:rPr>
      </w:pPr>
      <w:r>
        <w:rPr>
          <w:bCs/>
        </w:rPr>
        <w:t>Меры, принимаемые правительством в связи с рынком труда</w:t>
      </w:r>
    </w:p>
    <w:p w:rsidR="00000000" w:rsidRDefault="00000000">
      <w:pPr>
        <w:pStyle w:val="10"/>
        <w:keepNext/>
        <w:rPr>
          <w:bCs/>
        </w:rPr>
      </w:pPr>
    </w:p>
    <w:p w:rsidR="00000000" w:rsidRDefault="00000000">
      <w:pPr>
        <w:keepNext/>
      </w:pPr>
      <w:r>
        <w:t>94.</w:t>
      </w:r>
      <w:r>
        <w:tab/>
        <w:t>Как следствие поступательной экономической динамики и разного рода правительственных инициатив, с 1997 года значительно возросло участие зарубежных уроженцев на рынке труда.  За тот же период снижение уровня безработицы среди зарубежных уроженцев произошло гораздо в большей степени, чем среди уроженцев Швеции.  Особенно значительный характер носило расширение участия зарубежных уроженцев в сфере местного и регионального управления.</w:t>
      </w:r>
    </w:p>
    <w:p w:rsidR="00000000" w:rsidRDefault="00000000"/>
    <w:p w:rsidR="00000000" w:rsidRDefault="00000000">
      <w:r>
        <w:t>95.</w:t>
      </w:r>
      <w:r>
        <w:tab/>
        <w:t>Вместе с тем в нескольких отношениях на рынке труда все еще сохраняются крупные различия между зарубежными уроженцами и уроженцами Швеции.  Имеют место вариации в уровне безработицы между разными категориями зарубежных уроженцев, в зависимости от возраста, пола, образования, страны происхождения и продолжительности пребывания в Швеции.  Что касается доступности работы, то тут существенную роль играют и региональные различия.  В целом довольно в трудной ситуации на рынке труда оказываются выходцы из неевропейских стран.  Так, за первые шесть месяцев 2002 года уровень безработицы среди мужчин-неевропейцев составил 13,9 процента по сравнению с 6,2 процента среди мужчин – выходцев из стран ЕС/ЕЭЗ.  Среди неевропейских женщин уровень безработицы составил 12,3 процента по сравнению с 3,9 процента применительно к женщинам – выходцам из стран ЕС/ЕЭЗ.</w:t>
      </w:r>
    </w:p>
    <w:p w:rsidR="00000000" w:rsidRDefault="00000000">
      <w:pPr>
        <w:rPr>
          <w:b/>
          <w:bCs/>
        </w:rPr>
      </w:pPr>
      <w:r>
        <w:br w:type="page"/>
      </w:r>
    </w:p>
    <w:p w:rsidR="00000000" w:rsidRDefault="00000000">
      <w:pPr>
        <w:pStyle w:val="10"/>
        <w:rPr>
          <w:b w:val="0"/>
        </w:rPr>
      </w:pPr>
      <w:r>
        <w:rPr>
          <w:bCs/>
        </w:rPr>
        <w:t xml:space="preserve">Таблица 1.  Уровень безработицы:  в целом и среди зарубежных уроженцев </w:t>
      </w:r>
    </w:p>
    <w:p w:rsidR="00000000" w:rsidRDefault="00000000">
      <w:pPr>
        <w:pStyle w:val="10"/>
        <w:rPr>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8"/>
        <w:gridCol w:w="1512"/>
        <w:gridCol w:w="1329"/>
        <w:gridCol w:w="1442"/>
        <w:gridCol w:w="1400"/>
      </w:tblGrid>
      <w:tr w:rsidR="00000000">
        <w:tblPrEx>
          <w:tblCellMar>
            <w:top w:w="0" w:type="dxa"/>
            <w:bottom w:w="0" w:type="dxa"/>
          </w:tblCellMar>
        </w:tblPrEx>
        <w:trPr>
          <w:cantSplit/>
        </w:trPr>
        <w:tc>
          <w:tcPr>
            <w:tcW w:w="3888" w:type="dxa"/>
            <w:vMerge w:val="restart"/>
            <w:vAlign w:val="center"/>
          </w:tcPr>
          <w:p w:rsidR="00000000" w:rsidRDefault="00000000">
            <w:r>
              <w:t>Безработные</w:t>
            </w:r>
          </w:p>
        </w:tc>
        <w:tc>
          <w:tcPr>
            <w:tcW w:w="2841" w:type="dxa"/>
            <w:gridSpan w:val="2"/>
          </w:tcPr>
          <w:p w:rsidR="00000000" w:rsidRDefault="00000000">
            <w:pPr>
              <w:jc w:val="center"/>
            </w:pPr>
            <w:r>
              <w:t>Среднегодовой уровень* безработицы за 2002 год</w:t>
            </w:r>
          </w:p>
        </w:tc>
        <w:tc>
          <w:tcPr>
            <w:tcW w:w="2842" w:type="dxa"/>
            <w:gridSpan w:val="2"/>
          </w:tcPr>
          <w:p w:rsidR="00000000" w:rsidRDefault="00000000">
            <w:pPr>
              <w:jc w:val="center"/>
            </w:pPr>
            <w:r>
              <w:t>Численность безработных в 2002 году</w:t>
            </w:r>
          </w:p>
        </w:tc>
      </w:tr>
      <w:tr w:rsidR="00000000">
        <w:tblPrEx>
          <w:tblCellMar>
            <w:top w:w="0" w:type="dxa"/>
            <w:bottom w:w="0" w:type="dxa"/>
          </w:tblCellMar>
        </w:tblPrEx>
        <w:trPr>
          <w:cantSplit/>
        </w:trPr>
        <w:tc>
          <w:tcPr>
            <w:tcW w:w="3888" w:type="dxa"/>
            <w:vMerge/>
          </w:tcPr>
          <w:p w:rsidR="00000000" w:rsidRDefault="00000000"/>
        </w:tc>
        <w:tc>
          <w:tcPr>
            <w:tcW w:w="1512" w:type="dxa"/>
          </w:tcPr>
          <w:p w:rsidR="00000000" w:rsidRDefault="00000000">
            <w:pPr>
              <w:jc w:val="center"/>
            </w:pPr>
            <w:r>
              <w:t>Мужчины</w:t>
            </w:r>
          </w:p>
        </w:tc>
        <w:tc>
          <w:tcPr>
            <w:tcW w:w="1329" w:type="dxa"/>
          </w:tcPr>
          <w:p w:rsidR="00000000" w:rsidRDefault="00000000">
            <w:pPr>
              <w:jc w:val="center"/>
            </w:pPr>
            <w:r>
              <w:t>Женщины</w:t>
            </w:r>
          </w:p>
        </w:tc>
        <w:tc>
          <w:tcPr>
            <w:tcW w:w="1442" w:type="dxa"/>
          </w:tcPr>
          <w:p w:rsidR="00000000" w:rsidRDefault="00000000">
            <w:pPr>
              <w:jc w:val="center"/>
            </w:pPr>
            <w:r>
              <w:t>Мужчины</w:t>
            </w:r>
          </w:p>
        </w:tc>
        <w:tc>
          <w:tcPr>
            <w:tcW w:w="1400" w:type="dxa"/>
          </w:tcPr>
          <w:p w:rsidR="00000000" w:rsidRDefault="00000000">
            <w:pPr>
              <w:jc w:val="center"/>
            </w:pPr>
            <w:r>
              <w:t>Женщины</w:t>
            </w:r>
          </w:p>
        </w:tc>
      </w:tr>
      <w:tr w:rsidR="00000000">
        <w:tblPrEx>
          <w:tblCellMar>
            <w:top w:w="0" w:type="dxa"/>
            <w:bottom w:w="0" w:type="dxa"/>
          </w:tblCellMar>
        </w:tblPrEx>
        <w:tc>
          <w:tcPr>
            <w:tcW w:w="3888" w:type="dxa"/>
            <w:tcBorders>
              <w:bottom w:val="single" w:sz="4" w:space="0" w:color="auto"/>
            </w:tcBorders>
          </w:tcPr>
          <w:p w:rsidR="00000000" w:rsidRDefault="00000000">
            <w:r>
              <w:t>Всего</w:t>
            </w:r>
          </w:p>
        </w:tc>
        <w:tc>
          <w:tcPr>
            <w:tcW w:w="1512" w:type="dxa"/>
            <w:tcBorders>
              <w:bottom w:val="single" w:sz="4" w:space="0" w:color="auto"/>
            </w:tcBorders>
          </w:tcPr>
          <w:p w:rsidR="00000000" w:rsidRDefault="00000000">
            <w:pPr>
              <w:tabs>
                <w:tab w:val="clear" w:pos="1134"/>
                <w:tab w:val="clear" w:pos="1701"/>
              </w:tabs>
              <w:ind w:right="382"/>
              <w:jc w:val="right"/>
            </w:pPr>
            <w:r>
              <w:t>4,4</w:t>
            </w:r>
          </w:p>
        </w:tc>
        <w:tc>
          <w:tcPr>
            <w:tcW w:w="1329" w:type="dxa"/>
            <w:tcBorders>
              <w:bottom w:val="single" w:sz="4" w:space="0" w:color="auto"/>
            </w:tcBorders>
          </w:tcPr>
          <w:p w:rsidR="00000000" w:rsidRDefault="00000000">
            <w:pPr>
              <w:tabs>
                <w:tab w:val="clear" w:pos="1134"/>
                <w:tab w:val="clear" w:pos="1701"/>
              </w:tabs>
              <w:ind w:right="293"/>
              <w:jc w:val="right"/>
            </w:pPr>
            <w:r>
              <w:t>3,6</w:t>
            </w:r>
          </w:p>
        </w:tc>
        <w:tc>
          <w:tcPr>
            <w:tcW w:w="1442" w:type="dxa"/>
            <w:tcBorders>
              <w:bottom w:val="single" w:sz="4" w:space="0" w:color="auto"/>
            </w:tcBorders>
          </w:tcPr>
          <w:p w:rsidR="00000000" w:rsidRDefault="00000000">
            <w:pPr>
              <w:tabs>
                <w:tab w:val="clear" w:pos="1134"/>
                <w:tab w:val="clear" w:pos="1701"/>
              </w:tabs>
              <w:ind w:right="298"/>
              <w:jc w:val="right"/>
            </w:pPr>
            <w:r>
              <w:t>100 700</w:t>
            </w:r>
          </w:p>
        </w:tc>
        <w:tc>
          <w:tcPr>
            <w:tcW w:w="1400" w:type="dxa"/>
            <w:tcBorders>
              <w:bottom w:val="single" w:sz="4" w:space="0" w:color="auto"/>
            </w:tcBorders>
          </w:tcPr>
          <w:p w:rsidR="00000000" w:rsidRDefault="00000000">
            <w:pPr>
              <w:tabs>
                <w:tab w:val="clear" w:pos="1134"/>
                <w:tab w:val="clear" w:pos="1701"/>
              </w:tabs>
              <w:ind w:right="312"/>
              <w:jc w:val="right"/>
            </w:pPr>
            <w:r>
              <w:t>75 700</w:t>
            </w:r>
          </w:p>
        </w:tc>
      </w:tr>
      <w:tr w:rsidR="00000000">
        <w:tblPrEx>
          <w:tblCellMar>
            <w:top w:w="0" w:type="dxa"/>
            <w:bottom w:w="0" w:type="dxa"/>
          </w:tblCellMar>
        </w:tblPrEx>
        <w:tc>
          <w:tcPr>
            <w:tcW w:w="3888" w:type="dxa"/>
            <w:tcBorders>
              <w:bottom w:val="nil"/>
            </w:tcBorders>
          </w:tcPr>
          <w:p w:rsidR="00000000" w:rsidRDefault="00000000">
            <w:r>
              <w:t xml:space="preserve">зарубежные уроженцы </w:t>
            </w:r>
          </w:p>
        </w:tc>
        <w:tc>
          <w:tcPr>
            <w:tcW w:w="1512" w:type="dxa"/>
            <w:tcBorders>
              <w:bottom w:val="nil"/>
            </w:tcBorders>
          </w:tcPr>
          <w:p w:rsidR="00000000" w:rsidRDefault="00000000">
            <w:pPr>
              <w:tabs>
                <w:tab w:val="clear" w:pos="1134"/>
                <w:tab w:val="clear" w:pos="1701"/>
              </w:tabs>
              <w:ind w:right="382"/>
              <w:jc w:val="right"/>
            </w:pPr>
            <w:r>
              <w:t>14,2</w:t>
            </w:r>
          </w:p>
        </w:tc>
        <w:tc>
          <w:tcPr>
            <w:tcW w:w="1329" w:type="dxa"/>
            <w:tcBorders>
              <w:bottom w:val="nil"/>
            </w:tcBorders>
          </w:tcPr>
          <w:p w:rsidR="00000000" w:rsidRDefault="00000000">
            <w:pPr>
              <w:tabs>
                <w:tab w:val="clear" w:pos="1134"/>
                <w:tab w:val="clear" w:pos="1701"/>
              </w:tabs>
              <w:ind w:right="293"/>
              <w:jc w:val="right"/>
            </w:pPr>
            <w:r>
              <w:t>11,2</w:t>
            </w:r>
          </w:p>
        </w:tc>
        <w:tc>
          <w:tcPr>
            <w:tcW w:w="1442" w:type="dxa"/>
            <w:tcBorders>
              <w:bottom w:val="nil"/>
            </w:tcBorders>
          </w:tcPr>
          <w:p w:rsidR="00000000" w:rsidRDefault="00000000">
            <w:pPr>
              <w:tabs>
                <w:tab w:val="clear" w:pos="1134"/>
                <w:tab w:val="clear" w:pos="1701"/>
              </w:tabs>
              <w:ind w:right="298"/>
              <w:jc w:val="right"/>
            </w:pPr>
            <w:r>
              <w:t>31 700</w:t>
            </w:r>
          </w:p>
        </w:tc>
        <w:tc>
          <w:tcPr>
            <w:tcW w:w="1400" w:type="dxa"/>
            <w:tcBorders>
              <w:bottom w:val="nil"/>
            </w:tcBorders>
          </w:tcPr>
          <w:p w:rsidR="00000000" w:rsidRDefault="00000000">
            <w:pPr>
              <w:tabs>
                <w:tab w:val="clear" w:pos="1134"/>
                <w:tab w:val="clear" w:pos="1701"/>
              </w:tabs>
              <w:ind w:right="312"/>
              <w:jc w:val="right"/>
            </w:pPr>
            <w:r>
              <w:t>23 000</w:t>
            </w:r>
          </w:p>
        </w:tc>
      </w:tr>
      <w:tr w:rsidR="00000000">
        <w:tblPrEx>
          <w:tblCellMar>
            <w:top w:w="0" w:type="dxa"/>
            <w:bottom w:w="0" w:type="dxa"/>
          </w:tblCellMar>
        </w:tblPrEx>
        <w:tc>
          <w:tcPr>
            <w:tcW w:w="3888" w:type="dxa"/>
            <w:tcBorders>
              <w:top w:val="nil"/>
              <w:bottom w:val="nil"/>
            </w:tcBorders>
          </w:tcPr>
          <w:p w:rsidR="00000000" w:rsidRDefault="00000000">
            <w:r>
              <w:t>уроженцы северных стран</w:t>
            </w:r>
          </w:p>
        </w:tc>
        <w:tc>
          <w:tcPr>
            <w:tcW w:w="1512" w:type="dxa"/>
            <w:tcBorders>
              <w:top w:val="nil"/>
              <w:bottom w:val="nil"/>
            </w:tcBorders>
          </w:tcPr>
          <w:p w:rsidR="00000000" w:rsidRDefault="00000000">
            <w:pPr>
              <w:tabs>
                <w:tab w:val="clear" w:pos="1134"/>
                <w:tab w:val="clear" w:pos="1701"/>
              </w:tabs>
              <w:ind w:right="382"/>
              <w:jc w:val="right"/>
            </w:pPr>
            <w:r>
              <w:t>6,0</w:t>
            </w:r>
          </w:p>
        </w:tc>
        <w:tc>
          <w:tcPr>
            <w:tcW w:w="1329" w:type="dxa"/>
            <w:tcBorders>
              <w:top w:val="nil"/>
              <w:bottom w:val="nil"/>
            </w:tcBorders>
          </w:tcPr>
          <w:p w:rsidR="00000000" w:rsidRDefault="00000000">
            <w:pPr>
              <w:tabs>
                <w:tab w:val="clear" w:pos="1134"/>
                <w:tab w:val="clear" w:pos="1701"/>
              </w:tabs>
              <w:ind w:right="293"/>
              <w:jc w:val="right"/>
            </w:pPr>
            <w:r>
              <w:t>5,2</w:t>
            </w:r>
          </w:p>
        </w:tc>
        <w:tc>
          <w:tcPr>
            <w:tcW w:w="1442" w:type="dxa"/>
            <w:tcBorders>
              <w:top w:val="nil"/>
              <w:bottom w:val="nil"/>
            </w:tcBorders>
          </w:tcPr>
          <w:p w:rsidR="00000000" w:rsidRDefault="00000000">
            <w:pPr>
              <w:tabs>
                <w:tab w:val="clear" w:pos="1134"/>
                <w:tab w:val="clear" w:pos="1701"/>
              </w:tabs>
              <w:ind w:right="298"/>
              <w:jc w:val="right"/>
            </w:pPr>
            <w:r>
              <w:t>3 700</w:t>
            </w:r>
          </w:p>
        </w:tc>
        <w:tc>
          <w:tcPr>
            <w:tcW w:w="1400" w:type="dxa"/>
            <w:tcBorders>
              <w:top w:val="nil"/>
              <w:bottom w:val="nil"/>
            </w:tcBorders>
          </w:tcPr>
          <w:p w:rsidR="00000000" w:rsidRDefault="00000000">
            <w:pPr>
              <w:tabs>
                <w:tab w:val="clear" w:pos="1134"/>
                <w:tab w:val="clear" w:pos="1701"/>
              </w:tabs>
              <w:ind w:right="312"/>
              <w:jc w:val="right"/>
            </w:pPr>
            <w:r>
              <w:t>4 000</w:t>
            </w:r>
          </w:p>
        </w:tc>
      </w:tr>
      <w:tr w:rsidR="00000000">
        <w:tblPrEx>
          <w:tblCellMar>
            <w:top w:w="0" w:type="dxa"/>
            <w:bottom w:w="0" w:type="dxa"/>
          </w:tblCellMar>
        </w:tblPrEx>
        <w:tc>
          <w:tcPr>
            <w:tcW w:w="3888" w:type="dxa"/>
            <w:tcBorders>
              <w:top w:val="nil"/>
              <w:bottom w:val="nil"/>
            </w:tcBorders>
          </w:tcPr>
          <w:p w:rsidR="00000000" w:rsidRDefault="00000000">
            <w:r>
              <w:t>уроженцы стран ЕС/ЕЭЗ</w:t>
            </w:r>
          </w:p>
        </w:tc>
        <w:tc>
          <w:tcPr>
            <w:tcW w:w="1512" w:type="dxa"/>
            <w:tcBorders>
              <w:top w:val="nil"/>
              <w:bottom w:val="nil"/>
            </w:tcBorders>
          </w:tcPr>
          <w:p w:rsidR="00000000" w:rsidRDefault="00000000">
            <w:pPr>
              <w:tabs>
                <w:tab w:val="clear" w:pos="1134"/>
                <w:tab w:val="clear" w:pos="1701"/>
              </w:tabs>
              <w:ind w:right="382"/>
              <w:jc w:val="right"/>
            </w:pPr>
            <w:r>
              <w:t>6,0</w:t>
            </w:r>
          </w:p>
        </w:tc>
        <w:tc>
          <w:tcPr>
            <w:tcW w:w="1329" w:type="dxa"/>
            <w:tcBorders>
              <w:top w:val="nil"/>
              <w:bottom w:val="nil"/>
            </w:tcBorders>
          </w:tcPr>
          <w:p w:rsidR="00000000" w:rsidRDefault="00000000">
            <w:pPr>
              <w:tabs>
                <w:tab w:val="clear" w:pos="1134"/>
                <w:tab w:val="clear" w:pos="1701"/>
              </w:tabs>
              <w:ind w:right="293"/>
              <w:jc w:val="right"/>
            </w:pPr>
            <w:r>
              <w:t>5,8</w:t>
            </w:r>
          </w:p>
        </w:tc>
        <w:tc>
          <w:tcPr>
            <w:tcW w:w="1442" w:type="dxa"/>
            <w:tcBorders>
              <w:top w:val="nil"/>
              <w:bottom w:val="nil"/>
            </w:tcBorders>
          </w:tcPr>
          <w:p w:rsidR="00000000" w:rsidRDefault="00000000">
            <w:pPr>
              <w:tabs>
                <w:tab w:val="clear" w:pos="1134"/>
                <w:tab w:val="clear" w:pos="1701"/>
              </w:tabs>
              <w:ind w:right="298"/>
              <w:jc w:val="right"/>
            </w:pPr>
            <w:r>
              <w:t>5 100</w:t>
            </w:r>
          </w:p>
        </w:tc>
        <w:tc>
          <w:tcPr>
            <w:tcW w:w="1400" w:type="dxa"/>
            <w:tcBorders>
              <w:top w:val="nil"/>
              <w:bottom w:val="nil"/>
            </w:tcBorders>
          </w:tcPr>
          <w:p w:rsidR="00000000" w:rsidRDefault="00000000">
            <w:pPr>
              <w:tabs>
                <w:tab w:val="clear" w:pos="1134"/>
                <w:tab w:val="clear" w:pos="1701"/>
              </w:tabs>
              <w:ind w:right="312"/>
              <w:jc w:val="right"/>
            </w:pPr>
            <w:r>
              <w:t>5 600</w:t>
            </w:r>
          </w:p>
        </w:tc>
      </w:tr>
      <w:tr w:rsidR="00000000">
        <w:tblPrEx>
          <w:tblCellMar>
            <w:top w:w="0" w:type="dxa"/>
            <w:bottom w:w="0" w:type="dxa"/>
          </w:tblCellMar>
        </w:tblPrEx>
        <w:tc>
          <w:tcPr>
            <w:tcW w:w="3888" w:type="dxa"/>
            <w:tcBorders>
              <w:top w:val="nil"/>
              <w:bottom w:val="nil"/>
            </w:tcBorders>
          </w:tcPr>
          <w:p w:rsidR="00000000" w:rsidRDefault="00000000">
            <w:r>
              <w:t>уроженцы стран вне ЕС/ЕЭЗ</w:t>
            </w:r>
          </w:p>
        </w:tc>
        <w:tc>
          <w:tcPr>
            <w:tcW w:w="1512" w:type="dxa"/>
            <w:tcBorders>
              <w:top w:val="nil"/>
              <w:bottom w:val="nil"/>
            </w:tcBorders>
          </w:tcPr>
          <w:p w:rsidR="00000000" w:rsidRDefault="00000000">
            <w:pPr>
              <w:tabs>
                <w:tab w:val="clear" w:pos="1134"/>
                <w:tab w:val="clear" w:pos="1701"/>
              </w:tabs>
              <w:ind w:right="382"/>
              <w:jc w:val="right"/>
            </w:pPr>
            <w:r>
              <w:t>19,7</w:t>
            </w:r>
          </w:p>
        </w:tc>
        <w:tc>
          <w:tcPr>
            <w:tcW w:w="1329" w:type="dxa"/>
            <w:tcBorders>
              <w:top w:val="nil"/>
              <w:bottom w:val="nil"/>
            </w:tcBorders>
          </w:tcPr>
          <w:p w:rsidR="00000000" w:rsidRDefault="00000000">
            <w:pPr>
              <w:tabs>
                <w:tab w:val="clear" w:pos="1134"/>
                <w:tab w:val="clear" w:pos="1701"/>
              </w:tabs>
              <w:ind w:right="293"/>
              <w:jc w:val="right"/>
            </w:pPr>
            <w:r>
              <w:t>14,8</w:t>
            </w:r>
          </w:p>
        </w:tc>
        <w:tc>
          <w:tcPr>
            <w:tcW w:w="1442" w:type="dxa"/>
            <w:tcBorders>
              <w:top w:val="nil"/>
              <w:bottom w:val="nil"/>
            </w:tcBorders>
          </w:tcPr>
          <w:p w:rsidR="00000000" w:rsidRDefault="00000000">
            <w:pPr>
              <w:tabs>
                <w:tab w:val="clear" w:pos="1134"/>
                <w:tab w:val="clear" w:pos="1701"/>
              </w:tabs>
              <w:ind w:right="298"/>
              <w:jc w:val="right"/>
            </w:pPr>
            <w:r>
              <w:t>9 400</w:t>
            </w:r>
          </w:p>
        </w:tc>
        <w:tc>
          <w:tcPr>
            <w:tcW w:w="1400" w:type="dxa"/>
            <w:tcBorders>
              <w:top w:val="nil"/>
              <w:bottom w:val="nil"/>
            </w:tcBorders>
          </w:tcPr>
          <w:p w:rsidR="00000000" w:rsidRDefault="00000000">
            <w:pPr>
              <w:tabs>
                <w:tab w:val="clear" w:pos="1134"/>
                <w:tab w:val="clear" w:pos="1701"/>
              </w:tabs>
              <w:ind w:right="312"/>
              <w:jc w:val="right"/>
            </w:pPr>
            <w:r>
              <w:t>7 300</w:t>
            </w:r>
          </w:p>
        </w:tc>
      </w:tr>
      <w:tr w:rsidR="00000000">
        <w:tblPrEx>
          <w:tblCellMar>
            <w:top w:w="0" w:type="dxa"/>
            <w:bottom w:w="0" w:type="dxa"/>
          </w:tblCellMar>
        </w:tblPrEx>
        <w:tc>
          <w:tcPr>
            <w:tcW w:w="3888" w:type="dxa"/>
            <w:tcBorders>
              <w:top w:val="nil"/>
              <w:bottom w:val="nil"/>
            </w:tcBorders>
          </w:tcPr>
          <w:p w:rsidR="00000000" w:rsidRDefault="00000000">
            <w:r>
              <w:t>уроженцы неевропейских стран:</w:t>
            </w:r>
          </w:p>
        </w:tc>
        <w:tc>
          <w:tcPr>
            <w:tcW w:w="1512" w:type="dxa"/>
            <w:tcBorders>
              <w:top w:val="nil"/>
              <w:bottom w:val="nil"/>
            </w:tcBorders>
          </w:tcPr>
          <w:p w:rsidR="00000000" w:rsidRDefault="00000000">
            <w:pPr>
              <w:tabs>
                <w:tab w:val="clear" w:pos="1134"/>
                <w:tab w:val="clear" w:pos="1701"/>
              </w:tabs>
              <w:ind w:right="382"/>
              <w:jc w:val="right"/>
            </w:pPr>
            <w:r>
              <w:t>19,2</w:t>
            </w:r>
          </w:p>
        </w:tc>
        <w:tc>
          <w:tcPr>
            <w:tcW w:w="1329" w:type="dxa"/>
            <w:tcBorders>
              <w:top w:val="nil"/>
              <w:bottom w:val="nil"/>
            </w:tcBorders>
          </w:tcPr>
          <w:p w:rsidR="00000000" w:rsidRDefault="00000000">
            <w:pPr>
              <w:tabs>
                <w:tab w:val="clear" w:pos="1134"/>
                <w:tab w:val="clear" w:pos="1701"/>
              </w:tabs>
              <w:ind w:right="293"/>
              <w:jc w:val="right"/>
            </w:pPr>
            <w:r>
              <w:t>16,8</w:t>
            </w:r>
          </w:p>
        </w:tc>
        <w:tc>
          <w:tcPr>
            <w:tcW w:w="1442" w:type="dxa"/>
            <w:tcBorders>
              <w:top w:val="nil"/>
              <w:bottom w:val="nil"/>
            </w:tcBorders>
          </w:tcPr>
          <w:p w:rsidR="00000000" w:rsidRDefault="00000000">
            <w:pPr>
              <w:tabs>
                <w:tab w:val="clear" w:pos="1134"/>
                <w:tab w:val="clear" w:pos="1701"/>
              </w:tabs>
              <w:ind w:right="298"/>
              <w:jc w:val="right"/>
            </w:pPr>
            <w:r>
              <w:t>17 200</w:t>
            </w:r>
          </w:p>
        </w:tc>
        <w:tc>
          <w:tcPr>
            <w:tcW w:w="1400" w:type="dxa"/>
            <w:tcBorders>
              <w:top w:val="nil"/>
              <w:bottom w:val="nil"/>
            </w:tcBorders>
          </w:tcPr>
          <w:p w:rsidR="00000000" w:rsidRDefault="00000000">
            <w:pPr>
              <w:tabs>
                <w:tab w:val="clear" w:pos="1134"/>
                <w:tab w:val="clear" w:pos="1701"/>
              </w:tabs>
              <w:ind w:right="312"/>
              <w:jc w:val="right"/>
            </w:pPr>
            <w:r>
              <w:t>10 200</w:t>
            </w:r>
          </w:p>
        </w:tc>
      </w:tr>
      <w:tr w:rsidR="00000000">
        <w:tblPrEx>
          <w:tblCellMar>
            <w:top w:w="0" w:type="dxa"/>
            <w:bottom w:w="0" w:type="dxa"/>
          </w:tblCellMar>
        </w:tblPrEx>
        <w:tc>
          <w:tcPr>
            <w:tcW w:w="3888" w:type="dxa"/>
            <w:tcBorders>
              <w:top w:val="nil"/>
              <w:bottom w:val="nil"/>
            </w:tcBorders>
          </w:tcPr>
          <w:p w:rsidR="00000000" w:rsidRDefault="00000000">
            <w:pPr>
              <w:tabs>
                <w:tab w:val="clear" w:pos="1134"/>
              </w:tabs>
            </w:pPr>
            <w:r>
              <w:tab/>
              <w:t>-  Африка</w:t>
            </w:r>
          </w:p>
        </w:tc>
        <w:tc>
          <w:tcPr>
            <w:tcW w:w="1512" w:type="dxa"/>
            <w:tcBorders>
              <w:top w:val="nil"/>
              <w:bottom w:val="nil"/>
            </w:tcBorders>
          </w:tcPr>
          <w:p w:rsidR="00000000" w:rsidRDefault="00000000">
            <w:pPr>
              <w:tabs>
                <w:tab w:val="clear" w:pos="1134"/>
                <w:tab w:val="clear" w:pos="1701"/>
              </w:tabs>
              <w:ind w:right="382"/>
              <w:jc w:val="right"/>
            </w:pPr>
            <w:r>
              <w:t>20,8</w:t>
            </w:r>
          </w:p>
        </w:tc>
        <w:tc>
          <w:tcPr>
            <w:tcW w:w="1329" w:type="dxa"/>
            <w:tcBorders>
              <w:top w:val="nil"/>
              <w:bottom w:val="nil"/>
            </w:tcBorders>
          </w:tcPr>
          <w:p w:rsidR="00000000" w:rsidRDefault="00000000">
            <w:pPr>
              <w:tabs>
                <w:tab w:val="clear" w:pos="1134"/>
                <w:tab w:val="clear" w:pos="1701"/>
              </w:tabs>
              <w:ind w:right="293"/>
              <w:jc w:val="right"/>
            </w:pPr>
            <w:r>
              <w:t>21,8</w:t>
            </w:r>
          </w:p>
        </w:tc>
        <w:tc>
          <w:tcPr>
            <w:tcW w:w="1442" w:type="dxa"/>
            <w:tcBorders>
              <w:top w:val="nil"/>
              <w:bottom w:val="nil"/>
            </w:tcBorders>
          </w:tcPr>
          <w:p w:rsidR="00000000" w:rsidRDefault="00000000">
            <w:pPr>
              <w:tabs>
                <w:tab w:val="clear" w:pos="1134"/>
                <w:tab w:val="clear" w:pos="1701"/>
              </w:tabs>
              <w:ind w:right="298"/>
              <w:jc w:val="right"/>
            </w:pPr>
            <w:r>
              <w:t>2 100</w:t>
            </w:r>
          </w:p>
        </w:tc>
        <w:tc>
          <w:tcPr>
            <w:tcW w:w="1400" w:type="dxa"/>
            <w:tcBorders>
              <w:top w:val="nil"/>
              <w:bottom w:val="nil"/>
            </w:tcBorders>
          </w:tcPr>
          <w:p w:rsidR="00000000" w:rsidRDefault="00000000">
            <w:pPr>
              <w:tabs>
                <w:tab w:val="clear" w:pos="1134"/>
                <w:tab w:val="clear" w:pos="1701"/>
              </w:tabs>
              <w:ind w:right="312"/>
              <w:jc w:val="right"/>
            </w:pPr>
            <w:r>
              <w:t>1 400</w:t>
            </w:r>
          </w:p>
        </w:tc>
      </w:tr>
      <w:tr w:rsidR="00000000">
        <w:tblPrEx>
          <w:tblCellMar>
            <w:top w:w="0" w:type="dxa"/>
            <w:bottom w:w="0" w:type="dxa"/>
          </w:tblCellMar>
        </w:tblPrEx>
        <w:tc>
          <w:tcPr>
            <w:tcW w:w="3888" w:type="dxa"/>
            <w:tcBorders>
              <w:top w:val="nil"/>
            </w:tcBorders>
          </w:tcPr>
          <w:p w:rsidR="00000000" w:rsidRDefault="00000000">
            <w:pPr>
              <w:tabs>
                <w:tab w:val="clear" w:pos="1134"/>
              </w:tabs>
            </w:pPr>
            <w:r>
              <w:tab/>
              <w:t>-  Азия</w:t>
            </w:r>
          </w:p>
        </w:tc>
        <w:tc>
          <w:tcPr>
            <w:tcW w:w="1512" w:type="dxa"/>
            <w:tcBorders>
              <w:top w:val="nil"/>
            </w:tcBorders>
          </w:tcPr>
          <w:p w:rsidR="00000000" w:rsidRDefault="00000000">
            <w:pPr>
              <w:tabs>
                <w:tab w:val="clear" w:pos="1134"/>
                <w:tab w:val="clear" w:pos="1701"/>
              </w:tabs>
              <w:ind w:right="382"/>
              <w:jc w:val="right"/>
            </w:pPr>
            <w:r>
              <w:t>21,9</w:t>
            </w:r>
          </w:p>
        </w:tc>
        <w:tc>
          <w:tcPr>
            <w:tcW w:w="1329" w:type="dxa"/>
            <w:tcBorders>
              <w:top w:val="nil"/>
            </w:tcBorders>
          </w:tcPr>
          <w:p w:rsidR="00000000" w:rsidRDefault="00000000">
            <w:pPr>
              <w:tabs>
                <w:tab w:val="clear" w:pos="1134"/>
                <w:tab w:val="clear" w:pos="1701"/>
              </w:tabs>
              <w:ind w:right="293"/>
              <w:jc w:val="right"/>
            </w:pPr>
            <w:r>
              <w:t>18,4</w:t>
            </w:r>
          </w:p>
        </w:tc>
        <w:tc>
          <w:tcPr>
            <w:tcW w:w="1442" w:type="dxa"/>
            <w:tcBorders>
              <w:top w:val="nil"/>
            </w:tcBorders>
          </w:tcPr>
          <w:p w:rsidR="00000000" w:rsidRDefault="00000000">
            <w:pPr>
              <w:tabs>
                <w:tab w:val="clear" w:pos="1134"/>
                <w:tab w:val="clear" w:pos="1701"/>
              </w:tabs>
              <w:ind w:right="298"/>
              <w:jc w:val="right"/>
            </w:pPr>
            <w:r>
              <w:t>13 400</w:t>
            </w:r>
          </w:p>
        </w:tc>
        <w:tc>
          <w:tcPr>
            <w:tcW w:w="1400" w:type="dxa"/>
            <w:tcBorders>
              <w:top w:val="nil"/>
            </w:tcBorders>
          </w:tcPr>
          <w:p w:rsidR="00000000" w:rsidRDefault="00000000">
            <w:pPr>
              <w:tabs>
                <w:tab w:val="clear" w:pos="1134"/>
                <w:tab w:val="clear" w:pos="1701"/>
              </w:tabs>
              <w:ind w:right="312"/>
              <w:jc w:val="right"/>
            </w:pPr>
            <w:r>
              <w:t>7 100</w:t>
            </w:r>
          </w:p>
        </w:tc>
      </w:tr>
    </w:tbl>
    <w:p w:rsidR="00000000" w:rsidRDefault="00000000">
      <w:pPr>
        <w:ind w:left="567" w:hanging="567"/>
        <w:rPr>
          <w:sz w:val="20"/>
        </w:rPr>
      </w:pPr>
    </w:p>
    <w:p w:rsidR="00000000" w:rsidRDefault="00000000">
      <w:pPr>
        <w:ind w:left="567" w:hanging="567"/>
        <w:rPr>
          <w:sz w:val="20"/>
        </w:rPr>
      </w:pPr>
      <w:r>
        <w:rPr>
          <w:i/>
          <w:iCs/>
          <w:sz w:val="20"/>
        </w:rPr>
        <w:t>Источник</w:t>
      </w:r>
      <w:r>
        <w:rPr>
          <w:sz w:val="20"/>
        </w:rPr>
        <w:t>:  Шведское статистическое управление (ШСУ)</w:t>
      </w:r>
    </w:p>
    <w:p w:rsidR="00000000" w:rsidRDefault="00000000">
      <w:pPr>
        <w:ind w:left="567" w:hanging="567"/>
        <w:rPr>
          <w:sz w:val="20"/>
        </w:rPr>
      </w:pPr>
    </w:p>
    <w:p w:rsidR="00000000" w:rsidRDefault="00000000">
      <w:pPr>
        <w:pStyle w:val="BodyText"/>
      </w:pPr>
      <w:r>
        <w:t>*</w:t>
      </w:r>
      <w:r>
        <w:tab/>
        <w:t>"Уровень безработицы" означает долю безработных в процентах от общей численности рабочей силы в возрасте от 16 до 64 лет.</w:t>
      </w:r>
    </w:p>
    <w:p w:rsidR="00000000" w:rsidRDefault="00000000"/>
    <w:p w:rsidR="00000000" w:rsidRDefault="00000000">
      <w:r>
        <w:t>96.</w:t>
      </w:r>
      <w:r>
        <w:tab/>
        <w:t>Высокий политический приоритет отводится повышению уровня занятости, борьбе с безработицей и обеспечению равных прав и возможностей на рынке труда в том, что касается зарубежных уроженцев.  При разработке генеральной политики применительно к рынку труда в качестве отправного пункта должно использоваться этническое и культурное разнообразие шведского общества.  Такого рода генеральная политика дополняется за счет разного рода специальных усилий по усилению интеграции зарубежных уроженцев на рынке труда.</w:t>
      </w:r>
    </w:p>
    <w:p w:rsidR="00000000" w:rsidRDefault="00000000"/>
    <w:p w:rsidR="00000000" w:rsidRDefault="00000000">
      <w:r>
        <w:t>97.</w:t>
      </w:r>
      <w:r>
        <w:tab/>
        <w:t>В марте 2003 года правительство внесло в парламент новый законопроект с целью укрепления политики применительно к рынку труда.  Согласно законопроекту, будет принят ряд мер по улучшению ситуации ущемленных категорий.  В период с 1 сентября 2003 года по 31 августа 2005 года зарубежные уроженцы, испытывающие особые потребности, будут получать поддержку со стороны специально подготовленных работников по трудоустройству при поисках работы и на первоначальном этапе пребывания на новом рабочем месте.  Квалифицированным работникам, выполняющим работу на уровне ниже их квалификации, будет предлагаться профессиональная подготовка в тех сферах, где ощущается дефицит рабочей силы.</w:t>
      </w:r>
    </w:p>
    <w:p w:rsidR="00000000" w:rsidRDefault="00000000"/>
    <w:p w:rsidR="00000000" w:rsidRDefault="00000000">
      <w:r>
        <w:t>98.</w:t>
      </w:r>
      <w:r>
        <w:tab/>
        <w:t>На регулярной основе выделяется государственное финансирование в целях укрепления кадрового состава бюро по трудоустройству в бедственных городских районах, где среди обслуживаемого ими контингента отмечается высокая доля зарубежных уроженцев.  Предусматривается дополнительное финансирование на цели консультирования по вопросам трудоустройства для новоприбывших иммигрантов.</w:t>
      </w:r>
    </w:p>
    <w:p w:rsidR="00000000" w:rsidRDefault="00000000"/>
    <w:p w:rsidR="00000000" w:rsidRDefault="00000000">
      <w:r>
        <w:t>99.</w:t>
      </w:r>
      <w:r>
        <w:tab/>
        <w:t>В период с 2001 по 2003 год правительство ассигнует 100 миллионов шведских крон в год на повышение занятости среди зарубежных уроженцев.  В течение 2001 и 2002 годов эти средства отчасти использовались на цели финансирования дополнительных курсов для лиц, родившихся за пределами Швеции и являющихся обладателями зарубежного университетского диплома, на цели совершенствования вводно-ознакомительных программ и языковой подготовки для новоприбывших и на цели поощрения этнического разнообразия как в частном, так и в государственном секторах, равно как и на цели подтверждения зарубежной квалификации.</w:t>
      </w:r>
    </w:p>
    <w:p w:rsidR="00000000" w:rsidRDefault="00000000"/>
    <w:p w:rsidR="00000000" w:rsidRDefault="00000000">
      <w:r>
        <w:t>100.</w:t>
      </w:r>
      <w:r>
        <w:tab/>
        <w:t>С 2001 года Национальное управление по вопросам рынка труда и Управление омбудсмена по борьбе с этнической дискриминацией ведут совместную работу в целях противодействия дискриминации в сфере труда.  Вдобавок правительство поручило Национальному управлению по вопросам рынка труда разобраться с дискриминацией в бюро по трудоустройству.</w:t>
      </w:r>
    </w:p>
    <w:p w:rsidR="00000000" w:rsidRDefault="00000000"/>
    <w:p w:rsidR="00000000" w:rsidRDefault="00000000">
      <w:r>
        <w:t>101.</w:t>
      </w:r>
      <w:r>
        <w:tab/>
        <w:t>В январе 2003 года была учреждена рабочая группа в составе представителей шведского правительства и Конфедерации шведских предпринимателей.  Эта группа внесет предложения о том, как востребовать опыт частного бизнеса и улучшить сотрудничество между публичными и частными субъектами, с тем чтобы укрепить участие зарубежных уроженцев на рынке труда.</w:t>
      </w:r>
    </w:p>
    <w:p w:rsidR="00000000" w:rsidRDefault="00000000"/>
    <w:p w:rsidR="00000000" w:rsidRDefault="00000000">
      <w:r>
        <w:t>102.</w:t>
      </w:r>
      <w:r>
        <w:tab/>
        <w:t>Правительственным ведомствам поручено активно стимулировать интеграцию и утверждать этническое разнообразие среди своих служащих.  В октябре 1999 года всем государственным ведомствам было поручено разработать планы действий по утверждению этнического разнообразия среди своих служащих.  В программном заявлении, представленном  парламенту в октябре 2002 года, правительство провозгласило, что все публичные ведомства, муниципалитеты и окружные советы должны наметить цели и разработать планы действий по утверждению этнического разнообразия и пресечению дискриминации при найме.  Правительство рассчитывает на аналогичные планы действий и в частном секторе.</w:t>
      </w:r>
    </w:p>
    <w:p w:rsidR="00000000" w:rsidRDefault="00000000"/>
    <w:p w:rsidR="00000000" w:rsidRDefault="00000000">
      <w:pPr>
        <w:rPr>
          <w:b/>
          <w:bCs/>
        </w:rPr>
      </w:pPr>
      <w:r>
        <w:rPr>
          <w:b/>
          <w:bCs/>
        </w:rPr>
        <w:t>Локальные соглашения в целях развития в бедственных городских районах</w:t>
      </w:r>
    </w:p>
    <w:p w:rsidR="00000000" w:rsidRDefault="00000000">
      <w:pPr>
        <w:rPr>
          <w:b/>
          <w:bCs/>
        </w:rPr>
      </w:pPr>
    </w:p>
    <w:p w:rsidR="00000000" w:rsidRDefault="00000000">
      <w:r>
        <w:t>103.</w:t>
      </w:r>
      <w:r>
        <w:tab/>
        <w:t>С 1999 по 2001 год было заключено семь локальных соглашений в целях развития, касающихся 24 бедственных городских районов.  Соглашения концентрируются на частных лицах и жилых кварталах и отличаются целостным подходом, комбинирующим множество мер по борьбе с безработицей, а также по поощрению языкового обучения, профилактики преступности, просвещения, равно как и участия.  В рамках таких соглашений было предпринято около 700 межсекторальных инициатив по борьбе с социальным отчуждением.  Каждое соглашение ежегодно подвергается пересмотру.  Как на национальном, так и на локальном уровне ведется разработка крупной оценочной программы.  В 2003 году парламенту будет представлен доклад об уже проделанной работе.</w:t>
      </w:r>
    </w:p>
    <w:p w:rsidR="00000000" w:rsidRDefault="00000000"/>
    <w:p w:rsidR="00000000" w:rsidRDefault="00000000">
      <w:pPr>
        <w:keepNext/>
        <w:rPr>
          <w:b/>
          <w:bCs/>
        </w:rPr>
      </w:pPr>
      <w:r>
        <w:rPr>
          <w:b/>
          <w:bCs/>
        </w:rPr>
        <w:t>Право на образование</w:t>
      </w:r>
    </w:p>
    <w:p w:rsidR="00000000" w:rsidRDefault="00000000">
      <w:pPr>
        <w:keepNext/>
        <w:rPr>
          <w:b/>
          <w:bCs/>
        </w:rPr>
      </w:pPr>
    </w:p>
    <w:p w:rsidR="00000000" w:rsidRDefault="00000000">
      <w:pPr>
        <w:keepNext/>
      </w:pPr>
      <w:r>
        <w:t>104.</w:t>
      </w:r>
      <w:r>
        <w:tab/>
        <w:t>Цели образовательной политики состоят в том, чтобы обеспечить всеобщий доступ к школьному образованию, основывающийся на основополагающих ценностях и отличающийся демократическими идеалами, утверждать расовое и гендерное равенство и предотвращать и пресекать притеснения, сексуальные глумления, насилие, ксенофобию и другие проявления уничижительного отношения.  На определенных условиях школьники вправе рассчитывать на оплату обучения родному языку.  В результате в шведских школах преподается более 120 разных языков.</w:t>
      </w:r>
    </w:p>
    <w:p w:rsidR="00000000" w:rsidRDefault="00000000"/>
    <w:p w:rsidR="00000000" w:rsidRDefault="00000000">
      <w:r>
        <w:t>105.</w:t>
      </w:r>
      <w:r>
        <w:tab/>
        <w:t>На 1 марта 2003 года имелось два национальных образовательных учреждения:  Бюро по совершенствованию школьного обучения (БСШО) и Национальное бюро по вопросам образования.  Одной из важных задач БСШО является улучшение образовательных условий для школьников из сегрегированных районов.</w:t>
      </w:r>
    </w:p>
    <w:p w:rsidR="00000000" w:rsidRDefault="00000000"/>
    <w:p w:rsidR="00000000" w:rsidRDefault="00000000">
      <w:r>
        <w:t>106.</w:t>
      </w:r>
      <w:r>
        <w:tab/>
        <w:t>В своих директивах Национальному бюро по вопросам образования (НБО) на 2000 год правительство поручило ему, в консультации с соответствующими ведомствами и организациями, произвести картирование школ на предмет распространенности расизма, этнической дискриминации, сексуальных глумлений, гомофобии и гендерных притеснений.</w:t>
      </w:r>
    </w:p>
    <w:p w:rsidR="00000000" w:rsidRDefault="00000000"/>
    <w:p w:rsidR="00000000" w:rsidRDefault="00000000">
      <w:r>
        <w:t>107.</w:t>
      </w:r>
      <w:r>
        <w:tab/>
        <w:t>Согласно Закону о высшем образовании высшие учебные заведения в своей деятельности должны способствовать пониманию других стран и международных условий.  Они также должны активно поощрять и расширять прием студентов.</w:t>
      </w:r>
    </w:p>
    <w:p w:rsidR="00000000" w:rsidRDefault="00000000"/>
    <w:p w:rsidR="00000000" w:rsidRDefault="00000000">
      <w:r>
        <w:t>108.</w:t>
      </w:r>
      <w:r>
        <w:tab/>
        <w:t>В 2001/2002 учебном году зарубежные антецеденты имели 15,7 процентов учащихся верхней ступени среднего звена.  Как показывают статистические выкладки, 31,2 процента всех учащихся не завершали обучения на верхней ступени среднего звена в течение четырех лет (нормальный срок - три года), тогда как применительно к учащимся с зарубежными антецедентами соответствующая величина составила 47,4 процента.  Из всех учащихся, завершивших среднее образование в 1997/1998 году, в течение трех лет к вузовскому обучению приступили 39,6 процента.  Применительно же к учащимся с зарубежными антецедентами соответствующая величина составила 36,1 процента</w:t>
      </w:r>
      <w:r>
        <w:rPr>
          <w:rStyle w:val="FootnoteReference"/>
        </w:rPr>
        <w:footnoteReference w:id="1"/>
      </w:r>
      <w:r>
        <w:t>.</w:t>
      </w:r>
    </w:p>
    <w:p w:rsidR="00000000" w:rsidRDefault="00000000"/>
    <w:p w:rsidR="00000000" w:rsidRDefault="00000000">
      <w:r>
        <w:t>109.</w:t>
      </w:r>
      <w:r>
        <w:tab/>
        <w:t xml:space="preserve">Что касается информации по статье 5 е) </w:t>
      </w:r>
      <w:r>
        <w:rPr>
          <w:lang w:val="en-US"/>
        </w:rPr>
        <w:t>iv</w:t>
      </w:r>
      <w:r>
        <w:t>)-</w:t>
      </w:r>
      <w:r>
        <w:rPr>
          <w:lang w:val="en-US"/>
        </w:rPr>
        <w:t>v</w:t>
      </w:r>
      <w:r>
        <w:t>), то Комитет отсылается к пунктам 113</w:t>
      </w:r>
      <w:r>
        <w:noBreakHyphen/>
        <w:t>130 ее двенадцатого периодического доклада.  В силу прав, закрепленных в статье 5 е) </w:t>
      </w:r>
      <w:r>
        <w:rPr>
          <w:lang w:val="en-US"/>
        </w:rPr>
        <w:t>vi</w:t>
      </w:r>
      <w:r>
        <w:t>), по шведскому закону запрещается дискриминация по расовым, этническим, религиозным или культурным признакам.</w:t>
      </w:r>
    </w:p>
    <w:p w:rsidR="00000000" w:rsidRDefault="00000000"/>
    <w:p w:rsidR="00000000" w:rsidRDefault="00000000">
      <w:pPr>
        <w:jc w:val="center"/>
        <w:rPr>
          <w:b/>
          <w:bCs/>
        </w:rPr>
      </w:pPr>
      <w:r>
        <w:rPr>
          <w:b/>
          <w:bCs/>
        </w:rPr>
        <w:t xml:space="preserve">Статья 5 </w:t>
      </w:r>
      <w:r>
        <w:rPr>
          <w:b/>
          <w:bCs/>
          <w:lang w:val="en-US"/>
        </w:rPr>
        <w:t>f</w:t>
      </w:r>
      <w:r>
        <w:rPr>
          <w:b/>
          <w:bCs/>
        </w:rPr>
        <w:t>)</w:t>
      </w:r>
    </w:p>
    <w:p w:rsidR="00000000" w:rsidRDefault="00000000">
      <w:pPr>
        <w:jc w:val="center"/>
        <w:rPr>
          <w:b/>
          <w:bCs/>
        </w:rPr>
      </w:pPr>
    </w:p>
    <w:p w:rsidR="00000000" w:rsidRDefault="00000000">
      <w:r>
        <w:t>110.</w:t>
      </w:r>
      <w:r>
        <w:tab/>
        <w:t>О положениях Уголовного кодекса касательно противозаконной дискриминации, см. информацию по статье 2 шведского двенадцатого периодического доклада и  информацию, содержащуюся в пункте 14, а также по разделу о новом законодательстве относительно мер по противодействию этнической дискриминации в сфере труда.</w:t>
      </w:r>
    </w:p>
    <w:p w:rsidR="00000000" w:rsidRDefault="00000000"/>
    <w:p w:rsidR="00000000" w:rsidRDefault="00000000">
      <w:pPr>
        <w:jc w:val="center"/>
        <w:rPr>
          <w:b/>
          <w:bCs/>
        </w:rPr>
      </w:pPr>
      <w:r>
        <w:rPr>
          <w:b/>
          <w:bCs/>
        </w:rPr>
        <w:t>Статья 6</w:t>
      </w:r>
    </w:p>
    <w:p w:rsidR="00000000" w:rsidRDefault="00000000">
      <w:pPr>
        <w:rPr>
          <w:b/>
          <w:bCs/>
        </w:rPr>
      </w:pPr>
    </w:p>
    <w:p w:rsidR="00000000" w:rsidRDefault="00000000">
      <w:r>
        <w:t>111.</w:t>
      </w:r>
      <w:r>
        <w:tab/>
        <w:t xml:space="preserve">Что касается информации с этой связи, то Комитет отсылается к пунктам 133-134 шведского двенадцатого доклада.  </w:t>
      </w:r>
    </w:p>
    <w:p w:rsidR="00000000" w:rsidRDefault="00000000"/>
    <w:p w:rsidR="00000000" w:rsidRDefault="00000000">
      <w:pPr>
        <w:jc w:val="center"/>
        <w:rPr>
          <w:b/>
          <w:bCs/>
        </w:rPr>
      </w:pPr>
      <w:r>
        <w:rPr>
          <w:b/>
          <w:bCs/>
        </w:rPr>
        <w:t>Статья 7</w:t>
      </w:r>
    </w:p>
    <w:p w:rsidR="00000000" w:rsidRDefault="00000000">
      <w:pPr>
        <w:rPr>
          <w:b/>
          <w:bCs/>
        </w:rPr>
      </w:pPr>
    </w:p>
    <w:p w:rsidR="00000000" w:rsidRDefault="00000000">
      <w:pPr>
        <w:rPr>
          <w:b/>
          <w:bCs/>
        </w:rPr>
      </w:pPr>
      <w:r>
        <w:rPr>
          <w:b/>
          <w:bCs/>
        </w:rPr>
        <w:t>Национальный план действий по правам человека</w:t>
      </w:r>
    </w:p>
    <w:p w:rsidR="00000000" w:rsidRDefault="00000000">
      <w:pPr>
        <w:jc w:val="center"/>
        <w:rPr>
          <w:b/>
          <w:bCs/>
        </w:rPr>
      </w:pPr>
    </w:p>
    <w:p w:rsidR="00000000" w:rsidRDefault="00000000">
      <w:r>
        <w:t>112.</w:t>
      </w:r>
      <w:r>
        <w:tab/>
        <w:t>В январе 2002 года правительство приняло и представило парламенту письменную справку "Национальный план действий по правам человека".  В качестве отправного пункта в связи с Планом действий, рассчитанным на период 2002 – 2004 годов, выступают шведские международные обязательства по правам человека.  Задача состоит в том, чтобы обеспечить полное соблюдение прав человека, расширить информированность и осведомленность о правах человека, а также улучшить координацию работы в целях поощрения прав человека.</w:t>
      </w:r>
    </w:p>
    <w:p w:rsidR="00000000" w:rsidRDefault="00000000"/>
    <w:p w:rsidR="00000000" w:rsidRDefault="00000000">
      <w:r>
        <w:t>113.</w:t>
      </w:r>
      <w:r>
        <w:tab/>
        <w:t>План освещает функции и роль различных субъектов в русле работы по правозащитной проблематике.  Он также освещает определенные приоритетные проблемы, такие как права лиц, принадлежащих к национальным меньшинствам, и борьба с расизмом, ксенофобией и этнической дискриминацией.  План действий подчеркивает важность правозащитного образования и информации, равно как и освещает другие меры, которые надлежит принять с целью поощрения и защиты прав человека на национальном уровне.</w:t>
      </w:r>
    </w:p>
    <w:p w:rsidR="00000000" w:rsidRDefault="00000000"/>
    <w:p w:rsidR="00000000" w:rsidRDefault="00000000">
      <w:r>
        <w:t>114.</w:t>
      </w:r>
      <w:r>
        <w:tab/>
        <w:t>Возможность принять участие в разработке Плана действий была предоставлена более чем 240 разным субъектам, включая НПО, профсоюзы, омбудсменов и т.д.  Были приглашены принять и приняли участие в дискуссии представители разных национальных миноритарных групп.</w:t>
      </w:r>
    </w:p>
    <w:p w:rsidR="00000000" w:rsidRDefault="00000000"/>
    <w:p w:rsidR="00000000" w:rsidRDefault="00000000">
      <w:pPr>
        <w:keepNext/>
        <w:rPr>
          <w:b/>
          <w:bCs/>
        </w:rPr>
      </w:pPr>
      <w:r>
        <w:rPr>
          <w:b/>
          <w:bCs/>
        </w:rPr>
        <w:t>Информация и ее распространение</w:t>
      </w:r>
    </w:p>
    <w:p w:rsidR="00000000" w:rsidRDefault="00000000">
      <w:pPr>
        <w:keepNext/>
        <w:rPr>
          <w:b/>
          <w:bCs/>
        </w:rPr>
      </w:pPr>
    </w:p>
    <w:p w:rsidR="00000000" w:rsidRDefault="00000000">
      <w:pPr>
        <w:keepNext/>
      </w:pPr>
      <w:r>
        <w:t>115.</w:t>
      </w:r>
      <w:r>
        <w:tab/>
        <w:t>Важным компонентом усилий правительства по распространению знаний о правах человека является правительственный веб-сайт (www.manskligarattigheter.gov.se) по правам человека.  Веб</w:t>
      </w:r>
      <w:r>
        <w:noBreakHyphen/>
        <w:t>сайт содержит информацию о правах человека, а также соответствующие документы, такие как международные правозащитные договоры, шведские национальные доклады договорным органам и заключительные замечания таких органов.</w:t>
      </w:r>
    </w:p>
    <w:p w:rsidR="00000000" w:rsidRDefault="00000000"/>
    <w:p w:rsidR="00000000" w:rsidRDefault="00000000">
      <w:r>
        <w:t>116.</w:t>
      </w:r>
      <w:r>
        <w:tab/>
        <w:t>Правительство намерено переводить на шведский язык все будущие шведские доклады договорным органам ООН, включая и настоящий доклад, равно как и заключительные замечания договорных органов.  Все эти документы будут иметься в наличии на правительственном веб</w:t>
      </w:r>
      <w:r>
        <w:noBreakHyphen/>
        <w:t>сайте по правам человека.</w:t>
      </w:r>
    </w:p>
    <w:p w:rsidR="00000000" w:rsidRDefault="00000000"/>
    <w:p w:rsidR="00000000" w:rsidRDefault="00000000">
      <w:r>
        <w:t>117.</w:t>
      </w:r>
      <w:r>
        <w:tab/>
        <w:t>Правительство распространило Национальный план действий по правам человека среди национальных ведомств, судебных органов, муниципалитетов, омбудсменов и НПО.  Резюме содержания Плана действий будет переведено на признанные миноритарные языки.</w:t>
      </w:r>
    </w:p>
    <w:p w:rsidR="00000000" w:rsidRDefault="00000000"/>
    <w:p w:rsidR="00000000" w:rsidRDefault="00000000">
      <w:r>
        <w:rPr>
          <w:b/>
          <w:bCs/>
        </w:rPr>
        <w:t>Образование по правам человека</w:t>
      </w:r>
      <w:r>
        <w:t xml:space="preserve"> </w:t>
      </w:r>
    </w:p>
    <w:p w:rsidR="00000000" w:rsidRDefault="00000000">
      <w:pPr>
        <w:rPr>
          <w:b/>
          <w:bCs/>
        </w:rPr>
      </w:pPr>
    </w:p>
    <w:p w:rsidR="00000000" w:rsidRDefault="00000000">
      <w:r>
        <w:t>118.</w:t>
      </w:r>
      <w:r>
        <w:tab/>
        <w:t>Национальный план действий по правам человека подчеркивает важность распространения знаний о правах человека не только в обществе в целом, но и среди конкретных категорий населения.  В результате правительство поручило ряду национальных ведомств обеспечить правозащитную подготовку своего персонала.  К числу таких ведомств относятся, например, Национальное управление по социальному страхованию, Управление школьных учреждений саами, все бюро социального страхования, Национальное полицейское управление и Генеральная прокуратура.  В 2003 году эти ведомства должны представить правительству отчеты о своей деятельности, и на основе их отчетов будут приняты решения о возможных последующих действиях.</w:t>
      </w:r>
    </w:p>
    <w:p w:rsidR="00000000" w:rsidRDefault="00000000"/>
    <w:p w:rsidR="00000000" w:rsidRDefault="00000000">
      <w:r>
        <w:t>119.</w:t>
      </w:r>
      <w:r>
        <w:tab/>
        <w:t>Вдобавок правительство намерено привлекать Шведскую ассоциацию местных органов власти и Федерацию шведских окружных советов к разработке и финансированию правозащитного просвещения на местном и региональном уровне.</w:t>
      </w:r>
    </w:p>
    <w:p w:rsidR="00000000" w:rsidRDefault="00000000"/>
    <w:p w:rsidR="00000000" w:rsidRDefault="00000000">
      <w:pPr>
        <w:rPr>
          <w:b/>
          <w:bCs/>
        </w:rPr>
      </w:pPr>
      <w:r>
        <w:rPr>
          <w:b/>
          <w:bCs/>
        </w:rPr>
        <w:t>Полиция</w:t>
      </w:r>
    </w:p>
    <w:p w:rsidR="00000000" w:rsidRDefault="00000000">
      <w:pPr>
        <w:rPr>
          <w:b/>
          <w:bCs/>
        </w:rPr>
      </w:pPr>
    </w:p>
    <w:p w:rsidR="00000000" w:rsidRDefault="00000000">
      <w:r>
        <w:t>120.</w:t>
      </w:r>
      <w:r>
        <w:tab/>
        <w:t>В программном документе Национальное полицейское управление рекомендовало, чтобы кадровый состав полицейских сил отражал демографическую структуру страны.  Полицейское управление подчеркнуло, что следует регулярнее вербовать выходцев из этнических меньшинств.  На протяжении последних четырех лет 13</w:t>
      </w:r>
      <w:r>
        <w:noBreakHyphen/>
        <w:t>16 процентов полицейских курсантов являются выходцами из этнических меньшинств.</w:t>
      </w:r>
    </w:p>
    <w:p w:rsidR="00000000" w:rsidRDefault="00000000"/>
    <w:p w:rsidR="00000000" w:rsidRDefault="00000000">
      <w:r>
        <w:t>121.</w:t>
      </w:r>
      <w:r>
        <w:tab/>
        <w:t>Учебная программа Шведской национальной полицейской академии включает подготовку и обучение по предмету расовой дискриминации на основе Всеобщей декларации прав человека, Европейской конвенции по правам человека, Акта о форме правления и статьи 8 главы 16 (агитация против национальных или этнических групп), а также статьи 9 главы 16 (противозаконная дискриминация) Шведского уголовного кодекса.  Эти проблемы также разбираются на лекциях и семинарах по Закону об обращении с заключенными и по Закону о предварительном заключении.  В ходе лекций и практических занятий проблематика прав человека и недискриминации освещается в поликультурном разрезе.  Особое внимание уделяется статусу просителей убежища. Эти направления деятельности являются также предметом предоставляемого Академией последующего образования.</w:t>
      </w:r>
    </w:p>
    <w:p w:rsidR="00000000" w:rsidRDefault="00000000"/>
    <w:p w:rsidR="00000000" w:rsidRDefault="00000000">
      <w:pPr>
        <w:rPr>
          <w:b/>
          <w:bCs/>
        </w:rPr>
      </w:pPr>
      <w:r>
        <w:rPr>
          <w:b/>
          <w:bCs/>
        </w:rPr>
        <w:t>Форум "Живая история"</w:t>
      </w:r>
    </w:p>
    <w:p w:rsidR="00000000" w:rsidRDefault="00000000">
      <w:pPr>
        <w:jc w:val="center"/>
        <w:rPr>
          <w:b/>
          <w:bCs/>
        </w:rPr>
      </w:pPr>
    </w:p>
    <w:p w:rsidR="00000000" w:rsidRDefault="00000000">
      <w:r>
        <w:t>122.</w:t>
      </w:r>
      <w:r>
        <w:tab/>
        <w:t>1 июня 2003 года на правах публичного ведомства был учрежден постоянный национальный центр под названием форум "Живая история".  Его непреложная задача состоит в том, чтобы поощрять работу, дискуссии и размышления относительно демократии, терпимости и прав человека через призму Холокоста.  Форум призван содействовать более глубокому осознанию истории за счет экспозиций и других форм художественного выражения, таких как музыка, произведения искусства, танцы, театр, кино и литература, а также за счет курсов, лекций и дискуссий.</w:t>
      </w:r>
    </w:p>
    <w:p w:rsidR="00000000" w:rsidRDefault="00000000"/>
    <w:p w:rsidR="00000000" w:rsidRDefault="00000000">
      <w:r>
        <w:t>123.</w:t>
      </w:r>
      <w:r>
        <w:tab/>
        <w:t>Одной из важных адресных групп деятельности Форума являются дети, молодежь и взрослые в контексте молодежной среды.  Форум уже располагает текущими проектами, которые рассчитаны непосредственно на детей и молодежь.  К их числу относится исследование о случаях распространения в школах ксенофобных, исламофобных и антисемитских преступлений и пропагандистских акций, которое проводится в сотрудничестве с Национальным советом по предупреждению преступности.</w:t>
      </w:r>
    </w:p>
    <w:p w:rsidR="00000000" w:rsidRDefault="00000000"/>
    <w:p w:rsidR="00000000" w:rsidRDefault="00000000">
      <w:pPr>
        <w:rPr>
          <w:b/>
          <w:bCs/>
        </w:rPr>
      </w:pPr>
      <w:r>
        <w:rPr>
          <w:b/>
          <w:bCs/>
        </w:rPr>
        <w:t xml:space="preserve">Девушки и молодые женщины, подверженные риску угроз или насилия по мотивам чести </w:t>
      </w:r>
    </w:p>
    <w:p w:rsidR="00000000" w:rsidRDefault="00000000">
      <w:pPr>
        <w:jc w:val="center"/>
        <w:rPr>
          <w:b/>
          <w:bCs/>
        </w:rPr>
      </w:pPr>
    </w:p>
    <w:p w:rsidR="00000000" w:rsidRDefault="00000000">
      <w:r>
        <w:t>124.</w:t>
      </w:r>
      <w:r>
        <w:tab/>
        <w:t>Правительство предпринимает ряд инициатив с целью улучшить положения девушек, подверженных риску угроз или насилия по мотивам чести.  В качестве отправного пункта тут выступает тезис в том, что имеется целый комплекс основополагающих ценностей в русле универсальных норм, которые должны приниматься каждым обитателем Швеции, независимо от его культурных или религиозных антецедентов.  Вот некоторые из этих инициатив:</w:t>
      </w:r>
    </w:p>
    <w:p w:rsidR="00000000" w:rsidRDefault="00000000"/>
    <w:p w:rsidR="00000000" w:rsidRDefault="00000000">
      <w:pPr>
        <w:ind w:left="1134" w:hanging="567"/>
      </w:pPr>
      <w:r>
        <w:t>-</w:t>
      </w:r>
      <w:r>
        <w:tab/>
        <w:t>окружные административные советы в трех метрополитанских округах получают финансирование под определение потребностей в "опекаемом жилье" (для инвалидов);</w:t>
      </w:r>
    </w:p>
    <w:p w:rsidR="00000000" w:rsidRDefault="00000000">
      <w:pPr>
        <w:ind w:left="1134" w:hanging="567"/>
      </w:pPr>
    </w:p>
    <w:p w:rsidR="00000000" w:rsidRDefault="00000000">
      <w:pPr>
        <w:ind w:left="1134" w:hanging="567"/>
      </w:pPr>
      <w:r>
        <w:t>-</w:t>
      </w:r>
      <w:r>
        <w:tab/>
        <w:t>назначена неформальная группа экспертов под началом министра по делам демократии и интеграции, с тем чтобы предложить дополнительные меры и рабочие методы, которые позволили бы защитить девушек и молодых женщин от угроз или насилия;</w:t>
      </w:r>
    </w:p>
    <w:p w:rsidR="00000000" w:rsidRDefault="00000000">
      <w:pPr>
        <w:ind w:left="1134" w:hanging="567"/>
      </w:pPr>
    </w:p>
    <w:p w:rsidR="00000000" w:rsidRDefault="00000000">
      <w:pPr>
        <w:ind w:left="1134" w:hanging="567"/>
      </w:pPr>
      <w:r>
        <w:t>-</w:t>
      </w:r>
      <w:r>
        <w:tab/>
        <w:t>в 2002 году Шведское управление по вопросам интеграции распределило в виде правительственных дотаций свыше 3 миллионов шведских крон на проекты, связанные с гендерным равенством и нацеленные на улучшение положения девушек, оказывающихся в уязвимых ситуациях;</w:t>
      </w:r>
    </w:p>
    <w:p w:rsidR="00000000" w:rsidRDefault="00000000">
      <w:pPr>
        <w:ind w:left="1134" w:hanging="567"/>
      </w:pPr>
    </w:p>
    <w:p w:rsidR="00000000" w:rsidRDefault="00000000">
      <w:pPr>
        <w:ind w:left="1134" w:hanging="567"/>
      </w:pPr>
      <w:r>
        <w:t>-</w:t>
      </w:r>
      <w:r>
        <w:tab/>
        <w:t>Национальное управление по вопросам интеграции провело специальное исследование об условиях, сказывающихся на периоде становления детей и молодежи иммигрантского происхождения;</w:t>
      </w:r>
    </w:p>
    <w:p w:rsidR="00000000" w:rsidRDefault="00000000">
      <w:pPr>
        <w:ind w:left="1134" w:hanging="567"/>
      </w:pPr>
    </w:p>
    <w:p w:rsidR="00000000" w:rsidRDefault="00000000">
      <w:pPr>
        <w:ind w:left="1134" w:hanging="567"/>
      </w:pPr>
      <w:r>
        <w:t>-</w:t>
      </w:r>
      <w:r>
        <w:tab/>
        <w:t>в сотрудничестве с Национальным институтом по вопросам общественного здравоохранения, Национальным управлением по вопросам здравоохранения и социальной защиты, Национальным бюро по вопросам образования, Национальным управлением по делам молодежи и Управлением омбудсмена по правам детей, Национальное управление по вопросам интеграции вычленило удачные примеры и методы предотвращения конфликтов между индивидом и семьей, которые могут происходить на почве патриархальных норм;</w:t>
      </w:r>
    </w:p>
    <w:p w:rsidR="00000000" w:rsidRDefault="00000000">
      <w:pPr>
        <w:ind w:left="1134" w:hanging="567"/>
      </w:pPr>
    </w:p>
    <w:p w:rsidR="00000000" w:rsidRDefault="00000000">
      <w:pPr>
        <w:ind w:left="1134" w:hanging="567"/>
      </w:pPr>
      <w:r>
        <w:t>-</w:t>
      </w:r>
      <w:r>
        <w:tab/>
        <w:t>Национальное управление по вопросам совершенствования школьного обучения разработало конкретные пособия для школьного персонала по вопросу о том, как иметь дело с девочками и мальчиками, подверженными риску угроз или насилия по мотивам чести;</w:t>
      </w:r>
    </w:p>
    <w:p w:rsidR="00000000" w:rsidRDefault="00000000">
      <w:pPr>
        <w:ind w:left="1134" w:hanging="567"/>
      </w:pPr>
    </w:p>
    <w:p w:rsidR="00000000" w:rsidRDefault="00000000">
      <w:pPr>
        <w:ind w:left="1134" w:hanging="567"/>
      </w:pPr>
      <w:r>
        <w:t>-</w:t>
      </w:r>
      <w:r>
        <w:tab/>
        <w:t>принимаются меры по изменению закона таким образом, чтобы к иностранным гражданам применялся минимальный 18</w:t>
      </w:r>
      <w:r>
        <w:noBreakHyphen/>
        <w:t>летний брачный возраст;</w:t>
      </w:r>
    </w:p>
    <w:p w:rsidR="00000000" w:rsidRDefault="00000000">
      <w:pPr>
        <w:ind w:left="1134" w:hanging="567"/>
      </w:pPr>
    </w:p>
    <w:p w:rsidR="00000000" w:rsidRDefault="00000000">
      <w:pPr>
        <w:ind w:left="1134" w:hanging="567"/>
      </w:pPr>
      <w:r>
        <w:t>-</w:t>
      </w:r>
      <w:r>
        <w:tab/>
        <w:t>Национальному институту по вопросам общественного здравоохранения поручено представить в декабре 2004 года доклад о выполнении им своих обязанностей по просвещению родителей;</w:t>
      </w:r>
    </w:p>
    <w:p w:rsidR="00000000" w:rsidRDefault="00000000">
      <w:pPr>
        <w:ind w:left="1134" w:hanging="567"/>
      </w:pPr>
    </w:p>
    <w:p w:rsidR="00000000" w:rsidRDefault="00000000">
      <w:pPr>
        <w:ind w:left="1134" w:hanging="567"/>
      </w:pPr>
      <w:r>
        <w:t>-</w:t>
      </w:r>
      <w:r>
        <w:tab/>
        <w:t>Комиссии по распределению государственных субсидий среди религиозных общин поручено проводить с религиозными общинами более углубленный диалог по проблемам прав женщин и детей.</w:t>
      </w:r>
    </w:p>
    <w:p w:rsidR="00000000" w:rsidRDefault="00000000">
      <w:pPr>
        <w:ind w:left="1134" w:hanging="567"/>
      </w:pPr>
    </w:p>
    <w:p w:rsidR="00000000" w:rsidRDefault="00000000">
      <w:pPr>
        <w:ind w:left="1134" w:hanging="567"/>
      </w:pPr>
    </w:p>
    <w:p w:rsidR="00000000" w:rsidRDefault="00000000">
      <w:pPr>
        <w:ind w:left="1134" w:hanging="567"/>
        <w:jc w:val="center"/>
      </w:pPr>
      <w:r>
        <w:t>_____</w:t>
      </w:r>
    </w:p>
    <w:p w:rsidR="00000000" w:rsidRDefault="00000000">
      <w:pPr>
        <w:ind w:left="1134" w:hanging="567"/>
      </w:pPr>
    </w:p>
    <w:sectPr w:rsidR="00000000">
      <w:headerReference w:type="even" r:id="rId9"/>
      <w:headerReference w:type="default" r:id="rId10"/>
      <w:footerReference w:type="even" r:id="rId11"/>
      <w:type w:val="continuous"/>
      <w:pgSz w:w="11906" w:h="16838"/>
      <w:pgMar w:top="851" w:right="707"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ab/>
        <w:t>Источник:  Доклад № 214 Национального бюро по вопросам образования.  Определение "зарубежные антецеденты" подразумевает зарубежного уроженца или лицо, у которого оба родителя являются зарубежными уроженцами (исключая приемных детей).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CERD/C/452/Add.4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t>CERD/C/452/Add.4</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semiHidden/>
    <w:pPr>
      <w:tabs>
        <w:tab w:val="clear" w:pos="567"/>
        <w:tab w:val="clear" w:pos="1134"/>
        <w:tab w:val="left" w:pos="420"/>
        <w:tab w:val="left" w:pos="896"/>
      </w:tabs>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9421</Words>
  <Characters>53701</Characters>
  <Application>Microsoft Office Word</Application>
  <DocSecurity>4</DocSecurity>
  <Lines>447</Lines>
  <Paragraphs>107</Paragraphs>
  <ScaleCrop>false</ScaleCrop>
  <HeadingPairs>
    <vt:vector size="2" baseType="variant">
      <vt:variant>
        <vt:lpstr>Название</vt:lpstr>
      </vt:variant>
      <vt:variant>
        <vt:i4>1</vt:i4>
      </vt:variant>
    </vt:vector>
  </HeadingPairs>
  <TitlesOfParts>
    <vt:vector size="1" baseType="lpstr">
      <vt:lpstr>0342711</vt:lpstr>
    </vt:vector>
  </TitlesOfParts>
  <Company> </Company>
  <LinksUpToDate>false</LinksUpToDate>
  <CharactersWithSpaces>65948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0342711</dc:title>
  <dc:subject>Погорельский</dc:subject>
  <dc:creator>Аргунова</dc:creator>
  <cp:keywords/>
  <dc:description/>
  <cp:lastModifiedBy>Аргунова</cp:lastModifiedBy>
  <cp:revision>3</cp:revision>
  <cp:lastPrinted>2003-11-20T08:50:00Z</cp:lastPrinted>
  <dcterms:created xsi:type="dcterms:W3CDTF">2003-11-20T08:50:00Z</dcterms:created>
  <dcterms:modified xsi:type="dcterms:W3CDTF">2003-11-20T08:51:00Z</dcterms:modified>
</cp:coreProperties>
</file>