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97FD5" w:rsidRPr="0057456E" w14:paraId="78E9E388" w14:textId="77777777" w:rsidTr="00E56EE3">
        <w:trPr>
          <w:trHeight w:hRule="exact" w:val="851"/>
        </w:trPr>
        <w:tc>
          <w:tcPr>
            <w:tcW w:w="1280" w:type="dxa"/>
            <w:tcBorders>
              <w:bottom w:val="single" w:sz="4" w:space="0" w:color="auto"/>
            </w:tcBorders>
            <w:shd w:val="clear" w:color="auto" w:fill="auto"/>
          </w:tcPr>
          <w:p w14:paraId="0FCDC06D" w14:textId="77777777" w:rsidR="002D5AAC" w:rsidRDefault="002D5AAC" w:rsidP="00E56EE3"/>
        </w:tc>
        <w:tc>
          <w:tcPr>
            <w:tcW w:w="2273" w:type="dxa"/>
            <w:tcBorders>
              <w:bottom w:val="single" w:sz="4" w:space="0" w:color="auto"/>
            </w:tcBorders>
            <w:shd w:val="clear" w:color="auto" w:fill="auto"/>
            <w:vAlign w:val="bottom"/>
          </w:tcPr>
          <w:p w14:paraId="635BBE48" w14:textId="77777777" w:rsidR="002D5AAC" w:rsidRPr="00D4778E" w:rsidRDefault="00E07CA4"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519FC232" w14:textId="21CE4EEA" w:rsidR="002D5AAC" w:rsidRPr="006C01AB" w:rsidRDefault="00864197" w:rsidP="00864197">
            <w:pPr>
              <w:jc w:val="right"/>
              <w:rPr>
                <w:lang w:val="en-GB"/>
              </w:rPr>
            </w:pPr>
            <w:r w:rsidRPr="006C01AB">
              <w:rPr>
                <w:sz w:val="40"/>
                <w:lang w:val="en-GB"/>
              </w:rPr>
              <w:t>CAT</w:t>
            </w:r>
            <w:r>
              <w:rPr>
                <w:lang w:val="en-GB"/>
              </w:rPr>
              <w:t>/C/BOL/CO/3</w:t>
            </w:r>
          </w:p>
        </w:tc>
      </w:tr>
      <w:tr w:rsidR="00197FD5" w14:paraId="32C0C67F" w14:textId="77777777" w:rsidTr="00E56EE3">
        <w:trPr>
          <w:trHeight w:hRule="exact" w:val="2835"/>
        </w:trPr>
        <w:tc>
          <w:tcPr>
            <w:tcW w:w="1280" w:type="dxa"/>
            <w:tcBorders>
              <w:top w:val="single" w:sz="4" w:space="0" w:color="auto"/>
              <w:bottom w:val="single" w:sz="12" w:space="0" w:color="auto"/>
            </w:tcBorders>
            <w:shd w:val="clear" w:color="auto" w:fill="auto"/>
          </w:tcPr>
          <w:p w14:paraId="3FCAE3C6" w14:textId="77777777" w:rsidR="002D5AAC" w:rsidRDefault="00E07CA4" w:rsidP="00E56EE3">
            <w:pPr>
              <w:spacing w:before="120"/>
              <w:jc w:val="center"/>
            </w:pPr>
            <w:r>
              <w:rPr>
                <w:noProof/>
                <w:lang w:val="en-GB" w:eastAsia="en-GB"/>
              </w:rPr>
              <w:drawing>
                <wp:inline distT="0" distB="0" distL="0" distR="0" wp14:anchorId="204E54CA" wp14:editId="781792F6">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590F712" w14:textId="77777777" w:rsidR="002D5AAC" w:rsidRPr="00D4778E" w:rsidRDefault="00E07CA4" w:rsidP="00E56EE3">
            <w:pPr>
              <w:spacing w:before="120" w:line="360" w:lineRule="exact"/>
              <w:rPr>
                <w:b/>
                <w:sz w:val="34"/>
                <w:szCs w:val="34"/>
              </w:rPr>
            </w:pPr>
            <w:r w:rsidRPr="00D4778E">
              <w:rPr>
                <w:b/>
                <w:sz w:val="34"/>
                <w:szCs w:val="34"/>
              </w:rPr>
              <w:t xml:space="preserve">Convención contra </w:t>
            </w:r>
            <w:r w:rsidR="007021FF" w:rsidRPr="00D4778E">
              <w:rPr>
                <w:b/>
                <w:sz w:val="34"/>
                <w:szCs w:val="34"/>
              </w:rPr>
              <w:t xml:space="preserve">la </w:t>
            </w:r>
            <w:r w:rsidRPr="00D4778E">
              <w:rPr>
                <w:b/>
                <w:sz w:val="34"/>
                <w:szCs w:val="34"/>
              </w:rPr>
              <w:t>Tortura</w:t>
            </w:r>
            <w:r w:rsidR="00033EE1" w:rsidRPr="00D4778E">
              <w:rPr>
                <w:b/>
                <w:sz w:val="34"/>
                <w:szCs w:val="34"/>
              </w:rPr>
              <w:br/>
            </w:r>
            <w:r w:rsidRPr="00D4778E">
              <w:rPr>
                <w:b/>
                <w:sz w:val="34"/>
                <w:szCs w:val="34"/>
              </w:rPr>
              <w:t xml:space="preserve">y Otros </w:t>
            </w:r>
            <w:r w:rsidR="007021FF" w:rsidRPr="00D4778E">
              <w:rPr>
                <w:b/>
                <w:sz w:val="34"/>
                <w:szCs w:val="34"/>
              </w:rPr>
              <w:t xml:space="preserve">Tratos </w:t>
            </w:r>
            <w:r w:rsidRPr="00D4778E">
              <w:rPr>
                <w:b/>
                <w:sz w:val="34"/>
                <w:szCs w:val="34"/>
              </w:rPr>
              <w:t>o Penas Crueles,</w:t>
            </w:r>
            <w:r w:rsidRPr="00D4778E">
              <w:rPr>
                <w:b/>
                <w:sz w:val="34"/>
                <w:szCs w:val="34"/>
              </w:rPr>
              <w:br/>
              <w:t>Inhumanos o Degradantes</w:t>
            </w:r>
          </w:p>
        </w:tc>
        <w:tc>
          <w:tcPr>
            <w:tcW w:w="2819" w:type="dxa"/>
            <w:tcBorders>
              <w:top w:val="single" w:sz="4" w:space="0" w:color="auto"/>
              <w:bottom w:val="single" w:sz="12" w:space="0" w:color="auto"/>
            </w:tcBorders>
            <w:shd w:val="clear" w:color="auto" w:fill="auto"/>
          </w:tcPr>
          <w:p w14:paraId="05636D12" w14:textId="77777777" w:rsidR="00935A0B" w:rsidRPr="00F43810" w:rsidRDefault="00E07CA4" w:rsidP="00935A0B">
            <w:pPr>
              <w:spacing w:before="240" w:line="240" w:lineRule="exact"/>
            </w:pPr>
            <w:r w:rsidRPr="00F43810">
              <w:t xml:space="preserve">Distr. </w:t>
            </w:r>
            <w:r w:rsidR="00F9725D">
              <w:t>general</w:t>
            </w:r>
          </w:p>
          <w:p w14:paraId="525C04DC" w14:textId="69C90A26" w:rsidR="006313D2" w:rsidRDefault="003F1F04" w:rsidP="00935A0B">
            <w:r>
              <w:t>2</w:t>
            </w:r>
            <w:r w:rsidR="002B0CA0">
              <w:t>9</w:t>
            </w:r>
            <w:r w:rsidR="000B432F">
              <w:t xml:space="preserve"> de diciembre de 2021</w:t>
            </w:r>
          </w:p>
          <w:p w14:paraId="2F33440A" w14:textId="77777777" w:rsidR="00F45C7D" w:rsidRDefault="00F45C7D" w:rsidP="00935A0B"/>
          <w:p w14:paraId="5CC5FE7C" w14:textId="77777777" w:rsidR="002D5AAC" w:rsidRDefault="00F9725D" w:rsidP="00F9725D">
            <w:pPr>
              <w:spacing w:line="240" w:lineRule="exact"/>
            </w:pPr>
            <w:r>
              <w:t>Original: e</w:t>
            </w:r>
            <w:r w:rsidR="000B432F">
              <w:t xml:space="preserve">spañol </w:t>
            </w:r>
          </w:p>
        </w:tc>
      </w:tr>
    </w:tbl>
    <w:p w14:paraId="288BBBBF" w14:textId="77777777" w:rsidR="004E6A62" w:rsidRDefault="00E07CA4" w:rsidP="004E6A62">
      <w:pPr>
        <w:spacing w:before="120"/>
      </w:pPr>
      <w:r w:rsidRPr="002541C7">
        <w:rPr>
          <w:b/>
          <w:sz w:val="24"/>
        </w:rPr>
        <w:t>Comité contra la Tortura</w:t>
      </w:r>
    </w:p>
    <w:p w14:paraId="13AE5E6A" w14:textId="609736C9" w:rsidR="00C26FEE" w:rsidRPr="00A77059" w:rsidRDefault="00E07CA4" w:rsidP="00C26FEE">
      <w:pPr>
        <w:pStyle w:val="HChG"/>
      </w:pPr>
      <w:r>
        <w:tab/>
      </w:r>
      <w:r>
        <w:tab/>
        <w:t xml:space="preserve">Observaciones </w:t>
      </w:r>
      <w:r w:rsidRPr="006313D2">
        <w:t>finales sobre</w:t>
      </w:r>
      <w:r w:rsidR="00CB4AA4" w:rsidRPr="006313D2">
        <w:t xml:space="preserve"> </w:t>
      </w:r>
      <w:r w:rsidR="00C03F6A" w:rsidRPr="006313D2">
        <w:t xml:space="preserve">el </w:t>
      </w:r>
      <w:r w:rsidR="00CB4AA4" w:rsidRPr="006313D2">
        <w:t>tercer informe periódico del</w:t>
      </w:r>
      <w:r w:rsidR="00CD60E5">
        <w:t> </w:t>
      </w:r>
      <w:r w:rsidR="00CB4AA4" w:rsidRPr="006313D2">
        <w:t>Estado Plurinacional de Bolivia</w:t>
      </w:r>
      <w:r w:rsidR="00F9725D" w:rsidRPr="001D1DE3">
        <w:rPr>
          <w:rStyle w:val="FootnoteReference"/>
          <w:b w:val="0"/>
          <w:bCs/>
          <w:sz w:val="20"/>
          <w:vertAlign w:val="baseline"/>
        </w:rPr>
        <w:footnoteReference w:customMarkFollows="1" w:id="1"/>
        <w:t>*</w:t>
      </w:r>
    </w:p>
    <w:p w14:paraId="2368BBB0" w14:textId="4981AB88" w:rsidR="006313D2" w:rsidRPr="006313D2" w:rsidRDefault="006313D2" w:rsidP="006313D2">
      <w:pPr>
        <w:tabs>
          <w:tab w:val="left" w:pos="1701"/>
          <w:tab w:val="left" w:pos="2268"/>
          <w:tab w:val="left" w:pos="2835"/>
        </w:tabs>
        <w:spacing w:after="120"/>
        <w:ind w:left="1134" w:right="1134"/>
        <w:jc w:val="both"/>
      </w:pPr>
      <w:r w:rsidRPr="006313D2">
        <w:t>1.</w:t>
      </w:r>
      <w:r w:rsidRPr="006313D2">
        <w:tab/>
        <w:t xml:space="preserve">El Comité contra la Tortura examinó el tercer informe periódico </w:t>
      </w:r>
      <w:r w:rsidRPr="00A10D2A">
        <w:t>del Estado Plurinacional de Bolivia</w:t>
      </w:r>
      <w:r w:rsidR="00116F38">
        <w:rPr>
          <w:rStyle w:val="FootnoteReference"/>
        </w:rPr>
        <w:footnoteReference w:id="2"/>
      </w:r>
      <w:hyperlink r:id="rId12" w:history="1">
        <w:r w:rsidR="00CA7495" w:rsidRPr="00CA7495">
          <w:rPr>
            <w:rStyle w:val="Hyperlink"/>
          </w:rPr>
          <w:t>http://</w:t>
        </w:r>
        <w:proofErr w:type="spellStart"/>
        <w:r w:rsidR="00CA7495" w:rsidRPr="00CA7495">
          <w:rPr>
            <w:rStyle w:val="Hyperlink"/>
          </w:rPr>
          <w:t>undocs.org</w:t>
        </w:r>
        <w:proofErr w:type="spellEnd"/>
        <w:r w:rsidR="00CA7495" w:rsidRPr="00CA7495">
          <w:rPr>
            <w:rStyle w:val="Hyperlink"/>
          </w:rPr>
          <w:t>/es/CAT/C/BOL/3</w:t>
        </w:r>
      </w:hyperlink>
      <w:r w:rsidRPr="00A10D2A">
        <w:t xml:space="preserve"> en sus sesiones</w:t>
      </w:r>
      <w:r w:rsidR="00116F38">
        <w:rPr>
          <w:rStyle w:val="FootnoteReference"/>
        </w:rPr>
        <w:footnoteReference w:id="3"/>
      </w:r>
      <w:r w:rsidRPr="00A10D2A">
        <w:t xml:space="preserve"> 1867ª y </w:t>
      </w:r>
      <w:proofErr w:type="spellStart"/>
      <w:r w:rsidRPr="00A10D2A">
        <w:t>1869ª</w:t>
      </w:r>
      <w:hyperlink r:id="rId13" w:history="1">
        <w:r w:rsidR="00CA7495" w:rsidRPr="00CA7495">
          <w:rPr>
            <w:rStyle w:val="Hyperlink"/>
          </w:rPr>
          <w:t>http</w:t>
        </w:r>
        <w:proofErr w:type="spellEnd"/>
        <w:r w:rsidR="00CA7495" w:rsidRPr="00CA7495">
          <w:rPr>
            <w:rStyle w:val="Hyperlink"/>
          </w:rPr>
          <w:t>://</w:t>
        </w:r>
        <w:proofErr w:type="spellStart"/>
        <w:r w:rsidR="00CA7495" w:rsidRPr="00CA7495">
          <w:rPr>
            <w:rStyle w:val="Hyperlink"/>
          </w:rPr>
          <w:t>undocs.org</w:t>
        </w:r>
        <w:proofErr w:type="spellEnd"/>
        <w:r w:rsidR="00CA7495" w:rsidRPr="00CA7495">
          <w:rPr>
            <w:rStyle w:val="Hyperlink"/>
          </w:rPr>
          <w:t>/es/CAT/C/</w:t>
        </w:r>
        <w:proofErr w:type="spellStart"/>
        <w:r w:rsidR="00CA7495" w:rsidRPr="00CA7495">
          <w:rPr>
            <w:rStyle w:val="Hyperlink"/>
          </w:rPr>
          <w:t>SR.1867</w:t>
        </w:r>
        <w:proofErr w:type="spellEnd"/>
      </w:hyperlink>
      <w:r w:rsidRPr="00A10D2A">
        <w:t xml:space="preserve">, celebradas los días 25 y 26 de noviembre de 2021, y aprobó en su </w:t>
      </w:r>
      <w:r w:rsidR="0057456E" w:rsidRPr="00A10D2A">
        <w:t>1875</w:t>
      </w:r>
      <w:r w:rsidRPr="00A10D2A">
        <w:t>ª sesión, celebrada el</w:t>
      </w:r>
      <w:r w:rsidR="0057456E" w:rsidRPr="00A10D2A">
        <w:t xml:space="preserve"> 2</w:t>
      </w:r>
      <w:r w:rsidRPr="00A10D2A">
        <w:t xml:space="preserve"> de diciembre de 2021, las presentes observaciones finales.</w:t>
      </w:r>
    </w:p>
    <w:p w14:paraId="03F504BD" w14:textId="77777777" w:rsidR="006313D2" w:rsidRPr="006313D2" w:rsidRDefault="006313D2" w:rsidP="006313D2">
      <w:pPr>
        <w:keepNext/>
        <w:keepLines/>
        <w:tabs>
          <w:tab w:val="right" w:pos="851"/>
        </w:tabs>
        <w:suppressAutoHyphens/>
        <w:spacing w:before="360" w:after="240" w:line="270" w:lineRule="exact"/>
        <w:ind w:left="1134" w:right="1134" w:hanging="1134"/>
        <w:outlineLvl w:val="2"/>
        <w:rPr>
          <w:b/>
          <w:sz w:val="24"/>
        </w:rPr>
      </w:pPr>
      <w:r w:rsidRPr="006313D2">
        <w:rPr>
          <w:b/>
          <w:sz w:val="24"/>
        </w:rPr>
        <w:tab/>
        <w:t>A.</w:t>
      </w:r>
      <w:r w:rsidRPr="006313D2">
        <w:rPr>
          <w:b/>
          <w:sz w:val="24"/>
        </w:rPr>
        <w:tab/>
        <w:t>Introducción</w:t>
      </w:r>
    </w:p>
    <w:p w14:paraId="69C38A2B" w14:textId="0060A9A5" w:rsidR="006313D2" w:rsidRPr="006313D2" w:rsidRDefault="006313D2" w:rsidP="006313D2">
      <w:pPr>
        <w:pStyle w:val="SingleTxtG"/>
      </w:pPr>
      <w:r w:rsidRPr="006313D2">
        <w:t>2.</w:t>
      </w:r>
      <w:r w:rsidRPr="006313D2">
        <w:tab/>
        <w:t xml:space="preserve">El Comité acoge con </w:t>
      </w:r>
      <w:r w:rsidRPr="006313D2">
        <w:rPr>
          <w:lang w:val="es-ES_tradnl" w:eastAsia="en-US"/>
        </w:rPr>
        <w:t>satisfacción</w:t>
      </w:r>
      <w:r w:rsidRPr="006313D2">
        <w:t xml:space="preserve"> la presentación del tercer informe periódico del Estado parte, </w:t>
      </w:r>
      <w:r w:rsidRPr="006313D2">
        <w:rPr>
          <w:lang w:val="es-ES_tradnl" w:eastAsia="en-US"/>
        </w:rPr>
        <w:t xml:space="preserve">pero lamenta que haya sido presentado </w:t>
      </w:r>
      <w:r w:rsidR="00DE7E13">
        <w:rPr>
          <w:lang w:val="es-ES_tradnl" w:eastAsia="en-US"/>
        </w:rPr>
        <w:t>de</w:t>
      </w:r>
      <w:r w:rsidR="00DE7E13" w:rsidRPr="006313D2">
        <w:rPr>
          <w:lang w:val="es-ES_tradnl" w:eastAsia="en-US"/>
        </w:rPr>
        <w:t xml:space="preserve"> </w:t>
      </w:r>
      <w:r w:rsidRPr="006313D2">
        <w:rPr>
          <w:lang w:val="es-ES_tradnl" w:eastAsia="en-US"/>
        </w:rPr>
        <w:t>forma tardía y s</w:t>
      </w:r>
      <w:r w:rsidR="007C74E0">
        <w:rPr>
          <w:lang w:val="es-ES_tradnl" w:eastAsia="en-US"/>
        </w:rPr>
        <w:t>o</w:t>
      </w:r>
      <w:r w:rsidRPr="006313D2">
        <w:rPr>
          <w:lang w:val="es-ES_tradnl" w:eastAsia="en-US"/>
        </w:rPr>
        <w:t xml:space="preserve">lo se atenga parcialmente a las </w:t>
      </w:r>
      <w:r w:rsidRPr="00AF695F">
        <w:rPr>
          <w:lang w:val="es-ES_tradnl" w:eastAsia="en-US"/>
        </w:rPr>
        <w:t>directrices</w:t>
      </w:r>
      <w:r w:rsidRPr="006313D2">
        <w:rPr>
          <w:lang w:val="es-ES_tradnl" w:eastAsia="en-US"/>
        </w:rPr>
        <w:t xml:space="preserve"> </w:t>
      </w:r>
      <w:r w:rsidRPr="006313D2">
        <w:t xml:space="preserve">relativas a la redacción de </w:t>
      </w:r>
      <w:r w:rsidRPr="006313D2">
        <w:rPr>
          <w:lang w:val="es-ES_tradnl" w:eastAsia="en-US"/>
        </w:rPr>
        <w:t>informes periódicos</w:t>
      </w:r>
      <w:r w:rsidR="007C74E0">
        <w:rPr>
          <w:rStyle w:val="FootnoteReference"/>
          <w:lang w:val="es-ES_tradnl" w:eastAsia="en-US"/>
        </w:rPr>
        <w:footnoteReference w:id="4"/>
      </w:r>
      <w:r w:rsidR="00CA7495">
        <w:fldChar w:fldCharType="begin"/>
      </w:r>
      <w:r w:rsidR="00CA7495">
        <w:instrText xml:space="preserve"> HYPERLINK "http://undocs.org/es/CAT/C/14/Rev.1" </w:instrText>
      </w:r>
      <w:r w:rsidR="00CA7495">
        <w:fldChar w:fldCharType="separate"/>
      </w:r>
      <w:r w:rsidR="00CA7495" w:rsidRPr="00CA7495">
        <w:rPr>
          <w:rStyle w:val="Hyperlink"/>
        </w:rPr>
        <w:t>http://</w:t>
      </w:r>
      <w:proofErr w:type="spellStart"/>
      <w:r w:rsidR="00CA7495" w:rsidRPr="00CA7495">
        <w:rPr>
          <w:rStyle w:val="Hyperlink"/>
        </w:rPr>
        <w:t>undocs.org</w:t>
      </w:r>
      <w:proofErr w:type="spellEnd"/>
      <w:r w:rsidR="00CA7495" w:rsidRPr="00CA7495">
        <w:rPr>
          <w:rStyle w:val="Hyperlink"/>
        </w:rPr>
        <w:t>/es/CAT/C/14/</w:t>
      </w:r>
      <w:proofErr w:type="spellStart"/>
      <w:r w:rsidR="00CA7495" w:rsidRPr="00CA7495">
        <w:rPr>
          <w:rStyle w:val="Hyperlink"/>
        </w:rPr>
        <w:t>Rev.1</w:t>
      </w:r>
      <w:proofErr w:type="spellEnd"/>
      <w:r w:rsidR="00CA7495">
        <w:fldChar w:fldCharType="end"/>
      </w:r>
      <w:r w:rsidRPr="006313D2">
        <w:rPr>
          <w:lang w:val="es-ES_tradnl" w:eastAsia="en-US"/>
        </w:rPr>
        <w:t>. E</w:t>
      </w:r>
      <w:r w:rsidRPr="006313D2">
        <w:t>l Comité valora las respuestas presentadas por escrito</w:t>
      </w:r>
      <w:r w:rsidR="007C74E0">
        <w:rPr>
          <w:rStyle w:val="FootnoteReference"/>
        </w:rPr>
        <w:footnoteReference w:id="5"/>
      </w:r>
      <w:r w:rsidR="00CA7495">
        <w:fldChar w:fldCharType="begin"/>
      </w:r>
      <w:r w:rsidR="00CA7495">
        <w:instrText xml:space="preserve"> HYPERLINK "http://undocs.org/es/CAT/C/BOL/RQ/3" </w:instrText>
      </w:r>
      <w:r w:rsidR="00CA7495">
        <w:fldChar w:fldCharType="separate"/>
      </w:r>
      <w:r w:rsidR="00CA7495" w:rsidRPr="00CA7495">
        <w:rPr>
          <w:rStyle w:val="Hyperlink"/>
        </w:rPr>
        <w:t>http://</w:t>
      </w:r>
      <w:proofErr w:type="spellStart"/>
      <w:r w:rsidR="00CA7495" w:rsidRPr="00CA7495">
        <w:rPr>
          <w:rStyle w:val="Hyperlink"/>
        </w:rPr>
        <w:t>undocs.org</w:t>
      </w:r>
      <w:proofErr w:type="spellEnd"/>
      <w:r w:rsidR="00CA7495" w:rsidRPr="00CA7495">
        <w:rPr>
          <w:rStyle w:val="Hyperlink"/>
        </w:rPr>
        <w:t>/es/CAT/C/BOL/</w:t>
      </w:r>
      <w:proofErr w:type="spellStart"/>
      <w:r w:rsidR="00CA7495" w:rsidRPr="00CA7495">
        <w:rPr>
          <w:rStyle w:val="Hyperlink"/>
        </w:rPr>
        <w:t>RQ</w:t>
      </w:r>
      <w:proofErr w:type="spellEnd"/>
      <w:r w:rsidR="00CA7495" w:rsidRPr="00CA7495">
        <w:rPr>
          <w:rStyle w:val="Hyperlink"/>
        </w:rPr>
        <w:t>/3</w:t>
      </w:r>
      <w:r w:rsidR="00CA7495">
        <w:fldChar w:fldCharType="end"/>
      </w:r>
      <w:r w:rsidRPr="006313D2">
        <w:t xml:space="preserve"> a la lista de cuestiones</w:t>
      </w:r>
      <w:r w:rsidR="007C74E0">
        <w:rPr>
          <w:rStyle w:val="FootnoteReference"/>
        </w:rPr>
        <w:footnoteReference w:id="6"/>
      </w:r>
      <w:r w:rsidR="00CA7495">
        <w:fldChar w:fldCharType="begin"/>
      </w:r>
      <w:r w:rsidR="00CA7495">
        <w:instrText xml:space="preserve"> HYPERLINK "http://undocs.org/es/CAT/C/BOL/Q/3" </w:instrText>
      </w:r>
      <w:r w:rsidR="00CA7495">
        <w:fldChar w:fldCharType="separate"/>
      </w:r>
      <w:r w:rsidR="00CA7495" w:rsidRPr="00CA7495">
        <w:rPr>
          <w:rStyle w:val="Hyperlink"/>
        </w:rPr>
        <w:t>http://</w:t>
      </w:r>
      <w:proofErr w:type="spellStart"/>
      <w:r w:rsidR="00CA7495" w:rsidRPr="00CA7495">
        <w:rPr>
          <w:rStyle w:val="Hyperlink"/>
        </w:rPr>
        <w:t>undocs.org</w:t>
      </w:r>
      <w:proofErr w:type="spellEnd"/>
      <w:r w:rsidR="00CA7495" w:rsidRPr="00CA7495">
        <w:rPr>
          <w:rStyle w:val="Hyperlink"/>
        </w:rPr>
        <w:t>/es/CAT/C/BOL/Q/3</w:t>
      </w:r>
      <w:r w:rsidR="00CA7495">
        <w:fldChar w:fldCharType="end"/>
      </w:r>
      <w:r w:rsidRPr="006313D2">
        <w:t xml:space="preserve">, así como </w:t>
      </w:r>
      <w:r w:rsidRPr="006313D2">
        <w:rPr>
          <w:lang w:val="es-ES_tradnl" w:eastAsia="en-US"/>
        </w:rPr>
        <w:t>la información complementaria proporcionada durante el examen</w:t>
      </w:r>
      <w:r w:rsidRPr="006313D2" w:rsidDel="00393534">
        <w:rPr>
          <w:sz w:val="18"/>
          <w:vertAlign w:val="superscript"/>
        </w:rPr>
        <w:t xml:space="preserve"> </w:t>
      </w:r>
      <w:r w:rsidRPr="006313D2">
        <w:t>del informe periódico.</w:t>
      </w:r>
    </w:p>
    <w:p w14:paraId="0D9886B7" w14:textId="0F857C0F" w:rsidR="006313D2" w:rsidRPr="006313D2" w:rsidRDefault="006313D2" w:rsidP="006313D2">
      <w:pPr>
        <w:tabs>
          <w:tab w:val="left" w:pos="1701"/>
          <w:tab w:val="left" w:pos="2268"/>
          <w:tab w:val="left" w:pos="2835"/>
        </w:tabs>
        <w:spacing w:after="120"/>
        <w:ind w:left="1134" w:right="1134"/>
        <w:jc w:val="both"/>
        <w:rPr>
          <w:lang w:val="es-ES_tradnl" w:eastAsia="en-US"/>
        </w:rPr>
      </w:pPr>
      <w:r w:rsidRPr="006313D2">
        <w:t>3.</w:t>
      </w:r>
      <w:r w:rsidRPr="006313D2">
        <w:tab/>
        <w:t xml:space="preserve">El Comité agradece haber tenido la </w:t>
      </w:r>
      <w:r w:rsidRPr="00BB75F2">
        <w:t>oportunidad de entablar un diálogo, en formato híbrido, con la delegación del Estado</w:t>
      </w:r>
      <w:r w:rsidRPr="006313D2">
        <w:t xml:space="preserve"> parte, </w:t>
      </w:r>
      <w:r w:rsidRPr="006313D2">
        <w:rPr>
          <w:lang w:val="es-ES_tradnl" w:eastAsia="en-US"/>
        </w:rPr>
        <w:t>aunque lamenta que algunas de las preguntas formuladas quedaran sin responder.</w:t>
      </w:r>
    </w:p>
    <w:p w14:paraId="2F74CDF5" w14:textId="77777777" w:rsidR="006313D2" w:rsidRPr="006313D2" w:rsidRDefault="006313D2" w:rsidP="006313D2">
      <w:pPr>
        <w:keepNext/>
        <w:keepLines/>
        <w:tabs>
          <w:tab w:val="right" w:pos="851"/>
        </w:tabs>
        <w:suppressAutoHyphens/>
        <w:spacing w:before="360" w:after="240" w:line="270" w:lineRule="exact"/>
        <w:ind w:left="1134" w:right="1134" w:hanging="1134"/>
        <w:outlineLvl w:val="2"/>
        <w:rPr>
          <w:b/>
          <w:sz w:val="24"/>
        </w:rPr>
      </w:pPr>
      <w:r w:rsidRPr="006313D2">
        <w:rPr>
          <w:b/>
          <w:sz w:val="24"/>
        </w:rPr>
        <w:tab/>
        <w:t>B.</w:t>
      </w:r>
      <w:r w:rsidRPr="006313D2">
        <w:rPr>
          <w:b/>
          <w:sz w:val="24"/>
        </w:rPr>
        <w:tab/>
        <w:t>Aspectos positivos</w:t>
      </w:r>
      <w:r w:rsidRPr="006313D2">
        <w:rPr>
          <w:rFonts w:ascii="Segoe UI" w:hAnsi="Segoe UI" w:cs="Segoe UI"/>
          <w:b/>
          <w:color w:val="444444"/>
        </w:rPr>
        <w:t xml:space="preserve"> </w:t>
      </w:r>
    </w:p>
    <w:p w14:paraId="2F0E01AD" w14:textId="77777777" w:rsidR="006313D2" w:rsidRPr="006313D2" w:rsidRDefault="006313D2" w:rsidP="006313D2">
      <w:pPr>
        <w:pStyle w:val="SingleTxtG"/>
      </w:pPr>
      <w:r w:rsidRPr="006313D2">
        <w:t>4.</w:t>
      </w:r>
      <w:r w:rsidRPr="006313D2">
        <w:tab/>
        <w:t>El Comité celebra que el Estado parte ha ratificado el Segundo Protocolo Facultativo del Pacto Internacional de Derechos Civiles y Políticos, destinado a abolir la pena de muerte, el 12 de julio de 2013.</w:t>
      </w:r>
    </w:p>
    <w:p w14:paraId="4763233D" w14:textId="0EF5072C" w:rsidR="006313D2" w:rsidRPr="006313D2" w:rsidRDefault="006313D2" w:rsidP="006313D2">
      <w:pPr>
        <w:pStyle w:val="SingleTxtG"/>
      </w:pPr>
      <w:r w:rsidRPr="006313D2">
        <w:t>5.</w:t>
      </w:r>
      <w:r w:rsidRPr="006313D2">
        <w:tab/>
        <w:t xml:space="preserve">El Comité acoge con beneplácito las iniciativas del Estado para revisar su legislación en </w:t>
      </w:r>
      <w:r w:rsidR="00B202B1">
        <w:t>esferas pertinentes para</w:t>
      </w:r>
      <w:r w:rsidRPr="006313D2">
        <w:t xml:space="preserve"> la Convención, en particular:</w:t>
      </w:r>
    </w:p>
    <w:p w14:paraId="414BA963" w14:textId="60EC0E61" w:rsidR="006313D2" w:rsidRPr="006313D2" w:rsidRDefault="006313D2" w:rsidP="006313D2">
      <w:pPr>
        <w:pStyle w:val="SingleTxtG"/>
        <w:rPr>
          <w:rFonts w:eastAsia="Calibri"/>
          <w:u w:color="000000"/>
          <w:bdr w:val="nil"/>
          <w:lang w:eastAsia="en-GB"/>
        </w:rPr>
      </w:pPr>
      <w:r w:rsidRPr="006313D2">
        <w:tab/>
        <w:t>a)</w:t>
      </w:r>
      <w:r w:rsidRPr="006313D2">
        <w:tab/>
        <w:t xml:space="preserve">La promulgación de la Ley núm. </w:t>
      </w:r>
      <w:r w:rsidRPr="006313D2">
        <w:rPr>
          <w:rFonts w:eastAsia="Calibri"/>
          <w:u w:color="000000"/>
          <w:bdr w:val="nil"/>
          <w:lang w:val="es-ES_tradnl" w:eastAsia="en-GB"/>
        </w:rPr>
        <w:t xml:space="preserve">1397, de 29 de septiembre de 2021, </w:t>
      </w:r>
      <w:r w:rsidR="00141CE2">
        <w:rPr>
          <w:rFonts w:eastAsia="Calibri"/>
          <w:u w:color="000000"/>
          <w:bdr w:val="nil"/>
          <w:lang w:val="es-ES_tradnl" w:eastAsia="en-GB"/>
        </w:rPr>
        <w:t>por</w:t>
      </w:r>
      <w:r w:rsidR="00141CE2" w:rsidRPr="006313D2">
        <w:rPr>
          <w:rFonts w:eastAsia="Calibri"/>
          <w:u w:color="000000"/>
          <w:bdr w:val="nil"/>
          <w:lang w:val="es-ES_tradnl" w:eastAsia="en-GB"/>
        </w:rPr>
        <w:t xml:space="preserve"> </w:t>
      </w:r>
      <w:r w:rsidRPr="006313D2">
        <w:rPr>
          <w:rFonts w:eastAsia="Calibri"/>
          <w:u w:color="000000"/>
          <w:bdr w:val="nil"/>
          <w:lang w:val="es-ES_tradnl" w:eastAsia="en-GB"/>
        </w:rPr>
        <w:t xml:space="preserve">la </w:t>
      </w:r>
      <w:r w:rsidR="00141CE2">
        <w:rPr>
          <w:rFonts w:eastAsia="Calibri"/>
          <w:u w:color="000000"/>
          <w:bdr w:val="nil"/>
          <w:lang w:val="es-ES_tradnl" w:eastAsia="en-GB"/>
        </w:rPr>
        <w:t>que</w:t>
      </w:r>
      <w:r w:rsidR="00141CE2" w:rsidRPr="006313D2">
        <w:rPr>
          <w:rFonts w:eastAsia="Calibri"/>
          <w:u w:color="000000"/>
          <w:bdr w:val="nil"/>
          <w:lang w:val="es-ES_tradnl" w:eastAsia="en-GB"/>
        </w:rPr>
        <w:t xml:space="preserve"> </w:t>
      </w:r>
      <w:r w:rsidRPr="006313D2">
        <w:t xml:space="preserve">se </w:t>
      </w:r>
      <w:r w:rsidRPr="006313D2">
        <w:rPr>
          <w:rFonts w:eastAsia="Malgun Gothic"/>
          <w:lang w:eastAsia="en-US"/>
        </w:rPr>
        <w:t xml:space="preserve">designa a la Defensoría del Pueblo como </w:t>
      </w:r>
      <w:r w:rsidR="00170855">
        <w:rPr>
          <w:rFonts w:eastAsia="Malgun Gothic"/>
          <w:lang w:eastAsia="en-US"/>
        </w:rPr>
        <w:t>m</w:t>
      </w:r>
      <w:r w:rsidRPr="006313D2">
        <w:rPr>
          <w:rFonts w:eastAsia="Malgun Gothic"/>
          <w:lang w:eastAsia="en-US"/>
        </w:rPr>
        <w:t xml:space="preserve">ecanismo </w:t>
      </w:r>
      <w:r w:rsidR="00170855">
        <w:rPr>
          <w:rFonts w:eastAsia="Malgun Gothic"/>
          <w:lang w:eastAsia="en-US"/>
        </w:rPr>
        <w:t>n</w:t>
      </w:r>
      <w:r w:rsidRPr="006313D2">
        <w:rPr>
          <w:rFonts w:eastAsia="Malgun Gothic"/>
          <w:lang w:eastAsia="en-US"/>
        </w:rPr>
        <w:t xml:space="preserve">acional de </w:t>
      </w:r>
      <w:r w:rsidR="00170855">
        <w:rPr>
          <w:rFonts w:eastAsia="Malgun Gothic"/>
          <w:lang w:eastAsia="en-US"/>
        </w:rPr>
        <w:t>p</w:t>
      </w:r>
      <w:r w:rsidRPr="006313D2">
        <w:rPr>
          <w:rFonts w:eastAsia="Malgun Gothic"/>
          <w:lang w:eastAsia="en-US"/>
        </w:rPr>
        <w:t xml:space="preserve">revención </w:t>
      </w:r>
      <w:r w:rsidR="00E35A41">
        <w:rPr>
          <w:rFonts w:eastAsia="Malgun Gothic"/>
          <w:lang w:eastAsia="en-US"/>
        </w:rPr>
        <w:t>del Estado Plurinacional de Bolivia</w:t>
      </w:r>
      <w:r w:rsidRPr="006313D2">
        <w:rPr>
          <w:rFonts w:eastAsia="Calibri"/>
          <w:u w:color="000000"/>
          <w:bdr w:val="nil"/>
          <w:lang w:eastAsia="en-GB"/>
        </w:rPr>
        <w:t>;</w:t>
      </w:r>
    </w:p>
    <w:p w14:paraId="0EAE06B8" w14:textId="5886CD3C" w:rsidR="006313D2" w:rsidRPr="006313D2" w:rsidRDefault="006313D2" w:rsidP="006313D2">
      <w:pPr>
        <w:pStyle w:val="SingleTxtG"/>
        <w:rPr>
          <w:rFonts w:eastAsia="Calibri"/>
          <w:u w:color="000000"/>
          <w:bdr w:val="nil"/>
          <w:lang w:eastAsia="en-GB"/>
        </w:rPr>
      </w:pPr>
      <w:r w:rsidRPr="006313D2">
        <w:rPr>
          <w:rFonts w:eastAsia="Calibri"/>
          <w:u w:color="000000"/>
          <w:bdr w:val="nil"/>
          <w:lang w:eastAsia="en-GB"/>
        </w:rPr>
        <w:lastRenderedPageBreak/>
        <w:tab/>
        <w:t>b)</w:t>
      </w:r>
      <w:r w:rsidRPr="006313D2">
        <w:rPr>
          <w:rFonts w:eastAsia="Calibri"/>
          <w:u w:color="000000"/>
          <w:bdr w:val="nil"/>
          <w:lang w:eastAsia="en-GB"/>
        </w:rPr>
        <w:tab/>
      </w:r>
      <w:r w:rsidRPr="006313D2">
        <w:t xml:space="preserve">La promulgación de la </w:t>
      </w:r>
      <w:r w:rsidRPr="006313D2">
        <w:rPr>
          <w:bCs/>
          <w:color w:val="111111"/>
          <w:shd w:val="clear" w:color="auto" w:fill="FFFFFF"/>
          <w:lang w:val="es-419"/>
        </w:rPr>
        <w:t xml:space="preserve">Ley </w:t>
      </w:r>
      <w:r w:rsidRPr="006313D2">
        <w:t>núm.</w:t>
      </w:r>
      <w:r w:rsidRPr="006313D2">
        <w:rPr>
          <w:bCs/>
          <w:color w:val="111111"/>
          <w:shd w:val="clear" w:color="auto" w:fill="FFFFFF"/>
          <w:lang w:val="es-419"/>
        </w:rPr>
        <w:t xml:space="preserve"> 1173 de </w:t>
      </w:r>
      <w:r w:rsidRPr="004313DA">
        <w:rPr>
          <w:bCs/>
          <w:color w:val="111111"/>
          <w:shd w:val="clear" w:color="auto" w:fill="FFFFFF"/>
          <w:lang w:val="es-419"/>
        </w:rPr>
        <w:t>Abreviación Procesal Penal y de Fortalecimiento de la Lucha Integral Contra la Violencia a Niñas, Niños, Adolescentes</w:t>
      </w:r>
      <w:r w:rsidRPr="006313D2">
        <w:rPr>
          <w:bCs/>
          <w:color w:val="111111"/>
          <w:shd w:val="clear" w:color="auto" w:fill="FFFFFF"/>
          <w:lang w:val="es-419"/>
        </w:rPr>
        <w:t xml:space="preserve"> y Mujeres, de 3 de mayo </w:t>
      </w:r>
      <w:r w:rsidRPr="002951F3">
        <w:rPr>
          <w:bCs/>
          <w:color w:val="111111"/>
          <w:shd w:val="clear" w:color="auto" w:fill="FFFFFF"/>
          <w:lang w:val="es-419"/>
        </w:rPr>
        <w:t>de 2019</w:t>
      </w:r>
      <w:r w:rsidR="00235C2B" w:rsidRPr="002951F3">
        <w:rPr>
          <w:bCs/>
          <w:color w:val="111111"/>
          <w:shd w:val="clear" w:color="auto" w:fill="FFFFFF"/>
          <w:lang w:val="es-419"/>
        </w:rPr>
        <w:t xml:space="preserve">, </w:t>
      </w:r>
      <w:r w:rsidR="002C6600" w:rsidRPr="002951F3">
        <w:rPr>
          <w:lang w:val="es-419"/>
        </w:rPr>
        <w:t>dirigida a limitar</w:t>
      </w:r>
      <w:r w:rsidR="00626364" w:rsidRPr="002951F3">
        <w:rPr>
          <w:lang w:val="es-419"/>
        </w:rPr>
        <w:t xml:space="preserve"> </w:t>
      </w:r>
      <w:r w:rsidR="002C6600" w:rsidRPr="002951F3">
        <w:rPr>
          <w:lang w:val="es-419"/>
        </w:rPr>
        <w:t xml:space="preserve">el </w:t>
      </w:r>
      <w:r w:rsidR="00626364" w:rsidRPr="002951F3">
        <w:rPr>
          <w:lang w:val="es-419"/>
        </w:rPr>
        <w:t xml:space="preserve">uso </w:t>
      </w:r>
      <w:r w:rsidR="00235C2B" w:rsidRPr="002951F3">
        <w:rPr>
          <w:lang w:val="es-419"/>
        </w:rPr>
        <w:t>de la detención preventiva</w:t>
      </w:r>
      <w:r w:rsidRPr="002951F3">
        <w:rPr>
          <w:bCs/>
          <w:color w:val="111111"/>
          <w:shd w:val="clear" w:color="auto" w:fill="FFFFFF"/>
          <w:lang w:val="es-419"/>
        </w:rPr>
        <w:t>;</w:t>
      </w:r>
    </w:p>
    <w:p w14:paraId="45448CD2" w14:textId="77777777" w:rsidR="006313D2" w:rsidRPr="006313D2" w:rsidRDefault="006313D2" w:rsidP="006313D2">
      <w:pPr>
        <w:pStyle w:val="SingleTxtG"/>
      </w:pPr>
      <w:r w:rsidRPr="006313D2">
        <w:tab/>
        <w:t xml:space="preserve">c) </w:t>
      </w:r>
      <w:r w:rsidRPr="006313D2">
        <w:tab/>
        <w:t>La promulgación de la Ley núm. 458 de Protección de Denunciantes y Testigos, de 19 de diciembre de 2013;</w:t>
      </w:r>
    </w:p>
    <w:p w14:paraId="71DB352B" w14:textId="25596AD5" w:rsidR="006313D2" w:rsidRPr="006313D2" w:rsidRDefault="006313D2" w:rsidP="006313D2">
      <w:pPr>
        <w:pStyle w:val="SingleTxtG"/>
      </w:pPr>
      <w:r w:rsidRPr="006313D2">
        <w:tab/>
        <w:t>d)</w:t>
      </w:r>
      <w:r w:rsidRPr="006313D2">
        <w:tab/>
        <w:t>La promulgación de la Ley núm. 463, de 19 de diciembre de 2013,</w:t>
      </w:r>
      <w:r w:rsidR="001D649E">
        <w:t xml:space="preserve"> por la</w:t>
      </w:r>
      <w:r w:rsidRPr="006313D2">
        <w:t xml:space="preserve"> que </w:t>
      </w:r>
      <w:r w:rsidR="001D649E">
        <w:t xml:space="preserve">se </w:t>
      </w:r>
      <w:r w:rsidRPr="006313D2">
        <w:t>crea el Servicio Plurinacional de Defensa Pública;</w:t>
      </w:r>
    </w:p>
    <w:p w14:paraId="0193AD82" w14:textId="467C62B2" w:rsidR="006313D2" w:rsidRPr="006313D2" w:rsidRDefault="006313D2" w:rsidP="006313D2">
      <w:pPr>
        <w:pStyle w:val="SingleTxtG"/>
        <w:rPr>
          <w:rFonts w:ascii="Libre Baskerville" w:eastAsia="Libre Baskerville" w:hAnsi="Libre Baskerville" w:cs="Libre Baskerville"/>
          <w:color w:val="000000"/>
        </w:rPr>
      </w:pPr>
      <w:r w:rsidRPr="006313D2">
        <w:tab/>
        <w:t xml:space="preserve">e) </w:t>
      </w:r>
      <w:r w:rsidRPr="006313D2">
        <w:tab/>
      </w:r>
      <w:r w:rsidRPr="006313D2">
        <w:rPr>
          <w:lang w:val="es-ES_tradnl"/>
        </w:rPr>
        <w:t xml:space="preserve">La </w:t>
      </w:r>
      <w:r w:rsidRPr="006313D2">
        <w:t>promulgación del Decreto Presidencial núm. 4571, de 2</w:t>
      </w:r>
      <w:r w:rsidR="00D27BD6">
        <w:t>8</w:t>
      </w:r>
      <w:r w:rsidRPr="006313D2">
        <w:t xml:space="preserve"> de octubre de</w:t>
      </w:r>
      <w:r w:rsidR="002D4E7C">
        <w:t> </w:t>
      </w:r>
      <w:r w:rsidRPr="006313D2">
        <w:t>2021</w:t>
      </w:r>
      <w:r w:rsidR="00CB4228">
        <w:t>,</w:t>
      </w:r>
      <w:r w:rsidRPr="006313D2">
        <w:t xml:space="preserve"> </w:t>
      </w:r>
      <w:r w:rsidR="00CB4228">
        <w:t xml:space="preserve">por el </w:t>
      </w:r>
      <w:r w:rsidRPr="006313D2">
        <w:t xml:space="preserve">que </w:t>
      </w:r>
      <w:r w:rsidR="00CB4228">
        <w:t xml:space="preserve">se </w:t>
      </w:r>
      <w:r w:rsidRPr="006313D2">
        <w:t xml:space="preserve">abroga el </w:t>
      </w:r>
      <w:r w:rsidRPr="006313D2">
        <w:rPr>
          <w:shd w:val="clear" w:color="auto" w:fill="FFFFFF"/>
        </w:rPr>
        <w:t>Decreto</w:t>
      </w:r>
      <w:r w:rsidR="00F63ECF">
        <w:rPr>
          <w:shd w:val="clear" w:color="auto" w:fill="FFFFFF"/>
        </w:rPr>
        <w:t xml:space="preserve"> Presidencial</w:t>
      </w:r>
      <w:r w:rsidRPr="006313D2">
        <w:rPr>
          <w:shd w:val="clear" w:color="auto" w:fill="FFFFFF"/>
        </w:rPr>
        <w:t xml:space="preserve"> núm. 4461, </w:t>
      </w:r>
      <w:r w:rsidRPr="006313D2">
        <w:rPr>
          <w:lang w:val="es-ES_tradnl"/>
        </w:rPr>
        <w:t>de 18 febrero de 2021,</w:t>
      </w:r>
      <w:r w:rsidRPr="006313D2">
        <w:rPr>
          <w:b/>
          <w:lang w:val="es-ES_tradnl"/>
        </w:rPr>
        <w:t xml:space="preserve"> </w:t>
      </w:r>
      <w:r w:rsidRPr="006313D2">
        <w:rPr>
          <w:lang w:val="es-ES_tradnl"/>
        </w:rPr>
        <w:t>que incluía el otorgamiento de amnistía genérica o indulto a personas procesadas penalmente por delitos relacionados con la crisis de 2019-2020;</w:t>
      </w:r>
      <w:r w:rsidRPr="006313D2">
        <w:rPr>
          <w:rFonts w:ascii="Libre Baskerville" w:eastAsia="Libre Baskerville" w:hAnsi="Libre Baskerville" w:cs="Libre Baskerville"/>
          <w:color w:val="000000"/>
        </w:rPr>
        <w:t xml:space="preserve"> </w:t>
      </w:r>
    </w:p>
    <w:p w14:paraId="19740382" w14:textId="1DDEE382" w:rsidR="006313D2" w:rsidRPr="006313D2" w:rsidRDefault="006313D2" w:rsidP="006313D2">
      <w:pPr>
        <w:pStyle w:val="SingleTxtG"/>
        <w:rPr>
          <w:rFonts w:ascii="Libre Baskerville" w:eastAsia="Libre Baskerville" w:hAnsi="Libre Baskerville" w:cs="Libre Baskerville"/>
        </w:rPr>
      </w:pPr>
      <w:r w:rsidRPr="006313D2">
        <w:rPr>
          <w:rFonts w:ascii="Libre Baskerville" w:eastAsia="Libre Baskerville" w:hAnsi="Libre Baskerville" w:cs="Libre Baskerville"/>
          <w:color w:val="000000"/>
        </w:rPr>
        <w:tab/>
        <w:t>f)</w:t>
      </w:r>
      <w:r w:rsidRPr="006313D2">
        <w:rPr>
          <w:rFonts w:ascii="Libre Baskerville" w:eastAsia="Libre Baskerville" w:hAnsi="Libre Baskerville" w:cs="Libre Baskerville"/>
          <w:color w:val="000000"/>
        </w:rPr>
        <w:tab/>
      </w:r>
      <w:r w:rsidRPr="006313D2">
        <w:rPr>
          <w:lang w:val="es-ES_tradnl"/>
        </w:rPr>
        <w:t xml:space="preserve">La </w:t>
      </w:r>
      <w:r w:rsidRPr="006313D2">
        <w:t>promulgación del Decreto Supremo núm. 4087, de 28 de noviembre de</w:t>
      </w:r>
      <w:r w:rsidR="002D4E7C">
        <w:t> </w:t>
      </w:r>
      <w:r w:rsidRPr="006313D2">
        <w:t xml:space="preserve">2019, </w:t>
      </w:r>
      <w:r w:rsidR="00F63ECF">
        <w:t xml:space="preserve">por el </w:t>
      </w:r>
      <w:r w:rsidRPr="006313D2">
        <w:t xml:space="preserve">que </w:t>
      </w:r>
      <w:r w:rsidR="00F63ECF">
        <w:t xml:space="preserve">se </w:t>
      </w:r>
      <w:r w:rsidRPr="006313D2">
        <w:t xml:space="preserve">abroga el </w:t>
      </w:r>
      <w:r w:rsidRPr="006313D2">
        <w:rPr>
          <w:shd w:val="clear" w:color="auto" w:fill="FFFFFF"/>
        </w:rPr>
        <w:t xml:space="preserve">Decreto Supremo núm. 4078, </w:t>
      </w:r>
      <w:r w:rsidRPr="006313D2">
        <w:rPr>
          <w:lang w:val="es-ES_tradnl"/>
        </w:rPr>
        <w:t>de 14 noviembre de 2019,</w:t>
      </w:r>
      <w:r w:rsidRPr="006313D2">
        <w:rPr>
          <w:b/>
          <w:lang w:val="es-ES_tradnl"/>
        </w:rPr>
        <w:t xml:space="preserve"> </w:t>
      </w:r>
      <w:r w:rsidR="006F1223">
        <w:t>por el que se otorgaba</w:t>
      </w:r>
      <w:r w:rsidR="006F1223" w:rsidRPr="006313D2">
        <w:t xml:space="preserve"> </w:t>
      </w:r>
      <w:r w:rsidRPr="006313D2">
        <w:t>facultades discrecionales a las Fuerzas Armadas para restablecer el orden interno, eximiéndoles de responsabilidad penal</w:t>
      </w:r>
      <w:r w:rsidRPr="006313D2">
        <w:rPr>
          <w:lang w:val="es-ES_tradnl"/>
        </w:rPr>
        <w:t xml:space="preserve">; </w:t>
      </w:r>
    </w:p>
    <w:p w14:paraId="12B75D4F" w14:textId="43B94C5C" w:rsidR="006313D2" w:rsidRPr="006313D2" w:rsidRDefault="006313D2" w:rsidP="006313D2">
      <w:pPr>
        <w:pStyle w:val="SingleTxtG"/>
      </w:pPr>
      <w:r w:rsidRPr="006313D2">
        <w:rPr>
          <w:lang w:val="es-ES_tradnl"/>
        </w:rPr>
        <w:tab/>
        <w:t xml:space="preserve">g) </w:t>
      </w:r>
      <w:r w:rsidRPr="006313D2">
        <w:rPr>
          <w:lang w:val="es-ES_tradnl"/>
        </w:rPr>
        <w:tab/>
      </w:r>
      <w:r w:rsidRPr="006313D2">
        <w:t xml:space="preserve">La </w:t>
      </w:r>
      <w:r w:rsidR="00CD23CC">
        <w:t>aproba</w:t>
      </w:r>
      <w:r w:rsidRPr="006313D2">
        <w:t xml:space="preserve">ción del </w:t>
      </w:r>
      <w:r w:rsidR="00E73A25">
        <w:t>m</w:t>
      </w:r>
      <w:r w:rsidRPr="006313D2">
        <w:t xml:space="preserve">anual de </w:t>
      </w:r>
      <w:r w:rsidR="00E73A25">
        <w:t>o</w:t>
      </w:r>
      <w:r w:rsidRPr="006313D2">
        <w:t xml:space="preserve">rganización y </w:t>
      </w:r>
      <w:r w:rsidR="00E73A25">
        <w:t>f</w:t>
      </w:r>
      <w:r w:rsidRPr="006313D2">
        <w:t xml:space="preserve">unciones de la Dirección Nacional de Seguridad Penitenciaria y Dirección de Establecimientos Penitenciarios, mediante </w:t>
      </w:r>
      <w:r w:rsidR="006F1223">
        <w:t xml:space="preserve">la </w:t>
      </w:r>
      <w:r w:rsidRPr="006313D2">
        <w:t>Resolución Administrativa núm. 242/15</w:t>
      </w:r>
      <w:r w:rsidR="006F1223">
        <w:t>,</w:t>
      </w:r>
      <w:r w:rsidRPr="006313D2">
        <w:t xml:space="preserve"> de 14 de julio de 2015;</w:t>
      </w:r>
    </w:p>
    <w:p w14:paraId="1F835ED4" w14:textId="6382E1ED" w:rsidR="006313D2" w:rsidRPr="006313D2" w:rsidRDefault="006313D2" w:rsidP="006313D2">
      <w:pPr>
        <w:pStyle w:val="SingleTxtG"/>
      </w:pPr>
      <w:r w:rsidRPr="006313D2">
        <w:tab/>
        <w:t xml:space="preserve">h) </w:t>
      </w:r>
      <w:r w:rsidRPr="006313D2">
        <w:tab/>
      </w:r>
      <w:r w:rsidRPr="006313D2">
        <w:rPr>
          <w:lang w:eastAsia="es-BO"/>
        </w:rPr>
        <w:t xml:space="preserve">La aprobación del </w:t>
      </w:r>
      <w:r w:rsidRPr="006313D2">
        <w:rPr>
          <w:lang w:val="es-BO" w:eastAsia="es-BO"/>
        </w:rPr>
        <w:t xml:space="preserve">Protocolo de Prevención y Atención de Denuncias por </w:t>
      </w:r>
      <w:r w:rsidR="00C92CD1">
        <w:rPr>
          <w:lang w:val="es-BO" w:eastAsia="es-BO"/>
        </w:rPr>
        <w:t>C</w:t>
      </w:r>
      <w:r w:rsidRPr="006313D2">
        <w:rPr>
          <w:lang w:val="es-BO" w:eastAsia="es-BO"/>
        </w:rPr>
        <w:t xml:space="preserve">asos de </w:t>
      </w:r>
      <w:r w:rsidR="00C92CD1">
        <w:rPr>
          <w:lang w:val="es-BO" w:eastAsia="es-BO"/>
        </w:rPr>
        <w:t>V</w:t>
      </w:r>
      <w:r w:rsidRPr="006313D2">
        <w:rPr>
          <w:lang w:val="es-BO" w:eastAsia="es-BO"/>
        </w:rPr>
        <w:t xml:space="preserve">iolencia </w:t>
      </w:r>
      <w:r w:rsidR="00C92CD1">
        <w:rPr>
          <w:lang w:val="es-BO" w:eastAsia="es-BO"/>
        </w:rPr>
        <w:t>F</w:t>
      </w:r>
      <w:r w:rsidRPr="006313D2">
        <w:rPr>
          <w:lang w:val="es-BO" w:eastAsia="es-BO"/>
        </w:rPr>
        <w:t xml:space="preserve">ísica, </w:t>
      </w:r>
      <w:r w:rsidR="00C92CD1">
        <w:rPr>
          <w:lang w:val="es-BO" w:eastAsia="es-BO"/>
        </w:rPr>
        <w:t>P</w:t>
      </w:r>
      <w:r w:rsidRPr="006313D2">
        <w:rPr>
          <w:lang w:val="es-BO" w:eastAsia="es-BO"/>
        </w:rPr>
        <w:t xml:space="preserve">sicológica y </w:t>
      </w:r>
      <w:r w:rsidR="00C92CD1">
        <w:rPr>
          <w:lang w:val="es-BO" w:eastAsia="es-BO"/>
        </w:rPr>
        <w:t>S</w:t>
      </w:r>
      <w:r w:rsidRPr="006313D2">
        <w:rPr>
          <w:lang w:val="es-BO" w:eastAsia="es-BO"/>
        </w:rPr>
        <w:t xml:space="preserve">exual en las </w:t>
      </w:r>
      <w:r w:rsidR="00C92CD1">
        <w:rPr>
          <w:lang w:val="es-BO" w:eastAsia="es-BO"/>
        </w:rPr>
        <w:t>U</w:t>
      </w:r>
      <w:r w:rsidRPr="006313D2">
        <w:rPr>
          <w:lang w:val="es-BO" w:eastAsia="es-BO"/>
        </w:rPr>
        <w:t xml:space="preserve">nidades </w:t>
      </w:r>
      <w:r w:rsidR="00C92CD1">
        <w:rPr>
          <w:lang w:val="es-BO" w:eastAsia="es-BO"/>
        </w:rPr>
        <w:t>E</w:t>
      </w:r>
      <w:r w:rsidRPr="006313D2">
        <w:rPr>
          <w:lang w:val="es-BO" w:eastAsia="es-BO"/>
        </w:rPr>
        <w:t>ducativas, mediante</w:t>
      </w:r>
      <w:r w:rsidR="00C92CD1">
        <w:rPr>
          <w:lang w:val="es-BO" w:eastAsia="es-BO"/>
        </w:rPr>
        <w:t xml:space="preserve"> la</w:t>
      </w:r>
      <w:r w:rsidRPr="006313D2">
        <w:rPr>
          <w:lang w:val="es-BO" w:eastAsia="es-BO"/>
        </w:rPr>
        <w:t xml:space="preserve"> </w:t>
      </w:r>
      <w:r w:rsidRPr="006313D2">
        <w:t>Resolución Ministerial 2412/2017, de 20 de julio de 2017;</w:t>
      </w:r>
    </w:p>
    <w:p w14:paraId="0DD9B2EA" w14:textId="1494A1F2" w:rsidR="006313D2" w:rsidRPr="006313D2" w:rsidRDefault="006313D2" w:rsidP="006313D2">
      <w:pPr>
        <w:pStyle w:val="SingleTxtG"/>
      </w:pPr>
      <w:r w:rsidRPr="006313D2">
        <w:tab/>
        <w:t xml:space="preserve">i) </w:t>
      </w:r>
      <w:r w:rsidRPr="006313D2">
        <w:tab/>
        <w:t>La emisión del Instructivo MG</w:t>
      </w:r>
      <w:r w:rsidR="00CB6FBD">
        <w:t>-</w:t>
      </w:r>
      <w:r w:rsidRPr="006313D2">
        <w:t>DGRP</w:t>
      </w:r>
      <w:r w:rsidR="000A651F">
        <w:t>,</w:t>
      </w:r>
      <w:r w:rsidRPr="006313D2">
        <w:t xml:space="preserve"> núm. 025/2017, de 20 de septiembre de 2017, a través del cual se ordena a </w:t>
      </w:r>
      <w:r w:rsidRPr="00016BD6">
        <w:t>l</w:t>
      </w:r>
      <w:r w:rsidR="00CD23CC" w:rsidRPr="00016BD6">
        <w:t>o</w:t>
      </w:r>
      <w:r w:rsidRPr="00016BD6">
        <w:t xml:space="preserve">s </w:t>
      </w:r>
      <w:r w:rsidR="00247E16">
        <w:t>d</w:t>
      </w:r>
      <w:r w:rsidRPr="00016BD6">
        <w:t xml:space="preserve">irectores </w:t>
      </w:r>
      <w:r w:rsidR="007D5CDD">
        <w:t>d</w:t>
      </w:r>
      <w:r w:rsidRPr="00016BD6">
        <w:t xml:space="preserve">epartamentales de </w:t>
      </w:r>
      <w:r w:rsidR="007D5CDD">
        <w:t>r</w:t>
      </w:r>
      <w:r w:rsidRPr="00016BD6">
        <w:t xml:space="preserve">égimen </w:t>
      </w:r>
      <w:r w:rsidR="007D5CDD">
        <w:t>p</w:t>
      </w:r>
      <w:r w:rsidRPr="00016BD6">
        <w:t xml:space="preserve">enitenciario y </w:t>
      </w:r>
      <w:r w:rsidR="007D5CDD">
        <w:t>los d</w:t>
      </w:r>
      <w:r w:rsidRPr="00016BD6">
        <w:t>irectores de</w:t>
      </w:r>
      <w:r w:rsidRPr="006313D2">
        <w:t xml:space="preserve"> los </w:t>
      </w:r>
      <w:r w:rsidR="007D5CDD">
        <w:t>r</w:t>
      </w:r>
      <w:r w:rsidRPr="006313D2">
        <w:t xml:space="preserve">ecintos </w:t>
      </w:r>
      <w:r w:rsidR="007D5CDD">
        <w:t>p</w:t>
      </w:r>
      <w:r w:rsidRPr="006313D2">
        <w:t>enitenciarios la prohibición absoluta de toda conducta activa u omisiva que implique tortura y/o malos tratos;</w:t>
      </w:r>
    </w:p>
    <w:p w14:paraId="73B16633" w14:textId="3E8F42F1" w:rsidR="006313D2" w:rsidRPr="006313D2" w:rsidRDefault="006313D2" w:rsidP="006313D2">
      <w:pPr>
        <w:pStyle w:val="SingleTxtG"/>
      </w:pPr>
      <w:r w:rsidRPr="006313D2">
        <w:tab/>
        <w:t>j)</w:t>
      </w:r>
      <w:r w:rsidRPr="006313D2">
        <w:tab/>
        <w:t>La emisión del Instructivo MG</w:t>
      </w:r>
      <w:r w:rsidR="00CB6FBD">
        <w:t>-</w:t>
      </w:r>
      <w:r w:rsidRPr="006313D2">
        <w:t>DGRP</w:t>
      </w:r>
      <w:r w:rsidR="000A651F">
        <w:t>,</w:t>
      </w:r>
      <w:r w:rsidRPr="006313D2">
        <w:t xml:space="preserve"> núm. 026/2017, a través del cual se ordena a los </w:t>
      </w:r>
      <w:r w:rsidR="007D5CDD">
        <w:t>d</w:t>
      </w:r>
      <w:r w:rsidRPr="006313D2">
        <w:t xml:space="preserve">irectores </w:t>
      </w:r>
      <w:r w:rsidR="007D5CDD">
        <w:t>d</w:t>
      </w:r>
      <w:r w:rsidRPr="006313D2">
        <w:t xml:space="preserve">epartamentales de </w:t>
      </w:r>
      <w:r w:rsidR="00447A66">
        <w:t>r</w:t>
      </w:r>
      <w:r w:rsidRPr="006313D2">
        <w:t xml:space="preserve">égimen </w:t>
      </w:r>
      <w:r w:rsidR="00447A66">
        <w:t>p</w:t>
      </w:r>
      <w:r w:rsidRPr="006313D2">
        <w:t xml:space="preserve">enitenciario y </w:t>
      </w:r>
      <w:r w:rsidR="007D5CDD">
        <w:t>los d</w:t>
      </w:r>
      <w:r w:rsidRPr="006313D2">
        <w:t xml:space="preserve">irectores de los </w:t>
      </w:r>
      <w:r w:rsidR="007D5CDD">
        <w:t>e</w:t>
      </w:r>
      <w:r w:rsidRPr="006313D2">
        <w:t xml:space="preserve">stablecimientos </w:t>
      </w:r>
      <w:r w:rsidR="007D5CDD">
        <w:t>p</w:t>
      </w:r>
      <w:r w:rsidRPr="006313D2">
        <w:t xml:space="preserve">enitenciarios proceder de forma inmediata al cierre de las celdas denominadas de castigo, </w:t>
      </w:r>
      <w:proofErr w:type="spellStart"/>
      <w:r w:rsidRPr="006313D2">
        <w:t>loreras</w:t>
      </w:r>
      <w:proofErr w:type="spellEnd"/>
      <w:r w:rsidRPr="006313D2">
        <w:t>, botes, calabozos y otros;</w:t>
      </w:r>
    </w:p>
    <w:p w14:paraId="77AABB02" w14:textId="716AC0FE" w:rsidR="006313D2" w:rsidRPr="006313D2" w:rsidRDefault="006313D2" w:rsidP="006313D2">
      <w:pPr>
        <w:pStyle w:val="SingleTxtG"/>
        <w:rPr>
          <w:lang w:val="es-BO" w:eastAsia="es-BO"/>
        </w:rPr>
      </w:pPr>
      <w:r w:rsidRPr="006313D2">
        <w:tab/>
        <w:t>k)</w:t>
      </w:r>
      <w:r w:rsidRPr="006313D2">
        <w:tab/>
        <w:t xml:space="preserve">La emisión del </w:t>
      </w:r>
      <w:r w:rsidRPr="006313D2">
        <w:rPr>
          <w:rFonts w:cs="Calibri"/>
          <w:lang w:val="es-BO" w:eastAsia="es-BO"/>
        </w:rPr>
        <w:t>Instructivo FGE/RJGP</w:t>
      </w:r>
      <w:r w:rsidR="000A651F">
        <w:rPr>
          <w:rFonts w:cs="Calibri"/>
          <w:lang w:val="es-BO" w:eastAsia="es-BO"/>
        </w:rPr>
        <w:t>, núm. </w:t>
      </w:r>
      <w:r w:rsidRPr="006313D2">
        <w:rPr>
          <w:rFonts w:cs="Calibri"/>
          <w:lang w:val="es-BO" w:eastAsia="es-BO"/>
        </w:rPr>
        <w:t xml:space="preserve">176/2017, </w:t>
      </w:r>
      <w:r w:rsidRPr="006313D2">
        <w:rPr>
          <w:rFonts w:eastAsia="Calibri"/>
          <w:bCs/>
          <w:lang w:val="es-BO" w:eastAsia="es-BO"/>
        </w:rPr>
        <w:t>de 16 de octubre de</w:t>
      </w:r>
      <w:r w:rsidR="002D4E7C">
        <w:rPr>
          <w:rFonts w:eastAsia="Calibri"/>
          <w:bCs/>
          <w:lang w:val="es-BO" w:eastAsia="es-BO"/>
        </w:rPr>
        <w:t> </w:t>
      </w:r>
      <w:r w:rsidRPr="006313D2">
        <w:rPr>
          <w:rFonts w:eastAsia="Calibri"/>
          <w:bCs/>
          <w:lang w:val="es-BO" w:eastAsia="es-BO"/>
        </w:rPr>
        <w:t xml:space="preserve">2017, que </w:t>
      </w:r>
      <w:r w:rsidRPr="006313D2">
        <w:rPr>
          <w:lang w:val="es-BO" w:eastAsia="es-BO"/>
        </w:rPr>
        <w:t xml:space="preserve">determina la implementación de las recomendaciones del </w:t>
      </w:r>
      <w:r w:rsidRPr="006313D2">
        <w:t>Subcomité para la Prevención de la Tortura</w:t>
      </w:r>
      <w:r w:rsidRPr="006313D2">
        <w:rPr>
          <w:lang w:val="es-BO" w:eastAsia="es-BO"/>
        </w:rPr>
        <w:t xml:space="preserve"> </w:t>
      </w:r>
      <w:r w:rsidR="002634B4">
        <w:rPr>
          <w:lang w:val="es-BO" w:eastAsia="es-BO"/>
        </w:rPr>
        <w:t xml:space="preserve">y Otros Tratos o Penas Crueles, Inhumanos o Degradantes </w:t>
      </w:r>
      <w:r w:rsidRPr="006313D2">
        <w:rPr>
          <w:lang w:val="es-BO" w:eastAsia="es-BO"/>
        </w:rPr>
        <w:t xml:space="preserve">y elaboró una </w:t>
      </w:r>
      <w:r w:rsidRPr="007E2207">
        <w:rPr>
          <w:lang w:val="es-BO" w:eastAsia="es-BO"/>
        </w:rPr>
        <w:t xml:space="preserve">Guía para la Aplicación del </w:t>
      </w:r>
      <w:r w:rsidR="002634B4">
        <w:rPr>
          <w:lang w:val="es-BO" w:eastAsia="es-BO"/>
        </w:rPr>
        <w:t>Manual para la investigación y documentación eficaces de la tortura y otros tratos o penas crueles, inhumanos o degradantes (</w:t>
      </w:r>
      <w:r w:rsidRPr="007E2207">
        <w:rPr>
          <w:lang w:val="es-BO" w:eastAsia="es-BO"/>
        </w:rPr>
        <w:t>Protocolo de Estambul</w:t>
      </w:r>
      <w:r w:rsidR="002634B4">
        <w:rPr>
          <w:lang w:val="es-BO" w:eastAsia="es-BO"/>
        </w:rPr>
        <w:t>)</w:t>
      </w:r>
      <w:r w:rsidRPr="007E2207">
        <w:rPr>
          <w:lang w:val="es-BO" w:eastAsia="es-BO"/>
        </w:rPr>
        <w:t>.</w:t>
      </w:r>
    </w:p>
    <w:p w14:paraId="6BD5235A" w14:textId="77777777" w:rsidR="006313D2" w:rsidRPr="006313D2" w:rsidRDefault="006313D2" w:rsidP="006313D2">
      <w:pPr>
        <w:pStyle w:val="SingleTxtG"/>
        <w:rPr>
          <w:rFonts w:eastAsia="Calibri"/>
          <w:u w:color="000000"/>
          <w:bdr w:val="nil"/>
          <w:lang w:val="es-ES_tradnl" w:eastAsia="en-GB"/>
        </w:rPr>
      </w:pPr>
      <w:r w:rsidRPr="006313D2">
        <w:rPr>
          <w:rFonts w:eastAsia="Calibri"/>
          <w:u w:color="000000"/>
          <w:bdr w:val="nil"/>
          <w:lang w:val="es-ES_tradnl" w:eastAsia="en-GB"/>
        </w:rPr>
        <w:t>6.</w:t>
      </w:r>
      <w:r w:rsidRPr="006313D2">
        <w:rPr>
          <w:rFonts w:eastAsia="Calibri"/>
          <w:u w:color="000000"/>
          <w:bdr w:val="nil"/>
          <w:lang w:val="es-ES_tradnl" w:eastAsia="en-GB"/>
        </w:rPr>
        <w:tab/>
        <w:t>El Comité celebra las iniciativas emprendidas por el Estado parte para modificar sus políticas y procedimientos a fin de reforzar la protección de los derechos humanos y aplicar las disposiciones de la Convención, en particular:</w:t>
      </w:r>
    </w:p>
    <w:p w14:paraId="6ABA15A0" w14:textId="44750846" w:rsidR="006313D2" w:rsidRPr="006313D2" w:rsidRDefault="006313D2" w:rsidP="006313D2">
      <w:pPr>
        <w:tabs>
          <w:tab w:val="left" w:pos="1701"/>
          <w:tab w:val="left" w:pos="2268"/>
          <w:tab w:val="left" w:pos="2835"/>
        </w:tabs>
        <w:spacing w:after="120"/>
        <w:ind w:left="1134" w:right="1134"/>
        <w:jc w:val="both"/>
      </w:pPr>
      <w:r w:rsidRPr="006313D2">
        <w:rPr>
          <w:rFonts w:eastAsia="Calibri"/>
          <w:u w:color="000000"/>
          <w:bdr w:val="nil"/>
          <w:lang w:eastAsia="en-GB"/>
        </w:rPr>
        <w:tab/>
        <w:t>a)</w:t>
      </w:r>
      <w:r w:rsidRPr="006313D2">
        <w:rPr>
          <w:rFonts w:eastAsia="Calibri"/>
          <w:u w:color="000000"/>
          <w:bdr w:val="nil"/>
          <w:lang w:eastAsia="en-GB"/>
        </w:rPr>
        <w:tab/>
      </w:r>
      <w:r w:rsidRPr="006313D2">
        <w:t>La autorización de la publicación del informe</w:t>
      </w:r>
      <w:r w:rsidR="003A6C8A">
        <w:rPr>
          <w:rStyle w:val="FootnoteReference"/>
        </w:rPr>
        <w:footnoteReference w:id="7"/>
      </w:r>
      <w:r w:rsidRPr="006313D2">
        <w:t xml:space="preserve"> sobre la visita realizada por el Subcomité para la Prevención de la Tortura </w:t>
      </w:r>
      <w:r w:rsidRPr="006313D2">
        <w:rPr>
          <w:lang w:val="es-ES_tradnl"/>
        </w:rPr>
        <w:t>a</w:t>
      </w:r>
      <w:r w:rsidR="003A6C8A">
        <w:rPr>
          <w:lang w:val="es-ES_tradnl"/>
        </w:rPr>
        <w:t>l Estado Plurinacional de</w:t>
      </w:r>
      <w:r w:rsidRPr="006313D2">
        <w:rPr>
          <w:lang w:val="es-ES_tradnl"/>
        </w:rPr>
        <w:t xml:space="preserve"> Bolivia en 2017 </w:t>
      </w:r>
      <w:r w:rsidR="00CA7495">
        <w:fldChar w:fldCharType="begin"/>
      </w:r>
      <w:r w:rsidR="00CA7495">
        <w:instrText xml:space="preserve"> HYPERLINK "http://undocs.org/es/CAT/C/OP/BOL/3" </w:instrText>
      </w:r>
      <w:r w:rsidR="00CA7495">
        <w:fldChar w:fldCharType="separate"/>
      </w:r>
      <w:r w:rsidR="00CA7495" w:rsidRPr="00CA7495">
        <w:rPr>
          <w:rStyle w:val="Hyperlink"/>
        </w:rPr>
        <w:t>http://</w:t>
      </w:r>
      <w:proofErr w:type="spellStart"/>
      <w:r w:rsidR="00CA7495" w:rsidRPr="00CA7495">
        <w:rPr>
          <w:rStyle w:val="Hyperlink"/>
        </w:rPr>
        <w:t>undocs.org</w:t>
      </w:r>
      <w:proofErr w:type="spellEnd"/>
      <w:r w:rsidR="00CA7495" w:rsidRPr="00CA7495">
        <w:rPr>
          <w:rStyle w:val="Hyperlink"/>
        </w:rPr>
        <w:t>/es/CAT/C/</w:t>
      </w:r>
      <w:proofErr w:type="spellStart"/>
      <w:r w:rsidR="00CA7495" w:rsidRPr="00CA7495">
        <w:rPr>
          <w:rStyle w:val="Hyperlink"/>
        </w:rPr>
        <w:t>OP</w:t>
      </w:r>
      <w:proofErr w:type="spellEnd"/>
      <w:r w:rsidR="00CA7495" w:rsidRPr="00CA7495">
        <w:rPr>
          <w:rStyle w:val="Hyperlink"/>
        </w:rPr>
        <w:t>/BOL/3</w:t>
      </w:r>
      <w:r w:rsidR="00CA7495">
        <w:fldChar w:fldCharType="end"/>
      </w:r>
      <w:r w:rsidRPr="006313D2">
        <w:rPr>
          <w:lang w:val="es-ES_tradnl"/>
        </w:rPr>
        <w:t>, así como de la respuesta</w:t>
      </w:r>
      <w:r w:rsidR="003A6C8A">
        <w:rPr>
          <w:rStyle w:val="FootnoteReference"/>
          <w:lang w:val="es-ES_tradnl"/>
        </w:rPr>
        <w:footnoteReference w:id="8"/>
      </w:r>
      <w:r w:rsidRPr="006313D2">
        <w:rPr>
          <w:lang w:val="es-ES_tradnl"/>
        </w:rPr>
        <w:t xml:space="preserve"> del Estado parte</w:t>
      </w:r>
      <w:r w:rsidR="00CA7495">
        <w:fldChar w:fldCharType="begin"/>
      </w:r>
      <w:r w:rsidR="00CA7495">
        <w:instrText xml:space="preserve"> HYPERLINK "http://undocs.org/es/CAT/C/BOL/3/Add.1" </w:instrText>
      </w:r>
      <w:r w:rsidR="00CA7495">
        <w:fldChar w:fldCharType="separate"/>
      </w:r>
      <w:r w:rsidR="00CA7495" w:rsidRPr="00CA7495">
        <w:rPr>
          <w:rStyle w:val="Hyperlink"/>
        </w:rPr>
        <w:t>http://</w:t>
      </w:r>
      <w:proofErr w:type="spellStart"/>
      <w:r w:rsidR="00CA7495" w:rsidRPr="00CA7495">
        <w:rPr>
          <w:rStyle w:val="Hyperlink"/>
        </w:rPr>
        <w:t>undocs.org</w:t>
      </w:r>
      <w:proofErr w:type="spellEnd"/>
      <w:r w:rsidR="00CA7495" w:rsidRPr="00CA7495">
        <w:rPr>
          <w:rStyle w:val="Hyperlink"/>
        </w:rPr>
        <w:t>/es/CAT/C/BOL/3/</w:t>
      </w:r>
      <w:proofErr w:type="spellStart"/>
      <w:r w:rsidR="00CA7495" w:rsidRPr="00CA7495">
        <w:rPr>
          <w:rStyle w:val="Hyperlink"/>
        </w:rPr>
        <w:t>Add.1</w:t>
      </w:r>
      <w:proofErr w:type="spellEnd"/>
      <w:r w:rsidR="00CA7495">
        <w:fldChar w:fldCharType="end"/>
      </w:r>
      <w:r w:rsidRPr="006313D2">
        <w:rPr>
          <w:lang w:val="es-ES_tradnl"/>
        </w:rPr>
        <w:t>, de 24 de julio de 2018, a las recomendaciones planteadas por el Subcomité</w:t>
      </w:r>
      <w:r w:rsidRPr="006313D2">
        <w:t>;</w:t>
      </w:r>
    </w:p>
    <w:p w14:paraId="7FDC848C" w14:textId="70BC7873" w:rsidR="006313D2" w:rsidRPr="006313D2" w:rsidRDefault="006313D2" w:rsidP="006313D2">
      <w:pPr>
        <w:tabs>
          <w:tab w:val="left" w:pos="1701"/>
          <w:tab w:val="left" w:pos="2268"/>
          <w:tab w:val="left" w:pos="2835"/>
        </w:tabs>
        <w:spacing w:after="120"/>
        <w:ind w:left="1134" w:right="1134"/>
        <w:jc w:val="both"/>
      </w:pPr>
      <w:r w:rsidRPr="006313D2">
        <w:tab/>
        <w:t>b)</w:t>
      </w:r>
      <w:r w:rsidRPr="006313D2">
        <w:tab/>
        <w:t>La creación de la Comisión de la Verdad, mediante</w:t>
      </w:r>
      <w:r w:rsidR="0005483A">
        <w:t xml:space="preserve"> la</w:t>
      </w:r>
      <w:r w:rsidRPr="006313D2">
        <w:t xml:space="preserve"> Ley núm. 879, de 23 de diciembre de 2016, con el objeto de esclarecer las violaciones graves de derechos humanos, incluida la tortura, ocurridas entre el 4 de noviembre de 1964 y el 10 de octubre 1982. Esta norma también dispone la desc</w:t>
      </w:r>
      <w:r w:rsidR="00AF695F">
        <w:t>l</w:t>
      </w:r>
      <w:r w:rsidRPr="006313D2">
        <w:t>a</w:t>
      </w:r>
      <w:r w:rsidR="00AF695F">
        <w:t>s</w:t>
      </w:r>
      <w:r w:rsidRPr="006313D2">
        <w:t>ificación de archivos militares correspondientes a dicho per</w:t>
      </w:r>
      <w:r w:rsidR="0005483A">
        <w:t>í</w:t>
      </w:r>
      <w:r w:rsidRPr="006313D2">
        <w:t>odo;</w:t>
      </w:r>
    </w:p>
    <w:p w14:paraId="49D5DE81" w14:textId="77777777" w:rsidR="006313D2" w:rsidRPr="006313D2" w:rsidRDefault="006313D2" w:rsidP="006313D2">
      <w:pPr>
        <w:tabs>
          <w:tab w:val="left" w:pos="1701"/>
          <w:tab w:val="left" w:pos="2268"/>
          <w:tab w:val="left" w:pos="2835"/>
        </w:tabs>
        <w:spacing w:after="120"/>
        <w:ind w:left="1134" w:right="1134"/>
        <w:jc w:val="both"/>
      </w:pPr>
      <w:r w:rsidRPr="006313D2">
        <w:lastRenderedPageBreak/>
        <w:tab/>
        <w:t>c)</w:t>
      </w:r>
      <w:r w:rsidRPr="006313D2">
        <w:tab/>
        <w:t xml:space="preserve">La presentación, </w:t>
      </w:r>
      <w:r w:rsidRPr="006313D2">
        <w:rPr>
          <w:bCs/>
        </w:rPr>
        <w:t xml:space="preserve">a la conclusión de las funciones de la </w:t>
      </w:r>
      <w:r w:rsidRPr="006313D2">
        <w:t>Comisión de la Verdad</w:t>
      </w:r>
      <w:r w:rsidRPr="006313D2">
        <w:rPr>
          <w:bCs/>
        </w:rPr>
        <w:t xml:space="preserve"> en diciembre de 2019,</w:t>
      </w:r>
      <w:r w:rsidRPr="006313D2">
        <w:t xml:space="preserve"> de una memoria histórica y un informe final sobre las graves violaciones a los derechos humanos investigadas.</w:t>
      </w:r>
    </w:p>
    <w:p w14:paraId="2CC5C737" w14:textId="77777777" w:rsidR="006313D2" w:rsidRPr="006313D2" w:rsidRDefault="006313D2" w:rsidP="006313D2">
      <w:pPr>
        <w:pStyle w:val="H1G"/>
      </w:pPr>
      <w:r w:rsidRPr="006313D2">
        <w:rPr>
          <w:lang w:val="es-419"/>
        </w:rPr>
        <w:tab/>
      </w:r>
      <w:r w:rsidRPr="006313D2">
        <w:t>C.</w:t>
      </w:r>
      <w:r w:rsidRPr="006313D2">
        <w:tab/>
        <w:t>Principales motivos de preocupación y recomendaciones</w:t>
      </w:r>
    </w:p>
    <w:p w14:paraId="3A786657" w14:textId="0965D94E" w:rsidR="006313D2" w:rsidRPr="006313D2" w:rsidRDefault="006313D2" w:rsidP="006313D2">
      <w:pPr>
        <w:pStyle w:val="H23G"/>
      </w:pPr>
      <w:r w:rsidRPr="006313D2">
        <w:tab/>
      </w:r>
      <w:r w:rsidRPr="006313D2">
        <w:tab/>
        <w:t>Cuestiones de seguimiento pendientes del anterior ciclo de presentación</w:t>
      </w:r>
      <w:r w:rsidR="00C96C38">
        <w:br/>
      </w:r>
      <w:r w:rsidRPr="006313D2">
        <w:t>de informes</w:t>
      </w:r>
    </w:p>
    <w:p w14:paraId="37FAFDE2" w14:textId="0A4F5455" w:rsidR="006313D2" w:rsidRPr="006313D2" w:rsidRDefault="006313D2" w:rsidP="006313D2">
      <w:pPr>
        <w:pStyle w:val="SingleTxtG"/>
        <w:rPr>
          <w:bCs/>
          <w:lang w:val="es-ES_tradnl"/>
        </w:rPr>
      </w:pPr>
      <w:r w:rsidRPr="006313D2">
        <w:t>7.</w:t>
      </w:r>
      <w:r w:rsidRPr="006313D2">
        <w:tab/>
        <w:t>En sus anteriores observaciones finales</w:t>
      </w:r>
      <w:r w:rsidR="00E35A41">
        <w:rPr>
          <w:rStyle w:val="FootnoteReference"/>
        </w:rPr>
        <w:footnoteReference w:id="9"/>
      </w:r>
      <w:r w:rsidR="00CA7495">
        <w:fldChar w:fldCharType="begin"/>
      </w:r>
      <w:r w:rsidR="00CA7495">
        <w:instrText xml:space="preserve"> HYPERLINK "http://undocs.org/es/CAT/C/BOL/CO/2" </w:instrText>
      </w:r>
      <w:r w:rsidR="00CA7495">
        <w:fldChar w:fldCharType="separate"/>
      </w:r>
      <w:r w:rsidR="00CA7495" w:rsidRPr="00CA7495">
        <w:rPr>
          <w:rStyle w:val="Hyperlink"/>
        </w:rPr>
        <w:t>http://</w:t>
      </w:r>
      <w:proofErr w:type="spellStart"/>
      <w:r w:rsidR="00CA7495" w:rsidRPr="00CA7495">
        <w:rPr>
          <w:rStyle w:val="Hyperlink"/>
        </w:rPr>
        <w:t>undocs.org</w:t>
      </w:r>
      <w:proofErr w:type="spellEnd"/>
      <w:r w:rsidR="00CA7495" w:rsidRPr="00CA7495">
        <w:rPr>
          <w:rStyle w:val="Hyperlink"/>
        </w:rPr>
        <w:t>/es/CAT/C/BOL/CO/2</w:t>
      </w:r>
      <w:r w:rsidR="00CA7495">
        <w:fldChar w:fldCharType="end"/>
      </w:r>
      <w:r w:rsidRPr="006313D2">
        <w:t>, el Comité pidió al Estado parte que remitiera información sobre el seguimiento dado a las recomendaciones relativas a: a)</w:t>
      </w:r>
      <w:r w:rsidR="00606D66">
        <w:t> </w:t>
      </w:r>
      <w:r w:rsidR="00880D95">
        <w:t xml:space="preserve">el </w:t>
      </w:r>
      <w:r w:rsidRPr="006313D2">
        <w:t>mantenimiento de registros oficiales de las personas privadas de libertad (párr. 9 b)</w:t>
      </w:r>
      <w:r w:rsidR="008120CE">
        <w:t>)</w:t>
      </w:r>
      <w:r w:rsidRPr="006313D2">
        <w:t>; b)</w:t>
      </w:r>
      <w:r w:rsidR="00606D66">
        <w:t> </w:t>
      </w:r>
      <w:r w:rsidR="00880D95">
        <w:t xml:space="preserve">el </w:t>
      </w:r>
      <w:r w:rsidRPr="006313D2">
        <w:t>enjuiciamiento de presuntos autores de actos de tortura o malos tratos (párr. 11 d)); c)</w:t>
      </w:r>
      <w:r w:rsidR="00606D66">
        <w:t> </w:t>
      </w:r>
      <w:r w:rsidR="00880D95">
        <w:t xml:space="preserve">el </w:t>
      </w:r>
      <w:r w:rsidRPr="006313D2">
        <w:t>acceso a los archivos, tanto civiles como militares, que pudieran contener documentación relevante para la investigación de graves violaciones de derechos humanos cometidas durante los gobiernos militares entre 1964 y 1982 (párr. 13 c)); d)</w:t>
      </w:r>
      <w:r w:rsidR="00E35A41">
        <w:rPr>
          <w:bCs/>
          <w:lang w:val="es-ES_tradnl"/>
        </w:rPr>
        <w:t> </w:t>
      </w:r>
      <w:r w:rsidRPr="006313D2">
        <w:rPr>
          <w:bCs/>
          <w:lang w:val="es-ES_tradnl"/>
        </w:rPr>
        <w:t>medidas para prevenir y dar respuesta apropiada a los casos de abuso sexual infantil en centros educativos (párr. 16</w:t>
      </w:r>
      <w:r w:rsidR="00606D66">
        <w:rPr>
          <w:bCs/>
          <w:lang w:val="es-ES_tradnl"/>
        </w:rPr>
        <w:t> </w:t>
      </w:r>
      <w:r w:rsidRPr="006313D2">
        <w:rPr>
          <w:bCs/>
          <w:lang w:val="es-ES_tradnl"/>
        </w:rPr>
        <w:t xml:space="preserve">a)). Si bien el </w:t>
      </w:r>
      <w:r w:rsidR="00713D4F">
        <w:rPr>
          <w:bCs/>
          <w:lang w:val="es-ES_tradnl"/>
        </w:rPr>
        <w:t>R</w:t>
      </w:r>
      <w:r w:rsidRPr="006313D2">
        <w:rPr>
          <w:bCs/>
          <w:lang w:val="es-ES_tradnl"/>
        </w:rPr>
        <w:t xml:space="preserve">elator para el seguimiento de las observaciones finales remitió al Estado parte un recordatorio el 7 de julio de 2014, el Comité lamenta no haber recibido ninguna respuesta del Estado parte en el marco del procedimiento de seguimiento de las observaciones finales. </w:t>
      </w:r>
      <w:r w:rsidRPr="002951F3">
        <w:t>Habida cuenta de la información incluida en el tercer informe periódico</w:t>
      </w:r>
      <w:r w:rsidR="00626364" w:rsidRPr="002951F3">
        <w:t xml:space="preserve"> </w:t>
      </w:r>
      <w:r w:rsidR="002C6600" w:rsidRPr="002951F3">
        <w:t xml:space="preserve">del Estado parte </w:t>
      </w:r>
      <w:r w:rsidR="00626364" w:rsidRPr="002951F3">
        <w:t>relativa a la aplicación de las anteriores recomendaciones</w:t>
      </w:r>
      <w:r w:rsidRPr="002951F3">
        <w:t>,</w:t>
      </w:r>
      <w:r w:rsidRPr="00243C2D">
        <w:t xml:space="preserve"> el Comité considera que dichas recomendaciones se han aplicado solo parcialmente (véanse los </w:t>
      </w:r>
      <w:proofErr w:type="spellStart"/>
      <w:r w:rsidRPr="00243C2D">
        <w:t>párrs</w:t>
      </w:r>
      <w:proofErr w:type="spellEnd"/>
      <w:r w:rsidRPr="006313D2">
        <w:t xml:space="preserve">. </w:t>
      </w:r>
      <w:r w:rsidR="00713D4F">
        <w:t xml:space="preserve">5 h), 6 b), </w:t>
      </w:r>
      <w:r w:rsidRPr="006313D2">
        <w:t>12</w:t>
      </w:r>
      <w:r w:rsidR="00606D66">
        <w:t> </w:t>
      </w:r>
      <w:r w:rsidRPr="006313D2">
        <w:t>c)</w:t>
      </w:r>
      <w:r w:rsidR="00713D4F">
        <w:t xml:space="preserve"> y</w:t>
      </w:r>
      <w:r w:rsidRPr="006313D2">
        <w:t xml:space="preserve"> 16</w:t>
      </w:r>
      <w:r w:rsidR="007B7922">
        <w:t> </w:t>
      </w:r>
      <w:r w:rsidRPr="006313D2">
        <w:t>b) del presente documento).</w:t>
      </w:r>
    </w:p>
    <w:p w14:paraId="32EA9E9E" w14:textId="77777777" w:rsidR="006313D2" w:rsidRPr="006313D2" w:rsidRDefault="006313D2" w:rsidP="006313D2">
      <w:pPr>
        <w:pStyle w:val="H23G"/>
        <w:rPr>
          <w:rFonts w:eastAsia="Calibri"/>
          <w:u w:color="000000"/>
          <w:bdr w:val="nil"/>
          <w:lang w:val="es-419" w:eastAsia="en-GB"/>
        </w:rPr>
      </w:pPr>
      <w:r>
        <w:rPr>
          <w:rFonts w:eastAsia="Calibri"/>
          <w:u w:color="000000"/>
          <w:bdr w:val="nil"/>
          <w:lang w:val="pt-PT" w:eastAsia="en-GB"/>
        </w:rPr>
        <w:tab/>
      </w:r>
      <w:r>
        <w:rPr>
          <w:rFonts w:eastAsia="Calibri"/>
          <w:u w:color="000000"/>
          <w:bdr w:val="nil"/>
          <w:lang w:val="pt-PT" w:eastAsia="en-GB"/>
        </w:rPr>
        <w:tab/>
      </w:r>
      <w:r w:rsidRPr="006313D2">
        <w:rPr>
          <w:rFonts w:eastAsia="Calibri"/>
          <w:u w:color="000000"/>
          <w:bdr w:val="nil"/>
          <w:lang w:val="pt-PT" w:eastAsia="en-GB"/>
        </w:rPr>
        <w:t>Definici</w:t>
      </w:r>
      <w:proofErr w:type="spellStart"/>
      <w:r w:rsidRPr="006313D2">
        <w:rPr>
          <w:rFonts w:eastAsia="Calibri"/>
          <w:u w:color="000000"/>
          <w:bdr w:val="nil"/>
          <w:lang w:val="es-419" w:eastAsia="en-GB"/>
        </w:rPr>
        <w:t>ón</w:t>
      </w:r>
      <w:proofErr w:type="spellEnd"/>
      <w:r w:rsidRPr="006313D2">
        <w:rPr>
          <w:rFonts w:eastAsia="Calibri"/>
          <w:u w:color="000000"/>
          <w:bdr w:val="nil"/>
          <w:lang w:val="es-419" w:eastAsia="en-GB"/>
        </w:rPr>
        <w:t xml:space="preserve"> y tipificación de la tortura </w:t>
      </w:r>
    </w:p>
    <w:p w14:paraId="6DD3F33B" w14:textId="7E7C4496" w:rsidR="006313D2" w:rsidRPr="006313D2" w:rsidRDefault="006313D2" w:rsidP="006313D2">
      <w:pPr>
        <w:pStyle w:val="SingleTxtG"/>
        <w:rPr>
          <w:lang w:val="es-ES_tradnl" w:eastAsia="en-US"/>
        </w:rPr>
      </w:pPr>
      <w:r w:rsidRPr="006313D2">
        <w:rPr>
          <w:lang w:val="es-ES_tradnl" w:eastAsia="en-US"/>
        </w:rPr>
        <w:t>8.</w:t>
      </w:r>
      <w:r w:rsidRPr="006313D2">
        <w:rPr>
          <w:lang w:val="es-ES_tradnl" w:eastAsia="en-US"/>
        </w:rPr>
        <w:tab/>
        <w:t>El Comité lamenta que todavía no se haya tipificado el delito de tortura tal como se define en el artículo</w:t>
      </w:r>
      <w:r w:rsidR="007070E9">
        <w:rPr>
          <w:lang w:val="es-ES_tradnl" w:eastAsia="en-US"/>
        </w:rPr>
        <w:t> </w:t>
      </w:r>
      <w:r w:rsidRPr="006313D2">
        <w:rPr>
          <w:lang w:val="es-ES_tradnl" w:eastAsia="en-US"/>
        </w:rPr>
        <w:t>1 de la Convención. En particular, el Comité observa que el artículo</w:t>
      </w:r>
      <w:r w:rsidR="007070E9">
        <w:rPr>
          <w:lang w:val="es-ES_tradnl" w:eastAsia="en-US"/>
        </w:rPr>
        <w:t> </w:t>
      </w:r>
      <w:r w:rsidRPr="006313D2">
        <w:rPr>
          <w:lang w:val="es-ES_tradnl" w:eastAsia="en-US"/>
        </w:rPr>
        <w:t xml:space="preserve">295 del Código Penal (vejaciones y torturas) no describe los actos constitutivos de vejaciones, tormentos y torturas ni menciona el propósito de la conducta delictiva. Tampoco se contemplan los actos cometidos por una persona, distinta de un funcionario público, en el ejercicio de sus funciones públicas, a instigación suya o con su consentimiento o aquiescencia. También preocupa al Comité que el Código Penal no establezca sanciones acordes a la gravedad del delito, ya que la pena </w:t>
      </w:r>
      <w:r w:rsidR="00AF695F">
        <w:rPr>
          <w:lang w:val="es-ES_tradnl" w:eastAsia="en-US"/>
        </w:rPr>
        <w:t xml:space="preserve">de prisión establecida </w:t>
      </w:r>
      <w:r w:rsidRPr="006313D2">
        <w:t xml:space="preserve">es </w:t>
      </w:r>
      <w:r w:rsidRPr="006313D2">
        <w:rPr>
          <w:lang w:val="es-ES_tradnl"/>
        </w:rPr>
        <w:t>de seis meses a dos años</w:t>
      </w:r>
      <w:r w:rsidR="00AF695F">
        <w:rPr>
          <w:lang w:val="es-ES_tradnl"/>
        </w:rPr>
        <w:t xml:space="preserve"> para e</w:t>
      </w:r>
      <w:r w:rsidRPr="006313D2">
        <w:rPr>
          <w:lang w:val="es-ES_tradnl"/>
        </w:rPr>
        <w:t>l funcionario que veje</w:t>
      </w:r>
      <w:r w:rsidR="004313DA">
        <w:rPr>
          <w:lang w:val="es-ES_tradnl"/>
        </w:rPr>
        <w:t xml:space="preserve"> o</w:t>
      </w:r>
      <w:r w:rsidRPr="006313D2">
        <w:rPr>
          <w:lang w:val="es-ES_tradnl"/>
        </w:rPr>
        <w:t xml:space="preserve"> permit</w:t>
      </w:r>
      <w:r w:rsidR="00AF695F">
        <w:rPr>
          <w:lang w:val="es-ES_tradnl"/>
        </w:rPr>
        <w:t>a</w:t>
      </w:r>
      <w:r w:rsidR="004313DA">
        <w:rPr>
          <w:lang w:val="es-ES_tradnl"/>
        </w:rPr>
        <w:t xml:space="preserve"> u ordene</w:t>
      </w:r>
      <w:r w:rsidRPr="006313D2">
        <w:rPr>
          <w:lang w:val="es-ES_tradnl"/>
        </w:rPr>
        <w:t xml:space="preserve"> vejar a un detenido</w:t>
      </w:r>
      <w:r w:rsidR="004313DA">
        <w:rPr>
          <w:lang w:val="es-ES_tradnl"/>
        </w:rPr>
        <w:t>;</w:t>
      </w:r>
      <w:r w:rsidRPr="006313D2">
        <w:rPr>
          <w:lang w:val="es-ES_tradnl"/>
        </w:rPr>
        <w:t xml:space="preserve"> entre dos y cuatro años en </w:t>
      </w:r>
      <w:r w:rsidR="004313DA">
        <w:rPr>
          <w:lang w:val="es-ES_tradnl"/>
        </w:rPr>
        <w:t xml:space="preserve">aquellos </w:t>
      </w:r>
      <w:r w:rsidRPr="006313D2">
        <w:rPr>
          <w:lang w:val="es-ES_tradnl"/>
        </w:rPr>
        <w:t>caso</w:t>
      </w:r>
      <w:r w:rsidR="004313DA">
        <w:rPr>
          <w:lang w:val="es-ES_tradnl"/>
        </w:rPr>
        <w:t>s</w:t>
      </w:r>
      <w:r w:rsidRPr="006313D2">
        <w:rPr>
          <w:lang w:val="es-ES_tradnl"/>
        </w:rPr>
        <w:t xml:space="preserve"> </w:t>
      </w:r>
      <w:r w:rsidR="004313DA">
        <w:rPr>
          <w:lang w:val="es-ES_tradnl"/>
        </w:rPr>
        <w:t>en los que se</w:t>
      </w:r>
      <w:r w:rsidRPr="006313D2">
        <w:rPr>
          <w:lang w:val="es-ES_tradnl"/>
        </w:rPr>
        <w:t xml:space="preserve"> infli</w:t>
      </w:r>
      <w:r w:rsidR="004313DA">
        <w:rPr>
          <w:lang w:val="es-ES_tradnl"/>
        </w:rPr>
        <w:t>jan</w:t>
      </w:r>
      <w:r w:rsidRPr="006313D2">
        <w:rPr>
          <w:lang w:val="es-ES_tradnl"/>
        </w:rPr>
        <w:t xml:space="preserve"> tormentos o torturas</w:t>
      </w:r>
      <w:r w:rsidR="004313DA">
        <w:rPr>
          <w:lang w:val="es-ES_tradnl"/>
        </w:rPr>
        <w:t>;</w:t>
      </w:r>
      <w:r w:rsidRPr="006313D2">
        <w:rPr>
          <w:lang w:val="es-ES_tradnl"/>
        </w:rPr>
        <w:t xml:space="preserve"> </w:t>
      </w:r>
      <w:r w:rsidR="004313DA">
        <w:rPr>
          <w:lang w:val="es-ES_tradnl"/>
        </w:rPr>
        <w:t xml:space="preserve">hasta </w:t>
      </w:r>
      <w:r w:rsidRPr="006313D2">
        <w:rPr>
          <w:lang w:val="es-ES_tradnl"/>
        </w:rPr>
        <w:t xml:space="preserve">seis años en caso de lesiones, y </w:t>
      </w:r>
      <w:r w:rsidR="00243C2D">
        <w:rPr>
          <w:lang w:val="es-ES_tradnl"/>
        </w:rPr>
        <w:t xml:space="preserve">hasta </w:t>
      </w:r>
      <w:r w:rsidR="004313DA">
        <w:rPr>
          <w:lang w:val="es-ES_tradnl"/>
        </w:rPr>
        <w:t xml:space="preserve">diez </w:t>
      </w:r>
      <w:r w:rsidR="00243C2D">
        <w:rPr>
          <w:lang w:val="es-ES_tradnl"/>
        </w:rPr>
        <w:t>años</w:t>
      </w:r>
      <w:r w:rsidR="004313DA">
        <w:rPr>
          <w:lang w:val="es-ES_tradnl"/>
        </w:rPr>
        <w:t xml:space="preserve"> </w:t>
      </w:r>
      <w:r w:rsidR="00243C2D">
        <w:rPr>
          <w:lang w:val="es-ES_tradnl"/>
        </w:rPr>
        <w:t xml:space="preserve">en </w:t>
      </w:r>
      <w:r w:rsidR="004313DA">
        <w:rPr>
          <w:lang w:val="es-ES_tradnl"/>
        </w:rPr>
        <w:t>caso de</w:t>
      </w:r>
      <w:r w:rsidRPr="006313D2">
        <w:rPr>
          <w:lang w:val="es-ES_tradnl"/>
        </w:rPr>
        <w:t xml:space="preserve"> muerte</w:t>
      </w:r>
      <w:r w:rsidRPr="006313D2">
        <w:rPr>
          <w:lang w:val="pt-PT"/>
        </w:rPr>
        <w:t>.</w:t>
      </w:r>
      <w:r w:rsidRPr="006313D2">
        <w:rPr>
          <w:lang w:val="es-ES_tradnl" w:eastAsia="en-US"/>
        </w:rPr>
        <w:t xml:space="preserve"> </w:t>
      </w:r>
      <w:r w:rsidRPr="006313D2">
        <w:rPr>
          <w:lang w:val="pt-PT"/>
        </w:rPr>
        <w:t>Lamenta también el Comité</w:t>
      </w:r>
      <w:r w:rsidRPr="006313D2">
        <w:rPr>
          <w:lang w:val="es-ES_tradnl" w:eastAsia="en-US"/>
        </w:rPr>
        <w:t xml:space="preserve"> que se siga aplicando un régimen de prescripción al delito de tortura</w:t>
      </w:r>
      <w:r w:rsidRPr="006313D2">
        <w:rPr>
          <w:rFonts w:eastAsia="Calibri"/>
          <w:lang w:val="es-419" w:eastAsia="en-US"/>
        </w:rPr>
        <w:t xml:space="preserve"> </w:t>
      </w:r>
      <w:r w:rsidRPr="006313D2">
        <w:rPr>
          <w:lang w:val="es-ES_tradnl" w:eastAsia="en-US"/>
        </w:rPr>
        <w:t>(arts. 1 y 4).</w:t>
      </w:r>
    </w:p>
    <w:p w14:paraId="7727047C" w14:textId="0A2F81F4" w:rsidR="006313D2" w:rsidRPr="006313D2" w:rsidRDefault="006313D2" w:rsidP="006313D2">
      <w:pPr>
        <w:pStyle w:val="SingleTxtG"/>
        <w:rPr>
          <w:lang w:eastAsia="en-US"/>
        </w:rPr>
      </w:pPr>
      <w:r w:rsidRPr="006313D2">
        <w:rPr>
          <w:lang w:val="es-ES_tradnl" w:eastAsia="en-US"/>
        </w:rPr>
        <w:t>9.</w:t>
      </w:r>
      <w:r w:rsidRPr="006313D2">
        <w:rPr>
          <w:lang w:val="es-ES_tradnl" w:eastAsia="en-US"/>
        </w:rPr>
        <w:tab/>
      </w:r>
      <w:r w:rsidRPr="006313D2">
        <w:rPr>
          <w:b/>
          <w:lang w:val="es-ES_tradnl" w:eastAsia="en-US"/>
        </w:rPr>
        <w:t>El Comité reitera sus recomendaciones anteriores</w:t>
      </w:r>
      <w:r w:rsidR="007070E9">
        <w:rPr>
          <w:rStyle w:val="FootnoteReference"/>
          <w:b/>
          <w:lang w:val="es-ES_tradnl" w:eastAsia="en-US"/>
        </w:rPr>
        <w:footnoteReference w:id="10"/>
      </w:r>
      <w:r w:rsidRPr="006313D2">
        <w:rPr>
          <w:b/>
          <w:lang w:val="es-ES_tradnl" w:eastAsia="en-US"/>
        </w:rPr>
        <w:t xml:space="preserve"> </w:t>
      </w:r>
      <w:r w:rsidR="00CA7495">
        <w:fldChar w:fldCharType="begin"/>
      </w:r>
      <w:r w:rsidR="00CA7495">
        <w:instrText xml:space="preserve"> HYPERLINK "http://undocs.org/es/CAT/C/BOL/CO/2" </w:instrText>
      </w:r>
      <w:r w:rsidR="00CA7495">
        <w:fldChar w:fldCharType="separate"/>
      </w:r>
      <w:r w:rsidR="00CA7495" w:rsidRPr="00CA7495">
        <w:rPr>
          <w:rStyle w:val="Hyperlink"/>
        </w:rPr>
        <w:t>http://</w:t>
      </w:r>
      <w:proofErr w:type="spellStart"/>
      <w:r w:rsidR="00CA7495" w:rsidRPr="00CA7495">
        <w:rPr>
          <w:rStyle w:val="Hyperlink"/>
        </w:rPr>
        <w:t>undocs.org</w:t>
      </w:r>
      <w:proofErr w:type="spellEnd"/>
      <w:r w:rsidR="00CA7495" w:rsidRPr="00CA7495">
        <w:rPr>
          <w:rStyle w:val="Hyperlink"/>
        </w:rPr>
        <w:t>/es/CAT/C/BOL/CO/2</w:t>
      </w:r>
      <w:r w:rsidR="00CA7495">
        <w:fldChar w:fldCharType="end"/>
      </w:r>
      <w:r w:rsidRPr="006313D2">
        <w:rPr>
          <w:b/>
          <w:lang w:val="es-ES_tradnl" w:eastAsia="en-US"/>
        </w:rPr>
        <w:t xml:space="preserve">e insta al </w:t>
      </w:r>
      <w:r w:rsidRPr="006313D2">
        <w:rPr>
          <w:rFonts w:eastAsia="Calibri"/>
          <w:b/>
          <w:lang w:val="es-419" w:eastAsia="en-US"/>
        </w:rPr>
        <w:t>Estado a modificar</w:t>
      </w:r>
      <w:r w:rsidRPr="006313D2">
        <w:rPr>
          <w:b/>
          <w:lang w:val="es-ES_tradnl" w:eastAsia="en-US"/>
        </w:rPr>
        <w:t xml:space="preserve"> el tipo penal del delito de tortura del artículo 295 del Código Penal para que abarque todos los elementos que figuran en el artículo 1 de la Convención. A este respecto, el Comité señala a la atención del Estado parte su observación general </w:t>
      </w:r>
      <w:r w:rsidR="00514DC2">
        <w:rPr>
          <w:b/>
          <w:lang w:eastAsia="en-US"/>
        </w:rPr>
        <w:t>núm.</w:t>
      </w:r>
      <w:r w:rsidRPr="006313D2">
        <w:rPr>
          <w:b/>
          <w:lang w:eastAsia="en-US"/>
        </w:rPr>
        <w:t xml:space="preserve"> 2 (2007) sobre la aplicación del artículo 2 por los </w:t>
      </w:r>
      <w:proofErr w:type="gramStart"/>
      <w:r w:rsidRPr="006313D2">
        <w:rPr>
          <w:b/>
          <w:lang w:eastAsia="en-US"/>
        </w:rPr>
        <w:t>Estados partes</w:t>
      </w:r>
      <w:proofErr w:type="gramEnd"/>
      <w:r w:rsidRPr="006313D2">
        <w:rPr>
          <w:b/>
          <w:lang w:eastAsia="en-US"/>
        </w:rPr>
        <w:t xml:space="preserve">, en la que se señala que las discrepancias graves entre la definición que figura en la Convención y la reflejada en la legislación nacional abren resquicios reales o potenciales para la </w:t>
      </w:r>
      <w:proofErr w:type="spellStart"/>
      <w:r w:rsidRPr="006313D2">
        <w:rPr>
          <w:b/>
          <w:lang w:eastAsia="en-US"/>
        </w:rPr>
        <w:t>impunidad</w:t>
      </w:r>
      <w:hyperlink r:id="rId14" w:history="1">
        <w:r w:rsidR="00CA7495" w:rsidRPr="00CA7495">
          <w:rPr>
            <w:rStyle w:val="Hyperlink"/>
          </w:rPr>
          <w:t>http</w:t>
        </w:r>
        <w:proofErr w:type="spellEnd"/>
        <w:r w:rsidR="00CA7495" w:rsidRPr="00CA7495">
          <w:rPr>
            <w:rStyle w:val="Hyperlink"/>
          </w:rPr>
          <w:t>://</w:t>
        </w:r>
        <w:proofErr w:type="spellStart"/>
        <w:r w:rsidR="00CA7495" w:rsidRPr="00CA7495">
          <w:rPr>
            <w:rStyle w:val="Hyperlink"/>
          </w:rPr>
          <w:t>undocs.org</w:t>
        </w:r>
        <w:proofErr w:type="spellEnd"/>
        <w:r w:rsidR="00CA7495" w:rsidRPr="00CA7495">
          <w:rPr>
            <w:rStyle w:val="Hyperlink"/>
          </w:rPr>
          <w:t>/es/CAT/C/</w:t>
        </w:r>
        <w:proofErr w:type="spellStart"/>
        <w:r w:rsidR="00CA7495" w:rsidRPr="00CA7495">
          <w:rPr>
            <w:rStyle w:val="Hyperlink"/>
          </w:rPr>
          <w:t>GC</w:t>
        </w:r>
        <w:proofErr w:type="spellEnd"/>
        <w:r w:rsidR="00CA7495" w:rsidRPr="00CA7495">
          <w:rPr>
            <w:rStyle w:val="Hyperlink"/>
          </w:rPr>
          <w:t>/2</w:t>
        </w:r>
      </w:hyperlink>
      <w:r w:rsidRPr="006313D2">
        <w:rPr>
          <w:b/>
          <w:lang w:eastAsia="en-US"/>
        </w:rPr>
        <w:t>. El Estado parte debería también velar por que los delitos de tortura se castiguen con penas adecuadas que tengan en cuenta su gravedad, de conformidad con el artículo</w:t>
      </w:r>
      <w:r w:rsidR="00606D66">
        <w:rPr>
          <w:b/>
          <w:lang w:eastAsia="en-US"/>
        </w:rPr>
        <w:t> </w:t>
      </w:r>
      <w:r w:rsidRPr="006313D2">
        <w:rPr>
          <w:b/>
          <w:lang w:eastAsia="en-US"/>
        </w:rPr>
        <w:t>4, párrafo</w:t>
      </w:r>
      <w:r w:rsidR="00606D66">
        <w:rPr>
          <w:b/>
          <w:lang w:eastAsia="en-US"/>
        </w:rPr>
        <w:t> </w:t>
      </w:r>
      <w:r w:rsidRPr="006313D2">
        <w:rPr>
          <w:b/>
          <w:lang w:eastAsia="en-US"/>
        </w:rPr>
        <w:t>2, de la Convención.</w:t>
      </w:r>
      <w:r w:rsidRPr="006313D2">
        <w:rPr>
          <w:b/>
        </w:rPr>
        <w:t xml:space="preserve"> Por último, </w:t>
      </w:r>
      <w:r w:rsidRPr="006313D2">
        <w:rPr>
          <w:b/>
          <w:lang w:eastAsia="en-US"/>
        </w:rPr>
        <w:t xml:space="preserve">el Comité recomienda que el Estado vele por que el delito de tortura sea imprescriptible, a fin de impedir la impunidad en relación con la investigación de los actos de </w:t>
      </w:r>
      <w:r w:rsidRPr="00AF695F">
        <w:rPr>
          <w:b/>
          <w:lang w:eastAsia="en-US"/>
        </w:rPr>
        <w:t>tortura</w:t>
      </w:r>
      <w:r w:rsidR="008120CE" w:rsidRPr="00AF695F">
        <w:rPr>
          <w:b/>
          <w:lang w:eastAsia="en-US"/>
        </w:rPr>
        <w:t>,</w:t>
      </w:r>
      <w:r w:rsidRPr="006313D2">
        <w:rPr>
          <w:b/>
          <w:lang w:eastAsia="en-US"/>
        </w:rPr>
        <w:t xml:space="preserve"> el enjuiciamiento y castigo de los autores.</w:t>
      </w:r>
    </w:p>
    <w:p w14:paraId="2EE3F22C" w14:textId="77777777" w:rsidR="006313D2" w:rsidRPr="006313D2" w:rsidRDefault="006313D2" w:rsidP="006313D2">
      <w:pPr>
        <w:pStyle w:val="H23G"/>
      </w:pPr>
      <w:r>
        <w:lastRenderedPageBreak/>
        <w:tab/>
      </w:r>
      <w:r>
        <w:tab/>
      </w:r>
      <w:r w:rsidRPr="006313D2">
        <w:t>Jurisdicción militar</w:t>
      </w:r>
    </w:p>
    <w:p w14:paraId="79CE55D3" w14:textId="014D8214" w:rsidR="006313D2" w:rsidRPr="006313D2" w:rsidRDefault="006313D2" w:rsidP="006313D2">
      <w:pPr>
        <w:pStyle w:val="SingleTxtG"/>
        <w:rPr>
          <w:rFonts w:eastAsia="Calibri"/>
          <w:lang w:val="es-419" w:eastAsia="en-US"/>
        </w:rPr>
      </w:pPr>
      <w:r w:rsidRPr="006313D2">
        <w:rPr>
          <w:rFonts w:eastAsia="Calibri"/>
          <w:u w:color="000000"/>
          <w:bdr w:val="nil"/>
          <w:lang w:val="es-ES_tradnl" w:eastAsia="en-GB"/>
        </w:rPr>
        <w:t>10.</w:t>
      </w:r>
      <w:r w:rsidRPr="006313D2">
        <w:rPr>
          <w:rFonts w:eastAsia="Calibri"/>
          <w:u w:color="000000"/>
          <w:bdr w:val="nil"/>
          <w:lang w:val="es-ES_tradnl" w:eastAsia="en-GB"/>
        </w:rPr>
        <w:tab/>
        <w:t>El Comité expresa su preocupación por la informaci</w:t>
      </w:r>
      <w:r w:rsidR="00B1157D">
        <w:rPr>
          <w:rFonts w:eastAsia="Calibri"/>
          <w:u w:color="000000"/>
          <w:bdr w:val="nil"/>
          <w:lang w:val="es-ES_tradnl" w:eastAsia="en-GB"/>
        </w:rPr>
        <w:t>ón</w:t>
      </w:r>
      <w:r w:rsidRPr="006313D2">
        <w:rPr>
          <w:rFonts w:eastAsia="Calibri"/>
          <w:u w:color="000000"/>
          <w:bdr w:val="nil"/>
          <w:lang w:val="es-ES_tradnl" w:eastAsia="en-GB"/>
        </w:rPr>
        <w:t xml:space="preserve"> recibida relativa a casos de tortura y malos tratos en las Fuerzas Armadas, así como la falta de transparencia en la investigación de las denuncias. Al respecto, el Comité observa con preocupación que la Ley Orgánica de las Fuerzas Armadas </w:t>
      </w:r>
      <w:r w:rsidR="00B237AB">
        <w:rPr>
          <w:rFonts w:eastAsia="Calibri"/>
          <w:u w:color="000000"/>
          <w:bdr w:val="nil"/>
          <w:lang w:val="es-ES_tradnl" w:eastAsia="en-GB"/>
        </w:rPr>
        <w:t xml:space="preserve">de la Nación </w:t>
      </w:r>
      <w:r w:rsidRPr="006313D2">
        <w:rPr>
          <w:rFonts w:eastAsia="Calibri"/>
          <w:u w:color="000000"/>
          <w:bdr w:val="nil"/>
          <w:lang w:val="es-ES_tradnl" w:eastAsia="en-GB"/>
        </w:rPr>
        <w:t xml:space="preserve">(Ley núm. 1405 de 30 de diciembre de1992) no </w:t>
      </w:r>
      <w:r w:rsidR="00916275">
        <w:rPr>
          <w:rFonts w:eastAsia="Calibri"/>
          <w:u w:color="000000"/>
          <w:bdr w:val="nil"/>
          <w:lang w:val="es-ES_tradnl" w:eastAsia="en-GB"/>
        </w:rPr>
        <w:t>se</w:t>
      </w:r>
      <w:r w:rsidRPr="006313D2">
        <w:rPr>
          <w:rFonts w:eastAsia="Calibri"/>
          <w:u w:color="000000"/>
          <w:bdr w:val="nil"/>
          <w:lang w:val="es-ES_tradnl" w:eastAsia="en-GB"/>
        </w:rPr>
        <w:t xml:space="preserve"> adec</w:t>
      </w:r>
      <w:r w:rsidR="00916275">
        <w:rPr>
          <w:rFonts w:eastAsia="Calibri"/>
          <w:u w:color="000000"/>
          <w:bdr w:val="nil"/>
          <w:lang w:val="es-ES_tradnl" w:eastAsia="en-GB"/>
        </w:rPr>
        <w:t>úa</w:t>
      </w:r>
      <w:r w:rsidRPr="006313D2">
        <w:rPr>
          <w:rFonts w:eastAsia="Calibri"/>
          <w:u w:color="000000"/>
          <w:bdr w:val="nil"/>
          <w:lang w:val="es-ES_tradnl" w:eastAsia="en-GB"/>
        </w:rPr>
        <w:t xml:space="preserve"> a la Constitución de 2009 en materia de derechos humanos. Además, el Comité ha recibido información sobre alegaciones de represalias hacia personas que promueven </w:t>
      </w:r>
      <w:r w:rsidR="00B237AB">
        <w:rPr>
          <w:rFonts w:eastAsia="Calibri"/>
          <w:u w:color="000000"/>
          <w:bdr w:val="nil"/>
          <w:lang w:val="es-ES_tradnl" w:eastAsia="en-GB"/>
        </w:rPr>
        <w:t>la</w:t>
      </w:r>
      <w:r w:rsidR="00B237AB" w:rsidRPr="006313D2">
        <w:rPr>
          <w:rFonts w:eastAsia="Calibri"/>
          <w:u w:color="000000"/>
          <w:bdr w:val="nil"/>
          <w:lang w:val="es-ES_tradnl" w:eastAsia="en-GB"/>
        </w:rPr>
        <w:t xml:space="preserve"> </w:t>
      </w:r>
      <w:r w:rsidRPr="006313D2">
        <w:rPr>
          <w:rFonts w:eastAsia="Calibri"/>
          <w:u w:color="000000"/>
          <w:bdr w:val="nil"/>
          <w:lang w:val="es-ES_tradnl" w:eastAsia="en-GB"/>
        </w:rPr>
        <w:t>reforma</w:t>
      </w:r>
      <w:r w:rsidR="00B237AB">
        <w:rPr>
          <w:rFonts w:eastAsia="Calibri"/>
          <w:u w:color="000000"/>
          <w:bdr w:val="nil"/>
          <w:lang w:val="es-ES_tradnl" w:eastAsia="en-GB"/>
        </w:rPr>
        <w:t xml:space="preserve"> de la Ley Orgánica de las Fuerzas Armadas</w:t>
      </w:r>
      <w:r w:rsidR="00B237AB" w:rsidRPr="006313D2" w:rsidDel="00B237AB">
        <w:rPr>
          <w:rFonts w:eastAsia="Calibri"/>
          <w:u w:color="000000"/>
          <w:bdr w:val="nil"/>
          <w:lang w:val="es-ES_tradnl" w:eastAsia="en-GB"/>
        </w:rPr>
        <w:t xml:space="preserve"> </w:t>
      </w:r>
      <w:r w:rsidRPr="006313D2">
        <w:rPr>
          <w:rFonts w:eastAsia="Calibri"/>
          <w:lang w:val="es-419" w:eastAsia="en-US"/>
        </w:rPr>
        <w:t>(arts. 12 y 13).</w:t>
      </w:r>
    </w:p>
    <w:p w14:paraId="7BBF89AB" w14:textId="0029B1B2" w:rsidR="006313D2" w:rsidRPr="006313D2" w:rsidRDefault="006313D2" w:rsidP="006313D2">
      <w:pPr>
        <w:pStyle w:val="SingleTxtG"/>
        <w:rPr>
          <w:lang w:val="es-ES_tradnl" w:eastAsia="en-US"/>
        </w:rPr>
      </w:pPr>
      <w:r w:rsidRPr="006313D2">
        <w:rPr>
          <w:rFonts w:eastAsia="Calibri"/>
          <w:lang w:val="es-419" w:eastAsia="en-US"/>
        </w:rPr>
        <w:t>11.</w:t>
      </w:r>
      <w:r w:rsidRPr="006313D2">
        <w:rPr>
          <w:lang w:val="es-ES_tradnl" w:eastAsia="en-US"/>
        </w:rPr>
        <w:tab/>
      </w:r>
      <w:r w:rsidRPr="006313D2">
        <w:rPr>
          <w:b/>
          <w:lang w:val="es-ES_tradnl" w:eastAsia="en-US"/>
        </w:rPr>
        <w:t>El Comité insta al Estado parte a ajustar el contenido de la</w:t>
      </w:r>
      <w:r w:rsidRPr="006313D2">
        <w:rPr>
          <w:b/>
          <w:lang w:val="es-419"/>
        </w:rPr>
        <w:t xml:space="preserve"> Ley Orgánica de las Fuerzas Armadas a las disposiciones de la Constitución y los estándares internacionales de derechos humanos, así como prote</w:t>
      </w:r>
      <w:r w:rsidR="00916275">
        <w:rPr>
          <w:b/>
          <w:lang w:val="es-419"/>
        </w:rPr>
        <w:t>ger</w:t>
      </w:r>
      <w:r w:rsidRPr="006313D2">
        <w:rPr>
          <w:b/>
          <w:lang w:val="es-419"/>
        </w:rPr>
        <w:t xml:space="preserve"> contra represalias a las personas que trabajen para promover esta reforma. Asimismo, el Comité recomienda al Estado parte que vele por </w:t>
      </w:r>
      <w:r w:rsidRPr="006313D2">
        <w:rPr>
          <w:b/>
          <w:lang w:val="es-ES_tradnl" w:eastAsia="en-US"/>
        </w:rPr>
        <w:t xml:space="preserve">el avance en la investigación de alegaciones de tortura y malos tratos en el seno de las </w:t>
      </w:r>
      <w:r w:rsidRPr="006313D2">
        <w:rPr>
          <w:b/>
          <w:lang w:val="es-ES_tradnl"/>
        </w:rPr>
        <w:t xml:space="preserve">Fuerzas Armadas, </w:t>
      </w:r>
      <w:r w:rsidRPr="006313D2">
        <w:rPr>
          <w:b/>
          <w:lang w:val="es-ES_tradnl" w:eastAsia="en-US"/>
        </w:rPr>
        <w:t>el enjuiciamiento y la sanción de los presuntos responsables.</w:t>
      </w:r>
    </w:p>
    <w:p w14:paraId="7E11556F" w14:textId="77777777" w:rsidR="006313D2" w:rsidRPr="006313D2" w:rsidRDefault="006313D2" w:rsidP="006313D2">
      <w:pPr>
        <w:pStyle w:val="H23G"/>
        <w:rPr>
          <w:rFonts w:eastAsia="Calibri"/>
          <w:lang w:val="es-419" w:eastAsia="en-US"/>
        </w:rPr>
      </w:pPr>
      <w:r>
        <w:rPr>
          <w:lang w:val="es-419" w:eastAsia="en-US"/>
        </w:rPr>
        <w:tab/>
      </w:r>
      <w:r>
        <w:rPr>
          <w:lang w:val="es-419" w:eastAsia="en-US"/>
        </w:rPr>
        <w:tab/>
      </w:r>
      <w:r w:rsidRPr="006313D2">
        <w:rPr>
          <w:lang w:val="es-419" w:eastAsia="en-US"/>
        </w:rPr>
        <w:t xml:space="preserve">Salvaguardias legales fundamentales </w:t>
      </w:r>
    </w:p>
    <w:p w14:paraId="7A078E50" w14:textId="75FF1305" w:rsidR="006313D2" w:rsidRPr="006313D2" w:rsidRDefault="006313D2" w:rsidP="006313D2">
      <w:pPr>
        <w:pStyle w:val="SingleTxtG"/>
      </w:pPr>
      <w:r w:rsidRPr="006313D2">
        <w:rPr>
          <w:lang w:val="es-ES_tradnl" w:eastAsia="en-US"/>
        </w:rPr>
        <w:t>12.</w:t>
      </w:r>
      <w:r w:rsidRPr="006313D2">
        <w:rPr>
          <w:lang w:val="es-ES_tradnl" w:eastAsia="en-US"/>
        </w:rPr>
        <w:tab/>
      </w:r>
      <w:r w:rsidRPr="006313D2">
        <w:t xml:space="preserve">Si bien toma nota de las disposiciones de la Constitución, el </w:t>
      </w:r>
      <w:r w:rsidRPr="006313D2">
        <w:rPr>
          <w:lang w:val="es-CO" w:eastAsia="en-US"/>
        </w:rPr>
        <w:t xml:space="preserve">Código de Procedimiento Penal y la Ley de Ejecución Penal y Supervisión relativas a las salvaguardias para prevenir la tortura y los malos tratos, el Comité mantiene su preocupación por </w:t>
      </w:r>
      <w:r w:rsidRPr="006313D2">
        <w:t xml:space="preserve">las informaciones que denuncian: a) </w:t>
      </w:r>
      <w:r w:rsidR="002C6600">
        <w:t xml:space="preserve">obstáculos en </w:t>
      </w:r>
      <w:r w:rsidRPr="002951F3">
        <w:rPr>
          <w:lang w:eastAsia="en-US"/>
        </w:rPr>
        <w:t xml:space="preserve">la notificación de la detención </w:t>
      </w:r>
      <w:r w:rsidR="002C6600" w:rsidRPr="002951F3">
        <w:rPr>
          <w:lang w:eastAsia="en-US"/>
        </w:rPr>
        <w:t>a un familiar o un tercero, por parte de las personas privadas de libertad, inclu</w:t>
      </w:r>
      <w:r w:rsidR="004E58C5" w:rsidRPr="002951F3">
        <w:rPr>
          <w:lang w:eastAsia="en-US"/>
        </w:rPr>
        <w:t xml:space="preserve">idos los menores de edad; </w:t>
      </w:r>
      <w:r w:rsidRPr="006313D2">
        <w:t>b)</w:t>
      </w:r>
      <w:r w:rsidR="00491DF4">
        <w:t> </w:t>
      </w:r>
      <w:r w:rsidRPr="006313D2">
        <w:t>la falta de acceso inmediato a un examen médico independiente, especialmente en estaciones de policía; c)</w:t>
      </w:r>
      <w:r w:rsidR="00491DF4">
        <w:t> </w:t>
      </w:r>
      <w:r w:rsidRPr="006313D2">
        <w:t>la ausencia de un sistema adecuado de registro de las personas privadas de libertad aunque se toma nota de la primera etapa de implementación del Sistema de Información del Régimen Penitenciario; d)</w:t>
      </w:r>
      <w:r w:rsidR="00685243">
        <w:t> </w:t>
      </w:r>
      <w:r w:rsidRPr="006313D2">
        <w:t xml:space="preserve">las dificultades en el acceso a una asistencia jurídica gratuita en caso de necesidad, el insuficiente número de defensores públicos, </w:t>
      </w:r>
      <w:r w:rsidR="008120CE" w:rsidRPr="00DD6DE2">
        <w:t xml:space="preserve">su </w:t>
      </w:r>
      <w:r w:rsidRPr="00DD6DE2">
        <w:t>baja remuneración</w:t>
      </w:r>
      <w:r w:rsidRPr="006313D2">
        <w:t xml:space="preserve"> e insuficiente calificación profesional y su limitada presencia en áreas rurales. Además, el Comité lamenta </w:t>
      </w:r>
      <w:r w:rsidRPr="00A10D2A">
        <w:t>la falta de</w:t>
      </w:r>
      <w:r w:rsidR="00A10D2A" w:rsidRPr="00A10D2A">
        <w:t xml:space="preserve"> </w:t>
      </w:r>
      <w:r w:rsidRPr="00243C2D">
        <w:t>información</w:t>
      </w:r>
      <w:r w:rsidRPr="006313D2">
        <w:t xml:space="preserve"> </w:t>
      </w:r>
      <w:r w:rsidR="00606D66" w:rsidRPr="00A10D2A">
        <w:t>suficiente</w:t>
      </w:r>
      <w:r w:rsidR="00606D66" w:rsidRPr="00243C2D">
        <w:t xml:space="preserve"> </w:t>
      </w:r>
      <w:r w:rsidRPr="006313D2">
        <w:t>sobre las medidas adoptadas por el Estado parte para garantizar el respeto de las salvaguardias legales fundamentales y sobre las acciones disciplinarias impuestas a agentes de las fuerzas del orden que no hayan cumplido con dichas garantías (art. 2).</w:t>
      </w:r>
    </w:p>
    <w:p w14:paraId="0EEB912C" w14:textId="4E846E30" w:rsidR="006313D2" w:rsidRPr="006313D2" w:rsidRDefault="006313D2" w:rsidP="006313D2">
      <w:pPr>
        <w:pStyle w:val="SingleTxtG"/>
        <w:rPr>
          <w:b/>
          <w:lang w:val="es-ES_tradnl" w:eastAsia="en-US"/>
        </w:rPr>
      </w:pPr>
      <w:r w:rsidRPr="006313D2">
        <w:t>13.</w:t>
      </w:r>
      <w:r w:rsidRPr="006313D2">
        <w:tab/>
      </w:r>
      <w:r w:rsidRPr="006313D2">
        <w:rPr>
          <w:b/>
        </w:rPr>
        <w:t xml:space="preserve">El Comité recomienda al Estado parte </w:t>
      </w:r>
      <w:r w:rsidR="00685243">
        <w:rPr>
          <w:b/>
        </w:rPr>
        <w:t xml:space="preserve">que </w:t>
      </w:r>
      <w:r w:rsidRPr="006313D2">
        <w:rPr>
          <w:b/>
        </w:rPr>
        <w:t>a</w:t>
      </w:r>
      <w:proofErr w:type="spellStart"/>
      <w:r w:rsidRPr="006313D2">
        <w:rPr>
          <w:b/>
          <w:lang w:val="es-ES_tradnl" w:eastAsia="en-US"/>
        </w:rPr>
        <w:t>dopt</w:t>
      </w:r>
      <w:r w:rsidR="00685243">
        <w:rPr>
          <w:b/>
          <w:lang w:val="es-ES_tradnl" w:eastAsia="en-US"/>
        </w:rPr>
        <w:t>e</w:t>
      </w:r>
      <w:proofErr w:type="spellEnd"/>
      <w:r w:rsidRPr="006313D2">
        <w:rPr>
          <w:b/>
          <w:lang w:val="es-ES_tradnl" w:eastAsia="en-US"/>
        </w:rPr>
        <w:t xml:space="preserve"> medidas eficaces para garantizar que las personas detenidas cuenten en la práctica con todas las salvaguardias fundamentales desde el inicio mismo de la privación de libertad, entre ellas, </w:t>
      </w:r>
      <w:r w:rsidR="00B10EBD">
        <w:rPr>
          <w:b/>
          <w:lang w:val="es-ES_tradnl" w:eastAsia="en-US"/>
        </w:rPr>
        <w:t>el</w:t>
      </w:r>
      <w:r w:rsidR="00B10EBD" w:rsidRPr="006313D2">
        <w:rPr>
          <w:b/>
          <w:lang w:val="es-ES_tradnl" w:eastAsia="en-US"/>
        </w:rPr>
        <w:t xml:space="preserve"> </w:t>
      </w:r>
      <w:r w:rsidRPr="006313D2">
        <w:rPr>
          <w:b/>
          <w:lang w:val="es-ES_tradnl" w:eastAsia="en-US"/>
        </w:rPr>
        <w:t xml:space="preserve">derecho </w:t>
      </w:r>
      <w:r w:rsidR="00B10EBD">
        <w:rPr>
          <w:b/>
          <w:lang w:val="es-ES_tradnl" w:eastAsia="en-US"/>
        </w:rPr>
        <w:t>de</w:t>
      </w:r>
      <w:r w:rsidRPr="006313D2">
        <w:rPr>
          <w:b/>
          <w:lang w:val="es-ES_tradnl" w:eastAsia="en-US"/>
        </w:rPr>
        <w:t xml:space="preserve"> ser informad</w:t>
      </w:r>
      <w:r w:rsidR="00866C37">
        <w:rPr>
          <w:b/>
          <w:lang w:val="es-ES_tradnl" w:eastAsia="en-US"/>
        </w:rPr>
        <w:t>as</w:t>
      </w:r>
      <w:r w:rsidRPr="006313D2">
        <w:rPr>
          <w:b/>
          <w:lang w:val="es-ES_tradnl" w:eastAsia="en-US"/>
        </w:rPr>
        <w:t xml:space="preserve"> de los motivos de la detención y de la naturaleza de los cargos que se le imputan; </w:t>
      </w:r>
      <w:r w:rsidR="00B10EBD">
        <w:rPr>
          <w:b/>
          <w:lang w:val="es-ES_tradnl" w:eastAsia="en-US"/>
        </w:rPr>
        <w:t>el</w:t>
      </w:r>
      <w:r w:rsidR="00B10EBD" w:rsidRPr="006313D2">
        <w:rPr>
          <w:b/>
          <w:lang w:val="es-ES_tradnl" w:eastAsia="en-US"/>
        </w:rPr>
        <w:t xml:space="preserve"> derecho </w:t>
      </w:r>
      <w:r w:rsidR="00B10EBD">
        <w:rPr>
          <w:b/>
          <w:lang w:val="es-ES_tradnl" w:eastAsia="en-US"/>
        </w:rPr>
        <w:t>de</w:t>
      </w:r>
      <w:r w:rsidRPr="006313D2">
        <w:rPr>
          <w:b/>
          <w:lang w:val="es-ES_tradnl" w:eastAsia="en-US"/>
        </w:rPr>
        <w:t xml:space="preserve"> informar con prontitud de su detención y del lugar de detención a un familiar o a un tercero; </w:t>
      </w:r>
      <w:r w:rsidR="00B10EBD">
        <w:rPr>
          <w:b/>
          <w:lang w:val="es-ES_tradnl" w:eastAsia="en-US"/>
        </w:rPr>
        <w:t>el</w:t>
      </w:r>
      <w:r w:rsidR="00B10EBD" w:rsidRPr="006313D2">
        <w:rPr>
          <w:b/>
          <w:lang w:val="es-ES_tradnl" w:eastAsia="en-US"/>
        </w:rPr>
        <w:t xml:space="preserve"> derecho </w:t>
      </w:r>
      <w:r w:rsidR="00B10EBD">
        <w:rPr>
          <w:b/>
          <w:lang w:val="es-ES_tradnl" w:eastAsia="en-US"/>
        </w:rPr>
        <w:t>de</w:t>
      </w:r>
      <w:r w:rsidRPr="006313D2">
        <w:rPr>
          <w:b/>
          <w:lang w:val="es-ES_tradnl" w:eastAsia="en-US"/>
        </w:rPr>
        <w:t xml:space="preserve"> requerir un médico independiente</w:t>
      </w:r>
      <w:r w:rsidR="00866C37">
        <w:rPr>
          <w:b/>
          <w:lang w:val="es-ES_tradnl" w:eastAsia="en-US"/>
        </w:rPr>
        <w:t xml:space="preserve"> al que </w:t>
      </w:r>
      <w:r w:rsidR="00866C37" w:rsidRPr="006313D2">
        <w:rPr>
          <w:b/>
          <w:lang w:val="es-ES_tradnl" w:eastAsia="en-US"/>
        </w:rPr>
        <w:t>tener acceso inmediato</w:t>
      </w:r>
      <w:r w:rsidRPr="006313D2">
        <w:rPr>
          <w:b/>
          <w:lang w:val="es-ES_tradnl" w:eastAsia="en-US"/>
        </w:rPr>
        <w:t xml:space="preserve">, aparte de cualquier examen médico que pueda realizarse a petición de las autoridades; </w:t>
      </w:r>
      <w:r w:rsidR="00B10EBD">
        <w:rPr>
          <w:b/>
          <w:lang w:val="es-ES_tradnl" w:eastAsia="en-US"/>
        </w:rPr>
        <w:t>el</w:t>
      </w:r>
      <w:r w:rsidR="00B10EBD" w:rsidRPr="006313D2">
        <w:rPr>
          <w:b/>
          <w:lang w:val="es-ES_tradnl" w:eastAsia="en-US"/>
        </w:rPr>
        <w:t xml:space="preserve"> derecho </w:t>
      </w:r>
      <w:r w:rsidR="00B10EBD">
        <w:rPr>
          <w:b/>
          <w:lang w:val="es-ES_tradnl" w:eastAsia="en-US"/>
        </w:rPr>
        <w:t>de</w:t>
      </w:r>
      <w:r w:rsidRPr="006313D2">
        <w:rPr>
          <w:b/>
          <w:lang w:eastAsia="en-US"/>
        </w:rPr>
        <w:t xml:space="preserve"> ser asistid</w:t>
      </w:r>
      <w:r w:rsidR="00866C37">
        <w:rPr>
          <w:b/>
          <w:lang w:eastAsia="en-US"/>
        </w:rPr>
        <w:t>a</w:t>
      </w:r>
      <w:r w:rsidRPr="006313D2">
        <w:rPr>
          <w:b/>
          <w:lang w:eastAsia="en-US"/>
        </w:rPr>
        <w:t xml:space="preserve">s sin demora por un abogado y </w:t>
      </w:r>
      <w:r w:rsidR="00B10EBD">
        <w:rPr>
          <w:b/>
          <w:lang w:eastAsia="en-US"/>
        </w:rPr>
        <w:t>de</w:t>
      </w:r>
      <w:r w:rsidRPr="006313D2">
        <w:rPr>
          <w:b/>
          <w:lang w:eastAsia="en-US"/>
        </w:rPr>
        <w:t xml:space="preserve"> recibir</w:t>
      </w:r>
      <w:r w:rsidRPr="006313D2">
        <w:rPr>
          <w:b/>
        </w:rPr>
        <w:t xml:space="preserve"> asistencia letrada gratuita de calidad en caso de necesidad</w:t>
      </w:r>
      <w:r w:rsidRPr="006313D2">
        <w:rPr>
          <w:b/>
          <w:lang w:val="es-ES_tradnl" w:eastAsia="en-US"/>
        </w:rPr>
        <w:t xml:space="preserve">. </w:t>
      </w:r>
      <w:r w:rsidRPr="006313D2">
        <w:rPr>
          <w:b/>
          <w:lang w:eastAsia="en-US"/>
        </w:rPr>
        <w:t xml:space="preserve">El </w:t>
      </w:r>
      <w:r w:rsidRPr="006313D2">
        <w:rPr>
          <w:b/>
          <w:lang w:val="es-ES_tradnl" w:eastAsia="en-US"/>
        </w:rPr>
        <w:t xml:space="preserve">Estado parte debe también: </w:t>
      </w:r>
    </w:p>
    <w:p w14:paraId="7E2CED11" w14:textId="77777777" w:rsidR="006313D2" w:rsidRPr="006313D2" w:rsidRDefault="006313D2" w:rsidP="006313D2">
      <w:pPr>
        <w:pStyle w:val="SingleTxtG"/>
        <w:rPr>
          <w:b/>
        </w:rPr>
      </w:pPr>
      <w:r w:rsidRPr="006313D2">
        <w:rPr>
          <w:b/>
          <w:lang w:val="es-ES_tradnl" w:eastAsia="en-US"/>
        </w:rPr>
        <w:tab/>
        <w:t xml:space="preserve">a) </w:t>
      </w:r>
      <w:r w:rsidRPr="006313D2">
        <w:rPr>
          <w:b/>
          <w:lang w:val="es-ES_tradnl" w:eastAsia="en-US"/>
        </w:rPr>
        <w:tab/>
        <w:t xml:space="preserve">Fortalecer el </w:t>
      </w:r>
      <w:r w:rsidRPr="006313D2">
        <w:rPr>
          <w:b/>
        </w:rPr>
        <w:t>Servicio Plurinacional de Defensa Pública, garantizando un número suficiente de defensores públicos, con preparación y remuneración adecuada, con mayor presencia en áreas rurales, y una</w:t>
      </w:r>
      <w:r w:rsidRPr="006313D2">
        <w:rPr>
          <w:b/>
          <w:lang w:val="es-ES_tradnl"/>
        </w:rPr>
        <w:t xml:space="preserve"> defensa técnica especializada para niñas, niños y adolescentes;</w:t>
      </w:r>
    </w:p>
    <w:p w14:paraId="1C8FAC33" w14:textId="682EF298" w:rsidR="006313D2" w:rsidRPr="006313D2" w:rsidRDefault="006313D2" w:rsidP="006313D2">
      <w:pPr>
        <w:pStyle w:val="SingleTxtG"/>
        <w:rPr>
          <w:b/>
        </w:rPr>
      </w:pPr>
      <w:r w:rsidRPr="006313D2">
        <w:rPr>
          <w:b/>
          <w:lang w:val="es-ES_tradnl"/>
        </w:rPr>
        <w:tab/>
        <w:t>b)</w:t>
      </w:r>
      <w:r w:rsidRPr="006313D2">
        <w:rPr>
          <w:b/>
          <w:lang w:val="es-ES_tradnl"/>
        </w:rPr>
        <w:tab/>
        <w:t>Establecer</w:t>
      </w:r>
      <w:r w:rsidRPr="006313D2">
        <w:rPr>
          <w:b/>
        </w:rPr>
        <w:t xml:space="preserve"> un sistema uniforme de registro de personas privadas de libertad, alertas informáticas sobre vencimientos de términos de las prisiones preventivas y cumplimientos de penas, e instruir a los directores de los centros penales a dar cumplimiento de la Ley núm. 2298, manteniendo actualizados los registros. El Comité además recomienda </w:t>
      </w:r>
      <w:r w:rsidRPr="006313D2">
        <w:rPr>
          <w:b/>
          <w:lang w:val="es-ES_tradnl" w:eastAsia="en-US"/>
        </w:rPr>
        <w:t>asegurar, mediante controles e inspecciones, el correcto registro de l</w:t>
      </w:r>
      <w:r w:rsidR="00AC0F99">
        <w:rPr>
          <w:b/>
          <w:lang w:val="es-ES_tradnl" w:eastAsia="en-US"/>
        </w:rPr>
        <w:t>a</w:t>
      </w:r>
      <w:r w:rsidRPr="006313D2">
        <w:rPr>
          <w:b/>
          <w:lang w:val="es-ES_tradnl" w:eastAsia="en-US"/>
        </w:rPr>
        <w:t xml:space="preserve">s </w:t>
      </w:r>
      <w:r w:rsidR="00AC0F99">
        <w:rPr>
          <w:b/>
          <w:lang w:val="es-ES_tradnl" w:eastAsia="en-US"/>
        </w:rPr>
        <w:t xml:space="preserve">personas </w:t>
      </w:r>
      <w:r w:rsidRPr="006313D2">
        <w:rPr>
          <w:b/>
          <w:lang w:val="es-ES_tradnl" w:eastAsia="en-US"/>
        </w:rPr>
        <w:t>privad</w:t>
      </w:r>
      <w:r w:rsidR="00AC0F99">
        <w:rPr>
          <w:b/>
          <w:lang w:val="es-ES_tradnl" w:eastAsia="en-US"/>
        </w:rPr>
        <w:t>a</w:t>
      </w:r>
      <w:r w:rsidRPr="006313D2">
        <w:rPr>
          <w:b/>
          <w:lang w:val="es-ES_tradnl" w:eastAsia="en-US"/>
        </w:rPr>
        <w:t xml:space="preserve">s de libertad, en estaciones de policía y centros penitenciarios; </w:t>
      </w:r>
    </w:p>
    <w:p w14:paraId="4ECDE04A" w14:textId="77777777" w:rsidR="006313D2" w:rsidRPr="006313D2" w:rsidRDefault="006313D2" w:rsidP="006313D2">
      <w:pPr>
        <w:pStyle w:val="SingleTxtG"/>
        <w:rPr>
          <w:b/>
        </w:rPr>
      </w:pPr>
      <w:r w:rsidRPr="006313D2">
        <w:rPr>
          <w:b/>
        </w:rPr>
        <w:tab/>
        <w:t>c)</w:t>
      </w:r>
      <w:r w:rsidRPr="006313D2">
        <w:rPr>
          <w:b/>
        </w:rPr>
        <w:tab/>
        <w:t>Velar por el respeto de las salvaguardias legales fundamentales de las personas privadas de libertad, sancionando a los agentes de las fuerzas del orden que incurran en su incumplimiento.</w:t>
      </w:r>
    </w:p>
    <w:p w14:paraId="4B2266D3" w14:textId="7A5FE4B2" w:rsidR="006313D2" w:rsidRPr="006313D2" w:rsidRDefault="006313D2" w:rsidP="006313D2">
      <w:pPr>
        <w:pStyle w:val="H23G"/>
        <w:rPr>
          <w:rFonts w:eastAsia="Calibri"/>
          <w:u w:color="000000"/>
          <w:bdr w:val="nil"/>
          <w:lang w:val="es-ES_tradnl" w:eastAsia="en-GB"/>
        </w:rPr>
      </w:pPr>
      <w:r>
        <w:rPr>
          <w:rFonts w:eastAsia="Calibri"/>
          <w:u w:color="000000"/>
          <w:bdr w:val="nil"/>
          <w:lang w:val="es-ES_tradnl" w:eastAsia="en-GB"/>
        </w:rPr>
        <w:lastRenderedPageBreak/>
        <w:tab/>
      </w:r>
      <w:r>
        <w:rPr>
          <w:rFonts w:eastAsia="Calibri"/>
          <w:u w:color="000000"/>
          <w:bdr w:val="nil"/>
          <w:lang w:val="es-ES_tradnl" w:eastAsia="en-GB"/>
        </w:rPr>
        <w:tab/>
      </w:r>
      <w:r w:rsidRPr="00A77631">
        <w:rPr>
          <w:rFonts w:eastAsia="Calibri"/>
          <w:u w:color="000000"/>
          <w:bdr w:val="nil"/>
          <w:lang w:val="es-ES_tradnl" w:eastAsia="en-GB"/>
        </w:rPr>
        <w:t xml:space="preserve">Mecanismo </w:t>
      </w:r>
      <w:r w:rsidR="00A77631" w:rsidRPr="001D1DE3">
        <w:rPr>
          <w:rFonts w:eastAsia="Calibri"/>
          <w:u w:color="000000"/>
          <w:bdr w:val="nil"/>
          <w:lang w:val="es-ES_tradnl" w:eastAsia="en-GB"/>
        </w:rPr>
        <w:t>n</w:t>
      </w:r>
      <w:r w:rsidRPr="00A77631">
        <w:rPr>
          <w:rFonts w:eastAsia="Calibri"/>
          <w:u w:color="000000"/>
          <w:bdr w:val="nil"/>
          <w:lang w:val="es-ES_tradnl" w:eastAsia="en-GB"/>
        </w:rPr>
        <w:t xml:space="preserve">acional de </w:t>
      </w:r>
      <w:r w:rsidR="00A77631" w:rsidRPr="001D1DE3">
        <w:rPr>
          <w:rFonts w:eastAsia="Calibri"/>
          <w:u w:color="000000"/>
          <w:bdr w:val="nil"/>
          <w:lang w:val="es-ES_tradnl" w:eastAsia="en-GB"/>
        </w:rPr>
        <w:t>p</w:t>
      </w:r>
      <w:r w:rsidRPr="00A77631">
        <w:rPr>
          <w:rFonts w:eastAsia="Calibri"/>
          <w:u w:color="000000"/>
          <w:bdr w:val="nil"/>
          <w:lang w:val="es-ES_tradnl" w:eastAsia="en-GB"/>
        </w:rPr>
        <w:t xml:space="preserve">revención </w:t>
      </w:r>
    </w:p>
    <w:p w14:paraId="01CF94BB" w14:textId="6B3FC2FE" w:rsidR="006313D2" w:rsidRPr="006313D2" w:rsidRDefault="006313D2" w:rsidP="006313D2">
      <w:pPr>
        <w:pStyle w:val="SingleTxtG"/>
        <w:rPr>
          <w:rFonts w:eastAsia="Calibri"/>
          <w:u w:color="000000"/>
          <w:bdr w:val="nil"/>
          <w:lang w:val="es-ES_tradnl" w:eastAsia="en-GB"/>
        </w:rPr>
      </w:pPr>
      <w:r w:rsidRPr="006313D2">
        <w:rPr>
          <w:rFonts w:eastAsia="Calibri"/>
          <w:u w:color="000000"/>
          <w:bdr w:val="nil"/>
          <w:lang w:val="es-ES_tradnl" w:eastAsia="en-GB"/>
        </w:rPr>
        <w:t>14.</w:t>
      </w:r>
      <w:r w:rsidRPr="006313D2">
        <w:rPr>
          <w:rFonts w:eastAsia="Calibri"/>
          <w:u w:color="000000"/>
          <w:bdr w:val="nil"/>
          <w:lang w:val="es-ES_tradnl" w:eastAsia="en-GB"/>
        </w:rPr>
        <w:tab/>
        <w:t xml:space="preserve">El Comité celebra la designación de la </w:t>
      </w:r>
      <w:r w:rsidRPr="006313D2">
        <w:rPr>
          <w:lang w:val="es-419"/>
        </w:rPr>
        <w:t xml:space="preserve">Defensoría del Pueblo como </w:t>
      </w:r>
      <w:r w:rsidR="00A77631">
        <w:rPr>
          <w:lang w:val="es-419"/>
        </w:rPr>
        <w:t>m</w:t>
      </w:r>
      <w:r w:rsidRPr="006313D2">
        <w:rPr>
          <w:lang w:val="es-419"/>
        </w:rPr>
        <w:t xml:space="preserve">ecanismo </w:t>
      </w:r>
      <w:r w:rsidR="00A77631">
        <w:rPr>
          <w:lang w:val="es-419"/>
        </w:rPr>
        <w:t>n</w:t>
      </w:r>
      <w:r w:rsidRPr="006313D2">
        <w:rPr>
          <w:lang w:val="es-419"/>
        </w:rPr>
        <w:t xml:space="preserve">acional de </w:t>
      </w:r>
      <w:r w:rsidR="00A77631">
        <w:rPr>
          <w:lang w:val="es-419"/>
        </w:rPr>
        <w:t>p</w:t>
      </w:r>
      <w:r w:rsidRPr="006313D2">
        <w:rPr>
          <w:lang w:val="es-419"/>
        </w:rPr>
        <w:t>revención, que asume las funciones del Servicio para la Prevención de la Tortura.</w:t>
      </w:r>
      <w:r w:rsidRPr="006313D2">
        <w:rPr>
          <w:rFonts w:eastAsia="Calibri"/>
          <w:u w:color="000000"/>
          <w:bdr w:val="nil"/>
          <w:lang w:val="es-419" w:eastAsia="en-GB"/>
        </w:rPr>
        <w:t xml:space="preserve"> No obstante, el Comité considera que </w:t>
      </w:r>
      <w:r w:rsidRPr="006313D2">
        <w:rPr>
          <w:rFonts w:eastAsia="Calibri"/>
          <w:u w:color="000000"/>
          <w:bdr w:val="nil"/>
          <w:lang w:val="es-ES_tradnl" w:eastAsia="en-GB"/>
        </w:rPr>
        <w:t xml:space="preserve">la existencia de una jefatura interina de la Defensoría del Pueblo y </w:t>
      </w:r>
      <w:r w:rsidRPr="00DD6DE2">
        <w:rPr>
          <w:rFonts w:eastAsia="Calibri"/>
          <w:u w:color="000000"/>
          <w:bdr w:val="nil"/>
          <w:lang w:val="es-ES_tradnl" w:eastAsia="en-GB"/>
        </w:rPr>
        <w:t xml:space="preserve">la falta de transparencia en los procesos de </w:t>
      </w:r>
      <w:r w:rsidRPr="00DD6DE2">
        <w:rPr>
          <w:lang w:val="es-ES_tradnl"/>
        </w:rPr>
        <w:t>selección y designación de directivos y miembros de esta institución, así como</w:t>
      </w:r>
      <w:r w:rsidRPr="00DD6DE2">
        <w:rPr>
          <w:rFonts w:eastAsia="Calibri"/>
          <w:u w:color="000000"/>
          <w:bdr w:val="nil"/>
          <w:lang w:val="es-ES_tradnl" w:eastAsia="en-GB"/>
        </w:rPr>
        <w:t xml:space="preserve"> la pérdida del personal del </w:t>
      </w:r>
      <w:r w:rsidR="00DD2547" w:rsidRPr="006313D2">
        <w:rPr>
          <w:lang w:val="es-419"/>
        </w:rPr>
        <w:t>Servicio para la Prevención de la Tortura</w:t>
      </w:r>
      <w:r w:rsidR="00DD2547" w:rsidRPr="00DD6DE2" w:rsidDel="00DD2547">
        <w:rPr>
          <w:rFonts w:eastAsia="Calibri"/>
          <w:u w:color="000000"/>
          <w:bdr w:val="nil"/>
          <w:lang w:val="es-ES_tradnl" w:eastAsia="en-GB"/>
        </w:rPr>
        <w:t xml:space="preserve"> </w:t>
      </w:r>
      <w:r w:rsidRPr="00243C2D">
        <w:rPr>
          <w:rFonts w:eastAsia="Calibri"/>
          <w:u w:color="000000"/>
          <w:bdr w:val="nil"/>
          <w:lang w:val="es-419" w:eastAsia="en-GB"/>
        </w:rPr>
        <w:t>podrían debilitar su funcionamiento e independencia</w:t>
      </w:r>
      <w:r w:rsidRPr="006313D2" w:rsidDel="00F03502">
        <w:rPr>
          <w:rFonts w:eastAsia="Calibri"/>
          <w:u w:color="000000"/>
          <w:bdr w:val="nil"/>
          <w:lang w:val="es-ES_tradnl" w:eastAsia="en-GB"/>
        </w:rPr>
        <w:t xml:space="preserve"> </w:t>
      </w:r>
      <w:r w:rsidRPr="006313D2">
        <w:rPr>
          <w:rFonts w:eastAsia="Calibri"/>
          <w:u w:color="000000"/>
          <w:bdr w:val="nil"/>
          <w:lang w:val="es-ES_tradnl" w:eastAsia="en-GB"/>
        </w:rPr>
        <w:t>(art.</w:t>
      </w:r>
      <w:r w:rsidR="00AD051A">
        <w:rPr>
          <w:rFonts w:eastAsia="Calibri"/>
          <w:u w:color="000000"/>
          <w:bdr w:val="nil"/>
          <w:lang w:val="es-ES_tradnl" w:eastAsia="en-GB"/>
        </w:rPr>
        <w:t> </w:t>
      </w:r>
      <w:r w:rsidRPr="006313D2">
        <w:rPr>
          <w:rFonts w:eastAsia="Calibri"/>
          <w:u w:color="000000"/>
          <w:bdr w:val="nil"/>
          <w:lang w:val="es-ES_tradnl" w:eastAsia="en-GB"/>
        </w:rPr>
        <w:t xml:space="preserve">2). </w:t>
      </w:r>
    </w:p>
    <w:p w14:paraId="138988E0" w14:textId="77777777" w:rsidR="006313D2" w:rsidRPr="006313D2" w:rsidRDefault="006313D2" w:rsidP="006313D2">
      <w:pPr>
        <w:pStyle w:val="SingleTxtG"/>
        <w:rPr>
          <w:rFonts w:eastAsia="Calibri"/>
          <w:b/>
          <w:u w:color="000000"/>
          <w:bdr w:val="nil"/>
          <w:lang w:val="es-ES_tradnl" w:eastAsia="en-GB"/>
        </w:rPr>
      </w:pPr>
      <w:r w:rsidRPr="006313D2">
        <w:rPr>
          <w:rFonts w:eastAsia="Calibri"/>
          <w:u w:color="000000"/>
          <w:bdr w:val="nil"/>
          <w:lang w:val="es-ES_tradnl" w:eastAsia="en-GB"/>
        </w:rPr>
        <w:t>15.</w:t>
      </w:r>
      <w:r w:rsidRPr="006313D2">
        <w:rPr>
          <w:rFonts w:eastAsia="Calibri"/>
          <w:u w:color="000000"/>
          <w:bdr w:val="nil"/>
          <w:lang w:val="es-ES_tradnl" w:eastAsia="en-GB"/>
        </w:rPr>
        <w:tab/>
      </w:r>
      <w:r w:rsidRPr="006313D2">
        <w:rPr>
          <w:rFonts w:eastAsia="Calibri"/>
          <w:b/>
          <w:u w:color="000000"/>
          <w:bdr w:val="nil"/>
          <w:lang w:val="es-ES_tradnl" w:eastAsia="en-GB"/>
        </w:rPr>
        <w:t>El Estado parte debe:</w:t>
      </w:r>
    </w:p>
    <w:p w14:paraId="1E54C309" w14:textId="1CB7EC26" w:rsidR="006313D2" w:rsidRPr="006313D2" w:rsidRDefault="006313D2" w:rsidP="00E07CA4">
      <w:pPr>
        <w:pStyle w:val="SingleTxtG"/>
        <w:numPr>
          <w:ilvl w:val="0"/>
          <w:numId w:val="17"/>
        </w:numPr>
        <w:ind w:left="1134" w:firstLine="567"/>
        <w:rPr>
          <w:rFonts w:eastAsia="Calibri"/>
          <w:b/>
          <w:u w:color="000000"/>
          <w:bdr w:val="nil"/>
          <w:lang w:val="es-ES_tradnl" w:eastAsia="en-GB"/>
        </w:rPr>
      </w:pPr>
      <w:r w:rsidRPr="006313D2">
        <w:rPr>
          <w:rFonts w:eastAsia="Calibri"/>
          <w:b/>
          <w:u w:color="000000"/>
          <w:bdr w:val="nil"/>
          <w:lang w:val="es-ES_tradnl" w:eastAsia="en-GB"/>
        </w:rPr>
        <w:t xml:space="preserve">Garantizar la independencia funcional y financiera del </w:t>
      </w:r>
      <w:r w:rsidR="00A77631">
        <w:rPr>
          <w:rFonts w:eastAsia="Calibri"/>
          <w:b/>
          <w:u w:color="000000"/>
          <w:bdr w:val="nil"/>
          <w:lang w:val="es-ES_tradnl" w:eastAsia="en-GB"/>
        </w:rPr>
        <w:t>m</w:t>
      </w:r>
      <w:r w:rsidRPr="006313D2">
        <w:rPr>
          <w:rFonts w:eastAsia="Calibri"/>
          <w:b/>
          <w:u w:color="000000"/>
          <w:bdr w:val="nil"/>
          <w:lang w:val="es-ES_tradnl" w:eastAsia="en-GB"/>
        </w:rPr>
        <w:t xml:space="preserve">ecanismo </w:t>
      </w:r>
      <w:r w:rsidR="00A77631">
        <w:rPr>
          <w:rFonts w:eastAsia="Calibri"/>
          <w:b/>
          <w:u w:color="000000"/>
          <w:bdr w:val="nil"/>
          <w:lang w:val="es-ES_tradnl" w:eastAsia="en-GB"/>
        </w:rPr>
        <w:t>n</w:t>
      </w:r>
      <w:r w:rsidRPr="006313D2">
        <w:rPr>
          <w:rFonts w:eastAsia="Calibri"/>
          <w:b/>
          <w:u w:color="000000"/>
          <w:bdr w:val="nil"/>
          <w:lang w:val="es-ES_tradnl" w:eastAsia="en-GB"/>
        </w:rPr>
        <w:t xml:space="preserve">acional de </w:t>
      </w:r>
      <w:r w:rsidR="00A77631">
        <w:rPr>
          <w:rFonts w:eastAsia="Calibri"/>
          <w:b/>
          <w:u w:color="000000"/>
          <w:bdr w:val="nil"/>
          <w:lang w:val="es-ES_tradnl" w:eastAsia="en-GB"/>
        </w:rPr>
        <w:t>p</w:t>
      </w:r>
      <w:r w:rsidRPr="006313D2">
        <w:rPr>
          <w:rFonts w:eastAsia="Calibri"/>
          <w:b/>
          <w:u w:color="000000"/>
          <w:bdr w:val="nil"/>
          <w:lang w:val="es-ES_tradnl" w:eastAsia="en-GB"/>
        </w:rPr>
        <w:t xml:space="preserve">revención y </w:t>
      </w:r>
      <w:r w:rsidR="00C30FCA">
        <w:rPr>
          <w:rFonts w:eastAsia="Calibri"/>
          <w:b/>
          <w:u w:color="000000"/>
          <w:bdr w:val="nil"/>
          <w:lang w:val="es-ES_tradnl" w:eastAsia="en-GB"/>
        </w:rPr>
        <w:t xml:space="preserve">que los </w:t>
      </w:r>
      <w:r w:rsidRPr="006313D2">
        <w:rPr>
          <w:rFonts w:eastAsia="Calibri"/>
          <w:b/>
          <w:u w:color="000000"/>
          <w:bdr w:val="nil"/>
          <w:lang w:val="es-ES_tradnl" w:eastAsia="en-GB"/>
        </w:rPr>
        <w:t xml:space="preserve">procesos de </w:t>
      </w:r>
      <w:r w:rsidRPr="006313D2">
        <w:rPr>
          <w:b/>
          <w:lang w:val="es-ES_tradnl"/>
        </w:rPr>
        <w:t>selección</w:t>
      </w:r>
      <w:r w:rsidR="00C30FCA" w:rsidRPr="00C30FCA">
        <w:rPr>
          <w:rFonts w:eastAsia="Calibri"/>
          <w:b/>
          <w:u w:color="000000"/>
          <w:bdr w:val="nil"/>
          <w:lang w:val="es-ES_tradnl" w:eastAsia="en-GB"/>
        </w:rPr>
        <w:t xml:space="preserve"> </w:t>
      </w:r>
      <w:r w:rsidR="00C30FCA" w:rsidRPr="006313D2">
        <w:rPr>
          <w:rFonts w:eastAsia="Calibri"/>
          <w:b/>
          <w:u w:color="000000"/>
          <w:bdr w:val="nil"/>
          <w:lang w:val="es-ES_tradnl" w:eastAsia="en-GB"/>
        </w:rPr>
        <w:t xml:space="preserve">de </w:t>
      </w:r>
      <w:r w:rsidR="00C30FCA">
        <w:rPr>
          <w:rFonts w:eastAsia="Calibri"/>
          <w:b/>
          <w:u w:color="000000"/>
          <w:bdr w:val="nil"/>
          <w:lang w:val="es-ES_tradnl" w:eastAsia="en-GB"/>
        </w:rPr>
        <w:t>los</w:t>
      </w:r>
      <w:r w:rsidR="00C30FCA" w:rsidRPr="006313D2">
        <w:rPr>
          <w:rFonts w:eastAsia="Calibri"/>
          <w:b/>
          <w:u w:color="000000"/>
          <w:bdr w:val="nil"/>
          <w:lang w:val="es-ES_tradnl" w:eastAsia="en-GB"/>
        </w:rPr>
        <w:t xml:space="preserve"> directivos y </w:t>
      </w:r>
      <w:r w:rsidR="00C30FCA">
        <w:rPr>
          <w:rFonts w:eastAsia="Calibri"/>
          <w:b/>
          <w:u w:color="000000"/>
          <w:bdr w:val="nil"/>
          <w:lang w:val="es-ES_tradnl" w:eastAsia="en-GB"/>
        </w:rPr>
        <w:t xml:space="preserve">los </w:t>
      </w:r>
      <w:r w:rsidR="00C30FCA" w:rsidRPr="006313D2">
        <w:rPr>
          <w:rFonts w:eastAsia="Calibri"/>
          <w:b/>
          <w:u w:color="000000"/>
          <w:bdr w:val="nil"/>
          <w:lang w:val="es-ES_tradnl" w:eastAsia="en-GB"/>
        </w:rPr>
        <w:t>miembros de la Defensoría del Pueblo</w:t>
      </w:r>
      <w:r w:rsidR="00C30FCA">
        <w:rPr>
          <w:rFonts w:eastAsia="Calibri"/>
          <w:b/>
          <w:u w:color="000000"/>
          <w:bdr w:val="nil"/>
          <w:lang w:val="es-ES_tradnl" w:eastAsia="en-GB"/>
        </w:rPr>
        <w:t xml:space="preserve"> sean</w:t>
      </w:r>
      <w:r w:rsidRPr="006313D2">
        <w:rPr>
          <w:b/>
          <w:lang w:val="es-ES_tradnl"/>
        </w:rPr>
        <w:t xml:space="preserve"> independientes y transparentes</w:t>
      </w:r>
      <w:r w:rsidRPr="006313D2">
        <w:rPr>
          <w:rFonts w:eastAsia="Calibri"/>
          <w:b/>
          <w:u w:color="000000"/>
          <w:bdr w:val="nil"/>
          <w:lang w:val="es-ES_tradnl" w:eastAsia="en-GB"/>
        </w:rPr>
        <w:t>, conforme a lo establecido en el</w:t>
      </w:r>
      <w:r w:rsidRPr="006313D2">
        <w:rPr>
          <w:b/>
          <w:lang w:val="es-ES_tradnl" w:eastAsia="en-US"/>
        </w:rPr>
        <w:t xml:space="preserve"> Protocolo Facultativo de la Convención</w:t>
      </w:r>
      <w:r w:rsidR="00A77631">
        <w:rPr>
          <w:b/>
          <w:lang w:val="es-ES_tradnl" w:eastAsia="en-US"/>
        </w:rPr>
        <w:t xml:space="preserve"> contra la Tortura y Otros Tratos o Penas Crueles, Inhumanos o Degradantes</w:t>
      </w:r>
      <w:r w:rsidRPr="006313D2">
        <w:rPr>
          <w:rFonts w:eastAsia="Calibri"/>
          <w:b/>
          <w:u w:color="000000"/>
          <w:bdr w:val="nil"/>
          <w:lang w:val="es-ES_tradnl" w:eastAsia="en-GB"/>
        </w:rPr>
        <w:t xml:space="preserve">, </w:t>
      </w:r>
      <w:r w:rsidRPr="006313D2">
        <w:rPr>
          <w:b/>
          <w:lang w:val="es-ES_tradnl" w:eastAsia="en-US"/>
        </w:rPr>
        <w:t>y lo dispuesto en las Directrices relativas a los mecanismos nacionales de prevención</w:t>
      </w:r>
      <w:r w:rsidR="00B10EBD" w:rsidRPr="001D1DE3">
        <w:rPr>
          <w:rStyle w:val="FootnoteReference"/>
          <w:bCs/>
          <w:lang w:val="es-ES_tradnl" w:eastAsia="en-US"/>
        </w:rPr>
        <w:footnoteReference w:id="11"/>
      </w:r>
      <w:hyperlink r:id="rId15" w:history="1">
        <w:r w:rsidR="00CA7495" w:rsidRPr="00CA7495">
          <w:rPr>
            <w:rStyle w:val="Hyperlink"/>
          </w:rPr>
          <w:t>http://</w:t>
        </w:r>
        <w:proofErr w:type="spellStart"/>
        <w:r w:rsidR="00CA7495" w:rsidRPr="00CA7495">
          <w:rPr>
            <w:rStyle w:val="Hyperlink"/>
          </w:rPr>
          <w:t>undocs.org</w:t>
        </w:r>
        <w:proofErr w:type="spellEnd"/>
        <w:r w:rsidR="00CA7495" w:rsidRPr="00CA7495">
          <w:rPr>
            <w:rStyle w:val="Hyperlink"/>
          </w:rPr>
          <w:t>/es/CAT/</w:t>
        </w:r>
        <w:proofErr w:type="spellStart"/>
        <w:r w:rsidR="00CA7495" w:rsidRPr="00CA7495">
          <w:rPr>
            <w:rStyle w:val="Hyperlink"/>
          </w:rPr>
          <w:t>OP</w:t>
        </w:r>
        <w:proofErr w:type="spellEnd"/>
        <w:r w:rsidR="00CA7495" w:rsidRPr="00CA7495">
          <w:rPr>
            <w:rStyle w:val="Hyperlink"/>
          </w:rPr>
          <w:t>/12/5</w:t>
        </w:r>
      </w:hyperlink>
      <w:r w:rsidRPr="006313D2">
        <w:rPr>
          <w:b/>
          <w:lang w:val="es-ES_tradnl" w:eastAsia="en-US"/>
        </w:rPr>
        <w:t>;</w:t>
      </w:r>
    </w:p>
    <w:p w14:paraId="34CAE997" w14:textId="77777777" w:rsidR="006313D2" w:rsidRPr="006313D2" w:rsidRDefault="006313D2" w:rsidP="00E07CA4">
      <w:pPr>
        <w:pStyle w:val="SingleTxtG"/>
        <w:numPr>
          <w:ilvl w:val="0"/>
          <w:numId w:val="17"/>
        </w:numPr>
        <w:ind w:left="1134" w:firstLine="567"/>
        <w:rPr>
          <w:rFonts w:eastAsia="Calibri"/>
          <w:b/>
          <w:u w:color="000000"/>
          <w:bdr w:val="nil"/>
          <w:lang w:val="es-ES_tradnl" w:eastAsia="en-GB"/>
        </w:rPr>
      </w:pPr>
      <w:r w:rsidRPr="006313D2">
        <w:rPr>
          <w:b/>
          <w:lang w:val="es-ES_tradnl" w:eastAsia="en-US"/>
        </w:rPr>
        <w:t xml:space="preserve">Fortalecer la institucionalidad de la Defensoría del Pueblo y garantizar la transparencia de los </w:t>
      </w:r>
      <w:r w:rsidRPr="006313D2">
        <w:rPr>
          <w:b/>
          <w:lang w:val="es-ES_tradnl"/>
        </w:rPr>
        <w:t>procesos de selección de sus directivos y miembros</w:t>
      </w:r>
      <w:r w:rsidRPr="006313D2">
        <w:rPr>
          <w:rFonts w:eastAsia="Calibri"/>
          <w:b/>
          <w:u w:color="000000"/>
          <w:bdr w:val="nil"/>
          <w:lang w:val="es-ES_tradnl" w:eastAsia="en-GB"/>
        </w:rPr>
        <w:t>;</w:t>
      </w:r>
    </w:p>
    <w:p w14:paraId="67701DF8" w14:textId="4164CA61" w:rsidR="006313D2" w:rsidRPr="006313D2" w:rsidRDefault="006313D2" w:rsidP="00E07CA4">
      <w:pPr>
        <w:pStyle w:val="SingleTxtG"/>
        <w:numPr>
          <w:ilvl w:val="0"/>
          <w:numId w:val="17"/>
        </w:numPr>
        <w:ind w:left="1134" w:firstLine="567"/>
        <w:rPr>
          <w:rFonts w:eastAsia="Calibri"/>
          <w:b/>
          <w:u w:color="000000"/>
          <w:bdr w:val="nil"/>
          <w:lang w:val="es-ES_tradnl" w:eastAsia="en-GB"/>
        </w:rPr>
      </w:pPr>
      <w:r w:rsidRPr="006313D2">
        <w:rPr>
          <w:b/>
          <w:lang w:val="es-ES_tradnl" w:eastAsia="en-US"/>
        </w:rPr>
        <w:t xml:space="preserve">Velar por que el </w:t>
      </w:r>
      <w:r w:rsidR="00EC52F1">
        <w:rPr>
          <w:b/>
          <w:lang w:val="es-ES_tradnl" w:eastAsia="en-US"/>
        </w:rPr>
        <w:t>m</w:t>
      </w:r>
      <w:r w:rsidRPr="006313D2">
        <w:rPr>
          <w:b/>
          <w:lang w:val="es-ES_tradnl" w:eastAsia="en-US"/>
        </w:rPr>
        <w:t xml:space="preserve">ecanismo </w:t>
      </w:r>
      <w:r w:rsidR="00EC52F1">
        <w:rPr>
          <w:b/>
          <w:lang w:val="es-ES_tradnl" w:eastAsia="en-US"/>
        </w:rPr>
        <w:t>n</w:t>
      </w:r>
      <w:r w:rsidRPr="006313D2">
        <w:rPr>
          <w:b/>
          <w:lang w:val="es-ES_tradnl" w:eastAsia="en-US"/>
        </w:rPr>
        <w:t xml:space="preserve">acional de </w:t>
      </w:r>
      <w:r w:rsidR="00EC52F1">
        <w:rPr>
          <w:b/>
          <w:lang w:val="es-ES_tradnl" w:eastAsia="en-US"/>
        </w:rPr>
        <w:t>p</w:t>
      </w:r>
      <w:r w:rsidRPr="006313D2">
        <w:rPr>
          <w:b/>
          <w:lang w:val="es-ES_tradnl" w:eastAsia="en-US"/>
        </w:rPr>
        <w:t xml:space="preserve">revención cuente con los recursos técnicos, financieros y humanos necesarios para desempeñar su labor con eficacia, teniendo en cuenta el trabajo y la experiencia previa del </w:t>
      </w:r>
      <w:r w:rsidR="00EC52F1" w:rsidRPr="001D1DE3">
        <w:rPr>
          <w:b/>
          <w:bCs/>
          <w:lang w:val="es-419"/>
        </w:rPr>
        <w:t>Servicio para la Prevención de la Tortura</w:t>
      </w:r>
      <w:r w:rsidRPr="006313D2">
        <w:rPr>
          <w:b/>
          <w:lang w:val="es-ES_tradnl" w:eastAsia="en-US"/>
        </w:rPr>
        <w:t>.</w:t>
      </w:r>
    </w:p>
    <w:p w14:paraId="533AA44F" w14:textId="77777777" w:rsidR="006313D2" w:rsidRPr="006313D2" w:rsidRDefault="006313D2" w:rsidP="006313D2">
      <w:pPr>
        <w:pStyle w:val="H23G"/>
        <w:rPr>
          <w:lang w:val="es-CO" w:eastAsia="en-US"/>
        </w:rPr>
      </w:pPr>
      <w:r>
        <w:rPr>
          <w:lang w:val="es-CO" w:eastAsia="en-US"/>
        </w:rPr>
        <w:tab/>
      </w:r>
      <w:r>
        <w:rPr>
          <w:lang w:val="es-CO" w:eastAsia="en-US"/>
        </w:rPr>
        <w:tab/>
      </w:r>
      <w:r w:rsidRPr="006313D2">
        <w:rPr>
          <w:lang w:val="es-CO" w:eastAsia="en-US"/>
        </w:rPr>
        <w:t xml:space="preserve">Comisión de la Verdad </w:t>
      </w:r>
    </w:p>
    <w:p w14:paraId="0BBE5626" w14:textId="4570C8DD" w:rsidR="006313D2" w:rsidRPr="006313D2" w:rsidRDefault="006313D2" w:rsidP="006313D2">
      <w:pPr>
        <w:pStyle w:val="SingleTxtG"/>
      </w:pPr>
      <w:r w:rsidRPr="006313D2">
        <w:t xml:space="preserve">16. </w:t>
      </w:r>
      <w:r>
        <w:tab/>
      </w:r>
      <w:r w:rsidRPr="006313D2">
        <w:t xml:space="preserve">El Comité expresa su satisfacción por el establecimiento de la Comisión de la Verdad y la presentación de su memoria histórica sobre las diversas condiciones que dieron lugar a la violación de derechos humanos y la comisión de delitos de lesa humanidad </w:t>
      </w:r>
      <w:r w:rsidR="00850B2A">
        <w:t>entre</w:t>
      </w:r>
      <w:r w:rsidRPr="006313D2">
        <w:t xml:space="preserve"> 1964 </w:t>
      </w:r>
      <w:r w:rsidR="00850B2A">
        <w:t>y</w:t>
      </w:r>
      <w:r w:rsidRPr="006313D2">
        <w:t xml:space="preserve"> 1982, así como su informe final sobre las graves violaciones a los derechos humanos investigadas, que incluyen los casos de 5</w:t>
      </w:r>
      <w:r w:rsidR="00850B2A">
        <w:t>.</w:t>
      </w:r>
      <w:r w:rsidRPr="006313D2">
        <w:t>405 personas que sufrieron tortura. Sin embargo, preocupa al Comité:</w:t>
      </w:r>
    </w:p>
    <w:p w14:paraId="1FFBB56A" w14:textId="556CBD13" w:rsidR="006313D2" w:rsidRPr="006313D2" w:rsidRDefault="006313D2" w:rsidP="006313D2">
      <w:pPr>
        <w:pStyle w:val="SingleTxtG"/>
      </w:pPr>
      <w:r>
        <w:tab/>
        <w:t>a)</w:t>
      </w:r>
      <w:r>
        <w:tab/>
      </w:r>
      <w:r w:rsidRPr="006313D2">
        <w:t xml:space="preserve">La </w:t>
      </w:r>
      <w:r w:rsidR="00822F1D">
        <w:t>poc</w:t>
      </w:r>
      <w:r w:rsidRPr="006313D2">
        <w:t xml:space="preserve">a difusión del informe final de la Comisión de la Verdad y </w:t>
      </w:r>
      <w:r w:rsidR="00850B2A">
        <w:t xml:space="preserve">la </w:t>
      </w:r>
      <w:r w:rsidRPr="006313D2">
        <w:t>falta de un mecanismo para el monitoreo de la implementación de sus recomendaciones;</w:t>
      </w:r>
    </w:p>
    <w:p w14:paraId="166B7389" w14:textId="5946696E" w:rsidR="006313D2" w:rsidRPr="006313D2" w:rsidRDefault="006313D2" w:rsidP="006313D2">
      <w:pPr>
        <w:pStyle w:val="SingleTxtG"/>
        <w:rPr>
          <w:lang w:val="es-CO"/>
        </w:rPr>
      </w:pPr>
      <w:r>
        <w:rPr>
          <w:lang w:eastAsia="en-US"/>
        </w:rPr>
        <w:tab/>
      </w:r>
      <w:r w:rsidRPr="006313D2">
        <w:rPr>
          <w:lang w:eastAsia="en-US"/>
        </w:rPr>
        <w:t>b)</w:t>
      </w:r>
      <w:r w:rsidRPr="006313D2">
        <w:rPr>
          <w:lang w:eastAsia="en-US"/>
        </w:rPr>
        <w:tab/>
        <w:t xml:space="preserve">La insuficiente información relativa a </w:t>
      </w:r>
      <w:r w:rsidRPr="006313D2">
        <w:rPr>
          <w:lang w:val="es-CO"/>
        </w:rPr>
        <w:t>las responsabilidades penales de algunos de los 1</w:t>
      </w:r>
      <w:r w:rsidR="00850B2A">
        <w:rPr>
          <w:lang w:val="es-CO"/>
        </w:rPr>
        <w:t>.</w:t>
      </w:r>
      <w:r w:rsidRPr="006313D2">
        <w:rPr>
          <w:lang w:val="es-CO"/>
        </w:rPr>
        <w:t>498 perpetradores de crímenes de lesa humanidad</w:t>
      </w:r>
      <w:r w:rsidRPr="006313D2">
        <w:rPr>
          <w:lang w:val="es-ES_tradnl" w:eastAsia="en-US"/>
        </w:rPr>
        <w:t xml:space="preserve"> y graves violaciones de derechos humanos cometidas durante el mencionado per</w:t>
      </w:r>
      <w:r w:rsidR="00850B2A">
        <w:rPr>
          <w:lang w:val="es-ES_tradnl" w:eastAsia="en-US"/>
        </w:rPr>
        <w:t>í</w:t>
      </w:r>
      <w:r w:rsidRPr="006313D2">
        <w:rPr>
          <w:lang w:val="es-ES_tradnl" w:eastAsia="en-US"/>
        </w:rPr>
        <w:t>odo</w:t>
      </w:r>
      <w:r w:rsidRPr="006313D2">
        <w:rPr>
          <w:lang w:val="es-CO"/>
        </w:rPr>
        <w:t>. El Comité toma nota de las dificultades que presenta la investigación de los casos de tortura, tales como</w:t>
      </w:r>
      <w:r w:rsidR="00850B2A">
        <w:rPr>
          <w:lang w:val="es-CO"/>
        </w:rPr>
        <w:t xml:space="preserve"> las</w:t>
      </w:r>
      <w:r w:rsidRPr="006313D2">
        <w:rPr>
          <w:lang w:val="es-CO"/>
        </w:rPr>
        <w:t xml:space="preserve"> limitaciones materiales </w:t>
      </w:r>
      <w:r w:rsidR="00850B2A">
        <w:rPr>
          <w:lang w:val="es-CO"/>
        </w:rPr>
        <w:t xml:space="preserve">o </w:t>
      </w:r>
      <w:r w:rsidRPr="006313D2">
        <w:rPr>
          <w:lang w:val="es-CO"/>
        </w:rPr>
        <w:t>que en algunos casos solo se cuente con el testimonio de las víctimas como evidencia y el temor de las víctimas a denunciar;</w:t>
      </w:r>
    </w:p>
    <w:p w14:paraId="333C01F2" w14:textId="00424A91" w:rsidR="006313D2" w:rsidRPr="006313D2" w:rsidRDefault="006313D2" w:rsidP="006313D2">
      <w:pPr>
        <w:pStyle w:val="SingleTxtG"/>
        <w:rPr>
          <w:lang w:val="es-CO"/>
        </w:rPr>
      </w:pPr>
      <w:r>
        <w:rPr>
          <w:lang w:val="es-CO"/>
        </w:rPr>
        <w:tab/>
      </w:r>
      <w:r w:rsidRPr="006313D2">
        <w:rPr>
          <w:lang w:val="es-CO"/>
        </w:rPr>
        <w:t>c)</w:t>
      </w:r>
      <w:r w:rsidRPr="006313D2">
        <w:rPr>
          <w:lang w:val="es-CO"/>
        </w:rPr>
        <w:tab/>
        <w:t>La</w:t>
      </w:r>
      <w:r w:rsidR="00621328">
        <w:rPr>
          <w:lang w:val="es-CO"/>
        </w:rPr>
        <w:t>s</w:t>
      </w:r>
      <w:r w:rsidRPr="006313D2">
        <w:rPr>
          <w:lang w:val="es-CO"/>
        </w:rPr>
        <w:t xml:space="preserve"> deficiencias y demoras del programa de reparaciones</w:t>
      </w:r>
      <w:r w:rsidR="004502CC">
        <w:rPr>
          <w:lang w:val="es-CO"/>
        </w:rPr>
        <w:t xml:space="preserve"> que </w:t>
      </w:r>
      <w:r w:rsidR="004E58C5">
        <w:rPr>
          <w:lang w:val="es-CO"/>
        </w:rPr>
        <w:t xml:space="preserve">en la actualidad </w:t>
      </w:r>
      <w:r w:rsidR="004502CC">
        <w:rPr>
          <w:lang w:val="es-CO"/>
        </w:rPr>
        <w:t>incluye a 1</w:t>
      </w:r>
      <w:r w:rsidR="00850B2A">
        <w:rPr>
          <w:lang w:val="es-CO"/>
        </w:rPr>
        <w:t>.</w:t>
      </w:r>
      <w:r w:rsidR="004502CC">
        <w:rPr>
          <w:lang w:val="es-CO"/>
        </w:rPr>
        <w:t>714 beneficiarios</w:t>
      </w:r>
      <w:r w:rsidRPr="006313D2">
        <w:rPr>
          <w:lang w:val="es-CO"/>
        </w:rPr>
        <w:t xml:space="preserve">, </w:t>
      </w:r>
      <w:r w:rsidR="004502CC">
        <w:rPr>
          <w:lang w:val="es-CO"/>
        </w:rPr>
        <w:t xml:space="preserve">aunque según </w:t>
      </w:r>
      <w:r w:rsidR="004E58C5">
        <w:rPr>
          <w:lang w:val="es-CO"/>
        </w:rPr>
        <w:t xml:space="preserve">la </w:t>
      </w:r>
      <w:r w:rsidR="004502CC">
        <w:rPr>
          <w:lang w:val="es-CO"/>
        </w:rPr>
        <w:t>informaci</w:t>
      </w:r>
      <w:r w:rsidR="00B1157D">
        <w:rPr>
          <w:lang w:val="es-CO"/>
        </w:rPr>
        <w:t>ón</w:t>
      </w:r>
      <w:r w:rsidR="004502CC">
        <w:rPr>
          <w:lang w:val="es-CO"/>
        </w:rPr>
        <w:t xml:space="preserve"> recibida, </w:t>
      </w:r>
      <w:r w:rsidR="004E58C5">
        <w:rPr>
          <w:lang w:val="es-CO"/>
        </w:rPr>
        <w:t xml:space="preserve">aún habría </w:t>
      </w:r>
      <w:r w:rsidRPr="006313D2">
        <w:rPr>
          <w:lang w:val="es-CO"/>
        </w:rPr>
        <w:t>víctimas</w:t>
      </w:r>
      <w:r w:rsidR="004E58C5">
        <w:rPr>
          <w:lang w:val="es-CO"/>
        </w:rPr>
        <w:t xml:space="preserve"> sin ser reconocidas como beneficiarias</w:t>
      </w:r>
      <w:r w:rsidR="004502CC">
        <w:rPr>
          <w:lang w:val="es-CO"/>
        </w:rPr>
        <w:t>.</w:t>
      </w:r>
      <w:r w:rsidR="00621328">
        <w:rPr>
          <w:lang w:val="es-CO"/>
        </w:rPr>
        <w:t xml:space="preserve"> </w:t>
      </w:r>
      <w:r w:rsidR="004E58C5">
        <w:rPr>
          <w:lang w:val="es-CO"/>
        </w:rPr>
        <w:t>También</w:t>
      </w:r>
      <w:r w:rsidR="00621328">
        <w:rPr>
          <w:lang w:val="es-CO"/>
        </w:rPr>
        <w:t xml:space="preserve"> preocupa al Comité que</w:t>
      </w:r>
      <w:r w:rsidRPr="006313D2">
        <w:rPr>
          <w:lang w:val="es-CO"/>
        </w:rPr>
        <w:t xml:space="preserve"> </w:t>
      </w:r>
      <w:r w:rsidR="004E58C5">
        <w:rPr>
          <w:lang w:val="es-CO"/>
        </w:rPr>
        <w:t xml:space="preserve">únicamente </w:t>
      </w:r>
      <w:r w:rsidR="00621328">
        <w:rPr>
          <w:lang w:val="es-CO"/>
        </w:rPr>
        <w:t>se ha</w:t>
      </w:r>
      <w:r w:rsidR="004E58C5">
        <w:rPr>
          <w:lang w:val="es-CO"/>
        </w:rPr>
        <w:t>bría</w:t>
      </w:r>
      <w:r w:rsidR="00621328">
        <w:rPr>
          <w:lang w:val="es-CO"/>
        </w:rPr>
        <w:t xml:space="preserve"> </w:t>
      </w:r>
      <w:r w:rsidR="004E58C5">
        <w:rPr>
          <w:lang w:val="es-CO"/>
        </w:rPr>
        <w:t>abona</w:t>
      </w:r>
      <w:r w:rsidR="00621328">
        <w:rPr>
          <w:lang w:val="es-CO"/>
        </w:rPr>
        <w:t xml:space="preserve">do </w:t>
      </w:r>
      <w:r w:rsidRPr="006313D2">
        <w:rPr>
          <w:lang w:val="es-CO"/>
        </w:rPr>
        <w:t>el 20</w:t>
      </w:r>
      <w:r w:rsidR="009672ED">
        <w:rPr>
          <w:lang w:val="es-CO"/>
        </w:rPr>
        <w:t> </w:t>
      </w:r>
      <w:r w:rsidRPr="006313D2">
        <w:rPr>
          <w:lang w:val="es-CO"/>
        </w:rPr>
        <w:t>% de</w:t>
      </w:r>
      <w:r w:rsidR="004E58C5">
        <w:rPr>
          <w:lang w:val="es-CO"/>
        </w:rPr>
        <w:t>l total de</w:t>
      </w:r>
      <w:r w:rsidRPr="006313D2">
        <w:rPr>
          <w:lang w:val="es-CO"/>
        </w:rPr>
        <w:t xml:space="preserve"> </w:t>
      </w:r>
      <w:r w:rsidR="00621328">
        <w:rPr>
          <w:lang w:val="es-CO"/>
        </w:rPr>
        <w:t xml:space="preserve">las reparaciones </w:t>
      </w:r>
      <w:r w:rsidR="004E58C5">
        <w:rPr>
          <w:lang w:val="es-CO"/>
        </w:rPr>
        <w:t xml:space="preserve">concedidas </w:t>
      </w:r>
      <w:r w:rsidR="00621328">
        <w:rPr>
          <w:lang w:val="es-CO"/>
        </w:rPr>
        <w:t>a 1</w:t>
      </w:r>
      <w:r w:rsidR="00850B2A">
        <w:rPr>
          <w:lang w:val="es-CO"/>
        </w:rPr>
        <w:t>.</w:t>
      </w:r>
      <w:r w:rsidR="00621328">
        <w:rPr>
          <w:lang w:val="es-CO"/>
        </w:rPr>
        <w:t xml:space="preserve">567 </w:t>
      </w:r>
      <w:r w:rsidR="004E58C5">
        <w:rPr>
          <w:lang w:val="es-CO"/>
        </w:rPr>
        <w:t>víctima</w:t>
      </w:r>
      <w:r w:rsidR="00621328">
        <w:rPr>
          <w:lang w:val="es-CO"/>
        </w:rPr>
        <w:t xml:space="preserve">s </w:t>
      </w:r>
      <w:r w:rsidRPr="006313D2">
        <w:rPr>
          <w:lang w:val="es-ES_tradnl" w:eastAsia="en-US"/>
        </w:rPr>
        <w:t>(arts. 2, 12, 13</w:t>
      </w:r>
      <w:r w:rsidR="002D4E7C">
        <w:rPr>
          <w:lang w:val="es-ES_tradnl" w:eastAsia="en-US"/>
        </w:rPr>
        <w:t> </w:t>
      </w:r>
      <w:r w:rsidRPr="006313D2">
        <w:rPr>
          <w:lang w:val="es-ES_tradnl" w:eastAsia="en-US"/>
        </w:rPr>
        <w:t>y</w:t>
      </w:r>
      <w:r w:rsidR="002D4E7C">
        <w:rPr>
          <w:lang w:val="es-ES_tradnl" w:eastAsia="en-US"/>
        </w:rPr>
        <w:t> </w:t>
      </w:r>
      <w:r w:rsidRPr="006313D2">
        <w:rPr>
          <w:lang w:val="es-ES_tradnl" w:eastAsia="en-US"/>
        </w:rPr>
        <w:t>14).</w:t>
      </w:r>
    </w:p>
    <w:p w14:paraId="20237D14" w14:textId="77777777" w:rsidR="006313D2" w:rsidRPr="006313D2" w:rsidRDefault="006313D2" w:rsidP="006313D2">
      <w:pPr>
        <w:pStyle w:val="SingleTxtG"/>
        <w:rPr>
          <w:b/>
          <w:lang w:val="es-ES_tradnl" w:eastAsia="en-US"/>
        </w:rPr>
      </w:pPr>
      <w:r w:rsidRPr="006313D2">
        <w:t xml:space="preserve">17. </w:t>
      </w:r>
      <w:r>
        <w:tab/>
      </w:r>
      <w:r w:rsidRPr="006313D2">
        <w:rPr>
          <w:b/>
          <w:lang w:eastAsia="en-US"/>
        </w:rPr>
        <w:t>E</w:t>
      </w:r>
      <w:r w:rsidRPr="006313D2">
        <w:rPr>
          <w:b/>
          <w:lang w:val="es-ES_tradnl" w:eastAsia="en-US"/>
        </w:rPr>
        <w:t>l Estado parte debe:</w:t>
      </w:r>
    </w:p>
    <w:p w14:paraId="0C822BC8" w14:textId="0A335A45" w:rsidR="006313D2" w:rsidRPr="006313D2" w:rsidRDefault="006313D2" w:rsidP="006313D2">
      <w:pPr>
        <w:pStyle w:val="SingleTxtG"/>
        <w:rPr>
          <w:b/>
          <w:lang w:val="es-ES_tradnl" w:eastAsia="en-US"/>
        </w:rPr>
      </w:pPr>
      <w:r w:rsidRPr="006313D2">
        <w:rPr>
          <w:b/>
          <w:lang w:val="es-ES_tradnl" w:eastAsia="en-US"/>
        </w:rPr>
        <w:tab/>
        <w:t xml:space="preserve">a) </w:t>
      </w:r>
      <w:r w:rsidR="00A647B9">
        <w:rPr>
          <w:b/>
          <w:lang w:val="es-ES_tradnl" w:eastAsia="en-US"/>
        </w:rPr>
        <w:tab/>
      </w:r>
      <w:r w:rsidRPr="006313D2">
        <w:rPr>
          <w:b/>
          <w:lang w:val="es-ES_tradnl" w:eastAsia="en-US"/>
        </w:rPr>
        <w:t xml:space="preserve">Adoptar las medidas necesarias para difundir ampliamente el </w:t>
      </w:r>
      <w:r w:rsidR="004666CD">
        <w:rPr>
          <w:b/>
          <w:lang w:val="es-CO"/>
        </w:rPr>
        <w:t>i</w:t>
      </w:r>
      <w:r w:rsidRPr="006313D2">
        <w:rPr>
          <w:b/>
          <w:lang w:val="es-CO"/>
        </w:rPr>
        <w:t xml:space="preserve">nforme de la Comisión de la Verdad y supervisar la aplicación </w:t>
      </w:r>
      <w:r w:rsidR="00C10E47">
        <w:rPr>
          <w:b/>
          <w:lang w:val="es-CO"/>
        </w:rPr>
        <w:t xml:space="preserve">efectiva </w:t>
      </w:r>
      <w:r w:rsidRPr="006313D2">
        <w:rPr>
          <w:b/>
          <w:lang w:val="es-CO"/>
        </w:rPr>
        <w:t>de sus recomendaciones;</w:t>
      </w:r>
    </w:p>
    <w:p w14:paraId="78D63E04" w14:textId="6F1AC861" w:rsidR="006313D2" w:rsidRPr="006313D2" w:rsidRDefault="006313D2" w:rsidP="006313D2">
      <w:pPr>
        <w:pStyle w:val="SingleTxtG"/>
        <w:rPr>
          <w:b/>
          <w:lang w:val="es-CO"/>
        </w:rPr>
      </w:pPr>
      <w:r w:rsidRPr="006313D2">
        <w:rPr>
          <w:b/>
          <w:lang w:val="es-CO"/>
        </w:rPr>
        <w:tab/>
        <w:t xml:space="preserve">b) </w:t>
      </w:r>
      <w:r w:rsidRPr="006313D2">
        <w:rPr>
          <w:b/>
          <w:lang w:val="es-CO"/>
        </w:rPr>
        <w:tab/>
      </w:r>
      <w:r w:rsidRPr="006313D2">
        <w:rPr>
          <w:b/>
          <w:lang w:val="es-ES_tradnl" w:eastAsia="en-US"/>
        </w:rPr>
        <w:t xml:space="preserve">Garantizar el avance de las investigaciones </w:t>
      </w:r>
      <w:r w:rsidRPr="006313D2">
        <w:rPr>
          <w:b/>
          <w:lang w:val="es-ES_tradnl"/>
        </w:rPr>
        <w:t xml:space="preserve">de las graves violaciones de los derechos humanos cometidas entre 1964 y 1982, asegurar que las Fuerzas Armadas cooperen plenamente en estas investigaciones </w:t>
      </w:r>
      <w:r w:rsidRPr="006313D2">
        <w:rPr>
          <w:b/>
          <w:lang w:val="es-ES_tradnl" w:eastAsia="en-US"/>
        </w:rPr>
        <w:t>y proceder al enjuiciamiento y sanción de los presuntos responsables;</w:t>
      </w:r>
    </w:p>
    <w:p w14:paraId="4E161FA8" w14:textId="77777777" w:rsidR="006313D2" w:rsidRPr="006313D2" w:rsidRDefault="006313D2" w:rsidP="006313D2">
      <w:pPr>
        <w:pStyle w:val="SingleTxtG"/>
        <w:rPr>
          <w:b/>
          <w:lang w:val="es-ES_tradnl"/>
        </w:rPr>
      </w:pPr>
      <w:r w:rsidRPr="006313D2">
        <w:rPr>
          <w:b/>
          <w:lang w:val="es-CO"/>
        </w:rPr>
        <w:tab/>
        <w:t xml:space="preserve">c) </w:t>
      </w:r>
      <w:r w:rsidRPr="006313D2">
        <w:rPr>
          <w:b/>
          <w:lang w:val="es-CO"/>
        </w:rPr>
        <w:tab/>
        <w:t>Asegurar que se incluya a todas las víctimas en los respectivos registros y</w:t>
      </w:r>
      <w:r w:rsidRPr="006313D2">
        <w:rPr>
          <w:b/>
          <w:lang w:val="es-ES_tradnl" w:eastAsia="en-US"/>
        </w:rPr>
        <w:t xml:space="preserve"> fortalecer el </w:t>
      </w:r>
      <w:r w:rsidRPr="006313D2">
        <w:rPr>
          <w:b/>
          <w:lang w:val="es-CO"/>
        </w:rPr>
        <w:t xml:space="preserve">programa de reparaciones con los </w:t>
      </w:r>
      <w:r w:rsidRPr="006313D2">
        <w:rPr>
          <w:b/>
          <w:lang w:val="es-ES_tradnl"/>
        </w:rPr>
        <w:t xml:space="preserve">recursos necesarios para garantizar la </w:t>
      </w:r>
      <w:r w:rsidRPr="006313D2">
        <w:rPr>
          <w:b/>
          <w:lang w:val="es-ES_tradnl"/>
        </w:rPr>
        <w:lastRenderedPageBreak/>
        <w:t>reparación integral de las víctimas, y que dichas reparaciones sean efectivamente asignadas a la mayor brevedad posible;</w:t>
      </w:r>
    </w:p>
    <w:p w14:paraId="41C941C7" w14:textId="77777777" w:rsidR="006313D2" w:rsidRPr="006313D2" w:rsidRDefault="006313D2" w:rsidP="006313D2">
      <w:pPr>
        <w:pStyle w:val="SingleTxtG"/>
        <w:rPr>
          <w:b/>
          <w:lang w:val="es-ES_tradnl"/>
        </w:rPr>
      </w:pPr>
      <w:r w:rsidRPr="006313D2">
        <w:rPr>
          <w:b/>
          <w:lang w:val="es-CO"/>
        </w:rPr>
        <w:tab/>
        <w:t xml:space="preserve">d) </w:t>
      </w:r>
      <w:r w:rsidRPr="006313D2">
        <w:rPr>
          <w:b/>
          <w:lang w:val="es-CO"/>
        </w:rPr>
        <w:tab/>
      </w:r>
      <w:r w:rsidRPr="006313D2">
        <w:rPr>
          <w:b/>
          <w:lang w:val="es-ES_tradnl"/>
        </w:rPr>
        <w:t>Complementar y ampliar en lo posible la tarea de la Comisión de la Verdad como elemento determinante en la búsqueda de la reconciliación y la satisfacción de los derechos de las víctimas.</w:t>
      </w:r>
    </w:p>
    <w:p w14:paraId="60ED4FA6" w14:textId="77777777" w:rsidR="006313D2" w:rsidRPr="006313D2" w:rsidRDefault="006313D2" w:rsidP="006313D2">
      <w:pPr>
        <w:pStyle w:val="H23G"/>
        <w:rPr>
          <w:rFonts w:eastAsia="Arial Unicode MS"/>
          <w:lang w:val="es-419" w:eastAsia="en-US"/>
        </w:rPr>
      </w:pPr>
      <w:r>
        <w:rPr>
          <w:rFonts w:eastAsia="Calibri"/>
          <w:lang w:eastAsia="en-US"/>
        </w:rPr>
        <w:tab/>
      </w:r>
      <w:r>
        <w:rPr>
          <w:rFonts w:eastAsia="Calibri"/>
          <w:lang w:eastAsia="en-US"/>
        </w:rPr>
        <w:tab/>
      </w:r>
      <w:r w:rsidRPr="006313D2">
        <w:rPr>
          <w:rFonts w:eastAsia="Calibri"/>
          <w:lang w:eastAsia="en-US"/>
        </w:rPr>
        <w:t xml:space="preserve">Violaciones de derechos humanos durante la crisis de 2019-2020 </w:t>
      </w:r>
    </w:p>
    <w:p w14:paraId="0B1583C7" w14:textId="43571B0B" w:rsidR="006313D2" w:rsidRPr="006313D2" w:rsidRDefault="006313D2" w:rsidP="006313D2">
      <w:pPr>
        <w:pStyle w:val="SingleTxtG"/>
        <w:rPr>
          <w:rFonts w:eastAsia="Arial Unicode MS"/>
          <w:lang w:val="es-419" w:eastAsia="en-US"/>
        </w:rPr>
      </w:pPr>
      <w:r w:rsidRPr="006313D2">
        <w:rPr>
          <w:rFonts w:eastAsia="Calibri"/>
          <w:lang w:val="es-ES_tradnl" w:eastAsia="en-US"/>
        </w:rPr>
        <w:t xml:space="preserve">18. </w:t>
      </w:r>
      <w:r>
        <w:rPr>
          <w:rFonts w:eastAsia="Calibri"/>
          <w:lang w:val="es-ES_tradnl" w:eastAsia="en-US"/>
        </w:rPr>
        <w:tab/>
      </w:r>
      <w:r w:rsidRPr="006313D2">
        <w:rPr>
          <w:rFonts w:eastAsia="Calibri"/>
          <w:u w:color="000000"/>
          <w:bdr w:val="nil"/>
          <w:lang w:val="es-ES_tradnl" w:eastAsia="en-GB"/>
        </w:rPr>
        <w:t xml:space="preserve">El Comité expresa su seria preocupación por los informes recibidos en los que se documentan los actos de violencia y las graves violaciones de derechos humanos, incluida la tortura, los malos tratos y el uso </w:t>
      </w:r>
      <w:r w:rsidRPr="004313DA">
        <w:rPr>
          <w:rFonts w:eastAsia="Calibri"/>
          <w:u w:color="000000"/>
          <w:bdr w:val="nil"/>
          <w:lang w:val="es-ES_tradnl" w:eastAsia="en-GB"/>
        </w:rPr>
        <w:t xml:space="preserve">excesivo de la fuerza con resultado de muerte, ocurridos en el marco de la crisis sociopolítica </w:t>
      </w:r>
      <w:r w:rsidR="00731A44">
        <w:rPr>
          <w:rFonts w:eastAsia="Calibri"/>
          <w:u w:color="000000"/>
          <w:bdr w:val="nil"/>
          <w:lang w:val="es-ES_tradnl" w:eastAsia="en-GB"/>
        </w:rPr>
        <w:t>que tuvo lugar</w:t>
      </w:r>
      <w:r w:rsidR="0009022F">
        <w:rPr>
          <w:rFonts w:eastAsia="Calibri"/>
          <w:u w:color="000000"/>
          <w:bdr w:val="nil"/>
          <w:lang w:val="es-ES_tradnl" w:eastAsia="en-GB"/>
        </w:rPr>
        <w:t xml:space="preserve"> </w:t>
      </w:r>
      <w:r w:rsidRPr="004313DA">
        <w:rPr>
          <w:rFonts w:eastAsia="Calibri"/>
          <w:u w:color="000000"/>
          <w:bdr w:val="nil"/>
          <w:lang w:val="es-ES_tradnl" w:eastAsia="en-GB"/>
        </w:rPr>
        <w:t>de septiembre</w:t>
      </w:r>
      <w:r w:rsidR="0009022F">
        <w:rPr>
          <w:rFonts w:eastAsia="Calibri"/>
          <w:u w:color="000000"/>
          <w:bdr w:val="nil"/>
          <w:lang w:val="es-ES_tradnl" w:eastAsia="en-GB"/>
        </w:rPr>
        <w:t xml:space="preserve"> a </w:t>
      </w:r>
      <w:r w:rsidRPr="004313DA">
        <w:rPr>
          <w:rFonts w:eastAsia="Calibri"/>
          <w:u w:color="000000"/>
          <w:bdr w:val="nil"/>
          <w:lang w:val="es-ES_tradnl" w:eastAsia="en-GB"/>
        </w:rPr>
        <w:t>diciembre de 2019.</w:t>
      </w:r>
      <w:r w:rsidRPr="006313D2">
        <w:rPr>
          <w:rFonts w:eastAsia="Calibri"/>
          <w:u w:color="000000"/>
          <w:bdr w:val="nil"/>
          <w:lang w:val="es-ES_tradnl" w:eastAsia="en-GB"/>
        </w:rPr>
        <w:t xml:space="preserve"> Mantiene también su preocupación ante los </w:t>
      </w:r>
      <w:r w:rsidRPr="006313D2">
        <w:rPr>
          <w:lang w:val="es-419" w:eastAsia="en-US"/>
        </w:rPr>
        <w:t>insuficientes avances en la investigación y enjuiciamiento de las denuncias de tortura y malos tratos ocurridas en este contexto, así como respecto de los a</w:t>
      </w:r>
      <w:r w:rsidRPr="006313D2">
        <w:rPr>
          <w:rFonts w:eastAsia="Calibri"/>
          <w:u w:color="000000"/>
          <w:bdr w:val="nil"/>
          <w:lang w:val="es-ES_tradnl" w:eastAsia="en-GB"/>
        </w:rPr>
        <w:t>taques a</w:t>
      </w:r>
      <w:r w:rsidR="0009022F">
        <w:rPr>
          <w:rFonts w:eastAsia="Calibri"/>
          <w:u w:color="000000"/>
          <w:bdr w:val="nil"/>
          <w:lang w:val="es-ES_tradnl" w:eastAsia="en-GB"/>
        </w:rPr>
        <w:t>l</w:t>
      </w:r>
      <w:r w:rsidRPr="006313D2">
        <w:rPr>
          <w:rFonts w:eastAsia="Calibri"/>
          <w:u w:color="000000"/>
          <w:bdr w:val="nil"/>
          <w:lang w:val="es-ES_tradnl" w:eastAsia="en-GB"/>
        </w:rPr>
        <w:t xml:space="preserve"> personal de la Defensoría del Pueblo </w:t>
      </w:r>
      <w:r w:rsidRPr="006313D2">
        <w:rPr>
          <w:rFonts w:eastAsia="Arial Unicode MS"/>
          <w:lang w:val="es-419" w:eastAsia="en-US"/>
        </w:rPr>
        <w:t>(arts. 2, 12, 13 y 16).</w:t>
      </w:r>
    </w:p>
    <w:p w14:paraId="536D0F0E" w14:textId="77777777" w:rsidR="006313D2" w:rsidRPr="006313D2" w:rsidRDefault="006313D2" w:rsidP="006313D2">
      <w:pPr>
        <w:pStyle w:val="SingleTxtG"/>
        <w:rPr>
          <w:b/>
        </w:rPr>
      </w:pPr>
      <w:r w:rsidRPr="006313D2">
        <w:rPr>
          <w:rFonts w:eastAsia="Arial"/>
        </w:rPr>
        <w:t xml:space="preserve">19. </w:t>
      </w:r>
      <w:r w:rsidRPr="006313D2">
        <w:rPr>
          <w:rFonts w:eastAsia="Arial"/>
        </w:rPr>
        <w:tab/>
      </w:r>
      <w:r w:rsidRPr="006313D2">
        <w:rPr>
          <w:b/>
        </w:rPr>
        <w:t>El Estado parte debe:</w:t>
      </w:r>
    </w:p>
    <w:p w14:paraId="19E77AE8" w14:textId="7FB54BFC" w:rsidR="006313D2" w:rsidRPr="006313D2" w:rsidRDefault="006313D2" w:rsidP="00E07CA4">
      <w:pPr>
        <w:pStyle w:val="SingleTxtG"/>
        <w:numPr>
          <w:ilvl w:val="0"/>
          <w:numId w:val="18"/>
        </w:numPr>
        <w:ind w:left="1134" w:firstLine="567"/>
        <w:rPr>
          <w:rFonts w:eastAsia="Arial"/>
          <w:b/>
        </w:rPr>
      </w:pPr>
      <w:r w:rsidRPr="006313D2">
        <w:rPr>
          <w:rFonts w:eastAsia="Arial"/>
          <w:b/>
        </w:rPr>
        <w:t>Investigar de modo pronto, independiente, efectivo y exhaustivo</w:t>
      </w:r>
      <w:r w:rsidR="000704CA">
        <w:rPr>
          <w:rFonts w:eastAsia="Arial"/>
          <w:b/>
        </w:rPr>
        <w:t>;</w:t>
      </w:r>
      <w:r w:rsidRPr="006313D2">
        <w:rPr>
          <w:rFonts w:eastAsia="Arial"/>
          <w:b/>
        </w:rPr>
        <w:t xml:space="preserve"> juzgar y, en su caso, sancionar a los responsables de actos de tortura, malos tratos y uso excesivo de la fuerza ocurridos durante la crisis de 2019-2020; y asegurar que las víctimas reciban una reparación integral adecuada, conforme al daño sufrido;</w:t>
      </w:r>
    </w:p>
    <w:p w14:paraId="6062E28E" w14:textId="77777777" w:rsidR="006313D2" w:rsidRPr="006313D2" w:rsidRDefault="006313D2" w:rsidP="00E07CA4">
      <w:pPr>
        <w:pStyle w:val="SingleTxtG"/>
        <w:numPr>
          <w:ilvl w:val="0"/>
          <w:numId w:val="18"/>
        </w:numPr>
        <w:ind w:left="1134" w:firstLine="567"/>
        <w:rPr>
          <w:rFonts w:eastAsia="Arial"/>
          <w:b/>
        </w:rPr>
      </w:pPr>
      <w:r w:rsidRPr="006313D2">
        <w:rPr>
          <w:rFonts w:eastAsia="Calibri"/>
          <w:b/>
        </w:rPr>
        <w:t xml:space="preserve">Establecer un mecanismo de seguimiento a </w:t>
      </w:r>
      <w:r w:rsidRPr="006313D2">
        <w:rPr>
          <w:b/>
        </w:rPr>
        <w:t>las recomendaciones del Grupo Interdisciplinario de Expertos Independientes, creado mediante un acuerdo suscrito con la Comisión Interamericana de Derechos Humanos para coadyuvar en las investigaciones de los hechos mencionados;</w:t>
      </w:r>
    </w:p>
    <w:p w14:paraId="4C9A5E57" w14:textId="6930FE54" w:rsidR="006313D2" w:rsidRPr="00243C2D" w:rsidRDefault="006313D2" w:rsidP="00E07CA4">
      <w:pPr>
        <w:pStyle w:val="SingleTxtG"/>
        <w:numPr>
          <w:ilvl w:val="0"/>
          <w:numId w:val="18"/>
        </w:numPr>
        <w:ind w:left="1134" w:firstLine="567"/>
        <w:rPr>
          <w:rFonts w:eastAsia="Arial"/>
          <w:b/>
        </w:rPr>
      </w:pPr>
      <w:r w:rsidRPr="006313D2">
        <w:rPr>
          <w:rFonts w:eastAsia="Arial"/>
          <w:b/>
        </w:rPr>
        <w:t xml:space="preserve">Adoptar las medidas necesarias para regular la actuación de la </w:t>
      </w:r>
      <w:r w:rsidR="0009022F">
        <w:rPr>
          <w:rFonts w:eastAsia="Arial"/>
          <w:b/>
        </w:rPr>
        <w:t>P</w:t>
      </w:r>
      <w:r w:rsidRPr="006313D2">
        <w:rPr>
          <w:rFonts w:eastAsia="Arial"/>
          <w:b/>
        </w:rPr>
        <w:t xml:space="preserve">olicía y las Fuerzas Armadas </w:t>
      </w:r>
      <w:r w:rsidRPr="00243C2D">
        <w:rPr>
          <w:rFonts w:eastAsia="Arial"/>
          <w:b/>
        </w:rPr>
        <w:t>conforme a criterios estrictamente profesionales y para garantizar su subordinación a las autoridades civiles. El Comité recomienda al Estado parte establecer protocolos eficaces que regulen la actuación de las fuerzas del orden durante las protestas sociales;</w:t>
      </w:r>
    </w:p>
    <w:p w14:paraId="59221A01" w14:textId="77777777" w:rsidR="006313D2" w:rsidRPr="006313D2" w:rsidRDefault="006313D2" w:rsidP="00E07CA4">
      <w:pPr>
        <w:pStyle w:val="SingleTxtG"/>
        <w:numPr>
          <w:ilvl w:val="0"/>
          <w:numId w:val="18"/>
        </w:numPr>
        <w:ind w:left="1134" w:firstLine="567"/>
        <w:rPr>
          <w:rFonts w:eastAsia="Arial"/>
          <w:b/>
        </w:rPr>
      </w:pPr>
      <w:r w:rsidRPr="006313D2">
        <w:rPr>
          <w:rFonts w:eastAsia="Arial"/>
          <w:b/>
        </w:rPr>
        <w:t>Investigar y sancionar los ataques y represalias contra el personal de la Defensoría del Pueblo;</w:t>
      </w:r>
    </w:p>
    <w:p w14:paraId="0C4C6F82" w14:textId="77777777" w:rsidR="006313D2" w:rsidRPr="006313D2" w:rsidRDefault="006313D2" w:rsidP="00E07CA4">
      <w:pPr>
        <w:pStyle w:val="SingleTxtG"/>
        <w:numPr>
          <w:ilvl w:val="0"/>
          <w:numId w:val="18"/>
        </w:numPr>
        <w:ind w:left="1134" w:firstLine="567"/>
        <w:rPr>
          <w:b/>
        </w:rPr>
      </w:pPr>
      <w:r w:rsidRPr="006313D2">
        <w:rPr>
          <w:b/>
        </w:rPr>
        <w:t>Renovar la presencia de la Oficina del Alto Comisionado de las Naciones Unidas para los Derechos Humanos en el Estado parte, a fin de acompañar la aplicación de las recomendaciones de los mecanismos internacionales de protección de derechos humanos.</w:t>
      </w:r>
    </w:p>
    <w:p w14:paraId="6B5E8B37" w14:textId="77777777" w:rsidR="006313D2" w:rsidRPr="006313D2" w:rsidRDefault="006313D2" w:rsidP="006313D2">
      <w:pPr>
        <w:pStyle w:val="H23G"/>
        <w:rPr>
          <w:rFonts w:eastAsia="Arial Unicode MS"/>
          <w:u w:color="000000"/>
          <w:bdr w:val="nil"/>
          <w:lang w:val="es-419" w:eastAsia="en-GB"/>
        </w:rPr>
      </w:pPr>
      <w:r>
        <w:rPr>
          <w:rFonts w:eastAsia="Calibri"/>
          <w:u w:color="000000"/>
          <w:bdr w:val="nil"/>
          <w:lang w:val="es-ES_tradnl" w:eastAsia="en-GB"/>
        </w:rPr>
        <w:tab/>
      </w:r>
      <w:r>
        <w:rPr>
          <w:rFonts w:eastAsia="Calibri"/>
          <w:u w:color="000000"/>
          <w:bdr w:val="nil"/>
          <w:lang w:val="es-ES_tradnl" w:eastAsia="en-GB"/>
        </w:rPr>
        <w:tab/>
      </w:r>
      <w:r w:rsidRPr="006313D2">
        <w:rPr>
          <w:rFonts w:eastAsia="Calibri"/>
          <w:u w:color="000000"/>
          <w:bdr w:val="nil"/>
          <w:lang w:val="es-ES_tradnl" w:eastAsia="en-GB"/>
        </w:rPr>
        <w:t xml:space="preserve">Violencia de carácter racista </w:t>
      </w:r>
    </w:p>
    <w:p w14:paraId="250FB7A4" w14:textId="2FF1CD63" w:rsidR="006313D2" w:rsidRPr="006313D2" w:rsidRDefault="006313D2" w:rsidP="006313D2">
      <w:pPr>
        <w:pStyle w:val="SingleTxtG"/>
        <w:rPr>
          <w:rFonts w:eastAsia="Arial Unicode MS"/>
          <w:u w:color="000000"/>
          <w:bdr w:val="nil"/>
          <w:lang w:val="es-419" w:eastAsia="en-GB"/>
        </w:rPr>
      </w:pPr>
      <w:r w:rsidRPr="006313D2">
        <w:rPr>
          <w:rFonts w:eastAsia="Arial Unicode MS"/>
          <w:u w:color="000000"/>
          <w:bdr w:val="nil"/>
          <w:lang w:val="es-419" w:eastAsia="en-GB"/>
        </w:rPr>
        <w:t>20.</w:t>
      </w:r>
      <w:r w:rsidRPr="006313D2">
        <w:rPr>
          <w:rFonts w:eastAsia="Arial Unicode MS"/>
          <w:u w:color="000000"/>
          <w:bdr w:val="nil"/>
          <w:lang w:val="es-419" w:eastAsia="en-GB"/>
        </w:rPr>
        <w:tab/>
      </w:r>
      <w:r w:rsidRPr="006313D2">
        <w:t xml:space="preserve">El Comité expresa su preocupación por los actos de violencia de carácter racista registrados durante la crisis de 2019-2020, incluidos </w:t>
      </w:r>
      <w:r w:rsidRPr="006313D2">
        <w:rPr>
          <w:rFonts w:eastAsia="Calibri"/>
          <w:color w:val="000000"/>
          <w:u w:color="000000"/>
          <w:bdr w:val="nil"/>
          <w:lang w:val="es-ES_tradnl" w:eastAsia="en-GB"/>
        </w:rPr>
        <w:t>los a</w:t>
      </w:r>
      <w:r w:rsidRPr="006313D2">
        <w:rPr>
          <w:rFonts w:eastAsia="Calibri"/>
          <w:color w:val="000000"/>
          <w:u w:color="000000"/>
          <w:bdr w:val="nil"/>
          <w:lang w:eastAsia="en-GB"/>
        </w:rPr>
        <w:t>taques</w:t>
      </w:r>
      <w:r w:rsidRPr="006313D2">
        <w:rPr>
          <w:rFonts w:eastAsia="Calibri"/>
          <w:color w:val="000000"/>
          <w:u w:color="000000"/>
          <w:bdr w:val="nil"/>
          <w:lang w:val="es-ES_tradnl" w:eastAsia="en-GB"/>
        </w:rPr>
        <w:t xml:space="preserve">, amenazas y malos tratos a mujeres </w:t>
      </w:r>
      <w:proofErr w:type="spellStart"/>
      <w:r w:rsidRPr="006313D2">
        <w:rPr>
          <w:rFonts w:eastAsia="Calibri"/>
          <w:color w:val="000000"/>
          <w:u w:color="000000"/>
          <w:bdr w:val="nil"/>
          <w:lang w:val="es-ES_tradnl" w:eastAsia="en-GB"/>
        </w:rPr>
        <w:t>indí</w:t>
      </w:r>
      <w:proofErr w:type="spellEnd"/>
      <w:r w:rsidRPr="006313D2">
        <w:rPr>
          <w:rFonts w:eastAsia="Calibri"/>
          <w:color w:val="000000"/>
          <w:u w:color="000000"/>
          <w:bdr w:val="nil"/>
          <w:lang w:val="pt-PT" w:eastAsia="en-GB"/>
        </w:rPr>
        <w:t xml:space="preserve">genas por parte de grupos organizados. </w:t>
      </w:r>
      <w:r w:rsidRPr="006313D2">
        <w:rPr>
          <w:rFonts w:eastAsia="Calibri"/>
          <w:u w:color="000000"/>
          <w:bdr w:val="nil"/>
          <w:lang w:val="es-ES_tradnl" w:eastAsia="en-GB"/>
        </w:rPr>
        <w:t>Asimismo, el Comité observa con preocupación la informaci</w:t>
      </w:r>
      <w:r w:rsidR="000704CA">
        <w:rPr>
          <w:rFonts w:eastAsia="Calibri"/>
          <w:u w:color="000000"/>
          <w:bdr w:val="nil"/>
          <w:lang w:val="es-ES_tradnl" w:eastAsia="en-GB"/>
        </w:rPr>
        <w:t>ón</w:t>
      </w:r>
      <w:r w:rsidRPr="006313D2">
        <w:rPr>
          <w:rFonts w:eastAsia="Calibri"/>
          <w:u w:color="000000"/>
          <w:bdr w:val="nil"/>
          <w:lang w:val="es-ES_tradnl" w:eastAsia="en-GB"/>
        </w:rPr>
        <w:t xml:space="preserve"> relativa a la </w:t>
      </w:r>
      <w:r w:rsidRPr="00243C2D">
        <w:rPr>
          <w:rFonts w:eastAsia="Calibri"/>
          <w:u w:color="000000"/>
          <w:bdr w:val="nil"/>
          <w:lang w:val="es-ES_tradnl" w:eastAsia="en-GB"/>
        </w:rPr>
        <w:t xml:space="preserve">represión policial </w:t>
      </w:r>
      <w:r w:rsidRPr="00243C2D">
        <w:rPr>
          <w:rFonts w:eastAsia="Calibri"/>
          <w:color w:val="000000"/>
          <w:u w:color="000000"/>
          <w:bdr w:val="nil"/>
          <w:lang w:val="es-ES_tradnl" w:eastAsia="en-GB"/>
        </w:rPr>
        <w:t xml:space="preserve">contra la población movilizada, en su </w:t>
      </w:r>
      <w:proofErr w:type="spellStart"/>
      <w:r w:rsidRPr="00243C2D">
        <w:rPr>
          <w:rFonts w:eastAsia="Calibri"/>
          <w:color w:val="000000"/>
          <w:u w:color="000000"/>
          <w:bdr w:val="nil"/>
          <w:lang w:val="es-ES_tradnl" w:eastAsia="en-GB"/>
        </w:rPr>
        <w:t>mayorí</w:t>
      </w:r>
      <w:proofErr w:type="spellEnd"/>
      <w:r w:rsidRPr="001D1DE3">
        <w:rPr>
          <w:rFonts w:eastAsia="Calibri"/>
          <w:color w:val="000000"/>
          <w:u w:color="000000"/>
          <w:bdr w:val="nil"/>
          <w:lang w:eastAsia="en-GB"/>
        </w:rPr>
        <w:t xml:space="preserve">a </w:t>
      </w:r>
      <w:proofErr w:type="spellStart"/>
      <w:r w:rsidRPr="001D1DE3">
        <w:rPr>
          <w:rFonts w:eastAsia="Calibri"/>
          <w:color w:val="000000"/>
          <w:u w:color="000000"/>
          <w:bdr w:val="nil"/>
          <w:lang w:eastAsia="en-GB"/>
        </w:rPr>
        <w:t>ind</w:t>
      </w:r>
      <w:r w:rsidRPr="00243C2D">
        <w:rPr>
          <w:rFonts w:eastAsia="Calibri"/>
          <w:u w:color="000000"/>
          <w:bdr w:val="nil"/>
          <w:lang w:val="es-ES_tradnl" w:eastAsia="en-GB"/>
        </w:rPr>
        <w:t>ígena</w:t>
      </w:r>
      <w:proofErr w:type="spellEnd"/>
      <w:r w:rsidRPr="00243C2D">
        <w:rPr>
          <w:rFonts w:eastAsia="Calibri"/>
          <w:u w:color="000000"/>
          <w:bdr w:val="nil"/>
          <w:lang w:val="es-ES_tradnl" w:eastAsia="en-GB"/>
        </w:rPr>
        <w:t xml:space="preserve"> y campesina</w:t>
      </w:r>
      <w:r w:rsidRPr="00243C2D">
        <w:rPr>
          <w:rFonts w:eastAsia="Calibri"/>
          <w:color w:val="000000"/>
          <w:u w:color="000000"/>
          <w:bdr w:val="nil"/>
          <w:lang w:val="es-ES_tradnl" w:eastAsia="en-GB"/>
        </w:rPr>
        <w:t>, tal como ocurrió en Betanzos, Yapac</w:t>
      </w:r>
      <w:r w:rsidRPr="00243C2D">
        <w:rPr>
          <w:rFonts w:eastAsia="Calibri"/>
          <w:u w:color="000000"/>
          <w:bdr w:val="nil"/>
          <w:lang w:val="es-ES_tradnl" w:eastAsia="en-GB"/>
        </w:rPr>
        <w:t xml:space="preserve">aní, Montero, Sacaba y </w:t>
      </w:r>
      <w:proofErr w:type="spellStart"/>
      <w:r w:rsidRPr="00243C2D">
        <w:rPr>
          <w:rFonts w:eastAsia="Calibri"/>
          <w:u w:color="000000"/>
          <w:bdr w:val="nil"/>
          <w:lang w:val="es-ES_tradnl" w:eastAsia="en-GB"/>
        </w:rPr>
        <w:t>Senkata</w:t>
      </w:r>
      <w:proofErr w:type="spellEnd"/>
      <w:r w:rsidRPr="00243C2D">
        <w:rPr>
          <w:rFonts w:eastAsia="Calibri"/>
          <w:color w:val="000000"/>
          <w:u w:color="000000"/>
          <w:bdr w:val="nil"/>
          <w:lang w:val="es-ES_tradnl" w:eastAsia="en-GB"/>
        </w:rPr>
        <w:t xml:space="preserve"> </w:t>
      </w:r>
      <w:r w:rsidRPr="00243C2D">
        <w:rPr>
          <w:rFonts w:eastAsia="Arial Unicode MS"/>
          <w:u w:color="000000"/>
          <w:bdr w:val="nil"/>
          <w:lang w:val="es-419" w:eastAsia="en-GB"/>
        </w:rPr>
        <w:t>(arts. 2, 12, 13 y 16).</w:t>
      </w:r>
    </w:p>
    <w:p w14:paraId="6704CF64" w14:textId="77777777" w:rsidR="006313D2" w:rsidRPr="006313D2" w:rsidRDefault="006313D2" w:rsidP="006313D2">
      <w:pPr>
        <w:pStyle w:val="SingleTxtG"/>
        <w:rPr>
          <w:b/>
          <w:lang w:val="es-ES_tradnl" w:eastAsia="en-US"/>
        </w:rPr>
      </w:pPr>
      <w:r w:rsidRPr="006313D2">
        <w:rPr>
          <w:rFonts w:eastAsia="Arial Unicode MS"/>
          <w:u w:color="000000"/>
          <w:bdr w:val="nil"/>
          <w:lang w:val="es-419" w:eastAsia="en-GB"/>
        </w:rPr>
        <w:t>21.</w:t>
      </w:r>
      <w:r w:rsidRPr="006313D2">
        <w:rPr>
          <w:rFonts w:eastAsia="Arial Unicode MS"/>
          <w:u w:color="000000"/>
          <w:bdr w:val="nil"/>
          <w:lang w:val="es-419" w:eastAsia="en-GB"/>
        </w:rPr>
        <w:tab/>
      </w:r>
      <w:r w:rsidRPr="006313D2">
        <w:rPr>
          <w:b/>
          <w:lang w:eastAsia="en-US"/>
        </w:rPr>
        <w:t>E</w:t>
      </w:r>
      <w:r w:rsidRPr="006313D2">
        <w:rPr>
          <w:b/>
          <w:lang w:val="es-ES_tradnl" w:eastAsia="en-US"/>
        </w:rPr>
        <w:t>l Estado parte debe:</w:t>
      </w:r>
    </w:p>
    <w:p w14:paraId="3E950DBD" w14:textId="77777777" w:rsidR="006313D2" w:rsidRPr="006313D2" w:rsidRDefault="006313D2" w:rsidP="006313D2">
      <w:pPr>
        <w:pStyle w:val="SingleTxtG"/>
        <w:rPr>
          <w:b/>
          <w:lang w:val="es-ES_tradnl" w:eastAsia="en-US"/>
        </w:rPr>
      </w:pPr>
      <w:r w:rsidRPr="006313D2">
        <w:rPr>
          <w:rFonts w:eastAsia="Arial Unicode MS"/>
          <w:b/>
          <w:u w:color="000000"/>
          <w:bdr w:val="nil"/>
          <w:lang w:val="es-ES_tradnl" w:eastAsia="en-GB"/>
        </w:rPr>
        <w:tab/>
        <w:t>a)</w:t>
      </w:r>
      <w:r w:rsidRPr="006313D2">
        <w:rPr>
          <w:b/>
          <w:lang w:val="es-ES_tradnl" w:eastAsia="en-US"/>
        </w:rPr>
        <w:t xml:space="preserve"> </w:t>
      </w:r>
      <w:r w:rsidRPr="006313D2">
        <w:rPr>
          <w:b/>
          <w:lang w:val="es-ES_tradnl" w:eastAsia="en-US"/>
        </w:rPr>
        <w:tab/>
        <w:t xml:space="preserve">Investigar sistemáticamente todas las formas de </w:t>
      </w:r>
      <w:r w:rsidRPr="002951F3">
        <w:rPr>
          <w:b/>
          <w:lang w:val="es-ES_tradnl" w:eastAsia="en-US"/>
        </w:rPr>
        <w:t>delito de odio, incluidos</w:t>
      </w:r>
      <w:r w:rsidRPr="006313D2">
        <w:rPr>
          <w:b/>
          <w:lang w:val="es-ES_tradnl" w:eastAsia="en-US"/>
        </w:rPr>
        <w:t xml:space="preserve"> los actos violentos de carácter racista, enjuiciar a los autores y, en caso de que se les declare culpables, se les</w:t>
      </w:r>
      <w:r w:rsidRPr="006313D2">
        <w:rPr>
          <w:b/>
          <w:lang w:eastAsia="en-US"/>
        </w:rPr>
        <w:t xml:space="preserve"> castigue con penas que tengan en cuenta la gravedad del delito</w:t>
      </w:r>
      <w:r w:rsidRPr="006313D2">
        <w:rPr>
          <w:b/>
          <w:lang w:val="es-ES_tradnl" w:eastAsia="en-US"/>
        </w:rPr>
        <w:t>;</w:t>
      </w:r>
    </w:p>
    <w:p w14:paraId="773CE067" w14:textId="77777777" w:rsidR="006313D2" w:rsidRPr="006313D2" w:rsidRDefault="006313D2" w:rsidP="006313D2">
      <w:pPr>
        <w:pStyle w:val="SingleTxtG"/>
        <w:rPr>
          <w:b/>
          <w:lang w:val="es-ES_tradnl" w:eastAsia="en-US"/>
        </w:rPr>
      </w:pPr>
      <w:r w:rsidRPr="006313D2">
        <w:rPr>
          <w:rFonts w:eastAsia="Arial Unicode MS"/>
          <w:b/>
          <w:u w:color="000000"/>
          <w:bdr w:val="nil"/>
          <w:lang w:val="es-ES_tradnl" w:eastAsia="en-GB"/>
        </w:rPr>
        <w:tab/>
        <w:t xml:space="preserve">b) </w:t>
      </w:r>
      <w:r w:rsidRPr="006313D2">
        <w:rPr>
          <w:rFonts w:eastAsia="Arial Unicode MS"/>
          <w:b/>
          <w:u w:color="000000"/>
          <w:bdr w:val="nil"/>
          <w:lang w:val="es-ES_tradnl" w:eastAsia="en-GB"/>
        </w:rPr>
        <w:tab/>
        <w:t>Impartir capacitación sobre los delitos de odio a los agentes del orden</w:t>
      </w:r>
      <w:r w:rsidRPr="006313D2">
        <w:rPr>
          <w:b/>
          <w:lang w:val="es-ES_tradnl" w:eastAsia="en-US"/>
        </w:rPr>
        <w:t xml:space="preserve"> a fin de prevenir la tortura, los malos tratos y el uso excesivo de la fuerza;</w:t>
      </w:r>
    </w:p>
    <w:p w14:paraId="7579B9F7" w14:textId="6A612AC0" w:rsidR="006313D2" w:rsidRPr="006313D2" w:rsidRDefault="006313D2" w:rsidP="006313D2">
      <w:pPr>
        <w:pStyle w:val="SingleTxtG"/>
        <w:rPr>
          <w:b/>
          <w:lang w:val="es-ES_tradnl" w:eastAsia="en-US"/>
        </w:rPr>
      </w:pPr>
      <w:r w:rsidRPr="006313D2">
        <w:rPr>
          <w:rFonts w:eastAsia="Arial Unicode MS"/>
          <w:b/>
          <w:u w:color="000000"/>
          <w:bdr w:val="nil"/>
          <w:lang w:val="es-ES_tradnl" w:eastAsia="en-GB"/>
        </w:rPr>
        <w:tab/>
        <w:t xml:space="preserve">c) </w:t>
      </w:r>
      <w:r w:rsidRPr="006313D2">
        <w:rPr>
          <w:rFonts w:eastAsia="Arial Unicode MS"/>
          <w:b/>
          <w:u w:color="000000"/>
          <w:bdr w:val="nil"/>
          <w:lang w:val="es-ES_tradnl" w:eastAsia="en-GB"/>
        </w:rPr>
        <w:tab/>
        <w:t>Fortalecer la labor del Comité Nacional contra el Racismo y Toda Forma de Discriminación, establecido por</w:t>
      </w:r>
      <w:r w:rsidR="00F21F57">
        <w:rPr>
          <w:rFonts w:eastAsia="Arial Unicode MS"/>
          <w:b/>
          <w:u w:color="000000"/>
          <w:bdr w:val="nil"/>
          <w:lang w:val="es-ES_tradnl" w:eastAsia="en-GB"/>
        </w:rPr>
        <w:t xml:space="preserve"> la</w:t>
      </w:r>
      <w:r w:rsidRPr="006313D2">
        <w:rPr>
          <w:rFonts w:eastAsia="Arial Unicode MS"/>
          <w:b/>
          <w:u w:color="000000"/>
          <w:bdr w:val="nil"/>
          <w:lang w:val="es-ES_tradnl" w:eastAsia="en-GB"/>
        </w:rPr>
        <w:t xml:space="preserve"> Ley núm. 045 de 8 de octubre de 2010 (“Ley</w:t>
      </w:r>
      <w:r w:rsidR="00C96C38">
        <w:rPr>
          <w:rFonts w:eastAsia="Arial Unicode MS"/>
          <w:b/>
          <w:u w:color="000000"/>
          <w:bdr w:val="nil"/>
          <w:lang w:val="es-ES_tradnl" w:eastAsia="en-GB"/>
        </w:rPr>
        <w:t> </w:t>
      </w:r>
      <w:r w:rsidRPr="006313D2">
        <w:rPr>
          <w:rFonts w:eastAsia="Arial Unicode MS"/>
          <w:b/>
          <w:u w:color="000000"/>
          <w:bdr w:val="nil"/>
          <w:lang w:val="es-ES_tradnl" w:eastAsia="en-GB"/>
        </w:rPr>
        <w:t>contra el Racismo y Toda Forma de Discriminación”).</w:t>
      </w:r>
    </w:p>
    <w:p w14:paraId="59E01DF5" w14:textId="2CB1F526" w:rsidR="006313D2" w:rsidRPr="006313D2" w:rsidRDefault="006313D2" w:rsidP="006313D2">
      <w:pPr>
        <w:pStyle w:val="H23G"/>
      </w:pPr>
      <w:r>
        <w:rPr>
          <w:rFonts w:eastAsia="Calibri"/>
          <w:lang w:eastAsia="en-US"/>
        </w:rPr>
        <w:lastRenderedPageBreak/>
        <w:tab/>
      </w:r>
      <w:r>
        <w:rPr>
          <w:rFonts w:eastAsia="Calibri"/>
          <w:lang w:eastAsia="en-US"/>
        </w:rPr>
        <w:tab/>
      </w:r>
      <w:r w:rsidRPr="006313D2">
        <w:rPr>
          <w:rFonts w:eastAsia="Calibri"/>
          <w:lang w:eastAsia="en-US"/>
        </w:rPr>
        <w:t xml:space="preserve">Obstáculos a la </w:t>
      </w:r>
      <w:r w:rsidRPr="006313D2">
        <w:rPr>
          <w:rFonts w:eastAsia="Calibri"/>
          <w:u w:color="000000"/>
          <w:bdr w:val="nil"/>
          <w:lang w:val="es-ES_tradnl" w:eastAsia="en-GB"/>
        </w:rPr>
        <w:t>justicia</w:t>
      </w:r>
      <w:r w:rsidRPr="006313D2">
        <w:rPr>
          <w:rFonts w:eastAsia="Calibri"/>
          <w:lang w:eastAsia="en-US"/>
        </w:rPr>
        <w:t>: impunidad y falta de independencia del sistema</w:t>
      </w:r>
      <w:r w:rsidR="00781ACD">
        <w:rPr>
          <w:rFonts w:eastAsia="Calibri"/>
          <w:lang w:eastAsia="en-US"/>
        </w:rPr>
        <w:br/>
      </w:r>
      <w:r w:rsidRPr="006313D2">
        <w:rPr>
          <w:rFonts w:eastAsia="Calibri"/>
          <w:lang w:eastAsia="en-US"/>
        </w:rPr>
        <w:t xml:space="preserve">de justicia </w:t>
      </w:r>
    </w:p>
    <w:p w14:paraId="05EA2922" w14:textId="42166DC6" w:rsidR="006313D2" w:rsidRPr="006313D2" w:rsidRDefault="006313D2" w:rsidP="006313D2">
      <w:pPr>
        <w:pStyle w:val="SingleTxtG"/>
      </w:pPr>
      <w:r w:rsidRPr="006313D2">
        <w:t>22.</w:t>
      </w:r>
      <w:r w:rsidRPr="006313D2">
        <w:tab/>
        <w:t xml:space="preserve">El Comité </w:t>
      </w:r>
      <w:r w:rsidRPr="006313D2">
        <w:rPr>
          <w:rFonts w:eastAsia="Calibri"/>
          <w:u w:color="000000"/>
          <w:bdr w:val="nil"/>
          <w:lang w:val="es-419" w:eastAsia="en-GB"/>
        </w:rPr>
        <w:t xml:space="preserve">observa con preocupación el escaso número de </w:t>
      </w:r>
      <w:r w:rsidRPr="006313D2">
        <w:t xml:space="preserve">investigaciones y enjuiciamientos de casos de tortura debido, entre otros motivos, a la falta de formación de los operadores de justicia en la investigación de este tipo de delitos, así como los actos de intimidación a víctimas. Al respecto, la </w:t>
      </w:r>
      <w:r w:rsidRPr="006313D2">
        <w:rPr>
          <w:rFonts w:eastAsia="Calibri"/>
          <w:color w:val="000000"/>
          <w:u w:color="000000"/>
          <w:bdr w:val="nil"/>
          <w:lang w:val="es-ES_tradnl" w:eastAsia="en-GB"/>
        </w:rPr>
        <w:t>Defensoría del Pueblo ha registrado 3</w:t>
      </w:r>
      <w:r w:rsidR="00DC5FB3">
        <w:rPr>
          <w:rFonts w:eastAsia="Calibri"/>
          <w:color w:val="000000"/>
          <w:u w:color="000000"/>
          <w:bdr w:val="nil"/>
          <w:lang w:val="es-ES_tradnl" w:eastAsia="en-GB"/>
        </w:rPr>
        <w:t>.</w:t>
      </w:r>
      <w:r w:rsidRPr="006313D2">
        <w:rPr>
          <w:rFonts w:eastAsia="Calibri"/>
          <w:color w:val="000000"/>
          <w:u w:color="000000"/>
          <w:bdr w:val="nil"/>
          <w:lang w:val="es-ES_tradnl" w:eastAsia="en-GB"/>
        </w:rPr>
        <w:t>017 casos de tortura, tratos crueles, inhumanos y degradantes a nivel nacional entre 2013 y agosto de 2021.</w:t>
      </w:r>
      <w:r w:rsidR="00A647B9">
        <w:rPr>
          <w:rFonts w:eastAsia="Calibri"/>
          <w:color w:val="000000"/>
          <w:u w:color="000000"/>
          <w:bdr w:val="nil"/>
          <w:lang w:val="es-ES_tradnl" w:eastAsia="en-GB"/>
        </w:rPr>
        <w:t xml:space="preserve"> </w:t>
      </w:r>
      <w:r w:rsidRPr="006313D2">
        <w:rPr>
          <w:rFonts w:eastAsia="Calibri"/>
          <w:u w:color="000000"/>
          <w:bdr w:val="nil"/>
          <w:lang w:val="es-419" w:eastAsia="en-GB"/>
        </w:rPr>
        <w:t>Por otra parte, preocupa al Comité</w:t>
      </w:r>
      <w:r w:rsidRPr="006313D2">
        <w:rPr>
          <w:lang w:val="es-ES_tradnl"/>
        </w:rPr>
        <w:t>:</w:t>
      </w:r>
    </w:p>
    <w:p w14:paraId="0338AAC3" w14:textId="17ACCF5C" w:rsidR="006313D2" w:rsidRPr="006313D2" w:rsidRDefault="006313D2" w:rsidP="00E07CA4">
      <w:pPr>
        <w:pStyle w:val="SingleTxtG"/>
        <w:numPr>
          <w:ilvl w:val="0"/>
          <w:numId w:val="19"/>
        </w:numPr>
        <w:ind w:left="1134" w:firstLine="567"/>
        <w:rPr>
          <w:lang w:val="es-ES_tradnl"/>
        </w:rPr>
      </w:pPr>
      <w:r w:rsidRPr="006313D2">
        <w:rPr>
          <w:lang w:val="es-ES_tradnl"/>
        </w:rPr>
        <w:t>L</w:t>
      </w:r>
      <w:proofErr w:type="spellStart"/>
      <w:r w:rsidRPr="006313D2">
        <w:t>as</w:t>
      </w:r>
      <w:proofErr w:type="spellEnd"/>
      <w:r w:rsidRPr="006313D2">
        <w:t xml:space="preserve"> disposiciones de los artículos 123 y </w:t>
      </w:r>
      <w:r w:rsidR="00DC5FB3" w:rsidRPr="006313D2">
        <w:t>13</w:t>
      </w:r>
      <w:r w:rsidR="00DC5FB3">
        <w:t xml:space="preserve">3 </w:t>
      </w:r>
      <w:r w:rsidRPr="006313D2">
        <w:t xml:space="preserve">del Código Penal, en las que se tipifican </w:t>
      </w:r>
      <w:r w:rsidR="00DC5FB3">
        <w:t>sobre la</w:t>
      </w:r>
      <w:r w:rsidR="00DC5FB3" w:rsidRPr="006313D2">
        <w:t xml:space="preserve"> </w:t>
      </w:r>
      <w:r w:rsidRPr="006313D2">
        <w:t xml:space="preserve">base </w:t>
      </w:r>
      <w:r w:rsidR="00DC5FB3">
        <w:t>de</w:t>
      </w:r>
      <w:r w:rsidRPr="006313D2">
        <w:t xml:space="preserve"> conceptos extremadamente vagos los delitos de sedición y terrorismo,</w:t>
      </w:r>
      <w:r w:rsidRPr="006313D2">
        <w:rPr>
          <w:rFonts w:eastAsia="Calibri"/>
          <w:color w:val="000000"/>
          <w:u w:color="000000"/>
          <w:bdr w:val="nil"/>
          <w:lang w:val="es-ES_tradnl" w:eastAsia="en-GB"/>
        </w:rPr>
        <w:t xml:space="preserve"> respectivamente;</w:t>
      </w:r>
    </w:p>
    <w:p w14:paraId="2FFBB12A" w14:textId="5B9BC83F" w:rsidR="006313D2" w:rsidRPr="006313D2" w:rsidRDefault="006313D2" w:rsidP="00E07CA4">
      <w:pPr>
        <w:pStyle w:val="SingleTxtG"/>
        <w:numPr>
          <w:ilvl w:val="0"/>
          <w:numId w:val="19"/>
        </w:numPr>
        <w:ind w:left="1134" w:firstLine="567"/>
        <w:rPr>
          <w:lang w:val="es-ES_tradnl"/>
        </w:rPr>
      </w:pPr>
      <w:r w:rsidRPr="006313D2">
        <w:rPr>
          <w:color w:val="000000"/>
          <w:shd w:val="clear" w:color="auto" w:fill="FCFDFD"/>
          <w:lang w:val="es-ES_tradnl"/>
        </w:rPr>
        <w:t>L</w:t>
      </w:r>
      <w:r w:rsidRPr="006313D2">
        <w:rPr>
          <w:color w:val="000000"/>
          <w:shd w:val="clear" w:color="auto" w:fill="FCFDFD"/>
        </w:rPr>
        <w:t xml:space="preserve">a falta de </w:t>
      </w:r>
      <w:r w:rsidRPr="006313D2">
        <w:rPr>
          <w:color w:val="000000"/>
        </w:rPr>
        <w:t xml:space="preserve">independencia y autonomía del Poder Judicial y del Ministerio </w:t>
      </w:r>
      <w:proofErr w:type="spellStart"/>
      <w:r w:rsidRPr="006313D2">
        <w:rPr>
          <w:color w:val="000000"/>
        </w:rPr>
        <w:t>Público</w:t>
      </w:r>
      <w:proofErr w:type="spellEnd"/>
      <w:r w:rsidRPr="006313D2">
        <w:rPr>
          <w:color w:val="000000"/>
        </w:rPr>
        <w:t xml:space="preserve">, evidenciado en </w:t>
      </w:r>
      <w:r w:rsidRPr="006313D2">
        <w:rPr>
          <w:rFonts w:eastAsia="Calibri"/>
          <w:color w:val="000000"/>
          <w:u w:color="000000"/>
          <w:bdr w:val="nil"/>
          <w:lang w:val="es-ES_tradnl" w:eastAsia="en-GB"/>
        </w:rPr>
        <w:t xml:space="preserve">procesos judiciales </w:t>
      </w:r>
      <w:r w:rsidRPr="001D1DE3">
        <w:rPr>
          <w:rFonts w:eastAsia="Calibri"/>
          <w:color w:val="000000"/>
          <w:u w:color="000000"/>
          <w:bdr w:val="nil"/>
          <w:lang w:eastAsia="en-GB"/>
        </w:rPr>
        <w:t>por sedición y terrorismo</w:t>
      </w:r>
      <w:r w:rsidRPr="00243C2D">
        <w:rPr>
          <w:color w:val="000000"/>
        </w:rPr>
        <w:t xml:space="preserve"> </w:t>
      </w:r>
      <w:r w:rsidRPr="00243C2D">
        <w:rPr>
          <w:lang w:val="es-ES_tradnl"/>
        </w:rPr>
        <w:t>contra opositores políticos</w:t>
      </w:r>
      <w:r w:rsidRPr="00243C2D">
        <w:rPr>
          <w:color w:val="000000"/>
        </w:rPr>
        <w:t>. Al respecto, el Comité llama a la atención del Estado parte</w:t>
      </w:r>
      <w:r w:rsidRPr="006313D2">
        <w:rPr>
          <w:color w:val="000000"/>
        </w:rPr>
        <w:t xml:space="preserve"> el capítulo cuatro, sección A) del informe del </w:t>
      </w:r>
      <w:r w:rsidRPr="006313D2">
        <w:rPr>
          <w:color w:val="000000"/>
          <w:shd w:val="clear" w:color="auto" w:fill="FCFDFD"/>
        </w:rPr>
        <w:t>Grupo Interdisciplinario de Expertos Independientes</w:t>
      </w:r>
      <w:r w:rsidRPr="006313D2">
        <w:rPr>
          <w:shd w:val="clear" w:color="auto" w:fill="FCFDFD"/>
        </w:rPr>
        <w:t xml:space="preserve"> que investigó las graves violaciones a los derechos humanos acontecidas entre se</w:t>
      </w:r>
      <w:r w:rsidR="00DC5FB3">
        <w:rPr>
          <w:shd w:val="clear" w:color="auto" w:fill="FCFDFD"/>
        </w:rPr>
        <w:t>p</w:t>
      </w:r>
      <w:r w:rsidRPr="006313D2">
        <w:rPr>
          <w:shd w:val="clear" w:color="auto" w:fill="FCFDFD"/>
        </w:rPr>
        <w:t>tiembre y diciembre de</w:t>
      </w:r>
      <w:r w:rsidR="00C96C38">
        <w:rPr>
          <w:shd w:val="clear" w:color="auto" w:fill="FCFDFD"/>
        </w:rPr>
        <w:t> </w:t>
      </w:r>
      <w:r w:rsidRPr="006313D2">
        <w:rPr>
          <w:shd w:val="clear" w:color="auto" w:fill="FCFDFD"/>
        </w:rPr>
        <w:t>2019</w:t>
      </w:r>
      <w:r w:rsidRPr="006313D2">
        <w:rPr>
          <w:rFonts w:eastAsia="Calibri"/>
          <w:color w:val="000000"/>
          <w:u w:color="000000"/>
          <w:bdr w:val="nil"/>
          <w:lang w:eastAsia="en-GB"/>
        </w:rPr>
        <w:t>;</w:t>
      </w:r>
    </w:p>
    <w:p w14:paraId="65C8662F" w14:textId="77777777" w:rsidR="006313D2" w:rsidRPr="006313D2" w:rsidRDefault="006313D2" w:rsidP="00E07CA4">
      <w:pPr>
        <w:pStyle w:val="SingleTxtG"/>
        <w:numPr>
          <w:ilvl w:val="0"/>
          <w:numId w:val="19"/>
        </w:numPr>
        <w:ind w:left="1134" w:firstLine="567"/>
        <w:rPr>
          <w:lang w:val="es-ES_tradnl"/>
        </w:rPr>
      </w:pPr>
      <w:r w:rsidRPr="006313D2">
        <w:rPr>
          <w:rFonts w:eastAsia="Calibri"/>
          <w:lang w:val="es-419" w:eastAsia="en-US"/>
        </w:rPr>
        <w:t xml:space="preserve">La debilidad institucional del sistema de justicia, en el que la mayoría de los jueces y fiscales son temporales y no forman parte de la carrera del servicio público. El Poder Judicial no cuenta con suficientes recursos y existe una distribución inadecuada de los servicios de justicia </w:t>
      </w:r>
      <w:r w:rsidRPr="006313D2">
        <w:rPr>
          <w:rFonts w:eastAsia="Calibri"/>
          <w:lang w:val="es-ES_tradnl" w:eastAsia="en-US"/>
        </w:rPr>
        <w:t>(arts. 2, 12, 13 y 16).</w:t>
      </w:r>
    </w:p>
    <w:p w14:paraId="54050652" w14:textId="77777777" w:rsidR="006313D2" w:rsidRPr="006313D2" w:rsidRDefault="006313D2" w:rsidP="006313D2">
      <w:pPr>
        <w:pStyle w:val="SingleTxtG"/>
        <w:rPr>
          <w:b/>
          <w:lang w:val="es-ES_tradnl" w:eastAsia="en-US"/>
        </w:rPr>
      </w:pPr>
      <w:r w:rsidRPr="006313D2">
        <w:rPr>
          <w:rFonts w:eastAsia="Calibri"/>
          <w:lang w:val="es-ES_tradnl" w:eastAsia="en-US"/>
        </w:rPr>
        <w:t xml:space="preserve">23. </w:t>
      </w:r>
      <w:r>
        <w:rPr>
          <w:rFonts w:eastAsia="Calibri"/>
          <w:lang w:val="es-ES_tradnl" w:eastAsia="en-US"/>
        </w:rPr>
        <w:tab/>
      </w:r>
      <w:r w:rsidRPr="006313D2">
        <w:rPr>
          <w:b/>
          <w:lang w:eastAsia="en-US"/>
        </w:rPr>
        <w:t>E</w:t>
      </w:r>
      <w:r w:rsidRPr="006313D2">
        <w:rPr>
          <w:b/>
          <w:lang w:val="es-ES_tradnl" w:eastAsia="en-US"/>
        </w:rPr>
        <w:t>l Estado parte debe:</w:t>
      </w:r>
    </w:p>
    <w:p w14:paraId="5FD04B2F" w14:textId="77777777" w:rsidR="006313D2" w:rsidRPr="006313D2" w:rsidRDefault="006313D2" w:rsidP="00E07CA4">
      <w:pPr>
        <w:pStyle w:val="SingleTxtG"/>
        <w:numPr>
          <w:ilvl w:val="0"/>
          <w:numId w:val="20"/>
        </w:numPr>
        <w:ind w:left="1134" w:firstLine="567"/>
        <w:rPr>
          <w:rFonts w:eastAsia="Calibri"/>
          <w:b/>
          <w:color w:val="000000"/>
          <w:u w:color="000000"/>
          <w:bdr w:val="nil"/>
          <w:lang w:val="es-ES_tradnl" w:eastAsia="en-GB"/>
        </w:rPr>
      </w:pPr>
      <w:r w:rsidRPr="006313D2">
        <w:rPr>
          <w:b/>
          <w:bCs/>
          <w:lang w:val="es-419"/>
        </w:rPr>
        <w:t>E</w:t>
      </w:r>
      <w:proofErr w:type="spellStart"/>
      <w:r w:rsidRPr="006313D2">
        <w:rPr>
          <w:b/>
          <w:bCs/>
        </w:rPr>
        <w:t>fectuar</w:t>
      </w:r>
      <w:proofErr w:type="spellEnd"/>
      <w:r w:rsidRPr="006313D2">
        <w:rPr>
          <w:b/>
          <w:bCs/>
        </w:rPr>
        <w:t xml:space="preserve"> una revisión de su legislación antiterrorista, en particular, una reforma de los tipos penales de sedición y terrorismo, a fin de garantizar que sean acordes al principio de legalidad y a los estándares internacionales de derechos humanos;</w:t>
      </w:r>
    </w:p>
    <w:p w14:paraId="54E12A48" w14:textId="7825F565" w:rsidR="006313D2" w:rsidRPr="006313D2" w:rsidRDefault="006313D2" w:rsidP="00E07CA4">
      <w:pPr>
        <w:pStyle w:val="SingleTxtG"/>
        <w:numPr>
          <w:ilvl w:val="0"/>
          <w:numId w:val="20"/>
        </w:numPr>
        <w:ind w:left="1134" w:firstLine="567"/>
        <w:rPr>
          <w:rFonts w:eastAsia="Calibri"/>
          <w:b/>
          <w:color w:val="000000"/>
          <w:u w:color="000000"/>
          <w:bdr w:val="nil"/>
          <w:lang w:val="es-ES_tradnl" w:eastAsia="en-GB"/>
        </w:rPr>
      </w:pPr>
      <w:r w:rsidRPr="006313D2">
        <w:rPr>
          <w:b/>
          <w:lang w:val="es-ES_tradnl" w:eastAsia="en-US"/>
        </w:rPr>
        <w:t xml:space="preserve">Garantizar la investigación pronta, exhaustiva, independiente e imparcial de todas las denuncias de tortura y malos tratos, en particular las relativas a hechos ocurridos </w:t>
      </w:r>
      <w:r w:rsidR="00692F48">
        <w:rPr>
          <w:b/>
          <w:lang w:val="es-ES_tradnl" w:eastAsia="en-US"/>
        </w:rPr>
        <w:t>entre</w:t>
      </w:r>
      <w:r w:rsidRPr="006313D2">
        <w:rPr>
          <w:b/>
          <w:lang w:val="es-ES_tradnl" w:eastAsia="en-US"/>
        </w:rPr>
        <w:t xml:space="preserve"> 1964</w:t>
      </w:r>
      <w:r w:rsidR="00692F48">
        <w:rPr>
          <w:b/>
          <w:lang w:val="es-ES_tradnl" w:eastAsia="en-US"/>
        </w:rPr>
        <w:t xml:space="preserve"> y </w:t>
      </w:r>
      <w:r w:rsidRPr="006313D2">
        <w:rPr>
          <w:b/>
          <w:lang w:val="es-ES_tradnl" w:eastAsia="en-US"/>
        </w:rPr>
        <w:t xml:space="preserve">1982 y durante la crisis postelectoral </w:t>
      </w:r>
      <w:r w:rsidR="00692F48">
        <w:rPr>
          <w:b/>
          <w:lang w:val="es-ES_tradnl" w:eastAsia="en-US"/>
        </w:rPr>
        <w:t xml:space="preserve">de </w:t>
      </w:r>
      <w:r w:rsidRPr="006313D2">
        <w:rPr>
          <w:b/>
          <w:lang w:val="es-ES_tradnl" w:eastAsia="en-US"/>
        </w:rPr>
        <w:t>2019-2020, que los autores sean enjuiciados y castigados, sin importar su afiliación política, y las víctimas obtengan acceso a la información</w:t>
      </w:r>
      <w:r w:rsidR="00AB78EE">
        <w:rPr>
          <w:b/>
          <w:lang w:val="es-ES_tradnl" w:eastAsia="en-US"/>
        </w:rPr>
        <w:t>, la</w:t>
      </w:r>
      <w:r w:rsidRPr="006313D2">
        <w:rPr>
          <w:b/>
          <w:lang w:val="es-ES_tradnl" w:eastAsia="en-US"/>
        </w:rPr>
        <w:t xml:space="preserve"> participación en los procesos y a una reparación integral;</w:t>
      </w:r>
    </w:p>
    <w:p w14:paraId="5D1FEEAF" w14:textId="63441DD3" w:rsidR="006313D2" w:rsidRPr="006313D2" w:rsidRDefault="006313D2" w:rsidP="00E07CA4">
      <w:pPr>
        <w:pStyle w:val="SingleTxtG"/>
        <w:numPr>
          <w:ilvl w:val="0"/>
          <w:numId w:val="20"/>
        </w:numPr>
        <w:ind w:left="1134" w:firstLine="567"/>
        <w:rPr>
          <w:rFonts w:eastAsia="Calibri"/>
          <w:b/>
          <w:color w:val="000000"/>
          <w:u w:color="000000"/>
          <w:bdr w:val="nil"/>
          <w:lang w:val="es-ES_tradnl" w:eastAsia="en-GB"/>
        </w:rPr>
      </w:pPr>
      <w:r w:rsidRPr="006313D2">
        <w:rPr>
          <w:b/>
          <w:bCs/>
          <w:lang w:val="es-ES_tradnl"/>
        </w:rPr>
        <w:t>Llevar a cabo</w:t>
      </w:r>
      <w:r w:rsidRPr="006313D2">
        <w:rPr>
          <w:b/>
          <w:bCs/>
        </w:rPr>
        <w:t xml:space="preserve"> una reforma urgente del sistema de justicia </w:t>
      </w:r>
      <w:r w:rsidRPr="006313D2">
        <w:rPr>
          <w:rFonts w:eastAsia="Calibri"/>
          <w:b/>
          <w:lang w:val="es-419" w:eastAsia="en-US"/>
        </w:rPr>
        <w:t xml:space="preserve">a fin de garantizar su independencia </w:t>
      </w:r>
      <w:r w:rsidRPr="006313D2">
        <w:rPr>
          <w:b/>
        </w:rPr>
        <w:t>y el respeto al debido proceso</w:t>
      </w:r>
      <w:r w:rsidRPr="006313D2">
        <w:rPr>
          <w:rFonts w:eastAsia="Calibri"/>
          <w:b/>
          <w:lang w:val="es-419" w:eastAsia="en-US"/>
        </w:rPr>
        <w:t xml:space="preserve">, en particular, </w:t>
      </w:r>
      <w:r w:rsidRPr="006313D2">
        <w:rPr>
          <w:b/>
        </w:rPr>
        <w:t xml:space="preserve">adoptando una ley sobre la carrera judicial que garantice la estabilidad profesional y revisando el proceso de selección, evaluación y remoción de juezas, jueces y fiscales, conforme a criterios públicos y objetivos, basados en el mérito. Se debe garantizar también </w:t>
      </w:r>
      <w:r w:rsidRPr="006313D2">
        <w:rPr>
          <w:rFonts w:eastAsia="Calibri"/>
          <w:b/>
          <w:lang w:val="es-419" w:eastAsia="en-US"/>
        </w:rPr>
        <w:t>los recursos necesarios para el adecuado funcionamiento de los órganos de justicia</w:t>
      </w:r>
      <w:r w:rsidRPr="006313D2">
        <w:rPr>
          <w:b/>
        </w:rPr>
        <w:t>;</w:t>
      </w:r>
    </w:p>
    <w:p w14:paraId="2D14AA4F" w14:textId="716E0B45" w:rsidR="006313D2" w:rsidRPr="006313D2" w:rsidRDefault="006313D2" w:rsidP="00E07CA4">
      <w:pPr>
        <w:pStyle w:val="SingleTxtG"/>
        <w:numPr>
          <w:ilvl w:val="0"/>
          <w:numId w:val="20"/>
        </w:numPr>
        <w:ind w:left="1134" w:firstLine="567"/>
        <w:rPr>
          <w:b/>
        </w:rPr>
      </w:pPr>
      <w:r w:rsidRPr="006313D2">
        <w:rPr>
          <w:b/>
          <w:bCs/>
        </w:rPr>
        <w:t>Incrementar las actividades de formación de fiscales y jueces con el fin de mejorar la calidad de las investigaciones y la correcta calificación de los hechos</w:t>
      </w:r>
      <w:r w:rsidRPr="006313D2">
        <w:rPr>
          <w:rFonts w:eastAsia="Calibri"/>
          <w:b/>
          <w:color w:val="000000"/>
          <w:u w:color="000000"/>
          <w:bdr w:val="nil"/>
          <w:lang w:val="es-ES_tradnl" w:eastAsia="en-GB"/>
        </w:rPr>
        <w:t>, conforme a</w:t>
      </w:r>
      <w:r w:rsidR="00454DE5">
        <w:rPr>
          <w:rFonts w:eastAsia="Calibri"/>
          <w:b/>
          <w:color w:val="000000"/>
          <w:u w:color="000000"/>
          <w:bdr w:val="nil"/>
          <w:lang w:val="es-ES_tradnl" w:eastAsia="en-GB"/>
        </w:rPr>
        <w:t>l</w:t>
      </w:r>
      <w:r w:rsidRPr="006313D2">
        <w:rPr>
          <w:rFonts w:eastAsia="Calibri"/>
          <w:b/>
          <w:color w:val="000000"/>
          <w:u w:color="000000"/>
          <w:bdr w:val="nil"/>
          <w:lang w:val="es-ES_tradnl" w:eastAsia="en-GB"/>
        </w:rPr>
        <w:t xml:space="preserve"> </w:t>
      </w:r>
      <w:r w:rsidRPr="006313D2">
        <w:rPr>
          <w:b/>
        </w:rPr>
        <w:t xml:space="preserve">Protocolo de Estambul y </w:t>
      </w:r>
      <w:r w:rsidR="00AB78EE">
        <w:rPr>
          <w:b/>
        </w:rPr>
        <w:t>e</w:t>
      </w:r>
      <w:r w:rsidR="00454DE5">
        <w:rPr>
          <w:b/>
        </w:rPr>
        <w:t xml:space="preserve">l Protocolo Modelo para la Investigación Legal de Ejecuciones Extralegales, Arbitrarias o Sumarias (Protocolo de </w:t>
      </w:r>
      <w:r w:rsidRPr="006313D2">
        <w:rPr>
          <w:b/>
        </w:rPr>
        <w:t>Minnesota</w:t>
      </w:r>
      <w:r w:rsidR="00454DE5">
        <w:rPr>
          <w:b/>
        </w:rPr>
        <w:t>)</w:t>
      </w:r>
      <w:r w:rsidRPr="006313D2">
        <w:rPr>
          <w:b/>
          <w:bCs/>
        </w:rPr>
        <w:t xml:space="preserve">; </w:t>
      </w:r>
    </w:p>
    <w:p w14:paraId="0CD66069" w14:textId="77777777" w:rsidR="006313D2" w:rsidRPr="006313D2" w:rsidRDefault="006313D2" w:rsidP="00E07CA4">
      <w:pPr>
        <w:pStyle w:val="SingleTxtG"/>
        <w:numPr>
          <w:ilvl w:val="0"/>
          <w:numId w:val="20"/>
        </w:numPr>
        <w:ind w:left="1134" w:firstLine="567"/>
        <w:rPr>
          <w:b/>
        </w:rPr>
      </w:pPr>
      <w:r w:rsidRPr="006313D2">
        <w:rPr>
          <w:b/>
        </w:rPr>
        <w:t>Garantizar que los presuntos autores de tortura y malos tratos sean suspendidos de sus funciones de forma inmediata y durante toda la investigación, en particular si existiese riesgo de que, en caso contrario, estén en condiciones de reincidir, tomar represalias contra la presunta víctima u obstaculizar la investigación;</w:t>
      </w:r>
    </w:p>
    <w:p w14:paraId="173D491B" w14:textId="25B34A6F" w:rsidR="006313D2" w:rsidRPr="006313D2" w:rsidRDefault="006313D2" w:rsidP="00E07CA4">
      <w:pPr>
        <w:pStyle w:val="SingleTxtG"/>
        <w:numPr>
          <w:ilvl w:val="0"/>
          <w:numId w:val="20"/>
        </w:numPr>
        <w:ind w:left="1134" w:firstLine="567"/>
        <w:rPr>
          <w:rFonts w:eastAsia="Calibri"/>
          <w:b/>
          <w:color w:val="000000"/>
          <w:u w:color="000000"/>
          <w:bdr w:val="nil"/>
          <w:lang w:val="es-ES_tradnl" w:eastAsia="en-GB"/>
        </w:rPr>
      </w:pPr>
      <w:r w:rsidRPr="006313D2">
        <w:rPr>
          <w:b/>
          <w:lang w:val="es-ES_tradnl"/>
        </w:rPr>
        <w:t>Establecer un sistema de protección y asistencia de víctimas y testigos de actos de tortura privados de libertad para protegerles contra cualquier forma de represalia y adoptar con prontitud medidas disciplinarias y penales contra los agentes estatales responsables de proferir amenazas o tomar represalias contra las víctimas y los testigos de actos de tortura.</w:t>
      </w:r>
    </w:p>
    <w:p w14:paraId="252A43B0" w14:textId="77777777" w:rsidR="006313D2" w:rsidRPr="006313D2" w:rsidRDefault="006313D2" w:rsidP="006313D2">
      <w:pPr>
        <w:pStyle w:val="H23G"/>
        <w:rPr>
          <w:rFonts w:eastAsia="Calibri"/>
          <w:lang w:val="es-419" w:eastAsia="en-US"/>
        </w:rPr>
      </w:pPr>
      <w:r>
        <w:rPr>
          <w:rFonts w:eastAsia="Calibri"/>
          <w:lang w:val="es-CO" w:eastAsia="en-US"/>
        </w:rPr>
        <w:lastRenderedPageBreak/>
        <w:tab/>
      </w:r>
      <w:r>
        <w:rPr>
          <w:rFonts w:eastAsia="Calibri"/>
          <w:lang w:val="es-CO" w:eastAsia="en-US"/>
        </w:rPr>
        <w:tab/>
      </w:r>
      <w:r w:rsidRPr="006313D2">
        <w:rPr>
          <w:rFonts w:eastAsia="Calibri"/>
          <w:lang w:val="es-CO" w:eastAsia="en-US"/>
        </w:rPr>
        <w:t xml:space="preserve">Personas </w:t>
      </w:r>
      <w:r w:rsidRPr="006313D2">
        <w:rPr>
          <w:rFonts w:eastAsia="Calibri"/>
          <w:lang w:val="es-ES_tradnl" w:eastAsia="en-US"/>
        </w:rPr>
        <w:t xml:space="preserve">migrantes, </w:t>
      </w:r>
      <w:r w:rsidRPr="006313D2">
        <w:rPr>
          <w:rFonts w:eastAsia="Calibri"/>
          <w:u w:color="000000"/>
          <w:bdr w:val="nil"/>
          <w:lang w:val="es-ES_tradnl" w:eastAsia="en-GB"/>
        </w:rPr>
        <w:t>refugiadas</w:t>
      </w:r>
      <w:r w:rsidR="00A10D2A">
        <w:rPr>
          <w:rFonts w:eastAsia="Calibri"/>
          <w:lang w:val="es-ES_tradnl" w:eastAsia="en-US"/>
        </w:rPr>
        <w:t xml:space="preserve"> y</w:t>
      </w:r>
      <w:r w:rsidRPr="006313D2">
        <w:rPr>
          <w:rFonts w:eastAsia="Calibri"/>
          <w:lang w:val="es-ES_tradnl" w:eastAsia="en-US"/>
        </w:rPr>
        <w:t xml:space="preserve"> </w:t>
      </w:r>
      <w:r w:rsidRPr="00021674">
        <w:rPr>
          <w:rFonts w:eastAsia="Calibri"/>
          <w:lang w:val="es-ES_tradnl" w:eastAsia="en-US"/>
        </w:rPr>
        <w:t>solicitantes de asilo</w:t>
      </w:r>
      <w:r w:rsidRPr="006313D2">
        <w:rPr>
          <w:rFonts w:eastAsia="Calibri"/>
          <w:lang w:val="es-ES_tradnl" w:eastAsia="en-US"/>
        </w:rPr>
        <w:t xml:space="preserve"> </w:t>
      </w:r>
    </w:p>
    <w:p w14:paraId="61737739" w14:textId="1DDE49D9" w:rsidR="006313D2" w:rsidRPr="006313D2" w:rsidRDefault="006313D2" w:rsidP="006313D2">
      <w:pPr>
        <w:pStyle w:val="SingleTxtG"/>
      </w:pPr>
      <w:r w:rsidRPr="006313D2">
        <w:rPr>
          <w:rFonts w:eastAsia="Calibri"/>
          <w:lang w:val="es-419" w:eastAsia="en-US"/>
        </w:rPr>
        <w:t>24.</w:t>
      </w:r>
      <w:r w:rsidRPr="006313D2">
        <w:rPr>
          <w:rFonts w:eastAsia="Calibri"/>
          <w:lang w:val="es-419" w:eastAsia="en-US"/>
        </w:rPr>
        <w:tab/>
      </w:r>
      <w:r w:rsidRPr="006313D2">
        <w:t xml:space="preserve">Al Comité le preocupa el estado en el que se encuentra la </w:t>
      </w:r>
      <w:r w:rsidRPr="006313D2">
        <w:rPr>
          <w:lang w:val="es-ES_tradnl"/>
        </w:rPr>
        <w:t xml:space="preserve">Comisión Nacional del Refugiado tras los frecuentes cambios en su composición y en su </w:t>
      </w:r>
      <w:proofErr w:type="spellStart"/>
      <w:r w:rsidRPr="006313D2">
        <w:rPr>
          <w:lang w:val="es-ES_tradnl"/>
        </w:rPr>
        <w:t>secretarí</w:t>
      </w:r>
      <w:proofErr w:type="spellEnd"/>
      <w:r w:rsidRPr="006313D2">
        <w:rPr>
          <w:lang w:val="pt-PT"/>
        </w:rPr>
        <w:t>a, as</w:t>
      </w:r>
      <w:r w:rsidRPr="006313D2">
        <w:rPr>
          <w:lang w:val="es-ES_tradnl"/>
        </w:rPr>
        <w:t xml:space="preserve">í como la falta de formación dirigida a las autoridades en cuestión de asilo, a pesar de lo dispuesto en la sentencia de la Corte Interamericana de Derechos Humanos, </w:t>
      </w:r>
      <w:r w:rsidRPr="006313D2">
        <w:rPr>
          <w:i/>
          <w:lang w:val="es-ES_tradnl"/>
        </w:rPr>
        <w:t>Familia Pacheco Tineo v</w:t>
      </w:r>
      <w:r w:rsidR="00AE39C2">
        <w:rPr>
          <w:i/>
          <w:lang w:val="es-ES_tradnl"/>
        </w:rPr>
        <w:t>s</w:t>
      </w:r>
      <w:r w:rsidRPr="006313D2">
        <w:rPr>
          <w:i/>
          <w:lang w:val="es-ES_tradnl"/>
        </w:rPr>
        <w:t xml:space="preserve">. </w:t>
      </w:r>
      <w:r w:rsidR="007857F2">
        <w:rPr>
          <w:i/>
          <w:lang w:val="es-ES_tradnl"/>
        </w:rPr>
        <w:t xml:space="preserve">Estado Plurinacional de </w:t>
      </w:r>
      <w:r w:rsidRPr="006313D2">
        <w:rPr>
          <w:i/>
          <w:lang w:val="es-ES_tradnl"/>
        </w:rPr>
        <w:t>Bolivia</w:t>
      </w:r>
      <w:r w:rsidRPr="006313D2">
        <w:rPr>
          <w:lang w:val="es-ES_tradnl"/>
        </w:rPr>
        <w:t>, de 25 de noviembre de 2013, en la que se ordena</w:t>
      </w:r>
      <w:r w:rsidRPr="006313D2">
        <w:t xml:space="preserve"> la implementación de capacitación permanente a los funcionarios que trabajen con migrantes o solicitantes de asilo. </w:t>
      </w:r>
      <w:r w:rsidRPr="006313D2">
        <w:rPr>
          <w:lang w:val="es-ES_tradnl"/>
        </w:rPr>
        <w:t>El Comité lamenta también la ausencia de protocolos de actuación para funcionarios de migración y fronteras. El Comité, además, expresa su preocupación por:</w:t>
      </w:r>
    </w:p>
    <w:p w14:paraId="25B1C011" w14:textId="77777777" w:rsidR="006313D2" w:rsidRPr="00A10D2A" w:rsidRDefault="00A10D2A" w:rsidP="00E07CA4">
      <w:pPr>
        <w:pStyle w:val="SingleTxtG"/>
        <w:numPr>
          <w:ilvl w:val="0"/>
          <w:numId w:val="21"/>
        </w:numPr>
        <w:ind w:left="1134" w:firstLine="567"/>
        <w:rPr>
          <w:lang w:val="es-419" w:eastAsia="en-US"/>
        </w:rPr>
      </w:pPr>
      <w:r w:rsidRPr="00A10D2A">
        <w:rPr>
          <w:lang w:val="es-419" w:eastAsia="en-US"/>
        </w:rPr>
        <w:t xml:space="preserve">La falta </w:t>
      </w:r>
      <w:r w:rsidR="006313D2" w:rsidRPr="00A10D2A">
        <w:rPr>
          <w:lang w:val="es-419" w:eastAsia="en-US"/>
        </w:rPr>
        <w:t xml:space="preserve">de datos estadísticos actualizados sobre los solicitantes de asilo y refugiados que viven en el país, </w:t>
      </w:r>
      <w:r w:rsidRPr="00A10D2A">
        <w:rPr>
          <w:lang w:val="es-419" w:eastAsia="en-US"/>
        </w:rPr>
        <w:t>desglosados</w:t>
      </w:r>
      <w:r w:rsidR="006313D2" w:rsidRPr="00A10D2A">
        <w:rPr>
          <w:lang w:val="es-419" w:eastAsia="en-US"/>
        </w:rPr>
        <w:t xml:space="preserve"> por nacionalidad y lugar de solicitud de asilo;</w:t>
      </w:r>
      <w:r w:rsidRPr="00A10D2A">
        <w:rPr>
          <w:lang w:val="es-419" w:eastAsia="en-US"/>
        </w:rPr>
        <w:t xml:space="preserve"> aunque toma nota de la existencia de información desagregada por sexo y edad;</w:t>
      </w:r>
    </w:p>
    <w:p w14:paraId="2F221768" w14:textId="7D5CBF31" w:rsidR="006313D2" w:rsidRPr="006313D2" w:rsidRDefault="006313D2" w:rsidP="00E07CA4">
      <w:pPr>
        <w:pStyle w:val="SingleTxtG"/>
        <w:numPr>
          <w:ilvl w:val="0"/>
          <w:numId w:val="21"/>
        </w:numPr>
        <w:ind w:left="1134" w:firstLine="567"/>
        <w:rPr>
          <w:lang w:val="es-419" w:eastAsia="en-US"/>
        </w:rPr>
      </w:pPr>
      <w:r w:rsidRPr="006313D2">
        <w:rPr>
          <w:lang w:val="es-ES_tradnl" w:eastAsia="en-US"/>
        </w:rPr>
        <w:t xml:space="preserve">Las medidas migratorias adicionales adoptadas para limitar el acceso al territorio de los nacionales venezolanos, ante el cierre de la frontera; y las denuncias por abusos y extorsiones a los solicitantes de asilo que llegan a la frontera por parte de los agentes fronterizos bolivianos, en particular en la frontera con </w:t>
      </w:r>
      <w:r w:rsidR="00D84A20">
        <w:rPr>
          <w:lang w:val="es-ES_tradnl" w:eastAsia="en-US"/>
        </w:rPr>
        <w:t xml:space="preserve">el </w:t>
      </w:r>
      <w:r w:rsidRPr="006313D2">
        <w:rPr>
          <w:lang w:val="es-ES_tradnl" w:eastAsia="en-US"/>
        </w:rPr>
        <w:t>Perú (</w:t>
      </w:r>
      <w:r w:rsidRPr="00657C8E">
        <w:rPr>
          <w:lang w:val="es-ES_tradnl" w:eastAsia="en-US"/>
        </w:rPr>
        <w:t>Desaguadero). El Comité</w:t>
      </w:r>
      <w:r w:rsidRPr="006313D2">
        <w:rPr>
          <w:lang w:val="es-ES_tradnl" w:eastAsia="en-US"/>
        </w:rPr>
        <w:t xml:space="preserve"> también </w:t>
      </w:r>
      <w:r w:rsidR="00D84A20">
        <w:rPr>
          <w:lang w:val="es-ES_tradnl" w:eastAsia="en-US"/>
        </w:rPr>
        <w:t>observa</w:t>
      </w:r>
      <w:r w:rsidR="00D84A20" w:rsidRPr="006313D2">
        <w:rPr>
          <w:lang w:val="es-ES_tradnl" w:eastAsia="en-US"/>
        </w:rPr>
        <w:t xml:space="preserve"> </w:t>
      </w:r>
      <w:r w:rsidRPr="006313D2">
        <w:rPr>
          <w:lang w:val="es-ES_tradnl" w:eastAsia="en-US"/>
        </w:rPr>
        <w:t xml:space="preserve">con preocupación las dificultades para la tramitación de solicitudes de asilo en </w:t>
      </w:r>
      <w:r w:rsidR="00D84A20">
        <w:rPr>
          <w:lang w:val="es-ES_tradnl" w:eastAsia="en-US"/>
        </w:rPr>
        <w:t xml:space="preserve">las </w:t>
      </w:r>
      <w:r w:rsidRPr="006313D2">
        <w:rPr>
          <w:lang w:val="es-ES_tradnl" w:eastAsia="en-US"/>
        </w:rPr>
        <w:t>fronteras y la imposibilidad de gestionar</w:t>
      </w:r>
      <w:r w:rsidR="00D84A20">
        <w:rPr>
          <w:lang w:val="es-ES_tradnl" w:eastAsia="en-US"/>
        </w:rPr>
        <w:t xml:space="preserve"> estos trámites</w:t>
      </w:r>
      <w:r w:rsidR="00D84A20" w:rsidRPr="006313D2">
        <w:rPr>
          <w:lang w:val="es-ES_tradnl" w:eastAsia="en-US"/>
        </w:rPr>
        <w:t xml:space="preserve"> </w:t>
      </w:r>
      <w:r w:rsidRPr="006313D2">
        <w:rPr>
          <w:lang w:val="es-ES_tradnl" w:eastAsia="en-US"/>
        </w:rPr>
        <w:t>ante la Comisión Nacional del Refugiado en Santa Cruz de la Sierra;</w:t>
      </w:r>
    </w:p>
    <w:p w14:paraId="49E8B258" w14:textId="77777777" w:rsidR="006313D2" w:rsidRPr="006313D2" w:rsidRDefault="006313D2" w:rsidP="00E07CA4">
      <w:pPr>
        <w:pStyle w:val="SingleTxtG"/>
        <w:numPr>
          <w:ilvl w:val="0"/>
          <w:numId w:val="21"/>
        </w:numPr>
        <w:ind w:left="1134" w:firstLine="567"/>
        <w:rPr>
          <w:lang w:val="es-419" w:eastAsia="en-US"/>
        </w:rPr>
      </w:pPr>
      <w:r w:rsidRPr="006313D2">
        <w:rPr>
          <w:lang w:eastAsia="en-US"/>
        </w:rPr>
        <w:t xml:space="preserve">La legislación migratoria de carácter restrictivo, que no ofrece posibilidades de regularización, ni disposiciones flexibles de protección o permanencia temporal </w:t>
      </w:r>
      <w:r w:rsidRPr="006313D2">
        <w:rPr>
          <w:rFonts w:eastAsia="Calibri"/>
          <w:lang w:val="es-ES_tradnl" w:eastAsia="en-US"/>
        </w:rPr>
        <w:t>(art. 3)</w:t>
      </w:r>
      <w:r w:rsidRPr="006313D2">
        <w:rPr>
          <w:lang w:val="es-ES_tradnl" w:eastAsia="en-US"/>
        </w:rPr>
        <w:t>.</w:t>
      </w:r>
    </w:p>
    <w:p w14:paraId="7F0EB155" w14:textId="77777777" w:rsidR="006313D2" w:rsidRPr="006313D2" w:rsidRDefault="006313D2" w:rsidP="006313D2">
      <w:pPr>
        <w:pStyle w:val="SingleTxtG"/>
        <w:rPr>
          <w:b/>
          <w:lang w:val="es-ES_tradnl" w:eastAsia="en-US"/>
        </w:rPr>
      </w:pPr>
      <w:r w:rsidRPr="006313D2">
        <w:t>25.</w:t>
      </w:r>
      <w:r w:rsidRPr="006313D2">
        <w:tab/>
      </w:r>
      <w:r w:rsidRPr="006313D2">
        <w:rPr>
          <w:b/>
          <w:lang w:eastAsia="en-US"/>
        </w:rPr>
        <w:t>E</w:t>
      </w:r>
      <w:r w:rsidRPr="006313D2">
        <w:rPr>
          <w:b/>
          <w:lang w:val="es-ES_tradnl" w:eastAsia="en-US"/>
        </w:rPr>
        <w:t>l Estado parte debe:</w:t>
      </w:r>
    </w:p>
    <w:p w14:paraId="71B60223" w14:textId="1C8BE70D" w:rsidR="006313D2" w:rsidRPr="006313D2" w:rsidRDefault="006313D2" w:rsidP="00E07CA4">
      <w:pPr>
        <w:pStyle w:val="SingleTxtG"/>
        <w:numPr>
          <w:ilvl w:val="0"/>
          <w:numId w:val="22"/>
        </w:numPr>
        <w:ind w:left="1134" w:firstLine="567"/>
        <w:rPr>
          <w:b/>
          <w:lang w:val="es-ES_tradnl"/>
        </w:rPr>
      </w:pPr>
      <w:r w:rsidRPr="006313D2">
        <w:rPr>
          <w:b/>
          <w:lang w:val="es-ES_tradnl"/>
        </w:rPr>
        <w:t xml:space="preserve">Adoptar protocolos dirigidos a los funcionarios de migración y fronteras a fin de asegurar la identificación en </w:t>
      </w:r>
      <w:r w:rsidR="00D84A20">
        <w:rPr>
          <w:b/>
          <w:lang w:val="es-ES_tradnl"/>
        </w:rPr>
        <w:t xml:space="preserve">las </w:t>
      </w:r>
      <w:r w:rsidRPr="006313D2">
        <w:rPr>
          <w:b/>
          <w:lang w:val="es-ES_tradnl"/>
        </w:rPr>
        <w:t>frontera</w:t>
      </w:r>
      <w:r w:rsidR="00D84A20">
        <w:rPr>
          <w:b/>
          <w:lang w:val="es-ES_tradnl"/>
        </w:rPr>
        <w:t>s</w:t>
      </w:r>
      <w:r w:rsidRPr="006313D2">
        <w:rPr>
          <w:b/>
          <w:lang w:val="es-ES_tradnl"/>
        </w:rPr>
        <w:t xml:space="preserve"> de las personas que requieran protección internacional y su remisión al sistema de asilo, así como fortalecer su capacitación sobre el derecho internacional de los refugiados, incluido el principio de no devolución;</w:t>
      </w:r>
    </w:p>
    <w:p w14:paraId="6E7CE715" w14:textId="5E9AE401" w:rsidR="006313D2" w:rsidRPr="002951F3" w:rsidRDefault="006313D2" w:rsidP="00E07CA4">
      <w:pPr>
        <w:pStyle w:val="SingleTxtG"/>
        <w:numPr>
          <w:ilvl w:val="0"/>
          <w:numId w:val="22"/>
        </w:numPr>
        <w:ind w:left="1134" w:firstLine="567"/>
        <w:rPr>
          <w:b/>
          <w:lang w:val="es-ES_tradnl"/>
        </w:rPr>
      </w:pPr>
      <w:r w:rsidRPr="002951F3">
        <w:rPr>
          <w:b/>
          <w:lang w:val="es-ES_tradnl"/>
        </w:rPr>
        <w:t xml:space="preserve">Contar con información estadística </w:t>
      </w:r>
      <w:r w:rsidR="004E58C5" w:rsidRPr="002951F3">
        <w:rPr>
          <w:b/>
          <w:lang w:val="es-ES_tradnl"/>
        </w:rPr>
        <w:t xml:space="preserve">completa, </w:t>
      </w:r>
      <w:r w:rsidRPr="002951F3">
        <w:rPr>
          <w:b/>
          <w:lang w:val="es-ES_tradnl"/>
        </w:rPr>
        <w:t xml:space="preserve">actualizada y desglosada por sexo, edad y país de origen sobre las personas solicitantes de asilo, refugiadas, apátridas y migrantes en </w:t>
      </w:r>
      <w:r w:rsidR="00D84A20">
        <w:rPr>
          <w:b/>
          <w:lang w:val="es-ES_tradnl"/>
        </w:rPr>
        <w:t xml:space="preserve">el Estado Plurinacional de </w:t>
      </w:r>
      <w:r w:rsidRPr="002951F3">
        <w:rPr>
          <w:b/>
          <w:lang w:val="es-ES_tradnl"/>
        </w:rPr>
        <w:t xml:space="preserve">Bolivia, incluida la información sobre los procedimientos de expulsión, deportación y las llamadas </w:t>
      </w:r>
      <w:r w:rsidR="00D84A20">
        <w:rPr>
          <w:b/>
          <w:lang w:val="es-ES_tradnl"/>
        </w:rPr>
        <w:t>“</w:t>
      </w:r>
      <w:r w:rsidRPr="002951F3">
        <w:rPr>
          <w:b/>
          <w:lang w:val="es-ES_tradnl"/>
        </w:rPr>
        <w:t>salidas voluntarias</w:t>
      </w:r>
      <w:r w:rsidR="00D84A20">
        <w:rPr>
          <w:b/>
          <w:lang w:val="es-ES_tradnl"/>
        </w:rPr>
        <w:t>”</w:t>
      </w:r>
      <w:r w:rsidRPr="002951F3">
        <w:rPr>
          <w:b/>
          <w:lang w:val="es-ES_tradnl"/>
        </w:rPr>
        <w:t>;</w:t>
      </w:r>
    </w:p>
    <w:p w14:paraId="48B9FFE6" w14:textId="77777777" w:rsidR="006313D2" w:rsidRPr="006313D2" w:rsidRDefault="006313D2" w:rsidP="00E07CA4">
      <w:pPr>
        <w:pStyle w:val="SingleTxtG"/>
        <w:numPr>
          <w:ilvl w:val="0"/>
          <w:numId w:val="22"/>
        </w:numPr>
        <w:ind w:left="1134" w:firstLine="567"/>
        <w:rPr>
          <w:b/>
          <w:lang w:val="es-ES_tradnl"/>
        </w:rPr>
      </w:pPr>
      <w:r w:rsidRPr="006313D2">
        <w:rPr>
          <w:b/>
          <w:lang w:val="es-ES_tradnl"/>
        </w:rPr>
        <w:t>Asegurar que el control migratorio y los procedimientos de expulsión y/o deportación se realicen de conformidad con los estándares de derechos humanos, siguiendo garantías procesales que tomen en consideración la condición de los solicitantes de asilo y de quienes requieren de protección internacional;</w:t>
      </w:r>
    </w:p>
    <w:p w14:paraId="229AEA5B" w14:textId="77777777" w:rsidR="006313D2" w:rsidRPr="006313D2" w:rsidRDefault="006313D2" w:rsidP="00E07CA4">
      <w:pPr>
        <w:pStyle w:val="SingleTxtG"/>
        <w:numPr>
          <w:ilvl w:val="0"/>
          <w:numId w:val="22"/>
        </w:numPr>
        <w:ind w:left="1134" w:firstLine="567"/>
        <w:rPr>
          <w:b/>
          <w:lang w:val="es-ES_tradnl"/>
        </w:rPr>
      </w:pPr>
      <w:r w:rsidRPr="006313D2">
        <w:rPr>
          <w:b/>
        </w:rPr>
        <w:t>Velar por que ninguna persona pueda ser expulsada, devuelta o extraditada a otro Estado cuando existan razones fundadas para creer que correría el riesgo personal y previsible de ser sometida a tortura.</w:t>
      </w:r>
    </w:p>
    <w:p w14:paraId="2C1D69B2" w14:textId="77777777" w:rsidR="006313D2" w:rsidRDefault="006313D2" w:rsidP="006313D2">
      <w:pPr>
        <w:pStyle w:val="H23G"/>
        <w:rPr>
          <w:rFonts w:eastAsia="Calibri"/>
          <w:lang w:val="es-ES_tradnl" w:eastAsia="en-US"/>
        </w:rPr>
      </w:pPr>
      <w:r>
        <w:rPr>
          <w:lang w:val="es-419" w:eastAsia="en-US"/>
        </w:rPr>
        <w:tab/>
      </w:r>
      <w:r>
        <w:rPr>
          <w:lang w:val="es-419" w:eastAsia="en-US"/>
        </w:rPr>
        <w:tab/>
      </w:r>
      <w:r w:rsidRPr="006313D2">
        <w:rPr>
          <w:lang w:val="es-419" w:eastAsia="en-US"/>
        </w:rPr>
        <w:t xml:space="preserve">Violencia de </w:t>
      </w:r>
      <w:r w:rsidRPr="006313D2">
        <w:rPr>
          <w:rFonts w:eastAsia="Calibri"/>
          <w:u w:color="000000"/>
          <w:bdr w:val="nil"/>
          <w:lang w:val="es-ES_tradnl" w:eastAsia="en-GB"/>
        </w:rPr>
        <w:t>género</w:t>
      </w:r>
      <w:r w:rsidRPr="006313D2">
        <w:rPr>
          <w:lang w:val="es-419" w:eastAsia="en-US"/>
        </w:rPr>
        <w:t xml:space="preserve"> </w:t>
      </w:r>
    </w:p>
    <w:p w14:paraId="7F6C93D2" w14:textId="1E259961" w:rsidR="006313D2" w:rsidRDefault="006313D2" w:rsidP="006313D2">
      <w:pPr>
        <w:pStyle w:val="SingleTxtG"/>
      </w:pPr>
      <w:r w:rsidRPr="006313D2">
        <w:rPr>
          <w:lang w:val="es-CO"/>
        </w:rPr>
        <w:t>26.</w:t>
      </w:r>
      <w:r w:rsidRPr="006313D2">
        <w:rPr>
          <w:lang w:val="es-CO"/>
        </w:rPr>
        <w:tab/>
      </w:r>
      <w:r w:rsidRPr="006313D2">
        <w:t xml:space="preserve">El Comité valora los </w:t>
      </w:r>
      <w:r w:rsidRPr="006313D2">
        <w:rPr>
          <w:lang w:val="es-CO"/>
        </w:rPr>
        <w:t xml:space="preserve">avances en la legislación y las políticas públicas frente a la violencia de género, como la creación de la Comisión Nacional de Seguimiento para </w:t>
      </w:r>
      <w:r w:rsidR="00D84A20">
        <w:rPr>
          <w:lang w:val="es-CO"/>
        </w:rPr>
        <w:t>C</w:t>
      </w:r>
      <w:r w:rsidRPr="006313D2">
        <w:rPr>
          <w:lang w:val="es-CO"/>
        </w:rPr>
        <w:t xml:space="preserve">asos de </w:t>
      </w:r>
      <w:r w:rsidR="00D84A20">
        <w:rPr>
          <w:lang w:val="es-CO"/>
        </w:rPr>
        <w:t>F</w:t>
      </w:r>
      <w:r w:rsidRPr="006313D2">
        <w:rPr>
          <w:lang w:val="es-CO"/>
        </w:rPr>
        <w:t xml:space="preserve">eminicidio, y toma nota del cumplimiento parcial de la </w:t>
      </w:r>
      <w:r w:rsidRPr="006313D2">
        <w:rPr>
          <w:lang w:val="es-ES_tradnl"/>
        </w:rPr>
        <w:t xml:space="preserve">sentencia de la Corte Interamericana de Derechos Humanos, </w:t>
      </w:r>
      <w:r w:rsidRPr="006313D2">
        <w:rPr>
          <w:i/>
          <w:lang w:val="es-CO"/>
        </w:rPr>
        <w:t>I.V. vs</w:t>
      </w:r>
      <w:r w:rsidR="00226A5F">
        <w:rPr>
          <w:i/>
          <w:lang w:val="es-CO"/>
        </w:rPr>
        <w:t>.</w:t>
      </w:r>
      <w:r w:rsidRPr="006313D2">
        <w:rPr>
          <w:i/>
          <w:lang w:val="es-CO"/>
        </w:rPr>
        <w:t xml:space="preserve"> </w:t>
      </w:r>
      <w:r w:rsidR="00226A5F">
        <w:rPr>
          <w:i/>
          <w:lang w:val="es-CO"/>
        </w:rPr>
        <w:t xml:space="preserve">Estado Plurinacional de </w:t>
      </w:r>
      <w:r w:rsidRPr="006313D2">
        <w:rPr>
          <w:i/>
          <w:lang w:val="es-CO"/>
        </w:rPr>
        <w:t>Bolivia</w:t>
      </w:r>
      <w:r w:rsidRPr="006313D2">
        <w:rPr>
          <w:lang w:val="es-CO"/>
        </w:rPr>
        <w:t>, de 30 de noviembre de 2016</w:t>
      </w:r>
      <w:r w:rsidRPr="006313D2">
        <w:t>. No obstante, observa con preocupación:</w:t>
      </w:r>
    </w:p>
    <w:p w14:paraId="036FEE68" w14:textId="77777777" w:rsidR="006313D2" w:rsidRDefault="006313D2" w:rsidP="00E07CA4">
      <w:pPr>
        <w:pStyle w:val="SingleTxtG"/>
        <w:numPr>
          <w:ilvl w:val="0"/>
          <w:numId w:val="23"/>
        </w:numPr>
        <w:ind w:left="1134" w:firstLine="567"/>
        <w:rPr>
          <w:lang w:val="es-CO"/>
        </w:rPr>
      </w:pPr>
      <w:r w:rsidRPr="006313D2">
        <w:t xml:space="preserve">El aumento de </w:t>
      </w:r>
      <w:r w:rsidRPr="006313D2">
        <w:rPr>
          <w:lang w:val="es-CO"/>
        </w:rPr>
        <w:t>la violencia de género</w:t>
      </w:r>
      <w:r w:rsidRPr="006313D2">
        <w:t xml:space="preserve"> en el Estado parte, en particular, la alta incidencia del feminicidio y la violencia sexual, así como los </w:t>
      </w:r>
      <w:r w:rsidRPr="006313D2">
        <w:rPr>
          <w:lang w:val="es-CO"/>
        </w:rPr>
        <w:t>altos niveles de impunidad</w:t>
      </w:r>
      <w:r w:rsidRPr="006313D2">
        <w:t>;</w:t>
      </w:r>
    </w:p>
    <w:p w14:paraId="7819BCDB" w14:textId="15F8CDED" w:rsidR="006313D2" w:rsidRDefault="006313D2" w:rsidP="00E07CA4">
      <w:pPr>
        <w:pStyle w:val="SingleTxtG"/>
        <w:numPr>
          <w:ilvl w:val="0"/>
          <w:numId w:val="23"/>
        </w:numPr>
        <w:ind w:left="1134" w:firstLine="567"/>
        <w:rPr>
          <w:lang w:val="es-419" w:eastAsia="en-US"/>
        </w:rPr>
      </w:pPr>
      <w:r w:rsidRPr="006313D2">
        <w:rPr>
          <w:lang w:val="es-419" w:eastAsia="en-US"/>
        </w:rPr>
        <w:t xml:space="preserve">La definición de violación sexual en el Código Penal se basa en la fuerza, no define el término </w:t>
      </w:r>
      <w:r w:rsidR="008546EA">
        <w:rPr>
          <w:lang w:val="es-419" w:eastAsia="en-US"/>
        </w:rPr>
        <w:t>“</w:t>
      </w:r>
      <w:r w:rsidRPr="006313D2">
        <w:rPr>
          <w:lang w:val="es-419" w:eastAsia="en-US"/>
        </w:rPr>
        <w:t>consentimiento</w:t>
      </w:r>
      <w:r w:rsidR="008546EA">
        <w:rPr>
          <w:lang w:val="es-419" w:eastAsia="en-US"/>
        </w:rPr>
        <w:t>”</w:t>
      </w:r>
      <w:r w:rsidRPr="006313D2">
        <w:rPr>
          <w:lang w:val="es-419" w:eastAsia="en-US"/>
        </w:rPr>
        <w:t xml:space="preserve"> ni establece presunciones apropiadas;</w:t>
      </w:r>
    </w:p>
    <w:p w14:paraId="0E6F1CCA" w14:textId="4AF69E98" w:rsidR="006313D2" w:rsidRDefault="006313D2" w:rsidP="00E07CA4">
      <w:pPr>
        <w:pStyle w:val="SingleTxtG"/>
        <w:numPr>
          <w:ilvl w:val="0"/>
          <w:numId w:val="23"/>
        </w:numPr>
        <w:ind w:left="1134" w:firstLine="567"/>
        <w:rPr>
          <w:lang w:val="es-CO"/>
        </w:rPr>
      </w:pPr>
      <w:r w:rsidRPr="006313D2">
        <w:rPr>
          <w:lang w:val="es-CO"/>
        </w:rPr>
        <w:t xml:space="preserve">Los temas pendientes para el pleno cumplimiento de la sentencia </w:t>
      </w:r>
      <w:r w:rsidRPr="006313D2">
        <w:rPr>
          <w:i/>
          <w:lang w:val="es-CO"/>
        </w:rPr>
        <w:t>I.V. vs</w:t>
      </w:r>
      <w:r w:rsidR="008546EA">
        <w:rPr>
          <w:i/>
          <w:lang w:val="es-CO"/>
        </w:rPr>
        <w:t>.</w:t>
      </w:r>
      <w:r w:rsidRPr="006313D2">
        <w:rPr>
          <w:i/>
          <w:lang w:val="es-CO"/>
        </w:rPr>
        <w:t xml:space="preserve"> </w:t>
      </w:r>
      <w:r w:rsidR="008546EA">
        <w:rPr>
          <w:i/>
          <w:lang w:val="es-CO"/>
        </w:rPr>
        <w:t xml:space="preserve">Estado Plurinacional de </w:t>
      </w:r>
      <w:r w:rsidRPr="006313D2">
        <w:rPr>
          <w:i/>
          <w:lang w:val="es-CO"/>
        </w:rPr>
        <w:t>Bolivia</w:t>
      </w:r>
      <w:r w:rsidRPr="006313D2">
        <w:rPr>
          <w:lang w:val="es-CO"/>
        </w:rPr>
        <w:t xml:space="preserve">, incluyendo la educación en materia de consentimiento </w:t>
      </w:r>
      <w:r w:rsidRPr="006313D2">
        <w:rPr>
          <w:lang w:val="es-CO"/>
        </w:rPr>
        <w:lastRenderedPageBreak/>
        <w:t>informado y violencia de género dirigida al personal de salud, la obligación de proveer servicios gratuitos en salud sexual y reproductiva, así como en salud mental;</w:t>
      </w:r>
    </w:p>
    <w:p w14:paraId="57B03557" w14:textId="2E87477F" w:rsidR="006313D2" w:rsidRPr="007E2207" w:rsidRDefault="006313D2" w:rsidP="00E07CA4">
      <w:pPr>
        <w:pStyle w:val="SingleTxtG"/>
        <w:numPr>
          <w:ilvl w:val="0"/>
          <w:numId w:val="23"/>
        </w:numPr>
        <w:ind w:left="1134" w:firstLine="567"/>
        <w:rPr>
          <w:lang w:val="es-CO"/>
        </w:rPr>
      </w:pPr>
      <w:r w:rsidRPr="006313D2">
        <w:rPr>
          <w:lang w:val="es-CO"/>
        </w:rPr>
        <w:t>La alta carga procesal de los 27</w:t>
      </w:r>
      <w:r w:rsidR="002A3154">
        <w:rPr>
          <w:lang w:val="es-CO"/>
        </w:rPr>
        <w:t> </w:t>
      </w:r>
      <w:r w:rsidRPr="006313D2">
        <w:rPr>
          <w:lang w:val="es-CO"/>
        </w:rPr>
        <w:t xml:space="preserve">juzgados y tribunales especializados en materia de violencia contra las mujeres y anticorrupción. Preocupa también que solo se cuente con fiscales especializados de delitos </w:t>
      </w:r>
      <w:r w:rsidR="00AD051A">
        <w:rPr>
          <w:lang w:val="es-CO"/>
        </w:rPr>
        <w:t>por</w:t>
      </w:r>
      <w:r w:rsidR="00AD051A" w:rsidRPr="006313D2">
        <w:rPr>
          <w:lang w:val="es-CO"/>
        </w:rPr>
        <w:t xml:space="preserve"> </w:t>
      </w:r>
      <w:r w:rsidRPr="006313D2">
        <w:rPr>
          <w:lang w:val="es-CO"/>
        </w:rPr>
        <w:t>raz</w:t>
      </w:r>
      <w:r w:rsidR="00AD051A">
        <w:rPr>
          <w:lang w:val="es-CO"/>
        </w:rPr>
        <w:t>ones</w:t>
      </w:r>
      <w:r w:rsidRPr="006313D2">
        <w:rPr>
          <w:lang w:val="es-CO"/>
        </w:rPr>
        <w:t xml:space="preserve"> </w:t>
      </w:r>
      <w:r w:rsidRPr="007E2207">
        <w:rPr>
          <w:lang w:val="es-CO"/>
        </w:rPr>
        <w:t>de género, trata y tráfico de personas en las capitales de departamento;</w:t>
      </w:r>
    </w:p>
    <w:p w14:paraId="1DFB4125" w14:textId="77777777" w:rsidR="006313D2" w:rsidRDefault="006313D2" w:rsidP="00E07CA4">
      <w:pPr>
        <w:pStyle w:val="SingleTxtG"/>
        <w:numPr>
          <w:ilvl w:val="0"/>
          <w:numId w:val="23"/>
        </w:numPr>
        <w:ind w:left="1134" w:firstLine="567"/>
        <w:rPr>
          <w:lang w:val="es-CO"/>
        </w:rPr>
      </w:pPr>
      <w:r w:rsidRPr="006313D2">
        <w:rPr>
          <w:lang w:val="es-CO"/>
        </w:rPr>
        <w:t>Insuficiente número de albergues y casas de acogida para víctimas de violencia de género, pese al incremento de estos espacios;</w:t>
      </w:r>
    </w:p>
    <w:p w14:paraId="4AFEE98E" w14:textId="77777777" w:rsidR="006313D2" w:rsidRDefault="006313D2" w:rsidP="00E07CA4">
      <w:pPr>
        <w:pStyle w:val="SingleTxtG"/>
        <w:numPr>
          <w:ilvl w:val="0"/>
          <w:numId w:val="23"/>
        </w:numPr>
        <w:ind w:left="1134" w:firstLine="567"/>
        <w:rPr>
          <w:lang w:val="es-CO"/>
        </w:rPr>
      </w:pPr>
      <w:r w:rsidRPr="006313D2">
        <w:rPr>
          <w:lang w:val="es-CO"/>
        </w:rPr>
        <w:t>Los informes relativos a detenciones arbitrarias y abusos cometidos contra trabajadoras sexuales por parte de miembros de las fuerzas del orden;</w:t>
      </w:r>
    </w:p>
    <w:p w14:paraId="3052C082" w14:textId="77777777" w:rsidR="006313D2" w:rsidRDefault="006313D2" w:rsidP="00E07CA4">
      <w:pPr>
        <w:pStyle w:val="SingleTxtG"/>
        <w:numPr>
          <w:ilvl w:val="0"/>
          <w:numId w:val="23"/>
        </w:numPr>
        <w:ind w:left="1134" w:firstLine="567"/>
        <w:rPr>
          <w:lang w:val="es-CO"/>
        </w:rPr>
      </w:pPr>
      <w:r w:rsidRPr="006313D2">
        <w:rPr>
          <w:lang w:val="es-CO"/>
        </w:rPr>
        <w:t xml:space="preserve">La ausencia de evaluaciones sobre la eficacia de las actividades de sensibilización y prevención de la violencia contra las mujeres dirigidas a servidores públicos </w:t>
      </w:r>
      <w:r w:rsidRPr="006313D2">
        <w:rPr>
          <w:rFonts w:eastAsia="Calibri"/>
          <w:lang w:val="es-419" w:eastAsia="en-US"/>
        </w:rPr>
        <w:t xml:space="preserve">(arts. </w:t>
      </w:r>
      <w:r w:rsidRPr="006313D2">
        <w:rPr>
          <w:rFonts w:eastAsia="Calibri"/>
          <w:lang w:val="es-ES_tradnl" w:eastAsia="en-US"/>
        </w:rPr>
        <w:t>2 y 16)</w:t>
      </w:r>
      <w:r>
        <w:rPr>
          <w:lang w:val="es-CO"/>
        </w:rPr>
        <w:t xml:space="preserve">. </w:t>
      </w:r>
    </w:p>
    <w:p w14:paraId="71AFFF7C" w14:textId="77777777" w:rsidR="006313D2" w:rsidRPr="006313D2" w:rsidRDefault="006313D2" w:rsidP="006313D2">
      <w:pPr>
        <w:pStyle w:val="SingleTxtG"/>
        <w:rPr>
          <w:b/>
          <w:lang w:val="es-ES_tradnl" w:eastAsia="en-US"/>
        </w:rPr>
      </w:pPr>
      <w:r w:rsidRPr="006313D2">
        <w:t>27.</w:t>
      </w:r>
      <w:r w:rsidRPr="006313D2">
        <w:tab/>
      </w:r>
      <w:r w:rsidRPr="006313D2">
        <w:rPr>
          <w:b/>
          <w:lang w:eastAsia="en-US"/>
        </w:rPr>
        <w:t>E</w:t>
      </w:r>
      <w:r w:rsidRPr="006313D2">
        <w:rPr>
          <w:b/>
          <w:lang w:val="es-ES_tradnl" w:eastAsia="en-US"/>
        </w:rPr>
        <w:t>l Estado parte debe:</w:t>
      </w:r>
    </w:p>
    <w:p w14:paraId="07E92419" w14:textId="77777777" w:rsidR="006313D2" w:rsidRPr="006313D2" w:rsidRDefault="006313D2" w:rsidP="00E07CA4">
      <w:pPr>
        <w:pStyle w:val="SingleTxtG"/>
        <w:numPr>
          <w:ilvl w:val="0"/>
          <w:numId w:val="24"/>
        </w:numPr>
        <w:ind w:left="1134" w:firstLine="567"/>
        <w:rPr>
          <w:b/>
          <w:lang w:val="es-CO"/>
        </w:rPr>
      </w:pPr>
      <w:r w:rsidRPr="006313D2">
        <w:rPr>
          <w:b/>
          <w:lang w:val="es-CO"/>
        </w:rPr>
        <w:t>Velar por que todos los casos de violencia de género, y en particular en aquellos casos en los que haya habido acciones u omisiones de autoridades del Estado u otras entidades que den lugar a la responsabilidad internacional del Estado parte con arreglo a la Convención, sean investigados exhaustivamente, que los presuntos autores sean enjuiciados y, de ser condenados, sancionados debidamente, y que las víctimas obtengan reparación integral, incluida una indemnización adecuada y su rehabilitación;</w:t>
      </w:r>
    </w:p>
    <w:p w14:paraId="161A83DD" w14:textId="77777777" w:rsidR="006313D2" w:rsidRPr="006313D2" w:rsidRDefault="006313D2" w:rsidP="00E07CA4">
      <w:pPr>
        <w:pStyle w:val="SingleTxtG"/>
        <w:numPr>
          <w:ilvl w:val="0"/>
          <w:numId w:val="24"/>
        </w:numPr>
        <w:ind w:left="1134" w:firstLine="567"/>
        <w:rPr>
          <w:b/>
          <w:lang w:val="es-CO"/>
        </w:rPr>
      </w:pPr>
      <w:r w:rsidRPr="006313D2">
        <w:rPr>
          <w:b/>
          <w:lang w:val="es-CO"/>
        </w:rPr>
        <w:t>Contar con cifras actualizadas desglosadas por edad, origen étnico o nacionalidad de las víctimas, además de indicar el número de denuncias, investigaciones, enjuiciamientos, condenas y sentencias por violencia de género;</w:t>
      </w:r>
    </w:p>
    <w:p w14:paraId="12417248" w14:textId="77777777" w:rsidR="006313D2" w:rsidRPr="006313D2" w:rsidRDefault="006313D2" w:rsidP="00E07CA4">
      <w:pPr>
        <w:pStyle w:val="SingleTxtG"/>
        <w:numPr>
          <w:ilvl w:val="0"/>
          <w:numId w:val="24"/>
        </w:numPr>
        <w:ind w:left="1134" w:firstLine="567"/>
        <w:rPr>
          <w:b/>
          <w:lang w:val="es-CO" w:eastAsia="en-US"/>
        </w:rPr>
      </w:pPr>
      <w:r w:rsidRPr="006313D2">
        <w:rPr>
          <w:b/>
          <w:lang w:val="es-419" w:eastAsia="en-US"/>
        </w:rPr>
        <w:t>Modificar el tipo penal de la violación (artículo 308 del Código Penal)</w:t>
      </w:r>
      <w:r w:rsidRPr="006313D2">
        <w:rPr>
          <w:b/>
          <w:lang w:val="es-419"/>
        </w:rPr>
        <w:t>;</w:t>
      </w:r>
      <w:r w:rsidRPr="006313D2">
        <w:rPr>
          <w:b/>
          <w:lang w:val="es-419" w:eastAsia="en-US"/>
        </w:rPr>
        <w:t xml:space="preserve"> </w:t>
      </w:r>
    </w:p>
    <w:p w14:paraId="73C9E216" w14:textId="77777777" w:rsidR="006313D2" w:rsidRPr="006313D2" w:rsidRDefault="006313D2" w:rsidP="00E07CA4">
      <w:pPr>
        <w:pStyle w:val="SingleTxtG"/>
        <w:numPr>
          <w:ilvl w:val="0"/>
          <w:numId w:val="24"/>
        </w:numPr>
        <w:ind w:left="1134" w:firstLine="567"/>
        <w:rPr>
          <w:b/>
          <w:lang w:val="es-CO"/>
        </w:rPr>
      </w:pPr>
      <w:r w:rsidRPr="006313D2">
        <w:rPr>
          <w:b/>
          <w:bCs/>
          <w:lang w:val="es-419"/>
        </w:rPr>
        <w:t>Impartir formación obligatoria sobre el enjuiciamiento de la violencia de género a jueces, fiscales y personal de salud</w:t>
      </w:r>
      <w:r w:rsidRPr="006313D2">
        <w:rPr>
          <w:rFonts w:ascii="Calibri" w:hAnsi="Calibri" w:cs="Calibri"/>
          <w:b/>
          <w:bCs/>
          <w:sz w:val="22"/>
          <w:szCs w:val="22"/>
          <w:lang w:val="es-419"/>
        </w:rPr>
        <w:t>;</w:t>
      </w:r>
    </w:p>
    <w:p w14:paraId="22F34D18" w14:textId="77777777" w:rsidR="006313D2" w:rsidRPr="00E01EF5" w:rsidRDefault="006313D2" w:rsidP="00E07CA4">
      <w:pPr>
        <w:pStyle w:val="SingleTxtG"/>
        <w:numPr>
          <w:ilvl w:val="0"/>
          <w:numId w:val="24"/>
        </w:numPr>
        <w:ind w:left="1134" w:firstLine="567"/>
        <w:rPr>
          <w:b/>
          <w:lang w:val="es-CO"/>
        </w:rPr>
      </w:pPr>
      <w:r w:rsidRPr="00E01EF5">
        <w:rPr>
          <w:b/>
          <w:bCs/>
        </w:rPr>
        <w:t>Fortalecer la Ley núm. 348</w:t>
      </w:r>
      <w:r w:rsidR="00E01EF5" w:rsidRPr="00E01EF5">
        <w:rPr>
          <w:b/>
          <w:bCs/>
        </w:rPr>
        <w:t xml:space="preserve">, </w:t>
      </w:r>
      <w:r w:rsidR="00E01EF5" w:rsidRPr="00E01EF5">
        <w:rPr>
          <w:rStyle w:val="Strong"/>
          <w:shd w:val="clear" w:color="auto" w:fill="FFFFFF"/>
        </w:rPr>
        <w:t>Ley Integral para Garantizar a las Mujeres una Vida Libre de Violencia, de 9 de marzo de 2013,</w:t>
      </w:r>
      <w:r w:rsidRPr="00E01EF5">
        <w:rPr>
          <w:b/>
          <w:bCs/>
        </w:rPr>
        <w:t xml:space="preserve"> y la</w:t>
      </w:r>
      <w:r w:rsidRPr="00E01EF5">
        <w:rPr>
          <w:b/>
        </w:rPr>
        <w:t xml:space="preserve"> </w:t>
      </w:r>
      <w:r w:rsidRPr="00E01EF5">
        <w:rPr>
          <w:b/>
          <w:bCs/>
        </w:rPr>
        <w:t>capacidad de los servicios para la atención de las mujeres en situación de violencia con infraestructura, equipamiento, personal especializado y presupuesto adecuado;</w:t>
      </w:r>
    </w:p>
    <w:p w14:paraId="6AE16928" w14:textId="77777777" w:rsidR="006313D2" w:rsidRPr="006313D2" w:rsidRDefault="006313D2" w:rsidP="00E07CA4">
      <w:pPr>
        <w:pStyle w:val="SingleTxtG"/>
        <w:numPr>
          <w:ilvl w:val="0"/>
          <w:numId w:val="24"/>
        </w:numPr>
        <w:ind w:left="1134" w:firstLine="567"/>
        <w:rPr>
          <w:b/>
          <w:lang w:val="es-CO"/>
        </w:rPr>
      </w:pPr>
      <w:r w:rsidRPr="006313D2">
        <w:rPr>
          <w:b/>
          <w:bCs/>
        </w:rPr>
        <w:t>Crear</w:t>
      </w:r>
      <w:r w:rsidRPr="006313D2">
        <w:rPr>
          <w:b/>
          <w:bCs/>
          <w:spacing w:val="1"/>
        </w:rPr>
        <w:t xml:space="preserve"> juzgados </w:t>
      </w:r>
      <w:r w:rsidRPr="006313D2">
        <w:rPr>
          <w:b/>
          <w:bCs/>
        </w:rPr>
        <w:t xml:space="preserve">especializados con competencia exclusiva en violencia por razón de género y </w:t>
      </w:r>
      <w:r w:rsidRPr="006313D2">
        <w:rPr>
          <w:b/>
          <w:lang w:val="es-CO"/>
        </w:rPr>
        <w:t>designar fiscales provinciales y/o equipos móviles de fiscales especializados;</w:t>
      </w:r>
    </w:p>
    <w:p w14:paraId="648C22C2" w14:textId="77777777" w:rsidR="006313D2" w:rsidRPr="007E2207" w:rsidRDefault="006313D2" w:rsidP="00E07CA4">
      <w:pPr>
        <w:pStyle w:val="SingleTxtG"/>
        <w:numPr>
          <w:ilvl w:val="0"/>
          <w:numId w:val="24"/>
        </w:numPr>
        <w:ind w:left="1134" w:firstLine="567"/>
        <w:rPr>
          <w:b/>
          <w:lang w:val="es-CO"/>
        </w:rPr>
      </w:pPr>
      <w:r w:rsidRPr="007E2207">
        <w:rPr>
          <w:b/>
          <w:bCs/>
        </w:rPr>
        <w:t>Velar por que las víctimas de violencia de género reciban atención médica, apoyo psicológico y la asistencia jurídica que necesiten.</w:t>
      </w:r>
    </w:p>
    <w:p w14:paraId="6F1E56CC" w14:textId="77777777" w:rsidR="006313D2" w:rsidRDefault="006313D2" w:rsidP="006313D2">
      <w:pPr>
        <w:pStyle w:val="H23G"/>
        <w:rPr>
          <w:rFonts w:eastAsia="Calibri"/>
          <w:lang w:val="es-ES_tradnl" w:eastAsia="en-US"/>
        </w:rPr>
      </w:pPr>
      <w:r>
        <w:rPr>
          <w:rFonts w:eastAsia="Calibri"/>
          <w:lang w:val="es-ES_tradnl" w:eastAsia="en-US"/>
        </w:rPr>
        <w:tab/>
      </w:r>
      <w:r>
        <w:rPr>
          <w:rFonts w:eastAsia="Calibri"/>
          <w:lang w:val="es-ES_tradnl" w:eastAsia="en-US"/>
        </w:rPr>
        <w:tab/>
      </w:r>
      <w:r w:rsidRPr="007E2207">
        <w:rPr>
          <w:rFonts w:eastAsia="Calibri"/>
          <w:lang w:val="es-ES_tradnl" w:eastAsia="en-US"/>
        </w:rPr>
        <w:t xml:space="preserve">Abortos </w:t>
      </w:r>
      <w:r w:rsidRPr="007E2207">
        <w:rPr>
          <w:rFonts w:eastAsia="Calibri"/>
          <w:u w:color="000000"/>
          <w:bdr w:val="nil"/>
          <w:lang w:val="es-ES_tradnl" w:eastAsia="en-GB"/>
        </w:rPr>
        <w:t>clandestinos</w:t>
      </w:r>
      <w:r w:rsidRPr="006313D2">
        <w:rPr>
          <w:rFonts w:eastAsia="Calibri"/>
          <w:lang w:val="es-ES_tradnl" w:eastAsia="en-US"/>
        </w:rPr>
        <w:t xml:space="preserve"> </w:t>
      </w:r>
    </w:p>
    <w:p w14:paraId="79F4C6A5" w14:textId="3EDBEAA3" w:rsidR="006313D2" w:rsidRDefault="006313D2" w:rsidP="006313D2">
      <w:pPr>
        <w:pStyle w:val="SingleTxtG"/>
        <w:rPr>
          <w:rFonts w:eastAsia="Calibri"/>
          <w:lang w:val="es-ES_tradnl" w:eastAsia="en-US"/>
        </w:rPr>
      </w:pPr>
      <w:r w:rsidRPr="006313D2">
        <w:rPr>
          <w:color w:val="000000"/>
          <w:bdr w:val="none" w:sz="0" w:space="0" w:color="auto" w:frame="1"/>
        </w:rPr>
        <w:t>28.</w:t>
      </w:r>
      <w:r w:rsidRPr="006313D2">
        <w:rPr>
          <w:color w:val="000000"/>
          <w:bdr w:val="none" w:sz="0" w:space="0" w:color="auto" w:frame="1"/>
        </w:rPr>
        <w:tab/>
        <w:t xml:space="preserve">El Comité </w:t>
      </w:r>
      <w:r w:rsidR="00021674">
        <w:rPr>
          <w:lang w:val="es-419"/>
        </w:rPr>
        <w:t xml:space="preserve">toma nota </w:t>
      </w:r>
      <w:r w:rsidRPr="006313D2">
        <w:rPr>
          <w:lang w:val="es-419"/>
        </w:rPr>
        <w:t xml:space="preserve">de la sustitución del requisito de autorización judicial por la presentación de una </w:t>
      </w:r>
      <w:r w:rsidR="00021674">
        <w:rPr>
          <w:lang w:val="es-419"/>
        </w:rPr>
        <w:t xml:space="preserve">copia de la </w:t>
      </w:r>
      <w:r w:rsidRPr="006313D2">
        <w:rPr>
          <w:lang w:val="es-419"/>
        </w:rPr>
        <w:t xml:space="preserve">denuncia para </w:t>
      </w:r>
      <w:r w:rsidR="00021674">
        <w:rPr>
          <w:lang w:val="es-419"/>
        </w:rPr>
        <w:t xml:space="preserve">acceder a </w:t>
      </w:r>
      <w:r w:rsidRPr="006313D2">
        <w:rPr>
          <w:lang w:val="es-419"/>
        </w:rPr>
        <w:t xml:space="preserve">la interrupción voluntaria del embarazo en </w:t>
      </w:r>
      <w:r w:rsidRPr="00561600">
        <w:rPr>
          <w:lang w:val="es-419"/>
        </w:rPr>
        <w:t>casos de violación</w:t>
      </w:r>
      <w:r w:rsidR="00021674">
        <w:rPr>
          <w:lang w:val="es-419"/>
        </w:rPr>
        <w:t xml:space="preserve">, </w:t>
      </w:r>
      <w:r w:rsidR="00021674" w:rsidRPr="003C39E0">
        <w:rPr>
          <w:lang w:val="es-419"/>
        </w:rPr>
        <w:t xml:space="preserve">estupro, incesto, rapto </w:t>
      </w:r>
      <w:r w:rsidR="00021674" w:rsidRPr="002951F3">
        <w:rPr>
          <w:lang w:val="es-419"/>
        </w:rPr>
        <w:t>o cuando por el embarazo corra peligro la vida o la salud de la mujer</w:t>
      </w:r>
      <w:r w:rsidRPr="00561600">
        <w:rPr>
          <w:lang w:val="es-419"/>
        </w:rPr>
        <w:t xml:space="preserve"> (sentencia del Tribunal Constitucional Plurinacional 0206/2014)</w:t>
      </w:r>
      <w:r w:rsidR="00021674">
        <w:rPr>
          <w:lang w:val="es-419"/>
        </w:rPr>
        <w:t>, así como</w:t>
      </w:r>
      <w:r w:rsidRPr="00561600">
        <w:rPr>
          <w:lang w:val="es-419"/>
        </w:rPr>
        <w:t xml:space="preserve"> de la </w:t>
      </w:r>
      <w:r w:rsidRPr="00561600">
        <w:rPr>
          <w:rFonts w:ascii="Libre Baskerville" w:eastAsia="Libre Baskerville" w:hAnsi="Libre Baskerville" w:cs="Libre Baskerville"/>
        </w:rPr>
        <w:t>Guía de atención a víctimas de violencia sexual para garantizar la implementación de esta sentencia</w:t>
      </w:r>
      <w:r w:rsidR="00021674">
        <w:rPr>
          <w:lang w:val="es-419"/>
        </w:rPr>
        <w:t>.</w:t>
      </w:r>
      <w:r w:rsidR="002951F3">
        <w:rPr>
          <w:lang w:val="es-419"/>
        </w:rPr>
        <w:t xml:space="preserve"> </w:t>
      </w:r>
      <w:r w:rsidR="00021674">
        <w:rPr>
          <w:lang w:val="es-419"/>
        </w:rPr>
        <w:t>No obstante, el Comité lamenta que</w:t>
      </w:r>
      <w:r w:rsidRPr="006313D2">
        <w:rPr>
          <w:lang w:val="es-419"/>
        </w:rPr>
        <w:t xml:space="preserve"> se sigue sin garantizar el acceso a abortos seguros </w:t>
      </w:r>
      <w:r w:rsidRPr="006313D2">
        <w:rPr>
          <w:lang w:val="es-CO"/>
        </w:rPr>
        <w:t>debido, entre otros</w:t>
      </w:r>
      <w:r w:rsidR="002D1693">
        <w:rPr>
          <w:lang w:val="es-CO"/>
        </w:rPr>
        <w:t xml:space="preserve"> factores</w:t>
      </w:r>
      <w:r w:rsidRPr="006313D2">
        <w:rPr>
          <w:lang w:val="es-CO"/>
        </w:rPr>
        <w:t xml:space="preserve">, al desconocimiento de la normativa, </w:t>
      </w:r>
      <w:r w:rsidR="002D1693">
        <w:rPr>
          <w:lang w:val="es-CO"/>
        </w:rPr>
        <w:t xml:space="preserve">los </w:t>
      </w:r>
      <w:r w:rsidRPr="006313D2">
        <w:rPr>
          <w:color w:val="000000"/>
          <w:bdr w:val="none" w:sz="0" w:space="0" w:color="auto" w:frame="1"/>
        </w:rPr>
        <w:t xml:space="preserve">obstáculos para obtener la copia de la denuncia o la falta de alternativas suficientes cuando haya objeción de conciencia del personal de salud </w:t>
      </w:r>
      <w:r w:rsidRPr="006313D2">
        <w:rPr>
          <w:rFonts w:eastAsia="Calibri"/>
          <w:lang w:val="es-ES_tradnl" w:eastAsia="en-US"/>
        </w:rPr>
        <w:t>(arts. 2 y 16).</w:t>
      </w:r>
    </w:p>
    <w:p w14:paraId="3E758F91" w14:textId="0D81D607" w:rsidR="006313D2" w:rsidRPr="00657C8E" w:rsidRDefault="006313D2" w:rsidP="006313D2">
      <w:pPr>
        <w:pStyle w:val="SingleTxtG"/>
        <w:rPr>
          <w:b/>
          <w:bdr w:val="none" w:sz="0" w:space="0" w:color="auto" w:frame="1"/>
          <w:shd w:val="clear" w:color="auto" w:fill="FFFFFF"/>
        </w:rPr>
      </w:pPr>
      <w:r w:rsidRPr="006313D2">
        <w:rPr>
          <w:rFonts w:eastAsia="Calibri"/>
          <w:lang w:val="es-ES_tradnl" w:eastAsia="en-US"/>
        </w:rPr>
        <w:t>29.</w:t>
      </w:r>
      <w:r w:rsidRPr="006313D2">
        <w:rPr>
          <w:rFonts w:eastAsia="Calibri"/>
          <w:lang w:val="es-ES_tradnl" w:eastAsia="en-US"/>
        </w:rPr>
        <w:tab/>
      </w:r>
      <w:r w:rsidR="004E58C5" w:rsidRPr="002951F3">
        <w:rPr>
          <w:rFonts w:eastAsia="Calibri"/>
          <w:b/>
          <w:lang w:val="es-ES_tradnl" w:eastAsia="en-US"/>
        </w:rPr>
        <w:t xml:space="preserve">Teniendo en cuenta la </w:t>
      </w:r>
      <w:r w:rsidR="004E58C5" w:rsidRPr="002951F3">
        <w:rPr>
          <w:b/>
          <w:lang w:val="es-419"/>
        </w:rPr>
        <w:t>sentencia</w:t>
      </w:r>
      <w:r w:rsidR="00AB78EE">
        <w:rPr>
          <w:b/>
          <w:lang w:val="es-419"/>
        </w:rPr>
        <w:t xml:space="preserve"> </w:t>
      </w:r>
      <w:r w:rsidR="00AB78EE" w:rsidRPr="002951F3">
        <w:rPr>
          <w:b/>
          <w:lang w:val="es-419"/>
        </w:rPr>
        <w:t>0206/2014</w:t>
      </w:r>
      <w:r w:rsidR="004E58C5" w:rsidRPr="002951F3">
        <w:rPr>
          <w:b/>
          <w:lang w:val="es-419"/>
        </w:rPr>
        <w:t xml:space="preserve"> del Tribunal Constitucional Plurinacional, </w:t>
      </w:r>
      <w:r w:rsidR="004E58C5" w:rsidRPr="002951F3">
        <w:rPr>
          <w:b/>
        </w:rPr>
        <w:t>e</w:t>
      </w:r>
      <w:r w:rsidRPr="002951F3">
        <w:rPr>
          <w:b/>
        </w:rPr>
        <w:t>l Comité in</w:t>
      </w:r>
      <w:r w:rsidR="00356C52" w:rsidRPr="002951F3">
        <w:rPr>
          <w:b/>
        </w:rPr>
        <w:t>vita a</w:t>
      </w:r>
      <w:r w:rsidR="004E58C5" w:rsidRPr="002951F3">
        <w:rPr>
          <w:b/>
        </w:rPr>
        <w:t>l Estado parte a continuar</w:t>
      </w:r>
      <w:r w:rsidR="00356C52" w:rsidRPr="002951F3">
        <w:rPr>
          <w:b/>
        </w:rPr>
        <w:t xml:space="preserve"> </w:t>
      </w:r>
      <w:r w:rsidRPr="002951F3">
        <w:rPr>
          <w:b/>
          <w:bdr w:val="none" w:sz="0" w:space="0" w:color="auto" w:frame="1"/>
          <w:shd w:val="clear" w:color="auto" w:fill="FFFFFF"/>
        </w:rPr>
        <w:t>revis</w:t>
      </w:r>
      <w:r w:rsidR="004E58C5" w:rsidRPr="002951F3">
        <w:rPr>
          <w:b/>
          <w:bdr w:val="none" w:sz="0" w:space="0" w:color="auto" w:frame="1"/>
          <w:shd w:val="clear" w:color="auto" w:fill="FFFFFF"/>
        </w:rPr>
        <w:t>ando</w:t>
      </w:r>
      <w:r w:rsidRPr="002951F3">
        <w:rPr>
          <w:b/>
          <w:bdr w:val="none" w:sz="0" w:space="0" w:color="auto" w:frame="1"/>
          <w:shd w:val="clear" w:color="auto" w:fill="FFFFFF"/>
        </w:rPr>
        <w:t xml:space="preserve"> </w:t>
      </w:r>
      <w:r w:rsidR="004E58C5" w:rsidRPr="002951F3">
        <w:rPr>
          <w:b/>
          <w:bdr w:val="none" w:sz="0" w:space="0" w:color="auto" w:frame="1"/>
          <w:shd w:val="clear" w:color="auto" w:fill="FFFFFF"/>
        </w:rPr>
        <w:t>su</w:t>
      </w:r>
      <w:r w:rsidRPr="002951F3">
        <w:rPr>
          <w:b/>
          <w:bdr w:val="none" w:sz="0" w:space="0" w:color="auto" w:frame="1"/>
          <w:shd w:val="clear" w:color="auto" w:fill="FFFFFF"/>
        </w:rPr>
        <w:t xml:space="preserve"> legislación penal</w:t>
      </w:r>
      <w:r w:rsidRPr="00E01EF5">
        <w:rPr>
          <w:b/>
          <w:bdr w:val="none" w:sz="0" w:space="0" w:color="auto" w:frame="1"/>
          <w:shd w:val="clear" w:color="auto" w:fill="FFFFFF"/>
        </w:rPr>
        <w:t xml:space="preserve"> </w:t>
      </w:r>
      <w:r w:rsidR="00356C52" w:rsidRPr="00E01EF5">
        <w:rPr>
          <w:b/>
        </w:rPr>
        <w:t xml:space="preserve">con el fin de garantizar el acceso legal, seguro y efectivo a la interrupción voluntaria del embarazo cuando llevarlo a término podría ocasionar un daño o sufrimiento sustancial a la mujer o niña embarazada, especialmente en los casos en que </w:t>
      </w:r>
      <w:r w:rsidR="00356C52" w:rsidRPr="00E01EF5">
        <w:rPr>
          <w:b/>
        </w:rPr>
        <w:lastRenderedPageBreak/>
        <w:t>el embarazo no sea viable</w:t>
      </w:r>
      <w:r w:rsidR="004E58C5">
        <w:rPr>
          <w:b/>
          <w:bdr w:val="none" w:sz="0" w:space="0" w:color="auto" w:frame="1"/>
          <w:shd w:val="clear" w:color="auto" w:fill="FFFFFF"/>
        </w:rPr>
        <w:t>.</w:t>
      </w:r>
      <w:r w:rsidRPr="00E01EF5">
        <w:rPr>
          <w:b/>
          <w:bdr w:val="none" w:sz="0" w:space="0" w:color="auto" w:frame="1"/>
          <w:shd w:val="clear" w:color="auto" w:fill="FFFFFF"/>
        </w:rPr>
        <w:t xml:space="preserve"> El Comité también exhorta al Estado parte a garantizar que las mujeres que recurran a esta práctica no sean consideradas penalmente responsables y a asegurar servicios de salud </w:t>
      </w:r>
      <w:r w:rsidRPr="00E01EF5">
        <w:rPr>
          <w:b/>
          <w:lang w:val="es-419"/>
        </w:rPr>
        <w:t xml:space="preserve">de </w:t>
      </w:r>
      <w:r w:rsidR="004313DA" w:rsidRPr="00E01EF5">
        <w:rPr>
          <w:b/>
        </w:rPr>
        <w:t>interrupción voluntaria del embarazo</w:t>
      </w:r>
      <w:r w:rsidRPr="00E01EF5">
        <w:rPr>
          <w:b/>
          <w:lang w:val="es-419"/>
        </w:rPr>
        <w:t xml:space="preserve"> seguro</w:t>
      </w:r>
      <w:r w:rsidR="004313DA" w:rsidRPr="00E01EF5">
        <w:rPr>
          <w:b/>
          <w:lang w:val="es-419"/>
        </w:rPr>
        <w:t>s</w:t>
      </w:r>
      <w:r w:rsidRPr="00E01EF5">
        <w:rPr>
          <w:b/>
          <w:lang w:val="es-419"/>
        </w:rPr>
        <w:t xml:space="preserve"> y oportunos </w:t>
      </w:r>
      <w:r w:rsidRPr="00E01EF5">
        <w:rPr>
          <w:b/>
          <w:bdr w:val="none" w:sz="0" w:space="0" w:color="auto" w:frame="1"/>
          <w:shd w:val="clear" w:color="auto" w:fill="FFFFFF"/>
        </w:rPr>
        <w:t>para todas las mujeres y adolescentes, especialmente en las áreas pobres y rurales.</w:t>
      </w:r>
    </w:p>
    <w:p w14:paraId="3F118F9C" w14:textId="77777777" w:rsidR="006313D2" w:rsidRDefault="006313D2" w:rsidP="006313D2">
      <w:pPr>
        <w:pStyle w:val="H23G"/>
        <w:rPr>
          <w:rFonts w:eastAsia="Calibri"/>
          <w:lang w:val="es-ES_tradnl" w:eastAsia="en-US"/>
        </w:rPr>
      </w:pPr>
      <w:r>
        <w:rPr>
          <w:rFonts w:eastAsia="Calibri"/>
          <w:lang w:val="es-ES_tradnl" w:eastAsia="en-US"/>
        </w:rPr>
        <w:tab/>
      </w:r>
      <w:r>
        <w:rPr>
          <w:rFonts w:eastAsia="Calibri"/>
          <w:lang w:val="es-ES_tradnl" w:eastAsia="en-US"/>
        </w:rPr>
        <w:tab/>
      </w:r>
      <w:r w:rsidRPr="006313D2">
        <w:rPr>
          <w:rFonts w:eastAsia="Calibri"/>
          <w:lang w:val="es-ES_tradnl" w:eastAsia="en-US"/>
        </w:rPr>
        <w:t xml:space="preserve">Abusos y violencia sexual a </w:t>
      </w:r>
      <w:r w:rsidRPr="006313D2">
        <w:rPr>
          <w:rFonts w:eastAsia="Calibri"/>
          <w:u w:color="000000"/>
          <w:bdr w:val="nil"/>
          <w:lang w:val="es-ES_tradnl" w:eastAsia="en-GB"/>
        </w:rPr>
        <w:t>menores</w:t>
      </w:r>
      <w:r w:rsidRPr="006313D2">
        <w:rPr>
          <w:rFonts w:eastAsia="Calibri"/>
          <w:lang w:val="es-ES_tradnl" w:eastAsia="en-US"/>
        </w:rPr>
        <w:t xml:space="preserve"> </w:t>
      </w:r>
    </w:p>
    <w:p w14:paraId="1FBF16A9" w14:textId="476589FF" w:rsidR="006313D2" w:rsidRDefault="006313D2" w:rsidP="006313D2">
      <w:pPr>
        <w:pStyle w:val="SingleTxtG"/>
        <w:rPr>
          <w:lang w:val="es-419" w:eastAsia="en-US"/>
        </w:rPr>
      </w:pPr>
      <w:r w:rsidRPr="006313D2">
        <w:rPr>
          <w:rFonts w:eastAsia="Calibri"/>
          <w:lang w:val="es-ES_tradnl" w:eastAsia="en-US"/>
        </w:rPr>
        <w:t>30.</w:t>
      </w:r>
      <w:r w:rsidRPr="006313D2">
        <w:rPr>
          <w:rFonts w:eastAsia="Calibri"/>
          <w:lang w:val="es-ES_tradnl" w:eastAsia="en-US"/>
        </w:rPr>
        <w:tab/>
      </w:r>
      <w:r w:rsidRPr="006313D2">
        <w:rPr>
          <w:lang w:val="es-ES_tradnl" w:eastAsia="en-US"/>
        </w:rPr>
        <w:t xml:space="preserve">El Comité observa con alarma </w:t>
      </w:r>
      <w:r w:rsidR="00023572">
        <w:rPr>
          <w:lang w:val="es-ES_tradnl" w:eastAsia="en-US"/>
        </w:rPr>
        <w:t xml:space="preserve">la </w:t>
      </w:r>
      <w:r w:rsidRPr="006313D2">
        <w:rPr>
          <w:lang w:val="es-ES_tradnl" w:eastAsia="en-US"/>
        </w:rPr>
        <w:t xml:space="preserve">información recibida </w:t>
      </w:r>
      <w:r w:rsidRPr="006313D2">
        <w:rPr>
          <w:lang w:val="es-CO"/>
        </w:rPr>
        <w:t xml:space="preserve">que </w:t>
      </w:r>
      <w:r w:rsidRPr="002951F3">
        <w:rPr>
          <w:lang w:val="es-CO"/>
        </w:rPr>
        <w:t xml:space="preserve">sugiere </w:t>
      </w:r>
      <w:r w:rsidR="00235C2B" w:rsidRPr="002951F3">
        <w:rPr>
          <w:lang w:val="es-CO"/>
        </w:rPr>
        <w:t xml:space="preserve">la alta incidencia de </w:t>
      </w:r>
      <w:r w:rsidRPr="002951F3">
        <w:rPr>
          <w:lang w:val="es-CO"/>
        </w:rPr>
        <w:t xml:space="preserve">violencia sexual </w:t>
      </w:r>
      <w:r w:rsidR="003C39E0" w:rsidRPr="002951F3">
        <w:rPr>
          <w:lang w:val="es-CO"/>
        </w:rPr>
        <w:t>contra niñas, niños y adolescentes</w:t>
      </w:r>
      <w:r w:rsidR="00235C2B" w:rsidRPr="002951F3">
        <w:rPr>
          <w:lang w:val="es-CO"/>
        </w:rPr>
        <w:t xml:space="preserve"> </w:t>
      </w:r>
      <w:r w:rsidRPr="002951F3">
        <w:rPr>
          <w:lang w:val="es-CO"/>
        </w:rPr>
        <w:t>en el Estado parte</w:t>
      </w:r>
      <w:r w:rsidRPr="002951F3">
        <w:rPr>
          <w:lang w:val="es-ES_tradnl" w:eastAsia="en-US"/>
        </w:rPr>
        <w:t xml:space="preserve">. Asimismo, el Comité lamenta la </w:t>
      </w:r>
      <w:r w:rsidRPr="002951F3">
        <w:rPr>
          <w:lang w:val="es-419" w:eastAsia="en-US"/>
        </w:rPr>
        <w:t>vigencia del delito de estupro ya que vulnera la integridad</w:t>
      </w:r>
      <w:r w:rsidRPr="006313D2">
        <w:rPr>
          <w:lang w:val="es-419" w:eastAsia="en-US"/>
        </w:rPr>
        <w:t xml:space="preserve"> de los adolescentes y contribuye a la impunidad al contemplar penas inferiores a las aplicables por violación. Al Comité le preocupa también el alto número de niñas y adolescentes que se ven obligadas a contraer matrimonio y uniones tempranas como consecuencia, </w:t>
      </w:r>
      <w:r w:rsidRPr="001D1DE3">
        <w:rPr>
          <w:i/>
          <w:iCs/>
          <w:lang w:val="es-419" w:eastAsia="en-US"/>
        </w:rPr>
        <w:t xml:space="preserve">inter </w:t>
      </w:r>
      <w:proofErr w:type="spellStart"/>
      <w:r w:rsidRPr="001D1DE3">
        <w:rPr>
          <w:i/>
          <w:iCs/>
          <w:lang w:val="es-419" w:eastAsia="en-US"/>
        </w:rPr>
        <w:t>alia</w:t>
      </w:r>
      <w:proofErr w:type="spellEnd"/>
      <w:r w:rsidRPr="006313D2">
        <w:rPr>
          <w:lang w:val="es-419" w:eastAsia="en-US"/>
        </w:rPr>
        <w:t>, del embarazo</w:t>
      </w:r>
      <w:r w:rsidRPr="006313D2">
        <w:rPr>
          <w:lang w:val="es-ES_tradnl" w:eastAsia="en-US"/>
        </w:rPr>
        <w:t xml:space="preserve"> (arts. 2 y 16).</w:t>
      </w:r>
    </w:p>
    <w:p w14:paraId="00D513B6" w14:textId="77777777" w:rsidR="006313D2" w:rsidRPr="006313D2" w:rsidRDefault="006313D2" w:rsidP="006313D2">
      <w:pPr>
        <w:pStyle w:val="SingleTxtG"/>
        <w:rPr>
          <w:b/>
          <w:lang w:val="es-ES_tradnl" w:eastAsia="en-US"/>
        </w:rPr>
      </w:pPr>
      <w:r w:rsidRPr="006313D2">
        <w:rPr>
          <w:lang w:val="es-419" w:eastAsia="en-US"/>
        </w:rPr>
        <w:t>31.</w:t>
      </w:r>
      <w:r w:rsidRPr="006313D2">
        <w:rPr>
          <w:lang w:val="es-419" w:eastAsia="en-US"/>
        </w:rPr>
        <w:tab/>
      </w:r>
      <w:r w:rsidRPr="006313D2">
        <w:rPr>
          <w:b/>
          <w:lang w:val="es-ES_tradnl" w:eastAsia="en-US"/>
        </w:rPr>
        <w:t xml:space="preserve">El Comité urge al Estado parte a: </w:t>
      </w:r>
    </w:p>
    <w:p w14:paraId="0961D715" w14:textId="77777777" w:rsidR="006313D2" w:rsidRPr="006313D2" w:rsidRDefault="006313D2" w:rsidP="006313D2">
      <w:pPr>
        <w:pStyle w:val="SingleTxtG"/>
        <w:rPr>
          <w:b/>
          <w:lang w:val="es-CO"/>
        </w:rPr>
      </w:pPr>
      <w:r w:rsidRPr="006313D2">
        <w:rPr>
          <w:b/>
          <w:lang w:val="es-419" w:eastAsia="en-US"/>
        </w:rPr>
        <w:tab/>
        <w:t>a)</w:t>
      </w:r>
      <w:r w:rsidRPr="006313D2">
        <w:rPr>
          <w:b/>
          <w:lang w:val="es-419" w:eastAsia="en-US"/>
        </w:rPr>
        <w:tab/>
      </w:r>
      <w:r w:rsidRPr="006313D2">
        <w:rPr>
          <w:b/>
          <w:lang w:val="es-ES_tradnl"/>
        </w:rPr>
        <w:t>D</w:t>
      </w:r>
      <w:r w:rsidRPr="006313D2">
        <w:rPr>
          <w:b/>
          <w:lang w:val="es-CO"/>
        </w:rPr>
        <w:t xml:space="preserve">erogar el delito de estupro </w:t>
      </w:r>
      <w:r w:rsidRPr="006313D2">
        <w:rPr>
          <w:b/>
          <w:lang w:val="es-419" w:eastAsia="en-US"/>
        </w:rPr>
        <w:t>(artículo 309 del Código Penal)</w:t>
      </w:r>
      <w:r w:rsidRPr="006313D2">
        <w:rPr>
          <w:b/>
          <w:lang w:val="es-CO"/>
        </w:rPr>
        <w:t>;</w:t>
      </w:r>
    </w:p>
    <w:p w14:paraId="0984E952" w14:textId="77777777" w:rsidR="006313D2" w:rsidRPr="006313D2" w:rsidRDefault="006313D2" w:rsidP="006313D2">
      <w:pPr>
        <w:pStyle w:val="SingleTxtG"/>
        <w:rPr>
          <w:b/>
        </w:rPr>
      </w:pPr>
      <w:r w:rsidRPr="006313D2">
        <w:rPr>
          <w:b/>
          <w:lang w:val="es-CO"/>
        </w:rPr>
        <w:tab/>
        <w:t>b)</w:t>
      </w:r>
      <w:r w:rsidRPr="006313D2">
        <w:rPr>
          <w:b/>
          <w:lang w:val="es-CO"/>
        </w:rPr>
        <w:tab/>
      </w:r>
      <w:r w:rsidRPr="006313D2">
        <w:rPr>
          <w:b/>
        </w:rPr>
        <w:t>Adoptar las medidas necesarias, incluida una revisión de los marcos jurídicos pertinentes, para la prevención y erradicación de matrimonios y uniones tempranas, así como embarazos de niñas y adolescentes;</w:t>
      </w:r>
    </w:p>
    <w:p w14:paraId="4AF79F9B" w14:textId="77777777" w:rsidR="006313D2" w:rsidRPr="006313D2" w:rsidRDefault="006313D2" w:rsidP="006313D2">
      <w:pPr>
        <w:pStyle w:val="SingleTxtG"/>
        <w:rPr>
          <w:b/>
        </w:rPr>
      </w:pPr>
      <w:r w:rsidRPr="006313D2">
        <w:rPr>
          <w:b/>
          <w:color w:val="000000"/>
        </w:rPr>
        <w:tab/>
        <w:t>c)</w:t>
      </w:r>
      <w:r w:rsidRPr="006313D2">
        <w:rPr>
          <w:b/>
          <w:color w:val="000000"/>
        </w:rPr>
        <w:tab/>
        <w:t xml:space="preserve">Fortalecer el Sistema Plurinacional de Protección Integral de la Niña, Niño y Adolescente, y </w:t>
      </w:r>
      <w:r w:rsidRPr="006313D2">
        <w:rPr>
          <w:b/>
        </w:rPr>
        <w:t>garantizar la debida investigación y sanción de los casos de violencia sexual contra esta población.</w:t>
      </w:r>
    </w:p>
    <w:p w14:paraId="18B2D0F8" w14:textId="77777777" w:rsidR="006313D2" w:rsidRDefault="006313D2" w:rsidP="006313D2">
      <w:pPr>
        <w:pStyle w:val="H23G"/>
        <w:rPr>
          <w:rFonts w:eastAsia="Calibri"/>
          <w:lang w:val="es-419" w:eastAsia="en-US"/>
        </w:rPr>
      </w:pPr>
      <w:r>
        <w:rPr>
          <w:lang w:val="es-CO" w:eastAsia="en-US"/>
        </w:rPr>
        <w:tab/>
      </w:r>
      <w:r>
        <w:rPr>
          <w:lang w:val="es-CO" w:eastAsia="en-US"/>
        </w:rPr>
        <w:tab/>
      </w:r>
      <w:r w:rsidRPr="006313D2">
        <w:rPr>
          <w:lang w:val="es-CO" w:eastAsia="en-US"/>
        </w:rPr>
        <w:t xml:space="preserve">Trata de </w:t>
      </w:r>
      <w:r w:rsidRPr="006313D2">
        <w:rPr>
          <w:rFonts w:eastAsia="Calibri"/>
          <w:u w:color="000000"/>
          <w:bdr w:val="nil"/>
          <w:lang w:val="es-ES_tradnl" w:eastAsia="en-GB"/>
        </w:rPr>
        <w:t>personas</w:t>
      </w:r>
      <w:r w:rsidRPr="006313D2">
        <w:rPr>
          <w:lang w:val="es-CO" w:eastAsia="en-US"/>
        </w:rPr>
        <w:t xml:space="preserve"> </w:t>
      </w:r>
    </w:p>
    <w:p w14:paraId="1F077930" w14:textId="1DEC70D4" w:rsidR="006313D2" w:rsidRDefault="006313D2" w:rsidP="006313D2">
      <w:pPr>
        <w:pStyle w:val="SingleTxtG"/>
        <w:rPr>
          <w:lang w:val="es-CO"/>
        </w:rPr>
      </w:pPr>
      <w:r w:rsidRPr="006313D2">
        <w:t>32.</w:t>
      </w:r>
      <w:r w:rsidRPr="006313D2">
        <w:tab/>
        <w:t xml:space="preserve">El Comité observa con satisfacción los </w:t>
      </w:r>
      <w:r w:rsidRPr="006313D2">
        <w:rPr>
          <w:lang w:val="es-CO"/>
        </w:rPr>
        <w:t xml:space="preserve">avances normativos y de políticas frente a la trata, </w:t>
      </w:r>
      <w:r w:rsidR="00023572">
        <w:rPr>
          <w:lang w:val="es-CO"/>
        </w:rPr>
        <w:t xml:space="preserve">entre los que se </w:t>
      </w:r>
      <w:r w:rsidRPr="006313D2">
        <w:rPr>
          <w:lang w:val="es-CO"/>
        </w:rPr>
        <w:t xml:space="preserve">incluyen acuerdos firmados con ciertos países, y agradece la información proporcionada por el Estado parte que reporta </w:t>
      </w:r>
      <w:r w:rsidRPr="006313D2">
        <w:rPr>
          <w:rFonts w:ascii="Libre Baskerville" w:eastAsia="Libre Baskerville" w:hAnsi="Libre Baskerville" w:cs="Libre Baskerville"/>
        </w:rPr>
        <w:t>1</w:t>
      </w:r>
      <w:r w:rsidR="00023572">
        <w:rPr>
          <w:rFonts w:ascii="Libre Baskerville" w:eastAsia="Libre Baskerville" w:hAnsi="Libre Baskerville" w:cs="Libre Baskerville"/>
        </w:rPr>
        <w:t>.</w:t>
      </w:r>
      <w:r w:rsidRPr="006313D2">
        <w:rPr>
          <w:rFonts w:ascii="Libre Baskerville" w:eastAsia="Libre Baskerville" w:hAnsi="Libre Baskerville" w:cs="Libre Baskerville"/>
        </w:rPr>
        <w:t>687</w:t>
      </w:r>
      <w:r w:rsidR="00AD051A">
        <w:rPr>
          <w:rFonts w:ascii="Libre Baskerville" w:eastAsia="Libre Baskerville" w:hAnsi="Libre Baskerville" w:cs="Libre Baskerville"/>
        </w:rPr>
        <w:t> </w:t>
      </w:r>
      <w:r w:rsidRPr="006313D2">
        <w:rPr>
          <w:rFonts w:ascii="Libre Baskerville" w:eastAsia="Libre Baskerville" w:hAnsi="Libre Baskerville" w:cs="Libre Baskerville"/>
        </w:rPr>
        <w:t xml:space="preserve">víctimas de trata, entre 2018 y 2021, </w:t>
      </w:r>
      <w:r w:rsidR="00023572">
        <w:rPr>
          <w:rFonts w:ascii="Libre Baskerville" w:eastAsia="Libre Baskerville" w:hAnsi="Libre Baskerville" w:cs="Libre Baskerville"/>
        </w:rPr>
        <w:t>así como</w:t>
      </w:r>
      <w:r w:rsidR="00023572" w:rsidRPr="006313D2">
        <w:rPr>
          <w:lang w:val="es-CO"/>
        </w:rPr>
        <w:t xml:space="preserve"> </w:t>
      </w:r>
      <w:r w:rsidR="00023572">
        <w:rPr>
          <w:lang w:val="es-CO"/>
        </w:rPr>
        <w:t>datos</w:t>
      </w:r>
      <w:r w:rsidR="00023572" w:rsidRPr="006313D2">
        <w:rPr>
          <w:lang w:val="es-CO"/>
        </w:rPr>
        <w:t xml:space="preserve"> </w:t>
      </w:r>
      <w:r w:rsidRPr="006313D2">
        <w:rPr>
          <w:lang w:val="es-CO"/>
        </w:rPr>
        <w:t>desagregad</w:t>
      </w:r>
      <w:r w:rsidR="00023572">
        <w:rPr>
          <w:lang w:val="es-CO"/>
        </w:rPr>
        <w:t>os</w:t>
      </w:r>
      <w:r w:rsidRPr="006313D2">
        <w:rPr>
          <w:lang w:val="es-CO"/>
        </w:rPr>
        <w:t xml:space="preserve"> sobre las denuncias recibidas. Sin embargo, lamenta la ausencia de información des</w:t>
      </w:r>
      <w:r w:rsidR="006928F3">
        <w:rPr>
          <w:lang w:val="es-CO"/>
        </w:rPr>
        <w:t>glosada</w:t>
      </w:r>
      <w:r w:rsidRPr="006313D2">
        <w:rPr>
          <w:lang w:val="es-CO"/>
        </w:rPr>
        <w:t xml:space="preserve"> sobre </w:t>
      </w:r>
      <w:r w:rsidR="00023572">
        <w:rPr>
          <w:lang w:val="es-CO"/>
        </w:rPr>
        <w:t xml:space="preserve">las </w:t>
      </w:r>
      <w:r w:rsidRPr="006313D2">
        <w:rPr>
          <w:lang w:val="es-CO"/>
        </w:rPr>
        <w:t>cifras de víctimas atendidas y la información insuficiente sobre medidas adoptadas para que se les proporcione alojamiento en régimen de libertad y con acceso a un apoyo médico y psicológico adecuado mientras se llevan a cabo los procesos de identificación e información. Adicionalmente, preocupa al Comité la información recibida sobre actos de corrupción por parte de las autoridades encargadas de implementar medidas en materia de trata</w:t>
      </w:r>
      <w:r w:rsidRPr="006313D2">
        <w:t xml:space="preserve"> (art</w:t>
      </w:r>
      <w:r w:rsidR="00AB78EE">
        <w:t>s</w:t>
      </w:r>
      <w:r w:rsidRPr="006313D2">
        <w:t>. 2 y 16).</w:t>
      </w:r>
    </w:p>
    <w:p w14:paraId="7CC0D7A9" w14:textId="77777777" w:rsidR="006313D2" w:rsidRPr="006313D2" w:rsidRDefault="006313D2" w:rsidP="006313D2">
      <w:pPr>
        <w:pStyle w:val="SingleTxtG"/>
        <w:rPr>
          <w:b/>
        </w:rPr>
      </w:pPr>
      <w:r w:rsidRPr="006313D2">
        <w:t>33.</w:t>
      </w:r>
      <w:r w:rsidRPr="006313D2">
        <w:tab/>
      </w:r>
      <w:r w:rsidRPr="006313D2">
        <w:rPr>
          <w:b/>
          <w:lang w:eastAsia="en-US"/>
        </w:rPr>
        <w:t>E</w:t>
      </w:r>
      <w:r w:rsidRPr="006313D2">
        <w:rPr>
          <w:b/>
          <w:lang w:val="es-ES_tradnl" w:eastAsia="en-US"/>
        </w:rPr>
        <w:t>l Estado parte debe:</w:t>
      </w:r>
    </w:p>
    <w:p w14:paraId="0D1E7B90" w14:textId="12B12473" w:rsidR="006313D2" w:rsidRPr="007E2207" w:rsidRDefault="006313D2" w:rsidP="00E07CA4">
      <w:pPr>
        <w:pStyle w:val="SingleTxtG"/>
        <w:numPr>
          <w:ilvl w:val="0"/>
          <w:numId w:val="25"/>
        </w:numPr>
        <w:ind w:left="1134" w:firstLine="567"/>
        <w:rPr>
          <w:b/>
        </w:rPr>
      </w:pPr>
      <w:r w:rsidRPr="006313D2">
        <w:rPr>
          <w:b/>
        </w:rPr>
        <w:t xml:space="preserve">Actualizar y aplicar de forma efectiva el </w:t>
      </w:r>
      <w:r w:rsidRPr="007E2207">
        <w:rPr>
          <w:b/>
          <w:lang w:val="es-CO"/>
        </w:rPr>
        <w:t xml:space="preserve">Protocolo Único de Atención Especializada a Víctimas de Trata y Tráfico de </w:t>
      </w:r>
      <w:r w:rsidR="00136238">
        <w:rPr>
          <w:b/>
          <w:lang w:val="es-CO"/>
        </w:rPr>
        <w:t>P</w:t>
      </w:r>
      <w:r w:rsidRPr="007E2207">
        <w:rPr>
          <w:b/>
          <w:lang w:val="es-CO"/>
        </w:rPr>
        <w:t xml:space="preserve">ersonas, </w:t>
      </w:r>
      <w:r w:rsidRPr="007E2207">
        <w:rPr>
          <w:b/>
        </w:rPr>
        <w:t>brindando protección efectiva a las víctimas;</w:t>
      </w:r>
    </w:p>
    <w:p w14:paraId="6576FEE1" w14:textId="36FA07B5" w:rsidR="006313D2" w:rsidRPr="006313D2" w:rsidRDefault="006313D2" w:rsidP="00E07CA4">
      <w:pPr>
        <w:pStyle w:val="SingleTxtG"/>
        <w:numPr>
          <w:ilvl w:val="0"/>
          <w:numId w:val="25"/>
        </w:numPr>
        <w:ind w:left="1134" w:firstLine="567"/>
        <w:rPr>
          <w:b/>
        </w:rPr>
      </w:pPr>
      <w:r w:rsidRPr="006313D2">
        <w:rPr>
          <w:b/>
        </w:rPr>
        <w:t>Velar por que se investiguen a fondo los casos de trata, se enjuicie a los presuntos autores y</w:t>
      </w:r>
      <w:r w:rsidR="00640121">
        <w:rPr>
          <w:b/>
        </w:rPr>
        <w:t>,</w:t>
      </w:r>
      <w:r w:rsidRPr="006313D2">
        <w:rPr>
          <w:b/>
        </w:rPr>
        <w:t xml:space="preserve"> de ser declarados culpables, se los condene a una pena apropiada</w:t>
      </w:r>
      <w:r w:rsidR="00640121">
        <w:rPr>
          <w:b/>
        </w:rPr>
        <w:t>;</w:t>
      </w:r>
      <w:r w:rsidRPr="006313D2">
        <w:rPr>
          <w:b/>
        </w:rPr>
        <w:t xml:space="preserve"> y asegurar que las víctimas reciban reparación integral, incluyendo indemnizaciones adecuadas y rehabilitación;</w:t>
      </w:r>
    </w:p>
    <w:p w14:paraId="211CE717" w14:textId="6313A1A3" w:rsidR="006313D2" w:rsidRPr="006313D2" w:rsidRDefault="006313D2" w:rsidP="00E07CA4">
      <w:pPr>
        <w:pStyle w:val="SingleTxtG"/>
        <w:numPr>
          <w:ilvl w:val="0"/>
          <w:numId w:val="25"/>
        </w:numPr>
        <w:ind w:left="1134" w:firstLine="567"/>
        <w:rPr>
          <w:b/>
        </w:rPr>
      </w:pPr>
      <w:r w:rsidRPr="006313D2">
        <w:rPr>
          <w:b/>
        </w:rPr>
        <w:t>Garantizar el establecimiento de mecanismos eficaces para detectar oportunamente a las víctimas de la tortura y la trata entre l</w:t>
      </w:r>
      <w:r w:rsidR="00640121">
        <w:rPr>
          <w:b/>
        </w:rPr>
        <w:t>a</w:t>
      </w:r>
      <w:r w:rsidRPr="006313D2">
        <w:rPr>
          <w:b/>
        </w:rPr>
        <w:t>s</w:t>
      </w:r>
      <w:r w:rsidR="00640121">
        <w:rPr>
          <w:b/>
        </w:rPr>
        <w:t xml:space="preserve"> personas</w:t>
      </w:r>
      <w:r w:rsidRPr="006313D2">
        <w:rPr>
          <w:b/>
        </w:rPr>
        <w:t xml:space="preserve"> solicitantes de asilo y migrantes. </w:t>
      </w:r>
    </w:p>
    <w:p w14:paraId="6CDA1FAA" w14:textId="77777777" w:rsidR="006313D2" w:rsidRDefault="006313D2" w:rsidP="006C13A6">
      <w:pPr>
        <w:pStyle w:val="H23G"/>
        <w:jc w:val="both"/>
        <w:rPr>
          <w:rFonts w:eastAsia="Calibri"/>
          <w:lang w:val="es-CO" w:eastAsia="en-US"/>
        </w:rPr>
      </w:pPr>
      <w:r>
        <w:rPr>
          <w:rFonts w:eastAsia="Calibri"/>
          <w:lang w:val="es-ES_tradnl" w:eastAsia="en-US"/>
        </w:rPr>
        <w:tab/>
      </w:r>
      <w:r>
        <w:rPr>
          <w:rFonts w:eastAsia="Calibri"/>
          <w:lang w:val="es-ES_tradnl" w:eastAsia="en-US"/>
        </w:rPr>
        <w:tab/>
      </w:r>
      <w:r w:rsidRPr="006313D2">
        <w:rPr>
          <w:rFonts w:eastAsia="Calibri"/>
          <w:lang w:val="es-ES_tradnl" w:eastAsia="en-US"/>
        </w:rPr>
        <w:t xml:space="preserve">Condiciones de </w:t>
      </w:r>
      <w:r w:rsidRPr="006313D2">
        <w:rPr>
          <w:rFonts w:eastAsia="Calibri"/>
          <w:u w:color="000000"/>
          <w:bdr w:val="nil"/>
          <w:lang w:val="es-ES_tradnl" w:eastAsia="en-GB"/>
        </w:rPr>
        <w:t>detención</w:t>
      </w:r>
      <w:r w:rsidRPr="006313D2">
        <w:rPr>
          <w:rFonts w:eastAsia="Calibri"/>
          <w:lang w:val="es-ES_tradnl" w:eastAsia="en-US"/>
        </w:rPr>
        <w:t xml:space="preserve"> en centros penitenciarios y </w:t>
      </w:r>
      <w:r w:rsidRPr="006313D2">
        <w:rPr>
          <w:lang w:val="es-CO" w:eastAsia="en-US"/>
        </w:rPr>
        <w:t xml:space="preserve">uso excesivo de la detención preventiva </w:t>
      </w:r>
    </w:p>
    <w:p w14:paraId="06FDB373" w14:textId="77E7B3E6" w:rsidR="006313D2" w:rsidRDefault="006313D2" w:rsidP="006313D2">
      <w:pPr>
        <w:pStyle w:val="SingleTxtG"/>
        <w:rPr>
          <w:lang w:val="es-CO"/>
        </w:rPr>
      </w:pPr>
      <w:r w:rsidRPr="006313D2">
        <w:t>34.</w:t>
      </w:r>
      <w:r w:rsidRPr="006313D2">
        <w:tab/>
        <w:t xml:space="preserve">El Comité lamenta que la sobreocupación en las cárceles siga siendo uno de los principales problemas del sistema penitenciario. Es por ello que valora los esfuerzos realizados por el Estado parte para mejorar las condiciones </w:t>
      </w:r>
      <w:r w:rsidRPr="006313D2">
        <w:rPr>
          <w:lang w:val="es-CO"/>
        </w:rPr>
        <w:t xml:space="preserve">materiales en los lugares de detención y reducir el hacinamiento, como </w:t>
      </w:r>
      <w:r w:rsidR="00AC3FCA">
        <w:rPr>
          <w:lang w:val="es-CO"/>
        </w:rPr>
        <w:t>la adopción de</w:t>
      </w:r>
      <w:r w:rsidRPr="006313D2">
        <w:rPr>
          <w:lang w:val="es-CO"/>
        </w:rPr>
        <w:t xml:space="preserve"> jornadas de descongestionamiento, la</w:t>
      </w:r>
      <w:r w:rsidR="00AC3FCA">
        <w:rPr>
          <w:lang w:val="es-CO"/>
        </w:rPr>
        <w:t xml:space="preserve"> realización de</w:t>
      </w:r>
      <w:r w:rsidRPr="006313D2">
        <w:rPr>
          <w:lang w:val="es-CO"/>
        </w:rPr>
        <w:t xml:space="preserve"> audiencias virtuales, la ampliación de capacidad en las cárceles de Cochabamba y Tarija, la construcción de nuevos penales o </w:t>
      </w:r>
      <w:r w:rsidR="00AC3FCA">
        <w:rPr>
          <w:lang w:val="es-CO"/>
        </w:rPr>
        <w:t xml:space="preserve">la </w:t>
      </w:r>
      <w:r w:rsidR="0092044B">
        <w:rPr>
          <w:lang w:val="es-CO"/>
        </w:rPr>
        <w:t>realización</w:t>
      </w:r>
      <w:r w:rsidR="00AC3FCA">
        <w:rPr>
          <w:lang w:val="es-CO"/>
        </w:rPr>
        <w:t xml:space="preserve"> de </w:t>
      </w:r>
      <w:r w:rsidRPr="006313D2">
        <w:rPr>
          <w:lang w:val="es-CO"/>
        </w:rPr>
        <w:t>ampliaciones</w:t>
      </w:r>
      <w:r w:rsidR="00AC3FCA">
        <w:rPr>
          <w:lang w:val="es-CO"/>
        </w:rPr>
        <w:t xml:space="preserve"> en</w:t>
      </w:r>
      <w:r w:rsidRPr="006313D2">
        <w:rPr>
          <w:lang w:val="es-CO"/>
        </w:rPr>
        <w:t xml:space="preserve"> </w:t>
      </w:r>
      <w:r w:rsidRPr="006313D2">
        <w:rPr>
          <w:lang w:val="es-CO"/>
        </w:rPr>
        <w:lastRenderedPageBreak/>
        <w:t xml:space="preserve">Riberalta, Beni, San Pablo, La Paz y </w:t>
      </w:r>
      <w:proofErr w:type="spellStart"/>
      <w:r w:rsidRPr="006313D2">
        <w:rPr>
          <w:lang w:val="es-CO"/>
        </w:rPr>
        <w:t>Palmasola</w:t>
      </w:r>
      <w:proofErr w:type="spellEnd"/>
      <w:r w:rsidR="00AC3FCA">
        <w:rPr>
          <w:lang w:val="es-CO"/>
        </w:rPr>
        <w:t>,</w:t>
      </w:r>
      <w:r w:rsidR="00AC3FCA" w:rsidRPr="00AC3FCA">
        <w:rPr>
          <w:lang w:val="es-CO"/>
        </w:rPr>
        <w:t xml:space="preserve"> </w:t>
      </w:r>
      <w:r w:rsidR="00AC3FCA" w:rsidRPr="006313D2">
        <w:rPr>
          <w:lang w:val="es-CO"/>
        </w:rPr>
        <w:t>entre otros</w:t>
      </w:r>
      <w:r w:rsidRPr="006313D2">
        <w:rPr>
          <w:lang w:val="es-CO"/>
        </w:rPr>
        <w:t xml:space="preserve">, y </w:t>
      </w:r>
      <w:r w:rsidR="00AC3FCA">
        <w:rPr>
          <w:lang w:val="es-CO"/>
        </w:rPr>
        <w:t>la concesión de</w:t>
      </w:r>
      <w:r w:rsidRPr="006313D2">
        <w:rPr>
          <w:lang w:val="es-CO"/>
        </w:rPr>
        <w:t xml:space="preserve"> amnistías e </w:t>
      </w:r>
      <w:r w:rsidRPr="006928F3">
        <w:rPr>
          <w:lang w:val="es-CO"/>
        </w:rPr>
        <w:t>indultos</w:t>
      </w:r>
      <w:r w:rsidRPr="006928F3">
        <w:t xml:space="preserve"> tras</w:t>
      </w:r>
      <w:r w:rsidRPr="006313D2">
        <w:t xml:space="preserve"> las medidas adoptadas ante la</w:t>
      </w:r>
      <w:r w:rsidR="00A647B9">
        <w:t xml:space="preserve"> </w:t>
      </w:r>
      <w:r w:rsidRPr="006313D2">
        <w:t>pandemia de enfermedad por coronavirus (COVID-19</w:t>
      </w:r>
      <w:r w:rsidRPr="006313D2">
        <w:rPr>
          <w:lang w:val="es-CO"/>
        </w:rPr>
        <w:t>). No obstante, preocupa:</w:t>
      </w:r>
    </w:p>
    <w:p w14:paraId="4DD9EB77" w14:textId="2FBAEA6A" w:rsidR="006313D2" w:rsidRPr="002951F3" w:rsidRDefault="006313D2" w:rsidP="00E07CA4">
      <w:pPr>
        <w:pStyle w:val="SingleTxtG"/>
        <w:numPr>
          <w:ilvl w:val="0"/>
          <w:numId w:val="26"/>
        </w:numPr>
        <w:ind w:left="1134" w:firstLine="567"/>
        <w:rPr>
          <w:lang w:val="es-CO"/>
        </w:rPr>
      </w:pPr>
      <w:r w:rsidRPr="006313D2">
        <w:rPr>
          <w:lang w:val="es-CO"/>
        </w:rPr>
        <w:t>El aumento de la población carcelaria de 10</w:t>
      </w:r>
      <w:r w:rsidR="001C64EB">
        <w:rPr>
          <w:lang w:val="es-CO"/>
        </w:rPr>
        <w:t>.</w:t>
      </w:r>
      <w:r w:rsidRPr="006313D2">
        <w:rPr>
          <w:lang w:val="es-CO"/>
        </w:rPr>
        <w:t>150 personas en 2007 a 18</w:t>
      </w:r>
      <w:r w:rsidR="008671E0">
        <w:rPr>
          <w:lang w:val="es-CO"/>
        </w:rPr>
        <w:t>.</w:t>
      </w:r>
      <w:r w:rsidRPr="006313D2">
        <w:rPr>
          <w:lang w:val="es-CO"/>
        </w:rPr>
        <w:t>630 en 2021, así como el nivel de ocupación del 264</w:t>
      </w:r>
      <w:r w:rsidR="001C64EB">
        <w:rPr>
          <w:lang w:val="es-CO"/>
        </w:rPr>
        <w:t> </w:t>
      </w:r>
      <w:r w:rsidRPr="006313D2">
        <w:rPr>
          <w:lang w:val="es-CO"/>
        </w:rPr>
        <w:t xml:space="preserve">% documentado por el </w:t>
      </w:r>
      <w:proofErr w:type="spellStart"/>
      <w:r w:rsidRPr="006313D2">
        <w:rPr>
          <w:lang w:val="es-CO"/>
        </w:rPr>
        <w:t>Subcomit</w:t>
      </w:r>
      <w:proofErr w:type="spellEnd"/>
      <w:r w:rsidRPr="006313D2">
        <w:rPr>
          <w:lang w:val="es-419"/>
        </w:rPr>
        <w:t>é para la Prevención de la Tortura</w:t>
      </w:r>
      <w:r w:rsidRPr="006313D2">
        <w:rPr>
          <w:lang w:val="es-CO"/>
        </w:rPr>
        <w:t>, aunque según lo indicado por la delegación ahora este nivel de ocupación sería del 176</w:t>
      </w:r>
      <w:r w:rsidR="001C64EB">
        <w:rPr>
          <w:lang w:val="es-CO"/>
        </w:rPr>
        <w:t> </w:t>
      </w:r>
      <w:r w:rsidRPr="006313D2">
        <w:rPr>
          <w:lang w:val="es-CO"/>
        </w:rPr>
        <w:t xml:space="preserve">%. Al respecto, el Comité lamenta que el Estado parte no haya facilitado información desagregada sobre los cupos creados en el sistema carcelario y en qué prisiones para que la sobreocupación haya bajado, </w:t>
      </w:r>
      <w:r w:rsidRPr="002951F3">
        <w:rPr>
          <w:lang w:val="es-CO"/>
        </w:rPr>
        <w:t>aunque toma nota de las 10</w:t>
      </w:r>
      <w:r w:rsidR="00DB2468">
        <w:rPr>
          <w:lang w:val="es-CO"/>
        </w:rPr>
        <w:t>.</w:t>
      </w:r>
      <w:r w:rsidRPr="002951F3">
        <w:rPr>
          <w:lang w:val="es-CO"/>
        </w:rPr>
        <w:t>006 personas privadas de libertad que se habrían beneficiado de indultos o amnistías entre 2012 y 2021;</w:t>
      </w:r>
    </w:p>
    <w:p w14:paraId="3C2AFFE9" w14:textId="30BFBEA6" w:rsidR="006313D2" w:rsidRDefault="006313D2" w:rsidP="00E07CA4">
      <w:pPr>
        <w:pStyle w:val="SingleTxtG"/>
        <w:numPr>
          <w:ilvl w:val="0"/>
          <w:numId w:val="26"/>
        </w:numPr>
        <w:ind w:left="1134" w:firstLine="567"/>
        <w:rPr>
          <w:rFonts w:eastAsia="Calibri"/>
          <w:lang w:val="es-419" w:eastAsia="en-US"/>
        </w:rPr>
      </w:pPr>
      <w:r w:rsidRPr="002951F3">
        <w:rPr>
          <w:lang w:val="es-CO"/>
        </w:rPr>
        <w:t>El uso excesivo y no excepcional de la detención preventiva</w:t>
      </w:r>
      <w:r w:rsidRPr="006313D2">
        <w:rPr>
          <w:lang w:val="es-CO"/>
        </w:rPr>
        <w:t>, que corresponde a un 64</w:t>
      </w:r>
      <w:r w:rsidR="00DB2468">
        <w:rPr>
          <w:lang w:val="es-CO"/>
        </w:rPr>
        <w:t>,</w:t>
      </w:r>
      <w:r w:rsidRPr="006313D2">
        <w:rPr>
          <w:lang w:val="es-CO"/>
        </w:rPr>
        <w:t>10</w:t>
      </w:r>
      <w:r w:rsidR="00DB2468">
        <w:rPr>
          <w:lang w:val="es-CO"/>
        </w:rPr>
        <w:t> </w:t>
      </w:r>
      <w:r w:rsidRPr="006313D2">
        <w:rPr>
          <w:lang w:val="es-CO"/>
        </w:rPr>
        <w:t>% de las personas detenidas;</w:t>
      </w:r>
    </w:p>
    <w:p w14:paraId="58A852A7" w14:textId="77777777" w:rsidR="006313D2" w:rsidRDefault="006313D2" w:rsidP="00E07CA4">
      <w:pPr>
        <w:pStyle w:val="SingleTxtG"/>
        <w:numPr>
          <w:ilvl w:val="0"/>
          <w:numId w:val="26"/>
        </w:numPr>
        <w:ind w:left="1134" w:firstLine="567"/>
        <w:rPr>
          <w:lang w:val="es-CO"/>
        </w:rPr>
      </w:pPr>
      <w:r w:rsidRPr="006313D2">
        <w:rPr>
          <w:lang w:val="es-CO"/>
        </w:rPr>
        <w:t>La reducción de la asignación presupuestaria en materia penitenciaria;</w:t>
      </w:r>
    </w:p>
    <w:p w14:paraId="4C77B5AC" w14:textId="77777777" w:rsidR="006313D2" w:rsidRDefault="006313D2" w:rsidP="00E07CA4">
      <w:pPr>
        <w:pStyle w:val="SingleTxtG"/>
        <w:numPr>
          <w:ilvl w:val="0"/>
          <w:numId w:val="26"/>
        </w:numPr>
        <w:ind w:left="1134" w:firstLine="567"/>
        <w:rPr>
          <w:lang w:val="es-CO"/>
        </w:rPr>
      </w:pPr>
      <w:r w:rsidRPr="006313D2">
        <w:rPr>
          <w:lang w:val="es-CO"/>
        </w:rPr>
        <w:t xml:space="preserve">La insuficiente información sobre las medidas adoptadas y/o protocolos para atender las necesidades específicas de las mujeres, los menores de edad, los indígenas, las personas con discapacidad, los adultos mayores y las personas lesbianas, gais, bisexuales, transgénero e intersexuales privadas de libertad </w:t>
      </w:r>
      <w:r w:rsidRPr="006313D2">
        <w:rPr>
          <w:rFonts w:eastAsia="Calibri"/>
          <w:lang w:val="es-419" w:eastAsia="en-US"/>
        </w:rPr>
        <w:t>(arts. 2, 11 y 16).</w:t>
      </w:r>
      <w:r w:rsidRPr="006313D2">
        <w:rPr>
          <w:lang w:val="es-CO"/>
        </w:rPr>
        <w:t xml:space="preserve"> </w:t>
      </w:r>
    </w:p>
    <w:p w14:paraId="27815BA1" w14:textId="77777777" w:rsidR="006313D2" w:rsidRPr="00E07CA4" w:rsidRDefault="006313D2" w:rsidP="006313D2">
      <w:pPr>
        <w:pStyle w:val="SingleTxtG"/>
        <w:rPr>
          <w:b/>
          <w:lang w:val="es-ES_tradnl" w:eastAsia="en-US"/>
        </w:rPr>
      </w:pPr>
      <w:r w:rsidRPr="006313D2">
        <w:t>35.</w:t>
      </w:r>
      <w:r w:rsidRPr="006313D2">
        <w:tab/>
      </w:r>
      <w:r w:rsidRPr="00E07CA4">
        <w:rPr>
          <w:b/>
          <w:lang w:eastAsia="en-US"/>
        </w:rPr>
        <w:t>E</w:t>
      </w:r>
      <w:r w:rsidRPr="00E07CA4">
        <w:rPr>
          <w:b/>
          <w:lang w:val="es-ES_tradnl" w:eastAsia="en-US"/>
        </w:rPr>
        <w:t>l Estado parte debe:</w:t>
      </w:r>
    </w:p>
    <w:p w14:paraId="28A508A8" w14:textId="4701AD7D" w:rsidR="006313D2" w:rsidRPr="00E07CA4" w:rsidRDefault="006313D2" w:rsidP="00E07CA4">
      <w:pPr>
        <w:pStyle w:val="SingleTxtG"/>
        <w:numPr>
          <w:ilvl w:val="0"/>
          <w:numId w:val="27"/>
        </w:numPr>
        <w:ind w:left="1134" w:firstLine="567"/>
        <w:rPr>
          <w:b/>
        </w:rPr>
      </w:pPr>
      <w:r w:rsidRPr="00E07CA4">
        <w:rPr>
          <w:b/>
        </w:rPr>
        <w:t xml:space="preserve">Intensificar sus esfuerzos para reducir la sobreocupación en los centros de detención, principalmente mediante medidas alternativas a las penas privativas de libertad y continuar con la mejora de las instalaciones penitenciarias y las condiciones generales de vida en las cárceles. El Estado también debe velar por la atención de las necesidades específicas de las poblaciones en situación de vulnerabilidad mencionadas, elaborando protocolos para su atención. A este respecto, el Comité señala a la atención del Estado parte las Reglas Mínimas de las Naciones Unidas para el Tratamiento de los Reclusos (Reglas Nelson Mandela) y las Reglas de las Naciones Unidas para el Tratamiento de las Reclusas y Medidas </w:t>
      </w:r>
      <w:r w:rsidR="006F3A2F">
        <w:rPr>
          <w:b/>
        </w:rPr>
        <w:t>N</w:t>
      </w:r>
      <w:r w:rsidRPr="00E07CA4">
        <w:rPr>
          <w:b/>
        </w:rPr>
        <w:t>o Privativas de la Libertad para Mujeres Delincuentes (Reglas de Bangkok);</w:t>
      </w:r>
    </w:p>
    <w:p w14:paraId="5E49CE5A" w14:textId="77777777" w:rsidR="006313D2" w:rsidRPr="00E07CA4" w:rsidRDefault="006313D2" w:rsidP="00E07CA4">
      <w:pPr>
        <w:pStyle w:val="SingleTxtG"/>
        <w:numPr>
          <w:ilvl w:val="0"/>
          <w:numId w:val="27"/>
        </w:numPr>
        <w:ind w:left="1134" w:firstLine="567"/>
        <w:rPr>
          <w:rFonts w:eastAsia="Calibri"/>
          <w:b/>
          <w:lang w:val="es-419" w:eastAsia="en-US"/>
        </w:rPr>
      </w:pPr>
      <w:r w:rsidRPr="00E07CA4">
        <w:rPr>
          <w:rFonts w:eastAsia="Calibri"/>
          <w:b/>
          <w:lang w:val="es-419" w:eastAsia="en-US"/>
        </w:rPr>
        <w:t>Garantizar que la prisión preventiva se utilice excepcionalmente, durante el menor tiempo posible</w:t>
      </w:r>
      <w:r w:rsidRPr="00E07CA4">
        <w:rPr>
          <w:b/>
        </w:rPr>
        <w:t>; así como garantizar la separación entre presos preventivos y condenados en todos los lugares de detención;</w:t>
      </w:r>
    </w:p>
    <w:p w14:paraId="507E2ACF" w14:textId="77777777" w:rsidR="006313D2" w:rsidRPr="00E07CA4" w:rsidRDefault="006313D2" w:rsidP="00E07CA4">
      <w:pPr>
        <w:pStyle w:val="SingleTxtG"/>
        <w:numPr>
          <w:ilvl w:val="0"/>
          <w:numId w:val="27"/>
        </w:numPr>
        <w:ind w:left="1134" w:firstLine="567"/>
        <w:rPr>
          <w:b/>
          <w:lang w:val="es-ES_tradnl" w:eastAsia="en-US"/>
        </w:rPr>
      </w:pPr>
      <w:r w:rsidRPr="00E07CA4">
        <w:rPr>
          <w:b/>
        </w:rPr>
        <w:t>Garantizar la asignación de recursos humanos y materiales necesarios para el correcto funcionamiento del sistema penitenciario</w:t>
      </w:r>
      <w:r w:rsidR="00E07CA4" w:rsidRPr="00E07CA4">
        <w:rPr>
          <w:b/>
        </w:rPr>
        <w:t>.</w:t>
      </w:r>
    </w:p>
    <w:p w14:paraId="133D386B" w14:textId="77777777" w:rsidR="006313D2" w:rsidRDefault="00E07CA4" w:rsidP="006313D2">
      <w:pPr>
        <w:pStyle w:val="H23G"/>
        <w:rPr>
          <w:rFonts w:eastAsia="Calibri"/>
          <w:lang w:val="es-ES_tradnl" w:eastAsia="en-US"/>
        </w:rPr>
      </w:pPr>
      <w:r>
        <w:rPr>
          <w:rFonts w:eastAsia="Calibri"/>
          <w:lang w:val="es-ES_tradnl" w:eastAsia="en-US"/>
        </w:rPr>
        <w:tab/>
      </w:r>
      <w:r>
        <w:rPr>
          <w:rFonts w:eastAsia="Calibri"/>
          <w:lang w:val="es-ES_tradnl" w:eastAsia="en-US"/>
        </w:rPr>
        <w:tab/>
      </w:r>
      <w:r w:rsidR="006313D2" w:rsidRPr="006313D2">
        <w:rPr>
          <w:rFonts w:eastAsia="Calibri"/>
          <w:lang w:val="es-ES_tradnl" w:eastAsia="en-US"/>
        </w:rPr>
        <w:t xml:space="preserve">Muertes en </w:t>
      </w:r>
      <w:r w:rsidR="006313D2" w:rsidRPr="006313D2">
        <w:rPr>
          <w:rFonts w:eastAsia="Calibri"/>
          <w:u w:color="000000"/>
          <w:bdr w:val="nil"/>
          <w:lang w:val="es-ES_tradnl" w:eastAsia="en-GB"/>
        </w:rPr>
        <w:t>custodia</w:t>
      </w:r>
      <w:r w:rsidR="006313D2" w:rsidRPr="006313D2">
        <w:rPr>
          <w:rFonts w:eastAsia="Calibri"/>
          <w:lang w:val="es-ES_tradnl" w:eastAsia="en-US"/>
        </w:rPr>
        <w:t xml:space="preserve"> </w:t>
      </w:r>
    </w:p>
    <w:p w14:paraId="2EAA25F5" w14:textId="7C97E1D5" w:rsidR="006313D2" w:rsidRDefault="006313D2" w:rsidP="00E07CA4">
      <w:pPr>
        <w:pStyle w:val="SingleTxtG"/>
        <w:rPr>
          <w:rFonts w:eastAsia="Calibri"/>
          <w:lang w:val="es-ES_tradnl" w:eastAsia="en-US"/>
        </w:rPr>
      </w:pPr>
      <w:r w:rsidRPr="006313D2">
        <w:rPr>
          <w:rFonts w:eastAsia="Calibri"/>
          <w:lang w:val="es-ES_tradnl" w:eastAsia="en-US"/>
        </w:rPr>
        <w:t>36.</w:t>
      </w:r>
      <w:r w:rsidRPr="006313D2">
        <w:rPr>
          <w:rFonts w:eastAsia="Calibri"/>
          <w:lang w:val="es-ES_tradnl" w:eastAsia="en-US"/>
        </w:rPr>
        <w:tab/>
      </w:r>
      <w:r w:rsidRPr="006313D2">
        <w:t xml:space="preserve">El Comité lamenta no haber recibido datos estadísticos completos y </w:t>
      </w:r>
      <w:r w:rsidRPr="006313D2">
        <w:rPr>
          <w:lang w:val="es-ES_tradnl" w:eastAsia="en-US"/>
        </w:rPr>
        <w:t>desglosados por lugar de detención, sexo, edad, origen étnico y causa del deceso</w:t>
      </w:r>
      <w:r w:rsidRPr="006313D2">
        <w:rPr>
          <w:b/>
          <w:lang w:val="es-ES_tradnl" w:eastAsia="en-US"/>
        </w:rPr>
        <w:t xml:space="preserve"> </w:t>
      </w:r>
      <w:r w:rsidRPr="006313D2">
        <w:t xml:space="preserve">relativos al período </w:t>
      </w:r>
      <w:r w:rsidR="007B6C7E">
        <w:t xml:space="preserve">comprendido entre </w:t>
      </w:r>
      <w:r w:rsidRPr="006313D2">
        <w:t>2014</w:t>
      </w:r>
      <w:r w:rsidR="007B6C7E">
        <w:t xml:space="preserve"> y </w:t>
      </w:r>
      <w:r w:rsidRPr="006313D2">
        <w:t>2020</w:t>
      </w:r>
      <w:r w:rsidR="00D507EE">
        <w:t>,</w:t>
      </w:r>
      <w:r w:rsidRPr="006313D2">
        <w:t xml:space="preserve"> ni información detallada sobre los resultados de las investigaciones de esas muertes y las medidas concretas adoptadas para evitar que se produzcan casos similares. Al Comité le preocupa en particular no contar con dicha información en el contexto de la pandemia </w:t>
      </w:r>
      <w:r w:rsidR="00D507EE">
        <w:t>de</w:t>
      </w:r>
      <w:r w:rsidRPr="006313D2">
        <w:t xml:space="preserve"> C</w:t>
      </w:r>
      <w:r w:rsidR="00D507EE">
        <w:t>OVID</w:t>
      </w:r>
      <w:r w:rsidR="007B6C7E">
        <w:t>-</w:t>
      </w:r>
      <w:r w:rsidRPr="006313D2">
        <w:t xml:space="preserve">19 </w:t>
      </w:r>
      <w:r w:rsidRPr="006313D2">
        <w:rPr>
          <w:rFonts w:eastAsia="Calibri"/>
          <w:lang w:val="es-ES_tradnl" w:eastAsia="en-US"/>
        </w:rPr>
        <w:t>(arts. 2, 11 y 16).</w:t>
      </w:r>
    </w:p>
    <w:p w14:paraId="507EED9D" w14:textId="77777777" w:rsidR="006313D2" w:rsidRPr="00E07CA4" w:rsidRDefault="006313D2" w:rsidP="00E07CA4">
      <w:pPr>
        <w:pStyle w:val="SingleTxtG"/>
        <w:rPr>
          <w:b/>
        </w:rPr>
      </w:pPr>
      <w:r w:rsidRPr="006313D2">
        <w:t>37.</w:t>
      </w:r>
      <w:r w:rsidRPr="006313D2">
        <w:tab/>
      </w:r>
      <w:r w:rsidRPr="00E07CA4">
        <w:rPr>
          <w:b/>
        </w:rPr>
        <w:t>El Comité urge al Estado parte a:</w:t>
      </w:r>
    </w:p>
    <w:p w14:paraId="306E700F" w14:textId="77777777" w:rsidR="006313D2" w:rsidRPr="00E07CA4" w:rsidRDefault="006313D2" w:rsidP="00E07CA4">
      <w:pPr>
        <w:pStyle w:val="SingleTxtG"/>
        <w:numPr>
          <w:ilvl w:val="0"/>
          <w:numId w:val="28"/>
        </w:numPr>
        <w:ind w:left="1134" w:firstLine="567"/>
        <w:rPr>
          <w:b/>
        </w:rPr>
      </w:pPr>
      <w:r w:rsidRPr="00E07CA4">
        <w:rPr>
          <w:b/>
        </w:rPr>
        <w:t>Asegurar que todos los casos de muerte durante la privación de libertad sean investigados con prontitud y de forma imparcial por un órgano independiente, teniendo debidamente en cuenta el Protocolo de Minnesota sobre la Investigación de Muertes Potencialmente Ilícitas;</w:t>
      </w:r>
    </w:p>
    <w:p w14:paraId="17CDC8FE" w14:textId="77777777" w:rsidR="006313D2" w:rsidRPr="00E07CA4" w:rsidRDefault="006313D2" w:rsidP="00E07CA4">
      <w:pPr>
        <w:pStyle w:val="SingleTxtG"/>
        <w:numPr>
          <w:ilvl w:val="0"/>
          <w:numId w:val="28"/>
        </w:numPr>
        <w:ind w:left="1134" w:firstLine="567"/>
        <w:rPr>
          <w:b/>
        </w:rPr>
      </w:pPr>
      <w:r w:rsidRPr="00E07CA4">
        <w:rPr>
          <w:b/>
        </w:rPr>
        <w:t>Revisar la eficacia de los programas de prevención, detección y tratamiento de enfermedades infecciosas en las cárceles.</w:t>
      </w:r>
    </w:p>
    <w:p w14:paraId="4CA46E12" w14:textId="77777777" w:rsidR="006313D2" w:rsidRDefault="00E07CA4" w:rsidP="006313D2">
      <w:pPr>
        <w:pStyle w:val="H23G"/>
      </w:pPr>
      <w:r>
        <w:rPr>
          <w:rFonts w:eastAsia="Calibri"/>
          <w:lang w:val="es-ES_tradnl" w:eastAsia="en-US"/>
        </w:rPr>
        <w:tab/>
      </w:r>
      <w:r>
        <w:rPr>
          <w:rFonts w:eastAsia="Calibri"/>
          <w:lang w:val="es-ES_tradnl" w:eastAsia="en-US"/>
        </w:rPr>
        <w:tab/>
      </w:r>
      <w:r w:rsidR="006313D2" w:rsidRPr="006313D2">
        <w:rPr>
          <w:rFonts w:eastAsia="Calibri"/>
          <w:lang w:val="es-ES_tradnl" w:eastAsia="en-US"/>
        </w:rPr>
        <w:t xml:space="preserve">Instrucciones, métodos </w:t>
      </w:r>
      <w:r w:rsidR="006313D2" w:rsidRPr="006313D2">
        <w:rPr>
          <w:lang w:val="es-CO" w:eastAsia="en-US"/>
        </w:rPr>
        <w:t xml:space="preserve">y </w:t>
      </w:r>
      <w:r w:rsidR="006313D2" w:rsidRPr="006313D2">
        <w:rPr>
          <w:rFonts w:eastAsia="Calibri"/>
          <w:u w:color="000000"/>
          <w:bdr w:val="nil"/>
          <w:lang w:val="es-ES_tradnl" w:eastAsia="en-GB"/>
        </w:rPr>
        <w:t>prácticas</w:t>
      </w:r>
      <w:r w:rsidR="006313D2" w:rsidRPr="006313D2">
        <w:rPr>
          <w:lang w:val="es-CO" w:eastAsia="en-US"/>
        </w:rPr>
        <w:t xml:space="preserve"> de interrogatorio</w:t>
      </w:r>
      <w:r w:rsidR="006313D2" w:rsidRPr="006313D2">
        <w:t xml:space="preserve"> </w:t>
      </w:r>
    </w:p>
    <w:p w14:paraId="5B1F9269" w14:textId="77777777" w:rsidR="006313D2" w:rsidRDefault="006313D2" w:rsidP="00E07CA4">
      <w:pPr>
        <w:pStyle w:val="SingleTxtG"/>
      </w:pPr>
      <w:r w:rsidRPr="006313D2">
        <w:rPr>
          <w:lang w:val="es-CO"/>
        </w:rPr>
        <w:t>38.</w:t>
      </w:r>
      <w:r w:rsidRPr="006313D2">
        <w:rPr>
          <w:lang w:val="es-CO"/>
        </w:rPr>
        <w:tab/>
        <w:t xml:space="preserve">El </w:t>
      </w:r>
      <w:r w:rsidR="002357E9">
        <w:rPr>
          <w:lang w:val="es-CO"/>
        </w:rPr>
        <w:t>Comité</w:t>
      </w:r>
      <w:r w:rsidR="002357E9" w:rsidRPr="006313D2">
        <w:rPr>
          <w:lang w:val="es-CO"/>
        </w:rPr>
        <w:t xml:space="preserve"> </w:t>
      </w:r>
      <w:r w:rsidRPr="006313D2">
        <w:rPr>
          <w:lang w:val="es-CO"/>
        </w:rPr>
        <w:t xml:space="preserve">observa con preocupación que el Estado parte no haya proporcionado información suficiente sobre los protocolos que deben seguir las autoridades de policía y </w:t>
      </w:r>
      <w:r w:rsidRPr="006313D2">
        <w:rPr>
          <w:lang w:val="es-CO"/>
        </w:rPr>
        <w:lastRenderedPageBreak/>
        <w:t xml:space="preserve">otros agentes del orden al realizar entrevistas e interrogatorios, de </w:t>
      </w:r>
      <w:proofErr w:type="spellStart"/>
      <w:r w:rsidRPr="006313D2">
        <w:rPr>
          <w:lang w:val="es-CO"/>
        </w:rPr>
        <w:t>qu</w:t>
      </w:r>
      <w:proofErr w:type="spellEnd"/>
      <w:r w:rsidRPr="006313D2">
        <w:rPr>
          <w:lang w:val="es-419"/>
        </w:rPr>
        <w:t>é</w:t>
      </w:r>
      <w:r w:rsidRPr="006313D2">
        <w:rPr>
          <w:lang w:val="es-CO"/>
        </w:rPr>
        <w:t xml:space="preserve"> forma se instruye a esos agentes y con qué frecuencia se revisan esos protocolos </w:t>
      </w:r>
      <w:r w:rsidRPr="006313D2">
        <w:t>(arts. 2, 11, 15 y 16).</w:t>
      </w:r>
    </w:p>
    <w:p w14:paraId="6540B93C" w14:textId="77777777" w:rsidR="006313D2" w:rsidRDefault="006313D2" w:rsidP="00E07CA4">
      <w:pPr>
        <w:pStyle w:val="SingleTxtG"/>
        <w:rPr>
          <w:i/>
          <w:lang w:val="es-CO"/>
        </w:rPr>
      </w:pPr>
      <w:r w:rsidRPr="006313D2">
        <w:t>39.</w:t>
      </w:r>
      <w:r w:rsidRPr="006313D2">
        <w:tab/>
      </w:r>
      <w:r w:rsidRPr="00E07CA4">
        <w:rPr>
          <w:b/>
          <w:lang w:eastAsia="en-US"/>
        </w:rPr>
        <w:t>E</w:t>
      </w:r>
      <w:r w:rsidRPr="00E07CA4">
        <w:rPr>
          <w:b/>
          <w:lang w:val="es-ES_tradnl" w:eastAsia="en-US"/>
        </w:rPr>
        <w:t>l Comité recomienda al Estado parte garantizar</w:t>
      </w:r>
      <w:r w:rsidRPr="00E07CA4">
        <w:rPr>
          <w:b/>
        </w:rPr>
        <w:t xml:space="preserve"> que las fuerzas del orden, jueces y fiscales reciban formación obligatoria sobre las técnicas de interrogatorio no coercitivas, la prohibición de la tortura y los malos tratos y la obligación de los órganos judiciales de invalidar las confesiones y otra evidencia obtenidas bajo tortura.</w:t>
      </w:r>
      <w:r w:rsidRPr="006313D2">
        <w:t xml:space="preserve"> </w:t>
      </w:r>
    </w:p>
    <w:p w14:paraId="7F0F0CA2" w14:textId="77777777" w:rsidR="006313D2" w:rsidRDefault="00E07CA4" w:rsidP="006313D2">
      <w:pPr>
        <w:pStyle w:val="H23G"/>
        <w:rPr>
          <w:rFonts w:eastAsia="Calibri"/>
          <w:lang w:val="es-419" w:eastAsia="en-US"/>
        </w:rPr>
      </w:pPr>
      <w:r>
        <w:rPr>
          <w:rFonts w:eastAsia="Calibri"/>
          <w:lang w:val="es-419" w:eastAsia="en-US"/>
        </w:rPr>
        <w:tab/>
      </w:r>
      <w:r>
        <w:rPr>
          <w:rFonts w:eastAsia="Calibri"/>
          <w:lang w:val="es-419" w:eastAsia="en-US"/>
        </w:rPr>
        <w:tab/>
      </w:r>
      <w:r w:rsidR="006313D2" w:rsidRPr="006313D2">
        <w:rPr>
          <w:rFonts w:eastAsia="Calibri"/>
          <w:lang w:val="es-419" w:eastAsia="en-US"/>
        </w:rPr>
        <w:t xml:space="preserve">Régimen </w:t>
      </w:r>
      <w:r w:rsidR="006313D2" w:rsidRPr="006313D2">
        <w:rPr>
          <w:rFonts w:eastAsia="Calibri"/>
          <w:u w:color="000000"/>
          <w:bdr w:val="nil"/>
          <w:lang w:val="es-ES_tradnl" w:eastAsia="en-GB"/>
        </w:rPr>
        <w:t>disciplinario</w:t>
      </w:r>
      <w:r w:rsidR="006313D2" w:rsidRPr="006313D2">
        <w:rPr>
          <w:rFonts w:eastAsia="Calibri"/>
          <w:lang w:val="es-419" w:eastAsia="en-US"/>
        </w:rPr>
        <w:t xml:space="preserve"> </w:t>
      </w:r>
    </w:p>
    <w:p w14:paraId="7F649AE2" w14:textId="75C4EFB4" w:rsidR="006313D2" w:rsidRDefault="006313D2" w:rsidP="00E07CA4">
      <w:pPr>
        <w:pStyle w:val="SingleTxtG"/>
        <w:rPr>
          <w:lang w:val="es-CO"/>
        </w:rPr>
      </w:pPr>
      <w:r w:rsidRPr="006313D2">
        <w:rPr>
          <w:rFonts w:eastAsia="Calibri"/>
          <w:lang w:val="es-419" w:eastAsia="en-US"/>
        </w:rPr>
        <w:t>40.</w:t>
      </w:r>
      <w:r w:rsidRPr="006313D2">
        <w:rPr>
          <w:rFonts w:eastAsia="Calibri"/>
          <w:lang w:val="es-419" w:eastAsia="en-US"/>
        </w:rPr>
        <w:tab/>
      </w:r>
      <w:r w:rsidRPr="006313D2">
        <w:t>El Comité acoge con beneplácito</w:t>
      </w:r>
      <w:r w:rsidRPr="006313D2">
        <w:rPr>
          <w:lang w:val="es-CO"/>
        </w:rPr>
        <w:t xml:space="preserve"> el cierre de las celdas de castigo tales como las </w:t>
      </w:r>
      <w:proofErr w:type="spellStart"/>
      <w:r w:rsidRPr="006313D2">
        <w:rPr>
          <w:lang w:val="es-CO"/>
        </w:rPr>
        <w:t>loreras</w:t>
      </w:r>
      <w:proofErr w:type="spellEnd"/>
      <w:r w:rsidRPr="006313D2">
        <w:rPr>
          <w:lang w:val="es-CO"/>
        </w:rPr>
        <w:t xml:space="preserve">, botes, calabozos y otros. </w:t>
      </w:r>
      <w:r w:rsidRPr="006313D2">
        <w:t xml:space="preserve">Sin embargo, observa con preocupación que, conforme a la normativa vigente, los reclusos que cometen una falta muy grave pueden ser sancionados con hasta </w:t>
      </w:r>
      <w:r w:rsidR="002C6600">
        <w:t>2</w:t>
      </w:r>
      <w:r w:rsidRPr="006313D2">
        <w:t>0 días en régimen de aislamiento</w:t>
      </w:r>
      <w:r w:rsidR="002951F3">
        <w:t xml:space="preserve"> y hasta 30 días sin visitas</w:t>
      </w:r>
      <w:r w:rsidRPr="006313D2">
        <w:t xml:space="preserve">. También preocupa al Comité la falta de evaluación del impacto del </w:t>
      </w:r>
      <w:r w:rsidRPr="006313D2">
        <w:rPr>
          <w:lang w:val="es-CO"/>
        </w:rPr>
        <w:t>Pro</w:t>
      </w:r>
      <w:r w:rsidR="0092044B">
        <w:rPr>
          <w:lang w:val="es-CO"/>
        </w:rPr>
        <w:t>yecto</w:t>
      </w:r>
      <w:r w:rsidRPr="006313D2">
        <w:rPr>
          <w:lang w:val="es-CO"/>
        </w:rPr>
        <w:t xml:space="preserve"> Alternativas a la Violencia hasta el</w:t>
      </w:r>
      <w:r w:rsidR="00781ACD">
        <w:rPr>
          <w:lang w:val="es-CO"/>
        </w:rPr>
        <w:t> </w:t>
      </w:r>
      <w:r w:rsidRPr="006313D2">
        <w:rPr>
          <w:lang w:val="es-CO"/>
        </w:rPr>
        <w:t xml:space="preserve">2017 y por los hechos de violencia ocurridos en 2018 que resultaron en la muerte de seis detenidos y más de veinte heridos en la cárcel de </w:t>
      </w:r>
      <w:proofErr w:type="spellStart"/>
      <w:r w:rsidRPr="006313D2">
        <w:rPr>
          <w:lang w:val="es-CO"/>
        </w:rPr>
        <w:t>Palmasola</w:t>
      </w:r>
      <w:proofErr w:type="spellEnd"/>
      <w:r w:rsidRPr="006313D2">
        <w:rPr>
          <w:lang w:val="es-CO"/>
        </w:rPr>
        <w:t xml:space="preserve"> </w:t>
      </w:r>
      <w:r w:rsidRPr="006313D2">
        <w:t>(arts. 2, 11 y 16).</w:t>
      </w:r>
    </w:p>
    <w:p w14:paraId="5196D001" w14:textId="77777777" w:rsidR="006313D2" w:rsidRPr="00E07CA4" w:rsidRDefault="006313D2" w:rsidP="00E07CA4">
      <w:pPr>
        <w:pStyle w:val="SingleTxtG"/>
        <w:rPr>
          <w:b/>
        </w:rPr>
      </w:pPr>
      <w:r w:rsidRPr="006313D2">
        <w:t>41.</w:t>
      </w:r>
      <w:r w:rsidRPr="006313D2">
        <w:tab/>
      </w:r>
      <w:r w:rsidRPr="00E07CA4">
        <w:rPr>
          <w:b/>
          <w:lang w:eastAsia="en-US"/>
        </w:rPr>
        <w:t>E</w:t>
      </w:r>
      <w:r w:rsidRPr="00E07CA4">
        <w:rPr>
          <w:b/>
          <w:lang w:val="es-ES_tradnl" w:eastAsia="en-US"/>
        </w:rPr>
        <w:t>l Estado parte debe:</w:t>
      </w:r>
    </w:p>
    <w:p w14:paraId="21B6929A" w14:textId="1F2CB525" w:rsidR="006313D2" w:rsidRPr="00E07CA4" w:rsidRDefault="006313D2" w:rsidP="00E07CA4">
      <w:pPr>
        <w:pStyle w:val="SingleTxtG"/>
        <w:numPr>
          <w:ilvl w:val="0"/>
          <w:numId w:val="29"/>
        </w:numPr>
        <w:ind w:left="1134" w:firstLine="567"/>
        <w:rPr>
          <w:b/>
        </w:rPr>
      </w:pPr>
      <w:r w:rsidRPr="00E07CA4">
        <w:rPr>
          <w:b/>
        </w:rPr>
        <w:t>Usar el régimen de aislamiento solo en casos excepcionales, como último recurso, durante el menor tiempo posible (no superior a 15</w:t>
      </w:r>
      <w:r w:rsidR="00496A79">
        <w:rPr>
          <w:b/>
        </w:rPr>
        <w:t> </w:t>
      </w:r>
      <w:r w:rsidRPr="00E07CA4">
        <w:rPr>
          <w:b/>
        </w:rPr>
        <w:t>días) y con sujeción a una revisión independiente, y solo con el permiso de la autoridad competente, de conformidad con las reglas 43 a 46 de las Reglas Nelson Mandela;</w:t>
      </w:r>
    </w:p>
    <w:p w14:paraId="7422E86C" w14:textId="77777777" w:rsidR="006313D2" w:rsidRPr="00E07CA4" w:rsidRDefault="006313D2" w:rsidP="00E07CA4">
      <w:pPr>
        <w:pStyle w:val="SingleTxtG"/>
        <w:numPr>
          <w:ilvl w:val="0"/>
          <w:numId w:val="29"/>
        </w:numPr>
        <w:ind w:left="1134" w:firstLine="567"/>
        <w:rPr>
          <w:b/>
        </w:rPr>
      </w:pPr>
      <w:r w:rsidRPr="00E07CA4">
        <w:rPr>
          <w:b/>
        </w:rPr>
        <w:t>Potenciar las medidas para prevenir y reducir la violencia en</w:t>
      </w:r>
      <w:r w:rsidRPr="00E07CA4">
        <w:rPr>
          <w:b/>
          <w:lang w:val="es-CO"/>
        </w:rPr>
        <w:t xml:space="preserve"> centros penitenciarios y luchar contra la corrupción en las cárceles</w:t>
      </w:r>
      <w:r w:rsidRPr="00E07CA4">
        <w:rPr>
          <w:b/>
        </w:rPr>
        <w:t>, en particular mediante estrategias que permitan vigilar y documentar estos incidentes a fin de investigar las denuncias y sancionar a los responsables.</w:t>
      </w:r>
    </w:p>
    <w:p w14:paraId="7A3B6633" w14:textId="77777777" w:rsidR="006313D2" w:rsidRDefault="00E07CA4" w:rsidP="006313D2">
      <w:pPr>
        <w:pStyle w:val="H23G"/>
      </w:pPr>
      <w:r>
        <w:rPr>
          <w:rFonts w:eastAsia="Calibri"/>
          <w:lang w:val="es-419" w:eastAsia="en-US"/>
        </w:rPr>
        <w:tab/>
      </w:r>
      <w:r>
        <w:rPr>
          <w:rFonts w:eastAsia="Calibri"/>
          <w:lang w:val="es-419" w:eastAsia="en-US"/>
        </w:rPr>
        <w:tab/>
      </w:r>
      <w:r w:rsidR="006313D2" w:rsidRPr="006313D2">
        <w:rPr>
          <w:rFonts w:eastAsia="Calibri"/>
          <w:lang w:val="es-419" w:eastAsia="en-US"/>
        </w:rPr>
        <w:t xml:space="preserve">Defensores de derechos </w:t>
      </w:r>
      <w:r w:rsidR="006313D2" w:rsidRPr="006313D2">
        <w:rPr>
          <w:rFonts w:eastAsia="Calibri"/>
          <w:u w:color="000000"/>
          <w:bdr w:val="nil"/>
          <w:lang w:val="es-ES_tradnl" w:eastAsia="en-GB"/>
        </w:rPr>
        <w:t>humanos</w:t>
      </w:r>
      <w:r w:rsidR="006313D2" w:rsidRPr="006313D2">
        <w:rPr>
          <w:rFonts w:eastAsia="Calibri"/>
          <w:lang w:val="es-419" w:eastAsia="en-US"/>
        </w:rPr>
        <w:t xml:space="preserve"> y periodistas </w:t>
      </w:r>
    </w:p>
    <w:p w14:paraId="53CCB32E" w14:textId="2C63B02F" w:rsidR="006313D2" w:rsidRDefault="006313D2" w:rsidP="00E07CA4">
      <w:pPr>
        <w:pStyle w:val="SingleTxtG"/>
        <w:rPr>
          <w:lang w:val="es-ES_tradnl"/>
        </w:rPr>
      </w:pPr>
      <w:r w:rsidRPr="006313D2">
        <w:t>42.</w:t>
      </w:r>
      <w:r w:rsidRPr="006313D2">
        <w:tab/>
        <w:t xml:space="preserve">El Comité toma nota de la declaración de </w:t>
      </w:r>
      <w:r w:rsidRPr="006313D2">
        <w:rPr>
          <w:rFonts w:eastAsia="Libre Baskerville"/>
        </w:rPr>
        <w:t xml:space="preserve">inconstitucionalidad del Decreto Supremo </w:t>
      </w:r>
      <w:r w:rsidR="00496A79">
        <w:rPr>
          <w:rFonts w:eastAsia="Libre Baskerville"/>
        </w:rPr>
        <w:t>núm. </w:t>
      </w:r>
      <w:r w:rsidRPr="006313D2">
        <w:rPr>
          <w:rFonts w:eastAsia="Libre Baskerville"/>
        </w:rPr>
        <w:t>4231, de 7 de mayo de 2020, por profundizar la vulneración a la libertad de expresión.</w:t>
      </w:r>
      <w:r w:rsidRPr="006313D2">
        <w:t xml:space="preserve"> Sin embargo, expresa su preocupación ante los ataques, amenazas y agresiones contra defensores de derechos humanos y periodistas, así como por la ausencia de resultados en la mayoría de las </w:t>
      </w:r>
      <w:r w:rsidRPr="006928F3">
        <w:t>investigaciones abiertas en estos casos. E</w:t>
      </w:r>
      <w:r w:rsidRPr="006928F3">
        <w:rPr>
          <w:lang w:val="es-ES_tradnl"/>
        </w:rPr>
        <w:t xml:space="preserve">n el marco de la crisis de 2019-2020, </w:t>
      </w:r>
      <w:r w:rsidRPr="006928F3">
        <w:t xml:space="preserve">al Comité le preocupa en particular la información reportada por </w:t>
      </w:r>
      <w:r w:rsidRPr="006928F3">
        <w:rPr>
          <w:lang w:val="es-CO" w:eastAsia="en-US"/>
        </w:rPr>
        <w:t xml:space="preserve">la </w:t>
      </w:r>
      <w:r w:rsidRPr="006928F3">
        <w:rPr>
          <w:lang w:val="es-ES_tradnl"/>
        </w:rPr>
        <w:t xml:space="preserve">Asociación Nacional de </w:t>
      </w:r>
      <w:r w:rsidR="00496A79">
        <w:rPr>
          <w:lang w:val="es-ES_tradnl"/>
        </w:rPr>
        <w:t xml:space="preserve">la </w:t>
      </w:r>
      <w:r w:rsidRPr="006928F3">
        <w:rPr>
          <w:lang w:val="es-ES_tradnl"/>
        </w:rPr>
        <w:t>Prensa en la que se da cuenta de</w:t>
      </w:r>
      <w:r w:rsidRPr="006313D2">
        <w:rPr>
          <w:lang w:val="es-ES_tradnl"/>
        </w:rPr>
        <w:t xml:space="preserve"> 94 ataques contra periodistas y personal de medios, </w:t>
      </w:r>
      <w:r w:rsidRPr="006313D2">
        <w:rPr>
          <w:lang w:val="pt-PT"/>
        </w:rPr>
        <w:t>da</w:t>
      </w:r>
      <w:proofErr w:type="spellStart"/>
      <w:r w:rsidRPr="006313D2">
        <w:rPr>
          <w:lang w:val="es-ES_tradnl"/>
        </w:rPr>
        <w:t>ños</w:t>
      </w:r>
      <w:proofErr w:type="spellEnd"/>
      <w:r w:rsidRPr="006313D2">
        <w:rPr>
          <w:lang w:val="es-ES_tradnl"/>
        </w:rPr>
        <w:t xml:space="preserve"> intencionales contra sus instalaciones, así como ataques y obstaculización del trabajo </w:t>
      </w:r>
      <w:r w:rsidRPr="006313D2">
        <w:rPr>
          <w:rFonts w:eastAsia="Calibri"/>
          <w:u w:color="000000"/>
          <w:bdr w:val="nil"/>
          <w:lang w:val="es-ES_tradnl" w:eastAsia="en-GB"/>
        </w:rPr>
        <w:t>de miembros de organizaciones de</w:t>
      </w:r>
      <w:r w:rsidR="00665F5C">
        <w:rPr>
          <w:rFonts w:eastAsia="Calibri"/>
          <w:u w:color="000000"/>
          <w:bdr w:val="nil"/>
          <w:lang w:val="es-ES_tradnl" w:eastAsia="en-GB"/>
        </w:rPr>
        <w:t xml:space="preserve"> la</w:t>
      </w:r>
      <w:r w:rsidRPr="006313D2">
        <w:rPr>
          <w:rFonts w:eastAsia="Calibri"/>
          <w:u w:color="000000"/>
          <w:bdr w:val="nil"/>
          <w:lang w:val="es-ES_tradnl" w:eastAsia="en-GB"/>
        </w:rPr>
        <w:t xml:space="preserve"> sociedad civil. El Comité también manifiesta su preocupación por la desactivación del Consejo Plurinacional de Derechos Humanos, espacio que promueve la participación de organizaciones de</w:t>
      </w:r>
      <w:r w:rsidR="0060010B">
        <w:rPr>
          <w:rFonts w:eastAsia="Calibri"/>
          <w:u w:color="000000"/>
          <w:bdr w:val="nil"/>
          <w:lang w:val="es-ES_tradnl" w:eastAsia="en-GB"/>
        </w:rPr>
        <w:t xml:space="preserve"> la</w:t>
      </w:r>
      <w:r w:rsidRPr="006313D2">
        <w:rPr>
          <w:rFonts w:eastAsia="Calibri"/>
          <w:u w:color="000000"/>
          <w:bdr w:val="nil"/>
          <w:lang w:val="es-ES_tradnl" w:eastAsia="en-GB"/>
        </w:rPr>
        <w:t xml:space="preserve"> sociedad civil en la elaboración de </w:t>
      </w:r>
      <w:r w:rsidRPr="006313D2">
        <w:rPr>
          <w:lang w:val="es-ES_tradnl"/>
        </w:rPr>
        <w:t>políticas públicas</w:t>
      </w:r>
      <w:r w:rsidRPr="006313D2">
        <w:rPr>
          <w:rFonts w:eastAsia="Calibri"/>
          <w:u w:color="000000"/>
          <w:bdr w:val="nil"/>
          <w:lang w:val="es-ES_tradnl" w:eastAsia="en-GB"/>
        </w:rPr>
        <w:t xml:space="preserve"> </w:t>
      </w:r>
      <w:r w:rsidRPr="006313D2">
        <w:rPr>
          <w:rFonts w:eastAsia="Calibri"/>
          <w:iCs/>
          <w:lang w:val="es-419" w:eastAsia="en-US"/>
        </w:rPr>
        <w:t>(</w:t>
      </w:r>
      <w:r w:rsidRPr="006313D2">
        <w:rPr>
          <w:rFonts w:eastAsia="Calibri"/>
          <w:lang w:val="es-419" w:eastAsia="en-US"/>
        </w:rPr>
        <w:t>arts. 2, 12, 13 y 16).</w:t>
      </w:r>
    </w:p>
    <w:p w14:paraId="6F02C0E7" w14:textId="79DB5F50" w:rsidR="006313D2" w:rsidRPr="00E07CA4" w:rsidRDefault="006313D2" w:rsidP="00E07CA4">
      <w:pPr>
        <w:pStyle w:val="SingleTxtG"/>
        <w:rPr>
          <w:b/>
        </w:rPr>
      </w:pPr>
      <w:r w:rsidRPr="00E07CA4">
        <w:t>43.</w:t>
      </w:r>
      <w:r w:rsidRPr="00E07CA4">
        <w:tab/>
      </w:r>
      <w:r w:rsidRPr="00E07CA4">
        <w:rPr>
          <w:b/>
        </w:rPr>
        <w:t>El Comité recomienda al Estado parte:</w:t>
      </w:r>
    </w:p>
    <w:p w14:paraId="57AF4BE9" w14:textId="2529CCB4" w:rsidR="006313D2" w:rsidRPr="00E07CA4" w:rsidRDefault="006313D2" w:rsidP="00E07CA4">
      <w:pPr>
        <w:pStyle w:val="SingleTxtG"/>
        <w:numPr>
          <w:ilvl w:val="0"/>
          <w:numId w:val="30"/>
        </w:numPr>
        <w:ind w:left="1134" w:firstLine="567"/>
        <w:rPr>
          <w:b/>
        </w:rPr>
      </w:pPr>
      <w:r w:rsidRPr="00E07CA4">
        <w:rPr>
          <w:b/>
        </w:rPr>
        <w:t>Garanti</w:t>
      </w:r>
      <w:r w:rsidR="0060010B">
        <w:rPr>
          <w:b/>
        </w:rPr>
        <w:t>zar</w:t>
      </w:r>
      <w:r w:rsidRPr="00E07CA4">
        <w:rPr>
          <w:b/>
        </w:rPr>
        <w:t xml:space="preserve"> que los defensores de derechos humanos y periodistas puedan llevar a cabo su labor sin temor a represalias o agresiones;</w:t>
      </w:r>
    </w:p>
    <w:p w14:paraId="7B001C5B" w14:textId="7DFE48C3" w:rsidR="006313D2" w:rsidRPr="00E07CA4" w:rsidRDefault="006313D2" w:rsidP="00E07CA4">
      <w:pPr>
        <w:pStyle w:val="SingleTxtG"/>
        <w:numPr>
          <w:ilvl w:val="0"/>
          <w:numId w:val="30"/>
        </w:numPr>
        <w:ind w:left="1134" w:firstLine="567"/>
        <w:rPr>
          <w:b/>
        </w:rPr>
      </w:pPr>
      <w:r w:rsidRPr="00E07CA4">
        <w:rPr>
          <w:b/>
        </w:rPr>
        <w:t>Asegurar que se investigue, enjuicie y castigue debidamente a los responsables y se proporcione reparación integral a las víctimas;</w:t>
      </w:r>
    </w:p>
    <w:p w14:paraId="4E4CD2C8" w14:textId="4F9EDEBF" w:rsidR="006313D2" w:rsidRPr="00E07CA4" w:rsidRDefault="006313D2" w:rsidP="00E07CA4">
      <w:pPr>
        <w:pStyle w:val="SingleTxtG"/>
        <w:numPr>
          <w:ilvl w:val="0"/>
          <w:numId w:val="30"/>
        </w:numPr>
        <w:ind w:left="1134" w:firstLine="567"/>
        <w:rPr>
          <w:b/>
        </w:rPr>
      </w:pPr>
      <w:r w:rsidRPr="00E07CA4">
        <w:rPr>
          <w:b/>
        </w:rPr>
        <w:t xml:space="preserve">Activar el </w:t>
      </w:r>
      <w:r w:rsidRPr="00E07CA4">
        <w:rPr>
          <w:rFonts w:eastAsia="Calibri"/>
          <w:b/>
        </w:rPr>
        <w:t>Consejo Plurinacional de Derechos Humanos</w:t>
      </w:r>
      <w:r w:rsidRPr="00E07CA4">
        <w:rPr>
          <w:b/>
        </w:rPr>
        <w:t>.</w:t>
      </w:r>
    </w:p>
    <w:p w14:paraId="743F2915" w14:textId="77777777" w:rsidR="006313D2" w:rsidRDefault="00E07CA4" w:rsidP="006313D2">
      <w:pPr>
        <w:pStyle w:val="H23G"/>
        <w:rPr>
          <w:lang w:val="es-CO" w:eastAsia="en-US"/>
        </w:rPr>
      </w:pPr>
      <w:r>
        <w:rPr>
          <w:rFonts w:eastAsia="Calibri"/>
          <w:u w:color="000000"/>
          <w:bdr w:val="nil"/>
          <w:lang w:val="es-ES_tradnl" w:eastAsia="en-GB"/>
        </w:rPr>
        <w:tab/>
      </w:r>
      <w:r>
        <w:rPr>
          <w:rFonts w:eastAsia="Calibri"/>
          <w:u w:color="000000"/>
          <w:bdr w:val="nil"/>
          <w:lang w:val="es-ES_tradnl" w:eastAsia="en-GB"/>
        </w:rPr>
        <w:tab/>
      </w:r>
      <w:r w:rsidR="006313D2" w:rsidRPr="006313D2">
        <w:rPr>
          <w:rFonts w:eastAsia="Calibri"/>
          <w:u w:color="000000"/>
          <w:bdr w:val="nil"/>
          <w:lang w:val="es-ES_tradnl" w:eastAsia="en-GB"/>
        </w:rPr>
        <w:t>Formación</w:t>
      </w:r>
      <w:r w:rsidR="006313D2" w:rsidRPr="006313D2">
        <w:rPr>
          <w:lang w:val="es-CO" w:eastAsia="en-US"/>
        </w:rPr>
        <w:t xml:space="preserve"> </w:t>
      </w:r>
    </w:p>
    <w:p w14:paraId="3617F015" w14:textId="77777777" w:rsidR="006313D2" w:rsidRDefault="006313D2" w:rsidP="00E07CA4">
      <w:pPr>
        <w:pStyle w:val="SingleTxtG"/>
      </w:pPr>
      <w:r w:rsidRPr="006313D2">
        <w:t>44.</w:t>
      </w:r>
      <w:r w:rsidRPr="006313D2">
        <w:tab/>
        <w:t>Si bien el Estado parte brinda formación periódica sobre derechos humanos, al Comité le preocupa que los funcionarios públicos no reciban formación obligatoria específica sobre la Convención y la absoluta prohibición de la tortura y los malos tratos (art. 10).</w:t>
      </w:r>
    </w:p>
    <w:p w14:paraId="4F622D5F" w14:textId="77777777" w:rsidR="006313D2" w:rsidRPr="00E07CA4" w:rsidRDefault="006313D2" w:rsidP="00E07CA4">
      <w:pPr>
        <w:pStyle w:val="SingleTxtG"/>
        <w:rPr>
          <w:b/>
        </w:rPr>
      </w:pPr>
      <w:r w:rsidRPr="006313D2">
        <w:t>45.</w:t>
      </w:r>
      <w:r w:rsidRPr="006313D2">
        <w:tab/>
      </w:r>
      <w:r w:rsidRPr="00E07CA4">
        <w:rPr>
          <w:b/>
        </w:rPr>
        <w:t>El Estado parte debe:</w:t>
      </w:r>
    </w:p>
    <w:p w14:paraId="047363E4" w14:textId="0FBEF141" w:rsidR="006313D2" w:rsidRPr="00E07CA4" w:rsidRDefault="006313D2" w:rsidP="00E07CA4">
      <w:pPr>
        <w:pStyle w:val="SingleTxtG"/>
        <w:numPr>
          <w:ilvl w:val="0"/>
          <w:numId w:val="31"/>
        </w:numPr>
        <w:ind w:left="1134" w:firstLine="567"/>
        <w:rPr>
          <w:b/>
        </w:rPr>
      </w:pPr>
      <w:r w:rsidRPr="00E07CA4">
        <w:rPr>
          <w:b/>
        </w:rPr>
        <w:t>Implementar programas obligatorios de formación para todos los funcionarios públicos</w:t>
      </w:r>
      <w:r w:rsidR="000F4053">
        <w:rPr>
          <w:b/>
        </w:rPr>
        <w:t xml:space="preserve"> </w:t>
      </w:r>
      <w:r w:rsidR="000F4053" w:rsidRPr="00E07CA4">
        <w:rPr>
          <w:b/>
        </w:rPr>
        <w:t>sobre la Convención</w:t>
      </w:r>
      <w:r w:rsidRPr="00E07CA4">
        <w:rPr>
          <w:b/>
        </w:rPr>
        <w:t xml:space="preserve">, incluidos agentes del orden, fiscales, jueces, </w:t>
      </w:r>
      <w:r w:rsidRPr="00E07CA4">
        <w:rPr>
          <w:b/>
        </w:rPr>
        <w:lastRenderedPageBreak/>
        <w:t>personal médico, penitenciario y de migraciones, en especial la prohibición absoluta de la tortura y los malos tratos, y mecanismos de evaluación de su impacto;</w:t>
      </w:r>
    </w:p>
    <w:p w14:paraId="59CBD527" w14:textId="77777777" w:rsidR="006313D2" w:rsidRPr="00E07CA4" w:rsidRDefault="006313D2" w:rsidP="00E07CA4">
      <w:pPr>
        <w:pStyle w:val="SingleTxtG"/>
        <w:numPr>
          <w:ilvl w:val="0"/>
          <w:numId w:val="31"/>
        </w:numPr>
        <w:ind w:left="1134" w:firstLine="567"/>
        <w:rPr>
          <w:b/>
        </w:rPr>
      </w:pPr>
      <w:r w:rsidRPr="00E07CA4">
        <w:rPr>
          <w:b/>
        </w:rPr>
        <w:t>Garantizar que la prohibición absoluta de la tortura y los malos tratos se incluya en las normas e instrucciones relativas a los deberes y funciones de esas personas;</w:t>
      </w:r>
    </w:p>
    <w:p w14:paraId="7BBD2343" w14:textId="67F125C8" w:rsidR="006313D2" w:rsidRPr="007E2207" w:rsidRDefault="006313D2" w:rsidP="00E07CA4">
      <w:pPr>
        <w:pStyle w:val="SingleTxtG"/>
        <w:numPr>
          <w:ilvl w:val="0"/>
          <w:numId w:val="31"/>
        </w:numPr>
        <w:ind w:left="1134" w:firstLine="567"/>
        <w:rPr>
          <w:b/>
        </w:rPr>
      </w:pPr>
      <w:r w:rsidRPr="007E2207">
        <w:rPr>
          <w:b/>
        </w:rPr>
        <w:t xml:space="preserve">Velar por que todo el personal competente, incluido el personal médico, reciba una formación específica que le permita identificar los casos de tortura y malos tratos de conformidad con el Manual para la </w:t>
      </w:r>
      <w:r w:rsidR="000F4053">
        <w:rPr>
          <w:b/>
        </w:rPr>
        <w:t>i</w:t>
      </w:r>
      <w:r w:rsidRPr="007E2207">
        <w:rPr>
          <w:b/>
        </w:rPr>
        <w:t xml:space="preserve">nvestigación y </w:t>
      </w:r>
      <w:r w:rsidR="000F4053">
        <w:rPr>
          <w:b/>
        </w:rPr>
        <w:t>d</w:t>
      </w:r>
      <w:r w:rsidRPr="007E2207">
        <w:rPr>
          <w:b/>
        </w:rPr>
        <w:t xml:space="preserve">ocumentación </w:t>
      </w:r>
      <w:r w:rsidR="000F4053">
        <w:rPr>
          <w:b/>
        </w:rPr>
        <w:t>e</w:t>
      </w:r>
      <w:r w:rsidRPr="007E2207">
        <w:rPr>
          <w:b/>
        </w:rPr>
        <w:t xml:space="preserve">ficaces de la </w:t>
      </w:r>
      <w:r w:rsidR="000F4053">
        <w:rPr>
          <w:b/>
        </w:rPr>
        <w:t>t</w:t>
      </w:r>
      <w:r w:rsidRPr="007E2207">
        <w:rPr>
          <w:b/>
        </w:rPr>
        <w:t xml:space="preserve">ortura y otros </w:t>
      </w:r>
      <w:r w:rsidR="000F4053">
        <w:rPr>
          <w:b/>
        </w:rPr>
        <w:t>t</w:t>
      </w:r>
      <w:r w:rsidRPr="007E2207">
        <w:rPr>
          <w:b/>
        </w:rPr>
        <w:t xml:space="preserve">ratos o </w:t>
      </w:r>
      <w:r w:rsidR="000F4053">
        <w:rPr>
          <w:b/>
        </w:rPr>
        <w:t>p</w:t>
      </w:r>
      <w:r w:rsidRPr="007E2207">
        <w:rPr>
          <w:b/>
        </w:rPr>
        <w:t xml:space="preserve">enas </w:t>
      </w:r>
      <w:r w:rsidR="000F4053">
        <w:rPr>
          <w:b/>
        </w:rPr>
        <w:t>c</w:t>
      </w:r>
      <w:r w:rsidRPr="007E2207">
        <w:rPr>
          <w:b/>
        </w:rPr>
        <w:t xml:space="preserve">rueles, </w:t>
      </w:r>
      <w:r w:rsidR="000F4053">
        <w:rPr>
          <w:b/>
        </w:rPr>
        <w:t>i</w:t>
      </w:r>
      <w:r w:rsidRPr="007E2207">
        <w:rPr>
          <w:b/>
        </w:rPr>
        <w:t xml:space="preserve">nhumanos o </w:t>
      </w:r>
      <w:r w:rsidR="000F4053">
        <w:rPr>
          <w:b/>
        </w:rPr>
        <w:t>d</w:t>
      </w:r>
      <w:r w:rsidRPr="007E2207">
        <w:rPr>
          <w:b/>
        </w:rPr>
        <w:t xml:space="preserve">egradantes (Protocolo de Estambul). </w:t>
      </w:r>
    </w:p>
    <w:p w14:paraId="21FEC956" w14:textId="77777777" w:rsidR="006313D2" w:rsidRDefault="00E07CA4" w:rsidP="006313D2">
      <w:pPr>
        <w:pStyle w:val="H23G"/>
      </w:pPr>
      <w:r>
        <w:rPr>
          <w:lang w:val="es-CO" w:eastAsia="en-US"/>
        </w:rPr>
        <w:tab/>
      </w:r>
      <w:r>
        <w:rPr>
          <w:lang w:val="es-CO" w:eastAsia="en-US"/>
        </w:rPr>
        <w:tab/>
      </w:r>
      <w:r w:rsidR="006313D2" w:rsidRPr="006313D2">
        <w:rPr>
          <w:lang w:val="es-CO" w:eastAsia="en-US"/>
        </w:rPr>
        <w:t xml:space="preserve">Reparaciones </w:t>
      </w:r>
      <w:r w:rsidR="006313D2" w:rsidRPr="006313D2">
        <w:rPr>
          <w:rFonts w:eastAsia="Calibri"/>
          <w:u w:color="000000"/>
          <w:bdr w:val="nil"/>
          <w:lang w:val="es-ES_tradnl" w:eastAsia="en-GB"/>
        </w:rPr>
        <w:t>integrales</w:t>
      </w:r>
    </w:p>
    <w:p w14:paraId="467EB5CB" w14:textId="77777777" w:rsidR="006313D2" w:rsidRPr="001D1DE3" w:rsidRDefault="006313D2" w:rsidP="00E07CA4">
      <w:pPr>
        <w:pStyle w:val="SingleTxtG"/>
      </w:pPr>
      <w:r w:rsidRPr="006313D2">
        <w:t>46.</w:t>
      </w:r>
      <w:r w:rsidRPr="006313D2">
        <w:tab/>
        <w:t xml:space="preserve">El Comité observa con preocupación el escaso acceso de las víctimas a reparaciones, las cuales </w:t>
      </w:r>
      <w:r w:rsidRPr="006313D2">
        <w:rPr>
          <w:lang w:val="es-CO"/>
        </w:rPr>
        <w:t xml:space="preserve">deben ser ordenadas por los tribunales. De igual modo, al Comité le preocupa la falta de un mecanismo que garantice la provisión de reparaciones integrales, entre ellas, el derecho a la rehabilitación, así como que </w:t>
      </w:r>
      <w:r w:rsidRPr="006313D2">
        <w:t>el Estado parte no haya presentado la información requerida sobre las medidas de reparación e indemnización, ordenadas por los tribunales y efectivamente proporcionadas a las víctimas de tortura, o a sus familiares desde el examen del anterior informe. Tampoco se ha presentado la información completa sobre los programas de reparación en curso, ni sobre la asignación de recursos adecuados para garantizar su funcionamiento (art. 14).</w:t>
      </w:r>
    </w:p>
    <w:p w14:paraId="06110684" w14:textId="1A0BC36B" w:rsidR="006313D2" w:rsidRPr="00E07CA4" w:rsidRDefault="006313D2" w:rsidP="00E07CA4">
      <w:pPr>
        <w:pStyle w:val="SingleTxtG"/>
        <w:rPr>
          <w:b/>
          <w:lang w:val="es-CO"/>
        </w:rPr>
      </w:pPr>
      <w:r w:rsidRPr="006313D2">
        <w:rPr>
          <w:lang w:val="es-ES_tradnl" w:eastAsia="en-US"/>
        </w:rPr>
        <w:t>47.</w:t>
      </w:r>
      <w:r w:rsidRPr="006313D2">
        <w:rPr>
          <w:lang w:val="es-ES_tradnl" w:eastAsia="en-US"/>
        </w:rPr>
        <w:tab/>
      </w:r>
      <w:r w:rsidRPr="00E07CA4">
        <w:rPr>
          <w:b/>
          <w:lang w:eastAsia="en-US"/>
        </w:rPr>
        <w:t>E</w:t>
      </w:r>
      <w:r w:rsidRPr="00E07CA4">
        <w:rPr>
          <w:b/>
          <w:lang w:val="es-ES_tradnl" w:eastAsia="en-US"/>
        </w:rPr>
        <w:t xml:space="preserve">l Comité recomienda al Estado parte adoptar las medidas necesarias para garantizar la reparación integral a las víctimas de tortura y malos tratos, incluida una indemnización justa y adecuada, y una rehabilitación completa. Se señala a la atención del Estado parte la </w:t>
      </w:r>
      <w:r w:rsidR="003F2E62">
        <w:rPr>
          <w:b/>
          <w:lang w:val="es-ES_tradnl" w:eastAsia="en-US"/>
        </w:rPr>
        <w:t>o</w:t>
      </w:r>
      <w:r w:rsidRPr="00E07CA4">
        <w:rPr>
          <w:b/>
          <w:lang w:val="es-ES_tradnl" w:eastAsia="en-US"/>
        </w:rPr>
        <w:t xml:space="preserve">bservación general </w:t>
      </w:r>
      <w:r w:rsidR="00DE1952">
        <w:rPr>
          <w:b/>
          <w:lang w:val="es-ES_tradnl" w:eastAsia="en-US"/>
        </w:rPr>
        <w:t>núm.</w:t>
      </w:r>
      <w:r w:rsidRPr="00E07CA4">
        <w:rPr>
          <w:b/>
          <w:lang w:val="es-ES_tradnl" w:eastAsia="en-US"/>
        </w:rPr>
        <w:t xml:space="preserve"> 3 (2012) del Comité sobre la aplicación del artículo 14 de la Convención</w:t>
      </w:r>
      <w:hyperlink r:id="rId16" w:history="1">
        <w:r w:rsidR="00CA7495" w:rsidRPr="00CA7495">
          <w:rPr>
            <w:rStyle w:val="Hyperlink"/>
          </w:rPr>
          <w:t>http://</w:t>
        </w:r>
        <w:proofErr w:type="spellStart"/>
        <w:r w:rsidR="00CA7495" w:rsidRPr="00CA7495">
          <w:rPr>
            <w:rStyle w:val="Hyperlink"/>
          </w:rPr>
          <w:t>undocs.org</w:t>
        </w:r>
        <w:proofErr w:type="spellEnd"/>
        <w:r w:rsidR="00CA7495" w:rsidRPr="00CA7495">
          <w:rPr>
            <w:rStyle w:val="Hyperlink"/>
          </w:rPr>
          <w:t>/es/CAT/C/</w:t>
        </w:r>
        <w:proofErr w:type="spellStart"/>
        <w:r w:rsidR="00CA7495" w:rsidRPr="00CA7495">
          <w:rPr>
            <w:rStyle w:val="Hyperlink"/>
          </w:rPr>
          <w:t>GC</w:t>
        </w:r>
        <w:proofErr w:type="spellEnd"/>
        <w:r w:rsidR="00CA7495" w:rsidRPr="00CA7495">
          <w:rPr>
            <w:rStyle w:val="Hyperlink"/>
          </w:rPr>
          <w:t>/3</w:t>
        </w:r>
      </w:hyperlink>
      <w:r w:rsidRPr="00E07CA4">
        <w:rPr>
          <w:b/>
          <w:lang w:val="es-ES_tradnl" w:eastAsia="en-US"/>
        </w:rPr>
        <w:t>.</w:t>
      </w:r>
    </w:p>
    <w:p w14:paraId="56339A4B" w14:textId="77777777" w:rsidR="006313D2" w:rsidRPr="006313D2" w:rsidRDefault="006313D2" w:rsidP="006313D2">
      <w:pPr>
        <w:pStyle w:val="H23G"/>
      </w:pPr>
      <w:r w:rsidRPr="006313D2">
        <w:tab/>
      </w:r>
      <w:r w:rsidRPr="006313D2">
        <w:tab/>
        <w:t xml:space="preserve">Procedimiento de </w:t>
      </w:r>
      <w:r w:rsidRPr="006313D2">
        <w:rPr>
          <w:rFonts w:eastAsia="Calibri"/>
          <w:u w:color="000000"/>
          <w:bdr w:val="nil"/>
          <w:lang w:val="es-ES_tradnl" w:eastAsia="en-GB"/>
        </w:rPr>
        <w:t>seguimiento</w:t>
      </w:r>
    </w:p>
    <w:p w14:paraId="14B30CC2" w14:textId="4558CCCC" w:rsidR="006313D2" w:rsidRPr="006313D2" w:rsidRDefault="006313D2" w:rsidP="00E07CA4">
      <w:pPr>
        <w:pStyle w:val="SingleTxtG"/>
        <w:rPr>
          <w:lang w:val="es-ES_tradnl" w:eastAsia="en-US"/>
        </w:rPr>
      </w:pPr>
      <w:r w:rsidRPr="006313D2">
        <w:t>48.</w:t>
      </w:r>
      <w:r w:rsidRPr="006313D2">
        <w:tab/>
      </w:r>
      <w:r w:rsidRPr="00E07CA4">
        <w:rPr>
          <w:b/>
        </w:rPr>
        <w:t>El Comité solicita al Estado parte que proporcione, a más tardar el 3 de diciembre de 2022, información sobre el seguimiento dado a las recomendaciones del Comité de i</w:t>
      </w:r>
      <w:r w:rsidRPr="00E07CA4">
        <w:rPr>
          <w:rFonts w:eastAsia="Arial"/>
          <w:b/>
        </w:rPr>
        <w:t xml:space="preserve">nvestigar de modo pronto, independiente, efectivo y exhaustivo, juzgar y, en su caso, sancionar a los responsables de actos de tortura, malos tratos y uso excesivo de la fuerza ocurridos durante la crisis de 2019-2020, asegurar una reparación integral para las víctimas y </w:t>
      </w:r>
      <w:r w:rsidRPr="00E07CA4">
        <w:rPr>
          <w:rFonts w:eastAsia="Calibri"/>
          <w:b/>
          <w:u w:color="000000"/>
          <w:bdr w:val="nil"/>
          <w:lang w:val="es-ES_tradnl" w:eastAsia="en-GB"/>
        </w:rPr>
        <w:t xml:space="preserve">establecer un mecanismo de seguimiento a </w:t>
      </w:r>
      <w:r w:rsidRPr="00E07CA4">
        <w:rPr>
          <w:b/>
        </w:rPr>
        <w:t xml:space="preserve">las recomendaciones del </w:t>
      </w:r>
      <w:r w:rsidRPr="00E07CA4">
        <w:rPr>
          <w:b/>
          <w:shd w:val="clear" w:color="auto" w:fill="FCFDFD"/>
        </w:rPr>
        <w:t>Grupo Interdisciplinario de Expertos Independientes</w:t>
      </w:r>
      <w:r w:rsidRPr="00E07CA4">
        <w:rPr>
          <w:b/>
        </w:rPr>
        <w:t xml:space="preserve">; realizar una reforma urgente del sistema de justicia </w:t>
      </w:r>
      <w:r w:rsidRPr="00E07CA4">
        <w:rPr>
          <w:rFonts w:eastAsia="Calibri"/>
          <w:b/>
          <w:lang w:val="es-419" w:eastAsia="en-US"/>
        </w:rPr>
        <w:t xml:space="preserve">a fin de garantizar su independencia </w:t>
      </w:r>
      <w:r w:rsidRPr="00E07CA4">
        <w:rPr>
          <w:b/>
        </w:rPr>
        <w:t>y el respeto al debido proceso;</w:t>
      </w:r>
      <w:r w:rsidRPr="00E07CA4">
        <w:rPr>
          <w:b/>
          <w:lang w:val="es-ES_tradnl" w:eastAsia="en-US"/>
        </w:rPr>
        <w:t xml:space="preserve"> d</w:t>
      </w:r>
      <w:r w:rsidRPr="00E07CA4">
        <w:rPr>
          <w:b/>
          <w:lang w:val="es-CO"/>
        </w:rPr>
        <w:t>erogar el delito de estupro</w:t>
      </w:r>
      <w:r w:rsidR="00DE1952">
        <w:rPr>
          <w:b/>
          <w:lang w:val="es-CO"/>
        </w:rPr>
        <w:t>,</w:t>
      </w:r>
      <w:r w:rsidRPr="00E07CA4">
        <w:rPr>
          <w:b/>
          <w:lang w:val="es-CO"/>
        </w:rPr>
        <w:t xml:space="preserve"> </w:t>
      </w:r>
      <w:r w:rsidRPr="00E07CA4">
        <w:rPr>
          <w:b/>
        </w:rPr>
        <w:t xml:space="preserve">y activar el </w:t>
      </w:r>
      <w:r w:rsidRPr="00E07CA4">
        <w:rPr>
          <w:rFonts w:eastAsia="Calibri"/>
          <w:b/>
          <w:u w:color="000000"/>
          <w:bdr w:val="nil"/>
          <w:lang w:val="es-ES_tradnl" w:eastAsia="en-GB"/>
        </w:rPr>
        <w:t>Consejo Plurinacional de Derechos Humanos</w:t>
      </w:r>
      <w:r w:rsidRPr="00E07CA4">
        <w:rPr>
          <w:b/>
        </w:rPr>
        <w:t xml:space="preserve"> (véanse los </w:t>
      </w:r>
      <w:proofErr w:type="spellStart"/>
      <w:r w:rsidRPr="00E07CA4">
        <w:rPr>
          <w:b/>
        </w:rPr>
        <w:t>párrs</w:t>
      </w:r>
      <w:proofErr w:type="spellEnd"/>
      <w:r w:rsidRPr="00E07CA4">
        <w:rPr>
          <w:b/>
        </w:rPr>
        <w:t>. 19 a) y b), 23 c), 31 a) y 43 c) de las presentes observaciones finales). En ese contexto, se invita al Estado parte a que informe al Comité sobre sus planes para aplicar, durante el período correspondiente al siguiente informe, algunas de las demás recomendaciones formuladas en las observaciones finales o todas ellas.</w:t>
      </w:r>
    </w:p>
    <w:p w14:paraId="33FD3C54" w14:textId="77777777" w:rsidR="006313D2" w:rsidRPr="006313D2" w:rsidRDefault="006313D2" w:rsidP="006313D2">
      <w:pPr>
        <w:pStyle w:val="H23G"/>
      </w:pPr>
      <w:r w:rsidRPr="006313D2">
        <w:tab/>
      </w:r>
      <w:r w:rsidRPr="006313D2">
        <w:tab/>
        <w:t xml:space="preserve">Otras </w:t>
      </w:r>
      <w:r w:rsidRPr="006313D2">
        <w:rPr>
          <w:rFonts w:eastAsia="Calibri"/>
          <w:u w:color="000000"/>
          <w:bdr w:val="nil"/>
          <w:lang w:val="es-ES_tradnl" w:eastAsia="en-GB"/>
        </w:rPr>
        <w:t>cuestiones</w:t>
      </w:r>
    </w:p>
    <w:p w14:paraId="150031CB" w14:textId="77777777" w:rsidR="006313D2" w:rsidRPr="006313D2" w:rsidRDefault="006313D2" w:rsidP="00E07CA4">
      <w:pPr>
        <w:pStyle w:val="SingleTxtG"/>
      </w:pPr>
      <w:r w:rsidRPr="006313D2">
        <w:t>49.</w:t>
      </w:r>
      <w:r w:rsidRPr="006313D2">
        <w:tab/>
      </w:r>
      <w:r w:rsidRPr="00E07CA4">
        <w:rPr>
          <w:b/>
        </w:rPr>
        <w:t xml:space="preserve">Se solicita al Estado parte que dé amplia difusión al informe presentado al Comité y estas observaciones finales, en los idiomas pertinentes, a través de los sitios web oficiales, los medios de difusión y las organizaciones no gubernamentales, </w:t>
      </w:r>
      <w:bookmarkStart w:id="0" w:name="_Hlk90374576"/>
      <w:r w:rsidRPr="00E07CA4">
        <w:rPr>
          <w:b/>
        </w:rPr>
        <w:t>e informe al Comité sobre sus actividades de difusión</w:t>
      </w:r>
      <w:bookmarkEnd w:id="0"/>
      <w:r w:rsidRPr="00E07CA4">
        <w:rPr>
          <w:b/>
        </w:rPr>
        <w:t>.</w:t>
      </w:r>
    </w:p>
    <w:p w14:paraId="4382F2F7" w14:textId="15314CAE" w:rsidR="006313D2" w:rsidRDefault="006313D2" w:rsidP="00E07CA4">
      <w:pPr>
        <w:pStyle w:val="SingleTxtG"/>
      </w:pPr>
      <w:r w:rsidRPr="006313D2">
        <w:t>50.</w:t>
      </w:r>
      <w:r w:rsidRPr="006313D2">
        <w:tab/>
      </w:r>
      <w:r w:rsidRPr="00E07CA4">
        <w:rPr>
          <w:b/>
        </w:rPr>
        <w:t xml:space="preserve">El Comité solicita al Estado parte que presente su próximo informe periódico, que será el cuarto, a más tardar el 3 de diciembre de 2025. Con </w:t>
      </w:r>
      <w:r w:rsidR="00C10C1F">
        <w:rPr>
          <w:b/>
        </w:rPr>
        <w:t>ese</w:t>
      </w:r>
      <w:r w:rsidR="00C10C1F" w:rsidRPr="00E07CA4">
        <w:rPr>
          <w:b/>
        </w:rPr>
        <w:t xml:space="preserve"> </w:t>
      </w:r>
      <w:r w:rsidR="00C10C1F">
        <w:rPr>
          <w:b/>
        </w:rPr>
        <w:t>propósito</w:t>
      </w:r>
      <w:r w:rsidRPr="00E07CA4">
        <w:rPr>
          <w:b/>
        </w:rPr>
        <w:t xml:space="preserve">, el Comité invita al Estado parte a que </w:t>
      </w:r>
      <w:r w:rsidR="00C10C1F">
        <w:rPr>
          <w:b/>
        </w:rPr>
        <w:t>acepte</w:t>
      </w:r>
      <w:r w:rsidRPr="00E07CA4">
        <w:rPr>
          <w:b/>
        </w:rPr>
        <w:t xml:space="preserve">, a más tardar el 3 de diciembre de 2023, </w:t>
      </w:r>
      <w:r w:rsidR="00C10C1F">
        <w:rPr>
          <w:b/>
        </w:rPr>
        <w:t xml:space="preserve">el procedimiento simplificado de presentación de informes, que consiste en la transmisión por el </w:t>
      </w:r>
      <w:r w:rsidRPr="00E07CA4">
        <w:rPr>
          <w:b/>
        </w:rPr>
        <w:t xml:space="preserve">Comité al Estado parte </w:t>
      </w:r>
      <w:r w:rsidR="00C10C1F">
        <w:rPr>
          <w:b/>
        </w:rPr>
        <w:t xml:space="preserve">de </w:t>
      </w:r>
      <w:r w:rsidRPr="00E07CA4">
        <w:rPr>
          <w:b/>
        </w:rPr>
        <w:t>una lista de cuestiones previa a la presentación del informe. La</w:t>
      </w:r>
      <w:r w:rsidR="00C10C1F">
        <w:rPr>
          <w:b/>
        </w:rPr>
        <w:t>s</w:t>
      </w:r>
      <w:r w:rsidRPr="00E07CA4">
        <w:rPr>
          <w:b/>
        </w:rPr>
        <w:t xml:space="preserve"> respuesta</w:t>
      </w:r>
      <w:r w:rsidR="00C10C1F">
        <w:rPr>
          <w:b/>
        </w:rPr>
        <w:t>s</w:t>
      </w:r>
      <w:r w:rsidRPr="00E07CA4">
        <w:rPr>
          <w:b/>
        </w:rPr>
        <w:t xml:space="preserve"> del Estado parte a esa lista de cuestiones constituirá</w:t>
      </w:r>
      <w:r w:rsidR="00C10C1F">
        <w:rPr>
          <w:b/>
        </w:rPr>
        <w:t>n</w:t>
      </w:r>
      <w:r w:rsidRPr="00E07CA4">
        <w:rPr>
          <w:b/>
        </w:rPr>
        <w:t xml:space="preserve"> su cuarto informe periódico en virtud del artículo 19 de la Convención.</w:t>
      </w:r>
    </w:p>
    <w:p w14:paraId="11AFCCBE" w14:textId="77777777" w:rsidR="00381C24" w:rsidRPr="00E07CA4" w:rsidRDefault="00E07CA4" w:rsidP="00E07CA4">
      <w:pPr>
        <w:pStyle w:val="SingleTxtG"/>
        <w:suppressAutoHyphens/>
        <w:spacing w:before="240" w:after="0"/>
        <w:jc w:val="center"/>
        <w:rPr>
          <w:u w:val="single"/>
        </w:rPr>
      </w:pPr>
      <w:r>
        <w:rPr>
          <w:u w:val="single"/>
        </w:rPr>
        <w:tab/>
      </w:r>
      <w:r>
        <w:rPr>
          <w:u w:val="single"/>
        </w:rPr>
        <w:tab/>
      </w:r>
      <w:r>
        <w:rPr>
          <w:u w:val="single"/>
        </w:rPr>
        <w:tab/>
      </w:r>
    </w:p>
    <w:sectPr w:rsidR="00381C24" w:rsidRPr="00E07CA4" w:rsidSect="00E56EE3">
      <w:headerReference w:type="even" r:id="rId17"/>
      <w:headerReference w:type="default" r:id="rId18"/>
      <w:footerReference w:type="even" r:id="rId19"/>
      <w:footerReference w:type="default" r:id="rId20"/>
      <w:headerReference w:type="first" r:id="rId21"/>
      <w:footerReference w:type="first" r:id="rId22"/>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4F9CC0" w14:textId="77777777" w:rsidR="000C0E07" w:rsidRDefault="000C0E07">
      <w:pPr>
        <w:spacing w:line="240" w:lineRule="auto"/>
      </w:pPr>
      <w:r>
        <w:separator/>
      </w:r>
    </w:p>
  </w:endnote>
  <w:endnote w:type="continuationSeparator" w:id="0">
    <w:p w14:paraId="2D4768FE" w14:textId="77777777" w:rsidR="000C0E07" w:rsidRDefault="000C0E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Libre Baskerville">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801251" w14:textId="0A0456E9" w:rsidR="000C0E07" w:rsidRPr="001A4396" w:rsidRDefault="000C0E07" w:rsidP="00D61E3C">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F22142">
      <w:rPr>
        <w:b/>
        <w:noProof/>
        <w:sz w:val="18"/>
      </w:rPr>
      <w:t>12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E9954" w14:textId="49D3CA9F" w:rsidR="000C0E07" w:rsidRPr="001A4396" w:rsidRDefault="000C0E07" w:rsidP="00D61E3C">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F22142">
      <w:rPr>
        <w:b/>
        <w:noProof/>
        <w:sz w:val="18"/>
      </w:rPr>
      <w:t>13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508E91" w14:textId="4A59CE23" w:rsidR="000C0E07" w:rsidRPr="002A02C6" w:rsidRDefault="00864197" w:rsidP="006C01AB">
    <w:pPr>
      <w:pStyle w:val="Footer"/>
      <w:tabs>
        <w:tab w:val="left" w:pos="6520"/>
        <w:tab w:val="right" w:pos="9638"/>
      </w:tabs>
    </w:pPr>
    <w:r>
      <w:rPr>
        <w:noProof/>
        <w:sz w:val="20"/>
        <w:lang w:val="fr-FR" w:eastAsia="fr-FR"/>
      </w:rPr>
      <w:t>GE.21-19758  (S)</w:t>
    </w:r>
    <w:bookmarkStart w:id="1" w:name="_GoBack"/>
    <w:bookmarkEnd w:id="1"/>
    <w:r>
      <w:tab/>
    </w:r>
    <w:r>
      <w:rPr>
        <w:noProof/>
        <w:lang w:val="fr-CH" w:eastAsia="zh-CN"/>
      </w:rPr>
      <w:drawing>
        <wp:inline distT="0" distB="0" distL="0" distR="0" wp14:anchorId="6D35331F" wp14:editId="2CF72712">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tab/>
    </w:r>
    <w:r>
      <w:rPr>
        <w:noProof/>
      </w:rPr>
      <w:drawing>
        <wp:inline distT="0" distB="0" distL="0" distR="0" wp14:anchorId="0CA2ED38" wp14:editId="7A1BA9DB">
          <wp:extent cx="562610" cy="562610"/>
          <wp:effectExtent l="0"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F22DCA" w14:textId="1F577D10" w:rsidR="00717918" w:rsidRDefault="00C96C38" w:rsidP="001D1DE3">
      <w:pPr>
        <w:tabs>
          <w:tab w:val="right" w:pos="2155"/>
        </w:tabs>
        <w:spacing w:after="80" w:line="240" w:lineRule="auto"/>
        <w:ind w:left="680"/>
      </w:pPr>
      <w:r>
        <w:rPr>
          <w:u w:val="single"/>
        </w:rPr>
        <w:tab/>
      </w:r>
    </w:p>
  </w:footnote>
  <w:footnote w:type="continuationSeparator" w:id="0">
    <w:p w14:paraId="5E7E1FF2" w14:textId="77777777" w:rsidR="000C0E07" w:rsidRDefault="000C0E07">
      <w:pPr>
        <w:spacing w:line="240" w:lineRule="auto"/>
      </w:pPr>
      <w:r>
        <w:continuationSeparator/>
      </w:r>
    </w:p>
  </w:footnote>
  <w:footnote w:id="1">
    <w:p w14:paraId="37497A72" w14:textId="77777777" w:rsidR="00D87D54" w:rsidRPr="001D1DE3" w:rsidRDefault="00D87D54" w:rsidP="00C96C38">
      <w:pPr>
        <w:pStyle w:val="FootnoteText"/>
      </w:pPr>
      <w:r>
        <w:rPr>
          <w:rStyle w:val="FootnoteReference"/>
        </w:rPr>
        <w:tab/>
      </w:r>
      <w:r w:rsidRPr="00F9725D">
        <w:rPr>
          <w:rStyle w:val="FootnoteReference"/>
          <w:sz w:val="20"/>
          <w:vertAlign w:val="baseline"/>
        </w:rPr>
        <w:t>*</w:t>
      </w:r>
      <w:r>
        <w:rPr>
          <w:rStyle w:val="FootnoteReference"/>
          <w:sz w:val="20"/>
          <w:vertAlign w:val="baseline"/>
        </w:rPr>
        <w:tab/>
      </w:r>
      <w:r w:rsidRPr="0053535E">
        <w:t xml:space="preserve">Aprobadas por el Comité en su </w:t>
      </w:r>
      <w:r w:rsidRPr="000C2CD0">
        <w:t>72ᵒ período de sesiones</w:t>
      </w:r>
      <w:r w:rsidRPr="0053535E">
        <w:t xml:space="preserve"> (</w:t>
      </w:r>
      <w:r w:rsidRPr="000C2CD0">
        <w:t>8 de noviembre a 3 de diciembre 2021</w:t>
      </w:r>
      <w:r w:rsidRPr="0053535E">
        <w:t>).</w:t>
      </w:r>
    </w:p>
  </w:footnote>
  <w:footnote w:id="2">
    <w:p w14:paraId="3560E319" w14:textId="5054AB40" w:rsidR="00D87D54" w:rsidRDefault="00D87D54" w:rsidP="00C96C38">
      <w:pPr>
        <w:pStyle w:val="FootnoteText"/>
      </w:pPr>
      <w:r>
        <w:tab/>
      </w:r>
      <w:r w:rsidRPr="00C96C38">
        <w:rPr>
          <w:rStyle w:val="FootnoteReference"/>
        </w:rPr>
        <w:footnoteRef/>
      </w:r>
      <w:r w:rsidR="00EF08A3">
        <w:tab/>
      </w:r>
      <w:r w:rsidR="00CA7495">
        <w:fldChar w:fldCharType="begin"/>
      </w:r>
      <w:r w:rsidR="00CA7495">
        <w:instrText xml:space="preserve"> HYPERLINK "http://undocs.org/es/CAT/C/BOL/3" </w:instrText>
      </w:r>
      <w:r w:rsidR="00CA7495">
        <w:fldChar w:fldCharType="separate"/>
      </w:r>
      <w:r w:rsidRPr="00184A96">
        <w:rPr>
          <w:rStyle w:val="Hyperlink"/>
        </w:rPr>
        <w:t>CAT/C/BOL/3</w:t>
      </w:r>
      <w:r w:rsidR="00CA7495">
        <w:rPr>
          <w:rStyle w:val="Hyperlink"/>
        </w:rPr>
        <w:fldChar w:fldCharType="end"/>
      </w:r>
      <w:r>
        <w:t>.</w:t>
      </w:r>
    </w:p>
  </w:footnote>
  <w:footnote w:id="3">
    <w:p w14:paraId="601559A3" w14:textId="6F29E5DF" w:rsidR="00D87D54" w:rsidRDefault="00D87D54" w:rsidP="00C96C38">
      <w:pPr>
        <w:pStyle w:val="FootnoteText"/>
      </w:pPr>
      <w:r>
        <w:tab/>
      </w:r>
      <w:r w:rsidRPr="00C96C38">
        <w:rPr>
          <w:rStyle w:val="FootnoteReference"/>
        </w:rPr>
        <w:footnoteRef/>
      </w:r>
      <w:r w:rsidR="00C96C38">
        <w:tab/>
      </w:r>
      <w:r>
        <w:t xml:space="preserve">Véanse </w:t>
      </w:r>
      <w:r w:rsidR="00CA7495">
        <w:fldChar w:fldCharType="begin"/>
      </w:r>
      <w:r w:rsidR="00CA7495">
        <w:instrText xml:space="preserve"> HYPERLINK "http://undocs.org/es/CAT/C/SR.1867" </w:instrText>
      </w:r>
      <w:r w:rsidR="00CA7495">
        <w:fldChar w:fldCharType="separate"/>
      </w:r>
      <w:r w:rsidRPr="00184A96">
        <w:rPr>
          <w:rStyle w:val="Hyperlink"/>
        </w:rPr>
        <w:t>CAT/C/SR.1867</w:t>
      </w:r>
      <w:r w:rsidR="00CA7495">
        <w:rPr>
          <w:rStyle w:val="Hyperlink"/>
        </w:rPr>
        <w:fldChar w:fldCharType="end"/>
      </w:r>
      <w:r w:rsidRPr="00A10D2A">
        <w:t xml:space="preserve"> y </w:t>
      </w:r>
      <w:r w:rsidR="00CA7495">
        <w:fldChar w:fldCharType="begin"/>
      </w:r>
      <w:r w:rsidR="00CA7495">
        <w:instrText xml:space="preserve"> HYPERLINK "https://undocs.org/es/CAT/C/SR.1869" </w:instrText>
      </w:r>
      <w:r w:rsidR="00CA7495">
        <w:fldChar w:fldCharType="separate"/>
      </w:r>
      <w:r w:rsidRPr="00D7790E">
        <w:rPr>
          <w:rStyle w:val="Hyperlink"/>
        </w:rPr>
        <w:t>1869</w:t>
      </w:r>
      <w:r w:rsidR="00CA7495">
        <w:rPr>
          <w:rStyle w:val="Hyperlink"/>
        </w:rPr>
        <w:fldChar w:fldCharType="end"/>
      </w:r>
      <w:r>
        <w:t>.</w:t>
      </w:r>
    </w:p>
  </w:footnote>
  <w:footnote w:id="4">
    <w:p w14:paraId="748ED553" w14:textId="35649506" w:rsidR="00D87D54" w:rsidRPr="00F22142" w:rsidRDefault="00D87D54" w:rsidP="00C96C38">
      <w:pPr>
        <w:pStyle w:val="FootnoteText"/>
        <w:rPr>
          <w:lang w:val="en-GB"/>
        </w:rPr>
      </w:pPr>
      <w:r>
        <w:tab/>
      </w:r>
      <w:r w:rsidRPr="00C96C38">
        <w:rPr>
          <w:rStyle w:val="FootnoteReference"/>
        </w:rPr>
        <w:footnoteRef/>
      </w:r>
      <w:r w:rsidR="00C96C38" w:rsidRPr="00F22142">
        <w:rPr>
          <w:lang w:val="en-GB"/>
        </w:rPr>
        <w:tab/>
      </w:r>
      <w:r w:rsidR="00CA7495">
        <w:fldChar w:fldCharType="begin"/>
      </w:r>
      <w:r w:rsidR="00CA7495">
        <w:instrText xml:space="preserve"> HYPERLINK "http://undocs.org/es/CAT/C/14/Rev.1" </w:instrText>
      </w:r>
      <w:r w:rsidR="00CA7495">
        <w:fldChar w:fldCharType="separate"/>
      </w:r>
      <w:r w:rsidRPr="00F22142">
        <w:rPr>
          <w:rStyle w:val="Hyperlink"/>
          <w:lang w:val="en-GB"/>
        </w:rPr>
        <w:t>CAT/C/14/Rev.1</w:t>
      </w:r>
      <w:r w:rsidR="00CA7495">
        <w:rPr>
          <w:rStyle w:val="Hyperlink"/>
          <w:lang w:val="en-GB"/>
        </w:rPr>
        <w:fldChar w:fldCharType="end"/>
      </w:r>
      <w:r w:rsidRPr="00F22142">
        <w:rPr>
          <w:lang w:val="en-GB" w:eastAsia="en-US"/>
        </w:rPr>
        <w:t>.</w:t>
      </w:r>
    </w:p>
  </w:footnote>
  <w:footnote w:id="5">
    <w:p w14:paraId="251BA2DF" w14:textId="6EB5C824" w:rsidR="00D87D54" w:rsidRPr="00F22142" w:rsidRDefault="00D87D54" w:rsidP="00C96C38">
      <w:pPr>
        <w:pStyle w:val="FootnoteText"/>
        <w:rPr>
          <w:lang w:val="en-GB"/>
        </w:rPr>
      </w:pPr>
      <w:r w:rsidRPr="00F22142">
        <w:rPr>
          <w:lang w:val="en-GB"/>
        </w:rPr>
        <w:tab/>
      </w:r>
      <w:r w:rsidRPr="00C96C38">
        <w:rPr>
          <w:rStyle w:val="FootnoteReference"/>
        </w:rPr>
        <w:footnoteRef/>
      </w:r>
      <w:r w:rsidR="00C96C38" w:rsidRPr="00F22142">
        <w:rPr>
          <w:lang w:val="en-GB"/>
        </w:rPr>
        <w:tab/>
      </w:r>
      <w:r w:rsidR="00CA7495">
        <w:fldChar w:fldCharType="begin"/>
      </w:r>
      <w:r w:rsidR="00CA7495">
        <w:instrText xml:space="preserve"> HYPERLINK "http://undocs.org/es/CAT/C/BOL/RQ/3" </w:instrText>
      </w:r>
      <w:r w:rsidR="00CA7495">
        <w:fldChar w:fldCharType="separate"/>
      </w:r>
      <w:r w:rsidRPr="00F22142">
        <w:rPr>
          <w:rStyle w:val="Hyperlink"/>
          <w:lang w:val="en-GB"/>
        </w:rPr>
        <w:t>CAT/C/BOL/RQ/3</w:t>
      </w:r>
      <w:r w:rsidR="00CA7495">
        <w:rPr>
          <w:rStyle w:val="Hyperlink"/>
          <w:lang w:val="en-GB"/>
        </w:rPr>
        <w:fldChar w:fldCharType="end"/>
      </w:r>
      <w:r w:rsidRPr="00F22142">
        <w:rPr>
          <w:lang w:val="en-GB"/>
        </w:rPr>
        <w:t>.</w:t>
      </w:r>
    </w:p>
  </w:footnote>
  <w:footnote w:id="6">
    <w:p w14:paraId="53B7ED21" w14:textId="4ECBF96D" w:rsidR="00D87D54" w:rsidRPr="00F22142" w:rsidRDefault="00D87D54" w:rsidP="00C96C38">
      <w:pPr>
        <w:pStyle w:val="FootnoteText"/>
        <w:rPr>
          <w:lang w:val="en-GB"/>
        </w:rPr>
      </w:pPr>
      <w:r w:rsidRPr="00F22142">
        <w:rPr>
          <w:lang w:val="en-GB"/>
        </w:rPr>
        <w:tab/>
      </w:r>
      <w:r w:rsidRPr="00C96C38">
        <w:rPr>
          <w:rStyle w:val="FootnoteReference"/>
        </w:rPr>
        <w:footnoteRef/>
      </w:r>
      <w:r w:rsidR="00C96C38" w:rsidRPr="00F22142">
        <w:rPr>
          <w:lang w:val="en-GB"/>
        </w:rPr>
        <w:tab/>
      </w:r>
      <w:r w:rsidR="00CA7495">
        <w:fldChar w:fldCharType="begin"/>
      </w:r>
      <w:r w:rsidR="00CA7495">
        <w:instrText xml:space="preserve"> HYPERLINK "http://undocs.org/es/CAT/C/BOL/Q/3" </w:instrText>
      </w:r>
      <w:r w:rsidR="00CA7495">
        <w:fldChar w:fldCharType="separate"/>
      </w:r>
      <w:r w:rsidRPr="00F22142">
        <w:rPr>
          <w:rStyle w:val="Hyperlink"/>
          <w:lang w:val="en-GB"/>
        </w:rPr>
        <w:t>CAT/C/BOL/Q/3</w:t>
      </w:r>
      <w:r w:rsidR="00CA7495">
        <w:rPr>
          <w:rStyle w:val="Hyperlink"/>
          <w:lang w:val="en-GB"/>
        </w:rPr>
        <w:fldChar w:fldCharType="end"/>
      </w:r>
      <w:r w:rsidRPr="00F22142">
        <w:rPr>
          <w:lang w:val="en-GB"/>
        </w:rPr>
        <w:t>.</w:t>
      </w:r>
    </w:p>
  </w:footnote>
  <w:footnote w:id="7">
    <w:p w14:paraId="44D8BC2E" w14:textId="022C9741" w:rsidR="00D87D54" w:rsidRPr="00F22142" w:rsidRDefault="00C96C38" w:rsidP="00C96C38">
      <w:pPr>
        <w:pStyle w:val="FootnoteText"/>
        <w:rPr>
          <w:lang w:val="en-GB"/>
        </w:rPr>
      </w:pPr>
      <w:r w:rsidRPr="00F22142">
        <w:rPr>
          <w:lang w:val="en-GB"/>
        </w:rPr>
        <w:tab/>
      </w:r>
      <w:r w:rsidR="00D87D54" w:rsidRPr="00C96C38">
        <w:rPr>
          <w:rStyle w:val="FootnoteReference"/>
        </w:rPr>
        <w:footnoteRef/>
      </w:r>
      <w:r w:rsidRPr="00F22142">
        <w:rPr>
          <w:lang w:val="en-GB"/>
        </w:rPr>
        <w:tab/>
      </w:r>
      <w:r w:rsidR="00CA7495">
        <w:fldChar w:fldCharType="begin"/>
      </w:r>
      <w:r w:rsidR="00CA7495">
        <w:instrText xml:space="preserve"> HYPERLINK "http://undocs.org/es/CAT/OP/BOL/3" </w:instrText>
      </w:r>
      <w:r w:rsidR="00CA7495">
        <w:fldChar w:fldCharType="separate"/>
      </w:r>
      <w:r w:rsidR="00D87D54" w:rsidRPr="00F22142">
        <w:rPr>
          <w:rStyle w:val="Hyperlink"/>
          <w:lang w:val="en-GB"/>
        </w:rPr>
        <w:t>CAT/OP/BOL/3</w:t>
      </w:r>
      <w:r w:rsidR="00CA7495">
        <w:rPr>
          <w:rStyle w:val="Hyperlink"/>
          <w:lang w:val="en-GB"/>
        </w:rPr>
        <w:fldChar w:fldCharType="end"/>
      </w:r>
      <w:r w:rsidR="00D87D54" w:rsidRPr="00F22142">
        <w:rPr>
          <w:lang w:val="en-GB"/>
        </w:rPr>
        <w:t>.</w:t>
      </w:r>
    </w:p>
  </w:footnote>
  <w:footnote w:id="8">
    <w:p w14:paraId="363FF52C" w14:textId="03B34520" w:rsidR="00D87D54" w:rsidRPr="001D1DE3" w:rsidRDefault="00C96C38" w:rsidP="00C96C38">
      <w:pPr>
        <w:pStyle w:val="FootnoteText"/>
        <w:rPr>
          <w:lang w:val="en-US"/>
        </w:rPr>
      </w:pPr>
      <w:r w:rsidRPr="00F22142">
        <w:rPr>
          <w:lang w:val="en-GB"/>
        </w:rPr>
        <w:tab/>
      </w:r>
      <w:r w:rsidR="00D87D54" w:rsidRPr="00C96C38">
        <w:rPr>
          <w:rStyle w:val="FootnoteReference"/>
        </w:rPr>
        <w:footnoteRef/>
      </w:r>
      <w:r>
        <w:rPr>
          <w:lang w:val="en-US"/>
        </w:rPr>
        <w:tab/>
      </w:r>
      <w:r w:rsidR="00CA7495">
        <w:fldChar w:fldCharType="begin"/>
      </w:r>
      <w:r w:rsidR="00CA7495">
        <w:instrText xml:space="preserve"> HYPERLINK "http://undocs.org/es/CAT/OP/BOL/3/Add</w:instrText>
      </w:r>
      <w:r w:rsidR="00CA7495">
        <w:instrText xml:space="preserve">.1" </w:instrText>
      </w:r>
      <w:r w:rsidR="00CA7495">
        <w:fldChar w:fldCharType="separate"/>
      </w:r>
      <w:r w:rsidR="00D87D54" w:rsidRPr="001D1DE3">
        <w:rPr>
          <w:rStyle w:val="Hyperlink"/>
          <w:lang w:val="en-US"/>
        </w:rPr>
        <w:t>CAT/OP/BOL/3/Add.1</w:t>
      </w:r>
      <w:r w:rsidR="00CA7495">
        <w:rPr>
          <w:rStyle w:val="Hyperlink"/>
          <w:lang w:val="en-US"/>
        </w:rPr>
        <w:fldChar w:fldCharType="end"/>
      </w:r>
      <w:r w:rsidR="00D87D54" w:rsidRPr="001D1DE3">
        <w:rPr>
          <w:lang w:val="en-US"/>
        </w:rPr>
        <w:t>.</w:t>
      </w:r>
    </w:p>
  </w:footnote>
  <w:footnote w:id="9">
    <w:p w14:paraId="4DF3D382" w14:textId="0F6F8C0F" w:rsidR="00D87D54" w:rsidRPr="001D1DE3" w:rsidRDefault="00C96C38" w:rsidP="00C96C38">
      <w:pPr>
        <w:pStyle w:val="FootnoteText"/>
        <w:rPr>
          <w:lang w:val="en-US"/>
        </w:rPr>
      </w:pPr>
      <w:r>
        <w:rPr>
          <w:lang w:val="en-US"/>
        </w:rPr>
        <w:tab/>
      </w:r>
      <w:r w:rsidR="00D87D54" w:rsidRPr="00C96C38">
        <w:rPr>
          <w:rStyle w:val="FootnoteReference"/>
        </w:rPr>
        <w:footnoteRef/>
      </w:r>
      <w:r>
        <w:rPr>
          <w:lang w:val="en-US"/>
        </w:rPr>
        <w:tab/>
      </w:r>
      <w:r w:rsidR="00CA7495">
        <w:fldChar w:fldCharType="begin"/>
      </w:r>
      <w:r w:rsidR="00CA7495">
        <w:instrText xml:space="preserve"> HYPERLINK "http://undocs.org/es/CAT/C/BOL/CO/2" </w:instrText>
      </w:r>
      <w:r w:rsidR="00CA7495">
        <w:fldChar w:fldCharType="separate"/>
      </w:r>
      <w:r w:rsidR="00D87D54" w:rsidRPr="001D1DE3">
        <w:rPr>
          <w:rStyle w:val="Hyperlink"/>
          <w:lang w:val="en-US"/>
        </w:rPr>
        <w:t>CAT/C/BOL/CO/2</w:t>
      </w:r>
      <w:r w:rsidR="00CA7495">
        <w:rPr>
          <w:rStyle w:val="Hyperlink"/>
          <w:lang w:val="en-US"/>
        </w:rPr>
        <w:fldChar w:fldCharType="end"/>
      </w:r>
      <w:r w:rsidR="00D87D54" w:rsidRPr="001D1DE3">
        <w:rPr>
          <w:lang w:val="en-US"/>
        </w:rPr>
        <w:t xml:space="preserve">, </w:t>
      </w:r>
      <w:proofErr w:type="spellStart"/>
      <w:r w:rsidR="00D87D54" w:rsidRPr="001D1DE3">
        <w:rPr>
          <w:lang w:val="en-US"/>
        </w:rPr>
        <w:t>párr</w:t>
      </w:r>
      <w:proofErr w:type="spellEnd"/>
      <w:r w:rsidR="00D87D54" w:rsidRPr="001D1DE3">
        <w:rPr>
          <w:lang w:val="en-US"/>
        </w:rPr>
        <w:t>. 27.</w:t>
      </w:r>
    </w:p>
  </w:footnote>
  <w:footnote w:id="10">
    <w:p w14:paraId="28992CB5" w14:textId="455CE518" w:rsidR="00D87D54" w:rsidRPr="001D1DE3" w:rsidRDefault="00C96C38" w:rsidP="00C96C38">
      <w:pPr>
        <w:pStyle w:val="FootnoteText"/>
        <w:rPr>
          <w:lang w:val="en-US"/>
        </w:rPr>
      </w:pPr>
      <w:r>
        <w:rPr>
          <w:lang w:val="en-US"/>
        </w:rPr>
        <w:tab/>
      </w:r>
      <w:r w:rsidR="00D87D54" w:rsidRPr="00C96C38">
        <w:rPr>
          <w:rStyle w:val="FootnoteReference"/>
        </w:rPr>
        <w:footnoteRef/>
      </w:r>
      <w:r>
        <w:rPr>
          <w:lang w:val="en-US"/>
        </w:rPr>
        <w:tab/>
      </w:r>
      <w:r w:rsidR="00CA7495">
        <w:fldChar w:fldCharType="begin"/>
      </w:r>
      <w:r w:rsidR="00CA7495">
        <w:instrText xml:space="preserve"> HYPERLINK "http://undocs.org/es/CAT/C/BOL/CO/2" </w:instrText>
      </w:r>
      <w:r w:rsidR="00CA7495">
        <w:fldChar w:fldCharType="separate"/>
      </w:r>
      <w:r w:rsidR="00D87D54" w:rsidRPr="00184A96">
        <w:rPr>
          <w:rStyle w:val="Hyperlink"/>
          <w:lang w:val="en-US"/>
        </w:rPr>
        <w:t>CAT/C/BOL/CO/2</w:t>
      </w:r>
      <w:r w:rsidR="00CA7495">
        <w:rPr>
          <w:rStyle w:val="Hyperlink"/>
          <w:lang w:val="en-US"/>
        </w:rPr>
        <w:fldChar w:fldCharType="end"/>
      </w:r>
      <w:r w:rsidR="00D87D54" w:rsidRPr="007070E9">
        <w:rPr>
          <w:lang w:val="en-US"/>
        </w:rPr>
        <w:t xml:space="preserve">, </w:t>
      </w:r>
      <w:proofErr w:type="spellStart"/>
      <w:r w:rsidR="00D87D54" w:rsidRPr="007070E9">
        <w:rPr>
          <w:lang w:val="en-US"/>
        </w:rPr>
        <w:t>párr</w:t>
      </w:r>
      <w:proofErr w:type="spellEnd"/>
      <w:r w:rsidR="00D87D54" w:rsidRPr="007070E9">
        <w:rPr>
          <w:lang w:val="en-US"/>
        </w:rPr>
        <w:t>. 8</w:t>
      </w:r>
      <w:r w:rsidR="00D87D54">
        <w:rPr>
          <w:lang w:val="en-US"/>
        </w:rPr>
        <w:t>.</w:t>
      </w:r>
    </w:p>
  </w:footnote>
  <w:footnote w:id="11">
    <w:p w14:paraId="11A28F8F" w14:textId="17CDA984" w:rsidR="00D87D54" w:rsidRPr="001D1DE3" w:rsidRDefault="00C96C38" w:rsidP="00C96C38">
      <w:pPr>
        <w:pStyle w:val="FootnoteText"/>
        <w:rPr>
          <w:lang w:val="fr-CH"/>
        </w:rPr>
      </w:pPr>
      <w:r>
        <w:rPr>
          <w:lang w:val="en-US"/>
        </w:rPr>
        <w:tab/>
      </w:r>
      <w:r w:rsidR="00D87D54" w:rsidRPr="00C96C38">
        <w:rPr>
          <w:rStyle w:val="FootnoteReference"/>
        </w:rPr>
        <w:footnoteRef/>
      </w:r>
      <w:r>
        <w:rPr>
          <w:lang w:val="en-US"/>
        </w:rPr>
        <w:tab/>
      </w:r>
      <w:r w:rsidR="00CA7495">
        <w:fldChar w:fldCharType="begin"/>
      </w:r>
      <w:r w:rsidR="00CA7495">
        <w:instrText xml:space="preserve"> HYPERLINK "http://undocs.org/es/CAT/OP/12/5" </w:instrText>
      </w:r>
      <w:r w:rsidR="00CA7495">
        <w:fldChar w:fldCharType="separate"/>
      </w:r>
      <w:r w:rsidR="00D87D54" w:rsidRPr="001D1DE3">
        <w:rPr>
          <w:rStyle w:val="Hyperlink"/>
          <w:lang w:val="en-US"/>
        </w:rPr>
        <w:t>CAT/OP/12/5</w:t>
      </w:r>
      <w:r w:rsidR="00CA7495">
        <w:rPr>
          <w:rStyle w:val="Hyperlink"/>
          <w:lang w:val="en-US"/>
        </w:rPr>
        <w:fldChar w:fldCharType="end"/>
      </w:r>
      <w:r w:rsidR="00D87D54" w:rsidRPr="001D1DE3">
        <w:rPr>
          <w:lang w:val="en-US"/>
        </w:rPr>
        <w:t xml:space="preserve">, </w:t>
      </w:r>
      <w:proofErr w:type="spellStart"/>
      <w:r w:rsidR="00D87D54" w:rsidRPr="001D1DE3">
        <w:rPr>
          <w:lang w:val="en-US"/>
        </w:rPr>
        <w:t>párrs</w:t>
      </w:r>
      <w:proofErr w:type="spellEnd"/>
      <w:r w:rsidR="00D87D54" w:rsidRPr="001D1DE3">
        <w:rPr>
          <w:lang w:val="en-US"/>
        </w:rPr>
        <w:t xml:space="preserve">. </w:t>
      </w:r>
      <w:r w:rsidR="00D87D54" w:rsidRPr="00B10EBD">
        <w:rPr>
          <w:lang w:val="fr-CH"/>
        </w:rPr>
        <w:t>7, 8, 12 y 16</w:t>
      </w:r>
      <w:r w:rsidR="00D87D54">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CBA328" w14:textId="77777777" w:rsidR="000C0E07" w:rsidRPr="0057456E" w:rsidRDefault="000C0E07">
    <w:pPr>
      <w:pStyle w:val="Header"/>
      <w:rPr>
        <w:lang w:val="en-GB"/>
      </w:rPr>
    </w:pPr>
    <w:r>
      <w:rPr>
        <w:lang w:val="en-GB"/>
      </w:rPr>
      <w:t>CAT/C/BOL/CO/</w:t>
    </w:r>
    <w:r w:rsidRPr="0057456E">
      <w:rPr>
        <w:lang w:val="en-GB"/>
      </w:rPr>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1D8B96" w14:textId="77777777" w:rsidR="000C0E07" w:rsidRPr="0057456E" w:rsidRDefault="000C0E07" w:rsidP="00935A0B">
    <w:pPr>
      <w:pStyle w:val="Header"/>
      <w:jc w:val="right"/>
      <w:rPr>
        <w:u w:val="double"/>
        <w:lang w:val="en-GB"/>
      </w:rPr>
    </w:pPr>
    <w:r>
      <w:rPr>
        <w:lang w:val="en-GB"/>
      </w:rPr>
      <w:t>CAT/C/BOL/CO/</w:t>
    </w:r>
    <w:r w:rsidRPr="0057456E">
      <w:rPr>
        <w:lang w:val="en-GB"/>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948F5C" w14:textId="77777777" w:rsidR="000C0E07" w:rsidRPr="00493D40" w:rsidRDefault="000C0E07" w:rsidP="00493D40">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457556"/>
    <w:multiLevelType w:val="hybridMultilevel"/>
    <w:tmpl w:val="52CE0D9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5A48E46A"/>
    <w:lvl w:ilvl="0" w:tplc="53426E1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D26C0E2" w:tentative="1">
      <w:start w:val="1"/>
      <w:numFmt w:val="lowerLetter"/>
      <w:lvlText w:val="%2."/>
      <w:lvlJc w:val="left"/>
      <w:pPr>
        <w:tabs>
          <w:tab w:val="num" w:pos="1440"/>
        </w:tabs>
        <w:ind w:left="1440" w:hanging="360"/>
      </w:pPr>
    </w:lvl>
    <w:lvl w:ilvl="2" w:tplc="57B67976" w:tentative="1">
      <w:start w:val="1"/>
      <w:numFmt w:val="lowerRoman"/>
      <w:lvlText w:val="%3."/>
      <w:lvlJc w:val="right"/>
      <w:pPr>
        <w:tabs>
          <w:tab w:val="num" w:pos="2160"/>
        </w:tabs>
        <w:ind w:left="2160" w:hanging="180"/>
      </w:pPr>
    </w:lvl>
    <w:lvl w:ilvl="3" w:tplc="24AAE3CC" w:tentative="1">
      <w:start w:val="1"/>
      <w:numFmt w:val="decimal"/>
      <w:lvlText w:val="%4."/>
      <w:lvlJc w:val="left"/>
      <w:pPr>
        <w:tabs>
          <w:tab w:val="num" w:pos="2880"/>
        </w:tabs>
        <w:ind w:left="2880" w:hanging="360"/>
      </w:pPr>
    </w:lvl>
    <w:lvl w:ilvl="4" w:tplc="BE069698" w:tentative="1">
      <w:start w:val="1"/>
      <w:numFmt w:val="lowerLetter"/>
      <w:lvlText w:val="%5."/>
      <w:lvlJc w:val="left"/>
      <w:pPr>
        <w:tabs>
          <w:tab w:val="num" w:pos="3600"/>
        </w:tabs>
        <w:ind w:left="3600" w:hanging="360"/>
      </w:pPr>
    </w:lvl>
    <w:lvl w:ilvl="5" w:tplc="E5FE04E8" w:tentative="1">
      <w:start w:val="1"/>
      <w:numFmt w:val="lowerRoman"/>
      <w:lvlText w:val="%6."/>
      <w:lvlJc w:val="right"/>
      <w:pPr>
        <w:tabs>
          <w:tab w:val="num" w:pos="4320"/>
        </w:tabs>
        <w:ind w:left="4320" w:hanging="180"/>
      </w:pPr>
    </w:lvl>
    <w:lvl w:ilvl="6" w:tplc="99A4D26C" w:tentative="1">
      <w:start w:val="1"/>
      <w:numFmt w:val="decimal"/>
      <w:lvlText w:val="%7."/>
      <w:lvlJc w:val="left"/>
      <w:pPr>
        <w:tabs>
          <w:tab w:val="num" w:pos="5040"/>
        </w:tabs>
        <w:ind w:left="5040" w:hanging="360"/>
      </w:pPr>
    </w:lvl>
    <w:lvl w:ilvl="7" w:tplc="2FB0C190" w:tentative="1">
      <w:start w:val="1"/>
      <w:numFmt w:val="lowerLetter"/>
      <w:lvlText w:val="%8."/>
      <w:lvlJc w:val="left"/>
      <w:pPr>
        <w:tabs>
          <w:tab w:val="num" w:pos="5760"/>
        </w:tabs>
        <w:ind w:left="5760" w:hanging="360"/>
      </w:pPr>
    </w:lvl>
    <w:lvl w:ilvl="8" w:tplc="5F04A108" w:tentative="1">
      <w:start w:val="1"/>
      <w:numFmt w:val="lowerRoman"/>
      <w:lvlText w:val="%9."/>
      <w:lvlJc w:val="right"/>
      <w:pPr>
        <w:tabs>
          <w:tab w:val="num" w:pos="6480"/>
        </w:tabs>
        <w:ind w:left="6480" w:hanging="180"/>
      </w:pPr>
    </w:lvl>
  </w:abstractNum>
  <w:abstractNum w:abstractNumId="12" w15:restartNumberingAfterBreak="0">
    <w:nsid w:val="0E5E4F57"/>
    <w:multiLevelType w:val="hybridMultilevel"/>
    <w:tmpl w:val="65922A9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FA13E3F"/>
    <w:multiLevelType w:val="hybridMultilevel"/>
    <w:tmpl w:val="62BE7A5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7694ED3"/>
    <w:multiLevelType w:val="hybridMultilevel"/>
    <w:tmpl w:val="696487A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FA07F87"/>
    <w:multiLevelType w:val="hybridMultilevel"/>
    <w:tmpl w:val="744AC80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0675542"/>
    <w:multiLevelType w:val="hybridMultilevel"/>
    <w:tmpl w:val="36FE150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A496550"/>
    <w:multiLevelType w:val="hybridMultilevel"/>
    <w:tmpl w:val="DCFE988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6A7743B"/>
    <w:multiLevelType w:val="hybridMultilevel"/>
    <w:tmpl w:val="165289D8"/>
    <w:lvl w:ilvl="0" w:tplc="33081158">
      <w:start w:val="1"/>
      <w:numFmt w:val="bullet"/>
      <w:pStyle w:val="Bullet2G"/>
      <w:lvlText w:val="•"/>
      <w:lvlJc w:val="left"/>
      <w:pPr>
        <w:tabs>
          <w:tab w:val="num" w:pos="2268"/>
        </w:tabs>
        <w:ind w:left="2268" w:hanging="170"/>
      </w:pPr>
      <w:rPr>
        <w:rFonts w:ascii="Times New Roman" w:hAnsi="Times New Roman" w:cs="Times New Roman" w:hint="default"/>
      </w:rPr>
    </w:lvl>
    <w:lvl w:ilvl="1" w:tplc="A5E61AB8" w:tentative="1">
      <w:start w:val="1"/>
      <w:numFmt w:val="bullet"/>
      <w:lvlText w:val="o"/>
      <w:lvlJc w:val="left"/>
      <w:pPr>
        <w:tabs>
          <w:tab w:val="num" w:pos="1440"/>
        </w:tabs>
        <w:ind w:left="1440" w:hanging="360"/>
      </w:pPr>
      <w:rPr>
        <w:rFonts w:ascii="Courier New" w:hAnsi="Courier New" w:hint="default"/>
      </w:rPr>
    </w:lvl>
    <w:lvl w:ilvl="2" w:tplc="8B5CCB1A" w:tentative="1">
      <w:start w:val="1"/>
      <w:numFmt w:val="bullet"/>
      <w:lvlText w:val=""/>
      <w:lvlJc w:val="left"/>
      <w:pPr>
        <w:tabs>
          <w:tab w:val="num" w:pos="2160"/>
        </w:tabs>
        <w:ind w:left="2160" w:hanging="360"/>
      </w:pPr>
      <w:rPr>
        <w:rFonts w:ascii="Wingdings" w:hAnsi="Wingdings" w:hint="default"/>
      </w:rPr>
    </w:lvl>
    <w:lvl w:ilvl="3" w:tplc="1B6683B0" w:tentative="1">
      <w:start w:val="1"/>
      <w:numFmt w:val="bullet"/>
      <w:lvlText w:val=""/>
      <w:lvlJc w:val="left"/>
      <w:pPr>
        <w:tabs>
          <w:tab w:val="num" w:pos="2880"/>
        </w:tabs>
        <w:ind w:left="2880" w:hanging="360"/>
      </w:pPr>
      <w:rPr>
        <w:rFonts w:ascii="Symbol" w:hAnsi="Symbol" w:hint="default"/>
      </w:rPr>
    </w:lvl>
    <w:lvl w:ilvl="4" w:tplc="907ECFDE" w:tentative="1">
      <w:start w:val="1"/>
      <w:numFmt w:val="bullet"/>
      <w:lvlText w:val="o"/>
      <w:lvlJc w:val="left"/>
      <w:pPr>
        <w:tabs>
          <w:tab w:val="num" w:pos="3600"/>
        </w:tabs>
        <w:ind w:left="3600" w:hanging="360"/>
      </w:pPr>
      <w:rPr>
        <w:rFonts w:ascii="Courier New" w:hAnsi="Courier New" w:hint="default"/>
      </w:rPr>
    </w:lvl>
    <w:lvl w:ilvl="5" w:tplc="1F240B52" w:tentative="1">
      <w:start w:val="1"/>
      <w:numFmt w:val="bullet"/>
      <w:lvlText w:val=""/>
      <w:lvlJc w:val="left"/>
      <w:pPr>
        <w:tabs>
          <w:tab w:val="num" w:pos="4320"/>
        </w:tabs>
        <w:ind w:left="4320" w:hanging="360"/>
      </w:pPr>
      <w:rPr>
        <w:rFonts w:ascii="Wingdings" w:hAnsi="Wingdings" w:hint="default"/>
      </w:rPr>
    </w:lvl>
    <w:lvl w:ilvl="6" w:tplc="9BC2F0C0" w:tentative="1">
      <w:start w:val="1"/>
      <w:numFmt w:val="bullet"/>
      <w:lvlText w:val=""/>
      <w:lvlJc w:val="left"/>
      <w:pPr>
        <w:tabs>
          <w:tab w:val="num" w:pos="5040"/>
        </w:tabs>
        <w:ind w:left="5040" w:hanging="360"/>
      </w:pPr>
      <w:rPr>
        <w:rFonts w:ascii="Symbol" w:hAnsi="Symbol" w:hint="default"/>
      </w:rPr>
    </w:lvl>
    <w:lvl w:ilvl="7" w:tplc="ACAA7516" w:tentative="1">
      <w:start w:val="1"/>
      <w:numFmt w:val="bullet"/>
      <w:lvlText w:val="o"/>
      <w:lvlJc w:val="left"/>
      <w:pPr>
        <w:tabs>
          <w:tab w:val="num" w:pos="5760"/>
        </w:tabs>
        <w:ind w:left="5760" w:hanging="360"/>
      </w:pPr>
      <w:rPr>
        <w:rFonts w:ascii="Courier New" w:hAnsi="Courier New" w:hint="default"/>
      </w:rPr>
    </w:lvl>
    <w:lvl w:ilvl="8" w:tplc="59C409A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800EB1"/>
    <w:multiLevelType w:val="hybridMultilevel"/>
    <w:tmpl w:val="AC5815F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A804B69"/>
    <w:multiLevelType w:val="hybridMultilevel"/>
    <w:tmpl w:val="632AA19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C85488A"/>
    <w:multiLevelType w:val="hybridMultilevel"/>
    <w:tmpl w:val="123E47E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7506B32"/>
    <w:multiLevelType w:val="hybridMultilevel"/>
    <w:tmpl w:val="3B14FFF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AFD3DE4"/>
    <w:multiLevelType w:val="hybridMultilevel"/>
    <w:tmpl w:val="569E52D4"/>
    <w:lvl w:ilvl="0" w:tplc="B5A64EAC">
      <w:start w:val="1"/>
      <w:numFmt w:val="bullet"/>
      <w:pStyle w:val="Bullet1G"/>
      <w:lvlText w:val="•"/>
      <w:lvlJc w:val="left"/>
      <w:pPr>
        <w:tabs>
          <w:tab w:val="num" w:pos="1701"/>
        </w:tabs>
        <w:ind w:left="1701" w:hanging="170"/>
      </w:pPr>
      <w:rPr>
        <w:rFonts w:ascii="Times New Roman" w:hAnsi="Times New Roman" w:cs="Times New Roman" w:hint="default"/>
      </w:rPr>
    </w:lvl>
    <w:lvl w:ilvl="1" w:tplc="A7C6E566" w:tentative="1">
      <w:start w:val="1"/>
      <w:numFmt w:val="bullet"/>
      <w:lvlText w:val="o"/>
      <w:lvlJc w:val="left"/>
      <w:pPr>
        <w:tabs>
          <w:tab w:val="num" w:pos="1440"/>
        </w:tabs>
        <w:ind w:left="1440" w:hanging="360"/>
      </w:pPr>
      <w:rPr>
        <w:rFonts w:ascii="Courier New" w:hAnsi="Courier New" w:hint="default"/>
      </w:rPr>
    </w:lvl>
    <w:lvl w:ilvl="2" w:tplc="23001704" w:tentative="1">
      <w:start w:val="1"/>
      <w:numFmt w:val="bullet"/>
      <w:lvlText w:val=""/>
      <w:lvlJc w:val="left"/>
      <w:pPr>
        <w:tabs>
          <w:tab w:val="num" w:pos="2160"/>
        </w:tabs>
        <w:ind w:left="2160" w:hanging="360"/>
      </w:pPr>
      <w:rPr>
        <w:rFonts w:ascii="Wingdings" w:hAnsi="Wingdings" w:hint="default"/>
      </w:rPr>
    </w:lvl>
    <w:lvl w:ilvl="3" w:tplc="4A4CC35A" w:tentative="1">
      <w:start w:val="1"/>
      <w:numFmt w:val="bullet"/>
      <w:lvlText w:val=""/>
      <w:lvlJc w:val="left"/>
      <w:pPr>
        <w:tabs>
          <w:tab w:val="num" w:pos="2880"/>
        </w:tabs>
        <w:ind w:left="2880" w:hanging="360"/>
      </w:pPr>
      <w:rPr>
        <w:rFonts w:ascii="Symbol" w:hAnsi="Symbol" w:hint="default"/>
      </w:rPr>
    </w:lvl>
    <w:lvl w:ilvl="4" w:tplc="CF64D260" w:tentative="1">
      <w:start w:val="1"/>
      <w:numFmt w:val="bullet"/>
      <w:lvlText w:val="o"/>
      <w:lvlJc w:val="left"/>
      <w:pPr>
        <w:tabs>
          <w:tab w:val="num" w:pos="3600"/>
        </w:tabs>
        <w:ind w:left="3600" w:hanging="360"/>
      </w:pPr>
      <w:rPr>
        <w:rFonts w:ascii="Courier New" w:hAnsi="Courier New" w:hint="default"/>
      </w:rPr>
    </w:lvl>
    <w:lvl w:ilvl="5" w:tplc="4C22236C" w:tentative="1">
      <w:start w:val="1"/>
      <w:numFmt w:val="bullet"/>
      <w:lvlText w:val=""/>
      <w:lvlJc w:val="left"/>
      <w:pPr>
        <w:tabs>
          <w:tab w:val="num" w:pos="4320"/>
        </w:tabs>
        <w:ind w:left="4320" w:hanging="360"/>
      </w:pPr>
      <w:rPr>
        <w:rFonts w:ascii="Wingdings" w:hAnsi="Wingdings" w:hint="default"/>
      </w:rPr>
    </w:lvl>
    <w:lvl w:ilvl="6" w:tplc="473E93B8" w:tentative="1">
      <w:start w:val="1"/>
      <w:numFmt w:val="bullet"/>
      <w:lvlText w:val=""/>
      <w:lvlJc w:val="left"/>
      <w:pPr>
        <w:tabs>
          <w:tab w:val="num" w:pos="5040"/>
        </w:tabs>
        <w:ind w:left="5040" w:hanging="360"/>
      </w:pPr>
      <w:rPr>
        <w:rFonts w:ascii="Symbol" w:hAnsi="Symbol" w:hint="default"/>
      </w:rPr>
    </w:lvl>
    <w:lvl w:ilvl="7" w:tplc="65A027D8" w:tentative="1">
      <w:start w:val="1"/>
      <w:numFmt w:val="bullet"/>
      <w:lvlText w:val="o"/>
      <w:lvlJc w:val="left"/>
      <w:pPr>
        <w:tabs>
          <w:tab w:val="num" w:pos="5760"/>
        </w:tabs>
        <w:ind w:left="5760" w:hanging="360"/>
      </w:pPr>
      <w:rPr>
        <w:rFonts w:ascii="Courier New" w:hAnsi="Courier New" w:hint="default"/>
      </w:rPr>
    </w:lvl>
    <w:lvl w:ilvl="8" w:tplc="D94CE2BA"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CBC407C"/>
    <w:multiLevelType w:val="hybridMultilevel"/>
    <w:tmpl w:val="13F2929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463407F"/>
    <w:multiLevelType w:val="hybridMultilevel"/>
    <w:tmpl w:val="25A4476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748314D5"/>
    <w:multiLevelType w:val="hybridMultilevel"/>
    <w:tmpl w:val="D8BAD59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7F2927DE"/>
    <w:multiLevelType w:val="hybridMultilevel"/>
    <w:tmpl w:val="34586D0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9"/>
  </w:num>
  <w:num w:numId="2">
    <w:abstractNumId w:val="26"/>
  </w:num>
  <w:num w:numId="3">
    <w:abstractNumId w:val="23"/>
  </w:num>
  <w:num w:numId="4">
    <w:abstractNumId w:val="24"/>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2"/>
  </w:num>
  <w:num w:numId="18">
    <w:abstractNumId w:val="25"/>
  </w:num>
  <w:num w:numId="19">
    <w:abstractNumId w:val="28"/>
  </w:num>
  <w:num w:numId="20">
    <w:abstractNumId w:val="17"/>
  </w:num>
  <w:num w:numId="21">
    <w:abstractNumId w:val="20"/>
  </w:num>
  <w:num w:numId="22">
    <w:abstractNumId w:val="14"/>
  </w:num>
  <w:num w:numId="23">
    <w:abstractNumId w:val="15"/>
  </w:num>
  <w:num w:numId="24">
    <w:abstractNumId w:val="10"/>
  </w:num>
  <w:num w:numId="25">
    <w:abstractNumId w:val="30"/>
  </w:num>
  <w:num w:numId="26">
    <w:abstractNumId w:val="22"/>
  </w:num>
  <w:num w:numId="27">
    <w:abstractNumId w:val="16"/>
  </w:num>
  <w:num w:numId="28">
    <w:abstractNumId w:val="27"/>
  </w:num>
  <w:num w:numId="29">
    <w:abstractNumId w:val="19"/>
  </w:num>
  <w:num w:numId="30">
    <w:abstractNumId w:val="13"/>
  </w:num>
  <w:num w:numId="31">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299E"/>
    <w:rsid w:val="000107AA"/>
    <w:rsid w:val="00016BD6"/>
    <w:rsid w:val="00021674"/>
    <w:rsid w:val="00023572"/>
    <w:rsid w:val="00033EE1"/>
    <w:rsid w:val="00042B72"/>
    <w:rsid w:val="00043FF1"/>
    <w:rsid w:val="00044364"/>
    <w:rsid w:val="0004493F"/>
    <w:rsid w:val="0005483A"/>
    <w:rsid w:val="000558BD"/>
    <w:rsid w:val="000704CA"/>
    <w:rsid w:val="00073195"/>
    <w:rsid w:val="00090157"/>
    <w:rsid w:val="0009022F"/>
    <w:rsid w:val="000A651F"/>
    <w:rsid w:val="000B432F"/>
    <w:rsid w:val="000B57E7"/>
    <w:rsid w:val="000B6373"/>
    <w:rsid w:val="000C0E07"/>
    <w:rsid w:val="000D3664"/>
    <w:rsid w:val="000F09DF"/>
    <w:rsid w:val="000F4053"/>
    <w:rsid w:val="000F61B2"/>
    <w:rsid w:val="001075E9"/>
    <w:rsid w:val="00116F38"/>
    <w:rsid w:val="00117018"/>
    <w:rsid w:val="00127D6E"/>
    <w:rsid w:val="00136238"/>
    <w:rsid w:val="00141CE2"/>
    <w:rsid w:val="00170855"/>
    <w:rsid w:val="00180183"/>
    <w:rsid w:val="0018024D"/>
    <w:rsid w:val="00184A96"/>
    <w:rsid w:val="0018649F"/>
    <w:rsid w:val="00191A6E"/>
    <w:rsid w:val="00195FA2"/>
    <w:rsid w:val="00196389"/>
    <w:rsid w:val="00197FD5"/>
    <w:rsid w:val="001A4396"/>
    <w:rsid w:val="001B3EF6"/>
    <w:rsid w:val="001C4AD0"/>
    <w:rsid w:val="001C64EB"/>
    <w:rsid w:val="001C7A89"/>
    <w:rsid w:val="001D1DE3"/>
    <w:rsid w:val="001D38CC"/>
    <w:rsid w:val="001D4AD3"/>
    <w:rsid w:val="001D649E"/>
    <w:rsid w:val="0020090E"/>
    <w:rsid w:val="00211528"/>
    <w:rsid w:val="00226A5F"/>
    <w:rsid w:val="0023417A"/>
    <w:rsid w:val="002357E9"/>
    <w:rsid w:val="00235C2B"/>
    <w:rsid w:val="0024317C"/>
    <w:rsid w:val="00243C2D"/>
    <w:rsid w:val="00247E16"/>
    <w:rsid w:val="0025259D"/>
    <w:rsid w:val="002541C7"/>
    <w:rsid w:val="002634B4"/>
    <w:rsid w:val="00285F0F"/>
    <w:rsid w:val="00286B71"/>
    <w:rsid w:val="002951F3"/>
    <w:rsid w:val="002A02C6"/>
    <w:rsid w:val="002A2EFC"/>
    <w:rsid w:val="002A3154"/>
    <w:rsid w:val="002B0CA0"/>
    <w:rsid w:val="002B69E4"/>
    <w:rsid w:val="002B7ED1"/>
    <w:rsid w:val="002C0E18"/>
    <w:rsid w:val="002C2415"/>
    <w:rsid w:val="002C3864"/>
    <w:rsid w:val="002C6600"/>
    <w:rsid w:val="002D1693"/>
    <w:rsid w:val="002D4172"/>
    <w:rsid w:val="002D4E7C"/>
    <w:rsid w:val="002D5AAC"/>
    <w:rsid w:val="002F200B"/>
    <w:rsid w:val="002F405F"/>
    <w:rsid w:val="002F5EE7"/>
    <w:rsid w:val="00301299"/>
    <w:rsid w:val="00307FB6"/>
    <w:rsid w:val="00313A74"/>
    <w:rsid w:val="00315BA0"/>
    <w:rsid w:val="00317339"/>
    <w:rsid w:val="00320734"/>
    <w:rsid w:val="00322004"/>
    <w:rsid w:val="003402C2"/>
    <w:rsid w:val="00344F15"/>
    <w:rsid w:val="00356C52"/>
    <w:rsid w:val="00363E44"/>
    <w:rsid w:val="00376E4E"/>
    <w:rsid w:val="00381C24"/>
    <w:rsid w:val="003958D0"/>
    <w:rsid w:val="003A3CE4"/>
    <w:rsid w:val="003A6C8A"/>
    <w:rsid w:val="003B00E5"/>
    <w:rsid w:val="003C39E0"/>
    <w:rsid w:val="003D01D8"/>
    <w:rsid w:val="003D3526"/>
    <w:rsid w:val="003E0332"/>
    <w:rsid w:val="003F1F04"/>
    <w:rsid w:val="003F2E62"/>
    <w:rsid w:val="003F43D1"/>
    <w:rsid w:val="003F6FF0"/>
    <w:rsid w:val="00407B78"/>
    <w:rsid w:val="0041604F"/>
    <w:rsid w:val="00424203"/>
    <w:rsid w:val="004250F3"/>
    <w:rsid w:val="00430FF0"/>
    <w:rsid w:val="004313DA"/>
    <w:rsid w:val="004452DE"/>
    <w:rsid w:val="00447A66"/>
    <w:rsid w:val="004502CC"/>
    <w:rsid w:val="00454DE5"/>
    <w:rsid w:val="00454E07"/>
    <w:rsid w:val="004666CD"/>
    <w:rsid w:val="00480DD1"/>
    <w:rsid w:val="00485673"/>
    <w:rsid w:val="00491DF4"/>
    <w:rsid w:val="00493D40"/>
    <w:rsid w:val="00496A79"/>
    <w:rsid w:val="004A4B7D"/>
    <w:rsid w:val="004B0FB1"/>
    <w:rsid w:val="004D1828"/>
    <w:rsid w:val="004D4496"/>
    <w:rsid w:val="004E58C5"/>
    <w:rsid w:val="004E5FBA"/>
    <w:rsid w:val="004E6A62"/>
    <w:rsid w:val="0050108D"/>
    <w:rsid w:val="00504DCD"/>
    <w:rsid w:val="00513081"/>
    <w:rsid w:val="00514DC2"/>
    <w:rsid w:val="00517901"/>
    <w:rsid w:val="00521DC1"/>
    <w:rsid w:val="00526683"/>
    <w:rsid w:val="005449AB"/>
    <w:rsid w:val="005615D2"/>
    <w:rsid w:val="00561600"/>
    <w:rsid w:val="005709E0"/>
    <w:rsid w:val="00572E19"/>
    <w:rsid w:val="0057456E"/>
    <w:rsid w:val="005961C8"/>
    <w:rsid w:val="005D0134"/>
    <w:rsid w:val="005D7914"/>
    <w:rsid w:val="005F0B42"/>
    <w:rsid w:val="0060010B"/>
    <w:rsid w:val="00606D66"/>
    <w:rsid w:val="00615628"/>
    <w:rsid w:val="00621328"/>
    <w:rsid w:val="00621949"/>
    <w:rsid w:val="00626364"/>
    <w:rsid w:val="006313D2"/>
    <w:rsid w:val="00640121"/>
    <w:rsid w:val="00656F9A"/>
    <w:rsid w:val="00657C8E"/>
    <w:rsid w:val="00665F5C"/>
    <w:rsid w:val="00681A10"/>
    <w:rsid w:val="00681BB7"/>
    <w:rsid w:val="00685243"/>
    <w:rsid w:val="006928F3"/>
    <w:rsid w:val="00692F48"/>
    <w:rsid w:val="0069547C"/>
    <w:rsid w:val="006C01AB"/>
    <w:rsid w:val="006C1249"/>
    <w:rsid w:val="006C13A6"/>
    <w:rsid w:val="006C2031"/>
    <w:rsid w:val="006C611E"/>
    <w:rsid w:val="006D461A"/>
    <w:rsid w:val="006F0CCC"/>
    <w:rsid w:val="006F1223"/>
    <w:rsid w:val="006F1ED5"/>
    <w:rsid w:val="006F35EE"/>
    <w:rsid w:val="006F3A2F"/>
    <w:rsid w:val="00700A49"/>
    <w:rsid w:val="007021FF"/>
    <w:rsid w:val="007070E9"/>
    <w:rsid w:val="00712895"/>
    <w:rsid w:val="00713D4F"/>
    <w:rsid w:val="00717918"/>
    <w:rsid w:val="00717A17"/>
    <w:rsid w:val="0072561F"/>
    <w:rsid w:val="00731A44"/>
    <w:rsid w:val="00754B77"/>
    <w:rsid w:val="00757357"/>
    <w:rsid w:val="0076412D"/>
    <w:rsid w:val="00781ACD"/>
    <w:rsid w:val="007857F2"/>
    <w:rsid w:val="007B4FF7"/>
    <w:rsid w:val="007B6C7E"/>
    <w:rsid w:val="007B7922"/>
    <w:rsid w:val="007C333F"/>
    <w:rsid w:val="007C74E0"/>
    <w:rsid w:val="007D5CDD"/>
    <w:rsid w:val="007E072F"/>
    <w:rsid w:val="007E2207"/>
    <w:rsid w:val="007E2C6D"/>
    <w:rsid w:val="00805D1C"/>
    <w:rsid w:val="008120CE"/>
    <w:rsid w:val="00822F1D"/>
    <w:rsid w:val="00825F8D"/>
    <w:rsid w:val="00834B71"/>
    <w:rsid w:val="00841CBA"/>
    <w:rsid w:val="00850B2A"/>
    <w:rsid w:val="008546EA"/>
    <w:rsid w:val="00864197"/>
    <w:rsid w:val="0086445C"/>
    <w:rsid w:val="00866C37"/>
    <w:rsid w:val="008671E0"/>
    <w:rsid w:val="00880D95"/>
    <w:rsid w:val="00894693"/>
    <w:rsid w:val="00894AC5"/>
    <w:rsid w:val="008A08D7"/>
    <w:rsid w:val="008B4378"/>
    <w:rsid w:val="008B6909"/>
    <w:rsid w:val="008E1084"/>
    <w:rsid w:val="008E74F1"/>
    <w:rsid w:val="009058AA"/>
    <w:rsid w:val="00906890"/>
    <w:rsid w:val="00911BE4"/>
    <w:rsid w:val="00916275"/>
    <w:rsid w:val="0092044B"/>
    <w:rsid w:val="0092759F"/>
    <w:rsid w:val="00935A0B"/>
    <w:rsid w:val="00951972"/>
    <w:rsid w:val="00953B31"/>
    <w:rsid w:val="009564EA"/>
    <w:rsid w:val="009608F3"/>
    <w:rsid w:val="009672ED"/>
    <w:rsid w:val="009A2013"/>
    <w:rsid w:val="009A2BC7"/>
    <w:rsid w:val="009B5CF7"/>
    <w:rsid w:val="009D1E3D"/>
    <w:rsid w:val="009E2F68"/>
    <w:rsid w:val="00A10D2A"/>
    <w:rsid w:val="00A32382"/>
    <w:rsid w:val="00A3483B"/>
    <w:rsid w:val="00A43107"/>
    <w:rsid w:val="00A44B2D"/>
    <w:rsid w:val="00A57CE1"/>
    <w:rsid w:val="00A647B9"/>
    <w:rsid w:val="00A71EF0"/>
    <w:rsid w:val="00A73C3D"/>
    <w:rsid w:val="00A77059"/>
    <w:rsid w:val="00A77631"/>
    <w:rsid w:val="00A84021"/>
    <w:rsid w:val="00A86F80"/>
    <w:rsid w:val="00A90C2B"/>
    <w:rsid w:val="00A917B3"/>
    <w:rsid w:val="00AB4B51"/>
    <w:rsid w:val="00AB641F"/>
    <w:rsid w:val="00AB78EE"/>
    <w:rsid w:val="00AC0F99"/>
    <w:rsid w:val="00AC3FCA"/>
    <w:rsid w:val="00AD051A"/>
    <w:rsid w:val="00AD3858"/>
    <w:rsid w:val="00AD7CB6"/>
    <w:rsid w:val="00AE0CED"/>
    <w:rsid w:val="00AE39C2"/>
    <w:rsid w:val="00AE5F3B"/>
    <w:rsid w:val="00AF03EB"/>
    <w:rsid w:val="00AF2017"/>
    <w:rsid w:val="00AF695F"/>
    <w:rsid w:val="00B0282B"/>
    <w:rsid w:val="00B10CC7"/>
    <w:rsid w:val="00B10EBD"/>
    <w:rsid w:val="00B1157D"/>
    <w:rsid w:val="00B202B1"/>
    <w:rsid w:val="00B237AB"/>
    <w:rsid w:val="00B539E7"/>
    <w:rsid w:val="00B55B3B"/>
    <w:rsid w:val="00B563EB"/>
    <w:rsid w:val="00B62458"/>
    <w:rsid w:val="00B80A93"/>
    <w:rsid w:val="00B83A17"/>
    <w:rsid w:val="00B96571"/>
    <w:rsid w:val="00BB75F2"/>
    <w:rsid w:val="00BD33EE"/>
    <w:rsid w:val="00BF2E5C"/>
    <w:rsid w:val="00BF422B"/>
    <w:rsid w:val="00C03F6A"/>
    <w:rsid w:val="00C106D6"/>
    <w:rsid w:val="00C10C1F"/>
    <w:rsid w:val="00C10E47"/>
    <w:rsid w:val="00C16DA4"/>
    <w:rsid w:val="00C26FEE"/>
    <w:rsid w:val="00C30FCA"/>
    <w:rsid w:val="00C33032"/>
    <w:rsid w:val="00C53408"/>
    <w:rsid w:val="00C60F0C"/>
    <w:rsid w:val="00C62726"/>
    <w:rsid w:val="00C66E77"/>
    <w:rsid w:val="00C76773"/>
    <w:rsid w:val="00C805C9"/>
    <w:rsid w:val="00C92939"/>
    <w:rsid w:val="00C92CD1"/>
    <w:rsid w:val="00C9665D"/>
    <w:rsid w:val="00C96C38"/>
    <w:rsid w:val="00CA1679"/>
    <w:rsid w:val="00CA7495"/>
    <w:rsid w:val="00CA7B26"/>
    <w:rsid w:val="00CB151C"/>
    <w:rsid w:val="00CB242B"/>
    <w:rsid w:val="00CB4228"/>
    <w:rsid w:val="00CB4AA4"/>
    <w:rsid w:val="00CB6FBD"/>
    <w:rsid w:val="00CD23CC"/>
    <w:rsid w:val="00CD4968"/>
    <w:rsid w:val="00CD60E5"/>
    <w:rsid w:val="00CE5A1A"/>
    <w:rsid w:val="00CF55F6"/>
    <w:rsid w:val="00CF7B69"/>
    <w:rsid w:val="00D04407"/>
    <w:rsid w:val="00D27BD6"/>
    <w:rsid w:val="00D31E75"/>
    <w:rsid w:val="00D33D63"/>
    <w:rsid w:val="00D4778E"/>
    <w:rsid w:val="00D507EE"/>
    <w:rsid w:val="00D61E3C"/>
    <w:rsid w:val="00D6726A"/>
    <w:rsid w:val="00D7790E"/>
    <w:rsid w:val="00D84A20"/>
    <w:rsid w:val="00D87D54"/>
    <w:rsid w:val="00D90138"/>
    <w:rsid w:val="00DB2468"/>
    <w:rsid w:val="00DB6E49"/>
    <w:rsid w:val="00DC5FB3"/>
    <w:rsid w:val="00DD2547"/>
    <w:rsid w:val="00DD6DE2"/>
    <w:rsid w:val="00DE1952"/>
    <w:rsid w:val="00DE7E13"/>
    <w:rsid w:val="00DF7A04"/>
    <w:rsid w:val="00E01EF5"/>
    <w:rsid w:val="00E07CA4"/>
    <w:rsid w:val="00E07F89"/>
    <w:rsid w:val="00E170D0"/>
    <w:rsid w:val="00E31CF9"/>
    <w:rsid w:val="00E35A41"/>
    <w:rsid w:val="00E35D4E"/>
    <w:rsid w:val="00E509D3"/>
    <w:rsid w:val="00E51C8F"/>
    <w:rsid w:val="00E54DD7"/>
    <w:rsid w:val="00E56EE3"/>
    <w:rsid w:val="00E73A25"/>
    <w:rsid w:val="00E73F76"/>
    <w:rsid w:val="00E86371"/>
    <w:rsid w:val="00EA2C9F"/>
    <w:rsid w:val="00EC52F1"/>
    <w:rsid w:val="00ED0BDA"/>
    <w:rsid w:val="00ED3851"/>
    <w:rsid w:val="00EE7654"/>
    <w:rsid w:val="00EE794E"/>
    <w:rsid w:val="00EF08A3"/>
    <w:rsid w:val="00EF1360"/>
    <w:rsid w:val="00EF3220"/>
    <w:rsid w:val="00F21F57"/>
    <w:rsid w:val="00F22142"/>
    <w:rsid w:val="00F36621"/>
    <w:rsid w:val="00F43810"/>
    <w:rsid w:val="00F45C7D"/>
    <w:rsid w:val="00F57D9B"/>
    <w:rsid w:val="00F63772"/>
    <w:rsid w:val="00F63ECF"/>
    <w:rsid w:val="00F76A49"/>
    <w:rsid w:val="00F9377E"/>
    <w:rsid w:val="00F94155"/>
    <w:rsid w:val="00F9725D"/>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3340BC6"/>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Heading1">
    <w:name w:val="heading 1"/>
    <w:aliases w:val="Cuadro_G"/>
    <w:basedOn w:val="SingleTxtG"/>
    <w:next w:val="SingleTxtG"/>
    <w:link w:val="Heading1Ch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521DC1"/>
    <w:pPr>
      <w:keepNext/>
      <w:outlineLvl w:val="1"/>
    </w:pPr>
    <w:rPr>
      <w:rFonts w:cs="Arial"/>
      <w:bCs/>
      <w:iCs/>
      <w:szCs w:val="28"/>
    </w:rPr>
  </w:style>
  <w:style w:type="paragraph" w:styleId="Heading3">
    <w:name w:val="heading 3"/>
    <w:basedOn w:val="Normal"/>
    <w:next w:val="Normal"/>
    <w:semiHidden/>
    <w:rsid w:val="00521DC1"/>
    <w:pPr>
      <w:keepNext/>
      <w:spacing w:before="240" w:after="60"/>
      <w:outlineLvl w:val="2"/>
    </w:pPr>
    <w:rPr>
      <w:rFonts w:ascii="Arial" w:hAnsi="Arial" w:cs="Arial"/>
      <w:b/>
      <w:bCs/>
      <w:sz w:val="26"/>
      <w:szCs w:val="26"/>
    </w:rPr>
  </w:style>
  <w:style w:type="paragraph" w:styleId="Heading4">
    <w:name w:val="heading 4"/>
    <w:basedOn w:val="Normal"/>
    <w:next w:val="Normal"/>
    <w:semiHidden/>
    <w:rsid w:val="00521DC1"/>
    <w:pPr>
      <w:keepNext/>
      <w:spacing w:before="240" w:after="60"/>
      <w:outlineLvl w:val="3"/>
    </w:pPr>
    <w:rPr>
      <w:b/>
      <w:bCs/>
      <w:sz w:val="28"/>
      <w:szCs w:val="28"/>
    </w:rPr>
  </w:style>
  <w:style w:type="paragraph" w:styleId="Heading5">
    <w:name w:val="heading 5"/>
    <w:basedOn w:val="Normal"/>
    <w:next w:val="Normal"/>
    <w:semiHidden/>
    <w:rsid w:val="00521DC1"/>
    <w:pPr>
      <w:spacing w:before="240" w:after="60"/>
      <w:outlineLvl w:val="4"/>
    </w:pPr>
    <w:rPr>
      <w:b/>
      <w:bCs/>
      <w:i/>
      <w:iCs/>
      <w:sz w:val="26"/>
      <w:szCs w:val="26"/>
    </w:rPr>
  </w:style>
  <w:style w:type="paragraph" w:styleId="Heading6">
    <w:name w:val="heading 6"/>
    <w:basedOn w:val="Normal"/>
    <w:next w:val="Normal"/>
    <w:semiHidden/>
    <w:rsid w:val="00521DC1"/>
    <w:pPr>
      <w:spacing w:before="240" w:after="60"/>
      <w:outlineLvl w:val="5"/>
    </w:pPr>
    <w:rPr>
      <w:b/>
      <w:bCs/>
      <w:sz w:val="22"/>
      <w:szCs w:val="22"/>
    </w:rPr>
  </w:style>
  <w:style w:type="paragraph" w:styleId="Heading7">
    <w:name w:val="heading 7"/>
    <w:basedOn w:val="Normal"/>
    <w:next w:val="Normal"/>
    <w:semiHidden/>
    <w:rsid w:val="00521DC1"/>
    <w:pPr>
      <w:spacing w:before="240" w:after="60"/>
      <w:outlineLvl w:val="6"/>
    </w:pPr>
    <w:rPr>
      <w:sz w:val="24"/>
      <w:szCs w:val="24"/>
    </w:rPr>
  </w:style>
  <w:style w:type="paragraph" w:styleId="Heading8">
    <w:name w:val="heading 8"/>
    <w:basedOn w:val="Normal"/>
    <w:next w:val="Normal"/>
    <w:semiHidden/>
    <w:rsid w:val="00521DC1"/>
    <w:pPr>
      <w:spacing w:before="240" w:after="60"/>
      <w:outlineLvl w:val="7"/>
    </w:pPr>
    <w:rPr>
      <w:i/>
      <w:iCs/>
      <w:sz w:val="24"/>
      <w:szCs w:val="24"/>
    </w:rPr>
  </w:style>
  <w:style w:type="paragraph" w:styleId="Heading9">
    <w:name w:val="heading 9"/>
    <w:basedOn w:val="Normal"/>
    <w:next w:val="Normal"/>
    <w:semiHidden/>
    <w:rsid w:val="00521DC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16 Point,4_G,BVI fnr,Footnote,Footnote Refernece,Footnote symbol,Fußnotenzeichen_Raxen,Superscript 6 Point,Texto de nota al pie,ftref,fusnot Char,nota pié di pagina,Footnote reference number,Times 10 Point,Exposant 3 Point"/>
    <w:link w:val="BVIfnrChar"/>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315BA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5BA0"/>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315BA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5BA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5BA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5BA0"/>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Reference,A,f"/>
    <w:basedOn w:val="Normal"/>
    <w:link w:val="FootnoteTextChar"/>
    <w:qFormat/>
    <w:rsid w:val="00521DC1"/>
    <w:pPr>
      <w:tabs>
        <w:tab w:val="right" w:pos="1021"/>
      </w:tabs>
      <w:spacing w:line="220" w:lineRule="exact"/>
      <w:ind w:left="1134" w:right="1134" w:hanging="1134"/>
    </w:pPr>
    <w:rPr>
      <w:sz w:val="18"/>
    </w:rPr>
  </w:style>
  <w:style w:type="table" w:styleId="TableGrid">
    <w:name w:val="Table Grid"/>
    <w:basedOn w:val="Table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521DC1"/>
    <w:pPr>
      <w:numPr>
        <w:numId w:val="1"/>
      </w:numPr>
    </w:pPr>
  </w:style>
  <w:style w:type="numbering" w:styleId="1ai">
    <w:name w:val="Outline List 1"/>
    <w:basedOn w:val="NoList"/>
    <w:semiHidden/>
    <w:rsid w:val="00521DC1"/>
    <w:pPr>
      <w:numPr>
        <w:numId w:val="2"/>
      </w:numPr>
    </w:pPr>
  </w:style>
  <w:style w:type="character" w:styleId="HTMLAcronym">
    <w:name w:val="HTML Acronym"/>
    <w:basedOn w:val="DefaultParagraphFont"/>
    <w:semiHidden/>
    <w:rsid w:val="00521DC1"/>
  </w:style>
  <w:style w:type="numbering" w:styleId="ArticleSection">
    <w:name w:val="Outline List 3"/>
    <w:basedOn w:val="NoList"/>
    <w:semiHidden/>
    <w:rsid w:val="00521DC1"/>
    <w:pPr>
      <w:numPr>
        <w:numId w:val="3"/>
      </w:numPr>
    </w:pPr>
  </w:style>
  <w:style w:type="paragraph" w:styleId="Closing">
    <w:name w:val="Closing"/>
    <w:basedOn w:val="Normal"/>
    <w:semiHidden/>
    <w:rsid w:val="00521DC1"/>
    <w:pPr>
      <w:ind w:left="4252"/>
    </w:pPr>
  </w:style>
  <w:style w:type="character" w:styleId="HTMLCite">
    <w:name w:val="HTML Cite"/>
    <w:semiHidden/>
    <w:rsid w:val="00521DC1"/>
    <w:rPr>
      <w:i/>
      <w:iCs/>
    </w:rPr>
  </w:style>
  <w:style w:type="character" w:styleId="HTMLCode">
    <w:name w:val="HTML Code"/>
    <w:semiHidden/>
    <w:rsid w:val="00521DC1"/>
    <w:rPr>
      <w:rFonts w:ascii="Courier New" w:hAnsi="Courier New" w:cs="Courier New"/>
      <w:sz w:val="20"/>
      <w:szCs w:val="20"/>
    </w:rPr>
  </w:style>
  <w:style w:type="paragraph" w:styleId="ListContinue">
    <w:name w:val="List Continue"/>
    <w:basedOn w:val="Normal"/>
    <w:semiHidden/>
    <w:rsid w:val="00521DC1"/>
    <w:pPr>
      <w:spacing w:after="120"/>
      <w:ind w:left="283"/>
    </w:pPr>
  </w:style>
  <w:style w:type="paragraph" w:styleId="ListContinue2">
    <w:name w:val="List Continue 2"/>
    <w:basedOn w:val="Normal"/>
    <w:semiHidden/>
    <w:rsid w:val="00521DC1"/>
    <w:pPr>
      <w:spacing w:after="120"/>
      <w:ind w:left="566"/>
    </w:pPr>
  </w:style>
  <w:style w:type="paragraph" w:styleId="ListContinue3">
    <w:name w:val="List Continue 3"/>
    <w:basedOn w:val="Normal"/>
    <w:semiHidden/>
    <w:rsid w:val="00521DC1"/>
    <w:pPr>
      <w:spacing w:after="120"/>
      <w:ind w:left="849"/>
    </w:pPr>
  </w:style>
  <w:style w:type="paragraph" w:styleId="ListContinue4">
    <w:name w:val="List Continue 4"/>
    <w:basedOn w:val="Normal"/>
    <w:semiHidden/>
    <w:rsid w:val="00521DC1"/>
    <w:pPr>
      <w:spacing w:after="120"/>
      <w:ind w:left="1132"/>
    </w:pPr>
  </w:style>
  <w:style w:type="paragraph" w:styleId="ListContinue5">
    <w:name w:val="List Continue 5"/>
    <w:basedOn w:val="Normal"/>
    <w:semiHidden/>
    <w:rsid w:val="00521DC1"/>
    <w:pPr>
      <w:spacing w:after="120"/>
      <w:ind w:left="1415"/>
    </w:pPr>
  </w:style>
  <w:style w:type="character" w:styleId="HTMLDefinition">
    <w:name w:val="HTML Definition"/>
    <w:semiHidden/>
    <w:rsid w:val="00521DC1"/>
    <w:rPr>
      <w:i/>
      <w:iCs/>
    </w:rPr>
  </w:style>
  <w:style w:type="paragraph" w:styleId="HTMLAddress">
    <w:name w:val="HTML Address"/>
    <w:basedOn w:val="Normal"/>
    <w:semiHidden/>
    <w:rsid w:val="00521DC1"/>
    <w:rPr>
      <w:i/>
      <w:iCs/>
    </w:rPr>
  </w:style>
  <w:style w:type="paragraph" w:styleId="EnvelopeAddress">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521DC1"/>
    <w:rPr>
      <w:rFonts w:ascii="Courier New" w:hAnsi="Courier New" w:cs="Courier New"/>
    </w:rPr>
  </w:style>
  <w:style w:type="paragraph" w:styleId="MessageHeader">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521DC1"/>
  </w:style>
  <w:style w:type="character" w:styleId="Emphasis">
    <w:name w:val="Emphasis"/>
    <w:uiPriority w:val="20"/>
    <w:qFormat/>
    <w:rsid w:val="00521DC1"/>
    <w:rPr>
      <w:i/>
      <w:iCs/>
    </w:rPr>
  </w:style>
  <w:style w:type="paragraph" w:styleId="Date">
    <w:name w:val="Date"/>
    <w:basedOn w:val="Normal"/>
    <w:next w:val="Normal"/>
    <w:semiHidden/>
    <w:rsid w:val="00521DC1"/>
  </w:style>
  <w:style w:type="paragraph" w:styleId="Signature">
    <w:name w:val="Signature"/>
    <w:basedOn w:val="Normal"/>
    <w:semiHidden/>
    <w:rsid w:val="00521DC1"/>
    <w:pPr>
      <w:ind w:left="4252"/>
    </w:pPr>
  </w:style>
  <w:style w:type="paragraph" w:styleId="E-mailSignature">
    <w:name w:val="E-mail Signature"/>
    <w:basedOn w:val="Normal"/>
    <w:semiHidden/>
    <w:rsid w:val="00521DC1"/>
  </w:style>
  <w:style w:type="character" w:styleId="Hyperlink">
    <w:name w:val="Hyperlink"/>
    <w:uiPriority w:val="99"/>
    <w:semiHidden/>
    <w:rsid w:val="00521DC1"/>
    <w:rPr>
      <w:color w:val="0000FF"/>
      <w:u w:val="none"/>
    </w:rPr>
  </w:style>
  <w:style w:type="character" w:styleId="FollowedHyperlink">
    <w:name w:val="FollowedHyperlink"/>
    <w:semiHidden/>
    <w:rsid w:val="00521DC1"/>
    <w:rPr>
      <w:color w:val="0000FF"/>
      <w:u w:val="none"/>
    </w:rPr>
  </w:style>
  <w:style w:type="paragraph" w:styleId="HTMLPreformatted">
    <w:name w:val="HTML Preformatted"/>
    <w:basedOn w:val="Normal"/>
    <w:semiHidden/>
    <w:rsid w:val="00521DC1"/>
    <w:rPr>
      <w:rFonts w:ascii="Courier New" w:hAnsi="Courier New" w:cs="Courier New"/>
    </w:rPr>
  </w:style>
  <w:style w:type="paragraph" w:styleId="List">
    <w:name w:val="List"/>
    <w:basedOn w:val="Normal"/>
    <w:semiHidden/>
    <w:rsid w:val="00521DC1"/>
    <w:pPr>
      <w:ind w:left="283" w:hanging="283"/>
    </w:pPr>
  </w:style>
  <w:style w:type="paragraph" w:styleId="List2">
    <w:name w:val="List 2"/>
    <w:basedOn w:val="Normal"/>
    <w:semiHidden/>
    <w:rsid w:val="00521DC1"/>
    <w:pPr>
      <w:ind w:left="566" w:hanging="283"/>
    </w:pPr>
  </w:style>
  <w:style w:type="paragraph" w:styleId="List3">
    <w:name w:val="List 3"/>
    <w:basedOn w:val="Normal"/>
    <w:semiHidden/>
    <w:rsid w:val="00521DC1"/>
    <w:pPr>
      <w:ind w:left="849" w:hanging="283"/>
    </w:pPr>
  </w:style>
  <w:style w:type="paragraph" w:styleId="List4">
    <w:name w:val="List 4"/>
    <w:basedOn w:val="Normal"/>
    <w:semiHidden/>
    <w:rsid w:val="00521DC1"/>
    <w:pPr>
      <w:ind w:left="1132" w:hanging="283"/>
    </w:pPr>
  </w:style>
  <w:style w:type="paragraph" w:styleId="List5">
    <w:name w:val="List 5"/>
    <w:basedOn w:val="Normal"/>
    <w:semiHidden/>
    <w:rsid w:val="00521DC1"/>
    <w:pPr>
      <w:ind w:left="1415" w:hanging="283"/>
    </w:pPr>
  </w:style>
  <w:style w:type="paragraph" w:styleId="ListNumber">
    <w:name w:val="List Number"/>
    <w:basedOn w:val="Normal"/>
    <w:semiHidden/>
    <w:rsid w:val="00521DC1"/>
    <w:pPr>
      <w:numPr>
        <w:numId w:val="6"/>
      </w:numPr>
    </w:pPr>
  </w:style>
  <w:style w:type="paragraph" w:styleId="ListNumber2">
    <w:name w:val="List Number 2"/>
    <w:basedOn w:val="Normal"/>
    <w:semiHidden/>
    <w:rsid w:val="00521DC1"/>
    <w:pPr>
      <w:numPr>
        <w:numId w:val="7"/>
      </w:numPr>
    </w:pPr>
  </w:style>
  <w:style w:type="paragraph" w:styleId="ListNumber3">
    <w:name w:val="List Number 3"/>
    <w:basedOn w:val="Normal"/>
    <w:semiHidden/>
    <w:rsid w:val="00521DC1"/>
    <w:pPr>
      <w:numPr>
        <w:numId w:val="8"/>
      </w:numPr>
    </w:pPr>
  </w:style>
  <w:style w:type="paragraph" w:styleId="ListNumber4">
    <w:name w:val="List Number 4"/>
    <w:basedOn w:val="Normal"/>
    <w:semiHidden/>
    <w:rsid w:val="00521DC1"/>
    <w:pPr>
      <w:numPr>
        <w:numId w:val="9"/>
      </w:numPr>
    </w:pPr>
  </w:style>
  <w:style w:type="paragraph" w:styleId="ListNumber5">
    <w:name w:val="List Number 5"/>
    <w:basedOn w:val="Normal"/>
    <w:semiHidden/>
    <w:rsid w:val="00521DC1"/>
    <w:pPr>
      <w:numPr>
        <w:numId w:val="10"/>
      </w:numPr>
    </w:pPr>
  </w:style>
  <w:style w:type="paragraph" w:styleId="ListBullet">
    <w:name w:val="List Bullet"/>
    <w:basedOn w:val="Normal"/>
    <w:semiHidden/>
    <w:rsid w:val="00521DC1"/>
    <w:pPr>
      <w:numPr>
        <w:numId w:val="11"/>
      </w:numPr>
    </w:pPr>
  </w:style>
  <w:style w:type="paragraph" w:styleId="ListBullet2">
    <w:name w:val="List Bullet 2"/>
    <w:basedOn w:val="Normal"/>
    <w:semiHidden/>
    <w:rsid w:val="00521DC1"/>
    <w:pPr>
      <w:numPr>
        <w:numId w:val="12"/>
      </w:numPr>
    </w:pPr>
  </w:style>
  <w:style w:type="paragraph" w:styleId="ListBullet3">
    <w:name w:val="List Bullet 3"/>
    <w:basedOn w:val="Normal"/>
    <w:semiHidden/>
    <w:rsid w:val="00521DC1"/>
    <w:pPr>
      <w:numPr>
        <w:numId w:val="13"/>
      </w:numPr>
    </w:pPr>
  </w:style>
  <w:style w:type="paragraph" w:styleId="ListBullet4">
    <w:name w:val="List Bullet 4"/>
    <w:basedOn w:val="Normal"/>
    <w:semiHidden/>
    <w:rsid w:val="00521DC1"/>
    <w:pPr>
      <w:numPr>
        <w:numId w:val="14"/>
      </w:numPr>
    </w:pPr>
  </w:style>
  <w:style w:type="paragraph" w:styleId="ListBullet5">
    <w:name w:val="List Bullet 5"/>
    <w:basedOn w:val="Normal"/>
    <w:semiHidden/>
    <w:rsid w:val="00521DC1"/>
    <w:pPr>
      <w:numPr>
        <w:numId w:val="15"/>
      </w:numPr>
    </w:pPr>
  </w:style>
  <w:style w:type="character" w:styleId="HTMLTypewriter">
    <w:name w:val="HTML Typewriter"/>
    <w:semiHidden/>
    <w:rsid w:val="00521DC1"/>
    <w:rPr>
      <w:rFonts w:ascii="Courier New" w:hAnsi="Courier New" w:cs="Courier New"/>
      <w:sz w:val="20"/>
      <w:szCs w:val="20"/>
    </w:rPr>
  </w:style>
  <w:style w:type="paragraph" w:styleId="NormalWeb">
    <w:name w:val="Normal (Web)"/>
    <w:basedOn w:val="Normal"/>
    <w:uiPriority w:val="99"/>
    <w:semiHidden/>
    <w:rsid w:val="00521DC1"/>
    <w:rPr>
      <w:sz w:val="24"/>
      <w:szCs w:val="24"/>
    </w:rPr>
  </w:style>
  <w:style w:type="character" w:styleId="LineNumber">
    <w:name w:val="line number"/>
    <w:basedOn w:val="DefaultParagraphFont"/>
    <w:semiHidden/>
    <w:rsid w:val="00521DC1"/>
  </w:style>
  <w:style w:type="character" w:styleId="PageNumber">
    <w:name w:val="page number"/>
    <w:aliases w:val="7_G"/>
    <w:qFormat/>
    <w:rsid w:val="00521DC1"/>
    <w:rPr>
      <w:b/>
      <w:sz w:val="18"/>
    </w:rPr>
  </w:style>
  <w:style w:type="character" w:styleId="EndnoteReference">
    <w:name w:val="endnote reference"/>
    <w:aliases w:val="1_G"/>
    <w:qFormat/>
    <w:rsid w:val="00521DC1"/>
    <w:rPr>
      <w:rFonts w:ascii="Times New Roman" w:hAnsi="Times New Roman"/>
      <w:sz w:val="18"/>
      <w:vertAlign w:val="superscript"/>
    </w:rPr>
  </w:style>
  <w:style w:type="paragraph" w:styleId="EnvelopeReturn">
    <w:name w:val="envelope return"/>
    <w:basedOn w:val="Normal"/>
    <w:semiHidden/>
    <w:rsid w:val="00521DC1"/>
    <w:rPr>
      <w:rFonts w:ascii="Arial" w:hAnsi="Arial" w:cs="Arial"/>
    </w:rPr>
  </w:style>
  <w:style w:type="paragraph" w:styleId="Salutation">
    <w:name w:val="Salutation"/>
    <w:basedOn w:val="Normal"/>
    <w:next w:val="Normal"/>
    <w:semiHidden/>
    <w:rsid w:val="00521DC1"/>
  </w:style>
  <w:style w:type="paragraph" w:styleId="BodyTextIndent2">
    <w:name w:val="Body Text Indent 2"/>
    <w:basedOn w:val="Normal"/>
    <w:semiHidden/>
    <w:rsid w:val="00521DC1"/>
    <w:pPr>
      <w:spacing w:after="120" w:line="480" w:lineRule="auto"/>
      <w:ind w:left="283"/>
    </w:pPr>
  </w:style>
  <w:style w:type="paragraph" w:styleId="BodyTextIndent3">
    <w:name w:val="Body Text Indent 3"/>
    <w:basedOn w:val="Normal"/>
    <w:semiHidden/>
    <w:rsid w:val="00521DC1"/>
    <w:pPr>
      <w:spacing w:after="120"/>
      <w:ind w:left="283"/>
    </w:pPr>
    <w:rPr>
      <w:sz w:val="16"/>
      <w:szCs w:val="16"/>
    </w:rPr>
  </w:style>
  <w:style w:type="paragraph" w:styleId="BodyTextIndent">
    <w:name w:val="Body Text Indent"/>
    <w:basedOn w:val="Normal"/>
    <w:semiHidden/>
    <w:rsid w:val="00521DC1"/>
    <w:pPr>
      <w:spacing w:after="120"/>
      <w:ind w:left="283"/>
    </w:pPr>
  </w:style>
  <w:style w:type="paragraph" w:styleId="NormalIndent">
    <w:name w:val="Normal Indent"/>
    <w:basedOn w:val="Normal"/>
    <w:semiHidden/>
    <w:rsid w:val="00521DC1"/>
    <w:pPr>
      <w:ind w:left="567"/>
    </w:pPr>
  </w:style>
  <w:style w:type="paragraph" w:styleId="Subtitle">
    <w:name w:val="Subtitle"/>
    <w:basedOn w:val="Normal"/>
    <w:semiHidden/>
    <w:rsid w:val="00521DC1"/>
    <w:pPr>
      <w:spacing w:after="60"/>
      <w:jc w:val="center"/>
      <w:outlineLvl w:val="1"/>
    </w:pPr>
    <w:rPr>
      <w:rFonts w:ascii="Arial" w:hAnsi="Arial" w:cs="Arial"/>
      <w:sz w:val="24"/>
      <w:szCs w:val="24"/>
    </w:rPr>
  </w:style>
  <w:style w:type="table" w:styleId="TableSimple1">
    <w:name w:val="Table Simple 1"/>
    <w:basedOn w:val="Table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521DC1"/>
    <w:rPr>
      <w:rFonts w:ascii="Courier New" w:hAnsi="Courier New" w:cs="Courier New"/>
      <w:sz w:val="20"/>
      <w:szCs w:val="20"/>
    </w:rPr>
  </w:style>
  <w:style w:type="paragraph" w:styleId="BlockText">
    <w:name w:val="Block Text"/>
    <w:basedOn w:val="Normal"/>
    <w:semiHidden/>
    <w:rsid w:val="00521DC1"/>
    <w:pPr>
      <w:spacing w:after="120"/>
      <w:ind w:left="1440" w:right="1440"/>
    </w:pPr>
  </w:style>
  <w:style w:type="character" w:styleId="Strong">
    <w:name w:val="Strong"/>
    <w:uiPriority w:val="22"/>
    <w:qFormat/>
    <w:rsid w:val="00521DC1"/>
    <w:rPr>
      <w:b/>
      <w:bCs/>
    </w:rPr>
  </w:style>
  <w:style w:type="paragraph" w:styleId="BodyText">
    <w:name w:val="Body Text"/>
    <w:basedOn w:val="Normal"/>
    <w:semiHidden/>
    <w:rsid w:val="00521DC1"/>
    <w:pPr>
      <w:spacing w:after="120"/>
    </w:pPr>
  </w:style>
  <w:style w:type="paragraph" w:styleId="BodyText2">
    <w:name w:val="Body Text 2"/>
    <w:basedOn w:val="Normal"/>
    <w:semiHidden/>
    <w:rsid w:val="00521DC1"/>
    <w:pPr>
      <w:spacing w:after="120" w:line="480" w:lineRule="auto"/>
    </w:pPr>
  </w:style>
  <w:style w:type="paragraph" w:styleId="BodyText3">
    <w:name w:val="Body Text 3"/>
    <w:basedOn w:val="Normal"/>
    <w:semiHidden/>
    <w:rsid w:val="00521DC1"/>
    <w:pPr>
      <w:spacing w:after="120"/>
    </w:pPr>
    <w:rPr>
      <w:sz w:val="16"/>
      <w:szCs w:val="16"/>
    </w:rPr>
  </w:style>
  <w:style w:type="paragraph" w:styleId="BodyTextFirstIndent">
    <w:name w:val="Body Text First Indent"/>
    <w:basedOn w:val="BodyText"/>
    <w:semiHidden/>
    <w:rsid w:val="00521DC1"/>
    <w:pPr>
      <w:ind w:firstLine="210"/>
    </w:pPr>
  </w:style>
  <w:style w:type="paragraph" w:styleId="BodyTextFirstIndent2">
    <w:name w:val="Body Text First Indent 2"/>
    <w:basedOn w:val="BodyTextIndent"/>
    <w:semiHidden/>
    <w:rsid w:val="00521DC1"/>
    <w:pPr>
      <w:ind w:firstLine="210"/>
    </w:pPr>
  </w:style>
  <w:style w:type="paragraph" w:styleId="EndnoteText">
    <w:name w:val="endnote text"/>
    <w:aliases w:val="2_G"/>
    <w:basedOn w:val="FootnoteText"/>
    <w:qFormat/>
    <w:rsid w:val="00521DC1"/>
  </w:style>
  <w:style w:type="paragraph" w:styleId="PlainText">
    <w:name w:val="Plain Text"/>
    <w:basedOn w:val="Normal"/>
    <w:semiHidden/>
    <w:rsid w:val="00521DC1"/>
    <w:rPr>
      <w:rFonts w:ascii="Courier New" w:hAnsi="Courier New" w:cs="Courier New"/>
    </w:rPr>
  </w:style>
  <w:style w:type="paragraph" w:styleId="Title">
    <w:name w:val="Title"/>
    <w:basedOn w:val="Normal"/>
    <w:semiHidden/>
    <w:rsid w:val="00521DC1"/>
    <w:pPr>
      <w:spacing w:before="240" w:after="60"/>
      <w:jc w:val="center"/>
      <w:outlineLvl w:val="0"/>
    </w:pPr>
    <w:rPr>
      <w:rFonts w:ascii="Arial" w:hAnsi="Arial" w:cs="Arial"/>
      <w:b/>
      <w:bCs/>
      <w:kern w:val="28"/>
      <w:sz w:val="32"/>
      <w:szCs w:val="32"/>
    </w:rPr>
  </w:style>
  <w:style w:type="character" w:styleId="HTMLVariable">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BalloonText">
    <w:name w:val="Balloon Text"/>
    <w:basedOn w:val="Normal"/>
    <w:link w:val="BalloonTextChar"/>
    <w:uiPriority w:val="99"/>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521DC1"/>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521DC1"/>
    <w:rPr>
      <w:b/>
      <w:bCs/>
      <w:i/>
      <w:iCs/>
      <w:color w:val="4F81BD"/>
      <w:lang w:val="es-ES" w:eastAsia="es-ES"/>
    </w:rPr>
  </w:style>
  <w:style w:type="character" w:styleId="IntenseEmphasis">
    <w:name w:val="Intense Emphasis"/>
    <w:uiPriority w:val="21"/>
    <w:semiHidden/>
    <w:rsid w:val="00521DC1"/>
    <w:rPr>
      <w:b/>
      <w:bCs/>
      <w:i/>
      <w:iCs/>
      <w:color w:val="4F81BD"/>
    </w:rPr>
  </w:style>
  <w:style w:type="character" w:customStyle="1" w:styleId="Heading1Char">
    <w:name w:val="Heading 1 Char"/>
    <w:aliases w:val="Cuadro_G Char"/>
    <w:basedOn w:val="DefaultParagraphFont"/>
    <w:link w:val="Heading1"/>
    <w:rsid w:val="00521DC1"/>
    <w:rPr>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uiPriority w:val="1"/>
    <w:rsid w:val="004E6A62"/>
    <w:rPr>
      <w:lang w:val="es-ES" w:eastAsia="es-ES"/>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Reference Char"/>
    <w:link w:val="FootnoteText"/>
    <w:qFormat/>
    <w:locked/>
    <w:rsid w:val="003D01D8"/>
    <w:rPr>
      <w:sz w:val="18"/>
      <w:lang w:val="es-ES" w:eastAsia="es-ES"/>
    </w:rPr>
  </w:style>
  <w:style w:type="character" w:customStyle="1" w:styleId="H23GChar">
    <w:name w:val="_ H_2/3_G Char"/>
    <w:link w:val="H23G"/>
    <w:locked/>
    <w:rsid w:val="003D01D8"/>
    <w:rPr>
      <w:b/>
      <w:lang w:val="es-ES" w:eastAsia="es-ES"/>
    </w:rPr>
  </w:style>
  <w:style w:type="numbering" w:customStyle="1" w:styleId="NoList1">
    <w:name w:val="No List1"/>
    <w:next w:val="NoList"/>
    <w:uiPriority w:val="99"/>
    <w:semiHidden/>
    <w:unhideWhenUsed/>
    <w:rsid w:val="006313D2"/>
  </w:style>
  <w:style w:type="character" w:customStyle="1" w:styleId="HeaderChar">
    <w:name w:val="Header Char"/>
    <w:aliases w:val="6_G Char"/>
    <w:basedOn w:val="DefaultParagraphFont"/>
    <w:link w:val="Header"/>
    <w:rsid w:val="006313D2"/>
    <w:rPr>
      <w:b/>
      <w:sz w:val="18"/>
      <w:lang w:val="es-ES" w:eastAsia="es-ES"/>
    </w:rPr>
  </w:style>
  <w:style w:type="character" w:customStyle="1" w:styleId="FooterChar">
    <w:name w:val="Footer Char"/>
    <w:aliases w:val="3_G Char"/>
    <w:basedOn w:val="DefaultParagraphFont"/>
    <w:link w:val="Footer"/>
    <w:uiPriority w:val="3"/>
    <w:rsid w:val="006313D2"/>
    <w:rPr>
      <w:sz w:val="16"/>
      <w:lang w:val="es-ES" w:eastAsia="es-ES"/>
    </w:rPr>
  </w:style>
  <w:style w:type="table" w:customStyle="1" w:styleId="TableGrid10">
    <w:name w:val="Table Grid1"/>
    <w:basedOn w:val="TableNormal"/>
    <w:next w:val="TableGrid"/>
    <w:rsid w:val="006313D2"/>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FootnoteReference"/>
    <w:rsid w:val="006313D2"/>
    <w:pPr>
      <w:spacing w:after="160" w:line="240" w:lineRule="exact"/>
    </w:pPr>
    <w:rPr>
      <w:sz w:val="18"/>
      <w:vertAlign w:val="superscript"/>
      <w:lang w:val="fr-FR" w:eastAsia="fr-FR"/>
    </w:rPr>
  </w:style>
  <w:style w:type="paragraph" w:customStyle="1" w:styleId="Cuerpo">
    <w:name w:val="Cuerpo"/>
    <w:rsid w:val="006313D2"/>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s-ES_tradnl" w:eastAsia="en-GB"/>
    </w:rPr>
  </w:style>
  <w:style w:type="paragraph" w:customStyle="1" w:styleId="Default">
    <w:name w:val="Default"/>
    <w:rsid w:val="006313D2"/>
    <w:pPr>
      <w:autoSpaceDE w:val="0"/>
      <w:autoSpaceDN w:val="0"/>
      <w:adjustRightInd w:val="0"/>
    </w:pPr>
    <w:rPr>
      <w:rFonts w:ascii="Calibri" w:eastAsia="Calibri" w:hAnsi="Calibri" w:cs="Calibri"/>
      <w:color w:val="000000"/>
      <w:sz w:val="24"/>
      <w:szCs w:val="24"/>
      <w:lang w:val="en-GB" w:eastAsia="en-US"/>
    </w:rPr>
  </w:style>
  <w:style w:type="character" w:customStyle="1" w:styleId="Ninguno">
    <w:name w:val="Ninguno"/>
    <w:rsid w:val="006313D2"/>
    <w:rPr>
      <w:lang w:val="es-ES_tradnl"/>
    </w:rPr>
  </w:style>
  <w:style w:type="paragraph" w:styleId="ListParagraph">
    <w:name w:val="List Paragraph"/>
    <w:basedOn w:val="Normal"/>
    <w:uiPriority w:val="34"/>
    <w:qFormat/>
    <w:rsid w:val="006313D2"/>
    <w:pPr>
      <w:ind w:left="720"/>
      <w:contextualSpacing/>
    </w:pPr>
  </w:style>
  <w:style w:type="paragraph" w:customStyle="1" w:styleId="ftrefCharCharChar">
    <w:name w:val="ftref Char Char Char"/>
    <w:aliases w:val="Heading 2 Char1 Char Char Char Char,Heading 2 Char2 Char Char Char Char Char,Heading 2 Char Char Char Char Char1 Char Char"/>
    <w:basedOn w:val="Normal"/>
    <w:uiPriority w:val="99"/>
    <w:rsid w:val="006313D2"/>
    <w:pPr>
      <w:spacing w:after="160" w:line="240" w:lineRule="exact"/>
    </w:pPr>
    <w:rPr>
      <w:rFonts w:eastAsia="Calibri"/>
      <w:sz w:val="18"/>
      <w:szCs w:val="22"/>
      <w:vertAlign w:val="superscript"/>
      <w:lang w:val="en-GB" w:eastAsia="en-US"/>
    </w:rPr>
  </w:style>
  <w:style w:type="paragraph" w:styleId="CommentText">
    <w:name w:val="annotation text"/>
    <w:basedOn w:val="Normal"/>
    <w:link w:val="CommentTextChar"/>
    <w:uiPriority w:val="99"/>
    <w:unhideWhenUsed/>
    <w:rsid w:val="006313D2"/>
    <w:pPr>
      <w:suppressAutoHyphens/>
      <w:spacing w:line="240" w:lineRule="auto"/>
    </w:pPr>
    <w:rPr>
      <w:lang w:val="en-GB" w:eastAsia="en-US"/>
    </w:rPr>
  </w:style>
  <w:style w:type="character" w:customStyle="1" w:styleId="CommentTextChar">
    <w:name w:val="Comment Text Char"/>
    <w:basedOn w:val="DefaultParagraphFont"/>
    <w:link w:val="CommentText"/>
    <w:uiPriority w:val="99"/>
    <w:rsid w:val="006313D2"/>
    <w:rPr>
      <w:lang w:val="en-GB" w:eastAsia="en-US"/>
    </w:rPr>
  </w:style>
  <w:style w:type="character" w:styleId="CommentReference">
    <w:name w:val="annotation reference"/>
    <w:basedOn w:val="DefaultParagraphFont"/>
    <w:uiPriority w:val="99"/>
    <w:semiHidden/>
    <w:unhideWhenUsed/>
    <w:rsid w:val="006313D2"/>
    <w:rPr>
      <w:sz w:val="16"/>
      <w:szCs w:val="16"/>
    </w:rPr>
  </w:style>
  <w:style w:type="paragraph" w:styleId="CommentSubject">
    <w:name w:val="annotation subject"/>
    <w:basedOn w:val="CommentText"/>
    <w:next w:val="CommentText"/>
    <w:link w:val="CommentSubjectChar"/>
    <w:uiPriority w:val="99"/>
    <w:semiHidden/>
    <w:unhideWhenUsed/>
    <w:rsid w:val="006313D2"/>
    <w:pPr>
      <w:suppressAutoHyphens w:val="0"/>
    </w:pPr>
    <w:rPr>
      <w:b/>
      <w:bCs/>
      <w:lang w:val="es-ES" w:eastAsia="es-ES"/>
    </w:rPr>
  </w:style>
  <w:style w:type="character" w:customStyle="1" w:styleId="CommentSubjectChar">
    <w:name w:val="Comment Subject Char"/>
    <w:basedOn w:val="CommentTextChar"/>
    <w:link w:val="CommentSubject"/>
    <w:uiPriority w:val="99"/>
    <w:semiHidden/>
    <w:rsid w:val="006313D2"/>
    <w:rPr>
      <w:b/>
      <w:bCs/>
      <w:lang w:val="es-ES" w:eastAsia="es-ES"/>
    </w:rPr>
  </w:style>
  <w:style w:type="paragraph" w:styleId="Revision">
    <w:name w:val="Revision"/>
    <w:hidden/>
    <w:uiPriority w:val="99"/>
    <w:semiHidden/>
    <w:rsid w:val="006313D2"/>
    <w:rPr>
      <w:lang w:val="es-ES" w:eastAsia="es-ES"/>
    </w:rPr>
  </w:style>
  <w:style w:type="character" w:customStyle="1" w:styleId="UnresolvedMention1">
    <w:name w:val="Unresolved Mention1"/>
    <w:basedOn w:val="DefaultParagraphFont"/>
    <w:uiPriority w:val="99"/>
    <w:semiHidden/>
    <w:unhideWhenUsed/>
    <w:rsid w:val="00F21F57"/>
    <w:rPr>
      <w:color w:val="605E5C"/>
      <w:shd w:val="clear" w:color="auto" w:fill="E1DFDD"/>
    </w:rPr>
  </w:style>
  <w:style w:type="character" w:customStyle="1" w:styleId="UnresolvedMention2">
    <w:name w:val="Unresolved Mention2"/>
    <w:basedOn w:val="DefaultParagraphFont"/>
    <w:uiPriority w:val="99"/>
    <w:semiHidden/>
    <w:unhideWhenUsed/>
    <w:rsid w:val="00184A96"/>
    <w:rPr>
      <w:color w:val="605E5C"/>
      <w:shd w:val="clear" w:color="auto" w:fill="E1DFDD"/>
    </w:rPr>
  </w:style>
  <w:style w:type="character" w:styleId="UnresolvedMention">
    <w:name w:val="Unresolved Mention"/>
    <w:basedOn w:val="DefaultParagraphFont"/>
    <w:uiPriority w:val="99"/>
    <w:semiHidden/>
    <w:unhideWhenUsed/>
    <w:rsid w:val="00CA74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9341626">
      <w:bodyDiv w:val="1"/>
      <w:marLeft w:val="0"/>
      <w:marRight w:val="0"/>
      <w:marTop w:val="0"/>
      <w:marBottom w:val="0"/>
      <w:divBdr>
        <w:top w:val="none" w:sz="0" w:space="0" w:color="auto"/>
        <w:left w:val="none" w:sz="0" w:space="0" w:color="auto"/>
        <w:bottom w:val="none" w:sz="0" w:space="0" w:color="auto"/>
        <w:right w:val="none" w:sz="0" w:space="0" w:color="auto"/>
      </w:divBdr>
    </w:div>
    <w:div w:id="1381049222">
      <w:bodyDiv w:val="1"/>
      <w:marLeft w:val="0"/>
      <w:marRight w:val="0"/>
      <w:marTop w:val="0"/>
      <w:marBottom w:val="0"/>
      <w:divBdr>
        <w:top w:val="none" w:sz="0" w:space="0" w:color="auto"/>
        <w:left w:val="none" w:sz="0" w:space="0" w:color="auto"/>
        <w:bottom w:val="none" w:sz="0" w:space="0" w:color="auto"/>
        <w:right w:val="none" w:sz="0" w:space="0" w:color="auto"/>
      </w:divBdr>
    </w:div>
    <w:div w:id="1519388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s/CAT/C/SR.1867"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undocs.org/es/CAT/C/BOL/3"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undocs.org/es/CAT/C/GC/3"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undocs.org/es/CAT/OP/12/5"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s/CAT/C/GC/2"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9D389-46EE-47D0-8AD1-CB74FEF13C84}">
  <ds:schemaRefs>
    <ds:schemaRef ds:uri="http://purl.org/dc/elements/1.1/"/>
    <ds:schemaRef ds:uri="http://schemas.microsoft.com/office/2006/metadata/properties"/>
    <ds:schemaRef ds:uri="c897859b-c95c-4367-a7a2-639c24a5e29a"/>
    <ds:schemaRef ds:uri="http://purl.org/dc/terms/"/>
    <ds:schemaRef ds:uri="http://schemas.openxmlformats.org/package/2006/metadata/core-properties"/>
    <ds:schemaRef ds:uri="c11320bd-0376-468b-ae19-b827459cb638"/>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77FA57E3-3D9F-4A5E-9111-997D61933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AC7CED-D89D-4D78-A7CA-CB0A22C7CA1E}">
  <ds:schemaRefs>
    <ds:schemaRef ds:uri="http://schemas.microsoft.com/sharepoint/v3/contenttype/forms"/>
  </ds:schemaRefs>
</ds:datastoreItem>
</file>

<file path=customXml/itemProps4.xml><?xml version="1.0" encoding="utf-8"?>
<ds:datastoreItem xmlns:ds="http://schemas.openxmlformats.org/officeDocument/2006/customXml" ds:itemID="{2D564D0A-90D1-4C41-AA25-821056D9C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7501</Words>
  <Characters>39984</Characters>
  <Application>Microsoft Office Word</Application>
  <DocSecurity>0</DocSecurity>
  <Lines>655</Lines>
  <Paragraphs>208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CAT/C/BOL/CO/R.3</vt:lpstr>
      <vt:lpstr>CAT/C/BOL/CO/R.3</vt:lpstr>
      <vt:lpstr>CAT/C/XXX/Y</vt:lpstr>
    </vt:vector>
  </TitlesOfParts>
  <Company>DCM</Company>
  <LinksUpToDate>false</LinksUpToDate>
  <CharactersWithSpaces>47277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CAT/C/BOL/CO/3</dc:title>
  <dc:subject/>
  <dc:creator>Gloria</dc:creator>
  <cp:keywords/>
  <cp:lastModifiedBy>Maria Luisa Zeballos Moreno</cp:lastModifiedBy>
  <cp:revision>3</cp:revision>
  <cp:lastPrinted>2021-12-29T06:24:00Z</cp:lastPrinted>
  <dcterms:created xsi:type="dcterms:W3CDTF">2021-12-29T06:24:00Z</dcterms:created>
  <dcterms:modified xsi:type="dcterms:W3CDTF">2021-12-29T06:28:00Z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7</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del Estado Plurinacional de Bolivia</vt:lpwstr>
  </property>
  <property fmtid="{D5CDD505-2E9C-101B-9397-08002B2CF9AE}" pid="9" name="countw">
    <vt:lpwstr>Estado Plurinacional de Bolivia</vt:lpwstr>
  </property>
  <property fmtid="{D5CDD505-2E9C-101B-9397-08002B2CF9AE}" pid="10" name="countwd">
    <vt:lpwstr>el Estado Plurinacional de Bolivia</vt:lpwstr>
  </property>
  <property fmtid="{D5CDD505-2E9C-101B-9397-08002B2CF9AE}" pid="11" name="date">
    <vt:lpwstr>2 de diciembre de 2021</vt:lpwstr>
  </property>
  <property fmtid="{D5CDD505-2E9C-101B-9397-08002B2CF9AE}" pid="12" name="Date-Generated">
    <vt:filetime>2021-12-02T04:52:58Z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español</vt:lpwstr>
  </property>
  <property fmtid="{D5CDD505-2E9C-101B-9397-08002B2CF9AE}" pid="20" name="Order">
    <vt:r8>245600</vt:r8>
  </property>
  <property fmtid="{D5CDD505-2E9C-101B-9397-08002B2CF9AE}" pid="21" name="Org">
    <vt:lpwstr>OHCHR</vt:lpwstr>
  </property>
  <property fmtid="{D5CDD505-2E9C-101B-9397-08002B2CF9AE}" pid="22" name="prep">
    <vt:lpwstr>al tercer informe periódico del Estado Plurinacional de Bolivia</vt:lpwstr>
  </property>
  <property fmtid="{D5CDD505-2E9C-101B-9397-08002B2CF9AE}" pid="23" name="preps">
    <vt:lpwstr>tercer informe periódico del Estado Plurinacional de Bolivia</vt:lpwstr>
  </property>
  <property fmtid="{D5CDD505-2E9C-101B-9397-08002B2CF9AE}" pid="24" name="prepw">
    <vt:lpwstr>al tercer informe periódico </vt:lpwstr>
  </property>
  <property fmtid="{D5CDD505-2E9C-101B-9397-08002B2CF9AE}" pid="25" name="prepwc">
    <vt:lpwstr>Tercer informe periódico </vt:lpwstr>
  </property>
  <property fmtid="{D5CDD505-2E9C-101B-9397-08002B2CF9AE}" pid="26" name="prepws">
    <vt:lpwstr>tercer informe periódico</vt:lpwstr>
  </property>
  <property fmtid="{D5CDD505-2E9C-101B-9397-08002B2CF9AE}" pid="27" name="sdate">
    <vt:lpwstr>8 de noviembre a 3 de diciembre 2021</vt:lpwstr>
  </property>
  <property fmtid="{D5CDD505-2E9C-101B-9397-08002B2CF9AE}" pid="28" name="snum">
    <vt:lpwstr>72ᵒ</vt:lpwstr>
  </property>
  <property fmtid="{D5CDD505-2E9C-101B-9397-08002B2CF9AE}" pid="29" name="stitle">
    <vt:lpwstr>[Title]</vt:lpwstr>
  </property>
  <property fmtid="{D5CDD505-2E9C-101B-9397-08002B2CF9AE}" pid="30" name="sym1">
    <vt:lpwstr>C/BOL/CO/R.3</vt:lpwstr>
  </property>
  <property fmtid="{D5CDD505-2E9C-101B-9397-08002B2CF9AE}" pid="31" name="symh">
    <vt:lpwstr>CAT/C/BOL/CO/R.3</vt:lpwstr>
  </property>
  <property fmtid="{D5CDD505-2E9C-101B-9397-08002B2CF9AE}" pid="32" name="Title">
    <vt:lpwstr>CAT/C/BOL/CO/R.3</vt:lpwstr>
  </property>
  <property fmtid="{D5CDD505-2E9C-101B-9397-08002B2CF9AE}" pid="33" name="tlang">
    <vt:lpwstr/>
  </property>
  <property fmtid="{D5CDD505-2E9C-101B-9397-08002B2CF9AE}" pid="34" name="virs">
    <vt:lpwstr>Español únicamente</vt:lpwstr>
  </property>
</Properties>
</file>