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201" w:rsidRDefault="00DF2201" w:rsidP="00DF2201">
      <w:pPr>
        <w:spacing w:line="60" w:lineRule="exact"/>
        <w:rPr>
          <w:sz w:val="6"/>
        </w:rPr>
        <w:sectPr w:rsidR="00DF2201" w:rsidSect="00DF220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DF2201" w:rsidRDefault="00DF2201" w:rsidP="00DF2201">
      <w:pPr>
        <w:spacing w:line="60" w:lineRule="exact"/>
        <w:rPr>
          <w:sz w:val="6"/>
        </w:rPr>
      </w:pPr>
    </w:p>
    <w:p w:rsidR="004E234C" w:rsidRDefault="004E234C" w:rsidP="004E23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4E234C" w:rsidRPr="00FC2907" w:rsidRDefault="004E234C" w:rsidP="004E234C">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60" w:after="60"/>
        <w:ind w:left="1264" w:right="1259" w:hanging="1264"/>
        <w:rPr>
          <w:rFonts w:ascii="SimHei" w:eastAsia="SimHei" w:hint="eastAsia"/>
          <w:color w:val="FF0000"/>
        </w:rPr>
      </w:pPr>
      <w:r w:rsidRPr="00FC2907">
        <w:rPr>
          <w:rFonts w:ascii="SimHei" w:eastAsia="SimHei" w:hint="eastAsia"/>
          <w:color w:val="FF0000"/>
        </w:rPr>
        <w:tab/>
        <w:t>第四十三届会议</w:t>
      </w:r>
    </w:p>
    <w:p w:rsidR="004E234C" w:rsidRDefault="004E234C" w:rsidP="004E234C">
      <w:pPr>
        <w:pStyle w:val="H56"/>
        <w:tabs>
          <w:tab w:val="clear" w:pos="360"/>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2009年1月19日至2月6日</w:t>
      </w:r>
    </w:p>
    <w:p w:rsidR="004E234C" w:rsidRPr="00C86B97" w:rsidRDefault="004E234C" w:rsidP="004E234C">
      <w:pPr>
        <w:pStyle w:val="SingleTxt"/>
        <w:spacing w:after="0" w:line="120" w:lineRule="exact"/>
        <w:ind w:right="0"/>
        <w:rPr>
          <w:rFonts w:hint="eastAsia"/>
          <w:sz w:val="10"/>
        </w:rPr>
      </w:pPr>
    </w:p>
    <w:p w:rsidR="004E234C" w:rsidRPr="00C86B97" w:rsidRDefault="004E234C" w:rsidP="004E234C">
      <w:pPr>
        <w:pStyle w:val="SingleTxt"/>
        <w:spacing w:after="0" w:line="120" w:lineRule="exact"/>
        <w:ind w:right="0"/>
        <w:rPr>
          <w:rFonts w:hint="eastAsia"/>
          <w:sz w:val="10"/>
        </w:rPr>
      </w:pPr>
    </w:p>
    <w:p w:rsidR="004E234C" w:rsidRPr="00C86B97" w:rsidRDefault="004E234C" w:rsidP="004E234C">
      <w:pPr>
        <w:pStyle w:val="SingleTxt"/>
        <w:spacing w:after="0" w:line="120" w:lineRule="exact"/>
        <w:ind w:right="0"/>
        <w:rPr>
          <w:rFonts w:hint="eastAsia"/>
          <w:sz w:val="10"/>
        </w:rPr>
      </w:pPr>
    </w:p>
    <w:p w:rsidR="004E234C" w:rsidRDefault="004E234C" w:rsidP="004E234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消除对妇女歧视委员会的结论意见</w:t>
      </w:r>
    </w:p>
    <w:p w:rsidR="004E234C" w:rsidRPr="00C86B97" w:rsidRDefault="004E234C" w:rsidP="004E234C">
      <w:pPr>
        <w:pStyle w:val="SingleTxt"/>
        <w:spacing w:after="0" w:line="120" w:lineRule="exact"/>
        <w:ind w:right="0"/>
        <w:rPr>
          <w:rFonts w:hint="eastAsia"/>
          <w:sz w:val="10"/>
        </w:rPr>
      </w:pPr>
    </w:p>
    <w:p w:rsidR="004E234C" w:rsidRPr="00C86B97" w:rsidRDefault="004E234C" w:rsidP="004E234C">
      <w:pPr>
        <w:pStyle w:val="SingleTxt"/>
        <w:spacing w:after="0" w:line="120" w:lineRule="exact"/>
        <w:ind w:right="0"/>
        <w:rPr>
          <w:rFonts w:hint="eastAsia"/>
          <w:sz w:val="10"/>
        </w:rPr>
      </w:pPr>
    </w:p>
    <w:p w:rsidR="004E234C" w:rsidRDefault="004E234C" w:rsidP="004E234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Pr>
          <w:rFonts w:hint="eastAsia"/>
        </w:rPr>
        <w:t>喀麦隆</w:t>
      </w:r>
    </w:p>
    <w:p w:rsidR="004E234C" w:rsidRPr="00C86B97" w:rsidRDefault="004E234C" w:rsidP="004E234C">
      <w:pPr>
        <w:pStyle w:val="SingleTxt"/>
        <w:spacing w:after="0" w:line="120" w:lineRule="exact"/>
        <w:ind w:right="0"/>
        <w:rPr>
          <w:rFonts w:hint="eastAsia"/>
          <w:sz w:val="10"/>
        </w:rPr>
      </w:pPr>
    </w:p>
    <w:p w:rsidR="004E234C" w:rsidRPr="00C86B97" w:rsidRDefault="004E234C" w:rsidP="004E234C">
      <w:pPr>
        <w:pStyle w:val="SingleTxt"/>
        <w:spacing w:after="0" w:line="120" w:lineRule="exact"/>
        <w:ind w:right="0"/>
        <w:rPr>
          <w:rFonts w:hint="eastAsia"/>
          <w:sz w:val="10"/>
        </w:rPr>
      </w:pPr>
    </w:p>
    <w:p w:rsidR="004E234C" w:rsidRDefault="004E234C" w:rsidP="004E234C">
      <w:pPr>
        <w:pStyle w:val="SingleTxt"/>
        <w:rPr>
          <w:rFonts w:hint="eastAsia"/>
        </w:rPr>
      </w:pPr>
      <w:r>
        <w:rPr>
          <w:rFonts w:hint="eastAsia"/>
        </w:rPr>
        <w:t>1.</w:t>
      </w:r>
      <w:r>
        <w:rPr>
          <w:rFonts w:hint="eastAsia"/>
        </w:rPr>
        <w:tab/>
        <w:t>2009年1月28日，委员会第875次和第876次会议审议了喀麦隆第二次和第三次定期报告(CEDAW/C/CMR/3)。委员会的议题和问题清单载于CEDAW/C/</w:t>
      </w:r>
      <w:r>
        <w:t xml:space="preserve"> </w:t>
      </w:r>
      <w:r>
        <w:rPr>
          <w:rFonts w:hint="eastAsia"/>
        </w:rPr>
        <w:t xml:space="preserve">CMR/Q/3，喀麦隆的答复载于CEDAW/C/CMR/Q/3/Add.1。 </w:t>
      </w:r>
    </w:p>
    <w:p w:rsidR="004E234C" w:rsidRDefault="004E234C" w:rsidP="004E23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导言</w:t>
      </w:r>
    </w:p>
    <w:p w:rsidR="004E234C" w:rsidRPr="00C86B97" w:rsidRDefault="004E234C" w:rsidP="004E234C">
      <w:pPr>
        <w:pStyle w:val="SingleTxt"/>
        <w:spacing w:after="0" w:line="120" w:lineRule="exact"/>
        <w:ind w:right="0"/>
        <w:rPr>
          <w:rFonts w:hint="eastAsia"/>
          <w:sz w:val="10"/>
        </w:rPr>
      </w:pPr>
    </w:p>
    <w:p w:rsidR="004E234C" w:rsidRDefault="004E234C" w:rsidP="004903E2">
      <w:pPr>
        <w:pStyle w:val="SingleTxt"/>
        <w:spacing w:line="310" w:lineRule="exact"/>
        <w:rPr>
          <w:rFonts w:hint="eastAsia"/>
        </w:rPr>
      </w:pPr>
      <w:r>
        <w:rPr>
          <w:rFonts w:hint="eastAsia"/>
        </w:rPr>
        <w:t>2.</w:t>
      </w:r>
      <w:r>
        <w:rPr>
          <w:rFonts w:hint="eastAsia"/>
        </w:rPr>
        <w:tab/>
        <w:t xml:space="preserve">委员会感谢缔约国提交第二次和第三次定期报告。 </w:t>
      </w:r>
    </w:p>
    <w:p w:rsidR="004E234C" w:rsidRDefault="004E234C" w:rsidP="004903E2">
      <w:pPr>
        <w:pStyle w:val="SingleTxt"/>
        <w:spacing w:line="310" w:lineRule="exact"/>
        <w:rPr>
          <w:rFonts w:hint="eastAsia"/>
        </w:rPr>
      </w:pPr>
      <w:r>
        <w:rPr>
          <w:rFonts w:hint="eastAsia"/>
        </w:rPr>
        <w:t>3.</w:t>
      </w:r>
      <w:r>
        <w:rPr>
          <w:rFonts w:hint="eastAsia"/>
        </w:rPr>
        <w:tab/>
        <w:t>委员会还赞赏缔约国对会前工作组提出的议题和问题清单所作的书面答复。委员会也赞赏缔约国对委员会口头提出的问题所作的口头说明和进一步澄清。</w:t>
      </w:r>
    </w:p>
    <w:p w:rsidR="004E234C" w:rsidRDefault="004E234C" w:rsidP="004903E2">
      <w:pPr>
        <w:pStyle w:val="SingleTxt"/>
        <w:spacing w:line="310" w:lineRule="exact"/>
        <w:rPr>
          <w:rFonts w:hint="eastAsia"/>
        </w:rPr>
      </w:pPr>
      <w:r>
        <w:rPr>
          <w:rFonts w:hint="eastAsia"/>
        </w:rPr>
        <w:t>4.</w:t>
      </w:r>
      <w:r>
        <w:rPr>
          <w:rFonts w:hint="eastAsia"/>
        </w:rPr>
        <w:tab/>
        <w:t>委员会赞赏缔约国派遣其常驻日内瓦代表团大使率领的代表团出席会议，其成员包括妇女与家庭事业促进部和司法部的代表。</w:t>
      </w:r>
    </w:p>
    <w:p w:rsidR="004E234C" w:rsidRDefault="004E234C" w:rsidP="004E23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积极方面</w:t>
      </w:r>
    </w:p>
    <w:p w:rsidR="004E234C" w:rsidRPr="00C86B97" w:rsidRDefault="004E234C" w:rsidP="004E234C">
      <w:pPr>
        <w:pStyle w:val="SingleTxt"/>
        <w:spacing w:after="0" w:line="120" w:lineRule="exact"/>
        <w:ind w:right="0"/>
        <w:rPr>
          <w:rFonts w:hint="eastAsia"/>
          <w:sz w:val="10"/>
        </w:rPr>
      </w:pPr>
    </w:p>
    <w:p w:rsidR="004E234C" w:rsidRDefault="004E234C" w:rsidP="004903E2">
      <w:pPr>
        <w:pStyle w:val="SingleTxt"/>
        <w:spacing w:line="310" w:lineRule="exact"/>
        <w:rPr>
          <w:rFonts w:hint="eastAsia"/>
        </w:rPr>
      </w:pPr>
      <w:r>
        <w:rPr>
          <w:rFonts w:hint="eastAsia"/>
        </w:rPr>
        <w:t>5.</w:t>
      </w:r>
      <w:r>
        <w:rPr>
          <w:rFonts w:hint="eastAsia"/>
        </w:rPr>
        <w:tab/>
        <w:t xml:space="preserve">委员会赞赏地注意到，缔约国于2005年1月批准了《消除对妇女一切形式歧视公约任择议定书》。 </w:t>
      </w:r>
    </w:p>
    <w:p w:rsidR="004E234C" w:rsidRDefault="004E234C" w:rsidP="004903E2">
      <w:pPr>
        <w:pStyle w:val="SingleTxt"/>
        <w:spacing w:line="310" w:lineRule="exact"/>
        <w:rPr>
          <w:rFonts w:hint="eastAsia"/>
        </w:rPr>
      </w:pPr>
      <w:r>
        <w:rPr>
          <w:rFonts w:hint="eastAsia"/>
        </w:rPr>
        <w:t>6.</w:t>
      </w:r>
      <w:r>
        <w:rPr>
          <w:rFonts w:hint="eastAsia"/>
        </w:rPr>
        <w:tab/>
        <w:t xml:space="preserve">委员会赞赏地注意到，缔约国与联合国机构、非政府组织和其他民间社会团体密切协作，促进妇女的人权和两性平等。 </w:t>
      </w:r>
    </w:p>
    <w:p w:rsidR="004E234C" w:rsidRDefault="004E234C" w:rsidP="004903E2">
      <w:pPr>
        <w:pStyle w:val="SingleTxt"/>
        <w:spacing w:line="310" w:lineRule="exact"/>
        <w:rPr>
          <w:rFonts w:hint="eastAsia"/>
        </w:rPr>
      </w:pPr>
      <w:r>
        <w:rPr>
          <w:rFonts w:hint="eastAsia"/>
        </w:rPr>
        <w:t>7.</w:t>
      </w:r>
      <w:r>
        <w:rPr>
          <w:rFonts w:hint="eastAsia"/>
        </w:rPr>
        <w:tab/>
        <w:t xml:space="preserve">委员会欢迎缔约国开启了一个法律改革进程，以修订被认为与《公约》相抵触的所有歧视性法律规定。委员会还欢迎缔约国于2005年7月通过了一项有关难民地位的国内法。委员会还欢迎缔约国为减贫和改善人民、特别是妇女的社会条件而制订的各项战略。 </w:t>
      </w:r>
    </w:p>
    <w:p w:rsidR="004E234C" w:rsidRDefault="004E234C" w:rsidP="004E23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 xml:space="preserve">主要关切领域和建议 </w:t>
      </w:r>
    </w:p>
    <w:p w:rsidR="004E234C" w:rsidRPr="00C86B97" w:rsidRDefault="004E234C" w:rsidP="004E234C">
      <w:pPr>
        <w:pStyle w:val="SingleTxt"/>
        <w:spacing w:after="0" w:line="120" w:lineRule="exact"/>
        <w:ind w:right="0"/>
        <w:rPr>
          <w:rFonts w:hint="eastAsia"/>
          <w:sz w:val="10"/>
        </w:rPr>
      </w:pPr>
    </w:p>
    <w:p w:rsidR="004E234C" w:rsidRDefault="004E234C" w:rsidP="004E234C">
      <w:pPr>
        <w:pStyle w:val="SingleTxt"/>
        <w:rPr>
          <w:rFonts w:hint="eastAsia"/>
        </w:rPr>
      </w:pPr>
      <w:r w:rsidRPr="00515DA1">
        <w:rPr>
          <w:rFonts w:hint="eastAsia"/>
        </w:rPr>
        <w:t>8.</w:t>
      </w:r>
      <w:r w:rsidRPr="00EC3BDF">
        <w:rPr>
          <w:rFonts w:ascii="SimHei" w:eastAsia="SimHei" w:hint="eastAsia"/>
          <w:color w:val="FF0000"/>
        </w:rPr>
        <w:tab/>
        <w:t>委员会提请注意，缔约国有义务系统地和持续地执行《公约》的所有条款，同时认为</w:t>
      </w:r>
      <w:r>
        <w:rPr>
          <w:rFonts w:ascii="SimHei" w:eastAsia="SimHei" w:hint="eastAsia"/>
          <w:color w:val="FF0000"/>
        </w:rPr>
        <w:t>，</w:t>
      </w:r>
      <w:r w:rsidRPr="00EC3BDF">
        <w:rPr>
          <w:rFonts w:ascii="SimHei" w:eastAsia="SimHei" w:hint="eastAsia"/>
          <w:color w:val="FF0000"/>
        </w:rPr>
        <w:t>缔约国必须优先重视本结论意见中提出的关切和建议。因此，委员会吁请缔约国将其执行活动的重点集中于这些领域，并在其下一次定期报告中报告所采取的行动和取得的成果。委员会还吁请缔约国将本结论意见提交给各有关部委、议会和司法机构，以确保这些意见得到有效落实</w:t>
      </w:r>
      <w:r>
        <w:rPr>
          <w:rFonts w:hint="eastAsia"/>
        </w:rPr>
        <w:t xml:space="preserve">。 </w:t>
      </w:r>
    </w:p>
    <w:p w:rsidR="004E234C" w:rsidRDefault="004E234C" w:rsidP="004E23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 xml:space="preserve">议会 </w:t>
      </w:r>
    </w:p>
    <w:p w:rsidR="004E234C" w:rsidRPr="00C86B97" w:rsidRDefault="004E234C" w:rsidP="004E234C">
      <w:pPr>
        <w:pStyle w:val="SingleTxt"/>
        <w:spacing w:after="0" w:line="120" w:lineRule="exact"/>
        <w:ind w:right="0"/>
        <w:rPr>
          <w:rFonts w:hint="eastAsia"/>
          <w:sz w:val="10"/>
        </w:rPr>
      </w:pPr>
    </w:p>
    <w:p w:rsidR="004E234C" w:rsidRDefault="004E234C" w:rsidP="004E234C">
      <w:pPr>
        <w:pStyle w:val="SingleTxt"/>
        <w:rPr>
          <w:rFonts w:hint="eastAsia"/>
        </w:rPr>
      </w:pPr>
      <w:r w:rsidRPr="00515DA1">
        <w:rPr>
          <w:rFonts w:hint="eastAsia"/>
        </w:rPr>
        <w:t>9.</w:t>
      </w:r>
      <w:r w:rsidRPr="00EC3BDF">
        <w:rPr>
          <w:rFonts w:ascii="SimHei" w:eastAsia="SimHei" w:hint="eastAsia"/>
          <w:color w:val="FF0000"/>
        </w:rPr>
        <w:tab/>
        <w:t>委员会重申，政府对于全面履行缔约国根据《公约》承担的义务负有首要责任，尤其是要接受问责，委员会同时也强调指出，《公约》对政府所有部门都具有约束力，委员会并请缔约国鼓励其国民议会酌情根据其任务规定和程序，就执行本结论意见以及《公约》规定的政府下一个报告进程采取必要措施</w:t>
      </w:r>
      <w:r>
        <w:rPr>
          <w:rFonts w:hint="eastAsia"/>
        </w:rPr>
        <w:t xml:space="preserve">。 </w:t>
      </w:r>
    </w:p>
    <w:p w:rsidR="004E234C" w:rsidRDefault="004E234C" w:rsidP="004E234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ascii="Times New Roman"/>
        </w:rPr>
        <w:tab/>
      </w:r>
      <w:r>
        <w:rPr>
          <w:rFonts w:ascii="Times New Roman"/>
        </w:rPr>
        <w:tab/>
      </w:r>
      <w:r>
        <w:rPr>
          <w:rFonts w:hint="eastAsia"/>
        </w:rPr>
        <w:t xml:space="preserve">《公约》的法律地位 </w:t>
      </w:r>
    </w:p>
    <w:p w:rsidR="004E234C" w:rsidRPr="00C86B97" w:rsidRDefault="004E234C" w:rsidP="004E234C">
      <w:pPr>
        <w:pStyle w:val="SingleTxt"/>
        <w:spacing w:after="0" w:line="120" w:lineRule="exact"/>
        <w:ind w:right="0"/>
        <w:rPr>
          <w:rFonts w:hint="eastAsia"/>
          <w:sz w:val="10"/>
        </w:rPr>
      </w:pPr>
    </w:p>
    <w:p w:rsidR="004E234C" w:rsidRDefault="004E234C" w:rsidP="004E234C">
      <w:pPr>
        <w:pStyle w:val="SingleTxt"/>
        <w:rPr>
          <w:rFonts w:hint="eastAsia"/>
        </w:rPr>
      </w:pPr>
      <w:r>
        <w:rPr>
          <w:rFonts w:hint="eastAsia"/>
        </w:rPr>
        <w:t>10.</w:t>
      </w:r>
      <w:r>
        <w:rPr>
          <w:rFonts w:hint="eastAsia"/>
        </w:rPr>
        <w:tab/>
        <w:t>委员会指出，根据</w:t>
      </w:r>
      <w:r w:rsidR="004903E2">
        <w:rPr>
          <w:rFonts w:hint="eastAsia"/>
        </w:rPr>
        <w:t>该缔约国</w:t>
      </w:r>
      <w:r>
        <w:rPr>
          <w:rFonts w:hint="eastAsia"/>
        </w:rPr>
        <w:t xml:space="preserve">宪法第45条，缔约国批准的国际法律文书优先于国家法律，但委员会仍感关切的是，缔约国没有制定禁止歧视妇女和对这种歧视予以制裁的国内立法。 </w:t>
      </w:r>
    </w:p>
    <w:p w:rsidR="004E234C" w:rsidRDefault="004E234C" w:rsidP="004E234C">
      <w:pPr>
        <w:pStyle w:val="SingleTxt"/>
        <w:rPr>
          <w:rFonts w:hint="eastAsia"/>
        </w:rPr>
      </w:pPr>
      <w:r w:rsidRPr="00515DA1">
        <w:rPr>
          <w:rFonts w:hint="eastAsia"/>
        </w:rPr>
        <w:t>11.</w:t>
      </w:r>
      <w:r w:rsidRPr="00EC3BDF">
        <w:rPr>
          <w:rFonts w:ascii="SimHei" w:eastAsia="SimHei" w:hint="eastAsia"/>
          <w:color w:val="FF0000"/>
        </w:rPr>
        <w:tab/>
        <w:t>委员会促请缔约国颁布适当国家法律,禁止歧视妇女，包括《公约》第1条述及的直接和间接歧视，并为依据《公约》第2条(b)款在适当时候采取制裁作出规定</w:t>
      </w:r>
      <w:r>
        <w:rPr>
          <w:rFonts w:hint="eastAsia"/>
        </w:rPr>
        <w:t>。</w:t>
      </w:r>
    </w:p>
    <w:p w:rsidR="004E234C" w:rsidRPr="00AD60D2" w:rsidRDefault="004E234C" w:rsidP="004E234C">
      <w:pPr>
        <w:pStyle w:val="SingleTxt"/>
        <w:rPr>
          <w:rFonts w:ascii="SimHei" w:eastAsia="SimHei" w:hint="eastAsia"/>
          <w:color w:val="FF0000"/>
        </w:rPr>
      </w:pPr>
      <w:r w:rsidRPr="00AD60D2">
        <w:rPr>
          <w:rFonts w:ascii="SimHei" w:eastAsia="SimHei" w:hint="eastAsia"/>
          <w:color w:val="FF0000"/>
        </w:rPr>
        <w:t>《公约》及其《任择议定书》的知名度</w:t>
      </w:r>
    </w:p>
    <w:p w:rsidR="004E234C" w:rsidRDefault="004E234C" w:rsidP="004E234C">
      <w:pPr>
        <w:pStyle w:val="SingleTxt"/>
        <w:rPr>
          <w:rFonts w:hint="eastAsia"/>
        </w:rPr>
      </w:pPr>
      <w:r>
        <w:rPr>
          <w:rFonts w:hint="eastAsia"/>
        </w:rPr>
        <w:t>12.</w:t>
      </w:r>
      <w:r>
        <w:rPr>
          <w:rFonts w:hint="eastAsia"/>
        </w:rPr>
        <w:tab/>
        <w:t>委员会感到关切的是，《公约》及其《任择议定书》以及委员会的一般性建议没有充分周知政府各部门，也没有周知妇女，尤其是农村地区妇女。</w:t>
      </w:r>
    </w:p>
    <w:p w:rsidR="004E234C" w:rsidRDefault="004E234C" w:rsidP="004E234C">
      <w:pPr>
        <w:pStyle w:val="SingleTxt"/>
        <w:rPr>
          <w:rFonts w:hint="eastAsia"/>
        </w:rPr>
      </w:pPr>
      <w:r>
        <w:rPr>
          <w:rFonts w:hint="eastAsia"/>
        </w:rPr>
        <w:t>13.</w:t>
      </w:r>
      <w:r>
        <w:rPr>
          <w:rFonts w:hint="eastAsia"/>
        </w:rPr>
        <w:tab/>
      </w:r>
      <w:r w:rsidRPr="009E48CD">
        <w:rPr>
          <w:rFonts w:ascii="SimHei" w:eastAsia="SimHei" w:hint="eastAsia"/>
          <w:color w:val="FF0000"/>
        </w:rPr>
        <w:t>委员会敦促</w:t>
      </w:r>
      <w:r>
        <w:rPr>
          <w:rFonts w:ascii="SimHei" w:eastAsia="SimHei" w:hint="eastAsia"/>
          <w:color w:val="FF0000"/>
        </w:rPr>
        <w:t>缔约国</w:t>
      </w:r>
      <w:r w:rsidRPr="009E48CD">
        <w:rPr>
          <w:rFonts w:ascii="SimHei" w:eastAsia="SimHei" w:hint="eastAsia"/>
          <w:color w:val="FF0000"/>
        </w:rPr>
        <w:t>保证将《公约》、《任择议定书》及</w:t>
      </w:r>
      <w:r>
        <w:rPr>
          <w:rFonts w:ascii="SimHei" w:eastAsia="SimHei" w:hint="eastAsia"/>
          <w:color w:val="FF0000"/>
        </w:rPr>
        <w:t>委员会一般性建议</w:t>
      </w:r>
      <w:r w:rsidRPr="009E48CD">
        <w:rPr>
          <w:rFonts w:ascii="SimHei" w:eastAsia="SimHei" w:hint="eastAsia"/>
          <w:color w:val="FF0000"/>
        </w:rPr>
        <w:t>作为法律专业人员和司法部门人员教育和培训的一个组成部分。委员会还建议缔约国确保各级法官尤其是习惯法法院的法官在人权、《公约》及其《任择议定书》的规定方面得到适当培训，妇女能与男子一样平等地获得法院的服务。委员会进一步敦促缔约国确保通过利用适当的媒体向妇女和社区领袖提供关于《公约》的信息。</w:t>
      </w:r>
    </w:p>
    <w:p w:rsidR="004E234C" w:rsidRPr="00AD60D2" w:rsidRDefault="004E234C" w:rsidP="004E234C">
      <w:pPr>
        <w:pStyle w:val="SingleTxt"/>
        <w:rPr>
          <w:rFonts w:ascii="SimHei" w:eastAsia="SimHei" w:hint="eastAsia"/>
          <w:color w:val="FF0000"/>
        </w:rPr>
      </w:pPr>
      <w:r w:rsidRPr="00AD60D2">
        <w:rPr>
          <w:rFonts w:ascii="SimHei" w:eastAsia="SimHei" w:hint="eastAsia"/>
          <w:color w:val="FF0000"/>
        </w:rPr>
        <w:t>依然存在的歧视性规定</w:t>
      </w:r>
    </w:p>
    <w:p w:rsidR="004E234C" w:rsidRDefault="004E234C" w:rsidP="004E234C">
      <w:pPr>
        <w:pStyle w:val="SingleTxt"/>
        <w:rPr>
          <w:rFonts w:hint="eastAsia"/>
        </w:rPr>
      </w:pPr>
      <w:r>
        <w:rPr>
          <w:rFonts w:hint="eastAsia"/>
        </w:rPr>
        <w:t>14.</w:t>
      </w:r>
      <w:r>
        <w:rPr>
          <w:rFonts w:hint="eastAsia"/>
        </w:rPr>
        <w:tab/>
        <w:t>委员会注意到在消除歧视性法律方面缺乏进展，对没有优先考虑进行全面的法律改革以消除性歧视规定感到关切。委员会对这个方面的相关法案尚未颁布表示遗憾。除其他外，在涉及通奸、一夫多妻、商业所有权、国籍、守寡和家庭住所等《刑法》、《婚姻状况登记条例》和《民法》方面仍存在歧视性规定，委员会对此仍感到关切。委员会重申</w:t>
      </w:r>
      <w:r w:rsidRPr="00DE627F">
        <w:rPr>
          <w:rFonts w:hint="eastAsia"/>
        </w:rPr>
        <w:t>禁止酷刑委员会</w:t>
      </w:r>
      <w:r>
        <w:rPr>
          <w:rFonts w:hint="eastAsia"/>
        </w:rPr>
        <w:t>在其结论和建议（CAT/C/CR/31/6）中对以下事实表达的关切：《刑法》规定，如果强奸者事后娶受害人为妻，则免除惩罚。委员会对缔约国由于适用成文法和习惯法而造成的矛盾和前后不一致的情况也感到关切，并对仍然生效但歧视妇女和不符合《公约》规定的习惯法感到关切。</w:t>
      </w:r>
    </w:p>
    <w:p w:rsidR="004E234C" w:rsidRDefault="004E234C" w:rsidP="004E234C">
      <w:pPr>
        <w:pStyle w:val="SingleTxt"/>
        <w:rPr>
          <w:rFonts w:hint="eastAsia"/>
        </w:rPr>
      </w:pPr>
      <w:r>
        <w:rPr>
          <w:rFonts w:hint="eastAsia"/>
        </w:rPr>
        <w:t>15.</w:t>
      </w:r>
      <w:r>
        <w:rPr>
          <w:rFonts w:hint="eastAsia"/>
        </w:rPr>
        <w:tab/>
      </w:r>
      <w:r w:rsidRPr="009E48CD">
        <w:rPr>
          <w:rFonts w:ascii="SimHei" w:eastAsia="SimHei" w:hint="eastAsia"/>
          <w:color w:val="FF0000"/>
        </w:rPr>
        <w:t>委员会提醒缔约国有关建立一个连贯和统一的法律制度的重要性，并敦促缔约国加速其法律审查进程，并有效地与议会共同开展工作，</w:t>
      </w:r>
      <w:r>
        <w:rPr>
          <w:rFonts w:ascii="SimHei" w:eastAsia="SimHei" w:hint="eastAsia"/>
          <w:color w:val="FF0000"/>
        </w:rPr>
        <w:t>以</w:t>
      </w:r>
      <w:r w:rsidRPr="009E48CD">
        <w:rPr>
          <w:rFonts w:ascii="SimHei" w:eastAsia="SimHei" w:hint="eastAsia"/>
          <w:color w:val="FF0000"/>
        </w:rPr>
        <w:t>确保修订或废除所有歧视性法律，使其符合《公约》和委员会的一般性建议。委员会敦促缔约国订出一个开展此类改革、包括通过《刑法》、《婚姻状况登记条例》和《民法》的拟议修正案的明确时间表。委员会还请缔约国提高立法机关成员有关高度注意开展此类改革必要性的认识，以使妇女实现法律上的平等，遵守缔约国的国际条约义务。委员会一如在2000年结论意见中所做的那样，重申缔约国需要作为紧急事项对立法进行全面的改革，以便促进和保护妇女的平等和人权。</w:t>
      </w:r>
    </w:p>
    <w:p w:rsidR="004E234C" w:rsidRPr="002721E8" w:rsidRDefault="004E234C" w:rsidP="004E234C">
      <w:pPr>
        <w:pStyle w:val="SingleTxt"/>
        <w:rPr>
          <w:rFonts w:hint="eastAsia"/>
        </w:rPr>
      </w:pPr>
      <w:r>
        <w:rPr>
          <w:rFonts w:hint="eastAsia"/>
        </w:rPr>
        <w:t>16.</w:t>
      </w:r>
      <w:r>
        <w:rPr>
          <w:rFonts w:hint="eastAsia"/>
        </w:rPr>
        <w:tab/>
        <w:t xml:space="preserve">委员会欢迎家庭法典法律草案将男女最低法定结婚年龄定为18岁，并重申儿童权利委员会在其《结论意见》（CRC/C/15/Add.164）中表示的关切，即：规定男子18岁、女子15岁的不同最低法定结婚年龄是对妇女的歧视。 </w:t>
      </w:r>
    </w:p>
    <w:p w:rsidR="004E234C" w:rsidRPr="004903E2" w:rsidRDefault="004E234C" w:rsidP="004E234C">
      <w:pPr>
        <w:pStyle w:val="SingleTxt"/>
        <w:rPr>
          <w:rFonts w:hint="eastAsia"/>
          <w:spacing w:val="-2"/>
        </w:rPr>
      </w:pPr>
      <w:r w:rsidRPr="004903E2">
        <w:rPr>
          <w:rFonts w:hint="eastAsia"/>
          <w:spacing w:val="-2"/>
        </w:rPr>
        <w:t>17.</w:t>
      </w:r>
      <w:r w:rsidRPr="004903E2">
        <w:rPr>
          <w:rFonts w:hint="eastAsia"/>
          <w:spacing w:val="-2"/>
        </w:rPr>
        <w:tab/>
      </w:r>
      <w:r w:rsidRPr="004903E2">
        <w:rPr>
          <w:rFonts w:ascii="SimHei" w:eastAsia="SimHei" w:hint="eastAsia"/>
          <w:color w:val="FF0000"/>
          <w:spacing w:val="-2"/>
        </w:rPr>
        <w:t>委员会敦促缔约国按照《公约》第16条的规定和委员会第21号一般性建议，将女子的最低结婚年龄提高到18岁。委员会还敦促缔约国通过家庭法典法律草案。</w:t>
      </w:r>
    </w:p>
    <w:p w:rsidR="004E234C" w:rsidRPr="00AD60D2" w:rsidRDefault="004E234C" w:rsidP="004E234C">
      <w:pPr>
        <w:pStyle w:val="SingleTxt"/>
        <w:rPr>
          <w:rFonts w:ascii="SimHei" w:eastAsia="SimHei" w:hint="eastAsia"/>
          <w:color w:val="FF0000"/>
        </w:rPr>
      </w:pPr>
      <w:r w:rsidRPr="00AD60D2">
        <w:rPr>
          <w:rFonts w:ascii="SimHei" w:eastAsia="SimHei" w:hint="eastAsia"/>
          <w:color w:val="FF0000"/>
        </w:rPr>
        <w:t>提高妇女地位国家机构</w:t>
      </w:r>
    </w:p>
    <w:p w:rsidR="004E234C" w:rsidRDefault="004E234C" w:rsidP="004E234C">
      <w:pPr>
        <w:pStyle w:val="SingleTxt"/>
        <w:rPr>
          <w:rFonts w:hint="eastAsia"/>
        </w:rPr>
      </w:pPr>
      <w:r>
        <w:rPr>
          <w:rFonts w:hint="eastAsia"/>
        </w:rPr>
        <w:t>18.</w:t>
      </w:r>
      <w:r>
        <w:rPr>
          <w:rFonts w:hint="eastAsia"/>
        </w:rPr>
        <w:tab/>
        <w:t xml:space="preserve">委员会欢迎缔约国于2004年设立国家人权和自由委员会以及开展旨在消除对妇女的各种形式歧视的项目。但是，委员会关切地注意到，国家委员会并没有处理两性平等的具体任务规定。此外，委员会还对国家委员会缺乏透明度和独立性感到关切，并对其可能不符合《巴黎原则》表示遗憾。 </w:t>
      </w:r>
    </w:p>
    <w:p w:rsidR="004E234C" w:rsidRDefault="004E234C" w:rsidP="004E234C">
      <w:pPr>
        <w:pStyle w:val="SingleTxt"/>
        <w:rPr>
          <w:rFonts w:hint="eastAsia"/>
        </w:rPr>
      </w:pPr>
      <w:r>
        <w:rPr>
          <w:rFonts w:hint="eastAsia"/>
        </w:rPr>
        <w:t>19.</w:t>
      </w:r>
      <w:r>
        <w:rPr>
          <w:rFonts w:hint="eastAsia"/>
        </w:rPr>
        <w:tab/>
      </w:r>
      <w:r w:rsidRPr="009E48CD">
        <w:rPr>
          <w:rFonts w:ascii="SimHei" w:eastAsia="SimHei" w:hint="eastAsia"/>
          <w:color w:val="FF0000"/>
        </w:rPr>
        <w:t>委员会吁请缔约国审查国家人权和自由委员会的人员组成情况并保证其独立性，并评估其遵守《巴黎原则》的情况。委员会还建议缔约国设立一名副性别问题监察员，其具体任务是促进妇女的权利。</w:t>
      </w:r>
      <w:r>
        <w:rPr>
          <w:rFonts w:hint="eastAsia"/>
        </w:rPr>
        <w:t xml:space="preserve"> </w:t>
      </w:r>
    </w:p>
    <w:p w:rsidR="004E234C" w:rsidRPr="002721E8" w:rsidRDefault="004E234C" w:rsidP="004E234C">
      <w:pPr>
        <w:pStyle w:val="SingleTxt"/>
        <w:rPr>
          <w:rFonts w:hint="eastAsia"/>
        </w:rPr>
      </w:pPr>
      <w:r>
        <w:rPr>
          <w:rFonts w:hint="eastAsia"/>
        </w:rPr>
        <w:t>20.</w:t>
      </w:r>
      <w:r>
        <w:rPr>
          <w:rFonts w:hint="eastAsia"/>
        </w:rPr>
        <w:tab/>
        <w:t xml:space="preserve">委员会欢迎缔约国拟订的消除男女不平等现象国家计划。委员会还欢迎缔约国制订减贫战略文件和各项举措，在双边和多边合作方面促进提高妇女地位。但是，委员会对缔约国没有就这些举措的执行结果和现状提供足够的资料表示遗憾。委员会还对缔约国没有就为这方面用途拨出的预算提供资料表示遗憾。  </w:t>
      </w:r>
    </w:p>
    <w:p w:rsidR="004E234C" w:rsidRDefault="004E234C" w:rsidP="004E234C">
      <w:pPr>
        <w:pStyle w:val="SingleTxt"/>
        <w:rPr>
          <w:rFonts w:hint="eastAsia"/>
        </w:rPr>
      </w:pPr>
      <w:r>
        <w:rPr>
          <w:rFonts w:hint="eastAsia"/>
        </w:rPr>
        <w:t>21.</w:t>
      </w:r>
      <w:r>
        <w:rPr>
          <w:rFonts w:hint="eastAsia"/>
        </w:rPr>
        <w:tab/>
      </w:r>
      <w:r w:rsidRPr="009E48CD">
        <w:rPr>
          <w:rFonts w:ascii="SimHei" w:eastAsia="SimHei" w:hint="eastAsia"/>
          <w:color w:val="FF0000"/>
        </w:rPr>
        <w:t>委员会吁请缔约国就其拟订的消除男女不平等现象国家计划的执行结果和现状以及已建立的监测机制提供详细的资料。委员会</w:t>
      </w:r>
      <w:r>
        <w:rPr>
          <w:rFonts w:ascii="SimHei" w:eastAsia="SimHei" w:hint="eastAsia"/>
          <w:color w:val="FF0000"/>
        </w:rPr>
        <w:t>还吁请</w:t>
      </w:r>
      <w:r w:rsidRPr="009E48CD">
        <w:rPr>
          <w:rFonts w:ascii="SimHei" w:eastAsia="SimHei" w:hint="eastAsia"/>
          <w:color w:val="FF0000"/>
        </w:rPr>
        <w:t>缔约国就</w:t>
      </w:r>
      <w:r>
        <w:rPr>
          <w:rFonts w:ascii="SimHei" w:eastAsia="SimHei" w:hint="eastAsia"/>
          <w:color w:val="FF0000"/>
        </w:rPr>
        <w:t>分拨</w:t>
      </w:r>
      <w:r w:rsidRPr="009E48CD">
        <w:rPr>
          <w:rFonts w:ascii="SimHei" w:eastAsia="SimHei" w:hint="eastAsia"/>
          <w:color w:val="FF0000"/>
        </w:rPr>
        <w:t>用于提高妇女地位举措的预算提供详细和具体的资料。委员会建议缔约国保证确立必要的权威和</w:t>
      </w:r>
      <w:r>
        <w:rPr>
          <w:rFonts w:ascii="SimHei" w:eastAsia="SimHei" w:hint="eastAsia"/>
          <w:color w:val="FF0000"/>
        </w:rPr>
        <w:t>分拨</w:t>
      </w:r>
      <w:r w:rsidRPr="009E48CD">
        <w:rPr>
          <w:rFonts w:ascii="SimHei" w:eastAsia="SimHei" w:hint="eastAsia"/>
          <w:color w:val="FF0000"/>
        </w:rPr>
        <w:t>足够的人力和财政资源，协调执行《公约》，并有效地促进两性平等。</w:t>
      </w:r>
      <w:r>
        <w:rPr>
          <w:rFonts w:hint="eastAsia"/>
        </w:rPr>
        <w:t xml:space="preserve"> </w:t>
      </w:r>
    </w:p>
    <w:p w:rsidR="004E234C" w:rsidRPr="00A23DD3" w:rsidRDefault="004E234C" w:rsidP="004E234C">
      <w:pPr>
        <w:pStyle w:val="SingleTxt"/>
        <w:rPr>
          <w:rFonts w:ascii="SimHei" w:eastAsia="SimHei" w:hint="eastAsia"/>
          <w:color w:val="FF0000"/>
        </w:rPr>
      </w:pPr>
      <w:r w:rsidRPr="00A23DD3">
        <w:rPr>
          <w:rFonts w:ascii="SimHei" w:eastAsia="SimHei" w:hint="eastAsia"/>
          <w:color w:val="FF0000"/>
        </w:rPr>
        <w:t>暂行特别措施</w:t>
      </w:r>
    </w:p>
    <w:p w:rsidR="004E234C" w:rsidRDefault="004E234C" w:rsidP="004E234C">
      <w:pPr>
        <w:pStyle w:val="SingleTxt"/>
        <w:rPr>
          <w:rFonts w:hint="eastAsia"/>
        </w:rPr>
      </w:pPr>
      <w:r>
        <w:rPr>
          <w:rFonts w:hint="eastAsia"/>
        </w:rPr>
        <w:t>22.</w:t>
      </w:r>
      <w:r>
        <w:rPr>
          <w:rFonts w:hint="eastAsia"/>
        </w:rPr>
        <w:tab/>
        <w:t xml:space="preserve">委员会欣见缔约国为加速实现男女平等作出的努力，特别是其所采取的奖学金政策。但这些努力惠及的妇女人数有限，而且缺乏机制监测这些措施的实施情况，委员会对此感到关切。委员会关切地注意到，缔约国没有作为一般政策利用暂行特别措施加速实现男女在《公约》所有领域中的事实上平等，改善落实妇女权利的情况，在妇女参加工作和妇女参政方面尤其如此。委员会还注意到，缔约国对《公约》第4条第1款规定的、委员会第25号一般性建议进一步解释的暂行特别措施概念缺乏理解。 </w:t>
      </w:r>
    </w:p>
    <w:p w:rsidR="004E234C" w:rsidRPr="004903E2" w:rsidRDefault="004E234C" w:rsidP="004E234C">
      <w:pPr>
        <w:pStyle w:val="SingleTxt"/>
        <w:rPr>
          <w:rFonts w:hint="eastAsia"/>
          <w:spacing w:val="-2"/>
        </w:rPr>
      </w:pPr>
      <w:r w:rsidRPr="004903E2">
        <w:rPr>
          <w:rFonts w:hint="eastAsia"/>
          <w:spacing w:val="-2"/>
        </w:rPr>
        <w:t>23.</w:t>
      </w:r>
      <w:r w:rsidRPr="004903E2">
        <w:rPr>
          <w:rFonts w:hint="eastAsia"/>
          <w:spacing w:val="-2"/>
        </w:rPr>
        <w:tab/>
      </w:r>
      <w:r w:rsidRPr="004903E2">
        <w:rPr>
          <w:rFonts w:ascii="SimHei" w:eastAsia="SimHei" w:hint="eastAsia"/>
          <w:color w:val="FF0000"/>
          <w:spacing w:val="-2"/>
        </w:rPr>
        <w:t>委员会鼓励缔约国按照《公约》第4条第1款和委员会第25号一般性建议，为制定暂行特别措施制定具体立法，以便在所有领域加速实现事实上的男女平等。</w:t>
      </w:r>
      <w:r w:rsidRPr="004903E2">
        <w:rPr>
          <w:rFonts w:hint="eastAsia"/>
          <w:spacing w:val="-2"/>
        </w:rPr>
        <w:t xml:space="preserve">  </w:t>
      </w:r>
    </w:p>
    <w:p w:rsidR="004E234C" w:rsidRPr="00A23DD3" w:rsidRDefault="004E234C" w:rsidP="004E234C">
      <w:pPr>
        <w:pStyle w:val="SingleTxt"/>
        <w:rPr>
          <w:rFonts w:ascii="SimHei" w:eastAsia="SimHei" w:hint="eastAsia"/>
          <w:color w:val="FF0000"/>
        </w:rPr>
      </w:pPr>
      <w:r w:rsidRPr="00A23DD3">
        <w:rPr>
          <w:rFonts w:ascii="SimHei" w:eastAsia="SimHei" w:hint="eastAsia"/>
          <w:color w:val="FF0000"/>
        </w:rPr>
        <w:t xml:space="preserve">陈规定型观念和文化习俗 </w:t>
      </w:r>
    </w:p>
    <w:p w:rsidR="004E234C" w:rsidRPr="004903E2" w:rsidRDefault="004E234C" w:rsidP="004E234C">
      <w:pPr>
        <w:pStyle w:val="SingleTxt"/>
        <w:rPr>
          <w:rFonts w:hint="eastAsia"/>
          <w:spacing w:val="-2"/>
        </w:rPr>
      </w:pPr>
      <w:r w:rsidRPr="004903E2">
        <w:rPr>
          <w:rFonts w:hint="eastAsia"/>
          <w:spacing w:val="-2"/>
        </w:rPr>
        <w:t>24.</w:t>
      </w:r>
      <w:r w:rsidRPr="004903E2">
        <w:rPr>
          <w:rFonts w:hint="eastAsia"/>
          <w:spacing w:val="-2"/>
        </w:rPr>
        <w:tab/>
        <w:t>委员会赞扬缔约国为克服有关妇女职责的陈规定型观念和偏见所作的努力。但委员会对歧视妇女和使妇女在家庭和社会中长期处于从属地位的重男轻女态度以及根深蒂固的关于妇女角色和职责的陈规定型观念表示关切。委员会指出，这种歧视态度和陈规定型观念严重阻碍妇女享有人权并实现《公约》赋予她们的权利。</w:t>
      </w:r>
    </w:p>
    <w:p w:rsidR="004E234C" w:rsidRPr="00A23DD3" w:rsidRDefault="004E234C" w:rsidP="004E234C">
      <w:pPr>
        <w:pStyle w:val="SingleTxt"/>
        <w:rPr>
          <w:rFonts w:ascii="SimHei" w:eastAsia="SimHei" w:hint="eastAsia"/>
          <w:color w:val="FF0000"/>
        </w:rPr>
      </w:pPr>
      <w:r>
        <w:rPr>
          <w:rFonts w:hint="eastAsia"/>
        </w:rPr>
        <w:t>25.</w:t>
      </w:r>
      <w:r>
        <w:rPr>
          <w:rFonts w:hint="eastAsia"/>
        </w:rPr>
        <w:tab/>
      </w:r>
      <w:r w:rsidRPr="00A23DD3">
        <w:rPr>
          <w:rFonts w:ascii="SimHei" w:eastAsia="SimHei" w:hint="eastAsia"/>
          <w:color w:val="FF0000"/>
        </w:rPr>
        <w:t>委员会一如在2000年结论意见中所做的那样，敦促缔约国继续采取措施，包括制定国家立法，按照《公约》第2条(f)款和第5条(a)款的规定，改变或铲除歧视妇女的有害传统和文化习俗。委员会敦促缔约国在这方面加强与民间社会组织、妇女团体和社区领导人、传统领袖、教师和媒体之间的合作。委员会邀请缔约国加强努力，设计和实施针对社会各阶层妇女和男子的长期战略以及教育和提高认识方案，以创造有利环境，消除陈规定型观念和有害的传统习俗。</w:t>
      </w:r>
    </w:p>
    <w:p w:rsidR="004E234C" w:rsidRPr="00A23DD3" w:rsidRDefault="004E234C" w:rsidP="004E234C">
      <w:pPr>
        <w:pStyle w:val="SingleTxt"/>
        <w:rPr>
          <w:rFonts w:ascii="SimHei" w:eastAsia="SimHei" w:hint="eastAsia"/>
          <w:color w:val="FF0000"/>
        </w:rPr>
      </w:pPr>
      <w:r w:rsidRPr="00A23DD3">
        <w:rPr>
          <w:rFonts w:ascii="SimHei" w:eastAsia="SimHei" w:hint="eastAsia"/>
          <w:color w:val="FF0000"/>
        </w:rPr>
        <w:t>暴力侵害妇女行为</w:t>
      </w:r>
    </w:p>
    <w:p w:rsidR="004E234C" w:rsidRDefault="004E234C" w:rsidP="004E234C">
      <w:pPr>
        <w:pStyle w:val="SingleTxt"/>
        <w:rPr>
          <w:rFonts w:hint="eastAsia"/>
        </w:rPr>
      </w:pPr>
      <w:r>
        <w:rPr>
          <w:rFonts w:hint="eastAsia"/>
        </w:rPr>
        <w:t>26.</w:t>
      </w:r>
      <w:r>
        <w:rPr>
          <w:rFonts w:hint="eastAsia"/>
        </w:rPr>
        <w:tab/>
        <w:t>委员会欣见缔约国提出关于防止和惩罚暴力侵害妇女行为和性别歧视的法律草案，但对尚未通过这项法律草案感到遗憾。委员会对频繁发生普遍存在的丈夫和其他男性亲属的家庭暴力行为等暴力侵害妇女和女孩的事件表示关切，并对尚未通过关于暴力侵害妇女问题的具体法律表示关切。此外，委员会关切地注意到，对此保持沉默和不予追究的文化似乎使这种暴力在社会上合理化了，而且在大多数情况下得到社会的认可。委员会对少报暴力案件和没有针对家庭暴力的具体立法感到关切，并关切不将婚内强奸视为刑事犯罪的问题。委员会遗憾地注意到缺乏按各年龄组分列的关于暴力侵害妇女和女孩的数据和资料。委员会还对暴力受害者没有足够的收容所以及迟迟没有通过关于防止和惩处暴力侵害妇女和性别歧视的法律草案感到关切。</w:t>
      </w:r>
    </w:p>
    <w:p w:rsidR="004E234C" w:rsidRPr="00A23DD3" w:rsidRDefault="004E234C" w:rsidP="004E234C">
      <w:pPr>
        <w:pStyle w:val="SingleTxt"/>
        <w:rPr>
          <w:rFonts w:ascii="SimHei" w:eastAsia="SimHei" w:hint="eastAsia"/>
          <w:color w:val="FF0000"/>
        </w:rPr>
      </w:pPr>
      <w:r>
        <w:rPr>
          <w:rFonts w:hint="eastAsia"/>
        </w:rPr>
        <w:t>27.</w:t>
      </w:r>
      <w:r>
        <w:rPr>
          <w:rFonts w:hint="eastAsia"/>
        </w:rPr>
        <w:tab/>
      </w:r>
      <w:r w:rsidRPr="00A23DD3">
        <w:rPr>
          <w:rFonts w:ascii="SimHei" w:eastAsia="SimHei" w:hint="eastAsia"/>
          <w:color w:val="FF0000"/>
        </w:rPr>
        <w:t>委员会敦促缔约国加速通过关于防止和惩处暴力侵害妇女和性别歧视的法律草案，并优先关注打击暴力侵害妇女和女孩的问题，尤其是家庭暴力</w:t>
      </w:r>
      <w:r>
        <w:rPr>
          <w:rFonts w:ascii="SimHei" w:eastAsia="SimHei" w:hint="eastAsia"/>
          <w:color w:val="FF0000"/>
        </w:rPr>
        <w:t>问题</w:t>
      </w:r>
      <w:r w:rsidRPr="00A23DD3">
        <w:rPr>
          <w:rFonts w:ascii="SimHei" w:eastAsia="SimHei" w:hint="eastAsia"/>
          <w:color w:val="FF0000"/>
        </w:rPr>
        <w:t>。委员会请缔约国通过媒体和教育方案提高公众认识，使人们认识到，根据《公约》，一切形式的暴力侵害妇女行为</w:t>
      </w:r>
      <w:r>
        <w:rPr>
          <w:rFonts w:ascii="SimHei" w:eastAsia="SimHei" w:hint="eastAsia"/>
          <w:color w:val="FF0000"/>
        </w:rPr>
        <w:t>均构成</w:t>
      </w:r>
      <w:r w:rsidRPr="00A23DD3">
        <w:rPr>
          <w:rFonts w:ascii="SimHei" w:eastAsia="SimHei" w:hint="eastAsia"/>
          <w:color w:val="FF0000"/>
        </w:rPr>
        <w:t>歧视，因此侵犯妇女的人权。委员会呼吁缔约国确保包括家庭暴力、婚内强奸以及一切形式性虐待在内的暴力侵害妇女和女孩的行为都构成刑事犯罪；确保对行为人进行起诉</w:t>
      </w:r>
      <w:r>
        <w:rPr>
          <w:rFonts w:ascii="SimHei" w:eastAsia="SimHei" w:hint="eastAsia"/>
          <w:color w:val="FF0000"/>
        </w:rPr>
        <w:t>和</w:t>
      </w:r>
      <w:r w:rsidRPr="00A23DD3">
        <w:rPr>
          <w:rFonts w:ascii="SimHei" w:eastAsia="SimHei" w:hint="eastAsia"/>
          <w:color w:val="FF0000"/>
        </w:rPr>
        <w:t>惩罚</w:t>
      </w:r>
      <w:r>
        <w:rPr>
          <w:rFonts w:ascii="SimHei" w:eastAsia="SimHei" w:hint="eastAsia"/>
          <w:color w:val="FF0000"/>
        </w:rPr>
        <w:t>，受害者能够复原</w:t>
      </w:r>
      <w:r w:rsidRPr="00A23DD3">
        <w:rPr>
          <w:rFonts w:ascii="SimHei" w:eastAsia="SimHei" w:hint="eastAsia"/>
          <w:color w:val="FF0000"/>
        </w:rPr>
        <w:t>；并确保受暴力侵害的妇女和女孩能够立即获得补救和保护。委员会请缔约国消除妇女</w:t>
      </w:r>
      <w:r>
        <w:rPr>
          <w:rFonts w:ascii="SimHei" w:eastAsia="SimHei" w:hint="eastAsia"/>
          <w:color w:val="FF0000"/>
        </w:rPr>
        <w:t>和女孩</w:t>
      </w:r>
      <w:r w:rsidRPr="00A23DD3">
        <w:rPr>
          <w:rFonts w:ascii="SimHei" w:eastAsia="SimHei" w:hint="eastAsia"/>
          <w:color w:val="FF0000"/>
        </w:rPr>
        <w:t>在诉诸司法时面临的任何阻碍，并建议向所有暴力行为的受害者提供法律援助，包括在农村地区建立法律援助站。委员会建议对司法和公职人员，特别是执法人员、医务工作者以及社区发展干事进行培训，以确保他们了解一切形式的暴力侵害妇女和女孩的行为，并能向受害者提供适当的、对性别问题有敏感认识的支持。</w:t>
      </w:r>
    </w:p>
    <w:p w:rsidR="004E234C" w:rsidRPr="00A23DD3" w:rsidRDefault="004E234C" w:rsidP="004E234C">
      <w:pPr>
        <w:pStyle w:val="SingleTxt"/>
        <w:rPr>
          <w:rFonts w:ascii="SimHei" w:eastAsia="SimHei" w:hint="eastAsia"/>
          <w:color w:val="FF0000"/>
        </w:rPr>
      </w:pPr>
      <w:r w:rsidRPr="00A23DD3">
        <w:rPr>
          <w:rFonts w:ascii="SimHei" w:eastAsia="SimHei" w:hint="eastAsia"/>
          <w:color w:val="FF0000"/>
        </w:rPr>
        <w:t>切割女性生殖器和其他有害做法</w:t>
      </w:r>
    </w:p>
    <w:p w:rsidR="004E234C" w:rsidRDefault="004E234C" w:rsidP="004E234C">
      <w:pPr>
        <w:pStyle w:val="SingleTxt"/>
        <w:rPr>
          <w:rFonts w:hint="eastAsia"/>
        </w:rPr>
      </w:pPr>
      <w:r>
        <w:rPr>
          <w:rFonts w:hint="eastAsia"/>
        </w:rPr>
        <w:t>28.</w:t>
      </w:r>
      <w:r>
        <w:rPr>
          <w:rFonts w:hint="eastAsia"/>
        </w:rPr>
        <w:tab/>
        <w:t>委员会极为关切地注意到，该国一些地区依然普遍存在切割女性生殖器和熨烫乳房等有害做法，而且缔约国尚未采取持久和系统的行动，以根除这些做法。委员会还重申其在先前结论意见中表示的关切，禁止酷刑委员会(见CAT/C/34/Add.17)和经济、社会和文化权利委员会(见E/C.12/1/Add.40)表示了同样的关切，即该国某些地方依然发生影响妇女享有权利的做法，诸如切割女性生殖器和熨烫乳房，而且没有法律惩罚这些行为。委员会还对很少开展根除这些做法的宣传活动感到关切。</w:t>
      </w:r>
    </w:p>
    <w:p w:rsidR="004E234C" w:rsidRPr="00A23DD3" w:rsidRDefault="004E234C" w:rsidP="004E234C">
      <w:pPr>
        <w:pStyle w:val="SingleTxt"/>
        <w:rPr>
          <w:rFonts w:ascii="SimHei" w:eastAsia="SimHei" w:hint="eastAsia"/>
          <w:color w:val="FF0000"/>
        </w:rPr>
      </w:pPr>
      <w:r>
        <w:rPr>
          <w:rFonts w:hint="eastAsia"/>
        </w:rPr>
        <w:t>29.</w:t>
      </w:r>
      <w:r>
        <w:rPr>
          <w:rFonts w:hint="eastAsia"/>
        </w:rPr>
        <w:tab/>
      </w:r>
      <w:r w:rsidRPr="00A23DD3">
        <w:rPr>
          <w:rFonts w:ascii="SimHei" w:eastAsia="SimHei" w:hint="eastAsia"/>
          <w:color w:val="FF0000"/>
        </w:rPr>
        <w:t>委员会敦促缔约国制定国家法律，禁止所有切割女性生殖器以及熨烫乳房等任何其他的有害习俗，借助民间社会的支持，加强其针对妇女和男子向提高认识工作和教育工作，并消除切割女性生殖器和熨烫乳房的做法及其文化根由。委员会还鼓励缔约国制定方案，为施行女性生殖器切割术的人寻找其他收入来源作为谋生手段。</w:t>
      </w:r>
    </w:p>
    <w:p w:rsidR="004E234C" w:rsidRPr="00EE0FD5" w:rsidRDefault="004E234C" w:rsidP="004E234C">
      <w:pPr>
        <w:pStyle w:val="SingleTxt"/>
        <w:rPr>
          <w:rFonts w:ascii="SimHei" w:eastAsia="SimHei" w:hint="eastAsia"/>
          <w:color w:val="FF0000"/>
        </w:rPr>
      </w:pPr>
      <w:r w:rsidRPr="00EE0FD5">
        <w:rPr>
          <w:rFonts w:ascii="SimHei" w:eastAsia="SimHei" w:hint="eastAsia"/>
          <w:color w:val="FF0000"/>
        </w:rPr>
        <w:t>贩运和利用妇女卖淫营利</w:t>
      </w:r>
    </w:p>
    <w:p w:rsidR="004E234C" w:rsidRDefault="004E234C" w:rsidP="004E234C">
      <w:pPr>
        <w:pStyle w:val="SingleTxt"/>
        <w:rPr>
          <w:rFonts w:hint="eastAsia"/>
        </w:rPr>
      </w:pPr>
      <w:r>
        <w:rPr>
          <w:rFonts w:hint="eastAsia"/>
        </w:rPr>
        <w:t>30.</w:t>
      </w:r>
      <w:r>
        <w:rPr>
          <w:rFonts w:hint="eastAsia"/>
        </w:rPr>
        <w:tab/>
        <w:t>委员会欢迎缔约国为打击贩运人口采取的措施，赞赏缔约国通过关于贩运和奴役儿童问题的2005年12月第2005/15号法律并批准《联合国打击跨国有组织犯罪公约》及其两项《任择议定书》。委员会注意到缔约国为打击贩运人口和为营利目的剥削儿童(包括女童)而作的努力、包括各种次区域、区域和国际举措，但对缔约国内为营利目的贩运和剥削妇女的现象抬头感到关切。令委员会遗憾的还有，缔约国在这方面采取的大多数举措是针对儿童的，而没有解决剥削妇女和卖淫问题的专门战略。此外，委员会对缔约国未提供关于贩运妇女和女童及卖淫问题的资料感到遗憾。</w:t>
      </w:r>
    </w:p>
    <w:p w:rsidR="004E234C" w:rsidRDefault="004E234C" w:rsidP="004E234C">
      <w:pPr>
        <w:pStyle w:val="SingleTxt"/>
        <w:rPr>
          <w:rFonts w:hint="eastAsia"/>
        </w:rPr>
      </w:pPr>
      <w:r>
        <w:rPr>
          <w:rFonts w:hint="eastAsia"/>
        </w:rPr>
        <w:t>31.</w:t>
      </w:r>
      <w:r>
        <w:rPr>
          <w:rFonts w:hint="eastAsia"/>
        </w:rPr>
        <w:tab/>
      </w:r>
      <w:r w:rsidRPr="0035538C">
        <w:rPr>
          <w:rFonts w:ascii="SimHei" w:eastAsia="SimHei" w:hint="eastAsia"/>
          <w:color w:val="FF0000"/>
        </w:rPr>
        <w:t>委员会要求缔约国采取措施解决贩运妇女及卖淫问题的主要根源，以进一步遏制这</w:t>
      </w:r>
      <w:r>
        <w:rPr>
          <w:rFonts w:ascii="SimHei" w:eastAsia="SimHei" w:hint="eastAsia"/>
          <w:color w:val="FF0000"/>
        </w:rPr>
        <w:t>些</w:t>
      </w:r>
      <w:r w:rsidRPr="0035538C">
        <w:rPr>
          <w:rFonts w:ascii="SimHei" w:eastAsia="SimHei" w:hint="eastAsia"/>
          <w:color w:val="FF0000"/>
        </w:rPr>
        <w:t>现象。在这方面，委员会要求缔约国对妇女和女童进行职业选择教育，以消除只有卖淫这一条出路的境况。委员会还建议缔约国将批准的各项区域和国际文书纳入国内法并予以实施，设立被贩运者收容所，并采取一切必要措施确保受害者复健和重新融入社会。委员会还敦促缔约国高度重视保护工作，包括保护证人、对受害者、尤其是对女童进行咨询和复健。委员会要求缔约国加强防止贩运的措施，包括降低妇女和女童脆弱性的经济措施，以及提高认识和宣传活动。委员会</w:t>
      </w:r>
      <w:r>
        <w:rPr>
          <w:rFonts w:ascii="SimHei" w:eastAsia="SimHei" w:hint="eastAsia"/>
          <w:color w:val="FF0000"/>
        </w:rPr>
        <w:t>还</w:t>
      </w:r>
      <w:r w:rsidRPr="0035538C">
        <w:rPr>
          <w:rFonts w:ascii="SimHei" w:eastAsia="SimHei" w:hint="eastAsia"/>
          <w:color w:val="FF0000"/>
        </w:rPr>
        <w:t>要求缔约国提供关于贩运妇女和女童及卖淫问题的详细统计资料</w:t>
      </w:r>
      <w:r>
        <w:rPr>
          <w:rFonts w:hint="eastAsia"/>
        </w:rPr>
        <w:t>。</w:t>
      </w:r>
    </w:p>
    <w:p w:rsidR="004E234C" w:rsidRPr="00EE0FD5" w:rsidRDefault="004E234C" w:rsidP="004E234C">
      <w:pPr>
        <w:pStyle w:val="SingleTxt"/>
        <w:rPr>
          <w:rFonts w:ascii="SimHei" w:eastAsia="SimHei" w:hint="eastAsia"/>
          <w:color w:val="FF0000"/>
        </w:rPr>
      </w:pPr>
      <w:r w:rsidRPr="00EE0FD5">
        <w:rPr>
          <w:rFonts w:ascii="SimHei" w:eastAsia="SimHei" w:hint="eastAsia"/>
          <w:color w:val="FF0000"/>
        </w:rPr>
        <w:t>政治参与和参与公共生活</w:t>
      </w:r>
    </w:p>
    <w:p w:rsidR="004E234C" w:rsidRDefault="004E234C" w:rsidP="004903E2">
      <w:pPr>
        <w:pStyle w:val="SingleTxt"/>
        <w:spacing w:line="326" w:lineRule="exact"/>
        <w:rPr>
          <w:rFonts w:hint="eastAsia"/>
        </w:rPr>
      </w:pPr>
      <w:r>
        <w:rPr>
          <w:rFonts w:hint="eastAsia"/>
        </w:rPr>
        <w:t>32.</w:t>
      </w:r>
      <w:r>
        <w:rPr>
          <w:rFonts w:hint="eastAsia"/>
        </w:rPr>
        <w:tab/>
        <w:t>委员会欣见妇女占决策职位的人数增加，赞赏缔约国为促使妇女参与举办选举而作的努力。但委员会对占决策职位的妇女比率与男子相比很低表示关切。委员会还对鲜有妇女进入国际舞台感到关切；令委员会遗憾的是，在这方面对提拔妇女仍存在很多偏见，一般是基于所谓的没有可用妇女的理由。</w:t>
      </w:r>
    </w:p>
    <w:p w:rsidR="004E234C" w:rsidRDefault="004E234C" w:rsidP="004903E2">
      <w:pPr>
        <w:pStyle w:val="SingleTxt"/>
        <w:spacing w:line="326" w:lineRule="exact"/>
        <w:rPr>
          <w:rFonts w:hint="eastAsia"/>
        </w:rPr>
      </w:pPr>
      <w:r>
        <w:rPr>
          <w:rFonts w:hint="eastAsia"/>
        </w:rPr>
        <w:t>33.</w:t>
      </w:r>
      <w:r>
        <w:rPr>
          <w:rFonts w:hint="eastAsia"/>
        </w:rPr>
        <w:tab/>
      </w:r>
      <w:r w:rsidRPr="0035538C">
        <w:rPr>
          <w:rFonts w:ascii="SimHei" w:eastAsia="SimHei" w:hint="eastAsia"/>
          <w:color w:val="FF0000"/>
        </w:rPr>
        <w:t>委员会请缔约国开展全国宣传活动，提高对妇女、特别是农村妇女参与公共和政治生活重要性的认识。委员会要求缔约国加大力度，增加妇女担任决策职位的人数，促使妇女更多地参与国家公共生活。委员会还建议缔约国推动政党内的两性平等，并加大力度促使妇女更多地参与政治和公共生活，包括参与国际一级的政治和公共生活。委员会鼓励缔约国审查依照《公约》第4条第1款和委员会第25号一般性建议采用暂行特别措施的情况</w:t>
      </w:r>
      <w:r>
        <w:rPr>
          <w:rFonts w:ascii="SimHei" w:eastAsia="SimHei" w:hint="eastAsia"/>
          <w:color w:val="FF0000"/>
        </w:rPr>
        <w:t>，建议在</w:t>
      </w:r>
      <w:r w:rsidRPr="0035538C">
        <w:rPr>
          <w:rFonts w:ascii="SimHei" w:eastAsia="SimHei" w:hint="eastAsia"/>
          <w:color w:val="FF0000"/>
        </w:rPr>
        <w:t>执行此类措施</w:t>
      </w:r>
      <w:r>
        <w:rPr>
          <w:rFonts w:ascii="SimHei" w:eastAsia="SimHei" w:hint="eastAsia"/>
          <w:color w:val="FF0000"/>
        </w:rPr>
        <w:t>以</w:t>
      </w:r>
      <w:r w:rsidRPr="0035538C">
        <w:rPr>
          <w:rFonts w:ascii="SimHei" w:eastAsia="SimHei" w:hint="eastAsia"/>
          <w:color w:val="FF0000"/>
        </w:rPr>
        <w:t>增加妇女在政界的代表人数</w:t>
      </w:r>
      <w:r>
        <w:rPr>
          <w:rFonts w:ascii="SimHei" w:eastAsia="SimHei" w:hint="eastAsia"/>
          <w:color w:val="FF0000"/>
        </w:rPr>
        <w:t>时</w:t>
      </w:r>
      <w:r w:rsidRPr="0035538C">
        <w:rPr>
          <w:rFonts w:ascii="SimHei" w:eastAsia="SimHei" w:hint="eastAsia"/>
          <w:color w:val="FF0000"/>
        </w:rPr>
        <w:t>，应包括建立基准并制定时间表或提高定额。</w:t>
      </w:r>
    </w:p>
    <w:p w:rsidR="004E234C" w:rsidRPr="00EE0FD5" w:rsidRDefault="004E234C" w:rsidP="004903E2">
      <w:pPr>
        <w:pStyle w:val="SingleTxt"/>
        <w:spacing w:line="326" w:lineRule="exact"/>
        <w:rPr>
          <w:rFonts w:ascii="SimHei" w:eastAsia="SimHei" w:hint="eastAsia"/>
          <w:color w:val="FF0000"/>
        </w:rPr>
      </w:pPr>
      <w:r w:rsidRPr="00EE0FD5">
        <w:rPr>
          <w:rFonts w:ascii="SimHei" w:eastAsia="SimHei" w:hint="eastAsia"/>
          <w:color w:val="FF0000"/>
        </w:rPr>
        <w:t>教育</w:t>
      </w:r>
    </w:p>
    <w:p w:rsidR="004E234C" w:rsidRDefault="004E234C" w:rsidP="004E234C">
      <w:pPr>
        <w:pStyle w:val="SingleTxt"/>
        <w:rPr>
          <w:rFonts w:hint="eastAsia"/>
        </w:rPr>
      </w:pPr>
      <w:r>
        <w:rPr>
          <w:rFonts w:hint="eastAsia"/>
        </w:rPr>
        <w:t>34.</w:t>
      </w:r>
      <w:r>
        <w:rPr>
          <w:rFonts w:hint="eastAsia"/>
        </w:rPr>
        <w:tab/>
        <w:t>委员会欣见缔约国采取措施促进该国正规和非正规教育中的两性平等。在这方面，委员会赞赏缔约国的奖学金政策——“教育支持方案”，其中设有女童占40%的强制定额。但委员会关切的是，由于贫穷和社会定型观念等若干因素，有些女童、特别是农村地区女童未能从这些措施中受益。委员会关切的还有，完成中级和更高级教育的女童人数较少。委员会还对下列方面感到关切：没有足够的教育基础设施和教材；合格教师数量少；城乡之间的教育质量差别大；缺少关于上大学的男女青年比率的最新分类统计资料。</w:t>
      </w:r>
    </w:p>
    <w:p w:rsidR="004E234C" w:rsidRDefault="004E234C" w:rsidP="004E234C">
      <w:pPr>
        <w:pStyle w:val="SingleTxt"/>
        <w:rPr>
          <w:rFonts w:hint="eastAsia"/>
        </w:rPr>
      </w:pPr>
      <w:r>
        <w:rPr>
          <w:rFonts w:hint="eastAsia"/>
        </w:rPr>
        <w:t>35.</w:t>
      </w:r>
      <w:r>
        <w:rPr>
          <w:rFonts w:hint="eastAsia"/>
        </w:rPr>
        <w:tab/>
      </w:r>
      <w:r w:rsidRPr="0035538C">
        <w:rPr>
          <w:rFonts w:ascii="SimHei" w:eastAsia="SimHei" w:hint="eastAsia"/>
          <w:color w:val="FF0000"/>
        </w:rPr>
        <w:t>委员会敦促缔约国采取综合措施，改善农村地区女童的受教育情况，并提供这方面的最新详细资料。委员会还要求缔约国加强培训和招聘合格的教师，划拨充足资源以确保学校有所需的教材，并开展宣传活动，重点帮助父母理解教育对女童的重要作用。委员会还请缔约国</w:t>
      </w:r>
      <w:r>
        <w:rPr>
          <w:rFonts w:ascii="SimHei" w:eastAsia="SimHei" w:hint="eastAsia"/>
          <w:color w:val="FF0000"/>
        </w:rPr>
        <w:t>在下次定期报告中</w:t>
      </w:r>
      <w:r w:rsidRPr="0035538C">
        <w:rPr>
          <w:rFonts w:ascii="SimHei" w:eastAsia="SimHei" w:hint="eastAsia"/>
          <w:color w:val="FF0000"/>
        </w:rPr>
        <w:t>提供关于上大学的男女青年人数的完整详细资料，并按性别、年龄和所学专业分列</w:t>
      </w:r>
      <w:r>
        <w:rPr>
          <w:rFonts w:hint="eastAsia"/>
        </w:rPr>
        <w:t>。</w:t>
      </w:r>
    </w:p>
    <w:p w:rsidR="004E234C" w:rsidRPr="00C714F5" w:rsidRDefault="004E234C" w:rsidP="004E234C">
      <w:pPr>
        <w:pStyle w:val="SingleTxt"/>
        <w:rPr>
          <w:rFonts w:ascii="SimHei" w:eastAsia="SimHei" w:hint="eastAsia"/>
          <w:color w:val="FF0000"/>
        </w:rPr>
      </w:pPr>
      <w:r w:rsidRPr="00C714F5">
        <w:rPr>
          <w:rFonts w:ascii="SimHei" w:eastAsia="SimHei" w:hint="eastAsia"/>
          <w:color w:val="FF0000"/>
        </w:rPr>
        <w:t>就业</w:t>
      </w:r>
    </w:p>
    <w:p w:rsidR="004E234C" w:rsidRDefault="004E234C" w:rsidP="004903E2">
      <w:pPr>
        <w:pStyle w:val="SingleTxt"/>
        <w:spacing w:line="314" w:lineRule="exact"/>
        <w:rPr>
          <w:rFonts w:hint="eastAsia"/>
        </w:rPr>
      </w:pPr>
      <w:r>
        <w:rPr>
          <w:rFonts w:hint="eastAsia"/>
        </w:rPr>
        <w:t>36.</w:t>
      </w:r>
      <w:r>
        <w:rPr>
          <w:rFonts w:hint="eastAsia"/>
        </w:rPr>
        <w:tab/>
        <w:t>委员会关切地注意到，虽然劳动法为男女提供相同的就业机会和同工同酬同待遇的权利，但妇女主要集中务农和家政服务等特定领域。委员会还注意到，妇女主要就职于非正规部门，因而被排除在社会保障方案之外。委员会还对某些歧视妇女的法规感到关切。例如，1981年第81-02号法律准许丈夫以家庭和子女利益为由反对妻子就业。委员会还关切地指出，工作场所广泛存在性骚扰，却没有解决这个问题的法律。</w:t>
      </w:r>
    </w:p>
    <w:p w:rsidR="004E234C" w:rsidRDefault="004E234C" w:rsidP="004903E2">
      <w:pPr>
        <w:pStyle w:val="SingleTxt"/>
        <w:spacing w:line="314" w:lineRule="exact"/>
        <w:rPr>
          <w:rFonts w:hint="eastAsia"/>
        </w:rPr>
      </w:pPr>
      <w:r>
        <w:rPr>
          <w:rFonts w:hint="eastAsia"/>
        </w:rPr>
        <w:t>37.</w:t>
      </w:r>
      <w:r>
        <w:rPr>
          <w:rFonts w:hint="eastAsia"/>
        </w:rPr>
        <w:tab/>
      </w:r>
      <w:r w:rsidRPr="0035538C">
        <w:rPr>
          <w:rFonts w:ascii="SimHei" w:eastAsia="SimHei" w:hint="eastAsia"/>
          <w:color w:val="FF0000"/>
        </w:rPr>
        <w:t>委员会建议采取措施，保障执行《公约》第11条的所有规定，并执行喀麦隆批准的国际劳工组织各项相关公约。委员会敦促缔约国确保男女在就业市场享有同等机会，包括通过依照《公约》第4条第1款和第25号一般性建议采取暂行特别措施。委员会还建议缔约国特别重视在非正规部门工作的妇女，以确保她们获得社会服务。委员会敦促缔约国优先审查歧视性的法规，以便按照《公约》第11条撤销或进行修订。委员会还敦促缔约国颁布禁止工作场所性骚扰的法律，包括制定关于处罚、民事补救和受害者补偿的措施</w:t>
      </w:r>
      <w:r>
        <w:rPr>
          <w:rFonts w:hint="eastAsia"/>
        </w:rPr>
        <w:t>。</w:t>
      </w:r>
    </w:p>
    <w:p w:rsidR="004E234C" w:rsidRPr="00170F56" w:rsidRDefault="004E234C" w:rsidP="004903E2">
      <w:pPr>
        <w:pStyle w:val="SingleTxt"/>
        <w:spacing w:line="314" w:lineRule="exact"/>
        <w:rPr>
          <w:rFonts w:ascii="SimHei" w:eastAsia="SimHei" w:hint="eastAsia"/>
          <w:color w:val="FF0000"/>
        </w:rPr>
      </w:pPr>
      <w:r w:rsidRPr="00170F56">
        <w:rPr>
          <w:rFonts w:ascii="SimHei" w:eastAsia="SimHei" w:hint="eastAsia"/>
          <w:color w:val="FF0000"/>
        </w:rPr>
        <w:t>卫生</w:t>
      </w:r>
    </w:p>
    <w:p w:rsidR="004E234C" w:rsidRDefault="004E234C" w:rsidP="004903E2">
      <w:pPr>
        <w:pStyle w:val="SingleTxt"/>
        <w:spacing w:line="314" w:lineRule="exact"/>
        <w:rPr>
          <w:rFonts w:hint="eastAsia"/>
        </w:rPr>
      </w:pPr>
      <w:r>
        <w:rPr>
          <w:rFonts w:hint="eastAsia"/>
        </w:rPr>
        <w:t>38.</w:t>
      </w:r>
      <w:r>
        <w:rPr>
          <w:rFonts w:hint="eastAsia"/>
        </w:rPr>
        <w:tab/>
        <w:t>委员会欣见缔约国自审查初次报告后进行的若干改善妇女保健努力，并赞赏地注意到缔约国重视产妇保健和青春期保健，而且特别重视生殖健康问题、计划生育和防治艾滋病毒/艾滋病。但是，委员会对保健设施不足、尤其是对农村地区保健设施不足感到关切，对报告未提供按性别、区域、年龄和其他变量分列的获取保健服务情况信息感到遗憾。</w:t>
      </w:r>
    </w:p>
    <w:p w:rsidR="004E234C" w:rsidRDefault="004E234C" w:rsidP="004903E2">
      <w:pPr>
        <w:pStyle w:val="SingleTxt"/>
        <w:spacing w:line="314" w:lineRule="exact"/>
        <w:rPr>
          <w:rFonts w:hint="eastAsia"/>
        </w:rPr>
      </w:pPr>
      <w:r>
        <w:rPr>
          <w:rFonts w:hint="eastAsia"/>
        </w:rPr>
        <w:t>39.</w:t>
      </w:r>
      <w:r>
        <w:rPr>
          <w:rFonts w:hint="eastAsia"/>
        </w:rPr>
        <w:tab/>
      </w:r>
      <w:r w:rsidRPr="00170F56">
        <w:rPr>
          <w:rFonts w:ascii="SimHei" w:eastAsia="SimHei" w:hint="eastAsia"/>
          <w:color w:val="FF0000"/>
        </w:rPr>
        <w:t>委员会敦促缔约国继续努力改进其保健基础结构。委员会还敦促缔约国增加妇女、特别是农村地区妇女获得高质量和负担得起的保健和与保健有关的服务的机会。委员会还吁请缔约国加强防治艾滋病毒/艾滋病的行动。</w:t>
      </w:r>
    </w:p>
    <w:p w:rsidR="004E234C" w:rsidRDefault="004E234C" w:rsidP="004903E2">
      <w:pPr>
        <w:pStyle w:val="SingleTxt"/>
        <w:spacing w:line="314" w:lineRule="exact"/>
        <w:rPr>
          <w:rFonts w:hint="eastAsia"/>
        </w:rPr>
      </w:pPr>
      <w:r>
        <w:rPr>
          <w:rFonts w:hint="eastAsia"/>
        </w:rPr>
        <w:t>40.</w:t>
      </w:r>
      <w:r>
        <w:rPr>
          <w:rFonts w:hint="eastAsia"/>
        </w:rPr>
        <w:tab/>
        <w:t>委员会仍然对孕产妇死亡率居高不下感到关切，导致这种情形的主要原因是不安全人工流产。委员会还对未制定降低孕产妇死亡率的战略感到关切。委员会还指出，即使根据该国《刑法》，遭强奸受孕妇女人工流产不构成刑事犯罪，但这些妇女仍然无法选择做人工流产</w:t>
      </w:r>
      <w:r w:rsidR="004903E2">
        <w:rPr>
          <w:rFonts w:hint="eastAsia"/>
        </w:rPr>
        <w:t>。委员会还对报告未提供关于人工流产数目或导致妇女死亡其他</w:t>
      </w:r>
      <w:r>
        <w:rPr>
          <w:rFonts w:hint="eastAsia"/>
        </w:rPr>
        <w:t>原因的统计数据表示遗憾，委员会遗憾地指出，不报告这些情况是缔约国沉默文化所致。</w:t>
      </w:r>
    </w:p>
    <w:p w:rsidR="004E234C" w:rsidRDefault="004E234C" w:rsidP="004E234C">
      <w:pPr>
        <w:pStyle w:val="SingleTxt"/>
        <w:rPr>
          <w:rFonts w:hint="eastAsia"/>
        </w:rPr>
      </w:pPr>
      <w:r>
        <w:rPr>
          <w:rFonts w:hint="eastAsia"/>
        </w:rPr>
        <w:t>41.</w:t>
      </w:r>
      <w:r>
        <w:rPr>
          <w:rFonts w:hint="eastAsia"/>
        </w:rPr>
        <w:tab/>
      </w:r>
      <w:r w:rsidRPr="00170F56">
        <w:rPr>
          <w:rFonts w:ascii="SimHei" w:eastAsia="SimHei" w:hint="eastAsia"/>
          <w:color w:val="FF0000"/>
        </w:rPr>
        <w:t>委员会吁请缔约国评估人工流产对孕产妇死亡率的影响并考虑改革或修正人工流产的法律地位。委员会还吁请缔约国执行各项措施，以有效地执行管制合法人工流产的法规。此外，委员会请缔约国加强其各项方案，以提高妇女对生殖健康问题的认识，并建议广泛进行性教育，以及针对青春期女孩和男孩进行性教育。委员会请缔约国在向委员会提交的下一次定期报告中提供以下方面的详细信息：秘密和合法人工流产的数目、导致孕产妇死亡的主要原因和已采取的降低孕产妇死亡率的措施以及这些措施产生的影响。</w:t>
      </w:r>
    </w:p>
    <w:p w:rsidR="004E234C" w:rsidRPr="00170F56" w:rsidRDefault="004E234C" w:rsidP="004E234C">
      <w:pPr>
        <w:pStyle w:val="SingleTxt"/>
        <w:rPr>
          <w:rFonts w:ascii="SimHei" w:eastAsia="SimHei" w:hint="eastAsia"/>
          <w:color w:val="FF0000"/>
        </w:rPr>
      </w:pPr>
      <w:r w:rsidRPr="00170F56">
        <w:rPr>
          <w:rFonts w:ascii="SimHei" w:eastAsia="SimHei" w:hint="eastAsia"/>
          <w:color w:val="FF0000"/>
        </w:rPr>
        <w:t>农村妇女</w:t>
      </w:r>
    </w:p>
    <w:p w:rsidR="004E234C" w:rsidRDefault="004E234C" w:rsidP="004903E2">
      <w:pPr>
        <w:pStyle w:val="SingleTxt"/>
        <w:spacing w:line="330" w:lineRule="exact"/>
        <w:rPr>
          <w:rFonts w:hint="eastAsia"/>
        </w:rPr>
      </w:pPr>
      <w:r>
        <w:rPr>
          <w:rFonts w:hint="eastAsia"/>
        </w:rPr>
        <w:t>42.</w:t>
      </w:r>
      <w:r>
        <w:rPr>
          <w:rFonts w:hint="eastAsia"/>
        </w:rPr>
        <w:tab/>
        <w:t>委员会欢迎缔约国改善农村妇女状况的各项努力，例如制定了农村发展部门战略，农业和农村发展部建立了各种机制，但委员会对报告未提供有助于评估这些方案影响的统计数据表示遗憾。农村妇女和女孩处于弱势地位，她们贫穷，不识字，难以获得保健和社会服务，未参加社区一级的决策进程，委员会对此感到关切。委员会还感到关切的是，对女性持有的传统定型观念在农村社区更加普遍，农村妇女往往缺少获得土地所有权的有效途径。委员会还感到关切的是，妇女对自己的财产权认识有限，缺少主张这些权利的能力。</w:t>
      </w:r>
    </w:p>
    <w:p w:rsidR="004E234C" w:rsidRDefault="004E234C" w:rsidP="004903E2">
      <w:pPr>
        <w:pStyle w:val="SingleTxt"/>
        <w:spacing w:line="330" w:lineRule="exact"/>
        <w:rPr>
          <w:rFonts w:hint="eastAsia"/>
        </w:rPr>
      </w:pPr>
      <w:r>
        <w:rPr>
          <w:rFonts w:hint="eastAsia"/>
        </w:rPr>
        <w:t>43.</w:t>
      </w:r>
      <w:r>
        <w:rPr>
          <w:rFonts w:hint="eastAsia"/>
        </w:rPr>
        <w:tab/>
      </w:r>
      <w:r w:rsidRPr="00170F56">
        <w:rPr>
          <w:rFonts w:ascii="SimHei" w:eastAsia="SimHei" w:hint="eastAsia"/>
          <w:color w:val="FF0000"/>
        </w:rPr>
        <w:t>委员会吁请缔约国采取必要措施，增加和加强妇女参与设计和执行地方发展计划的情形，并且通过确保妇女参与决策进程和增加妇女获得保健、教育、清洁饮水和环境卫生等服务的机会，特别重视农村妇女的需要。委员会还促请缔约国采取适当措施，消除在拥有土地方面存在的对农村妇女的一切形式的歧视。委员会还请缔约国开展普及法律知识方案，提高妇女、特别是农村妇女对其土地权和财产权的认识。委员会请缔约国在下一次报告中提供关于农村妇女在《公约》涵盖各个领域状况的综合数据。委员会还请缔约国提供统计数据和详细资料，说明通过各种举措向农村妇女提供的直接支助。委员会鼓励缔约国向联合国各机构请求技术和财政支助。</w:t>
      </w:r>
    </w:p>
    <w:p w:rsidR="004E234C" w:rsidRPr="00170F56" w:rsidRDefault="004E234C" w:rsidP="004903E2">
      <w:pPr>
        <w:pStyle w:val="SingleTxt"/>
        <w:spacing w:line="330" w:lineRule="exact"/>
        <w:rPr>
          <w:rFonts w:ascii="SimHei" w:eastAsia="SimHei" w:hint="eastAsia"/>
          <w:color w:val="FF0000"/>
        </w:rPr>
      </w:pPr>
      <w:r w:rsidRPr="00170F56">
        <w:rPr>
          <w:rFonts w:ascii="SimHei" w:eastAsia="SimHei" w:hint="eastAsia"/>
          <w:color w:val="FF0000"/>
        </w:rPr>
        <w:t>难民妇女</w:t>
      </w:r>
    </w:p>
    <w:p w:rsidR="004E234C" w:rsidRDefault="004E234C" w:rsidP="004903E2">
      <w:pPr>
        <w:pStyle w:val="SingleTxt"/>
        <w:spacing w:line="326" w:lineRule="exact"/>
        <w:rPr>
          <w:rFonts w:hint="eastAsia"/>
        </w:rPr>
      </w:pPr>
      <w:r>
        <w:rPr>
          <w:rFonts w:hint="eastAsia"/>
        </w:rPr>
        <w:t>44.</w:t>
      </w:r>
      <w:r>
        <w:rPr>
          <w:rFonts w:hint="eastAsia"/>
        </w:rPr>
        <w:tab/>
        <w:t>委员会欣见缔约国于2005年制定了关于难民地位的国家法律，赞赏该法律采纳了1951年《公约》和非洲统一组织《公约》的难民定义。委员会欣见联合国难民事务高级专员办事处与该国内政部国家安全署等伙伴协作，确定了关于预防和应对性暴力和基于性别的暴力的标准作业程序。但委员会感到关切的是，缔约国尚未颁布必要法令，以执行2005年法律的主要规定。</w:t>
      </w:r>
    </w:p>
    <w:p w:rsidR="004E234C" w:rsidRDefault="004E234C" w:rsidP="004903E2">
      <w:pPr>
        <w:pStyle w:val="SingleTxt"/>
        <w:spacing w:line="326" w:lineRule="exact"/>
        <w:rPr>
          <w:rFonts w:hint="eastAsia"/>
        </w:rPr>
      </w:pPr>
      <w:r>
        <w:rPr>
          <w:rFonts w:hint="eastAsia"/>
        </w:rPr>
        <w:t>45.</w:t>
      </w:r>
      <w:r>
        <w:rPr>
          <w:rFonts w:hint="eastAsia"/>
        </w:rPr>
        <w:tab/>
      </w:r>
      <w:r w:rsidRPr="00170F56">
        <w:rPr>
          <w:rFonts w:ascii="SimHei" w:eastAsia="SimHei" w:hint="eastAsia"/>
          <w:color w:val="FF0000"/>
        </w:rPr>
        <w:t>委员会建议缔约国紧急颁布法令，以执行2005年《难民地位法律》主要规定，主要包括难民登记、难民地位确定程序和颁发寻求庇护者证书和难民证书等规定。</w:t>
      </w:r>
    </w:p>
    <w:p w:rsidR="004E234C" w:rsidRPr="00170F56" w:rsidRDefault="004E234C" w:rsidP="004903E2">
      <w:pPr>
        <w:pStyle w:val="SingleTxt"/>
        <w:spacing w:line="326" w:lineRule="exact"/>
        <w:rPr>
          <w:rFonts w:ascii="SimHei" w:eastAsia="SimHei" w:hint="eastAsia"/>
          <w:color w:val="FF0000"/>
        </w:rPr>
      </w:pPr>
      <w:r w:rsidRPr="00170F56">
        <w:rPr>
          <w:rFonts w:ascii="SimHei" w:eastAsia="SimHei" w:hint="eastAsia"/>
          <w:color w:val="FF0000"/>
        </w:rPr>
        <w:t>家庭生活</w:t>
      </w:r>
    </w:p>
    <w:p w:rsidR="004E234C" w:rsidRDefault="004E234C" w:rsidP="004903E2">
      <w:pPr>
        <w:pStyle w:val="SingleTxt"/>
        <w:spacing w:line="326" w:lineRule="exact"/>
        <w:rPr>
          <w:rFonts w:hint="eastAsia"/>
        </w:rPr>
      </w:pPr>
      <w:r>
        <w:rPr>
          <w:rFonts w:hint="eastAsia"/>
        </w:rPr>
        <w:t>46.</w:t>
      </w:r>
      <w:r>
        <w:rPr>
          <w:rFonts w:hint="eastAsia"/>
        </w:rPr>
        <w:tab/>
        <w:t>一如委员会在以往结论意见中所指出，委员会对缔约国依然存在歧视妇女的家庭生活法规感到关切。委员会尤其感到关切的是，《民法》某些条款仍然保留了丈夫为一家之主的观念，《婚姻状况登记条例》规定一夫多妻是男人的专有特权。委员会还对喀麦隆妇女在继承方面受到的歧视感到关切，根据多数传统，妇女无权继承父母、特别是父亲的财产，只有男孩被视为继承人，委员会对此感到遗憾。</w:t>
      </w:r>
    </w:p>
    <w:p w:rsidR="004E234C" w:rsidRDefault="004E234C" w:rsidP="004E234C">
      <w:pPr>
        <w:pStyle w:val="SingleTxt"/>
        <w:rPr>
          <w:rFonts w:hint="eastAsia"/>
        </w:rPr>
      </w:pPr>
      <w:r>
        <w:rPr>
          <w:rFonts w:hint="eastAsia"/>
        </w:rPr>
        <w:t>47.</w:t>
      </w:r>
      <w:r>
        <w:rPr>
          <w:rFonts w:hint="eastAsia"/>
        </w:rPr>
        <w:tab/>
      </w:r>
      <w:r w:rsidRPr="00170F56">
        <w:rPr>
          <w:rFonts w:ascii="SimHei" w:eastAsia="SimHei" w:hint="eastAsia"/>
          <w:color w:val="FF0000"/>
        </w:rPr>
        <w:t>委员会敦促缔约国将其民法和习惯法与《公约》第16条统一，完成婚姻法和家庭关系法方面的法律改革，在具体时限内使其立法框架符合《公约》第16条。委员会还吁请缔约国响应委员会在关于婚姻和家庭关系平等的第21号一般性建议中发出的呼吁，采取各项措施，消除一夫多妻制。</w:t>
      </w:r>
    </w:p>
    <w:p w:rsidR="004E234C" w:rsidRPr="00170F56" w:rsidRDefault="004E234C" w:rsidP="004E234C">
      <w:pPr>
        <w:pStyle w:val="SingleTxt"/>
        <w:rPr>
          <w:rFonts w:ascii="SimHei" w:eastAsia="SimHei" w:hint="eastAsia"/>
          <w:color w:val="FF0000"/>
        </w:rPr>
      </w:pPr>
      <w:r w:rsidRPr="00170F56">
        <w:rPr>
          <w:rFonts w:ascii="SimHei" w:eastAsia="SimHei" w:hint="eastAsia"/>
          <w:color w:val="FF0000"/>
        </w:rPr>
        <w:t>数据收集和分析</w:t>
      </w:r>
    </w:p>
    <w:p w:rsidR="004E234C" w:rsidRDefault="004E234C" w:rsidP="004903E2">
      <w:pPr>
        <w:pStyle w:val="SingleTxt"/>
        <w:spacing w:line="326" w:lineRule="exact"/>
        <w:rPr>
          <w:rFonts w:hint="eastAsia"/>
        </w:rPr>
      </w:pPr>
      <w:r>
        <w:rPr>
          <w:rFonts w:hint="eastAsia"/>
        </w:rPr>
        <w:t>48.</w:t>
      </w:r>
      <w:r>
        <w:rPr>
          <w:rFonts w:hint="eastAsia"/>
        </w:rPr>
        <w:tab/>
        <w:t>委员会欣见缔约国在报告中提供了统计数据，但委员会感到遗憾的是，关于妇女在《公约》涵盖所有领域状况的统计数据不充分。此外，报告未提供关于已采取措施产生的影响和关于在《公约》各领域取得的成果的信息，委员会对此感到关切。</w:t>
      </w:r>
    </w:p>
    <w:p w:rsidR="004E234C" w:rsidRPr="00170F56" w:rsidRDefault="004E234C" w:rsidP="004903E2">
      <w:pPr>
        <w:pStyle w:val="SingleTxt"/>
        <w:spacing w:line="326" w:lineRule="exact"/>
        <w:rPr>
          <w:rFonts w:ascii="SimHei" w:eastAsia="SimHei" w:hint="eastAsia"/>
          <w:color w:val="FF0000"/>
        </w:rPr>
      </w:pPr>
      <w:r>
        <w:rPr>
          <w:rFonts w:hint="eastAsia"/>
        </w:rPr>
        <w:t>49.</w:t>
      </w:r>
      <w:r>
        <w:rPr>
          <w:rFonts w:hint="eastAsia"/>
        </w:rPr>
        <w:tab/>
      </w:r>
      <w:r w:rsidRPr="00170F56">
        <w:rPr>
          <w:rFonts w:ascii="SimHei" w:eastAsia="SimHei" w:hint="eastAsia"/>
          <w:color w:val="FF0000"/>
        </w:rPr>
        <w:t>委员会吁请缔约国加强其数据收集系统，包括采用可衡量的指标，以评估妇女状况的各种趋势和妇女在实现事实上的平等方面取得的进展，并为此拨出充足的预算资源。委员会请缔约国酌情寻求国际援助，以开展这种数据收集和分析活动。委员会还请缔约国在下一次报告中提供按性别以及按农村和城市区域分列的统计数据和分析，指出政策和方案措施产生的影响和取得的成果。</w:t>
      </w:r>
    </w:p>
    <w:p w:rsidR="004E234C" w:rsidRPr="00170F56" w:rsidRDefault="004E234C" w:rsidP="004903E2">
      <w:pPr>
        <w:pStyle w:val="SingleTxt"/>
        <w:spacing w:line="326" w:lineRule="exact"/>
        <w:rPr>
          <w:rFonts w:ascii="SimHei" w:eastAsia="SimHei" w:hint="eastAsia"/>
          <w:color w:val="FF0000"/>
        </w:rPr>
      </w:pPr>
      <w:r w:rsidRPr="00170F56">
        <w:rPr>
          <w:rFonts w:ascii="SimHei" w:eastAsia="SimHei" w:hint="eastAsia"/>
          <w:color w:val="FF0000"/>
        </w:rPr>
        <w:t>第20条第1款</w:t>
      </w:r>
    </w:p>
    <w:p w:rsidR="004E234C" w:rsidRPr="00170F56" w:rsidRDefault="004E234C" w:rsidP="004903E2">
      <w:pPr>
        <w:pStyle w:val="SingleTxt"/>
        <w:spacing w:line="326" w:lineRule="exact"/>
        <w:rPr>
          <w:rFonts w:ascii="SimHei" w:eastAsia="SimHei" w:hint="eastAsia"/>
          <w:color w:val="FF0000"/>
        </w:rPr>
      </w:pPr>
      <w:r w:rsidRPr="00D91FAB">
        <w:rPr>
          <w:rFonts w:hint="eastAsia"/>
        </w:rPr>
        <w:t>50.</w:t>
      </w:r>
      <w:r w:rsidRPr="00170F56">
        <w:rPr>
          <w:rFonts w:ascii="SimHei" w:eastAsia="SimHei" w:hint="eastAsia"/>
          <w:color w:val="FF0000"/>
        </w:rPr>
        <w:tab/>
        <w:t>委员会鼓励缔约国尽快接受对关于委员会会议时间的《公约》第20条第1款的修正。</w:t>
      </w:r>
    </w:p>
    <w:p w:rsidR="004E234C" w:rsidRPr="00170F56" w:rsidRDefault="004E234C" w:rsidP="004E234C">
      <w:pPr>
        <w:pStyle w:val="SingleTxt"/>
        <w:rPr>
          <w:rFonts w:ascii="SimHei" w:eastAsia="SimHei" w:hint="eastAsia"/>
          <w:color w:val="FF0000"/>
        </w:rPr>
      </w:pPr>
      <w:r w:rsidRPr="00170F56">
        <w:rPr>
          <w:rFonts w:ascii="SimHei" w:eastAsia="SimHei" w:hint="eastAsia"/>
          <w:color w:val="FF0000"/>
        </w:rPr>
        <w:t>下一次报告的编写</w:t>
      </w:r>
    </w:p>
    <w:p w:rsidR="004E234C" w:rsidRPr="00170F56" w:rsidRDefault="004E234C" w:rsidP="004E234C">
      <w:pPr>
        <w:pStyle w:val="SingleTxt"/>
        <w:rPr>
          <w:rFonts w:ascii="SimHei" w:eastAsia="SimHei" w:hint="eastAsia"/>
          <w:color w:val="FF0000"/>
        </w:rPr>
      </w:pPr>
      <w:r w:rsidRPr="00D91FAB">
        <w:rPr>
          <w:rFonts w:hint="eastAsia"/>
        </w:rPr>
        <w:t>51.</w:t>
      </w:r>
      <w:r w:rsidRPr="00170F56">
        <w:rPr>
          <w:rFonts w:ascii="SimHei" w:eastAsia="SimHei" w:hint="eastAsia"/>
          <w:color w:val="FF0000"/>
        </w:rPr>
        <w:tab/>
        <w:t>委员会要求缔约国确保所有的部委和公共机构都能广泛参与下一次定期报告的编写，并在此阶段与非政府组织开展协商。</w:t>
      </w:r>
    </w:p>
    <w:p w:rsidR="004E234C" w:rsidRPr="00170F56" w:rsidRDefault="004E234C" w:rsidP="004E234C">
      <w:pPr>
        <w:pStyle w:val="SingleTxt"/>
        <w:rPr>
          <w:rFonts w:ascii="SimHei" w:eastAsia="SimHei" w:hint="eastAsia"/>
          <w:color w:val="FF0000"/>
        </w:rPr>
      </w:pPr>
      <w:r w:rsidRPr="00170F56">
        <w:rPr>
          <w:rFonts w:ascii="SimHei" w:eastAsia="SimHei" w:hint="eastAsia"/>
          <w:color w:val="FF0000"/>
        </w:rPr>
        <w:t>《北京宣言和行动纲要》的后续行动与千年发展目标</w:t>
      </w:r>
    </w:p>
    <w:p w:rsidR="004E234C" w:rsidRPr="00170F56" w:rsidRDefault="004E234C" w:rsidP="004E234C">
      <w:pPr>
        <w:pStyle w:val="SingleTxt"/>
        <w:rPr>
          <w:rFonts w:ascii="SimHei" w:eastAsia="SimHei" w:hint="eastAsia"/>
          <w:color w:val="FF0000"/>
        </w:rPr>
      </w:pPr>
      <w:r w:rsidRPr="00D91FAB">
        <w:rPr>
          <w:rFonts w:hint="eastAsia"/>
        </w:rPr>
        <w:t>52.</w:t>
      </w:r>
      <w:r w:rsidRPr="00170F56">
        <w:rPr>
          <w:rFonts w:ascii="SimHei" w:eastAsia="SimHei" w:hint="eastAsia"/>
          <w:color w:val="FF0000"/>
        </w:rPr>
        <w:tab/>
        <w:t>委员会促请缔约国在履行《公约》义务时，充分利用加强《公约》各项规定的《北京宣言和行动纲要》，并请缔约国在下一次定期报告中提供有关资料。</w:t>
      </w:r>
    </w:p>
    <w:p w:rsidR="004E234C" w:rsidRPr="00170F56" w:rsidRDefault="004E234C" w:rsidP="004E234C">
      <w:pPr>
        <w:pStyle w:val="SingleTxt"/>
        <w:rPr>
          <w:rFonts w:ascii="SimHei" w:eastAsia="SimHei" w:hint="eastAsia"/>
          <w:color w:val="FF0000"/>
        </w:rPr>
      </w:pPr>
      <w:r w:rsidRPr="00170F56">
        <w:rPr>
          <w:rFonts w:ascii="SimHei" w:eastAsia="SimHei" w:hint="eastAsia"/>
          <w:color w:val="FF0000"/>
        </w:rPr>
        <w:t xml:space="preserve">千年发展目标  </w:t>
      </w:r>
    </w:p>
    <w:p w:rsidR="004E234C" w:rsidRDefault="004E234C" w:rsidP="004E234C">
      <w:pPr>
        <w:pStyle w:val="SingleTxt"/>
        <w:rPr>
          <w:rFonts w:ascii="SimHei" w:eastAsia="SimHei" w:hint="eastAsia"/>
          <w:color w:val="FF0000"/>
        </w:rPr>
      </w:pPr>
      <w:r w:rsidRPr="00D91FAB">
        <w:rPr>
          <w:rFonts w:hint="eastAsia"/>
        </w:rPr>
        <w:t>53.</w:t>
      </w:r>
      <w:r w:rsidRPr="00170F56">
        <w:rPr>
          <w:rFonts w:ascii="SimHei" w:eastAsia="SimHei" w:hint="eastAsia"/>
          <w:color w:val="FF0000"/>
        </w:rPr>
        <w:tab/>
        <w:t>委员会还强调，充分和有效地执行《公约》对实现千年发展目标不可或缺。委员会要求在实现千年发展目标的一切工作中纳入性别观点，明确体现《公约》各项规定，并请缔约国在下一次定期报告中提供有关资料。</w:t>
      </w:r>
    </w:p>
    <w:p w:rsidR="004E234C" w:rsidRPr="00170F56" w:rsidRDefault="004E234C" w:rsidP="004E234C">
      <w:pPr>
        <w:pStyle w:val="SingleTxt"/>
        <w:rPr>
          <w:rFonts w:ascii="SimHei" w:eastAsia="SimHei" w:hint="eastAsia"/>
          <w:color w:val="FF0000"/>
        </w:rPr>
      </w:pPr>
      <w:r w:rsidRPr="00170F56">
        <w:rPr>
          <w:rFonts w:ascii="SimHei" w:eastAsia="SimHei" w:hint="eastAsia"/>
          <w:color w:val="FF0000"/>
        </w:rPr>
        <w:t>其他条约的批准</w:t>
      </w:r>
    </w:p>
    <w:p w:rsidR="004E234C" w:rsidRPr="00170F56" w:rsidRDefault="004E234C" w:rsidP="004E234C">
      <w:pPr>
        <w:pStyle w:val="SingleTxt"/>
        <w:rPr>
          <w:rFonts w:ascii="SimHei" w:eastAsia="SimHei" w:hint="eastAsia"/>
          <w:color w:val="FF0000"/>
        </w:rPr>
      </w:pPr>
      <w:r w:rsidRPr="00D91FAB">
        <w:rPr>
          <w:rFonts w:hint="eastAsia"/>
        </w:rPr>
        <w:t>54.</w:t>
      </w:r>
      <w:r w:rsidRPr="00170F56">
        <w:rPr>
          <w:rFonts w:ascii="SimHei" w:eastAsia="SimHei" w:hint="eastAsia"/>
          <w:color w:val="FF0000"/>
        </w:rPr>
        <w:tab/>
        <w:t>委员会指出，各国参加九项主要国际人权文书，</w:t>
      </w:r>
      <w:r w:rsidRPr="004E234C">
        <w:rPr>
          <w:rStyle w:val="FootnoteReference"/>
          <w:rFonts w:ascii="SimHei" w:eastAsia="SimHei"/>
          <w:color w:val="FF0000"/>
        </w:rPr>
        <w:footnoteReference w:id="1"/>
      </w:r>
      <w:r w:rsidRPr="00170F56">
        <w:rPr>
          <w:rFonts w:ascii="SimHei" w:eastAsia="SimHei" w:hint="eastAsia"/>
          <w:color w:val="FF0000"/>
        </w:rPr>
        <w:t xml:space="preserve"> 有助于促进妇女在生活的各个方面享受人权和基本自由。因此，委员会敦促喀麦隆政府批准它尚未成为缔约国的条约，即《保护所有移徙工人及其家庭成员权利国际公约》、《残疾人权利公约》和《保护所有人免遭强迫失踪国际公约》。</w:t>
      </w:r>
    </w:p>
    <w:p w:rsidR="004E234C" w:rsidRPr="00170F56" w:rsidRDefault="004E234C" w:rsidP="004E234C">
      <w:pPr>
        <w:pStyle w:val="SingleTxt"/>
        <w:rPr>
          <w:rFonts w:ascii="SimHei" w:eastAsia="SimHei" w:hint="eastAsia"/>
          <w:color w:val="FF0000"/>
        </w:rPr>
      </w:pPr>
      <w:r w:rsidRPr="00170F56">
        <w:rPr>
          <w:rFonts w:ascii="SimHei" w:eastAsia="SimHei" w:hint="eastAsia"/>
          <w:color w:val="FF0000"/>
        </w:rPr>
        <w:t>结论意见的传播</w:t>
      </w:r>
    </w:p>
    <w:p w:rsidR="004E234C" w:rsidRPr="00170F56" w:rsidRDefault="004E234C" w:rsidP="004E234C">
      <w:pPr>
        <w:pStyle w:val="SingleTxt"/>
        <w:rPr>
          <w:rFonts w:ascii="SimHei" w:eastAsia="SimHei" w:hint="eastAsia"/>
          <w:color w:val="FF0000"/>
        </w:rPr>
      </w:pPr>
      <w:r w:rsidRPr="00D91FAB">
        <w:rPr>
          <w:rFonts w:hint="eastAsia"/>
        </w:rPr>
        <w:t>55.</w:t>
      </w:r>
      <w:r w:rsidRPr="00170F56">
        <w:rPr>
          <w:rFonts w:ascii="SimHei" w:eastAsia="SimHei" w:hint="eastAsia"/>
          <w:color w:val="FF0000"/>
        </w:rPr>
        <w:tab/>
        <w:t>委员会请喀麦隆在国内广为传播本结论意见，使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4E234C" w:rsidRPr="00170F56" w:rsidRDefault="004E234C" w:rsidP="004E234C">
      <w:pPr>
        <w:pStyle w:val="SingleTxt"/>
        <w:rPr>
          <w:rFonts w:ascii="SimHei" w:eastAsia="SimHei" w:hint="eastAsia"/>
          <w:color w:val="FF0000"/>
        </w:rPr>
      </w:pPr>
      <w:r w:rsidRPr="00170F56">
        <w:rPr>
          <w:rFonts w:ascii="SimHei" w:eastAsia="SimHei" w:hint="eastAsia"/>
          <w:color w:val="FF0000"/>
        </w:rPr>
        <w:t>结论意见的后续行动</w:t>
      </w:r>
    </w:p>
    <w:p w:rsidR="004E234C" w:rsidRPr="00643CB2" w:rsidRDefault="004E234C" w:rsidP="004E234C">
      <w:pPr>
        <w:pStyle w:val="SingleTxt"/>
        <w:rPr>
          <w:rFonts w:ascii="SimHei" w:eastAsia="SimHei" w:hint="eastAsia"/>
          <w:color w:val="FF0000"/>
        </w:rPr>
      </w:pPr>
      <w:r w:rsidRPr="00D91FAB">
        <w:rPr>
          <w:rFonts w:hint="eastAsia"/>
        </w:rPr>
        <w:t>56.</w:t>
      </w:r>
      <w:r w:rsidRPr="00170F56">
        <w:rPr>
          <w:rFonts w:ascii="SimHei" w:eastAsia="SimHei" w:hint="eastAsia"/>
          <w:color w:val="FF0000"/>
        </w:rPr>
        <w:tab/>
        <w:t>委员会请缔约国在两年内提供详细书面资料，说明</w:t>
      </w:r>
      <w:r>
        <w:rPr>
          <w:rFonts w:ascii="SimHei" w:eastAsia="SimHei" w:hint="eastAsia"/>
          <w:color w:val="FF0000"/>
        </w:rPr>
        <w:t>为执行</w:t>
      </w:r>
      <w:r w:rsidRPr="00170F56">
        <w:rPr>
          <w:rFonts w:ascii="SimHei" w:eastAsia="SimHei" w:hint="eastAsia"/>
          <w:color w:val="FF0000"/>
        </w:rPr>
        <w:t>上文第15和27段所载各项建议</w:t>
      </w:r>
      <w:r>
        <w:rPr>
          <w:rFonts w:ascii="SimHei" w:eastAsia="SimHei" w:hint="eastAsia"/>
          <w:color w:val="FF0000"/>
        </w:rPr>
        <w:t>而采取</w:t>
      </w:r>
      <w:r w:rsidRPr="00170F56">
        <w:rPr>
          <w:rFonts w:ascii="SimHei" w:eastAsia="SimHei" w:hint="eastAsia"/>
          <w:color w:val="FF0000"/>
        </w:rPr>
        <w:t>的</w:t>
      </w:r>
      <w:r>
        <w:rPr>
          <w:rFonts w:ascii="SimHei" w:eastAsia="SimHei" w:hint="eastAsia"/>
          <w:color w:val="FF0000"/>
        </w:rPr>
        <w:t>步骤</w:t>
      </w:r>
      <w:r w:rsidRPr="00170F56">
        <w:rPr>
          <w:rFonts w:ascii="SimHei" w:eastAsia="SimHei" w:hint="eastAsia"/>
          <w:color w:val="FF0000"/>
        </w:rPr>
        <w:t>。</w:t>
      </w:r>
      <w:r w:rsidRPr="00643CB2">
        <w:rPr>
          <w:rFonts w:ascii="SimHei" w:eastAsia="SimHei" w:hint="eastAsia"/>
          <w:color w:val="FF0000"/>
        </w:rPr>
        <w:t>委员会还请缔约国考虑在必要和适当时为执行上述建议寻求技术合作和援助，包括咨询服务。</w:t>
      </w:r>
    </w:p>
    <w:p w:rsidR="004E234C" w:rsidRPr="00170F56" w:rsidRDefault="004E234C" w:rsidP="004E234C">
      <w:pPr>
        <w:pStyle w:val="SingleTxt"/>
        <w:rPr>
          <w:rFonts w:ascii="SimHei" w:eastAsia="SimHei" w:hint="eastAsia"/>
          <w:color w:val="FF0000"/>
        </w:rPr>
      </w:pPr>
      <w:r w:rsidRPr="00170F56">
        <w:rPr>
          <w:rFonts w:ascii="SimHei" w:eastAsia="SimHei" w:hint="eastAsia"/>
          <w:color w:val="FF0000"/>
        </w:rPr>
        <w:t>下一次报告的日期</w:t>
      </w:r>
    </w:p>
    <w:p w:rsidR="004E234C" w:rsidRDefault="004E234C" w:rsidP="004E234C">
      <w:pPr>
        <w:pStyle w:val="SingleTxt"/>
        <w:rPr>
          <w:rFonts w:hint="eastAsia"/>
        </w:rPr>
      </w:pPr>
      <w:r w:rsidRPr="00D91FAB">
        <w:rPr>
          <w:rFonts w:hint="eastAsia"/>
        </w:rPr>
        <w:t>57.</w:t>
      </w:r>
      <w:r w:rsidRPr="00170F56">
        <w:rPr>
          <w:rFonts w:ascii="SimHei" w:eastAsia="SimHei" w:hint="eastAsia"/>
          <w:color w:val="FF0000"/>
        </w:rPr>
        <w:tab/>
        <w:t>委员会请缔约国在根据《公约》第18条提交的下一次定期报告中答复本结论意见所提出的各项关切。委员会请缔约国于</w:t>
      </w:r>
      <w:r w:rsidR="00D155F9">
        <w:rPr>
          <w:rFonts w:ascii="SimHei" w:eastAsia="SimHei" w:hint="eastAsia"/>
          <w:color w:val="FF0000"/>
        </w:rPr>
        <w:t>2011</w:t>
      </w:r>
      <w:r w:rsidRPr="00170F56">
        <w:rPr>
          <w:rFonts w:ascii="SimHei" w:eastAsia="SimHei" w:hint="eastAsia"/>
          <w:color w:val="FF0000"/>
        </w:rPr>
        <w:t>年提交第四次和第五次合并定期报告。</w:t>
      </w:r>
    </w:p>
    <w:p w:rsidR="00EA31C3" w:rsidRPr="004E234C" w:rsidRDefault="004E234C" w:rsidP="004E234C">
      <w:pPr>
        <w:pStyle w:val="SingleTxt"/>
        <w:spacing w:after="0" w:line="240" w:lineRule="auto"/>
        <w:rPr>
          <w:rFonts w:hint="eastAsia"/>
          <w:sz w:val="20"/>
        </w:rPr>
      </w:pPr>
      <w:bookmarkStart w:id="1" w:name="TmpSave"/>
      <w:bookmarkEnd w:id="1"/>
      <w:r>
        <w:rPr>
          <w:rFonts w:hint="eastAsia"/>
          <w:noProof/>
          <w:sz w:val="20"/>
        </w:rPr>
        <w:pict>
          <v:line id="_x0000_s1026" style="position:absolute;left:0;text-align:left;z-index:1;mso-position-horizontal:center" from="0,30pt" to="1in,30pt" strokeweight=".25pt"/>
        </w:pict>
      </w:r>
    </w:p>
    <w:sectPr w:rsidR="00EA31C3" w:rsidRPr="004E234C" w:rsidSect="00DF220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20T10:47:00Z" w:initials="Start">
    <w:p w:rsidR="00873DA4" w:rsidRDefault="00873DA4">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NO&gt;&gt;N0922612C&lt;&lt;ODS JOB NO&gt;&gt;</w:t>
      </w:r>
    </w:p>
    <w:p w:rsidR="00873DA4" w:rsidRDefault="00873DA4">
      <w:pPr>
        <w:pStyle w:val="CommentText"/>
      </w:pPr>
      <w:r>
        <w:t>&lt;&lt;ODS DOC SYMBOL1&gt;&gt;CEDAW/C/CMR/CO/3&lt;&lt;ODS DOC SYMBOL1&gt;&gt;</w:t>
      </w:r>
    </w:p>
    <w:p w:rsidR="00873DA4" w:rsidRDefault="00873DA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E0E" w:rsidRDefault="004F6E0E">
      <w:r>
        <w:separator/>
      </w:r>
    </w:p>
  </w:endnote>
  <w:endnote w:type="continuationSeparator" w:id="0">
    <w:p w:rsidR="004F6E0E" w:rsidRDefault="004F6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3DA4" w:rsidTr="00DF2201">
      <w:tblPrEx>
        <w:tblCellMar>
          <w:top w:w="0" w:type="dxa"/>
          <w:bottom w:w="0" w:type="dxa"/>
        </w:tblCellMar>
      </w:tblPrEx>
      <w:tc>
        <w:tcPr>
          <w:tcW w:w="5033" w:type="dxa"/>
          <w:shd w:val="clear" w:color="auto" w:fill="auto"/>
        </w:tcPr>
        <w:p w:rsidR="00873DA4" w:rsidRPr="00DF2201" w:rsidRDefault="00873DA4" w:rsidP="00DF220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09-22612 (C)</w:t>
          </w:r>
          <w:r>
            <w:rPr>
              <w:b w:val="0"/>
              <w:w w:val="103"/>
              <w:sz w:val="14"/>
            </w:rPr>
            <w:fldChar w:fldCharType="end"/>
          </w:r>
        </w:p>
      </w:tc>
      <w:tc>
        <w:tcPr>
          <w:tcW w:w="5033" w:type="dxa"/>
          <w:shd w:val="clear" w:color="auto" w:fill="auto"/>
        </w:tcPr>
        <w:p w:rsidR="00873DA4" w:rsidRPr="00DF2201" w:rsidRDefault="00873DA4" w:rsidP="00DF2201">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Pr>
              <w:w w:val="103"/>
              <w:sz w:val="17"/>
            </w:rPr>
            <w:t>10</w:t>
          </w:r>
          <w:r>
            <w:rPr>
              <w:w w:val="103"/>
              <w:sz w:val="17"/>
            </w:rPr>
            <w:fldChar w:fldCharType="end"/>
          </w:r>
        </w:p>
      </w:tc>
    </w:tr>
  </w:tbl>
  <w:p w:rsidR="00873DA4" w:rsidRPr="00DF2201" w:rsidRDefault="00873DA4" w:rsidP="00DF22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73DA4" w:rsidTr="00DF2201">
      <w:tblPrEx>
        <w:tblCellMar>
          <w:top w:w="0" w:type="dxa"/>
          <w:bottom w:w="0" w:type="dxa"/>
        </w:tblCellMar>
      </w:tblPrEx>
      <w:tc>
        <w:tcPr>
          <w:tcW w:w="5033" w:type="dxa"/>
          <w:shd w:val="clear" w:color="auto" w:fill="auto"/>
        </w:tcPr>
        <w:p w:rsidR="00873DA4" w:rsidRPr="00DF2201" w:rsidRDefault="00873DA4" w:rsidP="00DF2201">
          <w:pPr>
            <w:pStyle w:val="Footer"/>
            <w:jc w:val="right"/>
          </w:pPr>
          <w:r>
            <w:fldChar w:fldCharType="begin"/>
          </w:r>
          <w:r>
            <w:instrText xml:space="preserve"> PAGE  \* MERGEFORMAT </w:instrText>
          </w:r>
          <w:r>
            <w:fldChar w:fldCharType="separate"/>
          </w:r>
          <w:r>
            <w:t>9</w:t>
          </w:r>
          <w:r>
            <w:fldChar w:fldCharType="end"/>
          </w:r>
        </w:p>
      </w:tc>
      <w:tc>
        <w:tcPr>
          <w:tcW w:w="5033" w:type="dxa"/>
          <w:shd w:val="clear" w:color="auto" w:fill="auto"/>
        </w:tcPr>
        <w:p w:rsidR="00873DA4" w:rsidRPr="00DF2201" w:rsidRDefault="00873DA4" w:rsidP="00DF2201">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09-22612 (C)</w:t>
          </w:r>
          <w:r>
            <w:rPr>
              <w:b w:val="0"/>
              <w:w w:val="103"/>
              <w:sz w:val="14"/>
            </w:rPr>
            <w:fldChar w:fldCharType="end"/>
          </w:r>
        </w:p>
      </w:tc>
    </w:tr>
  </w:tbl>
  <w:p w:rsidR="00873DA4" w:rsidRPr="00DF2201" w:rsidRDefault="00873DA4" w:rsidP="00DF22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3DA4" w:rsidRDefault="00873DA4" w:rsidP="00DF2201">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09-22612 (C)</w:t>
    </w:r>
    <w:r>
      <w:rPr>
        <w:b w:val="0"/>
        <w:sz w:val="21"/>
      </w:rPr>
      <w:fldChar w:fldCharType="end"/>
    </w:r>
    <w:r>
      <w:rPr>
        <w:b w:val="0"/>
        <w:sz w:val="21"/>
      </w:rPr>
      <w:t xml:space="preserve">    200209    260209</w:t>
    </w:r>
  </w:p>
  <w:p w:rsidR="00873DA4" w:rsidRPr="00DF2201" w:rsidRDefault="00873DA4" w:rsidP="00DF2201">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*0922612*</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E0E" w:rsidRPr="004E234C" w:rsidRDefault="004F6E0E" w:rsidP="004E234C">
      <w:pPr>
        <w:pStyle w:val="Footer"/>
        <w:spacing w:after="80"/>
        <w:ind w:left="792"/>
        <w:rPr>
          <w:sz w:val="16"/>
        </w:rPr>
      </w:pPr>
      <w:r w:rsidRPr="004E234C">
        <w:rPr>
          <w:sz w:val="16"/>
        </w:rPr>
        <w:t>__________________</w:t>
      </w:r>
    </w:p>
  </w:footnote>
  <w:footnote w:type="continuationSeparator" w:id="0">
    <w:p w:rsidR="004F6E0E" w:rsidRPr="004E234C" w:rsidRDefault="004F6E0E" w:rsidP="004E234C">
      <w:pPr>
        <w:pStyle w:val="Footer"/>
        <w:spacing w:after="80"/>
        <w:ind w:left="792"/>
        <w:rPr>
          <w:sz w:val="16"/>
        </w:rPr>
      </w:pPr>
      <w:r w:rsidRPr="004E234C">
        <w:rPr>
          <w:sz w:val="16"/>
        </w:rPr>
        <w:t>__________________</w:t>
      </w:r>
    </w:p>
  </w:footnote>
  <w:footnote w:id="1">
    <w:p w:rsidR="00873DA4" w:rsidRPr="00170F56" w:rsidRDefault="00873DA4" w:rsidP="004E234C">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170F56">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73DA4" w:rsidTr="00DF2201">
      <w:tblPrEx>
        <w:tblCellMar>
          <w:top w:w="0" w:type="dxa"/>
          <w:bottom w:w="0" w:type="dxa"/>
        </w:tblCellMar>
      </w:tblPrEx>
      <w:trPr>
        <w:trHeight w:hRule="exact" w:val="864"/>
      </w:trPr>
      <w:tc>
        <w:tcPr>
          <w:tcW w:w="4838" w:type="dxa"/>
          <w:shd w:val="clear" w:color="auto" w:fill="auto"/>
          <w:vAlign w:val="bottom"/>
        </w:tcPr>
        <w:p w:rsidR="00873DA4" w:rsidRPr="00DF2201" w:rsidRDefault="00873DA4" w:rsidP="00DF2201">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CEDAW/C/CMR/CO/3</w:t>
          </w:r>
          <w:r>
            <w:rPr>
              <w:b/>
              <w:sz w:val="17"/>
            </w:rPr>
            <w:fldChar w:fldCharType="end"/>
          </w:r>
        </w:p>
      </w:tc>
      <w:tc>
        <w:tcPr>
          <w:tcW w:w="5033" w:type="dxa"/>
          <w:shd w:val="clear" w:color="auto" w:fill="auto"/>
          <w:vAlign w:val="bottom"/>
        </w:tcPr>
        <w:p w:rsidR="00873DA4" w:rsidRDefault="00873DA4" w:rsidP="00DF2201">
          <w:pPr>
            <w:pStyle w:val="Header"/>
          </w:pPr>
        </w:p>
      </w:tc>
    </w:tr>
  </w:tbl>
  <w:p w:rsidR="00873DA4" w:rsidRPr="00DF2201" w:rsidRDefault="00873DA4" w:rsidP="00DF22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73DA4" w:rsidTr="00DF2201">
      <w:tblPrEx>
        <w:tblCellMar>
          <w:top w:w="0" w:type="dxa"/>
          <w:bottom w:w="0" w:type="dxa"/>
        </w:tblCellMar>
      </w:tblPrEx>
      <w:trPr>
        <w:trHeight w:hRule="exact" w:val="864"/>
      </w:trPr>
      <w:tc>
        <w:tcPr>
          <w:tcW w:w="4838" w:type="dxa"/>
          <w:shd w:val="clear" w:color="auto" w:fill="auto"/>
          <w:vAlign w:val="bottom"/>
        </w:tcPr>
        <w:p w:rsidR="00873DA4" w:rsidRDefault="00873DA4" w:rsidP="00DF2201">
          <w:pPr>
            <w:pStyle w:val="Header"/>
          </w:pPr>
        </w:p>
      </w:tc>
      <w:tc>
        <w:tcPr>
          <w:tcW w:w="5033" w:type="dxa"/>
          <w:shd w:val="clear" w:color="auto" w:fill="auto"/>
          <w:vAlign w:val="bottom"/>
        </w:tcPr>
        <w:p w:rsidR="00873DA4" w:rsidRPr="00DF2201" w:rsidRDefault="00873DA4" w:rsidP="00DF2201">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CEDAW/C/CMR/CO/3</w:t>
          </w:r>
          <w:r>
            <w:rPr>
              <w:b/>
              <w:sz w:val="17"/>
            </w:rPr>
            <w:fldChar w:fldCharType="end"/>
          </w:r>
        </w:p>
      </w:tc>
    </w:tr>
  </w:tbl>
  <w:p w:rsidR="00873DA4" w:rsidRPr="00DF2201" w:rsidRDefault="00873DA4" w:rsidP="00DF220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73DA4" w:rsidTr="00DF220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73DA4" w:rsidRDefault="00873DA4" w:rsidP="00DF2201">
          <w:pPr>
            <w:pStyle w:val="Header"/>
            <w:spacing w:after="120"/>
          </w:pPr>
        </w:p>
      </w:tc>
      <w:tc>
        <w:tcPr>
          <w:tcW w:w="1872" w:type="dxa"/>
          <w:tcBorders>
            <w:bottom w:val="single" w:sz="4" w:space="0" w:color="auto"/>
          </w:tcBorders>
          <w:shd w:val="clear" w:color="auto" w:fill="auto"/>
          <w:vAlign w:val="bottom"/>
        </w:tcPr>
        <w:p w:rsidR="00873DA4" w:rsidRPr="00DF2201" w:rsidRDefault="00873DA4" w:rsidP="00DF220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73DA4" w:rsidRDefault="00873DA4" w:rsidP="00DF2201">
          <w:pPr>
            <w:pStyle w:val="Header"/>
            <w:spacing w:after="120"/>
          </w:pPr>
        </w:p>
      </w:tc>
      <w:tc>
        <w:tcPr>
          <w:tcW w:w="6523" w:type="dxa"/>
          <w:gridSpan w:val="3"/>
          <w:tcBorders>
            <w:bottom w:val="single" w:sz="4" w:space="0" w:color="auto"/>
          </w:tcBorders>
          <w:shd w:val="clear" w:color="auto" w:fill="auto"/>
          <w:vAlign w:val="bottom"/>
        </w:tcPr>
        <w:p w:rsidR="00873DA4" w:rsidRPr="00DF2201" w:rsidRDefault="00873DA4" w:rsidP="00DF2201">
          <w:pPr>
            <w:spacing w:after="80" w:line="240" w:lineRule="auto"/>
            <w:jc w:val="right"/>
            <w:rPr>
              <w:rFonts w:ascii="Times New Roman"/>
              <w:position w:val="-4"/>
            </w:rPr>
          </w:pPr>
          <w:r>
            <w:rPr>
              <w:rFonts w:ascii="Times New Roman"/>
              <w:position w:val="-4"/>
              <w:sz w:val="40"/>
            </w:rPr>
            <w:t>CEDAW</w:t>
          </w:r>
          <w:r>
            <w:rPr>
              <w:rFonts w:ascii="Times New Roman"/>
              <w:position w:val="-4"/>
            </w:rPr>
            <w:t>/C/CMR/CO/3</w:t>
          </w:r>
        </w:p>
      </w:tc>
    </w:tr>
    <w:tr w:rsidR="00873DA4" w:rsidRPr="00DF2201" w:rsidTr="00DF220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73DA4" w:rsidRDefault="00873DA4" w:rsidP="00DF220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73DA4" w:rsidRPr="00DF2201" w:rsidRDefault="00873DA4" w:rsidP="00DF2201">
          <w:pPr>
            <w:pStyle w:val="Header"/>
            <w:spacing w:before="109"/>
            <w:ind w:left="-72"/>
          </w:pPr>
        </w:p>
      </w:tc>
      <w:tc>
        <w:tcPr>
          <w:tcW w:w="5227" w:type="dxa"/>
          <w:gridSpan w:val="3"/>
          <w:tcBorders>
            <w:top w:val="single" w:sz="4" w:space="0" w:color="auto"/>
            <w:bottom w:val="single" w:sz="12" w:space="0" w:color="auto"/>
          </w:tcBorders>
          <w:shd w:val="clear" w:color="auto" w:fill="auto"/>
        </w:tcPr>
        <w:p w:rsidR="00873DA4" w:rsidRPr="00DF2201" w:rsidRDefault="00873DA4" w:rsidP="00DF220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73DA4" w:rsidRPr="00DF2201" w:rsidRDefault="00873DA4" w:rsidP="00DF2201">
          <w:pPr>
            <w:pStyle w:val="Header"/>
            <w:spacing w:before="109"/>
          </w:pPr>
        </w:p>
      </w:tc>
      <w:tc>
        <w:tcPr>
          <w:tcW w:w="3180" w:type="dxa"/>
          <w:gridSpan w:val="2"/>
          <w:tcBorders>
            <w:top w:val="single" w:sz="4" w:space="0" w:color="auto"/>
            <w:bottom w:val="single" w:sz="12" w:space="0" w:color="auto"/>
          </w:tcBorders>
          <w:shd w:val="clear" w:color="auto" w:fill="auto"/>
        </w:tcPr>
        <w:p w:rsidR="00873DA4" w:rsidRDefault="00873DA4" w:rsidP="00DF2201">
          <w:pPr>
            <w:spacing w:before="240" w:line="240" w:lineRule="exact"/>
            <w:rPr>
              <w:rFonts w:ascii="Times New Roman"/>
            </w:rPr>
          </w:pPr>
          <w:r>
            <w:rPr>
              <w:rFonts w:ascii="Times New Roman"/>
            </w:rPr>
            <w:t>Distr.: General</w:t>
          </w:r>
        </w:p>
        <w:p w:rsidR="00873DA4" w:rsidRDefault="00873DA4" w:rsidP="00DF2201">
          <w:pPr>
            <w:spacing w:line="240" w:lineRule="exact"/>
            <w:rPr>
              <w:rFonts w:ascii="Times New Roman"/>
            </w:rPr>
          </w:pPr>
          <w:r>
            <w:rPr>
              <w:rFonts w:ascii="Times New Roman"/>
            </w:rPr>
            <w:t>10 February 2009</w:t>
          </w:r>
        </w:p>
        <w:p w:rsidR="00873DA4" w:rsidRDefault="00873DA4" w:rsidP="00DF2201">
          <w:pPr>
            <w:spacing w:line="240" w:lineRule="exact"/>
            <w:rPr>
              <w:rFonts w:ascii="Times New Roman"/>
            </w:rPr>
          </w:pPr>
          <w:r>
            <w:rPr>
              <w:rFonts w:ascii="Times New Roman"/>
            </w:rPr>
            <w:t>Chinese</w:t>
          </w:r>
        </w:p>
        <w:p w:rsidR="00873DA4" w:rsidRPr="00DF2201" w:rsidRDefault="00873DA4" w:rsidP="00DF2201">
          <w:pPr>
            <w:spacing w:line="240" w:lineRule="exact"/>
            <w:rPr>
              <w:rFonts w:ascii="Times New Roman"/>
            </w:rPr>
          </w:pPr>
          <w:r>
            <w:rPr>
              <w:rFonts w:ascii="Times New Roman"/>
            </w:rPr>
            <w:t>Original: English</w:t>
          </w:r>
        </w:p>
      </w:tc>
    </w:tr>
  </w:tbl>
  <w:p w:rsidR="00873DA4" w:rsidRPr="00DF2201" w:rsidRDefault="00873DA4" w:rsidP="00DF220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612*"/>
    <w:docVar w:name="CreationDt" w:val="20/02/2009 10:28:38"/>
    <w:docVar w:name="DocCategory" w:val="Doc"/>
    <w:docVar w:name="DocType" w:val="Final"/>
    <w:docVar w:name="FooterJN" w:val="09-22612 (C)"/>
    <w:docVar w:name="jobn" w:val="09-22612 (C)"/>
    <w:docVar w:name="jobnDT" w:val="09-22612 (C)   200209"/>
    <w:docVar w:name="jobnDTDT" w:val="09-22612 (C)   200209   200209"/>
    <w:docVar w:name="JobNo" w:val="0922612C"/>
    <w:docVar w:name="OandT" w:val="HUA"/>
    <w:docVar w:name="sss1" w:val="CEDAW/C/CMR/CO/3"/>
    <w:docVar w:name="sss2" w:val="-"/>
    <w:docVar w:name="Symbol1" w:val="CEDAW/C/CMR/CO/3"/>
    <w:docVar w:name="Symbol2" w:val="-"/>
  </w:docVars>
  <w:rsids>
    <w:rsidRoot w:val="003E563D"/>
    <w:rsid w:val="0000347C"/>
    <w:rsid w:val="000125BC"/>
    <w:rsid w:val="00021A2B"/>
    <w:rsid w:val="00037B39"/>
    <w:rsid w:val="00044CA4"/>
    <w:rsid w:val="00045EFE"/>
    <w:rsid w:val="0007337D"/>
    <w:rsid w:val="000758DF"/>
    <w:rsid w:val="00076EB8"/>
    <w:rsid w:val="00095C67"/>
    <w:rsid w:val="000A11F9"/>
    <w:rsid w:val="000A31F9"/>
    <w:rsid w:val="000C1786"/>
    <w:rsid w:val="000E240F"/>
    <w:rsid w:val="000E49A4"/>
    <w:rsid w:val="000F1058"/>
    <w:rsid w:val="001113F8"/>
    <w:rsid w:val="00116BBA"/>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0A43"/>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14FCE"/>
    <w:rsid w:val="00320C99"/>
    <w:rsid w:val="003274A9"/>
    <w:rsid w:val="00331221"/>
    <w:rsid w:val="003649EE"/>
    <w:rsid w:val="00371BC6"/>
    <w:rsid w:val="00373A15"/>
    <w:rsid w:val="00394A02"/>
    <w:rsid w:val="003C7B20"/>
    <w:rsid w:val="003E4565"/>
    <w:rsid w:val="003E563D"/>
    <w:rsid w:val="003E748F"/>
    <w:rsid w:val="003E7612"/>
    <w:rsid w:val="00414423"/>
    <w:rsid w:val="004411AD"/>
    <w:rsid w:val="004424EF"/>
    <w:rsid w:val="00453BB0"/>
    <w:rsid w:val="00460162"/>
    <w:rsid w:val="004620A8"/>
    <w:rsid w:val="00466BB5"/>
    <w:rsid w:val="004700CF"/>
    <w:rsid w:val="00487444"/>
    <w:rsid w:val="004903E2"/>
    <w:rsid w:val="004A06D1"/>
    <w:rsid w:val="004A11FC"/>
    <w:rsid w:val="004C0224"/>
    <w:rsid w:val="004C053E"/>
    <w:rsid w:val="004C3255"/>
    <w:rsid w:val="004D07E1"/>
    <w:rsid w:val="004D1C19"/>
    <w:rsid w:val="004E234C"/>
    <w:rsid w:val="004F29B8"/>
    <w:rsid w:val="004F6E0E"/>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73DA4"/>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54B9B"/>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55F9"/>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DF2201"/>
    <w:rsid w:val="00E050BA"/>
    <w:rsid w:val="00E25442"/>
    <w:rsid w:val="00E25A1F"/>
    <w:rsid w:val="00E37EEB"/>
    <w:rsid w:val="00E710FB"/>
    <w:rsid w:val="00E806D9"/>
    <w:rsid w:val="00E815A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1374</Words>
  <Characters>7838</Characters>
  <Application>Microsoft Office Word</Application>
  <DocSecurity>4</DocSecurity>
  <Lines>65</Lines>
  <Paragraphs>18</Paragraphs>
  <ScaleCrop>false</ScaleCrop>
  <Company>United Nations</Company>
  <LinksUpToDate>false</LinksUpToDate>
  <CharactersWithSpaces>9194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Qingquan.Hua</dc:creator>
  <cp:keywords/>
  <dc:description/>
  <cp:lastModifiedBy>CTPU User</cp:lastModifiedBy>
  <cp:revision>14</cp:revision>
  <cp:lastPrinted>2009-02-24T09:10:00Z</cp:lastPrinted>
  <dcterms:created xsi:type="dcterms:W3CDTF">2009-02-20T09:26:00Z</dcterms:created>
  <dcterms:modified xsi:type="dcterms:W3CDTF">2009-02-24T09:10:00Z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0922612</vt:lpwstr>
  </property>
  <property fmtid="{D5CDD505-2E9C-101B-9397-08002B2CF9AE}" pid="3" name="Symbol1">
    <vt:lpwstr>CEDAW/C/CMR/CO/3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HUA</vt:lpwstr>
  </property>
</Properties>
</file>