
<file path=[Content_Types].xml><?xml version="1.0" encoding="utf-8"?>
<Types xmlns="http://schemas.openxmlformats.org/package/2006/content-types">
  <Default Extension="png" ContentType="image/pn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pPr w:leftFromText="142" w:rightFromText="142" w:vertAnchor="page" w:horzAnchor="page" w:tblpX="1135" w:tblpY="568"/>
        <w:tblOverlap w:val="never"/>
        <w:tblW w:w="9639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276"/>
        <w:gridCol w:w="2268"/>
        <w:gridCol w:w="3260"/>
        <w:gridCol w:w="2835"/>
      </w:tblGrid>
      <w:tr w:rsidR="003D1DF3" w:rsidRPr="00DB58B5" w:rsidTr="00572F52">
        <w:trPr>
          <w:trHeight w:hRule="exact" w:val="851"/>
        </w:trPr>
        <w:tc>
          <w:tcPr>
            <w:tcW w:w="1276" w:type="dxa"/>
            <w:tcBorders>
              <w:bottom w:val="single" w:sz="4" w:space="0" w:color="auto"/>
            </w:tcBorders>
          </w:tcPr>
          <w:p w:rsidR="003D1DF3" w:rsidRPr="00DB58B5" w:rsidRDefault="003D1DF3" w:rsidP="00F01516"/>
        </w:tc>
        <w:tc>
          <w:tcPr>
            <w:tcW w:w="2268" w:type="dxa"/>
            <w:tcBorders>
              <w:bottom w:val="single" w:sz="4" w:space="0" w:color="auto"/>
            </w:tcBorders>
            <w:vAlign w:val="bottom"/>
          </w:tcPr>
          <w:p w:rsidR="003D1DF3" w:rsidRPr="00DB58B5" w:rsidRDefault="003D1DF3" w:rsidP="00F01516">
            <w:pPr>
              <w:spacing w:after="80" w:line="300" w:lineRule="exact"/>
              <w:rPr>
                <w:sz w:val="28"/>
              </w:rPr>
            </w:pPr>
            <w:r w:rsidRPr="00DB58B5">
              <w:rPr>
                <w:sz w:val="28"/>
              </w:rPr>
              <w:t>Nations Unies</w:t>
            </w:r>
          </w:p>
        </w:tc>
        <w:tc>
          <w:tcPr>
            <w:tcW w:w="6095" w:type="dxa"/>
            <w:gridSpan w:val="2"/>
            <w:tcBorders>
              <w:bottom w:val="single" w:sz="4" w:space="0" w:color="auto"/>
            </w:tcBorders>
            <w:vAlign w:val="bottom"/>
          </w:tcPr>
          <w:p w:rsidR="003D1DF3" w:rsidRPr="00DB58B5" w:rsidRDefault="00572F52" w:rsidP="00572F52">
            <w:pPr>
              <w:jc w:val="right"/>
            </w:pPr>
            <w:r w:rsidRPr="00572F52">
              <w:rPr>
                <w:sz w:val="40"/>
              </w:rPr>
              <w:t>E</w:t>
            </w:r>
            <w:r>
              <w:t>/C.12/2011/1</w:t>
            </w:r>
          </w:p>
        </w:tc>
      </w:tr>
      <w:tr w:rsidR="003D1DF3" w:rsidRPr="00DB58B5" w:rsidTr="00F01516">
        <w:trPr>
          <w:trHeight w:hRule="exact" w:val="2835"/>
        </w:trPr>
        <w:tc>
          <w:tcPr>
            <w:tcW w:w="1276" w:type="dxa"/>
            <w:tcBorders>
              <w:top w:val="single" w:sz="4" w:space="0" w:color="auto"/>
              <w:bottom w:val="single" w:sz="12" w:space="0" w:color="auto"/>
            </w:tcBorders>
          </w:tcPr>
          <w:p w:rsidR="003D1DF3" w:rsidRPr="00DB58B5" w:rsidRDefault="003D1DF3" w:rsidP="00F01516">
            <w:pPr>
              <w:spacing w:before="120"/>
              <w:jc w:val="center"/>
            </w:pPr>
            <w:r w:rsidRPr="00DB58B5"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56.25pt;height:46.5pt">
                  <v:imagedata r:id="rId7" o:title="_unlogo"/>
                </v:shape>
              </w:pict>
            </w:r>
          </w:p>
        </w:tc>
        <w:tc>
          <w:tcPr>
            <w:tcW w:w="5528" w:type="dxa"/>
            <w:gridSpan w:val="2"/>
            <w:tcBorders>
              <w:top w:val="single" w:sz="4" w:space="0" w:color="auto"/>
              <w:bottom w:val="single" w:sz="12" w:space="0" w:color="auto"/>
            </w:tcBorders>
          </w:tcPr>
          <w:p w:rsidR="003D1DF3" w:rsidRPr="00740562" w:rsidRDefault="003D1DF3" w:rsidP="00F01516">
            <w:pPr>
              <w:spacing w:before="120" w:line="420" w:lineRule="exact"/>
              <w:rPr>
                <w:b/>
                <w:sz w:val="40"/>
                <w:szCs w:val="40"/>
              </w:rPr>
            </w:pPr>
            <w:r w:rsidRPr="00FB77FF">
              <w:rPr>
                <w:b/>
                <w:sz w:val="40"/>
                <w:szCs w:val="40"/>
              </w:rPr>
              <w:t>Conseil économique</w:t>
            </w:r>
            <w:r>
              <w:rPr>
                <w:b/>
                <w:sz w:val="40"/>
                <w:szCs w:val="40"/>
              </w:rPr>
              <w:t xml:space="preserve"> </w:t>
            </w:r>
            <w:r w:rsidRPr="00FB77FF">
              <w:rPr>
                <w:b/>
                <w:sz w:val="40"/>
                <w:szCs w:val="40"/>
              </w:rPr>
              <w:t>et social</w:t>
            </w:r>
          </w:p>
        </w:tc>
        <w:tc>
          <w:tcPr>
            <w:tcW w:w="2835" w:type="dxa"/>
            <w:tcBorders>
              <w:top w:val="single" w:sz="4" w:space="0" w:color="auto"/>
              <w:bottom w:val="single" w:sz="12" w:space="0" w:color="auto"/>
            </w:tcBorders>
          </w:tcPr>
          <w:p w:rsidR="00572F52" w:rsidRDefault="00572F52" w:rsidP="00F01516">
            <w:pPr>
              <w:spacing w:before="240"/>
            </w:pPr>
            <w:r>
              <w:t>Distr. générale</w:t>
            </w:r>
          </w:p>
          <w:p w:rsidR="00572F52" w:rsidRDefault="00572F52" w:rsidP="00572F52">
            <w:pPr>
              <w:spacing w:line="240" w:lineRule="exact"/>
            </w:pPr>
            <w:r>
              <w:t>12 juillet 2011</w:t>
            </w:r>
          </w:p>
          <w:p w:rsidR="00572F52" w:rsidRDefault="00572F52" w:rsidP="00572F52">
            <w:pPr>
              <w:spacing w:line="240" w:lineRule="exact"/>
            </w:pPr>
            <w:r>
              <w:t>Français</w:t>
            </w:r>
          </w:p>
          <w:p w:rsidR="003D1DF3" w:rsidRPr="00DB58B5" w:rsidRDefault="00572F52" w:rsidP="00572F52">
            <w:pPr>
              <w:spacing w:line="240" w:lineRule="exact"/>
            </w:pPr>
            <w:r>
              <w:t>Original: anglais</w:t>
            </w:r>
          </w:p>
        </w:tc>
      </w:tr>
    </w:tbl>
    <w:p w:rsidR="00572F52" w:rsidRPr="00B137AE" w:rsidRDefault="00572F52" w:rsidP="00572F52">
      <w:pPr>
        <w:spacing w:before="120"/>
      </w:pPr>
      <w:r w:rsidRPr="00947E81">
        <w:rPr>
          <w:b/>
          <w:sz w:val="24"/>
          <w:szCs w:val="24"/>
        </w:rPr>
        <w:t>Comité des droits économiques, sociaux et culturels</w:t>
      </w:r>
    </w:p>
    <w:p w:rsidR="00572F52" w:rsidRPr="00B137AE" w:rsidRDefault="00572F52" w:rsidP="00572F52">
      <w:pPr>
        <w:pStyle w:val="HChG"/>
      </w:pPr>
      <w:r w:rsidRPr="00B137AE">
        <w:tab/>
      </w:r>
      <w:r w:rsidRPr="00B137AE">
        <w:tab/>
      </w:r>
      <w:r>
        <w:t>D</w:t>
      </w:r>
      <w:r w:rsidRPr="00B137AE">
        <w:t xml:space="preserve">éclaration sur les obligations des États parties concernant </w:t>
      </w:r>
      <w:r>
        <w:br/>
      </w:r>
      <w:r w:rsidRPr="00B137AE">
        <w:t xml:space="preserve">le secteur des entreprises et les droits économiques, sociaux </w:t>
      </w:r>
      <w:r>
        <w:br/>
      </w:r>
      <w:r w:rsidRPr="00B137AE">
        <w:t>et culturels</w:t>
      </w:r>
      <w:r w:rsidRPr="00572F52">
        <w:rPr>
          <w:rStyle w:val="FootnoteReference"/>
          <w:b w:val="0"/>
          <w:sz w:val="20"/>
          <w:vertAlign w:val="baseline"/>
        </w:rPr>
        <w:footnoteReference w:customMarkFollows="1" w:id="2"/>
        <w:t>*</w:t>
      </w:r>
    </w:p>
    <w:p w:rsidR="00572F52" w:rsidRPr="00B137AE" w:rsidRDefault="00572F52" w:rsidP="00572F52">
      <w:pPr>
        <w:pStyle w:val="SingleTxtG"/>
      </w:pPr>
      <w:r w:rsidRPr="00B137AE">
        <w:t>1.</w:t>
      </w:r>
      <w:r w:rsidRPr="00B137AE">
        <w:tab/>
        <w:t>Du fait de la mondialisation et du rôle croissant joué par les acteurs non étatiques, le Comité traite de plus en plus des obligations des États parties eu égard à l</w:t>
      </w:r>
      <w:r>
        <w:t>’incidence</w:t>
      </w:r>
      <w:r w:rsidRPr="00B137AE">
        <w:t xml:space="preserve"> du secteur des entreprises sur l</w:t>
      </w:r>
      <w:r>
        <w:t>’</w:t>
      </w:r>
      <w:r w:rsidRPr="00B137AE">
        <w:t>application des droits énoncés dans le Pacte. Souvent, le secteur des entreprises concourt à la réalisation des droits économiques, sociaux et culturels</w:t>
      </w:r>
      <w:r>
        <w:t xml:space="preserve"> consacrés dans le Pacte</w:t>
      </w:r>
      <w:r w:rsidRPr="00B137AE">
        <w:t>, notamment en contribuant au développement économique, à la création d</w:t>
      </w:r>
      <w:r>
        <w:t>’</w:t>
      </w:r>
      <w:r w:rsidRPr="00B137AE">
        <w:t>emplois et à l</w:t>
      </w:r>
      <w:r>
        <w:t>’</w:t>
      </w:r>
      <w:r w:rsidRPr="00B137AE">
        <w:t>investissement productif. Toutefois, le Comité a également observé à plusieurs reprises que les activités des entreprises pouvaient nuire à la jouissance des droits énoncés dans le Pacte. Les exemples de problèmes qui en découlent abondent: ils vont du travail des enfants et de l</w:t>
      </w:r>
      <w:r>
        <w:t>’</w:t>
      </w:r>
      <w:r w:rsidRPr="00B137AE">
        <w:t xml:space="preserve">absence de conditions de travail sûres aux effets néfastes sur le droit à la santé, le niveau de vie des populations </w:t>
      </w:r>
      <w:r>
        <w:t>− y compris d</w:t>
      </w:r>
      <w:r w:rsidRPr="00B137AE">
        <w:t>es peuples autochtones </w:t>
      </w:r>
      <w:r>
        <w:t>−</w:t>
      </w:r>
      <w:r w:rsidRPr="00B137AE">
        <w:t xml:space="preserve"> et l</w:t>
      </w:r>
      <w:r>
        <w:t>’</w:t>
      </w:r>
      <w:r w:rsidRPr="00B137AE">
        <w:t>environnement, et au rôle dévastateur de la corruption, en passant par la limitation des droits syndicaux et la discrimination à l</w:t>
      </w:r>
      <w:r>
        <w:t>’</w:t>
      </w:r>
      <w:r w:rsidRPr="00B137AE">
        <w:t>égard des travailleuses. Le Comité réaffirme l</w:t>
      </w:r>
      <w:r>
        <w:t>’</w:t>
      </w:r>
      <w:r w:rsidRPr="00B137AE">
        <w:t xml:space="preserve">obligation des États parties de veiller, dans ce contexte, au </w:t>
      </w:r>
      <w:r>
        <w:t xml:space="preserve">plein </w:t>
      </w:r>
      <w:r w:rsidRPr="00B137AE">
        <w:t>respect de l</w:t>
      </w:r>
      <w:r>
        <w:t>’</w:t>
      </w:r>
      <w:r w:rsidRPr="00B137AE">
        <w:t>ensemble des droits économiques, sociaux et culturels reconnus dans le Pacte et à la protection appropriée des titulaires de droits dans le cadre des activités des entreprises.</w:t>
      </w:r>
    </w:p>
    <w:p w:rsidR="00572F52" w:rsidRPr="00B137AE" w:rsidRDefault="00572F52" w:rsidP="00572F52">
      <w:pPr>
        <w:pStyle w:val="SingleTxtG"/>
      </w:pPr>
      <w:r w:rsidRPr="00B137AE">
        <w:t>2.</w:t>
      </w:r>
      <w:r w:rsidRPr="00B137AE">
        <w:tab/>
        <w:t>Le Comité rappelle qu</w:t>
      </w:r>
      <w:r>
        <w:t>’en 1998</w:t>
      </w:r>
      <w:r w:rsidRPr="00B137AE">
        <w:t xml:space="preserve"> il a publié sa Déclaration sur la mondialisation et</w:t>
      </w:r>
      <w:r>
        <w:t> </w:t>
      </w:r>
      <w:r w:rsidRPr="00B137AE">
        <w:t>ses incidences sur l</w:t>
      </w:r>
      <w:r>
        <w:t>’</w:t>
      </w:r>
      <w:r w:rsidRPr="00B137AE">
        <w:t>exercice des droits économiques, sociaux et culturels</w:t>
      </w:r>
      <w:r w:rsidRPr="00B137AE">
        <w:rPr>
          <w:rStyle w:val="FootnoteReference"/>
        </w:rPr>
        <w:footnoteReference w:id="3"/>
      </w:r>
      <w:r w:rsidRPr="00B137AE">
        <w:t xml:space="preserve">, qui </w:t>
      </w:r>
      <w:r w:rsidR="00280D64">
        <w:t>offre</w:t>
      </w:r>
      <w:r w:rsidRPr="00B137AE">
        <w:t xml:space="preserve"> un intérêt pour la présente </w:t>
      </w:r>
      <w:r w:rsidR="00C4116A" w:rsidRPr="00B137AE">
        <w:t>D</w:t>
      </w:r>
      <w:r w:rsidRPr="00B137AE">
        <w:t>éclaration. Le Comité salue les initiatives liées à la responsabilité des entreprises dans le contexte des droits de l</w:t>
      </w:r>
      <w:r>
        <w:t>’</w:t>
      </w:r>
      <w:r w:rsidRPr="00B137AE">
        <w:t>homme et en tient compte dans l</w:t>
      </w:r>
      <w:r>
        <w:t>’</w:t>
      </w:r>
      <w:r w:rsidRPr="00B137AE">
        <w:t>exécution de son mandat. Au niveau international, suite à sa Déclaration de principes tripartite (1977) sur les entreprises multinationales et la politique sociale</w:t>
      </w:r>
      <w:r w:rsidRPr="00B137AE">
        <w:rPr>
          <w:rStyle w:val="FootnoteReference"/>
        </w:rPr>
        <w:footnoteReference w:id="4"/>
      </w:r>
      <w:r w:rsidRPr="00B137AE">
        <w:t>, l</w:t>
      </w:r>
      <w:r>
        <w:t>’</w:t>
      </w:r>
      <w:r w:rsidRPr="00B137AE">
        <w:t>Organisation internationale du Travail (OIT) a adopté en 1998 sa Déclaration relative aux principes et droits fondamentaux au travail</w:t>
      </w:r>
      <w:r w:rsidRPr="00B137AE">
        <w:rPr>
          <w:rStyle w:val="FootnoteReference"/>
        </w:rPr>
        <w:footnoteReference w:id="5"/>
      </w:r>
      <w:r w:rsidRPr="00B137AE">
        <w:t>. Cette Déclaration porte notamment sur la liberté d</w:t>
      </w:r>
      <w:r>
        <w:t>’</w:t>
      </w:r>
      <w:r w:rsidRPr="00B137AE">
        <w:t>association et la reconnaissance effective du droit de négociation collective, l</w:t>
      </w:r>
      <w:r>
        <w:t>’</w:t>
      </w:r>
      <w:r w:rsidRPr="00B137AE">
        <w:t>élimination de toute forme de travail forcé ou obligatoire, l</w:t>
      </w:r>
      <w:r>
        <w:t>’</w:t>
      </w:r>
      <w:r w:rsidRPr="00B137AE">
        <w:t>abolition effective du travail des enfants, et l</w:t>
      </w:r>
      <w:r>
        <w:t>’</w:t>
      </w:r>
      <w:r w:rsidRPr="00B137AE">
        <w:t>élimination de la discrimination en matière d</w:t>
      </w:r>
      <w:r>
        <w:t>’</w:t>
      </w:r>
      <w:r w:rsidRPr="00B137AE">
        <w:t>emploi et de profession. En 2000, l</w:t>
      </w:r>
      <w:r>
        <w:t>’</w:t>
      </w:r>
      <w:r w:rsidRPr="00B137AE">
        <w:t>Organisation des Nations Unies a lancé le P</w:t>
      </w:r>
      <w:r w:rsidR="00946828">
        <w:t xml:space="preserve">acte mondial, que plus de 7 700 </w:t>
      </w:r>
      <w:r w:rsidRPr="00B137AE">
        <w:t>entreprises et autres acteurs ont signé jusqu</w:t>
      </w:r>
      <w:r>
        <w:t>’</w:t>
      </w:r>
      <w:r w:rsidRPr="00B137AE">
        <w:t>ici, s</w:t>
      </w:r>
      <w:r>
        <w:t>’</w:t>
      </w:r>
      <w:r w:rsidRPr="00B137AE">
        <w:t>engageant à s</w:t>
      </w:r>
      <w:r>
        <w:t>’</w:t>
      </w:r>
      <w:r w:rsidRPr="00B137AE">
        <w:t>acquitter de leurs responsabilités en matière de droits de l</w:t>
      </w:r>
      <w:r>
        <w:t>’</w:t>
      </w:r>
      <w:r w:rsidRPr="00B137AE">
        <w:t>homme, de travail, d</w:t>
      </w:r>
      <w:r>
        <w:t>’</w:t>
      </w:r>
      <w:r w:rsidRPr="00B137AE">
        <w:t>environnement et de lutte contre la corruption</w:t>
      </w:r>
      <w:r w:rsidRPr="00B137AE">
        <w:rPr>
          <w:rStyle w:val="FootnoteReference"/>
        </w:rPr>
        <w:footnoteReference w:id="6"/>
      </w:r>
      <w:r w:rsidRPr="00B137AE">
        <w:t>. Le Comité prend note qu</w:t>
      </w:r>
      <w:r>
        <w:t>’</w:t>
      </w:r>
      <w:r w:rsidRPr="00B137AE">
        <w:t>en 2008 le Conseil des droits de l</w:t>
      </w:r>
      <w:r>
        <w:t>’</w:t>
      </w:r>
      <w:r w:rsidRPr="00B137AE">
        <w:t>homme a salué le cadre stratégique pour les entreprises et les droits de l</w:t>
      </w:r>
      <w:r>
        <w:t>’</w:t>
      </w:r>
      <w:r w:rsidRPr="00B137AE">
        <w:t>homme, intitulé «Protéger, respecter et réparer», présenté par le Représentant spécial du Secrétaire général chargé de la question des droits de l</w:t>
      </w:r>
      <w:r>
        <w:t>’</w:t>
      </w:r>
      <w:r w:rsidRPr="00B137AE">
        <w:t>homme et des sociétés transnationales et autres entreprises</w:t>
      </w:r>
      <w:r w:rsidRPr="00B137AE">
        <w:rPr>
          <w:rStyle w:val="FootnoteReference"/>
        </w:rPr>
        <w:footnoteReference w:id="7"/>
      </w:r>
      <w:r>
        <w:t>.</w:t>
      </w:r>
    </w:p>
    <w:p w:rsidR="00572F52" w:rsidRPr="00B137AE" w:rsidRDefault="00572F52" w:rsidP="00572F52">
      <w:pPr>
        <w:pStyle w:val="SingleTxtG"/>
      </w:pPr>
      <w:r w:rsidRPr="00B137AE">
        <w:t>3.</w:t>
      </w:r>
      <w:r w:rsidRPr="00B137AE">
        <w:tab/>
        <w:t>Les États parties ont l</w:t>
      </w:r>
      <w:r>
        <w:t>’</w:t>
      </w:r>
      <w:r w:rsidRPr="00B137AE">
        <w:t>obligation primordiale de respecter et de protéger les droits inscrits dans le Pacte de toutes les personnes placées sous leur juridiction, et d</w:t>
      </w:r>
      <w:r>
        <w:t>’</w:t>
      </w:r>
      <w:r w:rsidRPr="00B137AE">
        <w:t>en favoriser la mise en œuvre, dans le contexte des activités des entreprises, publiques ou privées. Cette obligation découle du paragraphe 1 de l</w:t>
      </w:r>
      <w:r>
        <w:t>’</w:t>
      </w:r>
      <w:r w:rsidRPr="00B137AE">
        <w:t>article 2 du Pacte, qui définit la nature des obligations des États parties, faisant état des mesures législatives et autres propres à assurer la réalisation des droits, qui englobent les mesures administratives, financières, éducatives et sociales, les évaluations des besoins aux plans national et mondial, et le fait d</w:t>
      </w:r>
      <w:r>
        <w:t>’</w:t>
      </w:r>
      <w:r w:rsidRPr="00B137AE">
        <w:t>assurer des recours judiciaires ou autres recours utiles.</w:t>
      </w:r>
    </w:p>
    <w:p w:rsidR="00572F52" w:rsidRPr="00B137AE" w:rsidRDefault="00572F52" w:rsidP="00572F52">
      <w:pPr>
        <w:pStyle w:val="SingleTxtG"/>
      </w:pPr>
      <w:r w:rsidRPr="00B137AE">
        <w:t>4.</w:t>
      </w:r>
      <w:r w:rsidRPr="00B137AE">
        <w:tab/>
      </w:r>
      <w:r w:rsidRPr="00B137AE">
        <w:rPr>
          <w:b/>
        </w:rPr>
        <w:t>Respecter les droits</w:t>
      </w:r>
      <w:r w:rsidRPr="00B137AE">
        <w:t xml:space="preserve"> impose aux États parties de garantir la conformité de leurs lois et politiques en matière d</w:t>
      </w:r>
      <w:r>
        <w:t>’</w:t>
      </w:r>
      <w:r w:rsidRPr="00B137AE">
        <w:t>activités commerciales avec les droits économiques, sociaux et culturels énoncés dans le Pacte. Dans le cadre de cette obligation, les États parties doivent veiller à ce que les entreprises prennent les précautions qui s</w:t>
      </w:r>
      <w:r>
        <w:t>’</w:t>
      </w:r>
      <w:r w:rsidRPr="00B137AE">
        <w:t>imposent pour s</w:t>
      </w:r>
      <w:r>
        <w:t>’</w:t>
      </w:r>
      <w:r w:rsidRPr="00B137AE">
        <w:t>assurer qu</w:t>
      </w:r>
      <w:r>
        <w:t>’</w:t>
      </w:r>
      <w:r w:rsidRPr="00B137AE">
        <w:t>elles ne nuisent pas à la jouissance, par les personnes qui dépendent de leurs activités ou qui en subissent les conséquences, des</w:t>
      </w:r>
      <w:r w:rsidR="00946828">
        <w:t xml:space="preserve"> droits reconnus dans le Pacte.</w:t>
      </w:r>
    </w:p>
    <w:p w:rsidR="00572F52" w:rsidRPr="00B137AE" w:rsidRDefault="00572F52" w:rsidP="00572F52">
      <w:pPr>
        <w:pStyle w:val="SingleTxtG"/>
      </w:pPr>
      <w:r w:rsidRPr="00B137AE">
        <w:t>5.</w:t>
      </w:r>
      <w:r w:rsidRPr="00B137AE">
        <w:tab/>
      </w:r>
      <w:r w:rsidRPr="00B137AE">
        <w:rPr>
          <w:b/>
        </w:rPr>
        <w:t>Protéger les droits</w:t>
      </w:r>
      <w:r w:rsidRPr="00B137AE">
        <w:t xml:space="preserve"> signifie que les États parties préservent dans les faits les titulaires de droits des atteintes à leurs droits économiques, sociaux et culturels commises par les entreprises, en mettant en place les lois et les règlements appropriés, ainsi que les procédures de surveillance, d</w:t>
      </w:r>
      <w:r>
        <w:t>’</w:t>
      </w:r>
      <w:r w:rsidRPr="00B137AE">
        <w:t>enquête et d</w:t>
      </w:r>
      <w:r>
        <w:t>’</w:t>
      </w:r>
      <w:r w:rsidRPr="00B137AE">
        <w:t>établissement des responsabilités afin d</w:t>
      </w:r>
      <w:r>
        <w:t>’</w:t>
      </w:r>
      <w:r w:rsidRPr="00B137AE">
        <w:t>instituer et de faire appliquer des normes pour la conduite d</w:t>
      </w:r>
      <w:r>
        <w:t>’</w:t>
      </w:r>
      <w:r w:rsidRPr="00B137AE">
        <w:t>activités par les entreprises. Comme le Comité l</w:t>
      </w:r>
      <w:r>
        <w:t>’</w:t>
      </w:r>
      <w:r w:rsidRPr="00B137AE">
        <w:t>a exprimé à maintes reprises, le manquement à cette obligation peut être le résultat de l</w:t>
      </w:r>
      <w:r>
        <w:t>’</w:t>
      </w:r>
      <w:r w:rsidRPr="00B137AE">
        <w:t>action ou de l</w:t>
      </w:r>
      <w:r>
        <w:t>’</w:t>
      </w:r>
      <w:r w:rsidRPr="00B137AE">
        <w:t>inaction. Il est de la plus haute importance que les États parties garantissent aux victimes d</w:t>
      </w:r>
      <w:r>
        <w:t>’</w:t>
      </w:r>
      <w:r w:rsidRPr="00B137AE">
        <w:t>atteintes de leurs droits économiques, sociaux et culturels par une entreprise l</w:t>
      </w:r>
      <w:r>
        <w:t>’</w:t>
      </w:r>
      <w:r w:rsidRPr="00B137AE">
        <w:t xml:space="preserve">accès à des recours utiles par des voies judiciaires, administratives, législatives ou autres, le cas échéant. Les États parties </w:t>
      </w:r>
      <w:r w:rsidR="00946828">
        <w:t xml:space="preserve">devraient </w:t>
      </w:r>
      <w:r w:rsidRPr="00B137AE">
        <w:t>aussi prendre des mesures de prévention des atteintes aux droits de l</w:t>
      </w:r>
      <w:r>
        <w:t>’</w:t>
      </w:r>
      <w:r w:rsidRPr="00B137AE">
        <w:t>homme commises à l</w:t>
      </w:r>
      <w:r>
        <w:t>’</w:t>
      </w:r>
      <w:r w:rsidRPr="00B137AE">
        <w:t xml:space="preserve">étranger par des sociétés dont le siège relève de leur juridiction, sans porter atteinte à la souveraineté des États hôtes ni diminuer leurs obligations au titre du Pacte. Dans son Observation générale </w:t>
      </w:r>
      <w:r>
        <w:rPr>
          <w:rFonts w:eastAsia="MS Mincho"/>
        </w:rPr>
        <w:t>n</w:t>
      </w:r>
      <w:r>
        <w:rPr>
          <w:rFonts w:eastAsia="MS Mincho"/>
          <w:vertAlign w:val="superscript"/>
        </w:rPr>
        <w:t>o</w:t>
      </w:r>
      <w:r w:rsidRPr="00B137AE">
        <w:t xml:space="preserve"> 15 </w:t>
      </w:r>
      <w:r w:rsidR="00946828">
        <w:t xml:space="preserve">(2002) </w:t>
      </w:r>
      <w:r w:rsidRPr="00B137AE">
        <w:t>sur le droit à l</w:t>
      </w:r>
      <w:r>
        <w:t>’</w:t>
      </w:r>
      <w:r w:rsidRPr="00B137AE">
        <w:t>eau, par exemple, le Comité déclare que «les États parties devraient prendre des mesures pour empêcher leurs propres ressortissants ou des compagnies qui relèvent de leur juridiction de violer le droit à l</w:t>
      </w:r>
      <w:r>
        <w:t>’</w:t>
      </w:r>
      <w:r w:rsidRPr="00B137AE">
        <w:t>eau de particuliers et de communautés dans d</w:t>
      </w:r>
      <w:r>
        <w:t>’</w:t>
      </w:r>
      <w:r w:rsidRPr="00B137AE">
        <w:t>autres pays». Il souligne aussi que «les États parties doivent agir de manière compatible avec la Charte des Nations Unies et le droit international applicable lorsqu</w:t>
      </w:r>
      <w:r>
        <w:t>’</w:t>
      </w:r>
      <w:r w:rsidRPr="00B137AE">
        <w:t>ils sont à même d</w:t>
      </w:r>
      <w:r>
        <w:t>’</w:t>
      </w:r>
      <w:r w:rsidRPr="00B137AE">
        <w:t xml:space="preserve">inciter des tiers à respecter ce droit en usant de moyens juridiques ou politiques». Dans son Observation générale </w:t>
      </w:r>
      <w:r>
        <w:rPr>
          <w:rFonts w:eastAsia="MS Mincho"/>
        </w:rPr>
        <w:t>n</w:t>
      </w:r>
      <w:r>
        <w:rPr>
          <w:rFonts w:eastAsia="MS Mincho"/>
          <w:vertAlign w:val="superscript"/>
        </w:rPr>
        <w:t>o</w:t>
      </w:r>
      <w:r w:rsidRPr="00B137AE">
        <w:t xml:space="preserve"> 18 </w:t>
      </w:r>
      <w:r w:rsidR="00946828">
        <w:t xml:space="preserve">(2005) </w:t>
      </w:r>
      <w:r w:rsidRPr="00B137AE">
        <w:t xml:space="preserve">sur le droit au travail, le Comité souligne que les entreprises privées </w:t>
      </w:r>
      <w:r>
        <w:t>−</w:t>
      </w:r>
      <w:r w:rsidRPr="00B137AE">
        <w:t> nationales et transnationales </w:t>
      </w:r>
      <w:r>
        <w:t>−</w:t>
      </w:r>
      <w:r w:rsidRPr="00B137AE">
        <w:t xml:space="preserve"> «ont un rôle particulier à jouer dans la création d</w:t>
      </w:r>
      <w:r>
        <w:t>’</w:t>
      </w:r>
      <w:r w:rsidRPr="00B137AE">
        <w:t>emplois, les politiques d</w:t>
      </w:r>
      <w:r>
        <w:t>’</w:t>
      </w:r>
      <w:r w:rsidRPr="00B137AE">
        <w:t>embauche et l</w:t>
      </w:r>
      <w:r>
        <w:t>’</w:t>
      </w:r>
      <w:r w:rsidRPr="00B137AE">
        <w:t>accès non discriminatoire au travail. Elles devraient mener leurs activités dans le cadre d</w:t>
      </w:r>
      <w:r>
        <w:t>’</w:t>
      </w:r>
      <w:r w:rsidRPr="00B137AE">
        <w:t>une législation, de mesures administratives, de codes de conduite et d</w:t>
      </w:r>
      <w:r>
        <w:t>’</w:t>
      </w:r>
      <w:r w:rsidRPr="00B137AE">
        <w:t>autres mesures adaptées qui favorisent le respect du droit au travail, résultant d</w:t>
      </w:r>
      <w:r>
        <w:t>’</w:t>
      </w:r>
      <w:r w:rsidRPr="00B137AE">
        <w:t xml:space="preserve">un commun accord entre le gouvernement et la société civile». Dans son Observation générale </w:t>
      </w:r>
      <w:r>
        <w:rPr>
          <w:rFonts w:eastAsia="MS Mincho"/>
        </w:rPr>
        <w:t>n</w:t>
      </w:r>
      <w:r>
        <w:rPr>
          <w:rFonts w:eastAsia="MS Mincho"/>
          <w:vertAlign w:val="superscript"/>
        </w:rPr>
        <w:t>o</w:t>
      </w:r>
      <w:r w:rsidRPr="00B137AE">
        <w:t> 19 sur le droit à la sécurité sociale, le Comité souligne que «les États parties devraient protéger en dehors de leur territoire le droit à la sécurité sociale en empêchant leurs ressortissants ou des entreprises relevant de leur juridiction de violer ce droit dans d</w:t>
      </w:r>
      <w:r>
        <w:t>’</w:t>
      </w:r>
      <w:r w:rsidRPr="00B137AE">
        <w:t>autres pays»</w:t>
      </w:r>
      <w:r w:rsidR="00946828" w:rsidRPr="00B137AE">
        <w:rPr>
          <w:rStyle w:val="FootnoteReference"/>
        </w:rPr>
        <w:footnoteReference w:id="8"/>
      </w:r>
      <w:r w:rsidRPr="00B137AE">
        <w:t>.</w:t>
      </w:r>
    </w:p>
    <w:p w:rsidR="00572F52" w:rsidRPr="00B137AE" w:rsidRDefault="00572F52" w:rsidP="00572F52">
      <w:pPr>
        <w:pStyle w:val="SingleTxtG"/>
      </w:pPr>
      <w:r w:rsidRPr="00B137AE">
        <w:t>6.</w:t>
      </w:r>
      <w:r w:rsidRPr="00B137AE">
        <w:tab/>
      </w:r>
      <w:r w:rsidRPr="00B137AE">
        <w:rPr>
          <w:b/>
        </w:rPr>
        <w:t>Mettre en œuvre les droits</w:t>
      </w:r>
      <w:r w:rsidRPr="00B137AE">
        <w:t xml:space="preserve"> implique que les États parties s</w:t>
      </w:r>
      <w:r>
        <w:t>’</w:t>
      </w:r>
      <w:r w:rsidRPr="00B137AE">
        <w:t>efforcent d</w:t>
      </w:r>
      <w:r>
        <w:t>’</w:t>
      </w:r>
      <w:r w:rsidRPr="00B137AE">
        <w:t>obtenir l</w:t>
      </w:r>
      <w:r>
        <w:t>’</w:t>
      </w:r>
      <w:r w:rsidRPr="00B137AE">
        <w:t>appui du secteur des entreprises à la réalisation des droits économiques, sociaux et culturels. Les États parties qui accueillent des sociétés également présentes à l</w:t>
      </w:r>
      <w:r>
        <w:t>’</w:t>
      </w:r>
      <w:r w:rsidRPr="00B137AE">
        <w:t xml:space="preserve">étranger doivent aussi encourager ces sociétés à aider selon que de besoin, </w:t>
      </w:r>
      <w:r w:rsidR="00946828">
        <w:t xml:space="preserve">notamment dans les situations de conflit armé et de catastrophe naturelle, </w:t>
      </w:r>
      <w:r w:rsidRPr="00B137AE">
        <w:t>les pays d</w:t>
      </w:r>
      <w:r>
        <w:t>’</w:t>
      </w:r>
      <w:r w:rsidRPr="00B137AE">
        <w:t>accueil à renforcer leurs capacités de veiller à ce que les entreprises assument leurs responsabilités en matière de respect des droits éco</w:t>
      </w:r>
      <w:r w:rsidR="00946828">
        <w:t>nomiques, sociaux et culturels.</w:t>
      </w:r>
    </w:p>
    <w:p w:rsidR="00FF1DBD" w:rsidRDefault="00572F52" w:rsidP="00572F52">
      <w:pPr>
        <w:pStyle w:val="SingleTxtG"/>
      </w:pPr>
      <w:r w:rsidRPr="00B137AE">
        <w:t>7.</w:t>
      </w:r>
      <w:r w:rsidRPr="00B137AE">
        <w:tab/>
        <w:t xml:space="preserve">Par conséquent, le Comité est déterminé à se montrer </w:t>
      </w:r>
      <w:r w:rsidR="00946828">
        <w:t xml:space="preserve">particulièrement </w:t>
      </w:r>
      <w:r w:rsidRPr="00B137AE">
        <w:t xml:space="preserve">attentif aux obligations des États parties eu égard aux responsabilités des entreprises concernant les droits protégés par le Pacte, afin de mieux contribuer à la pleine réalisation de ces droits. </w:t>
      </w:r>
      <w:r w:rsidR="00946828">
        <w:t xml:space="preserve">De façon à </w:t>
      </w:r>
      <w:r w:rsidRPr="00B137AE">
        <w:t>faciliter le suivi effectif des points abordés dans la présente Déclaration, le Comité invite les États pa</w:t>
      </w:r>
      <w:r w:rsidR="00946828">
        <w:t>rties à faire figurer dans leur rapport</w:t>
      </w:r>
      <w:r w:rsidRPr="00B137AE">
        <w:t xml:space="preserve"> initial et </w:t>
      </w:r>
      <w:r w:rsidR="00946828">
        <w:t xml:space="preserve">leurs rapports </w:t>
      </w:r>
      <w:r w:rsidRPr="00B137AE">
        <w:t>périodiques des informations sur les difficultés rencontrées et les mesures prises concernant le rôle et l</w:t>
      </w:r>
      <w:r>
        <w:t>’</w:t>
      </w:r>
      <w:r w:rsidR="00946828">
        <w:t xml:space="preserve">incidence </w:t>
      </w:r>
      <w:r w:rsidRPr="00B137AE">
        <w:t>du secteur des entreprises sur la réalisation des droits économiques, sociaux et culturels. Les autres acteurs sont également encouragés à inclure les informations pertinentes dans leurs exposés au Comité, le cas échéant.</w:t>
      </w:r>
    </w:p>
    <w:p w:rsidR="00572F52" w:rsidRPr="00572F52" w:rsidRDefault="00572F52" w:rsidP="00572F52">
      <w:pPr>
        <w:pStyle w:val="SingleTxtG"/>
        <w:spacing w:before="240" w:after="0"/>
        <w:jc w:val="center"/>
        <w:rPr>
          <w:u w:val="single"/>
        </w:rPr>
      </w:pP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</w:p>
    <w:sectPr w:rsidR="00572F52" w:rsidRPr="00572F52" w:rsidSect="00572F52">
      <w:headerReference w:type="even" r:id="rId8"/>
      <w:headerReference w:type="default" r:id="rId9"/>
      <w:footerReference w:type="even" r:id="rId10"/>
      <w:footerReference w:type="default" r:id="rId11"/>
      <w:footerReference w:type="first" r:id="rId12"/>
      <w:endnotePr>
        <w:numFmt w:val="decimal"/>
      </w:endnotePr>
      <w:pgSz w:w="11907" w:h="16840" w:code="9"/>
      <w:pgMar w:top="1701" w:right="1134" w:bottom="2268" w:left="1134" w:header="1134" w:footer="1701" w:gutter="0"/>
      <w:cols w:space="720"/>
      <w:titlePg/>
      <w:docGrid w:linePitch="27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BC022D" w:rsidRDefault="00BC022D"/>
  </w:endnote>
  <w:endnote w:type="continuationSeparator" w:id="0">
    <w:p w:rsidR="00BC022D" w:rsidRDefault="00BC022D"/>
  </w:endnote>
  <w:endnote w:type="continuationNotice" w:id="1">
    <w:p w:rsidR="00BC022D" w:rsidRDefault="00BC022D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C022D" w:rsidRPr="00572F52" w:rsidRDefault="00BC022D" w:rsidP="00572F52">
    <w:pPr>
      <w:pStyle w:val="Footer"/>
      <w:tabs>
        <w:tab w:val="right" w:pos="9638"/>
      </w:tabs>
    </w:pPr>
    <w:r w:rsidRPr="00572F52">
      <w:rPr>
        <w:b/>
        <w:sz w:val="18"/>
      </w:rPr>
      <w:fldChar w:fldCharType="begin"/>
    </w:r>
    <w:r w:rsidRPr="00572F52">
      <w:rPr>
        <w:b/>
        <w:sz w:val="18"/>
      </w:rPr>
      <w:instrText xml:space="preserve"> PAGE  \* MERGEFORMAT </w:instrText>
    </w:r>
    <w:r w:rsidRPr="00572F52">
      <w:rPr>
        <w:b/>
        <w:sz w:val="18"/>
      </w:rPr>
      <w:fldChar w:fldCharType="separate"/>
    </w:r>
    <w:r>
      <w:rPr>
        <w:b/>
        <w:noProof/>
        <w:sz w:val="18"/>
      </w:rPr>
      <w:t>2</w:t>
    </w:r>
    <w:r w:rsidRPr="00572F52">
      <w:rPr>
        <w:b/>
        <w:sz w:val="18"/>
      </w:rPr>
      <w:fldChar w:fldCharType="end"/>
    </w:r>
    <w:r>
      <w:rPr>
        <w:b/>
        <w:sz w:val="18"/>
      </w:rPr>
      <w:tab/>
    </w:r>
    <w:r>
      <w:t>GE.11-44076</w: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C022D" w:rsidRPr="00572F52" w:rsidRDefault="00BC022D" w:rsidP="00572F52">
    <w:pPr>
      <w:pStyle w:val="Footer"/>
      <w:tabs>
        <w:tab w:val="right" w:pos="9638"/>
      </w:tabs>
      <w:rPr>
        <w:b/>
        <w:sz w:val="18"/>
      </w:rPr>
    </w:pPr>
    <w:r>
      <w:t>GE.11-44076</w:t>
    </w:r>
    <w:r>
      <w:tab/>
    </w:r>
    <w:r w:rsidRPr="00572F52">
      <w:rPr>
        <w:b/>
        <w:sz w:val="18"/>
      </w:rPr>
      <w:fldChar w:fldCharType="begin"/>
    </w:r>
    <w:r w:rsidRPr="00572F52">
      <w:rPr>
        <w:b/>
        <w:sz w:val="18"/>
      </w:rPr>
      <w:instrText xml:space="preserve"> PAGE  \* MERGEFORMAT </w:instrText>
    </w:r>
    <w:r w:rsidRPr="00572F52">
      <w:rPr>
        <w:b/>
        <w:sz w:val="18"/>
      </w:rPr>
      <w:fldChar w:fldCharType="separate"/>
    </w:r>
    <w:r>
      <w:rPr>
        <w:b/>
        <w:noProof/>
        <w:sz w:val="18"/>
      </w:rPr>
      <w:t>3</w:t>
    </w:r>
    <w:r w:rsidRPr="00572F52">
      <w:rPr>
        <w:b/>
        <w:sz w:val="18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C022D" w:rsidRPr="00572F52" w:rsidRDefault="00BC022D">
    <w:pPr>
      <w:pStyle w:val="Footer"/>
      <w:rPr>
        <w:sz w:val="20"/>
      </w:rPr>
    </w:pPr>
    <w:r>
      <w:rPr>
        <w:sz w:val="20"/>
      </w:rPr>
      <w:t>GE.</w:t>
    </w:r>
    <w:r>
      <w:rPr>
        <w:noProof/>
        <w:lang w:val="fr-FR" w:eastAsia="fr-FR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50" type="#_x0000_t75" style="position:absolute;margin-left:396.9pt;margin-top:-8.5pt;width:86.95pt;height:18.35pt;z-index:1;mso-position-horizontal-relative:text;mso-position-vertical-relative:text">
          <v:imagedata r:id="rId1" o:title="recycle_French"/>
        </v:shape>
      </w:pict>
    </w:r>
    <w:r>
      <w:rPr>
        <w:sz w:val="20"/>
      </w:rPr>
      <w:t>11-44076  (F)    190711    260711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BC022D" w:rsidRPr="00D27D5E" w:rsidRDefault="00BC022D" w:rsidP="00D27D5E">
      <w:pPr>
        <w:tabs>
          <w:tab w:val="right" w:pos="2155"/>
        </w:tabs>
        <w:spacing w:after="80"/>
        <w:ind w:left="680"/>
        <w:rPr>
          <w:u w:val="single"/>
        </w:rPr>
      </w:pPr>
      <w:r>
        <w:rPr>
          <w:u w:val="single"/>
        </w:rPr>
        <w:tab/>
      </w:r>
    </w:p>
  </w:footnote>
  <w:footnote w:type="continuationSeparator" w:id="0">
    <w:p w:rsidR="00BC022D" w:rsidRPr="005B09DD" w:rsidRDefault="00BC022D" w:rsidP="005B09DD">
      <w:pPr>
        <w:tabs>
          <w:tab w:val="right" w:pos="2155"/>
        </w:tabs>
        <w:spacing w:after="80"/>
        <w:ind w:left="680"/>
        <w:rPr>
          <w:u w:val="single"/>
        </w:rPr>
      </w:pPr>
      <w:r w:rsidRPr="005B09DD">
        <w:rPr>
          <w:u w:val="single"/>
        </w:rPr>
        <w:tab/>
      </w:r>
    </w:p>
  </w:footnote>
  <w:footnote w:type="continuationNotice" w:id="1">
    <w:p w:rsidR="00BC022D" w:rsidRDefault="00BC022D"/>
  </w:footnote>
  <w:footnote w:id="2">
    <w:p w:rsidR="00BC022D" w:rsidRPr="00572F52" w:rsidRDefault="00BC022D">
      <w:pPr>
        <w:pStyle w:val="FootnoteText"/>
      </w:pPr>
      <w:r>
        <w:tab/>
      </w:r>
      <w:r w:rsidRPr="00572F52">
        <w:rPr>
          <w:rStyle w:val="FootnoteReference"/>
          <w:sz w:val="20"/>
          <w:vertAlign w:val="baseline"/>
        </w:rPr>
        <w:t>*</w:t>
      </w:r>
      <w:r>
        <w:rPr>
          <w:sz w:val="20"/>
        </w:rPr>
        <w:tab/>
      </w:r>
      <w:r>
        <w:t>Adoptée par le Comité des droits économiques, sociaux et culturels à sa quarante-sixième session.</w:t>
      </w:r>
    </w:p>
  </w:footnote>
  <w:footnote w:id="3">
    <w:p w:rsidR="00BC022D" w:rsidRPr="00B137AE" w:rsidRDefault="00BC022D" w:rsidP="00572F52">
      <w:pPr>
        <w:pStyle w:val="FootnoteText"/>
      </w:pPr>
      <w:r>
        <w:tab/>
      </w:r>
      <w:r>
        <w:rPr>
          <w:rStyle w:val="FootnoteReference"/>
        </w:rPr>
        <w:footnoteRef/>
      </w:r>
      <w:r>
        <w:tab/>
      </w:r>
      <w:r>
        <w:rPr>
          <w:i/>
        </w:rPr>
        <w:t>Documents officiels du Conseil économique et social</w:t>
      </w:r>
      <w:r>
        <w:t>,</w:t>
      </w:r>
      <w:r w:rsidRPr="00572F52">
        <w:t xml:space="preserve"> 2005, Supplément </w:t>
      </w:r>
      <w:r w:rsidRPr="00572F52">
        <w:rPr>
          <w:rFonts w:eastAsia="MS Mincho"/>
        </w:rPr>
        <w:t>n</w:t>
      </w:r>
      <w:r w:rsidRPr="00572F52">
        <w:rPr>
          <w:rFonts w:eastAsia="MS Mincho"/>
          <w:vertAlign w:val="superscript"/>
        </w:rPr>
        <w:t>o</w:t>
      </w:r>
      <w:r w:rsidRPr="00572F52">
        <w:t> 2</w:t>
      </w:r>
      <w:r>
        <w:t>, chap. 6, sect. A, (</w:t>
      </w:r>
      <w:r w:rsidRPr="00594236">
        <w:t>E/1999/22-E/C.12/1998/26</w:t>
      </w:r>
      <w:r>
        <w:t>)</w:t>
      </w:r>
      <w:r w:rsidRPr="00594236">
        <w:t>.</w:t>
      </w:r>
    </w:p>
  </w:footnote>
  <w:footnote w:id="4">
    <w:p w:rsidR="00BC022D" w:rsidRPr="00582214" w:rsidRDefault="00BC022D" w:rsidP="00572F52">
      <w:pPr>
        <w:pStyle w:val="FootnoteText"/>
      </w:pPr>
      <w:r>
        <w:tab/>
      </w:r>
      <w:r>
        <w:rPr>
          <w:rStyle w:val="FootnoteReference"/>
        </w:rPr>
        <w:footnoteRef/>
      </w:r>
      <w:r>
        <w:tab/>
        <w:t xml:space="preserve">Document de l’Organisation internationale du Travail, publié sous la cote </w:t>
      </w:r>
      <w:r w:rsidRPr="00582214">
        <w:t>28197701.</w:t>
      </w:r>
    </w:p>
  </w:footnote>
  <w:footnote w:id="5">
    <w:p w:rsidR="00BC022D" w:rsidRPr="00B137AE" w:rsidRDefault="00BC022D" w:rsidP="00572F52">
      <w:pPr>
        <w:pStyle w:val="FootnoteText"/>
      </w:pPr>
      <w:r>
        <w:tab/>
      </w:r>
      <w:r>
        <w:rPr>
          <w:rStyle w:val="FootnoteReference"/>
        </w:rPr>
        <w:footnoteRef/>
      </w:r>
      <w:r>
        <w:tab/>
      </w:r>
      <w:r w:rsidRPr="009A2ED2">
        <w:rPr>
          <w:szCs w:val="18"/>
        </w:rPr>
        <w:t>http://www.ilo.org/declaration/thedeclaration/textdeclaration/lang--en/index.htm</w:t>
      </w:r>
      <w:r>
        <w:rPr>
          <w:szCs w:val="18"/>
        </w:rPr>
        <w:t>.</w:t>
      </w:r>
    </w:p>
  </w:footnote>
  <w:footnote w:id="6">
    <w:p w:rsidR="00BC022D" w:rsidRPr="005E7F81" w:rsidRDefault="00BC022D" w:rsidP="00572F52">
      <w:pPr>
        <w:pStyle w:val="FootnoteText"/>
      </w:pPr>
      <w:r>
        <w:tab/>
      </w:r>
      <w:r>
        <w:rPr>
          <w:rStyle w:val="FootnoteReference"/>
        </w:rPr>
        <w:footnoteRef/>
      </w:r>
      <w:r>
        <w:tab/>
        <w:t>Voir</w:t>
      </w:r>
      <w:r w:rsidRPr="005E7F81">
        <w:t xml:space="preserve"> </w:t>
      </w:r>
      <w:r w:rsidRPr="0027457E">
        <w:rPr>
          <w:i/>
        </w:rPr>
        <w:t>United Nations Global Compact</w:t>
      </w:r>
      <w:r w:rsidRPr="005E7F81">
        <w:t xml:space="preserve"> </w:t>
      </w:r>
      <w:r w:rsidRPr="0027457E">
        <w:rPr>
          <w:i/>
        </w:rPr>
        <w:t>Corporate Sustainability in The World Economy</w:t>
      </w:r>
      <w:r>
        <w:t>,</w:t>
      </w:r>
      <w:r w:rsidRPr="0027457E">
        <w:rPr>
          <w:i/>
        </w:rPr>
        <w:t xml:space="preserve"> </w:t>
      </w:r>
      <w:r>
        <w:t>Bureau du Pacte mondial</w:t>
      </w:r>
      <w:r w:rsidRPr="005E7F81">
        <w:t xml:space="preserve">, </w:t>
      </w:r>
      <w:r>
        <w:t>Organisation des Nations Unies</w:t>
      </w:r>
      <w:r w:rsidRPr="005E7F81">
        <w:t xml:space="preserve"> </w:t>
      </w:r>
      <w:r>
        <w:t>(</w:t>
      </w:r>
      <w:r w:rsidRPr="005E7F81">
        <w:t xml:space="preserve">New York, </w:t>
      </w:r>
      <w:r>
        <w:t>février</w:t>
      </w:r>
      <w:r w:rsidRPr="005E7F81">
        <w:t xml:space="preserve"> 2011</w:t>
      </w:r>
      <w:r>
        <w:t>) (en anglais seulement)</w:t>
      </w:r>
      <w:r w:rsidRPr="005E7F81">
        <w:t>.</w:t>
      </w:r>
    </w:p>
  </w:footnote>
  <w:footnote w:id="7">
    <w:p w:rsidR="00BC022D" w:rsidRPr="005E7F81" w:rsidRDefault="00BC022D" w:rsidP="00572F52">
      <w:pPr>
        <w:pStyle w:val="FootnoteText"/>
      </w:pPr>
      <w:r>
        <w:tab/>
      </w:r>
      <w:r>
        <w:rPr>
          <w:rStyle w:val="FootnoteReference"/>
        </w:rPr>
        <w:footnoteRef/>
      </w:r>
      <w:r>
        <w:tab/>
        <w:t>Voir</w:t>
      </w:r>
      <w:r w:rsidRPr="005E7F81">
        <w:t xml:space="preserve"> A/HRC/R</w:t>
      </w:r>
      <w:r>
        <w:t>ES</w:t>
      </w:r>
      <w:r w:rsidRPr="005E7F81">
        <w:t xml:space="preserve">/8/7 </w:t>
      </w:r>
      <w:r>
        <w:t>et A/HRC/8/5.</w:t>
      </w:r>
    </w:p>
  </w:footnote>
  <w:footnote w:id="8">
    <w:p w:rsidR="00BC022D" w:rsidRPr="00631C44" w:rsidRDefault="00BC022D" w:rsidP="00946828">
      <w:pPr>
        <w:pStyle w:val="FootnoteText"/>
        <w:rPr>
          <w:lang w:val="fr-FR"/>
        </w:rPr>
      </w:pPr>
      <w:r>
        <w:tab/>
      </w:r>
      <w:r>
        <w:rPr>
          <w:rStyle w:val="FootnoteReference"/>
        </w:rPr>
        <w:footnoteRef/>
      </w:r>
      <w:r>
        <w:tab/>
      </w:r>
      <w:r>
        <w:rPr>
          <w:lang w:val="fr-FR"/>
        </w:rPr>
        <w:t xml:space="preserve">Voir l’Observation générale </w:t>
      </w:r>
      <w:r>
        <w:rPr>
          <w:rFonts w:eastAsia="MS Mincho"/>
        </w:rPr>
        <w:t>n</w:t>
      </w:r>
      <w:r>
        <w:rPr>
          <w:rFonts w:eastAsia="MS Mincho"/>
          <w:vertAlign w:val="superscript"/>
        </w:rPr>
        <w:t>o</w:t>
      </w:r>
      <w:r w:rsidRPr="00B137AE">
        <w:t> </w:t>
      </w:r>
      <w:r>
        <w:rPr>
          <w:lang w:val="fr-FR"/>
        </w:rPr>
        <w:t>3 (1990).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C022D" w:rsidRPr="00572F52" w:rsidRDefault="00BC022D">
    <w:pPr>
      <w:pStyle w:val="Header"/>
    </w:pPr>
    <w:r>
      <w:t>E/C.12/2011/1</w: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C022D" w:rsidRPr="00572F52" w:rsidRDefault="00BC022D" w:rsidP="00572F52">
    <w:pPr>
      <w:pStyle w:val="Header"/>
      <w:jc w:val="right"/>
    </w:pPr>
    <w:r>
      <w:t>E/C.12/2011/1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ACF4EB2"/>
    <w:multiLevelType w:val="hybridMultilevel"/>
    <w:tmpl w:val="3F2CCC0E"/>
    <w:lvl w:ilvl="0" w:tplc="78607ACC">
      <w:start w:val="1"/>
      <w:numFmt w:val="bullet"/>
      <w:pStyle w:val="Bullet2G"/>
      <w:lvlText w:val="•"/>
      <w:lvlJc w:val="left"/>
      <w:pPr>
        <w:tabs>
          <w:tab w:val="num" w:pos="2268"/>
        </w:tabs>
        <w:ind w:left="2268" w:hanging="170"/>
      </w:pPr>
      <w:rPr>
        <w:rFonts w:ascii="Times New Roman" w:hAnsi="Times New Roman" w:cs="Times New Roman" w:hint="default"/>
      </w:rPr>
    </w:lvl>
    <w:lvl w:ilvl="1" w:tplc="040C0003" w:tentative="1">
      <w:start w:val="1"/>
      <w:numFmt w:val="bullet"/>
      <w:lvlText w:val="o"/>
      <w:lvlJc w:val="left"/>
      <w:pPr>
        <w:tabs>
          <w:tab w:val="num" w:pos="3708"/>
        </w:tabs>
        <w:ind w:left="3708" w:hanging="360"/>
      </w:pPr>
      <w:rPr>
        <w:rFonts w:ascii="Courier New" w:hAnsi="Courier New" w:hint="default"/>
      </w:rPr>
    </w:lvl>
    <w:lvl w:ilvl="2" w:tplc="040C0005" w:tentative="1">
      <w:start w:val="1"/>
      <w:numFmt w:val="bullet"/>
      <w:lvlText w:val=""/>
      <w:lvlJc w:val="left"/>
      <w:pPr>
        <w:tabs>
          <w:tab w:val="num" w:pos="4428"/>
        </w:tabs>
        <w:ind w:left="4428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tabs>
          <w:tab w:val="num" w:pos="5148"/>
        </w:tabs>
        <w:ind w:left="5148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tabs>
          <w:tab w:val="num" w:pos="5868"/>
        </w:tabs>
        <w:ind w:left="5868" w:hanging="360"/>
      </w:pPr>
      <w:rPr>
        <w:rFonts w:ascii="Courier New" w:hAnsi="Courier New" w:hint="default"/>
      </w:rPr>
    </w:lvl>
    <w:lvl w:ilvl="5" w:tplc="040C0005" w:tentative="1">
      <w:start w:val="1"/>
      <w:numFmt w:val="bullet"/>
      <w:lvlText w:val=""/>
      <w:lvlJc w:val="left"/>
      <w:pPr>
        <w:tabs>
          <w:tab w:val="num" w:pos="6588"/>
        </w:tabs>
        <w:ind w:left="6588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tabs>
          <w:tab w:val="num" w:pos="7308"/>
        </w:tabs>
        <w:ind w:left="7308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tabs>
          <w:tab w:val="num" w:pos="8028"/>
        </w:tabs>
        <w:ind w:left="8028" w:hanging="360"/>
      </w:pPr>
      <w:rPr>
        <w:rFonts w:ascii="Courier New" w:hAnsi="Courier New" w:hint="default"/>
      </w:rPr>
    </w:lvl>
    <w:lvl w:ilvl="8" w:tplc="040C0005" w:tentative="1">
      <w:start w:val="1"/>
      <w:numFmt w:val="bullet"/>
      <w:lvlText w:val=""/>
      <w:lvlJc w:val="left"/>
      <w:pPr>
        <w:tabs>
          <w:tab w:val="num" w:pos="8748"/>
        </w:tabs>
        <w:ind w:left="8748" w:hanging="360"/>
      </w:pPr>
      <w:rPr>
        <w:rFonts w:ascii="Wingdings" w:hAnsi="Wingdings" w:hint="default"/>
      </w:rPr>
    </w:lvl>
  </w:abstractNum>
  <w:abstractNum w:abstractNumId="1">
    <w:nsid w:val="68AD07B2"/>
    <w:multiLevelType w:val="hybridMultilevel"/>
    <w:tmpl w:val="D7D47906"/>
    <w:lvl w:ilvl="0" w:tplc="3B64B33E">
      <w:start w:val="1"/>
      <w:numFmt w:val="bullet"/>
      <w:pStyle w:val="Bullet1G"/>
      <w:lvlText w:val="•"/>
      <w:lvlJc w:val="left"/>
      <w:pPr>
        <w:tabs>
          <w:tab w:val="num" w:pos="1701"/>
        </w:tabs>
        <w:ind w:left="1701" w:hanging="170"/>
      </w:pPr>
      <w:rPr>
        <w:rFonts w:ascii="Times New Roman" w:hAnsi="Times New Roman" w:cs="Times New Roman" w:hint="default"/>
      </w:rPr>
    </w:lvl>
    <w:lvl w:ilvl="1" w:tplc="040C0003" w:tentative="1">
      <w:start w:val="1"/>
      <w:numFmt w:val="bullet"/>
      <w:lvlText w:val="o"/>
      <w:lvlJc w:val="left"/>
      <w:pPr>
        <w:tabs>
          <w:tab w:val="num" w:pos="3141"/>
        </w:tabs>
        <w:ind w:left="3141" w:hanging="360"/>
      </w:pPr>
      <w:rPr>
        <w:rFonts w:ascii="Courier New" w:hAnsi="Courier New" w:hint="default"/>
      </w:rPr>
    </w:lvl>
    <w:lvl w:ilvl="2" w:tplc="040C0005" w:tentative="1">
      <w:start w:val="1"/>
      <w:numFmt w:val="bullet"/>
      <w:lvlText w:val=""/>
      <w:lvlJc w:val="left"/>
      <w:pPr>
        <w:tabs>
          <w:tab w:val="num" w:pos="3861"/>
        </w:tabs>
        <w:ind w:left="3861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tabs>
          <w:tab w:val="num" w:pos="4581"/>
        </w:tabs>
        <w:ind w:left="4581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tabs>
          <w:tab w:val="num" w:pos="5301"/>
        </w:tabs>
        <w:ind w:left="5301" w:hanging="360"/>
      </w:pPr>
      <w:rPr>
        <w:rFonts w:ascii="Courier New" w:hAnsi="Courier New" w:hint="default"/>
      </w:rPr>
    </w:lvl>
    <w:lvl w:ilvl="5" w:tplc="040C0005" w:tentative="1">
      <w:start w:val="1"/>
      <w:numFmt w:val="bullet"/>
      <w:lvlText w:val=""/>
      <w:lvlJc w:val="left"/>
      <w:pPr>
        <w:tabs>
          <w:tab w:val="num" w:pos="6021"/>
        </w:tabs>
        <w:ind w:left="6021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tabs>
          <w:tab w:val="num" w:pos="6741"/>
        </w:tabs>
        <w:ind w:left="6741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tabs>
          <w:tab w:val="num" w:pos="7461"/>
        </w:tabs>
        <w:ind w:left="7461" w:hanging="360"/>
      </w:pPr>
      <w:rPr>
        <w:rFonts w:ascii="Courier New" w:hAnsi="Courier New" w:hint="default"/>
      </w:rPr>
    </w:lvl>
    <w:lvl w:ilvl="8" w:tplc="040C0005" w:tentative="1">
      <w:start w:val="1"/>
      <w:numFmt w:val="bullet"/>
      <w:lvlText w:val=""/>
      <w:lvlJc w:val="left"/>
      <w:pPr>
        <w:tabs>
          <w:tab w:val="num" w:pos="8181"/>
        </w:tabs>
        <w:ind w:left="8181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  <w:numIdMacAtCleanup w:val="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activeWritingStyle w:appName="MSWord" w:lang="en-GB" w:vendorID="64" w:dllVersion="131077" w:nlCheck="1" w:checkStyle="1"/>
  <w:activeWritingStyle w:appName="MSWord" w:lang="fr-CH" w:vendorID="64" w:dllVersion="131078" w:nlCheck="1" w:checkStyle="1"/>
  <w:activeWritingStyle w:appName="MSWord" w:lang="fr-FR" w:vendorID="64" w:dllVersion="131078" w:nlCheck="1" w:checkStyle="1"/>
  <w:proofState w:spelling="clean"/>
  <w:attachedTemplate r:id="rId1"/>
  <w:stylePaneFormatFilter w:val="3001" w:allStyles="1" w:customStyles="0" w:latentStyles="0" w:stylesInUse="0" w:headingStyles="0" w:numberingStyles="0" w:tableStyles="0" w:directFormattingOnRuns="0" w:directFormattingOnParagraphs="0" w:directFormattingOnNumbering="0" w:directFormattingOnTables="0" w:clearFormatting="1" w:top3HeadingStyles="1" w:visibleStyles="0" w:alternateStyleNames="0"/>
  <w:doNotTrackMoves/>
  <w:defaultTabStop w:val="567"/>
  <w:hyphenationZone w:val="357"/>
  <w:doNotHyphenateCaps/>
  <w:evenAndOddHeaders/>
  <w:drawingGridHorizontalSpacing w:val="100"/>
  <w:displayHorizontalDrawingGridEvery w:val="0"/>
  <w:displayVerticalDrawingGridEvery w:val="0"/>
  <w:noPunctuationKerning/>
  <w:characterSpacingControl w:val="doNotCompress"/>
  <w:hdrShapeDefaults>
    <o:shapedefaults v:ext="edit" spidmax="3074"/>
    <o:shapelayout v:ext="edit">
      <o:idmap v:ext="edit" data="2"/>
    </o:shapelayout>
  </w:hdrShapeDefaults>
  <w:footnotePr>
    <w:footnote w:id="-1"/>
    <w:footnote w:id="0"/>
    <w:footnote w:id="1"/>
  </w:footnotePr>
  <w:endnotePr>
    <w:numFmt w:val="decimal"/>
    <w:endnote w:id="-1"/>
    <w:endnote w:id="0"/>
    <w:endnote w:id="1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CF76FD"/>
    <w:rsid w:val="0000696F"/>
    <w:rsid w:val="00016AC5"/>
    <w:rsid w:val="00030ADE"/>
    <w:rsid w:val="00064BB9"/>
    <w:rsid w:val="000F41F2"/>
    <w:rsid w:val="00135C0D"/>
    <w:rsid w:val="00160540"/>
    <w:rsid w:val="00177007"/>
    <w:rsid w:val="00186EE9"/>
    <w:rsid w:val="00192EEB"/>
    <w:rsid w:val="001A20FB"/>
    <w:rsid w:val="001B6F40"/>
    <w:rsid w:val="001D7F8A"/>
    <w:rsid w:val="001E3FEB"/>
    <w:rsid w:val="001E4A02"/>
    <w:rsid w:val="00223B89"/>
    <w:rsid w:val="00225A8C"/>
    <w:rsid w:val="002659F1"/>
    <w:rsid w:val="00280D64"/>
    <w:rsid w:val="00287E79"/>
    <w:rsid w:val="002928F9"/>
    <w:rsid w:val="002A5D07"/>
    <w:rsid w:val="003016B7"/>
    <w:rsid w:val="00340C35"/>
    <w:rsid w:val="003515AA"/>
    <w:rsid w:val="00370E0F"/>
    <w:rsid w:val="00374106"/>
    <w:rsid w:val="003976D5"/>
    <w:rsid w:val="003A3B0D"/>
    <w:rsid w:val="003B4A4C"/>
    <w:rsid w:val="003D1DF3"/>
    <w:rsid w:val="003D46A7"/>
    <w:rsid w:val="003D6C68"/>
    <w:rsid w:val="004159D0"/>
    <w:rsid w:val="004249E7"/>
    <w:rsid w:val="004A7FCC"/>
    <w:rsid w:val="004F3E8B"/>
    <w:rsid w:val="005046DB"/>
    <w:rsid w:val="00543D5E"/>
    <w:rsid w:val="00571F41"/>
    <w:rsid w:val="00572F52"/>
    <w:rsid w:val="005B09DD"/>
    <w:rsid w:val="005E5D1F"/>
    <w:rsid w:val="00603391"/>
    <w:rsid w:val="00611D43"/>
    <w:rsid w:val="00612D48"/>
    <w:rsid w:val="00616B45"/>
    <w:rsid w:val="00630D9B"/>
    <w:rsid w:val="00631953"/>
    <w:rsid w:val="006439EC"/>
    <w:rsid w:val="00652353"/>
    <w:rsid w:val="006B4590"/>
    <w:rsid w:val="006C340C"/>
    <w:rsid w:val="0070347C"/>
    <w:rsid w:val="007176C1"/>
    <w:rsid w:val="007C0E8B"/>
    <w:rsid w:val="007F55CB"/>
    <w:rsid w:val="008317F6"/>
    <w:rsid w:val="00844750"/>
    <w:rsid w:val="008B44C4"/>
    <w:rsid w:val="008B7879"/>
    <w:rsid w:val="008E7FAE"/>
    <w:rsid w:val="00911BF7"/>
    <w:rsid w:val="009422C4"/>
    <w:rsid w:val="00946828"/>
    <w:rsid w:val="00977EC8"/>
    <w:rsid w:val="009B6C14"/>
    <w:rsid w:val="009D3A8C"/>
    <w:rsid w:val="009E7956"/>
    <w:rsid w:val="009F5257"/>
    <w:rsid w:val="009F759C"/>
    <w:rsid w:val="00A02E14"/>
    <w:rsid w:val="00A2492E"/>
    <w:rsid w:val="00A70163"/>
    <w:rsid w:val="00AC67A1"/>
    <w:rsid w:val="00AC7977"/>
    <w:rsid w:val="00AE352C"/>
    <w:rsid w:val="00AF790C"/>
    <w:rsid w:val="00B161A1"/>
    <w:rsid w:val="00B32E2D"/>
    <w:rsid w:val="00B4466B"/>
    <w:rsid w:val="00B61990"/>
    <w:rsid w:val="00B85D99"/>
    <w:rsid w:val="00BC022D"/>
    <w:rsid w:val="00BF0556"/>
    <w:rsid w:val="00C261F8"/>
    <w:rsid w:val="00C33100"/>
    <w:rsid w:val="00C4116A"/>
    <w:rsid w:val="00C940E9"/>
    <w:rsid w:val="00CB25DD"/>
    <w:rsid w:val="00CD1A71"/>
    <w:rsid w:val="00CD1FBB"/>
    <w:rsid w:val="00CF76FD"/>
    <w:rsid w:val="00D016B5"/>
    <w:rsid w:val="00D034F1"/>
    <w:rsid w:val="00D11B17"/>
    <w:rsid w:val="00D27D5E"/>
    <w:rsid w:val="00DA57D4"/>
    <w:rsid w:val="00DB4793"/>
    <w:rsid w:val="00DB714E"/>
    <w:rsid w:val="00DE01E3"/>
    <w:rsid w:val="00DE6D90"/>
    <w:rsid w:val="00DF002F"/>
    <w:rsid w:val="00E0244D"/>
    <w:rsid w:val="00E55D71"/>
    <w:rsid w:val="00E81E94"/>
    <w:rsid w:val="00E82607"/>
    <w:rsid w:val="00EA31C2"/>
    <w:rsid w:val="00EC4698"/>
    <w:rsid w:val="00EE2EA3"/>
    <w:rsid w:val="00F01516"/>
    <w:rsid w:val="00FA5A79"/>
    <w:rsid w:val="00FB0BFE"/>
    <w:rsid w:val="00FB4C51"/>
    <w:rsid w:val="00FD083A"/>
    <w:rsid w:val="00FE1B68"/>
    <w:rsid w:val="00FF1DB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C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oNotEmbedSmartTags/>
  <w:decimalSymbol w:val=".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fr-CH" w:eastAsia="fr-CH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00696F"/>
    <w:pPr>
      <w:suppressAutoHyphens/>
      <w:spacing w:line="240" w:lineRule="atLeast"/>
    </w:pPr>
    <w:rPr>
      <w:lang w:eastAsia="en-US"/>
    </w:rPr>
  </w:style>
  <w:style w:type="paragraph" w:styleId="Heading1">
    <w:name w:val="heading 1"/>
    <w:aliases w:val="Table_G"/>
    <w:basedOn w:val="SingleTxtG"/>
    <w:next w:val="SingleTxtG"/>
    <w:qFormat/>
    <w:rsid w:val="0000696F"/>
    <w:pPr>
      <w:keepNext/>
      <w:keepLines/>
      <w:spacing w:after="0" w:line="240" w:lineRule="auto"/>
      <w:ind w:right="0"/>
      <w:jc w:val="left"/>
      <w:outlineLvl w:val="0"/>
    </w:pPr>
  </w:style>
  <w:style w:type="paragraph" w:styleId="Heading2">
    <w:name w:val="heading 2"/>
    <w:basedOn w:val="Normal"/>
    <w:next w:val="Normal"/>
    <w:qFormat/>
    <w:rsid w:val="0000696F"/>
    <w:pPr>
      <w:outlineLvl w:val="1"/>
    </w:pPr>
  </w:style>
  <w:style w:type="paragraph" w:styleId="Heading3">
    <w:name w:val="heading 3"/>
    <w:basedOn w:val="Normal"/>
    <w:next w:val="Normal"/>
    <w:qFormat/>
    <w:rsid w:val="0000696F"/>
    <w:pPr>
      <w:outlineLvl w:val="2"/>
    </w:pPr>
  </w:style>
  <w:style w:type="paragraph" w:styleId="Heading4">
    <w:name w:val="heading 4"/>
    <w:basedOn w:val="Normal"/>
    <w:next w:val="Normal"/>
    <w:qFormat/>
    <w:rsid w:val="0000696F"/>
    <w:pPr>
      <w:outlineLvl w:val="3"/>
    </w:pPr>
  </w:style>
  <w:style w:type="paragraph" w:styleId="Heading5">
    <w:name w:val="heading 5"/>
    <w:basedOn w:val="Normal"/>
    <w:next w:val="Normal"/>
    <w:qFormat/>
    <w:rsid w:val="0000696F"/>
    <w:pPr>
      <w:outlineLvl w:val="4"/>
    </w:pPr>
  </w:style>
  <w:style w:type="paragraph" w:styleId="Heading6">
    <w:name w:val="heading 6"/>
    <w:basedOn w:val="Normal"/>
    <w:next w:val="Normal"/>
    <w:qFormat/>
    <w:rsid w:val="0000696F"/>
    <w:pPr>
      <w:outlineLvl w:val="5"/>
    </w:pPr>
  </w:style>
  <w:style w:type="paragraph" w:styleId="Heading7">
    <w:name w:val="heading 7"/>
    <w:basedOn w:val="Normal"/>
    <w:next w:val="Normal"/>
    <w:qFormat/>
    <w:rsid w:val="0000696F"/>
    <w:pPr>
      <w:outlineLvl w:val="6"/>
    </w:pPr>
  </w:style>
  <w:style w:type="paragraph" w:styleId="Heading8">
    <w:name w:val="heading 8"/>
    <w:basedOn w:val="Normal"/>
    <w:next w:val="Normal"/>
    <w:qFormat/>
    <w:rsid w:val="0000696F"/>
    <w:pPr>
      <w:outlineLvl w:val="7"/>
    </w:pPr>
  </w:style>
  <w:style w:type="paragraph" w:styleId="Heading9">
    <w:name w:val="heading 9"/>
    <w:basedOn w:val="Normal"/>
    <w:next w:val="Normal"/>
    <w:qFormat/>
    <w:rsid w:val="00D11B17"/>
    <w:pPr>
      <w:outlineLvl w:val="8"/>
    </w:pPr>
  </w:style>
  <w:style w:type="character" w:default="1" w:styleId="DefaultParagraphFont">
    <w:name w:val="Default Paragraph Font"/>
    <w:semiHidden/>
    <w:rsid w:val="0000696F"/>
  </w:style>
  <w:style w:type="table" w:default="1" w:styleId="TableNormal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semiHidden/>
    <w:rsid w:val="0000696F"/>
  </w:style>
  <w:style w:type="paragraph" w:customStyle="1" w:styleId="HMG">
    <w:name w:val="_ H __M_G"/>
    <w:basedOn w:val="Normal"/>
    <w:next w:val="Normal"/>
    <w:rsid w:val="0000696F"/>
    <w:pPr>
      <w:keepNext/>
      <w:keepLines/>
      <w:tabs>
        <w:tab w:val="right" w:pos="851"/>
      </w:tabs>
      <w:spacing w:before="240" w:after="240" w:line="360" w:lineRule="exact"/>
      <w:ind w:left="1134" w:right="1134" w:hanging="1134"/>
    </w:pPr>
    <w:rPr>
      <w:b/>
      <w:sz w:val="34"/>
    </w:rPr>
  </w:style>
  <w:style w:type="paragraph" w:customStyle="1" w:styleId="HChG">
    <w:name w:val="_ H _Ch_G"/>
    <w:basedOn w:val="Normal"/>
    <w:next w:val="Normal"/>
    <w:rsid w:val="0000696F"/>
    <w:pPr>
      <w:keepNext/>
      <w:keepLines/>
      <w:tabs>
        <w:tab w:val="right" w:pos="851"/>
      </w:tabs>
      <w:spacing w:before="360" w:after="240" w:line="300" w:lineRule="exact"/>
      <w:ind w:left="1134" w:right="1134" w:hanging="1134"/>
    </w:pPr>
    <w:rPr>
      <w:b/>
      <w:sz w:val="28"/>
    </w:rPr>
  </w:style>
  <w:style w:type="paragraph" w:customStyle="1" w:styleId="H1G">
    <w:name w:val="_ H_1_G"/>
    <w:basedOn w:val="Normal"/>
    <w:next w:val="Normal"/>
    <w:rsid w:val="0000696F"/>
    <w:pPr>
      <w:keepNext/>
      <w:keepLines/>
      <w:tabs>
        <w:tab w:val="right" w:pos="851"/>
      </w:tabs>
      <w:spacing w:before="360" w:after="240" w:line="270" w:lineRule="exact"/>
      <w:ind w:left="1134" w:right="1134" w:hanging="1134"/>
    </w:pPr>
    <w:rPr>
      <w:b/>
      <w:sz w:val="24"/>
    </w:rPr>
  </w:style>
  <w:style w:type="paragraph" w:customStyle="1" w:styleId="H23G">
    <w:name w:val="_ H_2/3_G"/>
    <w:basedOn w:val="Normal"/>
    <w:next w:val="Normal"/>
    <w:rsid w:val="0000696F"/>
    <w:pPr>
      <w:keepNext/>
      <w:keepLines/>
      <w:tabs>
        <w:tab w:val="right" w:pos="851"/>
      </w:tabs>
      <w:spacing w:before="240" w:after="120" w:line="240" w:lineRule="exact"/>
      <w:ind w:left="1134" w:right="1134" w:hanging="1134"/>
    </w:pPr>
    <w:rPr>
      <w:b/>
    </w:rPr>
  </w:style>
  <w:style w:type="paragraph" w:customStyle="1" w:styleId="H4G">
    <w:name w:val="_ H_4_G"/>
    <w:basedOn w:val="Normal"/>
    <w:next w:val="Normal"/>
    <w:rsid w:val="0000696F"/>
    <w:pPr>
      <w:keepNext/>
      <w:keepLines/>
      <w:tabs>
        <w:tab w:val="right" w:pos="851"/>
      </w:tabs>
      <w:spacing w:before="240" w:after="120" w:line="240" w:lineRule="exact"/>
      <w:ind w:left="1134" w:right="1134" w:hanging="1134"/>
    </w:pPr>
    <w:rPr>
      <w:i/>
    </w:rPr>
  </w:style>
  <w:style w:type="paragraph" w:customStyle="1" w:styleId="H56G">
    <w:name w:val="_ H_5/6_G"/>
    <w:basedOn w:val="Normal"/>
    <w:next w:val="Normal"/>
    <w:rsid w:val="0000696F"/>
    <w:pPr>
      <w:keepNext/>
      <w:keepLines/>
      <w:tabs>
        <w:tab w:val="right" w:pos="851"/>
      </w:tabs>
      <w:spacing w:before="240" w:after="120" w:line="240" w:lineRule="exact"/>
      <w:ind w:left="1134" w:right="1134" w:hanging="1134"/>
    </w:pPr>
  </w:style>
  <w:style w:type="paragraph" w:customStyle="1" w:styleId="SingleTxtG">
    <w:name w:val="_ Single Txt_G"/>
    <w:basedOn w:val="Normal"/>
    <w:rsid w:val="0000696F"/>
    <w:pPr>
      <w:spacing w:after="120"/>
      <w:ind w:left="1134" w:right="1134"/>
      <w:jc w:val="both"/>
    </w:pPr>
  </w:style>
  <w:style w:type="paragraph" w:customStyle="1" w:styleId="SLG">
    <w:name w:val="__S_L_G"/>
    <w:basedOn w:val="Normal"/>
    <w:next w:val="Normal"/>
    <w:rsid w:val="0000696F"/>
    <w:pPr>
      <w:keepNext/>
      <w:keepLines/>
      <w:spacing w:before="240" w:after="240" w:line="580" w:lineRule="exact"/>
      <w:ind w:left="1134" w:right="1134"/>
    </w:pPr>
    <w:rPr>
      <w:b/>
      <w:sz w:val="56"/>
    </w:rPr>
  </w:style>
  <w:style w:type="paragraph" w:customStyle="1" w:styleId="SMG">
    <w:name w:val="__S_M_G"/>
    <w:basedOn w:val="Normal"/>
    <w:next w:val="Normal"/>
    <w:rsid w:val="0000696F"/>
    <w:pPr>
      <w:keepNext/>
      <w:keepLines/>
      <w:spacing w:before="240" w:after="240" w:line="420" w:lineRule="exact"/>
      <w:ind w:left="1134" w:right="1134"/>
    </w:pPr>
    <w:rPr>
      <w:b/>
      <w:sz w:val="40"/>
    </w:rPr>
  </w:style>
  <w:style w:type="paragraph" w:customStyle="1" w:styleId="SSG">
    <w:name w:val="__S_S_G"/>
    <w:basedOn w:val="Normal"/>
    <w:next w:val="Normal"/>
    <w:rsid w:val="0000696F"/>
    <w:pPr>
      <w:keepNext/>
      <w:keepLines/>
      <w:spacing w:before="240" w:after="240" w:line="300" w:lineRule="exact"/>
      <w:ind w:left="1134" w:right="1134"/>
    </w:pPr>
    <w:rPr>
      <w:b/>
      <w:sz w:val="28"/>
    </w:rPr>
  </w:style>
  <w:style w:type="paragraph" w:customStyle="1" w:styleId="XLargeG">
    <w:name w:val="__XLarge_G"/>
    <w:basedOn w:val="Normal"/>
    <w:next w:val="Normal"/>
    <w:rsid w:val="0000696F"/>
    <w:pPr>
      <w:keepNext/>
      <w:keepLines/>
      <w:spacing w:before="240" w:after="240" w:line="420" w:lineRule="exact"/>
      <w:ind w:left="1134" w:right="1134"/>
    </w:pPr>
    <w:rPr>
      <w:b/>
      <w:sz w:val="40"/>
    </w:rPr>
  </w:style>
  <w:style w:type="paragraph" w:customStyle="1" w:styleId="Bullet1G">
    <w:name w:val="_Bullet 1_G"/>
    <w:basedOn w:val="Normal"/>
    <w:rsid w:val="0000696F"/>
    <w:pPr>
      <w:numPr>
        <w:numId w:val="1"/>
      </w:numPr>
      <w:spacing w:after="120"/>
      <w:ind w:right="1134"/>
      <w:jc w:val="both"/>
    </w:pPr>
  </w:style>
  <w:style w:type="paragraph" w:customStyle="1" w:styleId="Bullet2G">
    <w:name w:val="_Bullet 2_G"/>
    <w:basedOn w:val="Normal"/>
    <w:rsid w:val="0000696F"/>
    <w:pPr>
      <w:numPr>
        <w:numId w:val="2"/>
      </w:numPr>
      <w:spacing w:after="120"/>
      <w:ind w:right="1134"/>
      <w:jc w:val="both"/>
    </w:pPr>
  </w:style>
  <w:style w:type="character" w:styleId="FootnoteReference">
    <w:name w:val="footnote reference"/>
    <w:aliases w:val="4_G"/>
    <w:rsid w:val="0000696F"/>
    <w:rPr>
      <w:rFonts w:ascii="Times New Roman" w:hAnsi="Times New Roman"/>
      <w:sz w:val="18"/>
      <w:vertAlign w:val="superscript"/>
      <w:lang w:val="fr-CH"/>
    </w:rPr>
  </w:style>
  <w:style w:type="character" w:styleId="EndnoteReference">
    <w:name w:val="endnote reference"/>
    <w:aliases w:val="1_G"/>
    <w:basedOn w:val="FootnoteReference"/>
    <w:rsid w:val="0000696F"/>
    <w:rPr>
      <w:rFonts w:ascii="Times New Roman" w:hAnsi="Times New Roman"/>
      <w:sz w:val="18"/>
      <w:vertAlign w:val="superscript"/>
      <w:lang w:val="fr-CH"/>
    </w:rPr>
  </w:style>
  <w:style w:type="paragraph" w:styleId="Header">
    <w:name w:val="header"/>
    <w:aliases w:val="6_G"/>
    <w:basedOn w:val="Normal"/>
    <w:next w:val="Normal"/>
    <w:rsid w:val="0000696F"/>
    <w:pPr>
      <w:pBdr>
        <w:bottom w:val="single" w:sz="4" w:space="4" w:color="auto"/>
      </w:pBdr>
      <w:spacing w:line="240" w:lineRule="auto"/>
    </w:pPr>
    <w:rPr>
      <w:b/>
      <w:sz w:val="18"/>
    </w:rPr>
  </w:style>
  <w:style w:type="paragraph" w:styleId="FootnoteText">
    <w:name w:val="footnote text"/>
    <w:aliases w:val="5_G"/>
    <w:basedOn w:val="Normal"/>
    <w:rsid w:val="0000696F"/>
    <w:pPr>
      <w:tabs>
        <w:tab w:val="right" w:pos="1021"/>
      </w:tabs>
      <w:spacing w:line="220" w:lineRule="exact"/>
      <w:ind w:left="1134" w:right="1134" w:hanging="1134"/>
    </w:pPr>
    <w:rPr>
      <w:sz w:val="18"/>
    </w:rPr>
  </w:style>
  <w:style w:type="paragraph" w:styleId="EndnoteText">
    <w:name w:val="endnote text"/>
    <w:aliases w:val="2_G"/>
    <w:basedOn w:val="FootnoteText"/>
    <w:rsid w:val="0000696F"/>
  </w:style>
  <w:style w:type="character" w:styleId="PageNumber">
    <w:name w:val="page number"/>
    <w:aliases w:val="7_G"/>
    <w:rsid w:val="0000696F"/>
    <w:rPr>
      <w:rFonts w:ascii="Times New Roman" w:hAnsi="Times New Roman"/>
      <w:b/>
      <w:sz w:val="18"/>
      <w:lang w:val="fr-CH"/>
    </w:rPr>
  </w:style>
  <w:style w:type="paragraph" w:styleId="Footer">
    <w:name w:val="footer"/>
    <w:aliases w:val="3_G"/>
    <w:basedOn w:val="Normal"/>
    <w:next w:val="Normal"/>
    <w:rsid w:val="0000696F"/>
    <w:pPr>
      <w:spacing w:line="240" w:lineRule="auto"/>
    </w:pPr>
    <w:rPr>
      <w:sz w:val="16"/>
    </w:rPr>
  </w:style>
  <w:style w:type="character" w:styleId="Hyperlink">
    <w:name w:val="Hyperlink"/>
    <w:semiHidden/>
    <w:rsid w:val="0000696F"/>
    <w:rPr>
      <w:color w:val="auto"/>
      <w:u w:val="none"/>
    </w:rPr>
  </w:style>
  <w:style w:type="character" w:styleId="FollowedHyperlink">
    <w:name w:val="FollowedHyperlink"/>
    <w:semiHidden/>
    <w:rsid w:val="0000696F"/>
    <w:rPr>
      <w:color w:val="auto"/>
      <w:u w:val="none"/>
    </w:rPr>
  </w:style>
  <w:style w:type="table" w:styleId="TableGrid1">
    <w:name w:val="Table Grid 1"/>
    <w:basedOn w:val="TableNormal"/>
    <w:semiHidden/>
    <w:rsid w:val="0000696F"/>
    <w:pPr>
      <w:suppressAutoHyphens/>
      <w:spacing w:line="240" w:lineRule="atLeast"/>
    </w:pPr>
    <w:tblPr>
      <w:tblInd w:w="0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0" w:type="dxa"/>
        <w:bottom w:w="0" w:type="dxa"/>
        <w:right w:w="113" w:type="dxa"/>
      </w:tblCellMar>
    </w:tblPr>
    <w:tcPr>
      <w:shd w:val="clear" w:color="auto" w:fill="auto"/>
    </w:tcPr>
    <w:tblStylePr w:type="lastRow">
      <w:rPr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">
    <w:name w:val="Table Grid"/>
    <w:basedOn w:val="TableNormal"/>
    <w:semiHidden/>
    <w:rsid w:val="0000696F"/>
    <w:pPr>
      <w:suppressAutoHyphens/>
      <w:spacing w:line="240" w:lineRule="atLeast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0" w:type="dxa"/>
        <w:bottom w:w="0" w:type="dxa"/>
        <w:right w:w="0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wmf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theme" Target="theme/theme1.xml"/></Relationships>
</file>

<file path=word/_rels/foot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WORD\NEWFORMAT\E.do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E</Template>
  <TotalTime>0</TotalTime>
  <Pages>3</Pages>
  <Words>1295</Words>
  <Characters>7167</Characters>
  <Application>Microsoft Office Word</Application>
  <DocSecurity>4</DocSecurity>
  <Lines>106</Lines>
  <Paragraphs>18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>E/C.12/2011/1</vt:lpstr>
    </vt:vector>
  </TitlesOfParts>
  <Company>Corinne</Company>
  <LinksUpToDate>false</LinksUpToDate>
  <CharactersWithSpaces>8444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E/C.12/2011/1</dc:title>
  <dc:subject>Final (Monat)</dc:subject>
  <dc:creator>Moret-Var</dc:creator>
  <cp:keywords/>
  <dc:description/>
  <cp:lastModifiedBy>Moret-Var</cp:lastModifiedBy>
  <cp:revision>2</cp:revision>
  <cp:lastPrinted>2011-07-26T09:43:00Z</cp:lastPrinted>
  <dcterms:created xsi:type="dcterms:W3CDTF">2011-07-26T10:46:00Z</dcterms:created>
  <dcterms:modified xsi:type="dcterms:W3CDTF">2011-07-26T10:46:00Z</dcterms:modified>
</cp:coreProperties>
</file>