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1435B" w:rsidP="00C1435B">
            <w:pPr>
              <w:bidi w:val="0"/>
              <w:spacing w:after="20"/>
              <w:jc w:val="left"/>
              <w:rPr>
                <w:szCs w:val="20"/>
              </w:rPr>
            </w:pPr>
            <w:r w:rsidRPr="00C1435B">
              <w:rPr>
                <w:sz w:val="40"/>
                <w:szCs w:val="20"/>
              </w:rPr>
              <w:t>CEDAW</w:t>
            </w:r>
            <w:r>
              <w:rPr>
                <w:szCs w:val="20"/>
              </w:rPr>
              <w:t>/C/BRA/Q/7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C1435B" w:rsidRDefault="00C1435B" w:rsidP="00C1435B">
            <w:pPr>
              <w:bidi w:val="0"/>
              <w:spacing w:before="240"/>
              <w:jc w:val="left"/>
            </w:pPr>
            <w:r>
              <w:t>Distr.: General</w:t>
            </w:r>
          </w:p>
          <w:p w:rsidR="00C1435B" w:rsidRDefault="00C1435B" w:rsidP="00C1435B">
            <w:pPr>
              <w:bidi w:val="0"/>
              <w:jc w:val="left"/>
            </w:pPr>
            <w:r>
              <w:t>1 September 2011</w:t>
            </w:r>
          </w:p>
          <w:p w:rsidR="00C1435B" w:rsidRDefault="00C1435B" w:rsidP="00C1435B">
            <w:pPr>
              <w:bidi w:val="0"/>
              <w:jc w:val="left"/>
            </w:pPr>
            <w:r>
              <w:t>Arabic</w:t>
            </w:r>
          </w:p>
          <w:p w:rsidR="00257225" w:rsidRPr="008B4BC6" w:rsidRDefault="00C1435B" w:rsidP="00C1435B">
            <w:pPr>
              <w:bidi w:val="0"/>
              <w:jc w:val="left"/>
            </w:pPr>
            <w:r>
              <w:t>Original: English</w:t>
            </w:r>
          </w:p>
        </w:tc>
      </w:tr>
    </w:tbl>
    <w:p w:rsidR="00092031" w:rsidRPr="007C3A52" w:rsidRDefault="00092031" w:rsidP="00092031">
      <w:pPr>
        <w:spacing w:before="120" w:line="380" w:lineRule="exact"/>
        <w:rPr>
          <w:rFonts w:hint="cs"/>
          <w:b/>
          <w:bCs/>
          <w:sz w:val="36"/>
          <w:szCs w:val="36"/>
          <w:rtl/>
        </w:rPr>
      </w:pPr>
      <w:r w:rsidRPr="007C3A52">
        <w:rPr>
          <w:rFonts w:hint="cs"/>
          <w:b/>
          <w:bCs/>
          <w:sz w:val="36"/>
          <w:szCs w:val="36"/>
          <w:rtl/>
        </w:rPr>
        <w:t>اللجنة المعنية بالقضاء على التمييز ضد المرأة</w:t>
      </w:r>
    </w:p>
    <w:p w:rsidR="00092031" w:rsidRPr="007C3A52" w:rsidRDefault="00092031" w:rsidP="00092031">
      <w:pPr>
        <w:spacing w:line="380" w:lineRule="exact"/>
        <w:rPr>
          <w:rFonts w:hint="cs"/>
          <w:b/>
          <w:bCs/>
          <w:sz w:val="30"/>
          <w:rtl/>
        </w:rPr>
      </w:pPr>
      <w:r w:rsidRPr="007C3A52">
        <w:rPr>
          <w:rFonts w:hint="cs"/>
          <w:b/>
          <w:bCs/>
          <w:sz w:val="30"/>
          <w:rtl/>
        </w:rPr>
        <w:t>الدورة الحادية والخمسون</w:t>
      </w:r>
    </w:p>
    <w:p w:rsidR="00092031" w:rsidRPr="007C3A52" w:rsidRDefault="00092031" w:rsidP="00092031">
      <w:pPr>
        <w:spacing w:line="380" w:lineRule="exact"/>
        <w:rPr>
          <w:rFonts w:hint="cs"/>
          <w:spacing w:val="6"/>
          <w:kern w:val="16"/>
          <w:sz w:val="30"/>
          <w:rtl/>
        </w:rPr>
      </w:pPr>
      <w:r w:rsidRPr="007C3A52">
        <w:rPr>
          <w:rFonts w:hint="cs"/>
          <w:spacing w:val="6"/>
          <w:kern w:val="16"/>
          <w:sz w:val="30"/>
          <w:rtl/>
        </w:rPr>
        <w:t>13 شباط/فبراير - 2 آذار/مارس 2012</w:t>
      </w:r>
    </w:p>
    <w:p w:rsidR="00092031" w:rsidRPr="002421B7" w:rsidRDefault="00092031" w:rsidP="00997BB4">
      <w:pPr>
        <w:pStyle w:val="HChGA"/>
        <w:spacing w:before="480"/>
        <w:rPr>
          <w:rFonts w:hint="cs"/>
          <w:rtl/>
        </w:rPr>
      </w:pPr>
      <w:r>
        <w:rPr>
          <w:rFonts w:hint="cs"/>
          <w:rtl/>
        </w:rPr>
        <w:tab/>
      </w:r>
      <w:r>
        <w:rPr>
          <w:rFonts w:hint="cs"/>
          <w:rtl/>
        </w:rPr>
        <w:tab/>
      </w:r>
      <w:r w:rsidRPr="002421B7">
        <w:rPr>
          <w:rFonts w:hint="cs"/>
          <w:rtl/>
        </w:rPr>
        <w:t xml:space="preserve">قائمة القضايا والأسئلة </w:t>
      </w:r>
      <w:r>
        <w:rPr>
          <w:rFonts w:hint="cs"/>
          <w:rtl/>
        </w:rPr>
        <w:t>المتعلقة</w:t>
      </w:r>
      <w:r w:rsidRPr="002421B7">
        <w:rPr>
          <w:rFonts w:hint="cs"/>
          <w:rtl/>
        </w:rPr>
        <w:t xml:space="preserve"> بالنظر في التقارير الدورية</w:t>
      </w:r>
    </w:p>
    <w:p w:rsidR="00092031" w:rsidRPr="002421B7" w:rsidRDefault="00092031" w:rsidP="00997BB4">
      <w:pPr>
        <w:pStyle w:val="HChGA"/>
        <w:spacing w:before="240"/>
        <w:rPr>
          <w:rFonts w:hint="cs"/>
          <w:rtl/>
        </w:rPr>
      </w:pPr>
      <w:r>
        <w:rPr>
          <w:rFonts w:hint="cs"/>
          <w:rtl/>
        </w:rPr>
        <w:tab/>
      </w:r>
      <w:r>
        <w:rPr>
          <w:rFonts w:hint="cs"/>
          <w:rtl/>
        </w:rPr>
        <w:tab/>
        <w:t>البرازيل</w:t>
      </w:r>
    </w:p>
    <w:p w:rsidR="00092031" w:rsidRDefault="00092031" w:rsidP="00092031">
      <w:pPr>
        <w:pStyle w:val="SingleTxtGA"/>
        <w:rPr>
          <w:rFonts w:hint="cs"/>
          <w:sz w:val="22"/>
          <w:rtl/>
          <w:lang w:bidi="ar"/>
        </w:rPr>
      </w:pPr>
      <w:r>
        <w:rPr>
          <w:rFonts w:hint="cs"/>
          <w:rtl/>
          <w:lang w:bidi="ar"/>
        </w:rPr>
        <w:tab/>
        <w:t>نظر الفريق العامل لما قبل الدورة في التقرير الدوري السابع للبرازيل (</w:t>
      </w:r>
      <w:r>
        <w:rPr>
          <w:rFonts w:hint="cs"/>
          <w:lang w:bidi="ar"/>
        </w:rPr>
        <w:t>CEDAW/</w:t>
      </w:r>
      <w:r>
        <w:rPr>
          <w:lang w:bidi="ar"/>
        </w:rPr>
        <w:t>C/BRA</w:t>
      </w:r>
      <w:r>
        <w:rPr>
          <w:rFonts w:hint="cs"/>
          <w:lang w:bidi="ar"/>
        </w:rPr>
        <w:t>/</w:t>
      </w:r>
      <w:r>
        <w:rPr>
          <w:lang w:bidi="ar"/>
        </w:rPr>
        <w:t>7</w:t>
      </w:r>
      <w:r>
        <w:rPr>
          <w:rFonts w:hint="cs"/>
          <w:rtl/>
          <w:lang w:bidi="ar"/>
        </w:rPr>
        <w:t>).</w:t>
      </w:r>
    </w:p>
    <w:p w:rsidR="00092031" w:rsidRPr="00F20058" w:rsidRDefault="00092031" w:rsidP="00092031">
      <w:pPr>
        <w:pStyle w:val="H1GA"/>
        <w:rPr>
          <w:rFonts w:hint="cs"/>
          <w:rtl/>
        </w:rPr>
      </w:pPr>
      <w:r>
        <w:rPr>
          <w:rFonts w:hint="cs"/>
          <w:rtl/>
          <w:lang w:bidi="ar"/>
        </w:rPr>
        <w:tab/>
      </w:r>
      <w:r>
        <w:rPr>
          <w:rFonts w:hint="cs"/>
          <w:rtl/>
          <w:lang w:bidi="ar"/>
        </w:rPr>
        <w:tab/>
        <w:t>عام</w:t>
      </w:r>
    </w:p>
    <w:p w:rsidR="00092031" w:rsidRPr="00D47BBA" w:rsidRDefault="00092031" w:rsidP="00092031">
      <w:pPr>
        <w:pStyle w:val="SingleTxtGA"/>
        <w:rPr>
          <w:rFonts w:hint="cs"/>
          <w:spacing w:val="-2"/>
          <w:rtl/>
          <w:lang w:bidi="ar"/>
        </w:rPr>
      </w:pPr>
      <w:r w:rsidRPr="00D47BBA">
        <w:rPr>
          <w:rFonts w:hint="cs"/>
          <w:spacing w:val="-2"/>
          <w:rtl/>
          <w:lang w:bidi="ar"/>
        </w:rPr>
        <w:t>1-</w:t>
      </w:r>
      <w:r w:rsidRPr="00D47BBA">
        <w:rPr>
          <w:rFonts w:hint="cs"/>
          <w:spacing w:val="-2"/>
          <w:rtl/>
          <w:lang w:bidi="ar"/>
        </w:rPr>
        <w:tab/>
        <w:t>يتضمن مرفق التقرير بيانات إحصائية محدودة مصنفةً حسب نوع الجنس تتناول وضع المرأة في جميع المجالات التي تشملها الاتفاقية. يرجى تقديم معلومات عن الوضع فيما</w:t>
      </w:r>
      <w:r w:rsidRPr="00D47BBA">
        <w:rPr>
          <w:rFonts w:hint="eastAsia"/>
          <w:spacing w:val="-2"/>
          <w:rtl/>
          <w:lang w:bidi="ar"/>
        </w:rPr>
        <w:t> </w:t>
      </w:r>
      <w:r w:rsidRPr="00D47BBA">
        <w:rPr>
          <w:rFonts w:hint="cs"/>
          <w:spacing w:val="-2"/>
          <w:rtl/>
          <w:lang w:bidi="ar"/>
        </w:rPr>
        <w:t>يتعلق بجمع</w:t>
      </w:r>
      <w:r>
        <w:rPr>
          <w:rFonts w:hint="eastAsia"/>
          <w:spacing w:val="-2"/>
          <w:rtl/>
          <w:lang w:bidi="ar"/>
        </w:rPr>
        <w:t> </w:t>
      </w:r>
      <w:r w:rsidRPr="00D47BBA">
        <w:rPr>
          <w:rFonts w:hint="cs"/>
          <w:spacing w:val="-2"/>
          <w:rtl/>
          <w:lang w:bidi="ar"/>
        </w:rPr>
        <w:t>البيانات وتحليلها في البلد عموم</w:t>
      </w:r>
      <w:r w:rsidR="006E3E42">
        <w:rPr>
          <w:rFonts w:hint="cs"/>
          <w:spacing w:val="-2"/>
          <w:rtl/>
          <w:lang w:bidi="ar"/>
        </w:rPr>
        <w:t>اً،</w:t>
      </w:r>
      <w:r w:rsidRPr="00D47BBA">
        <w:rPr>
          <w:rFonts w:hint="cs"/>
          <w:spacing w:val="-2"/>
          <w:rtl/>
          <w:lang w:bidi="ar"/>
        </w:rPr>
        <w:t xml:space="preserve"> والإشارة إلى المدى الذي يجري عنده جمع البيانات على أساس تصنيفي من أجل تبين وضع المرأة استناداً إلى عوامل مثل العمر والوضع الاجتماعي والاقتصادي والموقع الحضري أو الريفي والعرقْ والانتماء الإثني والدين. ويرجى وصف الطريقة</w:t>
      </w:r>
      <w:r>
        <w:rPr>
          <w:rFonts w:hint="eastAsia"/>
          <w:spacing w:val="-2"/>
          <w:rtl/>
          <w:lang w:bidi="ar"/>
        </w:rPr>
        <w:t> </w:t>
      </w:r>
      <w:r w:rsidRPr="00D47BBA">
        <w:rPr>
          <w:rFonts w:hint="cs"/>
          <w:spacing w:val="-2"/>
          <w:rtl/>
          <w:lang w:bidi="ar"/>
        </w:rPr>
        <w:t>التي تعتزم بها الحكومة تحسين عملية جمع البيانات المصنفة المتعلقة بمجالات الاتفاقية.</w:t>
      </w:r>
    </w:p>
    <w:p w:rsidR="00092031" w:rsidRPr="0050054E" w:rsidRDefault="00092031" w:rsidP="00092031">
      <w:pPr>
        <w:pStyle w:val="H1GA"/>
        <w:rPr>
          <w:rFonts w:hint="cs"/>
          <w:rtl/>
          <w:lang w:bidi="ar"/>
        </w:rPr>
      </w:pPr>
      <w:r>
        <w:rPr>
          <w:rtl/>
          <w:lang w:bidi="ar"/>
        </w:rPr>
        <w:tab/>
      </w:r>
      <w:r>
        <w:rPr>
          <w:rFonts w:hint="cs"/>
          <w:rtl/>
          <w:lang w:bidi="ar"/>
        </w:rPr>
        <w:tab/>
      </w:r>
      <w:r w:rsidRPr="0050054E">
        <w:rPr>
          <w:rFonts w:hint="cs"/>
          <w:rtl/>
          <w:lang w:bidi="ar"/>
        </w:rPr>
        <w:t>الإطار الدستوري والتشريعي</w:t>
      </w:r>
    </w:p>
    <w:p w:rsidR="00092031" w:rsidRPr="0081031D" w:rsidRDefault="00092031" w:rsidP="00634EF4">
      <w:pPr>
        <w:pStyle w:val="SingleTxtGA"/>
        <w:rPr>
          <w:rFonts w:hint="cs"/>
          <w:spacing w:val="-2"/>
          <w:rtl/>
        </w:rPr>
      </w:pPr>
      <w:r w:rsidRPr="0081031D">
        <w:rPr>
          <w:rFonts w:hint="cs"/>
          <w:spacing w:val="-2"/>
          <w:rtl/>
          <w:lang w:bidi="ar"/>
        </w:rPr>
        <w:t>2-</w:t>
      </w:r>
      <w:r w:rsidRPr="0081031D">
        <w:rPr>
          <w:rFonts w:hint="cs"/>
          <w:spacing w:val="-2"/>
          <w:rtl/>
          <w:lang w:bidi="ar"/>
        </w:rPr>
        <w:tab/>
      </w:r>
      <w:r w:rsidRPr="0081031D">
        <w:rPr>
          <w:rFonts w:hint="cs"/>
          <w:spacing w:val="-2"/>
          <w:rtl/>
        </w:rPr>
        <w:t xml:space="preserve">يرجى تقديم معلومات عن استراتيجيات </w:t>
      </w:r>
      <w:r w:rsidR="00634EF4">
        <w:rPr>
          <w:rFonts w:hint="cs"/>
          <w:spacing w:val="-2"/>
          <w:rtl/>
        </w:rPr>
        <w:t>إ</w:t>
      </w:r>
      <w:r w:rsidRPr="0081031D">
        <w:rPr>
          <w:rFonts w:hint="cs"/>
          <w:spacing w:val="-2"/>
          <w:rtl/>
        </w:rPr>
        <w:t>طلاع الجمهور على الاتفاقية والبروتوكول الاختياري الملحق بها، وتوفير برامج لمحو الأمية القانونية وتوفير المساعدة للنساء خاصة في المناطق النائية، وعن التدابير المتخذة التي تضمن تطبيق أحكام الاتفاقية تطبيقاً متسقاً على جميع مستويات الجمهورية الاتحادية حسبما أوصت اللجنة في الفقرتين 16 و14 من ملاحظاتها الختامية السابقة (</w:t>
      </w:r>
      <w:r w:rsidRPr="0081031D">
        <w:rPr>
          <w:spacing w:val="-2"/>
        </w:rPr>
        <w:t>CEDAW/C/BRA/CO/6</w:t>
      </w:r>
      <w:r w:rsidRPr="0081031D">
        <w:rPr>
          <w:rFonts w:hint="cs"/>
          <w:spacing w:val="-2"/>
          <w:rtl/>
        </w:rPr>
        <w:t>).</w:t>
      </w:r>
    </w:p>
    <w:p w:rsidR="00092031" w:rsidRDefault="00092031" w:rsidP="00092031">
      <w:pPr>
        <w:pStyle w:val="SingleTxtGA"/>
        <w:rPr>
          <w:rFonts w:hint="cs"/>
          <w:rtl/>
        </w:rPr>
      </w:pPr>
      <w:r>
        <w:rPr>
          <w:rFonts w:hint="cs"/>
          <w:rtl/>
        </w:rPr>
        <w:t>3-</w:t>
      </w:r>
      <w:r>
        <w:rPr>
          <w:rFonts w:hint="cs"/>
          <w:rtl/>
        </w:rPr>
        <w:tab/>
        <w:t>في أثناء الفترة المشمولة بالتقرير، سُنت عدة قوانين أو عدلت، لكن ثمة شاغلاً من استمرار وجود ثغرات في التشريعات المتعلقة بالقضايا الناشئة التي تؤثر في النساء، مثل التطورات الوراثية والتطور التكنولوجي والميل الجنسي، وبأن القضاء وإن كان متجاوباً مع ظهور القيم الاجتماعية الجديدة، يعيد إنتاج قوالب نمطية اجتماعية تهيمن فيها الأدوار الأبوية في المجتمع. يرجى الإفادة بما إذا كان يُنظر فعلياً في تلك الشواغل في إطار عملية الإصلاح القانوني، وبيان التدابير المزمع اتخاذها للتصدي لها.</w:t>
      </w:r>
    </w:p>
    <w:p w:rsidR="00092031" w:rsidRPr="00935958" w:rsidRDefault="00092031" w:rsidP="00092031">
      <w:pPr>
        <w:pStyle w:val="H1GA"/>
        <w:rPr>
          <w:rFonts w:hint="cs"/>
          <w:rtl/>
        </w:rPr>
      </w:pPr>
      <w:r>
        <w:rPr>
          <w:rtl/>
        </w:rPr>
        <w:tab/>
      </w:r>
      <w:r>
        <w:rPr>
          <w:rFonts w:hint="cs"/>
          <w:rtl/>
        </w:rPr>
        <w:tab/>
      </w:r>
      <w:r w:rsidRPr="00935958">
        <w:rPr>
          <w:rFonts w:hint="cs"/>
          <w:rtl/>
        </w:rPr>
        <w:t xml:space="preserve">الآلية الوطنية </w:t>
      </w:r>
      <w:r>
        <w:rPr>
          <w:rFonts w:hint="cs"/>
          <w:rtl/>
        </w:rPr>
        <w:t>ل</w:t>
      </w:r>
      <w:r w:rsidRPr="00935958">
        <w:rPr>
          <w:rFonts w:hint="cs"/>
          <w:rtl/>
        </w:rPr>
        <w:t>لشؤون الجنسانية</w:t>
      </w:r>
    </w:p>
    <w:p w:rsidR="00092031" w:rsidRDefault="00092031" w:rsidP="00092031">
      <w:pPr>
        <w:pStyle w:val="SingleTxtGA"/>
        <w:rPr>
          <w:rFonts w:hint="cs"/>
          <w:rtl/>
        </w:rPr>
      </w:pPr>
      <w:r>
        <w:rPr>
          <w:rFonts w:hint="cs"/>
          <w:rtl/>
        </w:rPr>
        <w:t>4-</w:t>
      </w:r>
      <w:r>
        <w:rPr>
          <w:rFonts w:hint="cs"/>
          <w:rtl/>
        </w:rPr>
        <w:tab/>
        <w:t>يشير التقرير في الفقرتين 1 و2 إلى التغييرات الحاصلة في وضع وبنية المؤسسة المكلفة برسم سياسات المرأة، التي تسمى اليوم بأمانة سياسات المرأة. يرجى تقديم معلومات عن الكيفية التي أثرت بها هذه التغييرات في قدرة الأمانة على تنفيذ ولايتها على صعيد الاتحاد والولايات والبلديات، بما في ذلك مدى كفاية مواردها البشرية والمالية في دعم تنفيذ هذه الولاية على جميع المستويات، على نحو ما أوصت به اللجنة في ملاحظاتها الختامية السابقة (</w:t>
      </w:r>
      <w:r>
        <w:t>CEDAW/C/BRA/CO/6</w:t>
      </w:r>
      <w:r>
        <w:rPr>
          <w:rFonts w:hint="cs"/>
          <w:rtl/>
        </w:rPr>
        <w:t>، الفقرة 18). ويرجى توضيح نوع التنسيق الموجود فيما بين الآليات الجنسانية على مختلف الصعد في البلد، وإن كان هناك جهاز بعينه يملك كامل القدرة والسلطة لتنسيق أنشطتها.</w:t>
      </w:r>
    </w:p>
    <w:p w:rsidR="00092031" w:rsidRDefault="00092031" w:rsidP="00634EF4">
      <w:pPr>
        <w:pStyle w:val="SingleTxtGA"/>
        <w:rPr>
          <w:rFonts w:hint="cs"/>
          <w:rtl/>
        </w:rPr>
      </w:pPr>
      <w:r>
        <w:rPr>
          <w:rFonts w:hint="cs"/>
          <w:rtl/>
        </w:rPr>
        <w:t>5-</w:t>
      </w:r>
      <w:r>
        <w:rPr>
          <w:rFonts w:hint="cs"/>
          <w:rtl/>
        </w:rPr>
        <w:tab/>
        <w:t xml:space="preserve">جاء في الفقرة 170 من التقرير أن المؤتمر الوطني الثاني بشأن المرأة أجرى في </w:t>
      </w:r>
      <w:r w:rsidRPr="00217A0B">
        <w:rPr>
          <w:rFonts w:hint="cs"/>
          <w:sz w:val="30"/>
          <w:rtl/>
        </w:rPr>
        <w:t xml:space="preserve">آب/أغسطس </w:t>
      </w:r>
      <w:r>
        <w:rPr>
          <w:rFonts w:hint="cs"/>
          <w:rtl/>
        </w:rPr>
        <w:t>2007 استعراضاً وتقييماً للخطة الوطنية الأولى لسياسات المرأة. يرجى تقديم المزيد من المعلومات عن نتائج هذا التقييم وأثره على إعداد الخطة الوطنية الثانية لسياسات المرأة، التي أقرت في عام 2008، والإشارة إلى الأساليب التي تعالج بها محاور هذه الخطة الالتزامات التي تقضي بها الاتفاقية. ويرجى أيضاً الإفادة عما إذا كانت لجنة التنسيق والرصد المنبثقة عن الخطة الوطنية لسياسات المرأة قد أنشئت وتقديم معلومات عن ولايتها وتركيبتها (</w:t>
      </w:r>
      <w:r w:rsidRPr="00A70CF6">
        <w:t>CEDAW/C/BRA/7</w:t>
      </w:r>
      <w:r>
        <w:rPr>
          <w:rFonts w:hint="cs"/>
          <w:rtl/>
        </w:rPr>
        <w:t>، الفقرة 14).</w:t>
      </w:r>
    </w:p>
    <w:p w:rsidR="00092031" w:rsidRDefault="00092031" w:rsidP="00092031">
      <w:pPr>
        <w:pStyle w:val="SingleTxtGA"/>
        <w:rPr>
          <w:rFonts w:hint="cs"/>
          <w:rtl/>
        </w:rPr>
      </w:pPr>
      <w:r>
        <w:rPr>
          <w:rFonts w:hint="cs"/>
          <w:rtl/>
        </w:rPr>
        <w:t>6-</w:t>
      </w:r>
      <w:r>
        <w:rPr>
          <w:rFonts w:hint="cs"/>
          <w:rtl/>
        </w:rPr>
        <w:tab/>
        <w:t>يرجى تقديم معلومات عن ولاية المجموعة النسائية في الكونغرس الوطني، المشار إليها في الفقرتين 10 و11 من التقرير، والإنجازات التي تحققت بواسطة هذه الآلية في مجال النهوض بحقوق المرأة في الدولة الطرف.</w:t>
      </w:r>
    </w:p>
    <w:p w:rsidR="00092031" w:rsidRPr="00217A0B" w:rsidRDefault="00092031" w:rsidP="00092031">
      <w:pPr>
        <w:pStyle w:val="SingleTxtGA"/>
        <w:rPr>
          <w:rFonts w:hint="cs"/>
          <w:spacing w:val="-2"/>
          <w:rtl/>
          <w:lang w:bidi="ar"/>
        </w:rPr>
      </w:pPr>
      <w:r w:rsidRPr="00217A0B">
        <w:rPr>
          <w:rFonts w:hint="cs"/>
          <w:spacing w:val="-2"/>
          <w:rtl/>
        </w:rPr>
        <w:t>7-</w:t>
      </w:r>
      <w:r w:rsidRPr="00217A0B">
        <w:rPr>
          <w:rFonts w:hint="cs"/>
          <w:spacing w:val="-2"/>
          <w:rtl/>
        </w:rPr>
        <w:tab/>
        <w:t>يرجى توضيح ما إذا كان قد جرى الاقتداء بالهيئة المنوطة بتنسيق تنفيذ الميثاق الوطني لمكافحة العنف ضد المرأة على مستوى الاتحاد والولايات والبلديات (</w:t>
      </w:r>
      <w:r w:rsidRPr="00217A0B">
        <w:rPr>
          <w:spacing w:val="-2"/>
        </w:rPr>
        <w:t>CEDAW/C/BRA/7</w:t>
      </w:r>
      <w:r w:rsidRPr="00217A0B">
        <w:rPr>
          <w:rFonts w:hint="cs"/>
          <w:spacing w:val="-2"/>
          <w:rtl/>
        </w:rPr>
        <w:t xml:space="preserve">، الفقرات 63-68) في إنشاء هيئات مثيلة لتنفيذ خطط وسياسات وطنية أخرى تستهدف النهوض بحقوق المرأة، مثل </w:t>
      </w:r>
      <w:r w:rsidRPr="00217A0B">
        <w:rPr>
          <w:rFonts w:hint="cs"/>
          <w:spacing w:val="-2"/>
          <w:rtl/>
          <w:lang w:bidi="ar"/>
        </w:rPr>
        <w:t>الخطة المتكاملة لمكافحة تأنيث وباء الإيدز وغيره من الأمراض التي تنتقل عن طريق الاتصال الجنسي (</w:t>
      </w:r>
      <w:r w:rsidRPr="00217A0B">
        <w:rPr>
          <w:spacing w:val="-2"/>
        </w:rPr>
        <w:t>CEDAW/C/BRA/7</w:t>
      </w:r>
      <w:r w:rsidRPr="00217A0B">
        <w:rPr>
          <w:rFonts w:hint="cs"/>
          <w:spacing w:val="-2"/>
          <w:rtl/>
          <w:lang w:bidi="ar"/>
        </w:rPr>
        <w:t>، الفقرة 86)، والسياسة الوطنية لمكافحة الاتجار بالبشر (المرجع نفسه، الفقرة 95).</w:t>
      </w:r>
    </w:p>
    <w:p w:rsidR="00092031" w:rsidRPr="00D87376" w:rsidRDefault="00092031" w:rsidP="00092031">
      <w:pPr>
        <w:pStyle w:val="H1GA"/>
        <w:spacing w:before="120"/>
        <w:rPr>
          <w:rFonts w:hint="cs"/>
          <w:rtl/>
          <w:lang w:bidi="ar"/>
        </w:rPr>
      </w:pPr>
      <w:r>
        <w:rPr>
          <w:rtl/>
          <w:lang w:bidi="ar"/>
        </w:rPr>
        <w:tab/>
      </w:r>
      <w:r>
        <w:rPr>
          <w:rFonts w:hint="cs"/>
          <w:rtl/>
          <w:lang w:bidi="ar"/>
        </w:rPr>
        <w:tab/>
        <w:t>ال</w:t>
      </w:r>
      <w:r w:rsidRPr="00D87376">
        <w:rPr>
          <w:rFonts w:hint="cs"/>
          <w:rtl/>
          <w:lang w:bidi="ar"/>
        </w:rPr>
        <w:t xml:space="preserve">تدابير </w:t>
      </w:r>
      <w:r>
        <w:rPr>
          <w:rFonts w:hint="cs"/>
          <w:rtl/>
          <w:lang w:bidi="ar"/>
        </w:rPr>
        <w:t>ال</w:t>
      </w:r>
      <w:r w:rsidRPr="00D87376">
        <w:rPr>
          <w:rFonts w:hint="cs"/>
          <w:rtl/>
          <w:lang w:bidi="ar"/>
        </w:rPr>
        <w:t xml:space="preserve">خاصة </w:t>
      </w:r>
      <w:r>
        <w:rPr>
          <w:rFonts w:hint="cs"/>
          <w:rtl/>
          <w:lang w:bidi="ar"/>
        </w:rPr>
        <w:t>ال</w:t>
      </w:r>
      <w:r w:rsidRPr="00D87376">
        <w:rPr>
          <w:rFonts w:hint="cs"/>
          <w:rtl/>
          <w:lang w:bidi="ar"/>
        </w:rPr>
        <w:t>مؤقتة</w:t>
      </w:r>
    </w:p>
    <w:p w:rsidR="00092031" w:rsidRDefault="00092031" w:rsidP="00092031">
      <w:pPr>
        <w:pStyle w:val="SingleTxtGA"/>
        <w:rPr>
          <w:rFonts w:hint="cs"/>
          <w:rtl/>
          <w:lang w:bidi="ar"/>
        </w:rPr>
      </w:pPr>
      <w:r>
        <w:rPr>
          <w:rFonts w:hint="cs"/>
          <w:rtl/>
          <w:lang w:bidi="ar"/>
        </w:rPr>
        <w:t>8-</w:t>
      </w:r>
      <w:r>
        <w:rPr>
          <w:rFonts w:hint="cs"/>
          <w:rtl/>
          <w:lang w:bidi="ar"/>
        </w:rPr>
        <w:tab/>
        <w:t>يرجى تقديم معلومات عن تنفيذ التدابر الخاصة المؤقتة الرامية إلى سرعة تحقيق مساواة جوهرية بين الرجل والمرأة، لا سيما الريفيات والمنحدرات من أصل أفريقي والمنتميات إلى الشعوب الأصلية. ويرجى أيض</w:t>
      </w:r>
      <w:r w:rsidR="006E3E42">
        <w:rPr>
          <w:rFonts w:hint="cs"/>
          <w:rtl/>
          <w:lang w:bidi="ar"/>
        </w:rPr>
        <w:t xml:space="preserve">اً </w:t>
      </w:r>
      <w:r>
        <w:rPr>
          <w:rFonts w:hint="cs"/>
          <w:rtl/>
          <w:lang w:bidi="ar"/>
        </w:rPr>
        <w:t>الإشارة إلى أي حد شجعت الدولة الطرف اعتماد التدابير الخاصة المؤقتة تمشياً مع التوصية العامة للجنة رقم 25(2004).</w:t>
      </w:r>
    </w:p>
    <w:p w:rsidR="00092031" w:rsidRPr="00D87376" w:rsidRDefault="00092031" w:rsidP="00092031">
      <w:pPr>
        <w:pStyle w:val="H1GA"/>
        <w:rPr>
          <w:rFonts w:hint="cs"/>
          <w:rtl/>
          <w:lang w:bidi="ar"/>
        </w:rPr>
      </w:pPr>
      <w:r>
        <w:rPr>
          <w:rtl/>
          <w:lang w:bidi="ar"/>
        </w:rPr>
        <w:tab/>
      </w:r>
      <w:r>
        <w:rPr>
          <w:rFonts w:hint="cs"/>
          <w:rtl/>
          <w:lang w:bidi="ar"/>
        </w:rPr>
        <w:tab/>
      </w:r>
      <w:r w:rsidRPr="00D87376">
        <w:rPr>
          <w:rFonts w:hint="cs"/>
          <w:rtl/>
          <w:lang w:bidi="ar"/>
        </w:rPr>
        <w:t xml:space="preserve">العنف </w:t>
      </w:r>
      <w:r>
        <w:rPr>
          <w:rFonts w:hint="cs"/>
          <w:rtl/>
          <w:lang w:bidi="ar"/>
        </w:rPr>
        <w:t xml:space="preserve">ضد </w:t>
      </w:r>
      <w:r w:rsidRPr="00D87376">
        <w:rPr>
          <w:rFonts w:hint="cs"/>
          <w:rtl/>
          <w:lang w:bidi="ar"/>
        </w:rPr>
        <w:t>المرأة</w:t>
      </w:r>
    </w:p>
    <w:p w:rsidR="00092031" w:rsidRDefault="00092031" w:rsidP="00634EF4">
      <w:pPr>
        <w:pStyle w:val="SingleTxtGA"/>
        <w:rPr>
          <w:rFonts w:hint="cs"/>
          <w:rtl/>
          <w:lang w:bidi="ar"/>
        </w:rPr>
      </w:pPr>
      <w:r>
        <w:rPr>
          <w:rFonts w:hint="cs"/>
          <w:rtl/>
          <w:lang w:bidi="ar"/>
        </w:rPr>
        <w:t>9-</w:t>
      </w:r>
      <w:r>
        <w:rPr>
          <w:rFonts w:hint="cs"/>
          <w:rtl/>
          <w:lang w:bidi="ar"/>
        </w:rPr>
        <w:tab/>
        <w:t>ورد في الفقرتين 12 و35 من التقرير أن قانون ماريا دابينيا المؤرخ 6 آب/    أغسطس 2006 ينص على إنشاء محاكم خاصة للعنف المنزلي والأسري المرتكب ضد النساء. وجاء أيضاً في الفقرة 74 أن 147 محكمة متخصصة أنشئت في جميع أنحاء البلاد. يرجى تقديم معلومات مفصلة عن الشكاوى التي رفعتها النساء أمام هذه المحاكم ونوع العنف الذي وقعن ضحية له والمحاكمات المتعلقة به والأحكام الصادرة في حق مرتكبيه. ويرجى تقديم معلومات عما إذا كان مرصد مراقبة تنفيذ وإنفاذ قانون ماريا دابينيا قد أنشئ (</w:t>
      </w:r>
      <w:r>
        <w:t>CEDAW/C/BRA/7</w:t>
      </w:r>
      <w:r>
        <w:rPr>
          <w:rFonts w:hint="cs"/>
          <w:rtl/>
          <w:lang w:bidi="ar"/>
        </w:rPr>
        <w:t>، الفقرة 42). وإن كان الأمر كذلك، بيان الاستنتاجات التي توصل إليها حتى الآن.</w:t>
      </w:r>
    </w:p>
    <w:p w:rsidR="00092031" w:rsidRDefault="00092031" w:rsidP="00634EF4">
      <w:pPr>
        <w:pStyle w:val="SingleTxtGA"/>
        <w:rPr>
          <w:rFonts w:hint="cs"/>
          <w:rtl/>
        </w:rPr>
      </w:pPr>
      <w:r>
        <w:rPr>
          <w:rFonts w:hint="cs"/>
          <w:rtl/>
          <w:lang w:bidi="ar"/>
        </w:rPr>
        <w:t>10-</w:t>
      </w:r>
      <w:r>
        <w:rPr>
          <w:rFonts w:hint="cs"/>
          <w:rtl/>
          <w:lang w:bidi="ar"/>
        </w:rPr>
        <w:tab/>
      </w:r>
      <w:r>
        <w:rPr>
          <w:rFonts w:hint="cs"/>
          <w:rtl/>
        </w:rPr>
        <w:t xml:space="preserve">جاء في الجدول 1-2 من التقرير (انظر المرفق) أن عدد تقارير عن العنف ضد المرأة التي تلقاها مركز خدمة المرأة (الرقم الهاتفي 180) شهد زيادة كبيرة بين عامي 2006 و2009، من 664 12 </w:t>
      </w:r>
      <w:r w:rsidR="00634EF4">
        <w:rPr>
          <w:rFonts w:hint="cs"/>
          <w:rtl/>
        </w:rPr>
        <w:t xml:space="preserve">تقريراً </w:t>
      </w:r>
      <w:r>
        <w:rPr>
          <w:rFonts w:hint="cs"/>
          <w:rtl/>
        </w:rPr>
        <w:t xml:space="preserve">إلى </w:t>
      </w:r>
      <w:r w:rsidR="004B207F">
        <w:rPr>
          <w:rFonts w:hint="cs"/>
          <w:rtl/>
        </w:rPr>
        <w:t>857 40 تقريراً</w:t>
      </w:r>
      <w:r>
        <w:rPr>
          <w:rFonts w:hint="cs"/>
          <w:rtl/>
        </w:rPr>
        <w:t>. يرجى تقديم معلومات عن نوع العنف المبل</w:t>
      </w:r>
      <w:r w:rsidR="004B207F">
        <w:rPr>
          <w:rFonts w:hint="cs"/>
          <w:rtl/>
        </w:rPr>
        <w:t>ّ</w:t>
      </w:r>
      <w:r>
        <w:rPr>
          <w:rFonts w:hint="cs"/>
          <w:rtl/>
        </w:rPr>
        <w:t>غ عنه ونوع المساعدة المقدمة إلى الضحايا. ويرجى أيض</w:t>
      </w:r>
      <w:r w:rsidR="006E3E42">
        <w:rPr>
          <w:rFonts w:hint="cs"/>
          <w:rtl/>
        </w:rPr>
        <w:t xml:space="preserve">اً </w:t>
      </w:r>
      <w:r>
        <w:rPr>
          <w:rFonts w:hint="cs"/>
          <w:rtl/>
        </w:rPr>
        <w:t xml:space="preserve">تقديم معلومات عن </w:t>
      </w:r>
      <w:r w:rsidR="009E09DD">
        <w:rPr>
          <w:rFonts w:hint="cs"/>
          <w:rtl/>
        </w:rPr>
        <w:t>ال</w:t>
      </w:r>
      <w:r>
        <w:rPr>
          <w:rFonts w:hint="cs"/>
          <w:rtl/>
        </w:rPr>
        <w:t xml:space="preserve">معايير </w:t>
      </w:r>
      <w:r w:rsidR="009E09DD">
        <w:rPr>
          <w:rFonts w:hint="cs"/>
          <w:rtl/>
        </w:rPr>
        <w:t>الموضوعة ل</w:t>
      </w:r>
      <w:r>
        <w:rPr>
          <w:rFonts w:hint="cs"/>
          <w:rtl/>
        </w:rPr>
        <w:t xml:space="preserve">تعيين </w:t>
      </w:r>
      <w:r w:rsidR="009E09DD">
        <w:rPr>
          <w:rFonts w:hint="cs"/>
          <w:rtl/>
        </w:rPr>
        <w:t>موظفي المركز</w:t>
      </w:r>
      <w:r>
        <w:rPr>
          <w:rFonts w:hint="cs"/>
          <w:rtl/>
        </w:rPr>
        <w:t xml:space="preserve"> ونوع التدريب </w:t>
      </w:r>
      <w:r w:rsidR="009E09DD">
        <w:rPr>
          <w:rFonts w:hint="cs"/>
          <w:rtl/>
        </w:rPr>
        <w:t>الذي يتلقونه فيما يتعلق بالعنف ضد المرأة</w:t>
      </w:r>
      <w:r>
        <w:rPr>
          <w:rFonts w:hint="cs"/>
          <w:rtl/>
        </w:rPr>
        <w:t xml:space="preserve">، </w:t>
      </w:r>
      <w:r w:rsidR="009E09DD">
        <w:rPr>
          <w:rFonts w:hint="cs"/>
          <w:rtl/>
        </w:rPr>
        <w:t>و</w:t>
      </w:r>
      <w:r>
        <w:rPr>
          <w:rFonts w:hint="cs"/>
          <w:rtl/>
        </w:rPr>
        <w:t>التوعية المتعلقة بالنساء ضحايا الاتجار (</w:t>
      </w:r>
      <w:r>
        <w:t>CEDAW/C/BRA/7</w:t>
      </w:r>
      <w:r>
        <w:rPr>
          <w:rFonts w:hint="cs"/>
          <w:rtl/>
        </w:rPr>
        <w:t xml:space="preserve">، الفقرة 122(د)). </w:t>
      </w:r>
    </w:p>
    <w:p w:rsidR="00092031" w:rsidRDefault="00092031" w:rsidP="008A77AA">
      <w:pPr>
        <w:pStyle w:val="H1GA"/>
        <w:rPr>
          <w:rFonts w:hint="cs"/>
          <w:rtl/>
        </w:rPr>
      </w:pPr>
      <w:r>
        <w:rPr>
          <w:rtl/>
        </w:rPr>
        <w:tab/>
      </w:r>
      <w:r>
        <w:rPr>
          <w:rFonts w:hint="cs"/>
          <w:rtl/>
        </w:rPr>
        <w:tab/>
      </w:r>
      <w:r w:rsidRPr="00F028E8">
        <w:rPr>
          <w:rFonts w:hint="cs"/>
          <w:rtl/>
        </w:rPr>
        <w:t xml:space="preserve">الاتجار </w:t>
      </w:r>
      <w:r w:rsidR="008A77AA">
        <w:rPr>
          <w:rFonts w:hint="cs"/>
          <w:rtl/>
        </w:rPr>
        <w:t xml:space="preserve">والاستغلال لأغراض </w:t>
      </w:r>
      <w:r w:rsidRPr="00F028E8">
        <w:rPr>
          <w:rFonts w:hint="cs"/>
          <w:rtl/>
        </w:rPr>
        <w:t>البغاء</w:t>
      </w:r>
    </w:p>
    <w:p w:rsidR="00092031" w:rsidRDefault="00092031" w:rsidP="001C7CCA">
      <w:pPr>
        <w:pStyle w:val="SingleTxtGA"/>
        <w:rPr>
          <w:rFonts w:hint="cs"/>
          <w:sz w:val="22"/>
          <w:rtl/>
          <w:lang w:bidi="ar"/>
        </w:rPr>
      </w:pPr>
      <w:r>
        <w:rPr>
          <w:rFonts w:hint="cs"/>
          <w:sz w:val="22"/>
          <w:rtl/>
        </w:rPr>
        <w:t>11-</w:t>
      </w:r>
      <w:r>
        <w:rPr>
          <w:rFonts w:hint="cs"/>
          <w:sz w:val="22"/>
          <w:rtl/>
        </w:rPr>
        <w:tab/>
        <w:t xml:space="preserve">يرجى تقديم معلومات مفصلة عن إنجازات الفريق العامل المعني </w:t>
      </w:r>
      <w:r>
        <w:rPr>
          <w:rFonts w:hint="cs"/>
          <w:rtl/>
          <w:lang w:bidi="ar"/>
        </w:rPr>
        <w:t xml:space="preserve">بتشريعات الاتجار بالبشر والجرائم المرتبطة به المشار إليه في الفقرة 120 من التقرير، </w:t>
      </w:r>
      <w:r w:rsidR="001C7CCA">
        <w:rPr>
          <w:rFonts w:hint="cs"/>
          <w:rtl/>
          <w:lang w:bidi="ar"/>
        </w:rPr>
        <w:t>بما في ذلك حالة التعديلات المقترح</w:t>
      </w:r>
      <w:r>
        <w:rPr>
          <w:rFonts w:hint="cs"/>
          <w:rtl/>
          <w:lang w:bidi="ar"/>
        </w:rPr>
        <w:t xml:space="preserve"> </w:t>
      </w:r>
      <w:r w:rsidR="001C7CCA">
        <w:rPr>
          <w:rFonts w:hint="cs"/>
          <w:rtl/>
          <w:lang w:bidi="ar"/>
        </w:rPr>
        <w:t xml:space="preserve">إدخالها في </w:t>
      </w:r>
      <w:r>
        <w:rPr>
          <w:rFonts w:hint="cs"/>
          <w:rtl/>
          <w:lang w:bidi="ar"/>
        </w:rPr>
        <w:t xml:space="preserve">التشريعات الوطنية والإجراءات المتخذة لإنشاء النظام الوطني </w:t>
      </w:r>
      <w:r w:rsidR="001C7CCA">
        <w:rPr>
          <w:rFonts w:hint="cs"/>
          <w:rtl/>
          <w:lang w:bidi="ar"/>
        </w:rPr>
        <w:t xml:space="preserve">لمنع </w:t>
      </w:r>
      <w:r>
        <w:rPr>
          <w:rFonts w:hint="cs"/>
          <w:rtl/>
          <w:lang w:bidi="ar"/>
        </w:rPr>
        <w:t>الاتجار بالبشر ومكافحته. ويرجى أيضا</w:t>
      </w:r>
      <w:r w:rsidR="001C7CCA">
        <w:rPr>
          <w:rFonts w:hint="cs"/>
          <w:rtl/>
          <w:lang w:bidi="ar"/>
        </w:rPr>
        <w:t>ً</w:t>
      </w:r>
      <w:r>
        <w:rPr>
          <w:rFonts w:hint="cs"/>
          <w:rtl/>
          <w:lang w:bidi="ar"/>
        </w:rPr>
        <w:t xml:space="preserve"> توضيح إن كانت الدولة الطرف تدرس إمكانية اعتماد تشريع شامل لمكافحة الاتجار، </w:t>
      </w:r>
      <w:r w:rsidR="001C7CCA">
        <w:rPr>
          <w:rFonts w:hint="cs"/>
          <w:rtl/>
          <w:lang w:bidi="ar"/>
        </w:rPr>
        <w:t>استجابة ل</w:t>
      </w:r>
      <w:r>
        <w:rPr>
          <w:rFonts w:hint="cs"/>
          <w:rtl/>
          <w:lang w:bidi="ar"/>
        </w:rPr>
        <w:t>توصية اللجنة في ملاحظاتها الختامية السابقة (</w:t>
      </w:r>
      <w:r>
        <w:t>CEDAW/C/BRA/CO/6</w:t>
      </w:r>
      <w:r>
        <w:rPr>
          <w:rFonts w:hint="cs"/>
          <w:rtl/>
          <w:lang w:bidi="ar"/>
        </w:rPr>
        <w:t>، الفقرة 24)</w:t>
      </w:r>
      <w:r w:rsidR="001C7CCA">
        <w:rPr>
          <w:rFonts w:hint="cs"/>
          <w:sz w:val="22"/>
          <w:rtl/>
          <w:lang w:bidi="ar"/>
        </w:rPr>
        <w:t xml:space="preserve">، </w:t>
      </w:r>
      <w:r w:rsidR="00634EF4">
        <w:rPr>
          <w:rFonts w:hint="cs"/>
          <w:sz w:val="22"/>
          <w:rtl/>
          <w:lang w:bidi="ar"/>
        </w:rPr>
        <w:t>و</w:t>
      </w:r>
      <w:r w:rsidR="001C7CCA">
        <w:rPr>
          <w:rFonts w:hint="cs"/>
          <w:sz w:val="22"/>
          <w:rtl/>
          <w:lang w:bidi="ar"/>
        </w:rPr>
        <w:t>وضع</w:t>
      </w:r>
      <w:r>
        <w:rPr>
          <w:rFonts w:hint="cs"/>
          <w:sz w:val="22"/>
          <w:rtl/>
          <w:lang w:bidi="ar"/>
        </w:rPr>
        <w:t xml:space="preserve"> استراتيجيات </w:t>
      </w:r>
      <w:r w:rsidR="001C7CCA">
        <w:rPr>
          <w:rFonts w:hint="cs"/>
          <w:sz w:val="22"/>
          <w:rtl/>
          <w:lang w:bidi="ar"/>
        </w:rPr>
        <w:t>ل</w:t>
      </w:r>
      <w:r>
        <w:rPr>
          <w:rFonts w:hint="cs"/>
          <w:sz w:val="22"/>
          <w:rtl/>
          <w:lang w:bidi="ar"/>
        </w:rPr>
        <w:t xml:space="preserve">تفكيك شبكات الاتجار </w:t>
      </w:r>
      <w:r w:rsidR="00634EF4">
        <w:rPr>
          <w:rFonts w:hint="cs"/>
          <w:sz w:val="22"/>
          <w:rtl/>
          <w:lang w:bidi="ar"/>
        </w:rPr>
        <w:t>و</w:t>
      </w:r>
      <w:r w:rsidR="001C7CCA">
        <w:rPr>
          <w:rFonts w:hint="cs"/>
          <w:sz w:val="22"/>
          <w:rtl/>
          <w:lang w:bidi="ar"/>
        </w:rPr>
        <w:t xml:space="preserve">لعملية تقديم </w:t>
      </w:r>
      <w:r>
        <w:rPr>
          <w:rFonts w:hint="cs"/>
          <w:sz w:val="22"/>
          <w:rtl/>
          <w:lang w:bidi="ar"/>
        </w:rPr>
        <w:t>الشكاوى.</w:t>
      </w:r>
    </w:p>
    <w:p w:rsidR="00092031" w:rsidRPr="00082523" w:rsidRDefault="00092031" w:rsidP="00820C9B">
      <w:pPr>
        <w:pStyle w:val="H1GA"/>
        <w:spacing w:before="120"/>
        <w:rPr>
          <w:rFonts w:hint="cs"/>
          <w:rtl/>
          <w:lang w:bidi="ar"/>
        </w:rPr>
      </w:pPr>
      <w:r>
        <w:rPr>
          <w:rtl/>
          <w:lang w:bidi="ar"/>
        </w:rPr>
        <w:tab/>
      </w:r>
      <w:r>
        <w:rPr>
          <w:rFonts w:hint="cs"/>
          <w:rtl/>
          <w:lang w:bidi="ar"/>
        </w:rPr>
        <w:tab/>
      </w:r>
      <w:r w:rsidRPr="00082523">
        <w:rPr>
          <w:rFonts w:hint="cs"/>
          <w:rtl/>
          <w:lang w:bidi="ar"/>
        </w:rPr>
        <w:t>المشاركة السياسية وصنع القرار</w:t>
      </w:r>
    </w:p>
    <w:p w:rsidR="00092031" w:rsidRDefault="00092031" w:rsidP="00634EF4">
      <w:pPr>
        <w:pStyle w:val="SingleTxtGA"/>
        <w:rPr>
          <w:rFonts w:hint="cs"/>
          <w:rtl/>
          <w:lang w:bidi="ar"/>
        </w:rPr>
      </w:pPr>
      <w:r>
        <w:rPr>
          <w:rFonts w:hint="cs"/>
          <w:rtl/>
          <w:lang w:bidi="ar"/>
        </w:rPr>
        <w:t>12-</w:t>
      </w:r>
      <w:r>
        <w:rPr>
          <w:rFonts w:hint="cs"/>
          <w:rtl/>
          <w:lang w:bidi="ar"/>
        </w:rPr>
        <w:tab/>
        <w:t xml:space="preserve">يرجى تقديم معلومات عن التدابير المتخذة للتغلب على استمرار </w:t>
      </w:r>
      <w:r w:rsidR="007372B6">
        <w:rPr>
          <w:rFonts w:hint="cs"/>
          <w:rtl/>
          <w:lang w:bidi="ar"/>
        </w:rPr>
        <w:t>الثقافة</w:t>
      </w:r>
      <w:r>
        <w:rPr>
          <w:rFonts w:hint="cs"/>
          <w:rtl/>
          <w:lang w:bidi="ar"/>
        </w:rPr>
        <w:t xml:space="preserve"> الأبوية التي تعيق مشاركة المرأة في الحياة السياسية وال</w:t>
      </w:r>
      <w:r w:rsidR="007372B6">
        <w:rPr>
          <w:rFonts w:hint="cs"/>
          <w:rtl/>
          <w:lang w:bidi="ar"/>
        </w:rPr>
        <w:t xml:space="preserve">حياة العامة </w:t>
      </w:r>
      <w:r>
        <w:rPr>
          <w:rFonts w:hint="cs"/>
          <w:rtl/>
          <w:lang w:bidi="ar"/>
        </w:rPr>
        <w:t>المشار إليها في الفقرتين 141 و164 من التقرير. ويرجى أيض</w:t>
      </w:r>
      <w:r w:rsidR="006E3E42">
        <w:rPr>
          <w:rFonts w:hint="cs"/>
          <w:rtl/>
          <w:lang w:bidi="ar"/>
        </w:rPr>
        <w:t xml:space="preserve">اً </w:t>
      </w:r>
      <w:r>
        <w:rPr>
          <w:rFonts w:hint="cs"/>
          <w:rtl/>
          <w:lang w:bidi="ar"/>
        </w:rPr>
        <w:t xml:space="preserve">تقديم معلومات </w:t>
      </w:r>
      <w:r w:rsidR="007372B6">
        <w:rPr>
          <w:rFonts w:hint="cs"/>
          <w:rtl/>
          <w:lang w:bidi="ar"/>
        </w:rPr>
        <w:t xml:space="preserve">مستجدة </w:t>
      </w:r>
      <w:r>
        <w:rPr>
          <w:rFonts w:hint="cs"/>
          <w:rtl/>
          <w:lang w:bidi="ar"/>
        </w:rPr>
        <w:t>عن حالة مشروع القانون الذي يتضمن مقترح</w:t>
      </w:r>
      <w:r w:rsidR="006E3E42">
        <w:rPr>
          <w:rFonts w:hint="cs"/>
          <w:rtl/>
          <w:lang w:bidi="ar"/>
        </w:rPr>
        <w:t xml:space="preserve">اً </w:t>
      </w:r>
      <w:r>
        <w:rPr>
          <w:rFonts w:hint="cs"/>
          <w:rtl/>
          <w:lang w:bidi="ar"/>
        </w:rPr>
        <w:t xml:space="preserve">لإصلاح </w:t>
      </w:r>
      <w:r w:rsidR="007372B6">
        <w:rPr>
          <w:rFonts w:hint="cs"/>
          <w:rtl/>
          <w:lang w:bidi="ar"/>
        </w:rPr>
        <w:t xml:space="preserve">النظامين السياسي والانتخابي في </w:t>
      </w:r>
      <w:r>
        <w:rPr>
          <w:rFonts w:hint="cs"/>
          <w:rtl/>
          <w:lang w:bidi="ar"/>
        </w:rPr>
        <w:t xml:space="preserve">الدولة الطرف </w:t>
      </w:r>
      <w:r w:rsidR="007372B6">
        <w:rPr>
          <w:rFonts w:hint="cs"/>
          <w:rtl/>
          <w:lang w:bidi="ar"/>
        </w:rPr>
        <w:t xml:space="preserve">من أجل </w:t>
      </w:r>
      <w:r>
        <w:rPr>
          <w:rFonts w:hint="cs"/>
          <w:rtl/>
          <w:lang w:bidi="ar"/>
        </w:rPr>
        <w:t xml:space="preserve">زيادة المشاركة السياسية للمرأة، </w:t>
      </w:r>
      <w:r w:rsidR="007372B6">
        <w:rPr>
          <w:rFonts w:hint="cs"/>
          <w:rtl/>
          <w:lang w:bidi="ar"/>
        </w:rPr>
        <w:t xml:space="preserve">حسبما تذكر الفقرة 159 من التقرير. </w:t>
      </w:r>
      <w:r>
        <w:rPr>
          <w:rFonts w:hint="cs"/>
          <w:rtl/>
          <w:lang w:bidi="ar"/>
        </w:rPr>
        <w:t>يرجى أيض</w:t>
      </w:r>
      <w:r w:rsidR="006E3E42">
        <w:rPr>
          <w:rFonts w:hint="cs"/>
          <w:rtl/>
          <w:lang w:bidi="ar"/>
        </w:rPr>
        <w:t xml:space="preserve">اً </w:t>
      </w:r>
      <w:r>
        <w:rPr>
          <w:rFonts w:hint="cs"/>
          <w:rtl/>
          <w:lang w:bidi="ar"/>
        </w:rPr>
        <w:t xml:space="preserve">توضيح دور المنتدى الوطني لنساء الأحزاب السياسية في المناقشات </w:t>
      </w:r>
      <w:r w:rsidR="007372B6">
        <w:rPr>
          <w:rFonts w:hint="cs"/>
          <w:rtl/>
          <w:lang w:bidi="ar"/>
        </w:rPr>
        <w:t xml:space="preserve">التي قادتها اللجنة الثلاثة من أجل </w:t>
      </w:r>
      <w:r>
        <w:rPr>
          <w:rFonts w:hint="cs"/>
          <w:rtl/>
          <w:lang w:bidi="ar"/>
        </w:rPr>
        <w:t xml:space="preserve">زيادة مشاركة المرأة في </w:t>
      </w:r>
      <w:r w:rsidR="007372B6">
        <w:rPr>
          <w:rFonts w:hint="cs"/>
          <w:rtl/>
          <w:lang w:bidi="ar"/>
        </w:rPr>
        <w:t xml:space="preserve">الحياة </w:t>
      </w:r>
      <w:r>
        <w:rPr>
          <w:rFonts w:hint="cs"/>
          <w:rtl/>
          <w:lang w:bidi="ar"/>
        </w:rPr>
        <w:t>السياسة (</w:t>
      </w:r>
      <w:r>
        <w:t>CEDAW/C/BRA/7</w:t>
      </w:r>
      <w:r>
        <w:rPr>
          <w:rFonts w:hint="cs"/>
          <w:rtl/>
          <w:lang w:bidi="ar"/>
        </w:rPr>
        <w:t>، الفقرة 155)، و</w:t>
      </w:r>
      <w:r w:rsidR="007372B6">
        <w:rPr>
          <w:rFonts w:hint="cs"/>
          <w:rtl/>
          <w:lang w:bidi="ar"/>
        </w:rPr>
        <w:t xml:space="preserve">بيان </w:t>
      </w:r>
      <w:r>
        <w:rPr>
          <w:rFonts w:hint="cs"/>
          <w:rtl/>
          <w:lang w:bidi="ar"/>
        </w:rPr>
        <w:t>النتائج التي تحققت من تنفيذ الخطة الوطنية الثانية لسياسات المرأة التي تشمل إجراءات موجهة تحديد</w:t>
      </w:r>
      <w:r w:rsidR="006E3E42">
        <w:rPr>
          <w:rFonts w:hint="cs"/>
          <w:rtl/>
          <w:lang w:bidi="ar"/>
        </w:rPr>
        <w:t xml:space="preserve">اً </w:t>
      </w:r>
      <w:r>
        <w:rPr>
          <w:rFonts w:hint="cs"/>
          <w:rtl/>
          <w:lang w:bidi="ar"/>
        </w:rPr>
        <w:t xml:space="preserve">إلى مشاركة المرأة وتمثيلها في </w:t>
      </w:r>
      <w:r w:rsidR="007372B6">
        <w:rPr>
          <w:rFonts w:hint="cs"/>
          <w:rtl/>
          <w:lang w:bidi="ar"/>
        </w:rPr>
        <w:t xml:space="preserve">الحياة </w:t>
      </w:r>
      <w:r>
        <w:rPr>
          <w:rFonts w:hint="cs"/>
          <w:rtl/>
          <w:lang w:bidi="ar"/>
        </w:rPr>
        <w:t>السياس</w:t>
      </w:r>
      <w:r w:rsidR="00634EF4">
        <w:rPr>
          <w:rFonts w:hint="cs"/>
          <w:rtl/>
          <w:lang w:bidi="ar"/>
        </w:rPr>
        <w:t>ي</w:t>
      </w:r>
      <w:r>
        <w:rPr>
          <w:rFonts w:hint="cs"/>
          <w:rtl/>
          <w:lang w:bidi="ar"/>
        </w:rPr>
        <w:t>ة (المرجع نفسه، الفقرة 170).</w:t>
      </w:r>
    </w:p>
    <w:p w:rsidR="00092031" w:rsidRPr="00082523" w:rsidRDefault="00092031" w:rsidP="00092031">
      <w:pPr>
        <w:pStyle w:val="H1GA"/>
        <w:rPr>
          <w:rFonts w:hint="cs"/>
          <w:rtl/>
          <w:lang w:bidi="ar"/>
        </w:rPr>
      </w:pPr>
      <w:r>
        <w:rPr>
          <w:rtl/>
          <w:lang w:bidi="ar"/>
        </w:rPr>
        <w:tab/>
      </w:r>
      <w:r>
        <w:rPr>
          <w:rFonts w:hint="cs"/>
          <w:rtl/>
          <w:lang w:bidi="ar"/>
        </w:rPr>
        <w:tab/>
      </w:r>
      <w:r w:rsidRPr="00082523">
        <w:rPr>
          <w:rFonts w:hint="cs"/>
          <w:rtl/>
          <w:lang w:bidi="ar"/>
        </w:rPr>
        <w:t>التعليم</w:t>
      </w:r>
    </w:p>
    <w:p w:rsidR="00092031" w:rsidRDefault="007372B6" w:rsidP="00092031">
      <w:pPr>
        <w:pStyle w:val="SingleTxtGA"/>
        <w:rPr>
          <w:rFonts w:hint="cs"/>
          <w:rtl/>
          <w:lang w:bidi="ar"/>
        </w:rPr>
      </w:pPr>
      <w:r>
        <w:rPr>
          <w:rFonts w:hint="cs"/>
          <w:rtl/>
          <w:lang w:bidi="ar"/>
        </w:rPr>
        <w:t>13</w:t>
      </w:r>
      <w:r w:rsidR="00092031">
        <w:rPr>
          <w:rFonts w:hint="cs"/>
          <w:rtl/>
          <w:lang w:bidi="ar"/>
        </w:rPr>
        <w:t>-</w:t>
      </w:r>
      <w:r w:rsidR="00092031">
        <w:rPr>
          <w:rFonts w:hint="cs"/>
          <w:rtl/>
          <w:lang w:bidi="ar"/>
        </w:rPr>
        <w:tab/>
        <w:t>يرجى تقديم معلومات عن التدابير المتخذة لتقليص معدل الأمية بين النساء في الدولة الطرف، خاصة في المناطق الجنوبية والجنوبية الشرقية (</w:t>
      </w:r>
      <w:r w:rsidR="00092031">
        <w:t>CEDAW/C/BRA/7</w:t>
      </w:r>
      <w:r w:rsidR="00092031">
        <w:rPr>
          <w:rFonts w:hint="cs"/>
          <w:rtl/>
          <w:lang w:bidi="ar"/>
        </w:rPr>
        <w:t>، الفقرة 190). ويرجى أيض</w:t>
      </w:r>
      <w:r w:rsidR="006E3E42">
        <w:rPr>
          <w:rFonts w:hint="cs"/>
          <w:rtl/>
          <w:lang w:bidi="ar"/>
        </w:rPr>
        <w:t xml:space="preserve">اً </w:t>
      </w:r>
      <w:r w:rsidR="00092031">
        <w:rPr>
          <w:rFonts w:hint="cs"/>
          <w:rtl/>
          <w:lang w:bidi="ar"/>
        </w:rPr>
        <w:t>تقديم معلومات عن الإجراءات المتخذة لتشجيع النساء على الالتحاق بالتعليم العالي في مجالات الدراسة غير التقليدية (المرجع نفسه، الفقرة 223).</w:t>
      </w:r>
    </w:p>
    <w:p w:rsidR="00092031" w:rsidRPr="006D7904" w:rsidRDefault="00092031" w:rsidP="00092031">
      <w:pPr>
        <w:pStyle w:val="H1GA"/>
        <w:rPr>
          <w:rFonts w:hint="cs"/>
          <w:rtl/>
          <w:lang w:bidi="ar"/>
        </w:rPr>
      </w:pPr>
      <w:r>
        <w:rPr>
          <w:rtl/>
          <w:lang w:bidi="ar"/>
        </w:rPr>
        <w:tab/>
      </w:r>
      <w:r>
        <w:rPr>
          <w:rFonts w:hint="cs"/>
          <w:rtl/>
          <w:lang w:bidi="ar"/>
        </w:rPr>
        <w:tab/>
      </w:r>
      <w:r w:rsidRPr="006D7904">
        <w:rPr>
          <w:rFonts w:hint="cs"/>
          <w:rtl/>
          <w:lang w:bidi="ar"/>
        </w:rPr>
        <w:t>العمالة</w:t>
      </w:r>
    </w:p>
    <w:p w:rsidR="00092031" w:rsidRDefault="00092031" w:rsidP="007372B6">
      <w:pPr>
        <w:pStyle w:val="SingleTxtGA"/>
        <w:rPr>
          <w:rFonts w:hint="cs"/>
          <w:rtl/>
        </w:rPr>
      </w:pPr>
      <w:r>
        <w:rPr>
          <w:rFonts w:hint="cs"/>
          <w:rtl/>
          <w:lang w:bidi="ar"/>
        </w:rPr>
        <w:t>14-</w:t>
      </w:r>
      <w:r>
        <w:rPr>
          <w:rFonts w:hint="cs"/>
          <w:rtl/>
          <w:lang w:bidi="ar"/>
        </w:rPr>
        <w:tab/>
      </w:r>
      <w:r>
        <w:rPr>
          <w:rFonts w:hint="cs"/>
          <w:rtl/>
        </w:rPr>
        <w:t>يرجى تقديم آخر المعلومات عن حالة مشروع قانون المساواة في التوظيف، المشار إليه في الفقرة 249 من التق</w:t>
      </w:r>
      <w:r w:rsidR="007372B6">
        <w:rPr>
          <w:rFonts w:hint="cs"/>
          <w:rtl/>
        </w:rPr>
        <w:t>رير، وعن التدابير المتاحة لتقليل</w:t>
      </w:r>
      <w:r>
        <w:rPr>
          <w:rFonts w:hint="cs"/>
          <w:rtl/>
        </w:rPr>
        <w:t xml:space="preserve"> الفجوة </w:t>
      </w:r>
      <w:r w:rsidR="007372B6">
        <w:rPr>
          <w:rFonts w:hint="cs"/>
          <w:rtl/>
        </w:rPr>
        <w:t xml:space="preserve">في الأجور </w:t>
      </w:r>
      <w:r>
        <w:rPr>
          <w:rFonts w:hint="cs"/>
          <w:rtl/>
        </w:rPr>
        <w:t xml:space="preserve">بين الرجل والمرأة. ويرجى تقديم معلومات عن نتائج التدابير </w:t>
      </w:r>
      <w:r w:rsidR="007372B6">
        <w:rPr>
          <w:rFonts w:hint="cs"/>
          <w:rtl/>
        </w:rPr>
        <w:t xml:space="preserve">المعمول بها من أجل </w:t>
      </w:r>
      <w:r>
        <w:rPr>
          <w:rFonts w:hint="cs"/>
          <w:rtl/>
        </w:rPr>
        <w:t>حماية خادمات المنازل، المشار إليها في الفقرتين 253 و254 من التقرير، وعن التدابير المحددة المتخذة لمكافحة التمييز في التو</w:t>
      </w:r>
      <w:r w:rsidR="007372B6">
        <w:rPr>
          <w:rFonts w:hint="cs"/>
          <w:rtl/>
        </w:rPr>
        <w:t>ظيف واستحقاقات الضمان الاجتماعي</w:t>
      </w:r>
      <w:r>
        <w:rPr>
          <w:rFonts w:hint="cs"/>
          <w:rtl/>
        </w:rPr>
        <w:t xml:space="preserve"> الذي تواجهه خادمات المنازل من أصل أفريقي (</w:t>
      </w:r>
      <w:r w:rsidRPr="00A70CF6">
        <w:t>CEDAW/C/BRA/7</w:t>
      </w:r>
      <w:r>
        <w:rPr>
          <w:rFonts w:hint="cs"/>
          <w:rtl/>
        </w:rPr>
        <w:t xml:space="preserve">، الفقرة 231). ويرجى إبلاغ اللجنة </w:t>
      </w:r>
      <w:r w:rsidR="007372B6">
        <w:rPr>
          <w:rFonts w:hint="cs"/>
          <w:rtl/>
        </w:rPr>
        <w:t xml:space="preserve">بالخطوات </w:t>
      </w:r>
      <w:r>
        <w:rPr>
          <w:rFonts w:hint="cs"/>
          <w:rtl/>
        </w:rPr>
        <w:t>المتخذة لمعالجة وضع الفتيات اللواتي لا يتجاوز عمرهن 10 سنوات ويعملن خادمات منازل في الدولة الطرف (المرجع نفسه، الفقرة 226).</w:t>
      </w:r>
    </w:p>
    <w:p w:rsidR="00092031" w:rsidRPr="006D7904" w:rsidRDefault="00092031" w:rsidP="00092031">
      <w:pPr>
        <w:pStyle w:val="H1GA"/>
        <w:rPr>
          <w:rFonts w:hint="cs"/>
          <w:rtl/>
          <w:lang w:bidi="ar"/>
        </w:rPr>
      </w:pPr>
      <w:r>
        <w:rPr>
          <w:rtl/>
          <w:lang w:bidi="ar"/>
        </w:rPr>
        <w:tab/>
      </w:r>
      <w:r>
        <w:rPr>
          <w:rFonts w:hint="cs"/>
          <w:rtl/>
          <w:lang w:bidi="ar"/>
        </w:rPr>
        <w:tab/>
      </w:r>
      <w:r w:rsidRPr="006D7904">
        <w:rPr>
          <w:rFonts w:hint="cs"/>
          <w:rtl/>
          <w:lang w:bidi="ar"/>
        </w:rPr>
        <w:t>الصحة</w:t>
      </w:r>
    </w:p>
    <w:p w:rsidR="00092031" w:rsidRDefault="00092031" w:rsidP="007372B6">
      <w:pPr>
        <w:pStyle w:val="SingleTxtGA"/>
        <w:rPr>
          <w:rFonts w:hint="cs"/>
          <w:rtl/>
          <w:lang w:bidi="ar"/>
        </w:rPr>
      </w:pPr>
      <w:r>
        <w:rPr>
          <w:rFonts w:hint="cs"/>
          <w:rtl/>
          <w:lang w:bidi="ar"/>
        </w:rPr>
        <w:t>15-</w:t>
      </w:r>
      <w:r>
        <w:rPr>
          <w:rFonts w:hint="cs"/>
          <w:rtl/>
          <w:lang w:bidi="ar"/>
        </w:rPr>
        <w:tab/>
        <w:t xml:space="preserve">يرجى إبلاغ اللجنة بالتدابير المحددة </w:t>
      </w:r>
      <w:r w:rsidR="007372B6">
        <w:rPr>
          <w:rFonts w:hint="cs"/>
          <w:rtl/>
          <w:lang w:bidi="ar"/>
        </w:rPr>
        <w:t xml:space="preserve">المعمول بها </w:t>
      </w:r>
      <w:r>
        <w:rPr>
          <w:rFonts w:hint="cs"/>
          <w:rtl/>
          <w:lang w:bidi="ar"/>
        </w:rPr>
        <w:t>لمعالجة قضية الإجهاض غير المأمون في الدولة الطرف (</w:t>
      </w:r>
      <w:r>
        <w:t>CEDAW/C/BRA/7</w:t>
      </w:r>
      <w:r>
        <w:rPr>
          <w:rFonts w:hint="cs"/>
          <w:rtl/>
          <w:lang w:bidi="ar"/>
        </w:rPr>
        <w:t xml:space="preserve">، الفقرة 266) والتمييز في حق النساء والمراهقات اللائي يأتين إلى المراكز الصحية وقد شرعن في الإجهاض أو </w:t>
      </w:r>
      <w:r w:rsidR="007372B6">
        <w:rPr>
          <w:rFonts w:hint="cs"/>
          <w:rtl/>
          <w:lang w:bidi="ar"/>
        </w:rPr>
        <w:t>يكّن ضحايا ل</w:t>
      </w:r>
      <w:r>
        <w:rPr>
          <w:rFonts w:hint="cs"/>
          <w:rtl/>
          <w:lang w:bidi="ar"/>
        </w:rPr>
        <w:t>لعنف الناجم عن الأنماط الثقافية المحافظة. ويرجى أيض</w:t>
      </w:r>
      <w:r w:rsidR="006E3E42">
        <w:rPr>
          <w:rFonts w:hint="cs"/>
          <w:rtl/>
          <w:lang w:bidi="ar"/>
        </w:rPr>
        <w:t xml:space="preserve">اً </w:t>
      </w:r>
      <w:r>
        <w:rPr>
          <w:rFonts w:hint="cs"/>
          <w:rtl/>
          <w:lang w:bidi="ar"/>
        </w:rPr>
        <w:t>تقديم آخر ما استجد من معلومات عن</w:t>
      </w:r>
      <w:r w:rsidRPr="00921662">
        <w:rPr>
          <w:rFonts w:hint="cs"/>
          <w:rtl/>
          <w:lang w:bidi="ar"/>
        </w:rPr>
        <w:t xml:space="preserve"> </w:t>
      </w:r>
      <w:r>
        <w:rPr>
          <w:rFonts w:hint="cs"/>
          <w:rtl/>
          <w:lang w:bidi="ar"/>
        </w:rPr>
        <w:t xml:space="preserve">الشكوى من خرق القاعدة الأساسية رقم 54 بشأن </w:t>
      </w:r>
      <w:r w:rsidR="007372B6">
        <w:rPr>
          <w:rFonts w:hint="cs"/>
          <w:rtl/>
          <w:lang w:bidi="ar"/>
        </w:rPr>
        <w:t xml:space="preserve">عدم تجريم </w:t>
      </w:r>
      <w:r>
        <w:rPr>
          <w:rFonts w:hint="cs"/>
          <w:rtl/>
          <w:lang w:bidi="ar"/>
        </w:rPr>
        <w:t xml:space="preserve">الإجهاض في حالات تشوه </w:t>
      </w:r>
      <w:r w:rsidR="007372B6">
        <w:rPr>
          <w:rFonts w:hint="cs"/>
          <w:rtl/>
          <w:lang w:bidi="ar"/>
        </w:rPr>
        <w:t xml:space="preserve">الأجنة </w:t>
      </w:r>
      <w:r>
        <w:rPr>
          <w:rFonts w:hint="cs"/>
          <w:rtl/>
          <w:lang w:bidi="ar"/>
        </w:rPr>
        <w:t>(المرجع نفسه، الفقرة 268).</w:t>
      </w:r>
    </w:p>
    <w:p w:rsidR="00092031" w:rsidRDefault="007372B6" w:rsidP="005F7A4E">
      <w:pPr>
        <w:pStyle w:val="SingleTxtGA"/>
        <w:rPr>
          <w:rFonts w:hint="cs"/>
          <w:rtl/>
          <w:lang w:bidi="ar"/>
        </w:rPr>
      </w:pPr>
      <w:r>
        <w:rPr>
          <w:rFonts w:hint="cs"/>
          <w:rtl/>
          <w:lang w:bidi="ar"/>
        </w:rPr>
        <w:t>16-</w:t>
      </w:r>
      <w:r>
        <w:rPr>
          <w:rFonts w:hint="cs"/>
          <w:rtl/>
          <w:lang w:bidi="ar"/>
        </w:rPr>
        <w:tab/>
      </w:r>
      <w:r w:rsidR="00092031">
        <w:rPr>
          <w:rFonts w:hint="cs"/>
          <w:rtl/>
          <w:lang w:bidi="ar"/>
        </w:rPr>
        <w:t>يرجى تقديم معلومات عن التدابير المحددة المتخذة لمكافحة الزيادة المطردة في إصابة الإناث ب</w:t>
      </w:r>
      <w:r>
        <w:rPr>
          <w:rFonts w:hint="cs"/>
          <w:rtl/>
          <w:lang w:bidi="ar"/>
        </w:rPr>
        <w:t>فيروس نقص المناعة البشري/</w:t>
      </w:r>
      <w:r w:rsidR="005F7A4E">
        <w:rPr>
          <w:rFonts w:hint="cs"/>
          <w:rtl/>
          <w:lang w:bidi="ar"/>
        </w:rPr>
        <w:t>الإيدز</w:t>
      </w:r>
      <w:r w:rsidR="00092031">
        <w:rPr>
          <w:rFonts w:hint="cs"/>
          <w:rtl/>
          <w:lang w:bidi="ar"/>
        </w:rPr>
        <w:t>، لا سيما بين المراهقات و</w:t>
      </w:r>
      <w:r w:rsidR="005F7A4E">
        <w:rPr>
          <w:rFonts w:hint="cs"/>
          <w:rtl/>
          <w:lang w:bidi="ar"/>
        </w:rPr>
        <w:t xml:space="preserve">البالغات </w:t>
      </w:r>
      <w:r w:rsidR="00092031">
        <w:rPr>
          <w:rFonts w:hint="cs"/>
          <w:rtl/>
          <w:lang w:bidi="ar"/>
        </w:rPr>
        <w:t>المتزوجات في الدولة الطرف (</w:t>
      </w:r>
      <w:r w:rsidR="00092031">
        <w:t>CEDAW/C/BRA/7</w:t>
      </w:r>
      <w:r w:rsidR="00092031">
        <w:rPr>
          <w:rFonts w:hint="cs"/>
          <w:rtl/>
          <w:lang w:bidi="ar"/>
        </w:rPr>
        <w:t>، الفقرة 285).</w:t>
      </w:r>
    </w:p>
    <w:p w:rsidR="00092031" w:rsidRDefault="005F7A4E" w:rsidP="005F7A4E">
      <w:pPr>
        <w:pStyle w:val="SingleTxtGA"/>
        <w:rPr>
          <w:rFonts w:hint="cs"/>
          <w:rtl/>
          <w:lang w:bidi="ar"/>
        </w:rPr>
      </w:pPr>
      <w:r>
        <w:rPr>
          <w:rFonts w:hint="cs"/>
          <w:rtl/>
          <w:lang w:bidi="ar"/>
        </w:rPr>
        <w:t>17-</w:t>
      </w:r>
      <w:r>
        <w:rPr>
          <w:rFonts w:hint="cs"/>
          <w:rtl/>
          <w:lang w:bidi="ar"/>
        </w:rPr>
        <w:tab/>
      </w:r>
      <w:r w:rsidR="00092031">
        <w:rPr>
          <w:rFonts w:hint="cs"/>
          <w:rtl/>
          <w:lang w:bidi="ar"/>
        </w:rPr>
        <w:t xml:space="preserve">يرجى تقديم معلومات عن التدابير المزمع اتخاذها </w:t>
      </w:r>
      <w:r>
        <w:rPr>
          <w:rFonts w:hint="cs"/>
          <w:rtl/>
          <w:lang w:bidi="ar"/>
        </w:rPr>
        <w:t xml:space="preserve">لمواجهة </w:t>
      </w:r>
      <w:r w:rsidR="00092031">
        <w:rPr>
          <w:rFonts w:hint="cs"/>
          <w:rtl/>
          <w:lang w:bidi="ar"/>
        </w:rPr>
        <w:t>حالات التعقيم القسري للنساء، خاصة الفقيرات والمنحدرات من أصل أفريقي.</w:t>
      </w:r>
    </w:p>
    <w:p w:rsidR="00092031" w:rsidRPr="00241AAC" w:rsidRDefault="00092031" w:rsidP="00634EF4">
      <w:pPr>
        <w:pStyle w:val="H1GA"/>
        <w:rPr>
          <w:rFonts w:hint="cs"/>
          <w:rtl/>
          <w:lang w:bidi="ar"/>
        </w:rPr>
      </w:pPr>
      <w:r>
        <w:rPr>
          <w:rFonts w:hint="cs"/>
          <w:rtl/>
          <w:lang w:bidi="ar"/>
        </w:rPr>
        <w:tab/>
      </w:r>
      <w:r>
        <w:rPr>
          <w:rFonts w:hint="cs"/>
          <w:rtl/>
          <w:lang w:bidi="ar"/>
        </w:rPr>
        <w:tab/>
      </w:r>
      <w:r w:rsidR="00634EF4">
        <w:rPr>
          <w:rFonts w:hint="cs"/>
          <w:rtl/>
          <w:lang w:bidi="ar"/>
        </w:rPr>
        <w:t>ال</w:t>
      </w:r>
      <w:r w:rsidRPr="00241AAC">
        <w:rPr>
          <w:rFonts w:hint="cs"/>
          <w:rtl/>
          <w:lang w:bidi="ar"/>
        </w:rPr>
        <w:t>فئات المحرومة</w:t>
      </w:r>
      <w:r w:rsidR="00634EF4">
        <w:rPr>
          <w:rFonts w:hint="cs"/>
          <w:rtl/>
          <w:lang w:bidi="ar"/>
        </w:rPr>
        <w:t xml:space="preserve"> من النساء</w:t>
      </w:r>
    </w:p>
    <w:p w:rsidR="00092031" w:rsidRDefault="00092031" w:rsidP="005F7A4E">
      <w:pPr>
        <w:pStyle w:val="SingleTxtGA"/>
        <w:rPr>
          <w:rFonts w:hint="cs"/>
          <w:rtl/>
          <w:lang w:bidi="ar"/>
        </w:rPr>
      </w:pPr>
      <w:r>
        <w:rPr>
          <w:rFonts w:hint="cs"/>
          <w:rtl/>
          <w:lang w:bidi="ar"/>
        </w:rPr>
        <w:t>18-</w:t>
      </w:r>
      <w:r>
        <w:rPr>
          <w:rFonts w:hint="cs"/>
          <w:rtl/>
          <w:lang w:bidi="ar"/>
        </w:rPr>
        <w:tab/>
        <w:t xml:space="preserve">يرجى تقديم </w:t>
      </w:r>
      <w:r w:rsidR="005F7A4E">
        <w:rPr>
          <w:rFonts w:hint="cs"/>
          <w:rtl/>
          <w:lang w:bidi="ar"/>
        </w:rPr>
        <w:t>مزيد من ال</w:t>
      </w:r>
      <w:r>
        <w:rPr>
          <w:rFonts w:hint="cs"/>
          <w:rtl/>
          <w:lang w:bidi="ar"/>
        </w:rPr>
        <w:t>معلومات و</w:t>
      </w:r>
      <w:r w:rsidR="005F7A4E">
        <w:rPr>
          <w:rFonts w:hint="cs"/>
          <w:rtl/>
          <w:lang w:bidi="ar"/>
        </w:rPr>
        <w:t>ال</w:t>
      </w:r>
      <w:r>
        <w:rPr>
          <w:rFonts w:hint="cs"/>
          <w:rtl/>
          <w:lang w:bidi="ar"/>
        </w:rPr>
        <w:t xml:space="preserve">بيانات </w:t>
      </w:r>
      <w:r w:rsidR="005F7A4E">
        <w:rPr>
          <w:rFonts w:hint="cs"/>
          <w:rtl/>
          <w:lang w:bidi="ar"/>
        </w:rPr>
        <w:t>ال</w:t>
      </w:r>
      <w:r>
        <w:rPr>
          <w:rFonts w:hint="cs"/>
          <w:rtl/>
          <w:lang w:bidi="ar"/>
        </w:rPr>
        <w:t xml:space="preserve">مصنفة حسب </w:t>
      </w:r>
      <w:r w:rsidR="005F7A4E">
        <w:rPr>
          <w:rFonts w:hint="cs"/>
          <w:rtl/>
          <w:lang w:bidi="ar"/>
        </w:rPr>
        <w:t xml:space="preserve">نوع </w:t>
      </w:r>
      <w:r>
        <w:rPr>
          <w:rFonts w:hint="cs"/>
          <w:rtl/>
          <w:lang w:bidi="ar"/>
        </w:rPr>
        <w:t xml:space="preserve">الجنس عن التدابير الرامية إلى تحسين سبل انتفاع </w:t>
      </w:r>
      <w:r w:rsidR="005F7A4E">
        <w:rPr>
          <w:rFonts w:hint="cs"/>
          <w:rtl/>
          <w:lang w:bidi="ar"/>
        </w:rPr>
        <w:t xml:space="preserve">الريفيات </w:t>
      </w:r>
      <w:r>
        <w:rPr>
          <w:rFonts w:hint="cs"/>
          <w:rtl/>
          <w:lang w:bidi="ar"/>
        </w:rPr>
        <w:t>بالأرضي وامتلاكها المشار إليها في الفقرة 323 من التقرير. ويرجى أيض</w:t>
      </w:r>
      <w:r w:rsidR="006E3E42">
        <w:rPr>
          <w:rFonts w:hint="cs"/>
          <w:rtl/>
          <w:lang w:bidi="ar"/>
        </w:rPr>
        <w:t xml:space="preserve">اً </w:t>
      </w:r>
      <w:r>
        <w:rPr>
          <w:rFonts w:hint="cs"/>
          <w:rtl/>
          <w:lang w:bidi="ar"/>
        </w:rPr>
        <w:t xml:space="preserve">ذكر الإجراءات الملموسة المتخذة والإنجازات </w:t>
      </w:r>
      <w:r w:rsidR="005F7A4E">
        <w:rPr>
          <w:rFonts w:hint="cs"/>
          <w:rtl/>
          <w:lang w:bidi="ar"/>
        </w:rPr>
        <w:t xml:space="preserve">المتحققة </w:t>
      </w:r>
      <w:r>
        <w:rPr>
          <w:rFonts w:hint="cs"/>
          <w:rtl/>
          <w:lang w:bidi="ar"/>
        </w:rPr>
        <w:t xml:space="preserve">لضمان حصول الريفيات على </w:t>
      </w:r>
      <w:r w:rsidR="005F7A4E">
        <w:rPr>
          <w:rFonts w:hint="cs"/>
          <w:rtl/>
          <w:lang w:bidi="ar"/>
        </w:rPr>
        <w:t>ال</w:t>
      </w:r>
      <w:r>
        <w:rPr>
          <w:rFonts w:hint="cs"/>
          <w:rtl/>
          <w:lang w:bidi="ar"/>
        </w:rPr>
        <w:t xml:space="preserve">تسهيلات </w:t>
      </w:r>
      <w:r w:rsidR="005F7A4E">
        <w:rPr>
          <w:rFonts w:hint="cs"/>
          <w:rtl/>
          <w:lang w:bidi="ar"/>
        </w:rPr>
        <w:t>ال</w:t>
      </w:r>
      <w:r>
        <w:rPr>
          <w:rFonts w:hint="cs"/>
          <w:rtl/>
          <w:lang w:bidi="ar"/>
        </w:rPr>
        <w:t>ائتمانية وتوسيع نطاق الخدمات لتحسين ظروفهن الاجتماعية والاقتصادية. ويرجى أيض</w:t>
      </w:r>
      <w:r w:rsidR="006E3E42">
        <w:rPr>
          <w:rFonts w:hint="cs"/>
          <w:rtl/>
          <w:lang w:bidi="ar"/>
        </w:rPr>
        <w:t xml:space="preserve">اً </w:t>
      </w:r>
      <w:r>
        <w:rPr>
          <w:rFonts w:hint="cs"/>
          <w:rtl/>
          <w:lang w:bidi="ar"/>
        </w:rPr>
        <w:t>تقديم المزيد من المعلومات عن عدد النساء اللواتي استفدن من ائتمان دعم المرأة المشار إليه في الفقرة 332 من التقرير.</w:t>
      </w:r>
    </w:p>
    <w:p w:rsidR="00092031" w:rsidRDefault="005F7A4E" w:rsidP="005F7A4E">
      <w:pPr>
        <w:pStyle w:val="SingleTxtGA"/>
        <w:rPr>
          <w:rFonts w:hint="cs"/>
          <w:rtl/>
          <w:lang w:bidi="ar"/>
        </w:rPr>
      </w:pPr>
      <w:r>
        <w:rPr>
          <w:rFonts w:hint="cs"/>
          <w:rtl/>
          <w:lang w:bidi="ar"/>
        </w:rPr>
        <w:t>19-</w:t>
      </w:r>
      <w:r>
        <w:rPr>
          <w:rFonts w:hint="cs"/>
          <w:rtl/>
          <w:lang w:bidi="ar"/>
        </w:rPr>
        <w:tab/>
      </w:r>
      <w:r w:rsidR="00092031">
        <w:rPr>
          <w:rFonts w:hint="cs"/>
          <w:rtl/>
          <w:lang w:bidi="ar"/>
        </w:rPr>
        <w:t xml:space="preserve">يشير التقرير في الفقرتين 299 و315 إلى مبادرات الرعاية الصحية التي تستهدف فئات </w:t>
      </w:r>
      <w:r>
        <w:rPr>
          <w:rFonts w:hint="cs"/>
          <w:rtl/>
          <w:lang w:bidi="ar"/>
        </w:rPr>
        <w:t>مختلفة من النساء الم</w:t>
      </w:r>
      <w:r w:rsidR="00092031">
        <w:rPr>
          <w:rFonts w:hint="cs"/>
          <w:rtl/>
          <w:lang w:bidi="ar"/>
        </w:rPr>
        <w:t>حرومات، بمن فيهن نساء الشعوب ا</w:t>
      </w:r>
      <w:r>
        <w:rPr>
          <w:rFonts w:hint="cs"/>
          <w:rtl/>
          <w:lang w:bidi="ar"/>
        </w:rPr>
        <w:t>لأصلية والمنحدرات من أصل أفريقي والمعاقات والمسنات</w:t>
      </w:r>
      <w:r w:rsidR="00092031">
        <w:rPr>
          <w:rFonts w:hint="cs"/>
          <w:rtl/>
          <w:lang w:bidi="ar"/>
        </w:rPr>
        <w:t xml:space="preserve"> وال</w:t>
      </w:r>
      <w:r>
        <w:rPr>
          <w:rFonts w:hint="cs"/>
          <w:rtl/>
          <w:lang w:bidi="ar"/>
        </w:rPr>
        <w:t xml:space="preserve">مثليات </w:t>
      </w:r>
      <w:r w:rsidR="00092031">
        <w:rPr>
          <w:rFonts w:hint="cs"/>
          <w:rtl/>
          <w:lang w:bidi="ar"/>
        </w:rPr>
        <w:t>و</w:t>
      </w:r>
      <w:r>
        <w:rPr>
          <w:rFonts w:hint="cs"/>
          <w:rtl/>
          <w:lang w:bidi="ar"/>
        </w:rPr>
        <w:t>ثنائيات الجنس</w:t>
      </w:r>
      <w:r w:rsidR="00092031">
        <w:rPr>
          <w:rFonts w:hint="cs"/>
          <w:rtl/>
          <w:lang w:bidi="ar"/>
        </w:rPr>
        <w:t xml:space="preserve"> ومغايرات الهوية الجنسانية. ويرجى تقديم معلومات عن أي تدابير أخرى </w:t>
      </w:r>
      <w:r>
        <w:rPr>
          <w:rFonts w:hint="cs"/>
          <w:rtl/>
          <w:lang w:bidi="ar"/>
        </w:rPr>
        <w:t xml:space="preserve">معمول بها </w:t>
      </w:r>
      <w:r w:rsidR="00092031">
        <w:rPr>
          <w:rFonts w:hint="cs"/>
          <w:rtl/>
          <w:lang w:bidi="ar"/>
        </w:rPr>
        <w:t>تهدف إلى القضاء على التمييز في حق هذه الفئات من النساء. ويرجى أيض</w:t>
      </w:r>
      <w:r w:rsidR="006E3E42">
        <w:rPr>
          <w:rFonts w:hint="cs"/>
          <w:rtl/>
          <w:lang w:bidi="ar"/>
        </w:rPr>
        <w:t xml:space="preserve">اً </w:t>
      </w:r>
      <w:r w:rsidR="00092031">
        <w:rPr>
          <w:rFonts w:hint="cs"/>
          <w:rtl/>
          <w:lang w:bidi="ar"/>
        </w:rPr>
        <w:t xml:space="preserve">تقديم المزيد من المعلومات عن الخطة الوطنية لتعزيز المواطنة وحقوق الإنسان </w:t>
      </w:r>
      <w:r>
        <w:rPr>
          <w:rFonts w:hint="cs"/>
          <w:rtl/>
          <w:lang w:bidi="ar"/>
        </w:rPr>
        <w:t xml:space="preserve">للمثليات والمثليين وثنائي الجنس </w:t>
      </w:r>
      <w:r w:rsidR="00092031">
        <w:rPr>
          <w:rFonts w:hint="cs"/>
          <w:rtl/>
          <w:lang w:bidi="ar"/>
        </w:rPr>
        <w:t>ومغايري الهوية الجنسانية، المشار إليها في الفقرة 107(ج) من التقرير.</w:t>
      </w:r>
    </w:p>
    <w:p w:rsidR="00092031" w:rsidRPr="00241AAC" w:rsidRDefault="004B207F" w:rsidP="00092031">
      <w:pPr>
        <w:pStyle w:val="H1GA"/>
        <w:rPr>
          <w:rFonts w:hint="cs"/>
          <w:rtl/>
          <w:lang w:bidi="ar"/>
        </w:rPr>
      </w:pPr>
      <w:r>
        <w:rPr>
          <w:rFonts w:hint="cs"/>
          <w:rtl/>
          <w:lang w:bidi="ar"/>
        </w:rPr>
        <w:tab/>
      </w:r>
      <w:r>
        <w:rPr>
          <w:rFonts w:hint="cs"/>
          <w:rtl/>
          <w:lang w:bidi="ar"/>
        </w:rPr>
        <w:tab/>
      </w:r>
      <w:r w:rsidR="00092031" w:rsidRPr="00241AAC">
        <w:rPr>
          <w:rFonts w:hint="cs"/>
          <w:rtl/>
          <w:lang w:bidi="ar"/>
        </w:rPr>
        <w:t>الزواج والعلاقات الأسرية</w:t>
      </w:r>
    </w:p>
    <w:p w:rsidR="00092031" w:rsidRDefault="00092031" w:rsidP="005F7A4E">
      <w:pPr>
        <w:pStyle w:val="SingleTxtGA"/>
        <w:rPr>
          <w:rFonts w:hint="cs"/>
          <w:rtl/>
        </w:rPr>
      </w:pPr>
      <w:r>
        <w:rPr>
          <w:rFonts w:hint="cs"/>
          <w:rtl/>
          <w:lang w:bidi="ar"/>
        </w:rPr>
        <w:t>20-</w:t>
      </w:r>
      <w:r>
        <w:rPr>
          <w:rFonts w:hint="cs"/>
          <w:rtl/>
          <w:lang w:bidi="ar"/>
        </w:rPr>
        <w:tab/>
      </w:r>
      <w:r>
        <w:rPr>
          <w:rFonts w:hint="cs"/>
          <w:rtl/>
        </w:rPr>
        <w:t xml:space="preserve">لم يأت التقرير على ذكر التدابير </w:t>
      </w:r>
      <w:r w:rsidR="005F7A4E">
        <w:rPr>
          <w:rFonts w:hint="cs"/>
          <w:rtl/>
        </w:rPr>
        <w:t xml:space="preserve">المعمول بها </w:t>
      </w:r>
      <w:r>
        <w:rPr>
          <w:rFonts w:hint="cs"/>
          <w:rtl/>
        </w:rPr>
        <w:t xml:space="preserve">للقضاء على التمييز </w:t>
      </w:r>
      <w:r w:rsidR="005F7A4E">
        <w:rPr>
          <w:rFonts w:hint="cs"/>
          <w:rtl/>
        </w:rPr>
        <w:t xml:space="preserve">ضد </w:t>
      </w:r>
      <w:r>
        <w:rPr>
          <w:rFonts w:hint="cs"/>
          <w:rtl/>
        </w:rPr>
        <w:t xml:space="preserve">المرأة في جميع المسائل المتعلقة بالزواج والعلاقات الأسرية. يرجى تقديم معلومات عن </w:t>
      </w:r>
      <w:r w:rsidR="005F7A4E">
        <w:rPr>
          <w:rFonts w:hint="cs"/>
          <w:rtl/>
        </w:rPr>
        <w:t xml:space="preserve">الخطوات </w:t>
      </w:r>
      <w:r>
        <w:rPr>
          <w:rFonts w:hint="cs"/>
          <w:rtl/>
        </w:rPr>
        <w:t xml:space="preserve">التي اتخذتها الدولة الطرف لحماية حقوق النساء في إطار الالتزامات </w:t>
      </w:r>
      <w:r w:rsidR="005F7A4E">
        <w:rPr>
          <w:rFonts w:hint="cs"/>
          <w:rtl/>
        </w:rPr>
        <w:t xml:space="preserve">التي تقضي بها </w:t>
      </w:r>
      <w:r>
        <w:rPr>
          <w:rFonts w:hint="cs"/>
          <w:rtl/>
        </w:rPr>
        <w:t>المادة 16 من الاتفاقية.</w:t>
      </w:r>
    </w:p>
    <w:p w:rsidR="00092031" w:rsidRPr="00335E9A" w:rsidRDefault="00335E9A" w:rsidP="00860588">
      <w:pPr>
        <w:spacing w:line="380" w:lineRule="exact"/>
        <w:jc w:val="center"/>
        <w:rPr>
          <w:rFonts w:hint="cs"/>
          <w:u w:val="single"/>
          <w:rtl/>
        </w:rPr>
      </w:pPr>
      <w:r>
        <w:rPr>
          <w:rFonts w:hint="cs"/>
          <w:u w:val="single"/>
          <w:rtl/>
        </w:rPr>
        <w:tab/>
      </w:r>
      <w:r>
        <w:rPr>
          <w:rFonts w:hint="cs"/>
          <w:u w:val="single"/>
          <w:rtl/>
        </w:rPr>
        <w:tab/>
      </w:r>
      <w:r>
        <w:rPr>
          <w:rFonts w:hint="cs"/>
          <w:u w:val="single"/>
          <w:rtl/>
        </w:rPr>
        <w:tab/>
      </w:r>
    </w:p>
    <w:sectPr w:rsidR="00092031" w:rsidRPr="00335E9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477" w:rsidRPr="00FE6865" w:rsidRDefault="00742477" w:rsidP="00FE6865">
      <w:pPr>
        <w:pStyle w:val="Footer"/>
      </w:pPr>
    </w:p>
  </w:endnote>
  <w:endnote w:type="continuationSeparator" w:id="0">
    <w:p w:rsidR="00742477" w:rsidRDefault="00742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35B" w:rsidRPr="00C1435B" w:rsidRDefault="00C1435B" w:rsidP="00C1435B">
    <w:pPr>
      <w:pStyle w:val="Footer"/>
      <w:tabs>
        <w:tab w:val="right" w:pos="9598"/>
      </w:tabs>
    </w:pPr>
    <w:r>
      <w:t>GE.11-45167</w:t>
    </w:r>
    <w:r>
      <w:tab/>
    </w:r>
    <w:r w:rsidRPr="00C1435B">
      <w:rPr>
        <w:b/>
        <w:sz w:val="18"/>
      </w:rPr>
      <w:fldChar w:fldCharType="begin"/>
    </w:r>
    <w:r w:rsidRPr="00C1435B">
      <w:rPr>
        <w:b/>
        <w:sz w:val="18"/>
      </w:rPr>
      <w:instrText xml:space="preserve"> PAGE  \* MERGEFORMAT </w:instrText>
    </w:r>
    <w:r w:rsidRPr="00C1435B">
      <w:rPr>
        <w:b/>
        <w:sz w:val="18"/>
      </w:rPr>
      <w:fldChar w:fldCharType="separate"/>
    </w:r>
    <w:r w:rsidR="00C00FB7">
      <w:rPr>
        <w:b/>
        <w:noProof/>
        <w:sz w:val="18"/>
      </w:rPr>
      <w:t>4</w:t>
    </w:r>
    <w:r w:rsidRPr="00C1435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35B" w:rsidRPr="00C1435B" w:rsidRDefault="00C1435B" w:rsidP="00C1435B">
    <w:pPr>
      <w:pStyle w:val="Footer"/>
      <w:tabs>
        <w:tab w:val="right" w:pos="9598"/>
      </w:tabs>
      <w:rPr>
        <w:b/>
        <w:sz w:val="18"/>
      </w:rPr>
    </w:pPr>
    <w:r w:rsidRPr="00C1435B">
      <w:rPr>
        <w:b/>
        <w:sz w:val="18"/>
      </w:rPr>
      <w:fldChar w:fldCharType="begin"/>
    </w:r>
    <w:r w:rsidRPr="00C1435B">
      <w:rPr>
        <w:b/>
        <w:sz w:val="18"/>
      </w:rPr>
      <w:instrText xml:space="preserve"> PAGE  \* MERGEFORMAT </w:instrText>
    </w:r>
    <w:r w:rsidRPr="00C1435B">
      <w:rPr>
        <w:b/>
        <w:sz w:val="18"/>
      </w:rPr>
      <w:fldChar w:fldCharType="separate"/>
    </w:r>
    <w:r w:rsidR="00C00FB7">
      <w:rPr>
        <w:b/>
        <w:noProof/>
        <w:sz w:val="18"/>
      </w:rPr>
      <w:t>5</w:t>
    </w:r>
    <w:r w:rsidRPr="00C1435B">
      <w:rPr>
        <w:b/>
        <w:sz w:val="18"/>
      </w:rPr>
      <w:fldChar w:fldCharType="end"/>
    </w:r>
    <w:r>
      <w:rPr>
        <w:b/>
        <w:sz w:val="18"/>
      </w:rPr>
      <w:tab/>
    </w:r>
    <w:r>
      <w:t>GE.11-45167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C79" w:rsidRDefault="00C1435B" w:rsidP="00C1435B">
    <w:pPr>
      <w:pStyle w:val="Footer"/>
      <w:jc w:val="right"/>
    </w:pPr>
    <w:r>
      <w:rPr>
        <w:sz w:val="20"/>
      </w:rPr>
      <w:t>(A)   GE.11-45167</w:t>
    </w:r>
    <w:r w:rsidR="005D3C7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E6693">
      <w:rPr>
        <w:sz w:val="20"/>
      </w:rPr>
      <w:t xml:space="preserve">    230911    230911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477" w:rsidRDefault="00742477" w:rsidP="00834FF4">
      <w:pPr>
        <w:pStyle w:val="Footer"/>
        <w:bidi/>
        <w:spacing w:after="80" w:line="200" w:lineRule="exact"/>
        <w:ind w:left="680"/>
      </w:pPr>
      <w:r>
        <w:rPr>
          <w:rFonts w:hint="cs"/>
          <w:rtl/>
        </w:rPr>
        <w:t>__________</w:t>
      </w:r>
    </w:p>
  </w:footnote>
  <w:footnote w:type="continuationSeparator" w:id="0">
    <w:p w:rsidR="00742477" w:rsidRDefault="00742477"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35B" w:rsidRPr="00C1435B" w:rsidRDefault="00C1435B" w:rsidP="00C1435B">
    <w:pPr>
      <w:pStyle w:val="Header"/>
      <w:jc w:val="right"/>
    </w:pPr>
    <w:r w:rsidRPr="00C1435B">
      <w:t>CEDAW/C/BRA/Q/7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C79" w:rsidRPr="00C1435B" w:rsidRDefault="00C1435B" w:rsidP="00C1435B">
    <w:pPr>
      <w:pStyle w:val="Header"/>
      <w:jc w:val="left"/>
    </w:pPr>
    <w:r w:rsidRPr="00C1435B">
      <w:t>CEDAW/C/BRA/Q/7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C79" w:rsidRDefault="005D3C7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5D3C79" w:rsidRPr="00460CB7" w:rsidRDefault="005D3C79"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3C79"/>
    <w:rsid w:val="00012C2B"/>
    <w:rsid w:val="00040E25"/>
    <w:rsid w:val="00042149"/>
    <w:rsid w:val="000448E5"/>
    <w:rsid w:val="000648EA"/>
    <w:rsid w:val="00092031"/>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7CCA"/>
    <w:rsid w:val="00217A0B"/>
    <w:rsid w:val="002225D3"/>
    <w:rsid w:val="002244FB"/>
    <w:rsid w:val="00232277"/>
    <w:rsid w:val="0023736D"/>
    <w:rsid w:val="00257225"/>
    <w:rsid w:val="00310160"/>
    <w:rsid w:val="00335E9A"/>
    <w:rsid w:val="00341A8C"/>
    <w:rsid w:val="003519E6"/>
    <w:rsid w:val="003B4356"/>
    <w:rsid w:val="003F08A8"/>
    <w:rsid w:val="004250E3"/>
    <w:rsid w:val="00460CB7"/>
    <w:rsid w:val="00472A81"/>
    <w:rsid w:val="004A20A6"/>
    <w:rsid w:val="004B207F"/>
    <w:rsid w:val="004B2C92"/>
    <w:rsid w:val="004D6A3A"/>
    <w:rsid w:val="004E6693"/>
    <w:rsid w:val="004F4AD7"/>
    <w:rsid w:val="00557CD3"/>
    <w:rsid w:val="00571432"/>
    <w:rsid w:val="005732A2"/>
    <w:rsid w:val="005762A5"/>
    <w:rsid w:val="00590BA3"/>
    <w:rsid w:val="005B46D9"/>
    <w:rsid w:val="005B7AE0"/>
    <w:rsid w:val="005D3C79"/>
    <w:rsid w:val="005F146F"/>
    <w:rsid w:val="005F71B6"/>
    <w:rsid w:val="005F7A4E"/>
    <w:rsid w:val="00634EF4"/>
    <w:rsid w:val="00654786"/>
    <w:rsid w:val="00660FD4"/>
    <w:rsid w:val="00685C7D"/>
    <w:rsid w:val="006A4425"/>
    <w:rsid w:val="006B00A4"/>
    <w:rsid w:val="006B4669"/>
    <w:rsid w:val="006D0F33"/>
    <w:rsid w:val="006E3E42"/>
    <w:rsid w:val="006F6BF8"/>
    <w:rsid w:val="00707BDF"/>
    <w:rsid w:val="00710727"/>
    <w:rsid w:val="00715F45"/>
    <w:rsid w:val="00731815"/>
    <w:rsid w:val="00731B84"/>
    <w:rsid w:val="00734AE7"/>
    <w:rsid w:val="007372B6"/>
    <w:rsid w:val="00742477"/>
    <w:rsid w:val="0079344E"/>
    <w:rsid w:val="007C3A52"/>
    <w:rsid w:val="007E197F"/>
    <w:rsid w:val="007F68C4"/>
    <w:rsid w:val="0081031D"/>
    <w:rsid w:val="008153DE"/>
    <w:rsid w:val="00820C9B"/>
    <w:rsid w:val="00834FF4"/>
    <w:rsid w:val="00852A10"/>
    <w:rsid w:val="00860588"/>
    <w:rsid w:val="00862634"/>
    <w:rsid w:val="00866C59"/>
    <w:rsid w:val="00877306"/>
    <w:rsid w:val="008A160E"/>
    <w:rsid w:val="008A6242"/>
    <w:rsid w:val="008A77AA"/>
    <w:rsid w:val="008B4BC6"/>
    <w:rsid w:val="00901E57"/>
    <w:rsid w:val="009070DF"/>
    <w:rsid w:val="00922026"/>
    <w:rsid w:val="00935F0E"/>
    <w:rsid w:val="0095208F"/>
    <w:rsid w:val="00970AC5"/>
    <w:rsid w:val="00977B3F"/>
    <w:rsid w:val="009814AE"/>
    <w:rsid w:val="009901D3"/>
    <w:rsid w:val="00996BBE"/>
    <w:rsid w:val="00997BB4"/>
    <w:rsid w:val="009B2C03"/>
    <w:rsid w:val="009D1DD5"/>
    <w:rsid w:val="009E09DD"/>
    <w:rsid w:val="009F722C"/>
    <w:rsid w:val="00A00A06"/>
    <w:rsid w:val="00A26157"/>
    <w:rsid w:val="00A265C3"/>
    <w:rsid w:val="00A43F9A"/>
    <w:rsid w:val="00A53F38"/>
    <w:rsid w:val="00A543D4"/>
    <w:rsid w:val="00AA3AF0"/>
    <w:rsid w:val="00AD0014"/>
    <w:rsid w:val="00AD4CF2"/>
    <w:rsid w:val="00AF0BBA"/>
    <w:rsid w:val="00B25BBD"/>
    <w:rsid w:val="00B30468"/>
    <w:rsid w:val="00B44E31"/>
    <w:rsid w:val="00BA4F7E"/>
    <w:rsid w:val="00BB2C41"/>
    <w:rsid w:val="00BC55C8"/>
    <w:rsid w:val="00BC5C10"/>
    <w:rsid w:val="00BE2964"/>
    <w:rsid w:val="00C00FB7"/>
    <w:rsid w:val="00C1435B"/>
    <w:rsid w:val="00C21623"/>
    <w:rsid w:val="00C24FBD"/>
    <w:rsid w:val="00C473BA"/>
    <w:rsid w:val="00C611ED"/>
    <w:rsid w:val="00C6490A"/>
    <w:rsid w:val="00C64FE1"/>
    <w:rsid w:val="00C708CD"/>
    <w:rsid w:val="00C74296"/>
    <w:rsid w:val="00C8035E"/>
    <w:rsid w:val="00C8345E"/>
    <w:rsid w:val="00CA5F7C"/>
    <w:rsid w:val="00D47BBA"/>
    <w:rsid w:val="00D51067"/>
    <w:rsid w:val="00D75657"/>
    <w:rsid w:val="00D960AD"/>
    <w:rsid w:val="00DA0E0E"/>
    <w:rsid w:val="00DB0C39"/>
    <w:rsid w:val="00DB6C86"/>
    <w:rsid w:val="00DB7679"/>
    <w:rsid w:val="00DE74F5"/>
    <w:rsid w:val="00DF1702"/>
    <w:rsid w:val="00DF4DD8"/>
    <w:rsid w:val="00DF668E"/>
    <w:rsid w:val="00E04826"/>
    <w:rsid w:val="00E06D0F"/>
    <w:rsid w:val="00E14D2B"/>
    <w:rsid w:val="00E20DBA"/>
    <w:rsid w:val="00E6524A"/>
    <w:rsid w:val="00E660D6"/>
    <w:rsid w:val="00E771AB"/>
    <w:rsid w:val="00EA796F"/>
    <w:rsid w:val="00EB077B"/>
    <w:rsid w:val="00EC50B9"/>
    <w:rsid w:val="00ED26A0"/>
    <w:rsid w:val="00F1727A"/>
    <w:rsid w:val="00F34764"/>
    <w:rsid w:val="00F54E3C"/>
    <w:rsid w:val="00F62DBB"/>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Normal"/>
    <w:rsid w:val="00C1435B"/>
    <w:pPr>
      <w:keepNext/>
      <w:keepLines/>
      <w:suppressAutoHyphens/>
      <w:spacing w:line="400" w:lineRule="exact"/>
      <w:outlineLvl w:val="0"/>
    </w:pPr>
    <w:rPr>
      <w:b/>
      <w:bCs/>
      <w:w w:val="103"/>
      <w:kern w:val="14"/>
      <w:sz w:val="2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1382</Words>
  <Characters>7879</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CEDAW/C/BRA/Q/7</vt:lpstr>
    </vt:vector>
  </TitlesOfParts>
  <Company>CSD</Company>
  <LinksUpToDate>false</LinksUpToDate>
  <CharactersWithSpaces>9243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CEDAW/C/BRA/Q/7</dc:title>
  <dc:subject>GHANNAMI</dc:subject>
  <dc:creator>Gamal</dc:creator>
  <cp:keywords/>
  <dc:description>حموده</dc:description>
  <cp:lastModifiedBy>Gamal</cp:lastModifiedBy>
  <cp:revision>2</cp:revision>
  <cp:lastPrinted>2011-09-23T13:17:00Z</cp:lastPrinted>
  <dcterms:created xsi:type="dcterms:W3CDTF">2011-09-23T13:17:00Z</dcterms:created>
  <dcterms:modified xsi:type="dcterms:W3CDTF">2011-09-23T13:17:00Z</dcterms:modified>
</cp:coreProperties>
</file>