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04B" w:rsidRPr="005C4B45" w:rsidRDefault="00E7104B" w:rsidP="00E7104B">
      <w:pPr>
        <w:spacing w:line="240" w:lineRule="auto"/>
        <w:rPr>
          <w:sz w:val="6"/>
        </w:rPr>
        <w:sectPr w:rsidR="00E7104B" w:rsidRPr="005C4B45" w:rsidSect="005C4B4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5C4B45">
        <w:rPr>
          <w:rStyle w:val="CommentReference"/>
          <w:szCs w:val="20"/>
        </w:rPr>
        <w:commentReference w:id="0"/>
      </w:r>
    </w:p>
    <w:p w:rsidR="005C4B45" w:rsidRPr="005C4B45" w:rsidRDefault="005C4B45" w:rsidP="005C4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C4B45">
        <w:lastRenderedPageBreak/>
        <w:t>Comité para la Eliminación de la Discriminación</w:t>
      </w:r>
    </w:p>
    <w:p w:rsidR="005C4B45" w:rsidRDefault="005C4B45" w:rsidP="005C4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C4B45">
        <w:t>contra la Mujer</w:t>
      </w:r>
    </w:p>
    <w:p w:rsidR="005C4B45" w:rsidRP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t>67º período de sesiones</w:t>
      </w:r>
    </w:p>
    <w:p w:rsidR="005C4B45" w:rsidRPr="005C4B45" w:rsidRDefault="005C4B45" w:rsidP="005C4B45">
      <w:r w:rsidRPr="005C4B45">
        <w:t>3 a 21 de julio de 2017</w:t>
      </w:r>
    </w:p>
    <w:p w:rsidR="005C4B45" w:rsidRPr="005C4B45" w:rsidRDefault="005C4B45" w:rsidP="005C4B45">
      <w:r w:rsidRPr="005C4B45">
        <w:t>Tema 2 del programa prov</w:t>
      </w:r>
      <w:bookmarkStart w:id="1" w:name="_GoBack"/>
      <w:bookmarkEnd w:id="1"/>
      <w:r w:rsidRPr="005C4B45">
        <w:t>isional</w:t>
      </w:r>
    </w:p>
    <w:p w:rsidR="005C4B45" w:rsidRP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t>Aprobación del programa y organización de los trabajos</w:t>
      </w:r>
    </w:p>
    <w:p w:rsidR="005C4B45" w:rsidRPr="005C4B45" w:rsidRDefault="005C4B45" w:rsidP="005C4B45">
      <w:pPr>
        <w:pStyle w:val="SingleTxt"/>
        <w:spacing w:after="0" w:line="120" w:lineRule="exact"/>
        <w:rPr>
          <w:b/>
          <w:sz w:val="10"/>
        </w:rPr>
      </w:pPr>
    </w:p>
    <w:p w:rsidR="005C4B45" w:rsidRPr="005C4B45" w:rsidRDefault="005C4B45" w:rsidP="005C4B45">
      <w:pPr>
        <w:pStyle w:val="SingleTxt"/>
        <w:spacing w:after="0" w:line="120" w:lineRule="exact"/>
        <w:rPr>
          <w:b/>
          <w:sz w:val="10"/>
        </w:rPr>
      </w:pPr>
    </w:p>
    <w:p w:rsidR="005C4B45" w:rsidRPr="005C4B45" w:rsidRDefault="005C4B45" w:rsidP="005C4B45">
      <w:pPr>
        <w:pStyle w:val="SingleTxt"/>
        <w:spacing w:after="0" w:line="120" w:lineRule="exact"/>
        <w:rPr>
          <w:b/>
          <w:sz w:val="10"/>
        </w:rPr>
      </w:pPr>
    </w:p>
    <w:p w:rsidR="005C4B45" w:rsidRDefault="005C4B45" w:rsidP="005C4B45">
      <w:pPr>
        <w:pStyle w:val="TitleHCH"/>
        <w:spacing w:line="300" w:lineRule="atLeast"/>
        <w:ind w:right="1260"/>
      </w:pPr>
      <w:r>
        <w:tab/>
      </w:r>
      <w:r>
        <w:tab/>
      </w:r>
      <w:r w:rsidRPr="005C4B45">
        <w:t xml:space="preserve">Programa provisional anotado </w:t>
      </w:r>
    </w:p>
    <w:p w:rsidR="005C4B45" w:rsidRPr="005C4B45" w:rsidRDefault="005C4B45" w:rsidP="005C4B45">
      <w:pPr>
        <w:pStyle w:val="SingleTxt"/>
        <w:spacing w:after="0" w:line="120" w:lineRule="exact"/>
        <w:rPr>
          <w:sz w:val="10"/>
        </w:rPr>
      </w:pPr>
    </w:p>
    <w:p w:rsidR="005C4B45" w:rsidRPr="005C4B45" w:rsidRDefault="005C4B45" w:rsidP="005C4B45">
      <w:pPr>
        <w:pStyle w:val="SingleTxt"/>
        <w:spacing w:after="0" w:line="120" w:lineRule="exact"/>
        <w:rPr>
          <w:sz w:val="10"/>
        </w:rPr>
      </w:pPr>
    </w:p>
    <w:p w:rsidR="005C4B45" w:rsidRDefault="005C4B45" w:rsidP="005C4B45">
      <w:pPr>
        <w:pStyle w:val="TitleH1"/>
        <w:spacing w:line="270" w:lineRule="atLeast"/>
        <w:ind w:right="1260"/>
      </w:pPr>
      <w:r>
        <w:tab/>
      </w:r>
      <w:r>
        <w:tab/>
      </w:r>
      <w:r w:rsidRPr="005C4B45">
        <w:t>Programa provisional</w:t>
      </w:r>
    </w:p>
    <w:p w:rsidR="005C4B45" w:rsidRPr="005C4B45" w:rsidRDefault="005C4B45" w:rsidP="005C4B45">
      <w:pPr>
        <w:pStyle w:val="SingleTxt"/>
        <w:spacing w:after="0" w:line="120" w:lineRule="exact"/>
        <w:rPr>
          <w:sz w:val="10"/>
        </w:rPr>
      </w:pPr>
    </w:p>
    <w:p w:rsidR="005C4B45" w:rsidRPr="005C4B45" w:rsidRDefault="005C4B45" w:rsidP="005C4B45">
      <w:pPr>
        <w:pStyle w:val="SingleTxt"/>
        <w:spacing w:after="0" w:line="120" w:lineRule="exact"/>
        <w:rPr>
          <w:sz w:val="10"/>
        </w:rPr>
      </w:pPr>
    </w:p>
    <w:p w:rsidR="005C4B45" w:rsidRPr="005C4B45" w:rsidRDefault="005C4B45" w:rsidP="005C4B45">
      <w:pPr>
        <w:pStyle w:val="SingleTxt"/>
        <w:ind w:left="1742" w:hanging="475"/>
        <w:jc w:val="left"/>
      </w:pPr>
      <w:r w:rsidRPr="005C4B45">
        <w:t>1.</w:t>
      </w:r>
      <w:r w:rsidRPr="005C4B45">
        <w:tab/>
        <w:t>Apertura del período de sesiones.</w:t>
      </w:r>
    </w:p>
    <w:p w:rsidR="005C4B45" w:rsidRPr="005C4B45" w:rsidRDefault="005C4B45" w:rsidP="005C4B45">
      <w:pPr>
        <w:pStyle w:val="SingleTxt"/>
        <w:ind w:left="1742" w:hanging="475"/>
        <w:jc w:val="left"/>
      </w:pPr>
      <w:r w:rsidRPr="005C4B45">
        <w:t>2.</w:t>
      </w:r>
      <w:r w:rsidRPr="005C4B45">
        <w:tab/>
        <w:t>Aprobación del programa y organización de los trabajos.</w:t>
      </w:r>
    </w:p>
    <w:p w:rsidR="005C4B45" w:rsidRPr="005C4B45" w:rsidRDefault="005C4B45" w:rsidP="005C4B45">
      <w:pPr>
        <w:pStyle w:val="SingleTxt"/>
        <w:ind w:left="1742" w:right="1380" w:hanging="475"/>
        <w:jc w:val="left"/>
      </w:pPr>
      <w:r w:rsidRPr="005C4B45">
        <w:t>3.</w:t>
      </w:r>
      <w:r w:rsidRPr="005C4B45">
        <w:tab/>
        <w:t>Informe de la Presidenta sobre las actividades realizadas entre los períodos de sesiones 66º y 67º del Comité.</w:t>
      </w:r>
    </w:p>
    <w:p w:rsidR="005C4B45" w:rsidRPr="005C4B45" w:rsidRDefault="005C4B45" w:rsidP="005C4B45">
      <w:pPr>
        <w:pStyle w:val="SingleTxt"/>
        <w:ind w:left="1742" w:hanging="475"/>
        <w:jc w:val="left"/>
      </w:pPr>
      <w:r w:rsidRPr="005C4B45">
        <w:t>4.</w:t>
      </w:r>
      <w:r>
        <w:tab/>
      </w:r>
      <w:r w:rsidRPr="005C4B45">
        <w:t>Examen de los informes presentados por los Estados partes en virtud del artículo 18 de la Convención para la Eliminación de Todas las Formas de Discriminación contra la Mujer.</w:t>
      </w:r>
    </w:p>
    <w:p w:rsidR="005C4B45" w:rsidRPr="005C4B45" w:rsidRDefault="005C4B45" w:rsidP="005C4B45">
      <w:pPr>
        <w:pStyle w:val="SingleTxt"/>
        <w:ind w:left="1742" w:right="1470" w:hanging="475"/>
        <w:jc w:val="left"/>
      </w:pPr>
      <w:r w:rsidRPr="005C4B45">
        <w:t>5.</w:t>
      </w:r>
      <w:r w:rsidRPr="005C4B45">
        <w:tab/>
        <w:t>Seguimiento del examen de los informes presentados por los Estados partes en virtud del artículo 18 de la Convención.</w:t>
      </w:r>
    </w:p>
    <w:p w:rsidR="005C4B45" w:rsidRPr="005C4B45" w:rsidRDefault="005C4B45" w:rsidP="005C4B45">
      <w:pPr>
        <w:pStyle w:val="SingleTxt"/>
        <w:ind w:left="1742" w:hanging="475"/>
        <w:jc w:val="left"/>
      </w:pPr>
      <w:r w:rsidRPr="005C4B45">
        <w:t>6.</w:t>
      </w:r>
      <w:r w:rsidRPr="005C4B45">
        <w:tab/>
        <w:t>Aplicación de los artículos 21 y 22 de la Convención.</w:t>
      </w:r>
    </w:p>
    <w:p w:rsidR="005C4B45" w:rsidRPr="005C4B45" w:rsidRDefault="005C4B45" w:rsidP="005C4B45">
      <w:pPr>
        <w:pStyle w:val="SingleTxt"/>
        <w:ind w:left="1742" w:hanging="475"/>
        <w:jc w:val="left"/>
      </w:pPr>
      <w:r w:rsidRPr="005C4B45">
        <w:t>7.</w:t>
      </w:r>
      <w:r w:rsidRPr="005C4B45">
        <w:tab/>
        <w:t>Medios de agilizar los trabajos del Comité.</w:t>
      </w:r>
    </w:p>
    <w:p w:rsidR="005C4B45" w:rsidRPr="005C4B45" w:rsidRDefault="005C4B45" w:rsidP="005C4B45">
      <w:pPr>
        <w:pStyle w:val="SingleTxt"/>
        <w:ind w:left="1742" w:hanging="475"/>
        <w:jc w:val="left"/>
      </w:pPr>
      <w:r w:rsidRPr="005C4B45">
        <w:t>8.</w:t>
      </w:r>
      <w:r w:rsidRPr="005C4B45">
        <w:tab/>
        <w:t>Actividades del Comité en relación con el Protocolo Facultativo de la Convención.</w:t>
      </w:r>
    </w:p>
    <w:p w:rsidR="005C4B45" w:rsidRPr="005C4B45" w:rsidRDefault="005C4B45" w:rsidP="005C4B45">
      <w:pPr>
        <w:pStyle w:val="SingleTxt"/>
        <w:ind w:left="1742" w:hanging="475"/>
        <w:jc w:val="left"/>
      </w:pPr>
      <w:r w:rsidRPr="005C4B45">
        <w:t>9.</w:t>
      </w:r>
      <w:r w:rsidRPr="005C4B45">
        <w:tab/>
        <w:t>Programa provisional del 68º período de sesiones del Comité.</w:t>
      </w:r>
    </w:p>
    <w:p w:rsidR="005C4B45" w:rsidRPr="005C4B45" w:rsidRDefault="005C4B45" w:rsidP="005C4B45">
      <w:pPr>
        <w:pStyle w:val="SingleTxt"/>
        <w:ind w:left="1742" w:hanging="475"/>
        <w:jc w:val="left"/>
      </w:pPr>
      <w:r w:rsidRPr="005C4B45">
        <w:t>10.</w:t>
      </w:r>
      <w:r w:rsidRPr="005C4B45">
        <w:tab/>
        <w:t>Aprobación del informe del Comité sobre su 67° período de sesiones.</w:t>
      </w:r>
    </w:p>
    <w:p w:rsidR="005C4B45" w:rsidRPr="005C4B45" w:rsidRDefault="005C4B45" w:rsidP="005C4B45">
      <w:pPr>
        <w:pStyle w:val="SingleTxt"/>
        <w:spacing w:after="0" w:line="120" w:lineRule="exact"/>
        <w:rPr>
          <w:b/>
          <w:sz w:val="10"/>
        </w:rPr>
      </w:pPr>
    </w:p>
    <w:p w:rsidR="005C4B45" w:rsidRPr="005C4B45" w:rsidRDefault="005C4B45" w:rsidP="005C4B45">
      <w:pPr>
        <w:pStyle w:val="SingleTxt"/>
        <w:spacing w:after="0" w:line="120" w:lineRule="exact"/>
        <w:rPr>
          <w:b/>
          <w:sz w:val="10"/>
        </w:rPr>
      </w:pPr>
    </w:p>
    <w:p w:rsidR="005C4B45" w:rsidRDefault="005C4B45" w:rsidP="005C4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r>
      <w:r w:rsidRPr="005C4B45">
        <w:t>Anotaciones</w:t>
      </w:r>
    </w:p>
    <w:p w:rsidR="005C4B45" w:rsidRPr="005C4B45" w:rsidRDefault="005C4B45" w:rsidP="005C4B45">
      <w:pPr>
        <w:pStyle w:val="SingleTxt"/>
        <w:spacing w:after="0" w:line="120" w:lineRule="exact"/>
        <w:rPr>
          <w:sz w:val="10"/>
        </w:rPr>
      </w:pP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t>1.</w:t>
      </w:r>
      <w:r>
        <w:tab/>
      </w:r>
      <w:r w:rsidRPr="005C4B45">
        <w:t>Apertura del período de sesiones</w:t>
      </w:r>
    </w:p>
    <w:p w:rsidR="005C4B45" w:rsidRPr="005C4B45" w:rsidRDefault="005C4B45" w:rsidP="005C4B45">
      <w:pPr>
        <w:pStyle w:val="SingleTxt"/>
        <w:spacing w:after="0" w:line="120" w:lineRule="exact"/>
        <w:rPr>
          <w:sz w:val="10"/>
        </w:rPr>
      </w:pPr>
    </w:p>
    <w:p w:rsidR="005C4B45" w:rsidRPr="005C4B45" w:rsidRDefault="00F47CEA" w:rsidP="005C4B45">
      <w:pPr>
        <w:pStyle w:val="SingleTxt"/>
      </w:pPr>
      <w:r>
        <w:tab/>
      </w:r>
      <w:r w:rsidR="005C4B45" w:rsidRPr="005C4B45">
        <w:t>La Presidenta del Comité para la Eliminación de la Discriminación contra la Mujer inaugurará el 67º período de sesiones del Comité para la Eliminación de la Discriminación contra la Mujer.</w:t>
      </w: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lastRenderedPageBreak/>
        <w:tab/>
        <w:t>2.</w:t>
      </w:r>
      <w:r>
        <w:tab/>
      </w:r>
      <w:r w:rsidRPr="005C4B45">
        <w:t>Aprobación del programa y organización de los trabajos</w:t>
      </w:r>
    </w:p>
    <w:p w:rsidR="005C4B45" w:rsidRPr="005C4B45" w:rsidRDefault="005C4B45" w:rsidP="005C4B45">
      <w:pPr>
        <w:pStyle w:val="SingleTxt"/>
        <w:spacing w:after="0" w:line="120" w:lineRule="exact"/>
        <w:rPr>
          <w:sz w:val="10"/>
        </w:rPr>
      </w:pPr>
    </w:p>
    <w:p w:rsidR="005C4B45" w:rsidRPr="005C4B45" w:rsidRDefault="00F47CEA" w:rsidP="005C4B45">
      <w:pPr>
        <w:pStyle w:val="SingleTxt"/>
      </w:pPr>
      <w:r>
        <w:tab/>
      </w:r>
      <w:r w:rsidR="005C4B45" w:rsidRPr="005C4B45">
        <w:t xml:space="preserve">En virtud del artículo 9 del Reglamento, la aprobación del programa será el primer </w:t>
      </w:r>
      <w:r w:rsidR="005C4B45" w:rsidRPr="005C4B45">
        <w:rPr>
          <w:spacing w:val="2"/>
        </w:rPr>
        <w:t>tema sustantivo del programa provisional de cada período de sesiones. En el artículo 7</w:t>
      </w:r>
      <w:r w:rsidR="005C4B45" w:rsidRPr="005C4B45">
        <w:t xml:space="preserve"> se establece que el Secretario General, en consulta con la Presidencia del Comité, preparará el programa provisional de cada período de sesiones de conformidad con las disposiciones pertinentes de los artículos 17 a 22 de la Convención.</w:t>
      </w:r>
    </w:p>
    <w:p w:rsidR="005C4B45" w:rsidRPr="005C4B45" w:rsidRDefault="00F47CEA" w:rsidP="005C4B45">
      <w:pPr>
        <w:pStyle w:val="SingleTxt"/>
      </w:pPr>
      <w:r>
        <w:tab/>
      </w:r>
      <w:r w:rsidR="005C4B45" w:rsidRPr="005C4B45">
        <w:t>En su 66º período de sesiones, el Comité aprobó el programa provisional de su 67º período de sesiones.</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730" w:hanging="1267"/>
      </w:pPr>
      <w:r>
        <w:tab/>
      </w:r>
      <w:r w:rsidR="00F47CEA">
        <w:t>3.</w:t>
      </w:r>
      <w:r>
        <w:tab/>
      </w:r>
      <w:r w:rsidRPr="005C4B45">
        <w:t>Informe de la Presidenta sobre las actividades realizadas entre los períodos de sesiones 66º y 67º del Comité</w:t>
      </w:r>
    </w:p>
    <w:p w:rsidR="005C4B45" w:rsidRPr="005C4B45" w:rsidRDefault="005C4B45" w:rsidP="005C4B45">
      <w:pPr>
        <w:pStyle w:val="SingleTxt"/>
        <w:spacing w:after="0" w:line="120" w:lineRule="exact"/>
        <w:rPr>
          <w:sz w:val="10"/>
        </w:rPr>
      </w:pPr>
    </w:p>
    <w:p w:rsidR="005C4B45" w:rsidRPr="005C4B45" w:rsidRDefault="005C4B45" w:rsidP="005C4B45">
      <w:pPr>
        <w:pStyle w:val="SingleTxt"/>
      </w:pPr>
      <w:r w:rsidRPr="005C4B45">
        <w:t>La Presidenta informará al Comité sobre las actividades y los acontecimientos relacionados con la labor del Comité que hayan ocurrido desde el período de sesiones anterior.</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tab/>
      </w:r>
      <w:r w:rsidRPr="005C4B45">
        <w:tab/>
        <w:t>Documentación</w:t>
      </w:r>
    </w:p>
    <w:p w:rsidR="005C4B45" w:rsidRPr="005C4B45" w:rsidRDefault="005C4B45" w:rsidP="005C4B45">
      <w:pPr>
        <w:pStyle w:val="SingleTxt"/>
        <w:spacing w:after="0" w:line="120" w:lineRule="exact"/>
        <w:rPr>
          <w:sz w:val="10"/>
        </w:rPr>
      </w:pPr>
    </w:p>
    <w:p w:rsidR="005C4B45" w:rsidRPr="005C4B45" w:rsidRDefault="005C4B45" w:rsidP="005C4B45">
      <w:pPr>
        <w:pStyle w:val="SingleTxt"/>
      </w:pPr>
      <w:r w:rsidRPr="005C4B45">
        <w:t>Programa provisional anotado (</w:t>
      </w:r>
      <w:hyperlink r:id="rId15" w:history="1">
        <w:r w:rsidRPr="005C4B45">
          <w:rPr>
            <w:rStyle w:val="Hyperlink"/>
          </w:rPr>
          <w:t>CEDAW/C/67/1</w:t>
        </w:r>
      </w:hyperlink>
      <w:r w:rsidRPr="005C4B45">
        <w:t>)</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190" w:hanging="1267"/>
      </w:pPr>
      <w:r>
        <w:tab/>
        <w:t>4.</w:t>
      </w:r>
      <w:r>
        <w:tab/>
      </w:r>
      <w:r w:rsidRPr="005C4B45">
        <w:t>Examen de los informes presentados por los Estados partes en virtud del artículo 18 de la Convención para la Eliminación de Todas las Formas de Discriminación contra la Mujer</w:t>
      </w:r>
    </w:p>
    <w:p w:rsidR="005C4B45" w:rsidRPr="005C4B45" w:rsidRDefault="005C4B45" w:rsidP="005C4B45">
      <w:pPr>
        <w:pStyle w:val="SingleTxt"/>
        <w:spacing w:after="0" w:line="120" w:lineRule="exact"/>
        <w:rPr>
          <w:sz w:val="10"/>
        </w:rPr>
      </w:pPr>
    </w:p>
    <w:p w:rsidR="005C4B45" w:rsidRPr="00513D96" w:rsidRDefault="00513D96" w:rsidP="005C4B45">
      <w:pPr>
        <w:pStyle w:val="SingleTxt"/>
        <w:rPr>
          <w:spacing w:val="2"/>
        </w:rPr>
      </w:pPr>
      <w:r>
        <w:tab/>
      </w:r>
      <w:r w:rsidR="005C4B45" w:rsidRPr="00513D96">
        <w:rPr>
          <w:spacing w:val="2"/>
        </w:rPr>
        <w:t>Conforme a lo dispuesto en el artículo 18 de la Convención,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rsidR="005C4B45" w:rsidRPr="005C4B45" w:rsidRDefault="00513D96" w:rsidP="005C4B45">
      <w:pPr>
        <w:pStyle w:val="SingleTxt"/>
      </w:pPr>
      <w:r>
        <w:tab/>
      </w:r>
      <w:r w:rsidR="005C4B45" w:rsidRPr="005C4B45">
        <w:t>Se prevé examinar los informes de los siguientes Estados partes en el 67º período de sesiones del Comité: Barbados, Costa Rica, Italia, Montenegro, Níger, Nigeria, Rumania (en el marco del procedimiento simplificado de presentación de informes) y Tailandia.</w:t>
      </w:r>
    </w:p>
    <w:p w:rsidR="005C4B45" w:rsidRPr="005C4B45" w:rsidRDefault="00513D96" w:rsidP="005C4B45">
      <w:pPr>
        <w:pStyle w:val="SingleTxt"/>
      </w:pPr>
      <w:r>
        <w:tab/>
      </w:r>
      <w:r w:rsidR="005C4B45" w:rsidRPr="005C4B45">
        <w:t>Con arreglo a lo dispuesto en el artículo 51 del reglamento, los representantes de los Estados partes asistirán a las sesiones del Comité en las que se examinarán sus respectivos informes, participarán en las deliberaciones y responderán a las preguntas relativas a dicho informe.</w:t>
      </w:r>
    </w:p>
    <w:p w:rsidR="005C4B45" w:rsidRPr="005C4B45" w:rsidRDefault="00513D96" w:rsidP="005C4B45">
      <w:pPr>
        <w:pStyle w:val="SingleTxt"/>
      </w:pPr>
      <w:r>
        <w:tab/>
      </w:r>
      <w:r w:rsidR="005C4B45" w:rsidRPr="005C4B45">
        <w:t>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facilitará también periódicamente al Comité una lista de los informes presentados por los Estados partes en la Convención, así como una lista de los informes de ese tipo que todavía no hayan sido examinados por el Comité.</w:t>
      </w:r>
    </w:p>
    <w:p w:rsidR="005C4B45" w:rsidRPr="005C4B45" w:rsidRDefault="00513D96" w:rsidP="005C4B45">
      <w:pPr>
        <w:pStyle w:val="SingleTxt"/>
      </w:pPr>
      <w:r>
        <w:tab/>
      </w:r>
      <w:r w:rsidR="005C4B45" w:rsidRPr="005C4B45">
        <w:t>Antes de cada período de sesiones se reúne un grupo de trabajo del Comité encargado de preparar una lista de cuestiones y preguntas relativas a los informes, que se transmite a los Estados partes antes de las sesiones reservadas para examinarlos. El grupo de trabajo anterior al 67º período de sesiones se reunió en Ginebra del 21 al 25 de noviembre de 2016 y el Comité tendrá ante sí el informe correspondiente</w:t>
      </w:r>
      <w:r w:rsidR="005C4B45">
        <w:t xml:space="preserve"> </w:t>
      </w:r>
      <w:r w:rsidR="005C4B45" w:rsidRPr="005C4B45">
        <w:t>(</w:t>
      </w:r>
      <w:hyperlink r:id="rId16" w:history="1">
        <w:r w:rsidR="005C4B45" w:rsidRPr="005C4B45">
          <w:rPr>
            <w:rStyle w:val="Hyperlink"/>
          </w:rPr>
          <w:t>CEDAW/C/PSWG/67/1</w:t>
        </w:r>
      </w:hyperlink>
      <w:r w:rsidR="005C4B45" w:rsidRPr="005C4B45">
        <w:t>) y las respuestas de los Estados partes a las listas de cuestiones y preguntas.</w:t>
      </w: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lastRenderedPageBreak/>
        <w:tab/>
      </w:r>
      <w:r w:rsidRPr="005C4B45">
        <w:tab/>
        <w:t>Documentación</w:t>
      </w:r>
    </w:p>
    <w:p w:rsidR="005C4B45" w:rsidRPr="005C4B45" w:rsidRDefault="005C4B45" w:rsidP="005C4B45">
      <w:pPr>
        <w:pStyle w:val="SingleTxt"/>
        <w:spacing w:after="0" w:line="120" w:lineRule="exact"/>
        <w:rPr>
          <w:sz w:val="10"/>
        </w:rPr>
      </w:pPr>
    </w:p>
    <w:p w:rsidR="005C4B45" w:rsidRDefault="005C4B45" w:rsidP="005C4B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tab/>
      </w:r>
      <w:r w:rsidRPr="005C4B45">
        <w:tab/>
        <w:t>Informes</w:t>
      </w:r>
    </w:p>
    <w:p w:rsidR="005C4B45" w:rsidRPr="005C4B45" w:rsidRDefault="005C4B45" w:rsidP="005C4B45">
      <w:pPr>
        <w:pStyle w:val="SingleTxt"/>
        <w:spacing w:after="0" w:line="120" w:lineRule="exact"/>
        <w:rPr>
          <w:sz w:val="10"/>
        </w:rPr>
      </w:pPr>
    </w:p>
    <w:p w:rsidR="005C4B45" w:rsidRPr="005C4B45" w:rsidRDefault="005C4B45" w:rsidP="005C4B45">
      <w:pPr>
        <w:pStyle w:val="SingleTxt"/>
        <w:rPr>
          <w:spacing w:val="2"/>
        </w:rPr>
      </w:pPr>
      <w:r w:rsidRPr="005C4B45">
        <w:rPr>
          <w:spacing w:val="2"/>
        </w:rPr>
        <w:t>Informes periódicos quinto a octavo combinados de Barbados (</w:t>
      </w:r>
      <w:hyperlink r:id="rId17" w:history="1">
        <w:r w:rsidRPr="005C4B45">
          <w:rPr>
            <w:rStyle w:val="Hyperlink"/>
            <w:spacing w:val="2"/>
          </w:rPr>
          <w:t>CEDAW/C/BRB/5-8</w:t>
        </w:r>
      </w:hyperlink>
      <w:r w:rsidRPr="005C4B45">
        <w:rPr>
          <w:spacing w:val="2"/>
        </w:rPr>
        <w:t>)</w:t>
      </w:r>
    </w:p>
    <w:p w:rsidR="005C4B45" w:rsidRPr="005C4B45" w:rsidRDefault="005C4B45" w:rsidP="005C4B45">
      <w:pPr>
        <w:pStyle w:val="SingleTxt"/>
      </w:pPr>
      <w:r w:rsidRPr="005C4B45">
        <w:t>Séptimo informe periódico de Costa Rica (</w:t>
      </w:r>
      <w:hyperlink r:id="rId18" w:history="1">
        <w:r w:rsidRPr="005C4B45">
          <w:rPr>
            <w:rStyle w:val="Hyperlink"/>
          </w:rPr>
          <w:t>CEDAW/C/CRI/7</w:t>
        </w:r>
      </w:hyperlink>
      <w:r w:rsidRPr="005C4B45">
        <w:t>)</w:t>
      </w:r>
    </w:p>
    <w:p w:rsidR="005C4B45" w:rsidRPr="005C4B45" w:rsidRDefault="005C4B45" w:rsidP="005C4B45">
      <w:pPr>
        <w:pStyle w:val="SingleTxt"/>
      </w:pPr>
      <w:r w:rsidRPr="005C4B45">
        <w:t>Séptimo informe periódico de Italia (</w:t>
      </w:r>
      <w:hyperlink r:id="rId19" w:history="1">
        <w:r w:rsidRPr="005C4B45">
          <w:rPr>
            <w:rStyle w:val="Hyperlink"/>
          </w:rPr>
          <w:t>CEDAW/C/ITA/7</w:t>
        </w:r>
      </w:hyperlink>
      <w:r w:rsidRPr="005C4B45">
        <w:t>)</w:t>
      </w:r>
    </w:p>
    <w:p w:rsidR="005C4B45" w:rsidRPr="005C4B45" w:rsidRDefault="005C4B45" w:rsidP="005C4B45">
      <w:pPr>
        <w:pStyle w:val="SingleTxt"/>
      </w:pPr>
      <w:r w:rsidRPr="005C4B45">
        <w:t>Séptimo informe periódico de Montenegro (</w:t>
      </w:r>
      <w:hyperlink r:id="rId20" w:history="1">
        <w:r w:rsidRPr="005C4B45">
          <w:rPr>
            <w:rStyle w:val="Hyperlink"/>
          </w:rPr>
          <w:t>CEDAW/C/MNE/2</w:t>
        </w:r>
      </w:hyperlink>
      <w:r w:rsidRPr="005C4B45">
        <w:t>)</w:t>
      </w:r>
    </w:p>
    <w:p w:rsidR="005C4B45" w:rsidRPr="005C4B45" w:rsidRDefault="005C4B45" w:rsidP="005C4B45">
      <w:pPr>
        <w:pStyle w:val="SingleTxt"/>
      </w:pPr>
      <w:r w:rsidRPr="005C4B45">
        <w:t>Informes periódicos tercero y cuarto combinados del Níger (</w:t>
      </w:r>
      <w:hyperlink r:id="rId21" w:history="1">
        <w:r w:rsidRPr="005C4B45">
          <w:rPr>
            <w:rStyle w:val="Hyperlink"/>
          </w:rPr>
          <w:t>CEDAW/C/NER/3-4</w:t>
        </w:r>
      </w:hyperlink>
      <w:r w:rsidRPr="005C4B45">
        <w:t>)</w:t>
      </w:r>
    </w:p>
    <w:p w:rsidR="005C4B45" w:rsidRPr="005C4B45" w:rsidRDefault="005C4B45" w:rsidP="005C4B45">
      <w:pPr>
        <w:pStyle w:val="SingleTxt"/>
        <w:rPr>
          <w:spacing w:val="2"/>
        </w:rPr>
      </w:pPr>
      <w:r w:rsidRPr="005C4B45">
        <w:rPr>
          <w:spacing w:val="2"/>
        </w:rPr>
        <w:t>Informes periódicos séptimo y octavo combinados de Nigeria (</w:t>
      </w:r>
      <w:hyperlink r:id="rId22" w:history="1">
        <w:r w:rsidRPr="005C4B45">
          <w:rPr>
            <w:rStyle w:val="Hyperlink"/>
            <w:spacing w:val="2"/>
          </w:rPr>
          <w:t>CEDAW/C/NGA/7-8</w:t>
        </w:r>
      </w:hyperlink>
      <w:r w:rsidRPr="005C4B45">
        <w:rPr>
          <w:spacing w:val="2"/>
        </w:rPr>
        <w:t>)</w:t>
      </w:r>
    </w:p>
    <w:p w:rsidR="005C4B45" w:rsidRPr="005C4B45" w:rsidRDefault="005C4B45" w:rsidP="005C4B45">
      <w:pPr>
        <w:pStyle w:val="SingleTxt"/>
      </w:pPr>
      <w:r w:rsidRPr="005C4B45">
        <w:rPr>
          <w:spacing w:val="2"/>
        </w:rPr>
        <w:t>Informes periódicos séptimo y octavo combinados de Rumania (</w:t>
      </w:r>
      <w:hyperlink r:id="rId23" w:history="1">
        <w:r w:rsidRPr="005C4B45">
          <w:rPr>
            <w:rStyle w:val="Hyperlink"/>
            <w:spacing w:val="2"/>
          </w:rPr>
          <w:t>CEDAW/C/ROU/7-8</w:t>
        </w:r>
      </w:hyperlink>
      <w:r w:rsidRPr="005C4B45">
        <w:t>, presentado conforme al procedimiento simplificado de presentación de informes)</w:t>
      </w:r>
    </w:p>
    <w:p w:rsidR="005C4B45" w:rsidRPr="005C4B45" w:rsidRDefault="005C4B45" w:rsidP="005C4B45">
      <w:pPr>
        <w:pStyle w:val="SingleTxt"/>
        <w:rPr>
          <w:spacing w:val="2"/>
        </w:rPr>
      </w:pPr>
      <w:r w:rsidRPr="005C4B45">
        <w:rPr>
          <w:spacing w:val="2"/>
        </w:rPr>
        <w:t>Informes periódicos sexto y séptimo combinados de Tailandia (</w:t>
      </w:r>
      <w:hyperlink r:id="rId24" w:history="1">
        <w:r w:rsidRPr="005C4B45">
          <w:rPr>
            <w:rStyle w:val="Hyperlink"/>
            <w:spacing w:val="2"/>
          </w:rPr>
          <w:t>CEDAW/C/THA/6-7</w:t>
        </w:r>
      </w:hyperlink>
      <w:r w:rsidRPr="005C4B45">
        <w:rPr>
          <w:spacing w:val="2"/>
        </w:rPr>
        <w:t>)</w:t>
      </w:r>
    </w:p>
    <w:p w:rsidR="005C4B45" w:rsidRPr="005C4B45" w:rsidRDefault="005C4B45" w:rsidP="005C4B45">
      <w:pPr>
        <w:pStyle w:val="SingleTxt"/>
        <w:spacing w:after="0" w:line="120" w:lineRule="exact"/>
        <w:rPr>
          <w:i/>
          <w:sz w:val="10"/>
        </w:rPr>
      </w:pPr>
    </w:p>
    <w:p w:rsidR="005C4B45" w:rsidRDefault="005C4B45" w:rsidP="005C4B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tab/>
      </w:r>
      <w:r w:rsidRPr="005C4B45">
        <w:tab/>
        <w:t>Lista de cuestiones y preguntas</w:t>
      </w:r>
    </w:p>
    <w:p w:rsidR="005C4B45" w:rsidRPr="005C4B45" w:rsidRDefault="005C4B45" w:rsidP="005C4B45">
      <w:pPr>
        <w:pStyle w:val="SingleTxt"/>
        <w:spacing w:after="0" w:line="120" w:lineRule="exact"/>
        <w:rPr>
          <w:sz w:val="10"/>
        </w:rPr>
      </w:pPr>
    </w:p>
    <w:p w:rsidR="005C4B45" w:rsidRPr="005C4B45" w:rsidRDefault="005C4B45" w:rsidP="005C4B45">
      <w:pPr>
        <w:pStyle w:val="SingleTxt"/>
      </w:pPr>
      <w:r w:rsidRPr="005C4B45">
        <w:t>Barbados (</w:t>
      </w:r>
      <w:hyperlink r:id="rId25" w:history="1">
        <w:r w:rsidRPr="005C4B45">
          <w:rPr>
            <w:rStyle w:val="Hyperlink"/>
          </w:rPr>
          <w:t>CEDAW/C/BRB/Q/5-8</w:t>
        </w:r>
      </w:hyperlink>
      <w:r w:rsidRPr="005C4B45">
        <w:t>)</w:t>
      </w:r>
    </w:p>
    <w:p w:rsidR="005C4B45" w:rsidRPr="005C4B45" w:rsidRDefault="005C4B45" w:rsidP="005C4B45">
      <w:pPr>
        <w:pStyle w:val="SingleTxt"/>
      </w:pPr>
      <w:r w:rsidRPr="005C4B45">
        <w:t>Costa Rica (</w:t>
      </w:r>
      <w:hyperlink r:id="rId26" w:history="1">
        <w:r w:rsidRPr="005C4B45">
          <w:rPr>
            <w:rStyle w:val="Hyperlink"/>
          </w:rPr>
          <w:t>CEDAW/C/CRI/Q/7</w:t>
        </w:r>
      </w:hyperlink>
      <w:r w:rsidRPr="005C4B45">
        <w:t>)</w:t>
      </w:r>
    </w:p>
    <w:p w:rsidR="005C4B45" w:rsidRPr="005C4B45" w:rsidRDefault="005C4B45" w:rsidP="005C4B45">
      <w:pPr>
        <w:pStyle w:val="SingleTxt"/>
      </w:pPr>
      <w:r w:rsidRPr="005C4B45">
        <w:t>Italia</w:t>
      </w:r>
      <w:r>
        <w:t xml:space="preserve"> </w:t>
      </w:r>
      <w:r w:rsidRPr="005C4B45">
        <w:t>(</w:t>
      </w:r>
      <w:hyperlink r:id="rId27" w:history="1">
        <w:r w:rsidRPr="005C4B45">
          <w:rPr>
            <w:rStyle w:val="Hyperlink"/>
          </w:rPr>
          <w:t>CEDAW/C/ITA/Q/7</w:t>
        </w:r>
      </w:hyperlink>
      <w:r w:rsidRPr="005C4B45">
        <w:t>)</w:t>
      </w:r>
    </w:p>
    <w:p w:rsidR="005C4B45" w:rsidRPr="005C4B45" w:rsidRDefault="005C4B45" w:rsidP="005C4B45">
      <w:pPr>
        <w:pStyle w:val="SingleTxt"/>
      </w:pPr>
      <w:r w:rsidRPr="005C4B45">
        <w:t>Montenegro (</w:t>
      </w:r>
      <w:hyperlink r:id="rId28" w:history="1">
        <w:r w:rsidRPr="005C4B45">
          <w:rPr>
            <w:rStyle w:val="Hyperlink"/>
          </w:rPr>
          <w:t>CEDAW/C/MNE/Q/2</w:t>
        </w:r>
      </w:hyperlink>
      <w:r w:rsidRPr="005C4B45">
        <w:t>)</w:t>
      </w:r>
    </w:p>
    <w:p w:rsidR="005C4B45" w:rsidRPr="005C4B45" w:rsidRDefault="005C4B45" w:rsidP="005C4B45">
      <w:pPr>
        <w:pStyle w:val="SingleTxt"/>
      </w:pPr>
      <w:r w:rsidRPr="005C4B45">
        <w:t>Níger (</w:t>
      </w:r>
      <w:hyperlink r:id="rId29" w:history="1">
        <w:r w:rsidRPr="005C4B45">
          <w:rPr>
            <w:rStyle w:val="Hyperlink"/>
          </w:rPr>
          <w:t>CEDAW/C/NER/Q/3-4</w:t>
        </w:r>
      </w:hyperlink>
      <w:r w:rsidRPr="005C4B45">
        <w:t>)</w:t>
      </w:r>
    </w:p>
    <w:p w:rsidR="005C4B45" w:rsidRPr="005C4B45" w:rsidRDefault="005C4B45" w:rsidP="005C4B45">
      <w:pPr>
        <w:pStyle w:val="SingleTxt"/>
      </w:pPr>
      <w:r w:rsidRPr="005C4B45">
        <w:t>Nigeria (</w:t>
      </w:r>
      <w:hyperlink r:id="rId30" w:history="1">
        <w:r w:rsidRPr="005C4B45">
          <w:rPr>
            <w:rStyle w:val="Hyperlink"/>
          </w:rPr>
          <w:t>CEDAW/C/NGA/Q/7-8</w:t>
        </w:r>
      </w:hyperlink>
      <w:r w:rsidRPr="005C4B45">
        <w:t>)</w:t>
      </w:r>
    </w:p>
    <w:p w:rsidR="005C4B45" w:rsidRPr="005C4B45" w:rsidRDefault="005C4B45" w:rsidP="005C4B45">
      <w:pPr>
        <w:pStyle w:val="SingleTxt"/>
      </w:pPr>
      <w:r w:rsidRPr="005C4B45">
        <w:t>Rumania (</w:t>
      </w:r>
      <w:hyperlink r:id="rId31" w:history="1">
        <w:r w:rsidRPr="005C4B45">
          <w:rPr>
            <w:rStyle w:val="Hyperlink"/>
          </w:rPr>
          <w:t>CEDAW/C/ROU/QPR/7-8</w:t>
        </w:r>
      </w:hyperlink>
      <w:r w:rsidRPr="005C4B45">
        <w:t>)</w:t>
      </w:r>
    </w:p>
    <w:p w:rsidR="005C4B45" w:rsidRPr="005C4B45" w:rsidRDefault="005C4B45" w:rsidP="005C4B45">
      <w:pPr>
        <w:pStyle w:val="SingleTxt"/>
      </w:pPr>
      <w:r w:rsidRPr="005C4B45">
        <w:t>Tailandia (</w:t>
      </w:r>
      <w:hyperlink r:id="rId32" w:history="1">
        <w:r w:rsidRPr="005C4B45">
          <w:rPr>
            <w:rStyle w:val="Hyperlink"/>
          </w:rPr>
          <w:t>CEDAW/C/THA/Q/6-7</w:t>
        </w:r>
      </w:hyperlink>
      <w:r w:rsidRPr="005C4B45">
        <w:t>)</w:t>
      </w:r>
    </w:p>
    <w:p w:rsidR="005C4B45" w:rsidRPr="005C4B45" w:rsidRDefault="005C4B45" w:rsidP="005C4B45">
      <w:pPr>
        <w:pStyle w:val="SingleTxt"/>
        <w:spacing w:after="0" w:line="120" w:lineRule="exact"/>
        <w:rPr>
          <w:i/>
          <w:sz w:val="10"/>
        </w:rPr>
      </w:pPr>
    </w:p>
    <w:p w:rsidR="005C4B45" w:rsidRDefault="005C4B45" w:rsidP="005C4B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tab/>
      </w:r>
      <w:r w:rsidRPr="005C4B45">
        <w:tab/>
        <w:t>Respuestas a las listas de cuestiones y preguntas</w:t>
      </w:r>
    </w:p>
    <w:p w:rsidR="005C4B45" w:rsidRPr="005C4B45" w:rsidRDefault="005C4B45" w:rsidP="005C4B45">
      <w:pPr>
        <w:pStyle w:val="SingleTxt"/>
        <w:spacing w:after="0" w:line="120" w:lineRule="exact"/>
        <w:rPr>
          <w:sz w:val="10"/>
        </w:rPr>
      </w:pPr>
    </w:p>
    <w:p w:rsidR="005C4B45" w:rsidRPr="005C4B45" w:rsidRDefault="005C4B45" w:rsidP="005C4B45">
      <w:pPr>
        <w:pStyle w:val="SingleTxt"/>
      </w:pPr>
      <w:r w:rsidRPr="005C4B45">
        <w:t>Barbados (</w:t>
      </w:r>
      <w:hyperlink r:id="rId33" w:history="1">
        <w:r w:rsidRPr="005C4B45">
          <w:rPr>
            <w:rStyle w:val="Hyperlink"/>
          </w:rPr>
          <w:t>CEDAW/C/BRB/Q/5-8/Add.1</w:t>
        </w:r>
      </w:hyperlink>
      <w:r w:rsidRPr="005C4B45">
        <w:t>)</w:t>
      </w:r>
    </w:p>
    <w:p w:rsidR="005C4B45" w:rsidRPr="005C4B45" w:rsidRDefault="005C4B45" w:rsidP="005C4B45">
      <w:pPr>
        <w:pStyle w:val="SingleTxt"/>
      </w:pPr>
      <w:r w:rsidRPr="005C4B45">
        <w:t>Costa Rica (</w:t>
      </w:r>
      <w:hyperlink r:id="rId34" w:history="1">
        <w:r w:rsidRPr="005C4B45">
          <w:rPr>
            <w:rStyle w:val="Hyperlink"/>
          </w:rPr>
          <w:t>CEDAW/C/CRI/Q/7/Add.1</w:t>
        </w:r>
      </w:hyperlink>
      <w:r w:rsidRPr="005C4B45">
        <w:t>)</w:t>
      </w:r>
    </w:p>
    <w:p w:rsidR="005C4B45" w:rsidRPr="005C4B45" w:rsidRDefault="005C4B45" w:rsidP="005C4B45">
      <w:pPr>
        <w:pStyle w:val="SingleTxt"/>
      </w:pPr>
      <w:r w:rsidRPr="005C4B45">
        <w:t>Italia</w:t>
      </w:r>
      <w:r>
        <w:t xml:space="preserve"> </w:t>
      </w:r>
      <w:r w:rsidRPr="005C4B45">
        <w:t>(</w:t>
      </w:r>
      <w:hyperlink r:id="rId35" w:history="1">
        <w:r w:rsidRPr="005C4B45">
          <w:rPr>
            <w:rStyle w:val="Hyperlink"/>
          </w:rPr>
          <w:t>CEDAW/C/ITA/Q/7/Add.1</w:t>
        </w:r>
      </w:hyperlink>
      <w:r w:rsidRPr="005C4B45">
        <w:t>)</w:t>
      </w:r>
    </w:p>
    <w:p w:rsidR="005C4B45" w:rsidRPr="005C4B45" w:rsidRDefault="005C4B45" w:rsidP="005C4B45">
      <w:pPr>
        <w:pStyle w:val="SingleTxt"/>
      </w:pPr>
      <w:r w:rsidRPr="005C4B45">
        <w:t>Montenegro (</w:t>
      </w:r>
      <w:hyperlink r:id="rId36" w:history="1">
        <w:r w:rsidRPr="005C4B45">
          <w:rPr>
            <w:rStyle w:val="Hyperlink"/>
          </w:rPr>
          <w:t>CEDAW/C/MNE/Q/2/Add.1</w:t>
        </w:r>
      </w:hyperlink>
      <w:r w:rsidRPr="005C4B45">
        <w:t>)</w:t>
      </w:r>
    </w:p>
    <w:p w:rsidR="005C4B45" w:rsidRPr="005C4B45" w:rsidRDefault="005C4B45" w:rsidP="005C4B45">
      <w:pPr>
        <w:pStyle w:val="SingleTxt"/>
        <w:rPr>
          <w:lang w:val="en-US"/>
        </w:rPr>
      </w:pPr>
      <w:r w:rsidRPr="005C4B45">
        <w:rPr>
          <w:lang w:val="en-US"/>
        </w:rPr>
        <w:t>Níger (</w:t>
      </w:r>
      <w:hyperlink r:id="rId37" w:history="1">
        <w:r w:rsidRPr="005C4B45">
          <w:rPr>
            <w:rStyle w:val="Hyperlink"/>
            <w:lang w:val="en-US"/>
          </w:rPr>
          <w:t>CEDAW/C/NER/Q/3-4/Add.1</w:t>
        </w:r>
      </w:hyperlink>
      <w:r w:rsidRPr="005C4B45">
        <w:rPr>
          <w:lang w:val="en-US"/>
        </w:rPr>
        <w:t>)</w:t>
      </w:r>
    </w:p>
    <w:p w:rsidR="005C4B45" w:rsidRPr="005C4B45" w:rsidRDefault="005C4B45" w:rsidP="005C4B45">
      <w:pPr>
        <w:pStyle w:val="SingleTxt"/>
      </w:pPr>
      <w:r w:rsidRPr="005C4B45">
        <w:t>Nigeria (</w:t>
      </w:r>
      <w:hyperlink r:id="rId38" w:history="1">
        <w:r w:rsidRPr="005C4B45">
          <w:rPr>
            <w:rStyle w:val="Hyperlink"/>
          </w:rPr>
          <w:t>CEDAW/C/NGA/Q/7-8/Add.1</w:t>
        </w:r>
      </w:hyperlink>
      <w:r w:rsidRPr="005C4B45">
        <w:t>)</w:t>
      </w:r>
    </w:p>
    <w:p w:rsidR="005C4B45" w:rsidRPr="005C4B45" w:rsidRDefault="005C4B45" w:rsidP="005C4B45">
      <w:pPr>
        <w:pStyle w:val="SingleTxt"/>
        <w:rPr>
          <w:lang w:val="en-US"/>
        </w:rPr>
      </w:pPr>
      <w:r w:rsidRPr="005C4B45">
        <w:rPr>
          <w:lang w:val="en-US"/>
        </w:rPr>
        <w:t>Tailandia (</w:t>
      </w:r>
      <w:hyperlink r:id="rId39" w:history="1">
        <w:r w:rsidRPr="005C4B45">
          <w:rPr>
            <w:rStyle w:val="Hyperlink"/>
            <w:lang w:val="en-US"/>
          </w:rPr>
          <w:t>CEDAW/C/THA/Q/6-7/Add.1</w:t>
        </w:r>
      </w:hyperlink>
      <w:r w:rsidRPr="005C4B45">
        <w:rPr>
          <w:lang w:val="en-US"/>
        </w:rPr>
        <w:t>)</w:t>
      </w:r>
    </w:p>
    <w:p w:rsidR="005C4B45" w:rsidRPr="005C4B45" w:rsidRDefault="005C4B45" w:rsidP="005C4B45">
      <w:pPr>
        <w:pStyle w:val="SingleTxt"/>
        <w:spacing w:after="0" w:line="120" w:lineRule="exact"/>
        <w:rPr>
          <w:sz w:val="10"/>
          <w:lang w:val="en-US"/>
        </w:rPr>
      </w:pPr>
    </w:p>
    <w:p w:rsidR="005C4B45" w:rsidRP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920" w:hanging="1267"/>
      </w:pPr>
      <w:r w:rsidRPr="005C4B45">
        <w:rPr>
          <w:lang w:val="en-US"/>
        </w:rPr>
        <w:tab/>
      </w:r>
      <w:r>
        <w:t>5.</w:t>
      </w:r>
      <w:r>
        <w:tab/>
      </w:r>
      <w:r w:rsidRPr="005C4B45">
        <w:t>Seguimiento del examen de los informes presentados por los Estados partes en virtud del artículo 18 de la Convención</w:t>
      </w:r>
    </w:p>
    <w:p w:rsidR="005C4B45" w:rsidRPr="005C4B45" w:rsidRDefault="005C4B45" w:rsidP="005C4B45">
      <w:pPr>
        <w:pStyle w:val="SingleTxt"/>
        <w:spacing w:after="0" w:line="120" w:lineRule="exact"/>
        <w:rPr>
          <w:sz w:val="10"/>
        </w:rPr>
      </w:pPr>
    </w:p>
    <w:p w:rsidR="005C4B45" w:rsidRPr="005C4B45" w:rsidRDefault="00513D96" w:rsidP="005C4B45">
      <w:pPr>
        <w:pStyle w:val="SingleTxt"/>
      </w:pPr>
      <w:r>
        <w:tab/>
      </w:r>
      <w:r w:rsidR="005C4B45" w:rsidRPr="005C4B45">
        <w:t>El Comité examinará cuestiones relacionadas con el seguimiento de las observaciones finales.</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t>6.</w:t>
      </w:r>
      <w:r>
        <w:tab/>
      </w:r>
      <w:r w:rsidRPr="005C4B45">
        <w:t>Aplicación de los artículos 21 y 22 de la Convención</w:t>
      </w:r>
    </w:p>
    <w:p w:rsidR="005C4B45" w:rsidRPr="005C4B45" w:rsidRDefault="005C4B45" w:rsidP="005C4B45">
      <w:pPr>
        <w:pStyle w:val="SingleTxt"/>
        <w:spacing w:after="0" w:line="120" w:lineRule="exact"/>
        <w:rPr>
          <w:sz w:val="10"/>
        </w:rPr>
      </w:pPr>
    </w:p>
    <w:p w:rsidR="005C4B45" w:rsidRPr="005C4B45" w:rsidRDefault="00513D96" w:rsidP="005C4B45">
      <w:pPr>
        <w:pStyle w:val="SingleTxt"/>
      </w:pPr>
      <w:r>
        <w:tab/>
      </w:r>
      <w:r w:rsidR="005C4B45" w:rsidRPr="005C4B45">
        <w:t>En el artículo 21 de la Convención se establece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w:t>
      </w:r>
    </w:p>
    <w:p w:rsidR="005C4B45" w:rsidRPr="005C4B45" w:rsidRDefault="00513D96" w:rsidP="005C4B45">
      <w:pPr>
        <w:pStyle w:val="SingleTxt"/>
      </w:pPr>
      <w:r>
        <w:tab/>
      </w:r>
      <w:r w:rsidR="005C4B45" w:rsidRPr="005C4B45">
        <w:t>En virtud del artículo 22 de la Convención, los organismos especializados tendrán derecho a estar representados en el examen de la aplicación de las disposiciones de la Convención que correspondan a sus ámbitos de competencia, y el Comité podrá invitarlos a que presenten informes sobre la aplicación de la Convención en esos ámbitos.</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tab/>
      </w:r>
      <w:r w:rsidRPr="005C4B45">
        <w:tab/>
        <w:t>Documentación</w:t>
      </w:r>
    </w:p>
    <w:p w:rsidR="005C4B45" w:rsidRPr="005C4B45" w:rsidRDefault="005C4B45" w:rsidP="005C4B45">
      <w:pPr>
        <w:pStyle w:val="SingleTxt"/>
        <w:spacing w:after="0" w:line="120" w:lineRule="exact"/>
        <w:rPr>
          <w:sz w:val="10"/>
        </w:rPr>
      </w:pPr>
    </w:p>
    <w:p w:rsidR="005C4B45" w:rsidRPr="005C4B45" w:rsidRDefault="00513D96" w:rsidP="005C4B45">
      <w:pPr>
        <w:pStyle w:val="SingleTxt"/>
      </w:pPr>
      <w:r>
        <w:tab/>
      </w:r>
      <w:r w:rsidR="005C4B45" w:rsidRPr="005C4B45">
        <w:t>Informes presentados por los organismos especializados de las Naciones Unidas sobre la aplicación de la Convención en sus ámbitos de competencia</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t>7.</w:t>
      </w:r>
      <w:r>
        <w:tab/>
      </w:r>
      <w:r w:rsidRPr="005C4B45">
        <w:t>Medios de agilizar los trabajos del Comité</w:t>
      </w:r>
    </w:p>
    <w:p w:rsidR="005C4B45" w:rsidRPr="005C4B45" w:rsidRDefault="005C4B45" w:rsidP="005C4B45">
      <w:pPr>
        <w:pStyle w:val="SingleTxt"/>
        <w:spacing w:after="0" w:line="120" w:lineRule="exact"/>
        <w:rPr>
          <w:sz w:val="10"/>
        </w:rPr>
      </w:pPr>
    </w:p>
    <w:p w:rsidR="005C4B45" w:rsidRPr="005C4B45" w:rsidRDefault="005C4B45" w:rsidP="005C4B45">
      <w:pPr>
        <w:pStyle w:val="SingleTxt"/>
      </w:pPr>
      <w:r w:rsidRPr="005C4B45">
        <w:t>El Comité examinará cuestiones relacionadas con sus métodos de trabajo.</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730" w:hanging="1267"/>
      </w:pPr>
      <w:r>
        <w:tab/>
        <w:t>8.</w:t>
      </w:r>
      <w:r>
        <w:tab/>
      </w:r>
      <w:r w:rsidRPr="005C4B45">
        <w:t>Actividades del Comité en relación con el Protocolo Facultativo de la Convención</w:t>
      </w:r>
    </w:p>
    <w:p w:rsidR="005C4B45" w:rsidRPr="005C4B45" w:rsidRDefault="005C4B45" w:rsidP="005C4B45">
      <w:pPr>
        <w:pStyle w:val="SingleTxt"/>
        <w:spacing w:after="0" w:line="120" w:lineRule="exact"/>
        <w:rPr>
          <w:sz w:val="10"/>
        </w:rPr>
      </w:pPr>
    </w:p>
    <w:p w:rsidR="005C4B45" w:rsidRPr="005C4B45" w:rsidRDefault="00513D96" w:rsidP="005C4B45">
      <w:pPr>
        <w:pStyle w:val="SingleTxt"/>
      </w:pPr>
      <w:r>
        <w:tab/>
      </w:r>
      <w:r w:rsidR="005C4B45" w:rsidRPr="005C4B45">
        <w:t>El 38º período de sesiones del Grupo de Trabajo sobre las Comunicaciones Presentadas en virtud del Protocolo Facultativo se celebrará del 28 al 30 de junio de 2017 en Ginebra.</w:t>
      </w:r>
    </w:p>
    <w:p w:rsidR="005C4B45" w:rsidRPr="005C4B45" w:rsidRDefault="00513D96" w:rsidP="005C4B45">
      <w:pPr>
        <w:pStyle w:val="SingleTxt"/>
      </w:pPr>
      <w:r>
        <w:tab/>
      </w:r>
      <w:r w:rsidR="005C4B45" w:rsidRPr="005C4B45">
        <w:t>El séptimo período de sesiones del Grupo de Trabajo sobre Investigaciones con arreglo al Protocolo Facultativo se celebrará los días 29 y 30 de junio de 2017 en Ginebra.</w:t>
      </w:r>
    </w:p>
    <w:p w:rsidR="005C4B45" w:rsidRPr="005C4B45" w:rsidRDefault="00513D96" w:rsidP="005C4B45">
      <w:pPr>
        <w:pStyle w:val="SingleTxt"/>
      </w:pPr>
      <w:r>
        <w:tab/>
      </w:r>
      <w:r w:rsidR="005C4B45" w:rsidRPr="005C4B45">
        <w:t>En su 67º período de sesiones, el Comité continuará cumpliendo su mandato en virtud de los artículos 2 y 8 del Protocolo Facultativo de la Convención.</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t>9.</w:t>
      </w:r>
      <w:r>
        <w:tab/>
      </w:r>
      <w:r w:rsidRPr="005C4B45">
        <w:t>Programa provisional del 68º período de sesiones del Comité</w:t>
      </w:r>
    </w:p>
    <w:p w:rsidR="005C4B45" w:rsidRPr="005C4B45" w:rsidRDefault="005C4B45" w:rsidP="005C4B45">
      <w:pPr>
        <w:pStyle w:val="SingleTxt"/>
        <w:spacing w:after="0" w:line="120" w:lineRule="exact"/>
        <w:rPr>
          <w:sz w:val="10"/>
        </w:rPr>
      </w:pP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5C4B45">
        <w:tab/>
      </w:r>
      <w:r w:rsidRPr="005C4B45">
        <w:tab/>
        <w:t>Documentación</w:t>
      </w:r>
    </w:p>
    <w:p w:rsidR="005C4B45" w:rsidRPr="005C4B45" w:rsidRDefault="005C4B45" w:rsidP="005C4B45">
      <w:pPr>
        <w:pStyle w:val="SingleTxt"/>
        <w:spacing w:after="0" w:line="120" w:lineRule="exact"/>
        <w:rPr>
          <w:sz w:val="10"/>
        </w:rPr>
      </w:pPr>
    </w:p>
    <w:p w:rsidR="005C4B45" w:rsidRPr="005C4B45" w:rsidRDefault="005C4B45" w:rsidP="005C4B45">
      <w:pPr>
        <w:pStyle w:val="SingleTxt"/>
      </w:pPr>
      <w:r w:rsidRPr="005C4B45">
        <w:t>Programa provisional anotado del 68º período de sesiones (</w:t>
      </w:r>
      <w:hyperlink r:id="rId40" w:history="1">
        <w:r w:rsidRPr="005C4B45">
          <w:rPr>
            <w:rStyle w:val="Hyperlink"/>
          </w:rPr>
          <w:t>CEDAW/C/68/1</w:t>
        </w:r>
      </w:hyperlink>
      <w:r w:rsidRPr="005C4B45">
        <w:t>)</w:t>
      </w:r>
    </w:p>
    <w:p w:rsidR="005C4B45" w:rsidRDefault="005C4B45" w:rsidP="005C4B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t>10.</w:t>
      </w:r>
      <w:r>
        <w:tab/>
      </w:r>
      <w:r w:rsidRPr="005C4B45">
        <w:t>Aprobación del informe del Comité sobre su 67° período de sesiones</w:t>
      </w:r>
    </w:p>
    <w:p w:rsidR="005C4B45" w:rsidRPr="005C4B45" w:rsidRDefault="005C4B45" w:rsidP="005C4B4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C4B45" w:rsidRPr="005C4B45" w:rsidSect="005C4B4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24T12:13:00Z" w:initials="Start">
    <w:p w:rsidR="00E7104B" w:rsidRPr="005C4B45" w:rsidRDefault="00E7104B">
      <w:pPr>
        <w:pStyle w:val="CommentText"/>
        <w:rPr>
          <w:lang w:val="en-US"/>
        </w:rPr>
      </w:pPr>
      <w:r>
        <w:fldChar w:fldCharType="begin"/>
      </w:r>
      <w:r w:rsidRPr="005C4B45">
        <w:rPr>
          <w:rStyle w:val="CommentReference"/>
          <w:lang w:val="en-US"/>
        </w:rPr>
        <w:instrText xml:space="preserve"> </w:instrText>
      </w:r>
      <w:r w:rsidRPr="005C4B45">
        <w:rPr>
          <w:lang w:val="en-US"/>
        </w:rPr>
        <w:instrText>PAGE \# "'Page: '#'</w:instrText>
      </w:r>
      <w:r w:rsidRPr="005C4B45">
        <w:rPr>
          <w:lang w:val="en-US"/>
        </w:rPr>
        <w:br/>
        <w:instrText>'"</w:instrText>
      </w:r>
      <w:r w:rsidRPr="005C4B45">
        <w:rPr>
          <w:rStyle w:val="CommentReference"/>
          <w:lang w:val="en-US"/>
        </w:rPr>
        <w:instrText xml:space="preserve"> </w:instrText>
      </w:r>
      <w:r>
        <w:fldChar w:fldCharType="end"/>
      </w:r>
      <w:r>
        <w:rPr>
          <w:rStyle w:val="CommentReference"/>
        </w:rPr>
        <w:annotationRef/>
      </w:r>
      <w:r w:rsidRPr="005C4B45">
        <w:rPr>
          <w:lang w:val="en-US"/>
        </w:rPr>
        <w:t>&lt;&lt;ODS JOB NO&gt;&gt;N1712344S&lt;&lt;ODS JOB NO&gt;&gt;</w:t>
      </w:r>
    </w:p>
    <w:p w:rsidR="00E7104B" w:rsidRDefault="00E7104B">
      <w:pPr>
        <w:pStyle w:val="CommentText"/>
      </w:pPr>
      <w:r>
        <w:t>&lt;&lt;ODS DOC SYMBOL1&gt;&gt;CEDAW/C/67/1&lt;&lt;ODS DOC SYMBOL1&gt;&gt;</w:t>
      </w:r>
    </w:p>
    <w:p w:rsidR="00E7104B" w:rsidRDefault="00E710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647" w:rsidRDefault="00B57647" w:rsidP="00556720">
      <w:r>
        <w:separator/>
      </w:r>
    </w:p>
  </w:endnote>
  <w:endnote w:type="continuationSeparator" w:id="0">
    <w:p w:rsidR="00B57647" w:rsidRDefault="00B5764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7104B" w:rsidTr="00E7104B">
      <w:tc>
        <w:tcPr>
          <w:tcW w:w="5028" w:type="dxa"/>
          <w:shd w:val="clear" w:color="auto" w:fill="auto"/>
        </w:tcPr>
        <w:p w:rsidR="00E7104B" w:rsidRPr="00E7104B" w:rsidRDefault="00E7104B" w:rsidP="00E7104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17-07073</w:t>
          </w:r>
          <w:r>
            <w:rPr>
              <w:b w:val="0"/>
              <w:color w:val="000000"/>
              <w:w w:val="103"/>
              <w:sz w:val="14"/>
            </w:rPr>
            <w:fldChar w:fldCharType="end"/>
          </w:r>
        </w:p>
      </w:tc>
      <w:tc>
        <w:tcPr>
          <w:tcW w:w="5028" w:type="dxa"/>
          <w:shd w:val="clear" w:color="auto" w:fill="auto"/>
        </w:tcPr>
        <w:p w:rsidR="00E7104B" w:rsidRPr="00E7104B" w:rsidRDefault="00E7104B" w:rsidP="00E7104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D5105">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D5105">
            <w:rPr>
              <w:color w:val="000000"/>
              <w:w w:val="103"/>
            </w:rPr>
            <w:t>4</w:t>
          </w:r>
          <w:r>
            <w:rPr>
              <w:color w:val="000000"/>
              <w:w w:val="103"/>
            </w:rPr>
            <w:fldChar w:fldCharType="end"/>
          </w:r>
        </w:p>
      </w:tc>
    </w:tr>
  </w:tbl>
  <w:p w:rsidR="00E7104B" w:rsidRPr="00E7104B" w:rsidRDefault="00E7104B" w:rsidP="00E710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7104B" w:rsidTr="00E7104B">
      <w:tc>
        <w:tcPr>
          <w:tcW w:w="5028" w:type="dxa"/>
          <w:shd w:val="clear" w:color="auto" w:fill="auto"/>
        </w:tcPr>
        <w:p w:rsidR="00E7104B" w:rsidRPr="00E7104B" w:rsidRDefault="00E7104B" w:rsidP="00E7104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D5105">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D5105">
            <w:rPr>
              <w:color w:val="000000"/>
              <w:w w:val="103"/>
            </w:rPr>
            <w:t>3</w:t>
          </w:r>
          <w:r>
            <w:rPr>
              <w:color w:val="000000"/>
              <w:w w:val="103"/>
            </w:rPr>
            <w:fldChar w:fldCharType="end"/>
          </w:r>
        </w:p>
      </w:tc>
      <w:tc>
        <w:tcPr>
          <w:tcW w:w="5028" w:type="dxa"/>
          <w:shd w:val="clear" w:color="auto" w:fill="auto"/>
        </w:tcPr>
        <w:p w:rsidR="00E7104B" w:rsidRPr="00E7104B" w:rsidRDefault="00E7104B" w:rsidP="00E7104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17-07073</w:t>
          </w:r>
          <w:r>
            <w:rPr>
              <w:b w:val="0"/>
              <w:color w:val="000000"/>
              <w:w w:val="103"/>
              <w:sz w:val="14"/>
            </w:rPr>
            <w:fldChar w:fldCharType="end"/>
          </w:r>
        </w:p>
      </w:tc>
    </w:tr>
  </w:tbl>
  <w:p w:rsidR="00E7104B" w:rsidRPr="00E7104B" w:rsidRDefault="00E7104B" w:rsidP="00E710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4B" w:rsidRPr="00E7104B" w:rsidRDefault="00E7104B" w:rsidP="00E7104B">
    <w:pPr>
      <w:pStyle w:val="Footer"/>
      <w:spacing w:line="120" w:lineRule="exact"/>
      <w:rPr>
        <w:b w:val="0"/>
        <w:sz w:val="10"/>
      </w:rPr>
    </w:pPr>
    <w:r>
      <w:rPr>
        <w:b w:val="0"/>
        <w:sz w:val="10"/>
      </w:rPr>
      <w:drawing>
        <wp:anchor distT="0" distB="0" distL="114300" distR="114300" simplePos="0" relativeHeight="251658240" behindDoc="0" locked="0" layoutInCell="1" allowOverlap="1" wp14:anchorId="654762B8" wp14:editId="7EA307C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67/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7/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E7104B" w:rsidTr="00E7104B">
      <w:tc>
        <w:tcPr>
          <w:tcW w:w="3830" w:type="dxa"/>
        </w:tcPr>
        <w:p w:rsidR="00E7104B" w:rsidRDefault="00E7104B" w:rsidP="00E7104B">
          <w:pPr>
            <w:pStyle w:val="ReleaseDate"/>
          </w:pPr>
          <w:r>
            <w:t xml:space="preserve">17-07073 (S)    </w:t>
          </w:r>
          <w:r w:rsidR="006F0B49">
            <w:t>17</w:t>
          </w:r>
          <w:r>
            <w:t>0517    240517</w:t>
          </w:r>
        </w:p>
        <w:p w:rsidR="00E7104B" w:rsidRPr="00E7104B" w:rsidRDefault="00E7104B" w:rsidP="00E7104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*1707073*</w:t>
          </w:r>
        </w:p>
      </w:tc>
      <w:tc>
        <w:tcPr>
          <w:tcW w:w="5028" w:type="dxa"/>
        </w:tcPr>
        <w:p w:rsidR="00E7104B" w:rsidRDefault="00E7104B" w:rsidP="00E7104B">
          <w:pPr>
            <w:pStyle w:val="Footer"/>
            <w:jc w:val="right"/>
            <w:rPr>
              <w:b w:val="0"/>
              <w:sz w:val="20"/>
            </w:rPr>
          </w:pPr>
          <w:r>
            <w:rPr>
              <w:b w:val="0"/>
              <w:sz w:val="20"/>
            </w:rPr>
            <w:drawing>
              <wp:inline distT="0" distB="0" distL="0" distR="0" wp14:anchorId="4F6F574E" wp14:editId="7D7533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7104B" w:rsidRPr="00E7104B" w:rsidRDefault="00E7104B" w:rsidP="00E7104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647" w:rsidRDefault="00B57647" w:rsidP="00556720">
      <w:r>
        <w:separator/>
      </w:r>
    </w:p>
  </w:footnote>
  <w:footnote w:type="continuationSeparator" w:id="0">
    <w:p w:rsidR="00B57647" w:rsidRDefault="00B57647"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104B" w:rsidTr="00E7104B">
      <w:trPr>
        <w:trHeight w:hRule="exact" w:val="864"/>
      </w:trPr>
      <w:tc>
        <w:tcPr>
          <w:tcW w:w="4838" w:type="dxa"/>
          <w:shd w:val="clear" w:color="auto" w:fill="auto"/>
          <w:vAlign w:val="bottom"/>
        </w:tcPr>
        <w:p w:rsidR="00E7104B" w:rsidRPr="00E7104B" w:rsidRDefault="00E7104B" w:rsidP="00E7104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CEDAW/C/67/1</w:t>
          </w:r>
          <w:r>
            <w:rPr>
              <w:b/>
              <w:color w:val="000000"/>
            </w:rPr>
            <w:fldChar w:fldCharType="end"/>
          </w:r>
        </w:p>
      </w:tc>
      <w:tc>
        <w:tcPr>
          <w:tcW w:w="5028" w:type="dxa"/>
          <w:shd w:val="clear" w:color="auto" w:fill="auto"/>
          <w:vAlign w:val="bottom"/>
        </w:tcPr>
        <w:p w:rsidR="00E7104B" w:rsidRDefault="00E7104B" w:rsidP="00E7104B">
          <w:pPr>
            <w:pStyle w:val="Header"/>
          </w:pPr>
        </w:p>
      </w:tc>
    </w:tr>
  </w:tbl>
  <w:p w:rsidR="00E7104B" w:rsidRPr="00E7104B" w:rsidRDefault="00E7104B" w:rsidP="00E7104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104B" w:rsidTr="00E7104B">
      <w:trPr>
        <w:trHeight w:hRule="exact" w:val="864"/>
      </w:trPr>
      <w:tc>
        <w:tcPr>
          <w:tcW w:w="4838" w:type="dxa"/>
          <w:shd w:val="clear" w:color="auto" w:fill="auto"/>
          <w:vAlign w:val="bottom"/>
        </w:tcPr>
        <w:p w:rsidR="00E7104B" w:rsidRDefault="00E7104B" w:rsidP="00E7104B">
          <w:pPr>
            <w:pStyle w:val="Header"/>
          </w:pPr>
        </w:p>
      </w:tc>
      <w:tc>
        <w:tcPr>
          <w:tcW w:w="5028" w:type="dxa"/>
          <w:shd w:val="clear" w:color="auto" w:fill="auto"/>
          <w:vAlign w:val="bottom"/>
        </w:tcPr>
        <w:p w:rsidR="00E7104B" w:rsidRPr="00E7104B" w:rsidRDefault="00E7104B" w:rsidP="00E7104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CEDAW/C/67/1</w:t>
          </w:r>
          <w:r>
            <w:rPr>
              <w:b/>
              <w:color w:val="000000"/>
            </w:rPr>
            <w:fldChar w:fldCharType="end"/>
          </w:r>
        </w:p>
      </w:tc>
    </w:tr>
  </w:tbl>
  <w:p w:rsidR="00E7104B" w:rsidRPr="00E7104B" w:rsidRDefault="00E7104B" w:rsidP="00E7104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7104B" w:rsidTr="00E7104B">
      <w:trPr>
        <w:gridAfter w:val="1"/>
        <w:wAfter w:w="15" w:type="dxa"/>
        <w:trHeight w:hRule="exact" w:val="864"/>
      </w:trPr>
      <w:tc>
        <w:tcPr>
          <w:tcW w:w="1267" w:type="dxa"/>
          <w:tcBorders>
            <w:bottom w:val="single" w:sz="4" w:space="0" w:color="auto"/>
          </w:tcBorders>
          <w:shd w:val="clear" w:color="auto" w:fill="auto"/>
          <w:vAlign w:val="bottom"/>
        </w:tcPr>
        <w:p w:rsidR="00E7104B" w:rsidRDefault="00E7104B" w:rsidP="00E7104B">
          <w:pPr>
            <w:pStyle w:val="Header"/>
            <w:spacing w:after="120"/>
          </w:pPr>
        </w:p>
      </w:tc>
      <w:tc>
        <w:tcPr>
          <w:tcW w:w="2059" w:type="dxa"/>
          <w:tcBorders>
            <w:bottom w:val="single" w:sz="4" w:space="0" w:color="auto"/>
          </w:tcBorders>
          <w:shd w:val="clear" w:color="auto" w:fill="auto"/>
          <w:vAlign w:val="bottom"/>
        </w:tcPr>
        <w:p w:rsidR="00E7104B" w:rsidRPr="00E7104B" w:rsidRDefault="00E7104B" w:rsidP="00E7104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7104B" w:rsidRDefault="00E7104B" w:rsidP="00E7104B">
          <w:pPr>
            <w:pStyle w:val="Header"/>
            <w:spacing w:after="120"/>
          </w:pPr>
        </w:p>
      </w:tc>
      <w:tc>
        <w:tcPr>
          <w:tcW w:w="6480" w:type="dxa"/>
          <w:gridSpan w:val="3"/>
          <w:tcBorders>
            <w:bottom w:val="single" w:sz="4" w:space="0" w:color="auto"/>
          </w:tcBorders>
          <w:shd w:val="clear" w:color="auto" w:fill="auto"/>
          <w:vAlign w:val="bottom"/>
        </w:tcPr>
        <w:p w:rsidR="00E7104B" w:rsidRPr="00E7104B" w:rsidRDefault="00E7104B" w:rsidP="00E7104B">
          <w:pPr>
            <w:spacing w:after="80" w:line="240" w:lineRule="auto"/>
            <w:jc w:val="right"/>
            <w:rPr>
              <w:position w:val="-4"/>
            </w:rPr>
          </w:pPr>
          <w:r>
            <w:rPr>
              <w:position w:val="-4"/>
              <w:sz w:val="40"/>
            </w:rPr>
            <w:t>CEDAW</w:t>
          </w:r>
          <w:r>
            <w:rPr>
              <w:position w:val="-4"/>
            </w:rPr>
            <w:t>/C/67/1</w:t>
          </w:r>
        </w:p>
      </w:tc>
    </w:tr>
    <w:tr w:rsidR="00E7104B" w:rsidRPr="00E7104B" w:rsidTr="00E7104B">
      <w:trPr>
        <w:trHeight w:hRule="exact" w:val="2880"/>
      </w:trPr>
      <w:tc>
        <w:tcPr>
          <w:tcW w:w="1267" w:type="dxa"/>
          <w:tcBorders>
            <w:top w:val="single" w:sz="4" w:space="0" w:color="auto"/>
            <w:bottom w:val="single" w:sz="12" w:space="0" w:color="auto"/>
          </w:tcBorders>
          <w:shd w:val="clear" w:color="auto" w:fill="auto"/>
        </w:tcPr>
        <w:p w:rsidR="00E7104B" w:rsidRPr="00E7104B" w:rsidRDefault="00E7104B" w:rsidP="00E7104B">
          <w:pPr>
            <w:pStyle w:val="Header"/>
            <w:spacing w:before="120"/>
            <w:jc w:val="center"/>
          </w:pPr>
          <w:r>
            <w:t xml:space="preserve"> </w:t>
          </w:r>
          <w:r>
            <w:drawing>
              <wp:inline distT="0" distB="0" distL="0" distR="0" wp14:anchorId="7C76239B" wp14:editId="5B40F0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7104B" w:rsidRPr="00E7104B" w:rsidRDefault="00E7104B" w:rsidP="00E7104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7104B" w:rsidRPr="005C4B45" w:rsidRDefault="00E7104B" w:rsidP="00E7104B">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E7104B" w:rsidRDefault="00E7104B" w:rsidP="00E7104B">
          <w:pPr>
            <w:pStyle w:val="Distribution"/>
            <w:spacing w:before="240"/>
          </w:pPr>
          <w:r>
            <w:t>Distr. general</w:t>
          </w:r>
        </w:p>
        <w:p w:rsidR="00E7104B" w:rsidRDefault="00E7104B" w:rsidP="00E7104B">
          <w:pPr>
            <w:pStyle w:val="Publication"/>
          </w:pPr>
          <w:r>
            <w:t>3 de mayo de 2017</w:t>
          </w:r>
        </w:p>
        <w:p w:rsidR="00E7104B" w:rsidRDefault="00E7104B" w:rsidP="00E7104B">
          <w:r>
            <w:t>Español</w:t>
          </w:r>
        </w:p>
        <w:p w:rsidR="00E7104B" w:rsidRDefault="00E7104B" w:rsidP="00E7104B">
          <w:pPr>
            <w:pStyle w:val="Original"/>
          </w:pPr>
          <w:r>
            <w:t>Original: inglés</w:t>
          </w:r>
        </w:p>
        <w:p w:rsidR="00E7104B" w:rsidRPr="00E7104B" w:rsidRDefault="00E7104B" w:rsidP="00E7104B"/>
      </w:tc>
    </w:tr>
  </w:tbl>
  <w:p w:rsidR="00E7104B" w:rsidRPr="00E7104B" w:rsidRDefault="00E7104B" w:rsidP="00E7104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E1431D6"/>
    <w:multiLevelType w:val="hybridMultilevel"/>
    <w:tmpl w:val="D340D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073*"/>
    <w:docVar w:name="CreationDt" w:val="24/05/2017 12:13 PM"/>
    <w:docVar w:name="DocCategory" w:val="Doc"/>
    <w:docVar w:name="DocType" w:val="Final"/>
    <w:docVar w:name="DutyStation" w:val="New York"/>
    <w:docVar w:name="FooterJN" w:val="17-07073"/>
    <w:docVar w:name="jobn" w:val="17-07073 (S)"/>
    <w:docVar w:name="jobnDT" w:val="17-07073 (S)   240517"/>
    <w:docVar w:name="jobnDTDT" w:val="17-07073 (S)   240517   240517"/>
    <w:docVar w:name="JobNo" w:val="1707073S"/>
    <w:docVar w:name="JobNo2" w:val="171234412:13 PM"/>
    <w:docVar w:name="LocalDrive" w:val="0"/>
    <w:docVar w:name="OandT" w:val="pl"/>
    <w:docVar w:name="sss1" w:val="CEDAW/C/67/1"/>
    <w:docVar w:name="sss2" w:val="-"/>
    <w:docVar w:name="Symbol1" w:val="CEDAW/C/67/1"/>
    <w:docVar w:name="Symbol2" w:val="-"/>
  </w:docVars>
  <w:rsids>
    <w:rsidRoot w:val="00B57647"/>
    <w:rsid w:val="00017FCF"/>
    <w:rsid w:val="000223A9"/>
    <w:rsid w:val="00024D1E"/>
    <w:rsid w:val="000C4C9C"/>
    <w:rsid w:val="0014261A"/>
    <w:rsid w:val="0016789C"/>
    <w:rsid w:val="00214645"/>
    <w:rsid w:val="002706A2"/>
    <w:rsid w:val="0033339C"/>
    <w:rsid w:val="003E3B08"/>
    <w:rsid w:val="003E723B"/>
    <w:rsid w:val="0044179B"/>
    <w:rsid w:val="004666AB"/>
    <w:rsid w:val="004856CD"/>
    <w:rsid w:val="004B4C46"/>
    <w:rsid w:val="004D17DB"/>
    <w:rsid w:val="004E37E8"/>
    <w:rsid w:val="00513D96"/>
    <w:rsid w:val="00556720"/>
    <w:rsid w:val="00565640"/>
    <w:rsid w:val="005C49C8"/>
    <w:rsid w:val="005C4B45"/>
    <w:rsid w:val="00674235"/>
    <w:rsid w:val="006D0476"/>
    <w:rsid w:val="006F0B49"/>
    <w:rsid w:val="00783E8B"/>
    <w:rsid w:val="00800A23"/>
    <w:rsid w:val="00846D29"/>
    <w:rsid w:val="00855FFA"/>
    <w:rsid w:val="008723C3"/>
    <w:rsid w:val="009366B4"/>
    <w:rsid w:val="00945D1B"/>
    <w:rsid w:val="009E1969"/>
    <w:rsid w:val="00A20AC0"/>
    <w:rsid w:val="00AD0114"/>
    <w:rsid w:val="00B265F3"/>
    <w:rsid w:val="00B57647"/>
    <w:rsid w:val="00BD5105"/>
    <w:rsid w:val="00BF5B27"/>
    <w:rsid w:val="00BF6BE0"/>
    <w:rsid w:val="00C53957"/>
    <w:rsid w:val="00C75116"/>
    <w:rsid w:val="00C779E4"/>
    <w:rsid w:val="00D526E8"/>
    <w:rsid w:val="00D81DE5"/>
    <w:rsid w:val="00DC7B16"/>
    <w:rsid w:val="00E7104B"/>
    <w:rsid w:val="00EF6B5C"/>
    <w:rsid w:val="00F27BF6"/>
    <w:rsid w:val="00F30184"/>
    <w:rsid w:val="00F47CEA"/>
    <w:rsid w:val="00F5593E"/>
    <w:rsid w:val="00F85C41"/>
    <w:rsid w:val="00F94BC6"/>
    <w:rsid w:val="00FA700D"/>
    <w:rsid w:val="00FD2F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C4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85C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85C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85C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85C4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85C4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85C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85C4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85C4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85C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85C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F85C41"/>
    <w:pPr>
      <w:keepNext/>
      <w:keepLines/>
      <w:spacing w:line="270" w:lineRule="exact"/>
      <w:outlineLvl w:val="0"/>
    </w:pPr>
    <w:rPr>
      <w:b/>
      <w:kern w:val="14"/>
      <w:sz w:val="24"/>
    </w:rPr>
  </w:style>
  <w:style w:type="paragraph" w:customStyle="1" w:styleId="HCh">
    <w:name w:val="_ H _Ch"/>
    <w:basedOn w:val="H1"/>
    <w:next w:val="Normal"/>
    <w:qFormat/>
    <w:rsid w:val="00F85C41"/>
    <w:pPr>
      <w:spacing w:line="300" w:lineRule="exact"/>
    </w:pPr>
    <w:rPr>
      <w:spacing w:val="-2"/>
      <w:sz w:val="28"/>
    </w:rPr>
  </w:style>
  <w:style w:type="paragraph" w:customStyle="1" w:styleId="HM">
    <w:name w:val="_ H __M"/>
    <w:basedOn w:val="HCh"/>
    <w:next w:val="Normal"/>
    <w:qFormat/>
    <w:rsid w:val="00F85C41"/>
    <w:pPr>
      <w:spacing w:line="360" w:lineRule="exact"/>
    </w:pPr>
    <w:rPr>
      <w:spacing w:val="-3"/>
      <w:w w:val="99"/>
      <w:sz w:val="34"/>
    </w:rPr>
  </w:style>
  <w:style w:type="paragraph" w:customStyle="1" w:styleId="H23">
    <w:name w:val="_ H_2/3"/>
    <w:basedOn w:val="H1"/>
    <w:next w:val="SingleTxt"/>
    <w:qFormat/>
    <w:rsid w:val="00F85C41"/>
    <w:pPr>
      <w:spacing w:line="240" w:lineRule="exact"/>
      <w:outlineLvl w:val="1"/>
    </w:pPr>
    <w:rPr>
      <w:spacing w:val="2"/>
      <w:sz w:val="20"/>
    </w:rPr>
  </w:style>
  <w:style w:type="paragraph" w:customStyle="1" w:styleId="H4">
    <w:name w:val="_ H_4"/>
    <w:basedOn w:val="Normal"/>
    <w:next w:val="SingleTxt"/>
    <w:qFormat/>
    <w:rsid w:val="00F85C41"/>
    <w:pPr>
      <w:keepNext/>
      <w:keepLines/>
      <w:tabs>
        <w:tab w:val="right" w:pos="360"/>
      </w:tabs>
      <w:outlineLvl w:val="3"/>
    </w:pPr>
    <w:rPr>
      <w:i/>
      <w:spacing w:val="3"/>
      <w:kern w:val="14"/>
    </w:rPr>
  </w:style>
  <w:style w:type="paragraph" w:customStyle="1" w:styleId="H56">
    <w:name w:val="_ H_5/6"/>
    <w:basedOn w:val="Normal"/>
    <w:next w:val="Normal"/>
    <w:qFormat/>
    <w:rsid w:val="00F85C41"/>
    <w:pPr>
      <w:keepNext/>
      <w:keepLines/>
      <w:tabs>
        <w:tab w:val="right" w:pos="360"/>
      </w:tabs>
      <w:outlineLvl w:val="4"/>
    </w:pPr>
    <w:rPr>
      <w:kern w:val="14"/>
    </w:rPr>
  </w:style>
  <w:style w:type="paragraph" w:customStyle="1" w:styleId="DualTxt">
    <w:name w:val="__Dual Txt"/>
    <w:basedOn w:val="Normal"/>
    <w:qFormat/>
    <w:rsid w:val="00F85C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85C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85C41"/>
    <w:pPr>
      <w:spacing w:line="540" w:lineRule="exact"/>
    </w:pPr>
    <w:rPr>
      <w:spacing w:val="-8"/>
      <w:w w:val="96"/>
      <w:sz w:val="57"/>
    </w:rPr>
  </w:style>
  <w:style w:type="paragraph" w:customStyle="1" w:styleId="SS">
    <w:name w:val="__S_S"/>
    <w:basedOn w:val="HCh"/>
    <w:next w:val="Normal"/>
    <w:qFormat/>
    <w:rsid w:val="00F85C41"/>
    <w:pPr>
      <w:ind w:left="1267" w:right="1267"/>
    </w:pPr>
  </w:style>
  <w:style w:type="paragraph" w:customStyle="1" w:styleId="SingleTxt">
    <w:name w:val="__Single Txt"/>
    <w:basedOn w:val="Normal"/>
    <w:qFormat/>
    <w:rsid w:val="00F85C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85C4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85C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85C41"/>
    <w:pPr>
      <w:keepNext/>
      <w:keepLines/>
      <w:spacing w:line="240" w:lineRule="exact"/>
      <w:ind w:left="0" w:right="0" w:firstLine="0"/>
      <w:outlineLvl w:val="1"/>
    </w:pPr>
    <w:rPr>
      <w:sz w:val="20"/>
    </w:rPr>
  </w:style>
  <w:style w:type="paragraph" w:styleId="BalloonText">
    <w:name w:val="Balloon Text"/>
    <w:basedOn w:val="Normal"/>
    <w:link w:val="BalloonTextChar"/>
    <w:semiHidden/>
    <w:rsid w:val="00F85C41"/>
    <w:rPr>
      <w:rFonts w:ascii="Tahoma" w:hAnsi="Tahoma" w:cs="Tahoma"/>
      <w:sz w:val="16"/>
      <w:szCs w:val="16"/>
    </w:rPr>
  </w:style>
  <w:style w:type="character" w:customStyle="1" w:styleId="BalloonTextChar">
    <w:name w:val="Balloon Text Char"/>
    <w:basedOn w:val="DefaultParagraphFont"/>
    <w:link w:val="BalloonText"/>
    <w:semiHidden/>
    <w:rsid w:val="00F85C41"/>
    <w:rPr>
      <w:rFonts w:ascii="Tahoma" w:hAnsi="Tahoma" w:cs="Tahoma"/>
      <w:spacing w:val="4"/>
      <w:w w:val="103"/>
      <w:sz w:val="16"/>
      <w:szCs w:val="16"/>
      <w:lang w:val="es-ES" w:eastAsia="en-US"/>
    </w:rPr>
  </w:style>
  <w:style w:type="paragraph" w:customStyle="1" w:styleId="Bullet1">
    <w:name w:val="Bullet 1"/>
    <w:basedOn w:val="Normal"/>
    <w:qFormat/>
    <w:rsid w:val="00F85C41"/>
    <w:pPr>
      <w:numPr>
        <w:numId w:val="21"/>
      </w:numPr>
      <w:spacing w:after="120"/>
      <w:ind w:right="1264"/>
      <w:jc w:val="both"/>
    </w:pPr>
  </w:style>
  <w:style w:type="paragraph" w:customStyle="1" w:styleId="Bullet2">
    <w:name w:val="Bullet 2"/>
    <w:basedOn w:val="Normal"/>
    <w:qFormat/>
    <w:rsid w:val="00F85C41"/>
    <w:pPr>
      <w:numPr>
        <w:numId w:val="22"/>
      </w:numPr>
      <w:spacing w:after="120"/>
      <w:ind w:right="1264"/>
      <w:jc w:val="both"/>
    </w:pPr>
  </w:style>
  <w:style w:type="paragraph" w:customStyle="1" w:styleId="Bullet3">
    <w:name w:val="Bullet 3"/>
    <w:basedOn w:val="SingleTxt"/>
    <w:qFormat/>
    <w:rsid w:val="00F85C41"/>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85C41"/>
    <w:pPr>
      <w:spacing w:line="240" w:lineRule="auto"/>
    </w:pPr>
    <w:rPr>
      <w:b/>
      <w:bCs/>
      <w:color w:val="4F81BD"/>
      <w:sz w:val="18"/>
      <w:szCs w:val="18"/>
    </w:rPr>
  </w:style>
  <w:style w:type="character" w:styleId="CommentReference">
    <w:name w:val="annotation reference"/>
    <w:semiHidden/>
    <w:rsid w:val="00F85C41"/>
    <w:rPr>
      <w:sz w:val="6"/>
    </w:rPr>
  </w:style>
  <w:style w:type="paragraph" w:customStyle="1" w:styleId="Distribution">
    <w:name w:val="Distribution"/>
    <w:next w:val="Normal"/>
    <w:autoRedefine/>
    <w:qFormat/>
    <w:rsid w:val="00F85C4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85C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5C4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85C41"/>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F85C41"/>
    <w:pPr>
      <w:spacing w:after="80"/>
    </w:pPr>
  </w:style>
  <w:style w:type="character" w:customStyle="1" w:styleId="EndnoteTextChar">
    <w:name w:val="Endnote Text Char"/>
    <w:basedOn w:val="DefaultParagraphFont"/>
    <w:link w:val="EndnoteText"/>
    <w:semiHidden/>
    <w:rsid w:val="00F85C41"/>
    <w:rPr>
      <w:rFonts w:ascii="Times New Roman" w:hAnsi="Times New Roman" w:cs="Times New Roman"/>
      <w:spacing w:val="5"/>
      <w:w w:val="104"/>
      <w:sz w:val="17"/>
      <w:lang w:val="es-ES" w:eastAsia="en-US"/>
    </w:rPr>
  </w:style>
  <w:style w:type="paragraph" w:styleId="Footer">
    <w:name w:val="footer"/>
    <w:link w:val="FooterChar"/>
    <w:qFormat/>
    <w:rsid w:val="00F85C4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85C41"/>
    <w:rPr>
      <w:rFonts w:ascii="Times New Roman" w:hAnsi="Times New Roman" w:cs="Times New Roman"/>
      <w:b/>
      <w:noProof/>
      <w:sz w:val="17"/>
      <w:lang w:val="en-US" w:eastAsia="en-US"/>
    </w:rPr>
  </w:style>
  <w:style w:type="character" w:styleId="FootnoteReference">
    <w:name w:val="footnote reference"/>
    <w:semiHidden/>
    <w:rsid w:val="00F85C4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85C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85C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85C41"/>
    <w:pPr>
      <w:spacing w:before="240"/>
    </w:pPr>
    <w:rPr>
      <w:b/>
      <w:spacing w:val="-2"/>
      <w:w w:val="100"/>
    </w:rPr>
  </w:style>
  <w:style w:type="paragraph" w:customStyle="1" w:styleId="HdChapterBdLg">
    <w:name w:val="Hd Chapter Bd Lg"/>
    <w:basedOn w:val="HdChapterBD"/>
    <w:next w:val="Normal"/>
    <w:qFormat/>
    <w:rsid w:val="00F85C41"/>
    <w:rPr>
      <w:spacing w:val="-3"/>
      <w:w w:val="99"/>
      <w:kern w:val="14"/>
      <w:sz w:val="34"/>
      <w:szCs w:val="34"/>
    </w:rPr>
  </w:style>
  <w:style w:type="paragraph" w:styleId="Header">
    <w:name w:val="header"/>
    <w:link w:val="HeaderChar"/>
    <w:qFormat/>
    <w:rsid w:val="00F85C4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F85C41"/>
    <w:rPr>
      <w:rFonts w:ascii="Times New Roman" w:hAnsi="Times New Roman" w:cs="Times New Roman"/>
      <w:noProof/>
      <w:sz w:val="17"/>
      <w:lang w:val="en-US" w:eastAsia="en-US"/>
    </w:rPr>
  </w:style>
  <w:style w:type="character" w:customStyle="1" w:styleId="Heading1Char">
    <w:name w:val="Heading 1 Char"/>
    <w:link w:val="Heading1"/>
    <w:uiPriority w:val="9"/>
    <w:rsid w:val="00F85C4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85C4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85C4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85C4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85C4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85C4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85C4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85C4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85C4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85C41"/>
    <w:pPr>
      <w:keepNext/>
      <w:spacing w:before="190" w:line="270" w:lineRule="exact"/>
    </w:pPr>
    <w:rPr>
      <w:b/>
      <w:kern w:val="14"/>
      <w:sz w:val="24"/>
    </w:rPr>
  </w:style>
  <w:style w:type="paragraph" w:customStyle="1" w:styleId="JournalHeading2">
    <w:name w:val="Journal_Heading2"/>
    <w:basedOn w:val="Normal"/>
    <w:next w:val="Normal"/>
    <w:qFormat/>
    <w:rsid w:val="00F85C41"/>
    <w:pPr>
      <w:keepNext/>
      <w:keepLines/>
      <w:spacing w:before="240"/>
      <w:outlineLvl w:val="1"/>
    </w:pPr>
    <w:rPr>
      <w:b/>
      <w:spacing w:val="2"/>
      <w:kern w:val="14"/>
    </w:rPr>
  </w:style>
  <w:style w:type="paragraph" w:customStyle="1" w:styleId="JournalHeading4">
    <w:name w:val="Journal_Heading4"/>
    <w:basedOn w:val="Normal"/>
    <w:next w:val="Normal"/>
    <w:qFormat/>
    <w:rsid w:val="00F85C41"/>
    <w:pPr>
      <w:keepNext/>
      <w:keepLines/>
      <w:spacing w:before="240"/>
      <w:outlineLvl w:val="3"/>
    </w:pPr>
    <w:rPr>
      <w:i/>
      <w:kern w:val="14"/>
    </w:rPr>
  </w:style>
  <w:style w:type="character" w:styleId="LineNumber">
    <w:name w:val="line number"/>
    <w:qFormat/>
    <w:rsid w:val="00F85C41"/>
    <w:rPr>
      <w:sz w:val="14"/>
    </w:rPr>
  </w:style>
  <w:style w:type="paragraph" w:styleId="NoSpacing">
    <w:name w:val="No Spacing"/>
    <w:basedOn w:val="Normal"/>
    <w:uiPriority w:val="1"/>
    <w:rsid w:val="00F85C41"/>
    <w:pPr>
      <w:spacing w:line="240" w:lineRule="auto"/>
    </w:pPr>
  </w:style>
  <w:style w:type="paragraph" w:customStyle="1" w:styleId="NormalBullet">
    <w:name w:val="Normal Bullet"/>
    <w:basedOn w:val="Normal"/>
    <w:next w:val="Normal"/>
    <w:qFormat/>
    <w:rsid w:val="00F85C41"/>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F85C41"/>
    <w:pPr>
      <w:tabs>
        <w:tab w:val="left" w:leader="dot" w:pos="2218"/>
        <w:tab w:val="left" w:pos="2707"/>
        <w:tab w:val="right" w:leader="dot" w:pos="9835"/>
      </w:tabs>
    </w:pPr>
    <w:rPr>
      <w:kern w:val="14"/>
    </w:rPr>
  </w:style>
  <w:style w:type="paragraph" w:customStyle="1" w:styleId="Original">
    <w:name w:val="Original"/>
    <w:next w:val="Normal"/>
    <w:autoRedefine/>
    <w:qFormat/>
    <w:rsid w:val="00F85C4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85C4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F85C4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F85C41"/>
    <w:pPr>
      <w:tabs>
        <w:tab w:val="right" w:pos="9965"/>
      </w:tabs>
      <w:spacing w:line="210" w:lineRule="exact"/>
    </w:pPr>
    <w:rPr>
      <w:spacing w:val="5"/>
      <w:w w:val="104"/>
      <w:kern w:val="14"/>
      <w:sz w:val="17"/>
    </w:rPr>
  </w:style>
  <w:style w:type="paragraph" w:customStyle="1" w:styleId="SmallX">
    <w:name w:val="SmallX"/>
    <w:basedOn w:val="Small"/>
    <w:next w:val="Normal"/>
    <w:qFormat/>
    <w:rsid w:val="00F85C41"/>
    <w:pPr>
      <w:spacing w:line="180" w:lineRule="exact"/>
      <w:jc w:val="right"/>
    </w:pPr>
    <w:rPr>
      <w:spacing w:val="6"/>
      <w:w w:val="106"/>
      <w:sz w:val="14"/>
    </w:rPr>
  </w:style>
  <w:style w:type="paragraph" w:customStyle="1" w:styleId="TitleHCH">
    <w:name w:val="Title_H_CH"/>
    <w:basedOn w:val="HCh"/>
    <w:next w:val="SingleTxt"/>
    <w:qFormat/>
    <w:rsid w:val="00F85C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85C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85C41"/>
    <w:pPr>
      <w:outlineLvl w:val="9"/>
    </w:pPr>
    <w:rPr>
      <w:rFonts w:eastAsiaTheme="majorEastAsia" w:cstheme="majorBidi"/>
      <w:lang w:bidi="en-US"/>
    </w:rPr>
  </w:style>
  <w:style w:type="paragraph" w:customStyle="1" w:styleId="XLarge">
    <w:name w:val="XLarge"/>
    <w:basedOn w:val="HM"/>
    <w:qFormat/>
    <w:rsid w:val="00F85C41"/>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E7104B"/>
    <w:pPr>
      <w:spacing w:line="240" w:lineRule="auto"/>
    </w:pPr>
    <w:rPr>
      <w:szCs w:val="20"/>
    </w:rPr>
  </w:style>
  <w:style w:type="character" w:customStyle="1" w:styleId="CommentTextChar">
    <w:name w:val="Comment Text Char"/>
    <w:basedOn w:val="DefaultParagraphFont"/>
    <w:link w:val="CommentText"/>
    <w:uiPriority w:val="99"/>
    <w:semiHidden/>
    <w:rsid w:val="00E7104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7104B"/>
    <w:rPr>
      <w:b/>
      <w:bCs/>
    </w:rPr>
  </w:style>
  <w:style w:type="character" w:customStyle="1" w:styleId="CommentSubjectChar">
    <w:name w:val="Comment Subject Char"/>
    <w:basedOn w:val="CommentTextChar"/>
    <w:link w:val="CommentSubject"/>
    <w:uiPriority w:val="99"/>
    <w:semiHidden/>
    <w:rsid w:val="00E7104B"/>
    <w:rPr>
      <w:rFonts w:ascii="Times New Roman" w:hAnsi="Times New Roman" w:cs="Times New Roman"/>
      <w:b/>
      <w:bCs/>
      <w:spacing w:val="4"/>
      <w:w w:val="103"/>
      <w:sz w:val="20"/>
      <w:szCs w:val="20"/>
      <w:lang w:val="es-ES" w:eastAsia="en-US"/>
    </w:rPr>
  </w:style>
  <w:style w:type="paragraph" w:styleId="PlainText">
    <w:name w:val="Plain Text"/>
    <w:basedOn w:val="Normal"/>
    <w:link w:val="PlainTextChar"/>
    <w:uiPriority w:val="99"/>
    <w:semiHidden/>
    <w:unhideWhenUsed/>
    <w:rsid w:val="005C4B45"/>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C4B45"/>
    <w:rPr>
      <w:rFonts w:ascii="Consolas" w:hAnsi="Consolas" w:cs="Times New Roman"/>
      <w:spacing w:val="4"/>
      <w:w w:val="103"/>
      <w:sz w:val="21"/>
      <w:szCs w:val="21"/>
      <w:lang w:val="es-ES" w:eastAsia="en-US"/>
    </w:rPr>
  </w:style>
  <w:style w:type="character" w:styleId="Hyperlink">
    <w:name w:val="Hyperlink"/>
    <w:basedOn w:val="DefaultParagraphFont"/>
    <w:uiPriority w:val="99"/>
    <w:unhideWhenUsed/>
    <w:rsid w:val="005C4B45"/>
    <w:rPr>
      <w:color w:val="0000FF" w:themeColor="hyperlink"/>
      <w:u w:val="none"/>
    </w:rPr>
  </w:style>
  <w:style w:type="character" w:styleId="FollowedHyperlink">
    <w:name w:val="FollowedHyperlink"/>
    <w:basedOn w:val="DefaultParagraphFont"/>
    <w:uiPriority w:val="99"/>
    <w:semiHidden/>
    <w:unhideWhenUsed/>
    <w:rsid w:val="005C4B4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C4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85C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85C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85C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85C4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85C4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85C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85C4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85C4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85C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85C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F85C41"/>
    <w:pPr>
      <w:keepNext/>
      <w:keepLines/>
      <w:spacing w:line="270" w:lineRule="exact"/>
      <w:outlineLvl w:val="0"/>
    </w:pPr>
    <w:rPr>
      <w:b/>
      <w:kern w:val="14"/>
      <w:sz w:val="24"/>
    </w:rPr>
  </w:style>
  <w:style w:type="paragraph" w:customStyle="1" w:styleId="HCh">
    <w:name w:val="_ H _Ch"/>
    <w:basedOn w:val="H1"/>
    <w:next w:val="Normal"/>
    <w:qFormat/>
    <w:rsid w:val="00F85C41"/>
    <w:pPr>
      <w:spacing w:line="300" w:lineRule="exact"/>
    </w:pPr>
    <w:rPr>
      <w:spacing w:val="-2"/>
      <w:sz w:val="28"/>
    </w:rPr>
  </w:style>
  <w:style w:type="paragraph" w:customStyle="1" w:styleId="HM">
    <w:name w:val="_ H __M"/>
    <w:basedOn w:val="HCh"/>
    <w:next w:val="Normal"/>
    <w:qFormat/>
    <w:rsid w:val="00F85C41"/>
    <w:pPr>
      <w:spacing w:line="360" w:lineRule="exact"/>
    </w:pPr>
    <w:rPr>
      <w:spacing w:val="-3"/>
      <w:w w:val="99"/>
      <w:sz w:val="34"/>
    </w:rPr>
  </w:style>
  <w:style w:type="paragraph" w:customStyle="1" w:styleId="H23">
    <w:name w:val="_ H_2/3"/>
    <w:basedOn w:val="H1"/>
    <w:next w:val="SingleTxt"/>
    <w:qFormat/>
    <w:rsid w:val="00F85C41"/>
    <w:pPr>
      <w:spacing w:line="240" w:lineRule="exact"/>
      <w:outlineLvl w:val="1"/>
    </w:pPr>
    <w:rPr>
      <w:spacing w:val="2"/>
      <w:sz w:val="20"/>
    </w:rPr>
  </w:style>
  <w:style w:type="paragraph" w:customStyle="1" w:styleId="H4">
    <w:name w:val="_ H_4"/>
    <w:basedOn w:val="Normal"/>
    <w:next w:val="SingleTxt"/>
    <w:qFormat/>
    <w:rsid w:val="00F85C41"/>
    <w:pPr>
      <w:keepNext/>
      <w:keepLines/>
      <w:tabs>
        <w:tab w:val="right" w:pos="360"/>
      </w:tabs>
      <w:outlineLvl w:val="3"/>
    </w:pPr>
    <w:rPr>
      <w:i/>
      <w:spacing w:val="3"/>
      <w:kern w:val="14"/>
    </w:rPr>
  </w:style>
  <w:style w:type="paragraph" w:customStyle="1" w:styleId="H56">
    <w:name w:val="_ H_5/6"/>
    <w:basedOn w:val="Normal"/>
    <w:next w:val="Normal"/>
    <w:qFormat/>
    <w:rsid w:val="00F85C41"/>
    <w:pPr>
      <w:keepNext/>
      <w:keepLines/>
      <w:tabs>
        <w:tab w:val="right" w:pos="360"/>
      </w:tabs>
      <w:outlineLvl w:val="4"/>
    </w:pPr>
    <w:rPr>
      <w:kern w:val="14"/>
    </w:rPr>
  </w:style>
  <w:style w:type="paragraph" w:customStyle="1" w:styleId="DualTxt">
    <w:name w:val="__Dual Txt"/>
    <w:basedOn w:val="Normal"/>
    <w:qFormat/>
    <w:rsid w:val="00F85C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85C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85C41"/>
    <w:pPr>
      <w:spacing w:line="540" w:lineRule="exact"/>
    </w:pPr>
    <w:rPr>
      <w:spacing w:val="-8"/>
      <w:w w:val="96"/>
      <w:sz w:val="57"/>
    </w:rPr>
  </w:style>
  <w:style w:type="paragraph" w:customStyle="1" w:styleId="SS">
    <w:name w:val="__S_S"/>
    <w:basedOn w:val="HCh"/>
    <w:next w:val="Normal"/>
    <w:qFormat/>
    <w:rsid w:val="00F85C41"/>
    <w:pPr>
      <w:ind w:left="1267" w:right="1267"/>
    </w:pPr>
  </w:style>
  <w:style w:type="paragraph" w:customStyle="1" w:styleId="SingleTxt">
    <w:name w:val="__Single Txt"/>
    <w:basedOn w:val="Normal"/>
    <w:qFormat/>
    <w:rsid w:val="00F85C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85C4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85C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85C41"/>
    <w:pPr>
      <w:keepNext/>
      <w:keepLines/>
      <w:spacing w:line="240" w:lineRule="exact"/>
      <w:ind w:left="0" w:right="0" w:firstLine="0"/>
      <w:outlineLvl w:val="1"/>
    </w:pPr>
    <w:rPr>
      <w:sz w:val="20"/>
    </w:rPr>
  </w:style>
  <w:style w:type="paragraph" w:styleId="BalloonText">
    <w:name w:val="Balloon Text"/>
    <w:basedOn w:val="Normal"/>
    <w:link w:val="BalloonTextChar"/>
    <w:semiHidden/>
    <w:rsid w:val="00F85C41"/>
    <w:rPr>
      <w:rFonts w:ascii="Tahoma" w:hAnsi="Tahoma" w:cs="Tahoma"/>
      <w:sz w:val="16"/>
      <w:szCs w:val="16"/>
    </w:rPr>
  </w:style>
  <w:style w:type="character" w:customStyle="1" w:styleId="BalloonTextChar">
    <w:name w:val="Balloon Text Char"/>
    <w:basedOn w:val="DefaultParagraphFont"/>
    <w:link w:val="BalloonText"/>
    <w:semiHidden/>
    <w:rsid w:val="00F85C41"/>
    <w:rPr>
      <w:rFonts w:ascii="Tahoma" w:hAnsi="Tahoma" w:cs="Tahoma"/>
      <w:spacing w:val="4"/>
      <w:w w:val="103"/>
      <w:sz w:val="16"/>
      <w:szCs w:val="16"/>
      <w:lang w:val="es-ES" w:eastAsia="en-US"/>
    </w:rPr>
  </w:style>
  <w:style w:type="paragraph" w:customStyle="1" w:styleId="Bullet1">
    <w:name w:val="Bullet 1"/>
    <w:basedOn w:val="Normal"/>
    <w:qFormat/>
    <w:rsid w:val="00F85C41"/>
    <w:pPr>
      <w:numPr>
        <w:numId w:val="21"/>
      </w:numPr>
      <w:spacing w:after="120"/>
      <w:ind w:right="1264"/>
      <w:jc w:val="both"/>
    </w:pPr>
  </w:style>
  <w:style w:type="paragraph" w:customStyle="1" w:styleId="Bullet2">
    <w:name w:val="Bullet 2"/>
    <w:basedOn w:val="Normal"/>
    <w:qFormat/>
    <w:rsid w:val="00F85C41"/>
    <w:pPr>
      <w:numPr>
        <w:numId w:val="22"/>
      </w:numPr>
      <w:spacing w:after="120"/>
      <w:ind w:right="1264"/>
      <w:jc w:val="both"/>
    </w:pPr>
  </w:style>
  <w:style w:type="paragraph" w:customStyle="1" w:styleId="Bullet3">
    <w:name w:val="Bullet 3"/>
    <w:basedOn w:val="SingleTxt"/>
    <w:qFormat/>
    <w:rsid w:val="00F85C41"/>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85C41"/>
    <w:pPr>
      <w:spacing w:line="240" w:lineRule="auto"/>
    </w:pPr>
    <w:rPr>
      <w:b/>
      <w:bCs/>
      <w:color w:val="4F81BD"/>
      <w:sz w:val="18"/>
      <w:szCs w:val="18"/>
    </w:rPr>
  </w:style>
  <w:style w:type="character" w:styleId="CommentReference">
    <w:name w:val="annotation reference"/>
    <w:semiHidden/>
    <w:rsid w:val="00F85C41"/>
    <w:rPr>
      <w:sz w:val="6"/>
    </w:rPr>
  </w:style>
  <w:style w:type="paragraph" w:customStyle="1" w:styleId="Distribution">
    <w:name w:val="Distribution"/>
    <w:next w:val="Normal"/>
    <w:autoRedefine/>
    <w:qFormat/>
    <w:rsid w:val="00F85C4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85C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5C4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85C41"/>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F85C41"/>
    <w:pPr>
      <w:spacing w:after="80"/>
    </w:pPr>
  </w:style>
  <w:style w:type="character" w:customStyle="1" w:styleId="EndnoteTextChar">
    <w:name w:val="Endnote Text Char"/>
    <w:basedOn w:val="DefaultParagraphFont"/>
    <w:link w:val="EndnoteText"/>
    <w:semiHidden/>
    <w:rsid w:val="00F85C41"/>
    <w:rPr>
      <w:rFonts w:ascii="Times New Roman" w:hAnsi="Times New Roman" w:cs="Times New Roman"/>
      <w:spacing w:val="5"/>
      <w:w w:val="104"/>
      <w:sz w:val="17"/>
      <w:lang w:val="es-ES" w:eastAsia="en-US"/>
    </w:rPr>
  </w:style>
  <w:style w:type="paragraph" w:styleId="Footer">
    <w:name w:val="footer"/>
    <w:link w:val="FooterChar"/>
    <w:qFormat/>
    <w:rsid w:val="00F85C4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85C41"/>
    <w:rPr>
      <w:rFonts w:ascii="Times New Roman" w:hAnsi="Times New Roman" w:cs="Times New Roman"/>
      <w:b/>
      <w:noProof/>
      <w:sz w:val="17"/>
      <w:lang w:val="en-US" w:eastAsia="en-US"/>
    </w:rPr>
  </w:style>
  <w:style w:type="character" w:styleId="FootnoteReference">
    <w:name w:val="footnote reference"/>
    <w:semiHidden/>
    <w:rsid w:val="00F85C4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85C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85C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85C41"/>
    <w:pPr>
      <w:spacing w:before="240"/>
    </w:pPr>
    <w:rPr>
      <w:b/>
      <w:spacing w:val="-2"/>
      <w:w w:val="100"/>
    </w:rPr>
  </w:style>
  <w:style w:type="paragraph" w:customStyle="1" w:styleId="HdChapterBdLg">
    <w:name w:val="Hd Chapter Bd Lg"/>
    <w:basedOn w:val="HdChapterBD"/>
    <w:next w:val="Normal"/>
    <w:qFormat/>
    <w:rsid w:val="00F85C41"/>
    <w:rPr>
      <w:spacing w:val="-3"/>
      <w:w w:val="99"/>
      <w:kern w:val="14"/>
      <w:sz w:val="34"/>
      <w:szCs w:val="34"/>
    </w:rPr>
  </w:style>
  <w:style w:type="paragraph" w:styleId="Header">
    <w:name w:val="header"/>
    <w:link w:val="HeaderChar"/>
    <w:qFormat/>
    <w:rsid w:val="00F85C4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F85C41"/>
    <w:rPr>
      <w:rFonts w:ascii="Times New Roman" w:hAnsi="Times New Roman" w:cs="Times New Roman"/>
      <w:noProof/>
      <w:sz w:val="17"/>
      <w:lang w:val="en-US" w:eastAsia="en-US"/>
    </w:rPr>
  </w:style>
  <w:style w:type="character" w:customStyle="1" w:styleId="Heading1Char">
    <w:name w:val="Heading 1 Char"/>
    <w:link w:val="Heading1"/>
    <w:uiPriority w:val="9"/>
    <w:rsid w:val="00F85C4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85C4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85C4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85C4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85C4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85C4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85C4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85C4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85C4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85C41"/>
    <w:pPr>
      <w:keepNext/>
      <w:spacing w:before="190" w:line="270" w:lineRule="exact"/>
    </w:pPr>
    <w:rPr>
      <w:b/>
      <w:kern w:val="14"/>
      <w:sz w:val="24"/>
    </w:rPr>
  </w:style>
  <w:style w:type="paragraph" w:customStyle="1" w:styleId="JournalHeading2">
    <w:name w:val="Journal_Heading2"/>
    <w:basedOn w:val="Normal"/>
    <w:next w:val="Normal"/>
    <w:qFormat/>
    <w:rsid w:val="00F85C41"/>
    <w:pPr>
      <w:keepNext/>
      <w:keepLines/>
      <w:spacing w:before="240"/>
      <w:outlineLvl w:val="1"/>
    </w:pPr>
    <w:rPr>
      <w:b/>
      <w:spacing w:val="2"/>
      <w:kern w:val="14"/>
    </w:rPr>
  </w:style>
  <w:style w:type="paragraph" w:customStyle="1" w:styleId="JournalHeading4">
    <w:name w:val="Journal_Heading4"/>
    <w:basedOn w:val="Normal"/>
    <w:next w:val="Normal"/>
    <w:qFormat/>
    <w:rsid w:val="00F85C41"/>
    <w:pPr>
      <w:keepNext/>
      <w:keepLines/>
      <w:spacing w:before="240"/>
      <w:outlineLvl w:val="3"/>
    </w:pPr>
    <w:rPr>
      <w:i/>
      <w:kern w:val="14"/>
    </w:rPr>
  </w:style>
  <w:style w:type="character" w:styleId="LineNumber">
    <w:name w:val="line number"/>
    <w:qFormat/>
    <w:rsid w:val="00F85C41"/>
    <w:rPr>
      <w:sz w:val="14"/>
    </w:rPr>
  </w:style>
  <w:style w:type="paragraph" w:styleId="NoSpacing">
    <w:name w:val="No Spacing"/>
    <w:basedOn w:val="Normal"/>
    <w:uiPriority w:val="1"/>
    <w:rsid w:val="00F85C41"/>
    <w:pPr>
      <w:spacing w:line="240" w:lineRule="auto"/>
    </w:pPr>
  </w:style>
  <w:style w:type="paragraph" w:customStyle="1" w:styleId="NormalBullet">
    <w:name w:val="Normal Bullet"/>
    <w:basedOn w:val="Normal"/>
    <w:next w:val="Normal"/>
    <w:qFormat/>
    <w:rsid w:val="00F85C41"/>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F85C41"/>
    <w:pPr>
      <w:tabs>
        <w:tab w:val="left" w:leader="dot" w:pos="2218"/>
        <w:tab w:val="left" w:pos="2707"/>
        <w:tab w:val="right" w:leader="dot" w:pos="9835"/>
      </w:tabs>
    </w:pPr>
    <w:rPr>
      <w:kern w:val="14"/>
    </w:rPr>
  </w:style>
  <w:style w:type="paragraph" w:customStyle="1" w:styleId="Original">
    <w:name w:val="Original"/>
    <w:next w:val="Normal"/>
    <w:autoRedefine/>
    <w:qFormat/>
    <w:rsid w:val="00F85C4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85C4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F85C4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F85C41"/>
    <w:pPr>
      <w:tabs>
        <w:tab w:val="right" w:pos="9965"/>
      </w:tabs>
      <w:spacing w:line="210" w:lineRule="exact"/>
    </w:pPr>
    <w:rPr>
      <w:spacing w:val="5"/>
      <w:w w:val="104"/>
      <w:kern w:val="14"/>
      <w:sz w:val="17"/>
    </w:rPr>
  </w:style>
  <w:style w:type="paragraph" w:customStyle="1" w:styleId="SmallX">
    <w:name w:val="SmallX"/>
    <w:basedOn w:val="Small"/>
    <w:next w:val="Normal"/>
    <w:qFormat/>
    <w:rsid w:val="00F85C41"/>
    <w:pPr>
      <w:spacing w:line="180" w:lineRule="exact"/>
      <w:jc w:val="right"/>
    </w:pPr>
    <w:rPr>
      <w:spacing w:val="6"/>
      <w:w w:val="106"/>
      <w:sz w:val="14"/>
    </w:rPr>
  </w:style>
  <w:style w:type="paragraph" w:customStyle="1" w:styleId="TitleHCH">
    <w:name w:val="Title_H_CH"/>
    <w:basedOn w:val="HCh"/>
    <w:next w:val="SingleTxt"/>
    <w:qFormat/>
    <w:rsid w:val="00F85C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85C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85C41"/>
    <w:pPr>
      <w:outlineLvl w:val="9"/>
    </w:pPr>
    <w:rPr>
      <w:rFonts w:eastAsiaTheme="majorEastAsia" w:cstheme="majorBidi"/>
      <w:lang w:bidi="en-US"/>
    </w:rPr>
  </w:style>
  <w:style w:type="paragraph" w:customStyle="1" w:styleId="XLarge">
    <w:name w:val="XLarge"/>
    <w:basedOn w:val="HM"/>
    <w:qFormat/>
    <w:rsid w:val="00F85C41"/>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E7104B"/>
    <w:pPr>
      <w:spacing w:line="240" w:lineRule="auto"/>
    </w:pPr>
    <w:rPr>
      <w:szCs w:val="20"/>
    </w:rPr>
  </w:style>
  <w:style w:type="character" w:customStyle="1" w:styleId="CommentTextChar">
    <w:name w:val="Comment Text Char"/>
    <w:basedOn w:val="DefaultParagraphFont"/>
    <w:link w:val="CommentText"/>
    <w:uiPriority w:val="99"/>
    <w:semiHidden/>
    <w:rsid w:val="00E7104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7104B"/>
    <w:rPr>
      <w:b/>
      <w:bCs/>
    </w:rPr>
  </w:style>
  <w:style w:type="character" w:customStyle="1" w:styleId="CommentSubjectChar">
    <w:name w:val="Comment Subject Char"/>
    <w:basedOn w:val="CommentTextChar"/>
    <w:link w:val="CommentSubject"/>
    <w:uiPriority w:val="99"/>
    <w:semiHidden/>
    <w:rsid w:val="00E7104B"/>
    <w:rPr>
      <w:rFonts w:ascii="Times New Roman" w:hAnsi="Times New Roman" w:cs="Times New Roman"/>
      <w:b/>
      <w:bCs/>
      <w:spacing w:val="4"/>
      <w:w w:val="103"/>
      <w:sz w:val="20"/>
      <w:szCs w:val="20"/>
      <w:lang w:val="es-ES" w:eastAsia="en-US"/>
    </w:rPr>
  </w:style>
  <w:style w:type="paragraph" w:styleId="PlainText">
    <w:name w:val="Plain Text"/>
    <w:basedOn w:val="Normal"/>
    <w:link w:val="PlainTextChar"/>
    <w:uiPriority w:val="99"/>
    <w:semiHidden/>
    <w:unhideWhenUsed/>
    <w:rsid w:val="005C4B45"/>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C4B45"/>
    <w:rPr>
      <w:rFonts w:ascii="Consolas" w:hAnsi="Consolas" w:cs="Times New Roman"/>
      <w:spacing w:val="4"/>
      <w:w w:val="103"/>
      <w:sz w:val="21"/>
      <w:szCs w:val="21"/>
      <w:lang w:val="es-ES" w:eastAsia="en-US"/>
    </w:rPr>
  </w:style>
  <w:style w:type="character" w:styleId="Hyperlink">
    <w:name w:val="Hyperlink"/>
    <w:basedOn w:val="DefaultParagraphFont"/>
    <w:uiPriority w:val="99"/>
    <w:unhideWhenUsed/>
    <w:rsid w:val="005C4B45"/>
    <w:rPr>
      <w:color w:val="0000FF" w:themeColor="hyperlink"/>
      <w:u w:val="none"/>
    </w:rPr>
  </w:style>
  <w:style w:type="character" w:styleId="FollowedHyperlink">
    <w:name w:val="FollowedHyperlink"/>
    <w:basedOn w:val="DefaultParagraphFont"/>
    <w:uiPriority w:val="99"/>
    <w:semiHidden/>
    <w:unhideWhenUsed/>
    <w:rsid w:val="005C4B4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CRI/7" TargetMode="External"/><Relationship Id="rId26" Type="http://schemas.openxmlformats.org/officeDocument/2006/relationships/hyperlink" Target="https://undocs.org/sp/CEDAW/C/CRI/Q/7" TargetMode="External"/><Relationship Id="rId39" Type="http://schemas.openxmlformats.org/officeDocument/2006/relationships/hyperlink" Target="https://undocs.org/sp/CEDAW/C/THA/Q/6" TargetMode="External"/><Relationship Id="rId3" Type="http://schemas.microsoft.com/office/2007/relationships/stylesWithEffects" Target="stylesWithEffects.xml"/><Relationship Id="rId21" Type="http://schemas.openxmlformats.org/officeDocument/2006/relationships/hyperlink" Target="https://undocs.org/sp/CEDAW/C/NER/3" TargetMode="External"/><Relationship Id="rId34" Type="http://schemas.openxmlformats.org/officeDocument/2006/relationships/hyperlink" Target="https://undocs.org/sp/CEDAW/C/CRI/Q/7/Add.1"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BRB/5" TargetMode="External"/><Relationship Id="rId25" Type="http://schemas.openxmlformats.org/officeDocument/2006/relationships/hyperlink" Target="https://undocs.org/sp/CEDAW/C/BRB/Q/5" TargetMode="External"/><Relationship Id="rId33" Type="http://schemas.openxmlformats.org/officeDocument/2006/relationships/hyperlink" Target="https://undocs.org/sp/CEDAW/C/BRB/Q/5" TargetMode="External"/><Relationship Id="rId38" Type="http://schemas.openxmlformats.org/officeDocument/2006/relationships/hyperlink" Target="https://undocs.org/sp/CEDAW/C/NGA/Q/7" TargetMode="External"/><Relationship Id="rId2" Type="http://schemas.openxmlformats.org/officeDocument/2006/relationships/styles" Target="styles.xml"/><Relationship Id="rId16" Type="http://schemas.openxmlformats.org/officeDocument/2006/relationships/hyperlink" Target="https://undocs.org/sp/CEDAW/C/PSWG/67/1" TargetMode="External"/><Relationship Id="rId20" Type="http://schemas.openxmlformats.org/officeDocument/2006/relationships/hyperlink" Target="https://undocs.org/sp/CEDAW/C/MNE/2" TargetMode="External"/><Relationship Id="rId29" Type="http://schemas.openxmlformats.org/officeDocument/2006/relationships/hyperlink" Target="https://undocs.org/sp/CEDAW/C/NER/Q/3"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THA/6" TargetMode="External"/><Relationship Id="rId32" Type="http://schemas.openxmlformats.org/officeDocument/2006/relationships/hyperlink" Target="https://undocs.org/sp/CEDAW/C/THA/Q/6" TargetMode="External"/><Relationship Id="rId37" Type="http://schemas.openxmlformats.org/officeDocument/2006/relationships/hyperlink" Target="https://undocs.org/sp/CEDAW/C/NER/Q/3" TargetMode="External"/><Relationship Id="rId40" Type="http://schemas.openxmlformats.org/officeDocument/2006/relationships/hyperlink" Target="https://undocs.org/sp/CEDAW/C/68/1" TargetMode="External"/><Relationship Id="rId5" Type="http://schemas.openxmlformats.org/officeDocument/2006/relationships/webSettings" Target="webSettings.xml"/><Relationship Id="rId15" Type="http://schemas.openxmlformats.org/officeDocument/2006/relationships/hyperlink" Target="https://undocs.org/sp/CEDAW/C/67/1" TargetMode="External"/><Relationship Id="rId23" Type="http://schemas.openxmlformats.org/officeDocument/2006/relationships/hyperlink" Target="https://undocs.org/sp/CEDAW/C/ROU/7" TargetMode="External"/><Relationship Id="rId28" Type="http://schemas.openxmlformats.org/officeDocument/2006/relationships/hyperlink" Target="https://undocs.org/sp/CEDAW/C/MNE/Q/2" TargetMode="External"/><Relationship Id="rId36" Type="http://schemas.openxmlformats.org/officeDocument/2006/relationships/hyperlink" Target="https://undocs.org/sp/CEDAW/C/MNE/Q/2/Add.1" TargetMode="External"/><Relationship Id="rId10" Type="http://schemas.openxmlformats.org/officeDocument/2006/relationships/footer" Target="footer1.xml"/><Relationship Id="rId19" Type="http://schemas.openxmlformats.org/officeDocument/2006/relationships/hyperlink" Target="https://undocs.org/sp/CEDAW/C/ITA/7" TargetMode="External"/><Relationship Id="rId31" Type="http://schemas.openxmlformats.org/officeDocument/2006/relationships/hyperlink" Target="https://undocs.org/sp/CEDAW/C/ROU/QPR/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NGA/7" TargetMode="External"/><Relationship Id="rId27" Type="http://schemas.openxmlformats.org/officeDocument/2006/relationships/hyperlink" Target="https://undocs.org/sp/CEDAW/C/ITA/Q/7" TargetMode="External"/><Relationship Id="rId30" Type="http://schemas.openxmlformats.org/officeDocument/2006/relationships/hyperlink" Target="https://undocs.org/sp/CEDAW/C/NGA/Q/7" TargetMode="External"/><Relationship Id="rId35" Type="http://schemas.openxmlformats.org/officeDocument/2006/relationships/hyperlink" Target="https://undocs.org/sp/CEDAW/C/ITA/Q/7/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1190</Words>
  <Characters>6627</Characters>
  <Application>Microsoft Office Word</Application>
  <DocSecurity>0</DocSecurity>
  <Lines>177</Lines>
  <Paragraphs>78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Patricia Lopez</cp:lastModifiedBy>
  <cp:revision>3</cp:revision>
  <dcterms:created xsi:type="dcterms:W3CDTF">2017-05-24T16:40:00Z</dcterms:created>
  <dcterms:modified xsi:type="dcterms:W3CDTF">2017-05-24T16:41:00Z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1707073</vt:lpwstr>
  </property>
  <property fmtid="{D5CDD505-2E9C-101B-9397-08002B2CF9AE}" pid="3" name="ODSRefJobNo">
    <vt:lpwstr>1712344</vt:lpwstr>
  </property>
  <property fmtid="{D5CDD505-2E9C-101B-9397-08002B2CF9AE}" pid="4" name="Symbol1">
    <vt:lpwstr>CEDAW/C/67/1</vt:lpwstr>
  </property>
  <property fmtid="{D5CDD505-2E9C-101B-9397-08002B2CF9AE}" pid="5" name="Symbol2">
    <vt:lpwstr/>
  </property>
  <property fmtid="{D5CDD505-2E9C-101B-9397-08002B2CF9AE}" pid="6" name="Category">
    <vt:lpwstr/>
  </property>
  <property fmtid="{D5CDD505-2E9C-101B-9397-08002B2CF9AE}" pid="7" name="Distribution">
    <vt:lpwstr>general</vt:lpwstr>
  </property>
  <property fmtid="{D5CDD505-2E9C-101B-9397-08002B2CF9AE}" pid="8" name="Publication Date">
    <vt:lpwstr>3 de mayo de 2017</vt:lpwstr>
  </property>
  <property fmtid="{D5CDD505-2E9C-101B-9397-08002B2CF9AE}" pid="9" name="Original">
    <vt:lpwstr>inglés</vt:lpwstr>
  </property>
  <property fmtid="{D5CDD505-2E9C-101B-9397-08002B2CF9AE}" pid="10" name="Release Date">
    <vt:lpwstr>240517</vt:lpwstr>
  </property>
  <property fmtid="{D5CDD505-2E9C-101B-9397-08002B2CF9AE}" pid="11" name="Title1">
    <vt:lpwstr>		Programa provisional anotado _x000d__x000d__x000d_</vt:lpwstr>
  </property>
  <property fmtid="{D5CDD505-2E9C-101B-9397-08002B2CF9AE}" pid="12" name="Title2">
    <vt:lpwstr>		Programa provisional_x000d__x000d__x000d_</vt:lpwstr>
  </property>
  <property fmtid="{D5CDD505-2E9C-101B-9397-08002B2CF9AE}" pid="13" name="Comment">
    <vt:lpwstr/>
  </property>
  <property fmtid="{D5CDD505-2E9C-101B-9397-08002B2CF9AE}" pid="14" name="DraftPages">
    <vt:lpwstr> </vt:lpwstr>
  </property>
  <property fmtid="{D5CDD505-2E9C-101B-9397-08002B2CF9AE}" pid="15" name="Operator">
    <vt:lpwstr>pl</vt:lpwstr>
  </property>
  <property fmtid="{D5CDD505-2E9C-101B-9397-08002B2CF9AE}" pid="16" name="Translator">
    <vt:lpwstr>pl</vt:lpwstr>
  </property>
</Properties>
</file>