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A01637D" w14:textId="77777777" w:rsidTr="0008244E">
        <w:trPr>
          <w:trHeight w:hRule="exact" w:val="851"/>
        </w:trPr>
        <w:tc>
          <w:tcPr>
            <w:tcW w:w="1276" w:type="dxa"/>
            <w:tcBorders>
              <w:bottom w:val="single" w:sz="4" w:space="0" w:color="auto"/>
            </w:tcBorders>
          </w:tcPr>
          <w:p w14:paraId="0855C2AA" w14:textId="77777777" w:rsidR="002D5AAC" w:rsidRPr="001359DC" w:rsidRDefault="002D5AAC" w:rsidP="009941D2">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5D19A9A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3C8D7655" w14:textId="074EBDC8" w:rsidR="002D5AAC" w:rsidRPr="001359DC" w:rsidRDefault="009941D2" w:rsidP="009941D2">
            <w:pPr>
              <w:jc w:val="right"/>
              <w:rPr>
                <w:lang w:val="es-ES"/>
              </w:rPr>
            </w:pPr>
            <w:r w:rsidRPr="009941D2">
              <w:rPr>
                <w:sz w:val="40"/>
                <w:lang w:val="es-ES"/>
              </w:rPr>
              <w:t>A</w:t>
            </w:r>
            <w:r>
              <w:rPr>
                <w:lang w:val="es-ES"/>
              </w:rPr>
              <w:t>/HRC/RES/51/25</w:t>
            </w:r>
          </w:p>
        </w:tc>
      </w:tr>
      <w:tr w:rsidR="002D5AAC" w:rsidRPr="001359DC" w14:paraId="2FF92233" w14:textId="77777777" w:rsidTr="0008244E">
        <w:trPr>
          <w:trHeight w:hRule="exact" w:val="2835"/>
        </w:trPr>
        <w:tc>
          <w:tcPr>
            <w:tcW w:w="1276" w:type="dxa"/>
            <w:tcBorders>
              <w:top w:val="single" w:sz="4" w:space="0" w:color="auto"/>
              <w:bottom w:val="single" w:sz="12" w:space="0" w:color="auto"/>
            </w:tcBorders>
          </w:tcPr>
          <w:p w14:paraId="42526643" w14:textId="77777777" w:rsidR="002D5AAC" w:rsidRPr="001359DC" w:rsidRDefault="002E5067" w:rsidP="0008244E">
            <w:pPr>
              <w:spacing w:before="120"/>
              <w:jc w:val="center"/>
              <w:rPr>
                <w:lang w:val="es-ES"/>
              </w:rPr>
            </w:pPr>
            <w:r w:rsidRPr="001359DC">
              <w:rPr>
                <w:noProof/>
              </w:rPr>
              <w:drawing>
                <wp:inline distT="0" distB="0" distL="0" distR="0" wp14:anchorId="704D1E78" wp14:editId="5996CC9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29E67D"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E769C24" w14:textId="77777777" w:rsidR="002D5AAC" w:rsidRDefault="009941D2" w:rsidP="0008244E">
            <w:pPr>
              <w:spacing w:before="240"/>
              <w:rPr>
                <w:lang w:val="es-ES"/>
              </w:rPr>
            </w:pPr>
            <w:r>
              <w:rPr>
                <w:lang w:val="es-ES"/>
              </w:rPr>
              <w:t>Distr. general</w:t>
            </w:r>
          </w:p>
          <w:p w14:paraId="4EF88EB9" w14:textId="77777777" w:rsidR="009941D2" w:rsidRDefault="009941D2" w:rsidP="009941D2">
            <w:pPr>
              <w:spacing w:line="240" w:lineRule="exact"/>
              <w:rPr>
                <w:lang w:val="es-ES"/>
              </w:rPr>
            </w:pPr>
            <w:r>
              <w:rPr>
                <w:lang w:val="es-ES"/>
              </w:rPr>
              <w:t>11 de octubre de 2022</w:t>
            </w:r>
          </w:p>
          <w:p w14:paraId="0C3767F8" w14:textId="77777777" w:rsidR="009941D2" w:rsidRDefault="009941D2" w:rsidP="009941D2">
            <w:pPr>
              <w:spacing w:line="240" w:lineRule="exact"/>
              <w:rPr>
                <w:lang w:val="es-ES"/>
              </w:rPr>
            </w:pPr>
            <w:r>
              <w:rPr>
                <w:lang w:val="es-ES"/>
              </w:rPr>
              <w:t>Español</w:t>
            </w:r>
          </w:p>
          <w:p w14:paraId="587C348E" w14:textId="3B2E53FD" w:rsidR="009941D2" w:rsidRPr="001359DC" w:rsidRDefault="009941D2" w:rsidP="009941D2">
            <w:pPr>
              <w:spacing w:line="240" w:lineRule="exact"/>
              <w:rPr>
                <w:lang w:val="es-ES"/>
              </w:rPr>
            </w:pPr>
            <w:r>
              <w:rPr>
                <w:lang w:val="es-ES"/>
              </w:rPr>
              <w:t>Original: inglés</w:t>
            </w:r>
          </w:p>
        </w:tc>
      </w:tr>
    </w:tbl>
    <w:p w14:paraId="5E4E4651" w14:textId="77777777" w:rsidR="009941D2" w:rsidRPr="009941D2" w:rsidRDefault="009941D2" w:rsidP="009941D2">
      <w:pPr>
        <w:spacing w:before="120" w:line="240" w:lineRule="auto"/>
        <w:rPr>
          <w:b/>
          <w:bCs/>
          <w:sz w:val="24"/>
          <w:szCs w:val="24"/>
          <w:lang w:val="es-ES_tradnl"/>
        </w:rPr>
      </w:pPr>
      <w:r w:rsidRPr="009941D2">
        <w:rPr>
          <w:b/>
          <w:bCs/>
          <w:sz w:val="24"/>
          <w:szCs w:val="24"/>
          <w:lang w:val="es-ES_tradnl"/>
        </w:rPr>
        <w:t>Consejo de Derechos Humanos</w:t>
      </w:r>
    </w:p>
    <w:p w14:paraId="7BEC832A" w14:textId="77777777" w:rsidR="009941D2" w:rsidRPr="009941D2" w:rsidRDefault="009941D2" w:rsidP="009941D2">
      <w:pPr>
        <w:spacing w:line="240" w:lineRule="auto"/>
        <w:rPr>
          <w:b/>
          <w:lang w:val="es-ES_tradnl"/>
        </w:rPr>
      </w:pPr>
      <w:r w:rsidRPr="009941D2">
        <w:rPr>
          <w:b/>
          <w:bCs/>
          <w:lang w:val="es-ES_tradnl"/>
        </w:rPr>
        <w:t>51</w:t>
      </w:r>
      <w:r w:rsidRPr="009941D2">
        <w:rPr>
          <w:b/>
          <w:bCs/>
          <w:vertAlign w:val="superscript"/>
          <w:lang w:val="es-ES_tradnl"/>
        </w:rPr>
        <w:t>er</w:t>
      </w:r>
      <w:r w:rsidRPr="009941D2">
        <w:rPr>
          <w:b/>
          <w:bCs/>
          <w:lang w:val="es-ES_tradnl"/>
        </w:rPr>
        <w:t xml:space="preserve"> período de sesiones</w:t>
      </w:r>
    </w:p>
    <w:p w14:paraId="3B70D81F" w14:textId="77777777" w:rsidR="009941D2" w:rsidRPr="009941D2" w:rsidRDefault="009941D2" w:rsidP="009941D2">
      <w:pPr>
        <w:spacing w:line="240" w:lineRule="auto"/>
        <w:rPr>
          <w:lang w:val="es-ES_tradnl"/>
        </w:rPr>
      </w:pPr>
      <w:r w:rsidRPr="009941D2">
        <w:rPr>
          <w:lang w:val="es-ES_tradnl"/>
        </w:rPr>
        <w:t>12 de septiembre a 7 de octubre de 2022</w:t>
      </w:r>
    </w:p>
    <w:p w14:paraId="731FEC75" w14:textId="77777777" w:rsidR="009941D2" w:rsidRPr="009941D2" w:rsidRDefault="009941D2" w:rsidP="009941D2">
      <w:pPr>
        <w:spacing w:line="240" w:lineRule="auto"/>
        <w:rPr>
          <w:lang w:val="es-ES_tradnl"/>
        </w:rPr>
      </w:pPr>
      <w:r w:rsidRPr="009941D2">
        <w:rPr>
          <w:lang w:val="es-ES_tradnl"/>
        </w:rPr>
        <w:t>Tema 4 de la agenda</w:t>
      </w:r>
    </w:p>
    <w:p w14:paraId="2ABF447C" w14:textId="77777777" w:rsidR="009941D2" w:rsidRPr="009941D2" w:rsidRDefault="009941D2" w:rsidP="009941D2">
      <w:pPr>
        <w:spacing w:line="240" w:lineRule="auto"/>
        <w:rPr>
          <w:b/>
          <w:bCs/>
          <w:lang w:val="es-ES_tradnl"/>
        </w:rPr>
      </w:pPr>
      <w:r w:rsidRPr="009941D2">
        <w:rPr>
          <w:b/>
          <w:bCs/>
          <w:lang w:val="es-ES_tradnl"/>
        </w:rPr>
        <w:t xml:space="preserve">Situaciones de derechos humanos que </w:t>
      </w:r>
    </w:p>
    <w:p w14:paraId="06B305D1" w14:textId="77777777" w:rsidR="009941D2" w:rsidRPr="009941D2" w:rsidRDefault="009941D2" w:rsidP="009941D2">
      <w:pPr>
        <w:spacing w:line="240" w:lineRule="auto"/>
        <w:rPr>
          <w:b/>
          <w:lang w:val="es-ES_tradnl"/>
        </w:rPr>
      </w:pPr>
      <w:r w:rsidRPr="009941D2">
        <w:rPr>
          <w:b/>
          <w:bCs/>
          <w:lang w:val="es-ES_tradnl"/>
        </w:rPr>
        <w:t>requieren la atención del Consejo</w:t>
      </w:r>
    </w:p>
    <w:p w14:paraId="1CF2E251" w14:textId="2BB19BD6" w:rsidR="009941D2" w:rsidRPr="009941D2" w:rsidRDefault="009941D2" w:rsidP="009941D2">
      <w:pPr>
        <w:pStyle w:val="HChG"/>
        <w:rPr>
          <w:lang w:val="es-ES_tradnl"/>
        </w:rPr>
      </w:pPr>
      <w:r w:rsidRPr="009941D2">
        <w:rPr>
          <w:lang w:val="es-ES_tradnl"/>
        </w:rPr>
        <w:tab/>
      </w:r>
      <w:r w:rsidRPr="009941D2">
        <w:rPr>
          <w:lang w:val="es-ES_tradnl"/>
        </w:rPr>
        <w:tab/>
        <w:t>Resolución aprobada por el Consejo de Derechos Humanos el</w:t>
      </w:r>
      <w:r>
        <w:rPr>
          <w:lang w:val="es-ES_tradnl"/>
        </w:rPr>
        <w:t> </w:t>
      </w:r>
      <w:r w:rsidRPr="009941D2">
        <w:rPr>
          <w:lang w:val="es-ES_tradnl"/>
        </w:rPr>
        <w:t>7 de octubre de 2022</w:t>
      </w:r>
    </w:p>
    <w:p w14:paraId="2CE10A87" w14:textId="34D9DE99" w:rsidR="009941D2" w:rsidRPr="009941D2" w:rsidRDefault="009941D2" w:rsidP="009941D2">
      <w:pPr>
        <w:pStyle w:val="H1G"/>
        <w:rPr>
          <w:lang w:val="es-ES_tradnl"/>
        </w:rPr>
      </w:pPr>
      <w:r>
        <w:rPr>
          <w:lang w:val="es-ES_tradnl"/>
        </w:rPr>
        <w:tab/>
      </w:r>
      <w:r w:rsidRPr="009941D2">
        <w:rPr>
          <w:lang w:val="es-ES_tradnl"/>
        </w:rPr>
        <w:t>51/25.</w:t>
      </w:r>
      <w:r w:rsidRPr="009941D2">
        <w:rPr>
          <w:lang w:val="es-ES_tradnl"/>
        </w:rPr>
        <w:tab/>
        <w:t>Situación de los derechos humanos en la Federación de Rusia</w:t>
      </w:r>
    </w:p>
    <w:p w14:paraId="505DB35C" w14:textId="77777777" w:rsidR="009941D2" w:rsidRPr="009941D2" w:rsidRDefault="009941D2" w:rsidP="009941D2">
      <w:pPr>
        <w:pStyle w:val="SingleTxtG"/>
        <w:rPr>
          <w:lang w:val="es-ES_tradnl"/>
        </w:rPr>
      </w:pPr>
      <w:r w:rsidRPr="009941D2">
        <w:rPr>
          <w:lang w:val="es-ES_tradnl"/>
        </w:rPr>
        <w:tab/>
      </w:r>
      <w:r w:rsidRPr="009941D2">
        <w:rPr>
          <w:i/>
          <w:lang w:val="es-ES_tradnl"/>
        </w:rPr>
        <w:t>El Consejo de Derechos Humanos</w:t>
      </w:r>
      <w:r w:rsidRPr="009941D2">
        <w:rPr>
          <w:lang w:val="es-ES_tradnl"/>
        </w:rPr>
        <w:t>,</w:t>
      </w:r>
    </w:p>
    <w:p w14:paraId="35B6B3DA" w14:textId="77777777" w:rsidR="009941D2" w:rsidRPr="009941D2" w:rsidRDefault="009941D2" w:rsidP="009941D2">
      <w:pPr>
        <w:pStyle w:val="SingleTxtG"/>
        <w:rPr>
          <w:lang w:val="es-ES_tradnl"/>
        </w:rPr>
      </w:pPr>
      <w:r w:rsidRPr="009941D2">
        <w:rPr>
          <w:i/>
          <w:iCs/>
          <w:lang w:val="es-ES_tradnl"/>
        </w:rPr>
        <w:tab/>
        <w:t xml:space="preserve">Guiado </w:t>
      </w:r>
      <w:r w:rsidRPr="009941D2">
        <w:rPr>
          <w:lang w:val="es-ES_tradnl"/>
        </w:rPr>
        <w:t>por los propósitos y principios de la Carta de las Naciones Unidas, las disposiciones de la Declaración Universal de Derechos Humanos y los tratados internacionales de derechos humanos pertinentes,</w:t>
      </w:r>
    </w:p>
    <w:p w14:paraId="3D1E8D75" w14:textId="77777777" w:rsidR="009941D2" w:rsidRPr="009941D2" w:rsidRDefault="009941D2" w:rsidP="009941D2">
      <w:pPr>
        <w:pStyle w:val="SingleTxtG"/>
        <w:rPr>
          <w:iCs/>
          <w:lang w:val="es-ES_tradnl"/>
        </w:rPr>
      </w:pPr>
      <w:r w:rsidRPr="009941D2">
        <w:rPr>
          <w:i/>
          <w:iCs/>
          <w:lang w:val="es-ES_tradnl"/>
        </w:rPr>
        <w:tab/>
        <w:t xml:space="preserve">Reafirmando </w:t>
      </w:r>
      <w:r w:rsidRPr="009941D2">
        <w:rPr>
          <w:lang w:val="es-ES_tradnl"/>
        </w:rPr>
        <w:t>que cada Estado tiene la responsabilidad primordial de respetar, proteger y hacer efectivos los derechos humanos de conformidad con las obligaciones que le incumben en virtud del derecho internacional de los derechos humanos,</w:t>
      </w:r>
    </w:p>
    <w:p w14:paraId="5825A47C" w14:textId="77777777" w:rsidR="009941D2" w:rsidRPr="009941D2" w:rsidRDefault="009941D2" w:rsidP="009941D2">
      <w:pPr>
        <w:pStyle w:val="SingleTxtG"/>
        <w:rPr>
          <w:lang w:val="es-ES_tradnl"/>
        </w:rPr>
      </w:pPr>
      <w:r w:rsidRPr="009941D2">
        <w:rPr>
          <w:i/>
          <w:iCs/>
          <w:lang w:val="es-ES_tradnl"/>
        </w:rPr>
        <w:tab/>
        <w:t>Reafirmando también</w:t>
      </w:r>
      <w:r w:rsidRPr="009941D2">
        <w:rPr>
          <w:lang w:val="es-ES_tradnl"/>
        </w:rPr>
        <w:t xml:space="preserve"> su decidido compromiso con la soberanía y la independencia política de la Federación de Rusia dentro de sus fronteras reconocidas internacionalmente,</w:t>
      </w:r>
      <w:bookmarkStart w:id="0" w:name="OLE_LINK1"/>
    </w:p>
    <w:bookmarkEnd w:id="0"/>
    <w:p w14:paraId="372400DD" w14:textId="1B1DA276" w:rsidR="009941D2" w:rsidRPr="009941D2" w:rsidRDefault="009941D2" w:rsidP="009941D2">
      <w:pPr>
        <w:pStyle w:val="SingleTxtG"/>
        <w:rPr>
          <w:lang w:val="es-ES_tradnl"/>
        </w:rPr>
      </w:pPr>
      <w:r w:rsidRPr="009941D2">
        <w:rPr>
          <w:i/>
          <w:iCs/>
          <w:lang w:val="es-ES_tradnl"/>
        </w:rPr>
        <w:tab/>
        <w:t xml:space="preserve">Recordando </w:t>
      </w:r>
      <w:r w:rsidRPr="009941D2">
        <w:rPr>
          <w:lang w:val="es-ES_tradnl"/>
        </w:rPr>
        <w:t>todas las declaraciones pertinentes formuladas por el Secretario General, la Alta Comisionada de las Naciones Unidas para los Derechos Humanos, la Alta Comisionada interina, los procedimientos especiales del Consejo de Derechos Humanos y los órganos de tratados acerca de la situación de los derechos humanos en la Federación de</w:t>
      </w:r>
      <w:r>
        <w:rPr>
          <w:lang w:val="es-ES_tradnl"/>
        </w:rPr>
        <w:t> </w:t>
      </w:r>
      <w:r w:rsidRPr="009941D2">
        <w:rPr>
          <w:lang w:val="es-ES_tradnl"/>
        </w:rPr>
        <w:t>Rusia,</w:t>
      </w:r>
    </w:p>
    <w:p w14:paraId="7B41F3A0" w14:textId="77777777" w:rsidR="009941D2" w:rsidRPr="009941D2" w:rsidRDefault="009941D2" w:rsidP="009941D2">
      <w:pPr>
        <w:pStyle w:val="SingleTxtG"/>
        <w:rPr>
          <w:lang w:val="es-ES_tradnl"/>
        </w:rPr>
      </w:pPr>
      <w:bookmarkStart w:id="1" w:name="_Hlk114469801"/>
      <w:r w:rsidRPr="009941D2">
        <w:rPr>
          <w:i/>
          <w:iCs/>
          <w:lang w:val="es-ES_tradnl"/>
        </w:rPr>
        <w:tab/>
        <w:t>Haciendo notar con preocupación</w:t>
      </w:r>
      <w:r w:rsidRPr="009941D2">
        <w:rPr>
          <w:lang w:val="es-ES_tradnl"/>
        </w:rPr>
        <w:t xml:space="preserve"> las conclusiones del reciente informe sobre las prácticas jurídicas y administrativas de la Federación de Rusia elaborado por el Mecanismo de Moscú de la Organización para la Seguridad y la Cooperación en Europa, en particular el uso de propaganda, legislación represiva y la violencia por parte de las autoridades rusas con objeto de generar un clima de miedo e intimidación para la sociedad civil y los activistas, y la clara relación existente entre la represión interna y la guerra en el extranjero, y haciendo notar la recomendación formulada en dicho informe al Consejo de Derechos Humanos de que establezca un mandato de relator especial sobre la Federación de Rusia,</w:t>
      </w:r>
    </w:p>
    <w:bookmarkEnd w:id="1"/>
    <w:p w14:paraId="2C2C3D0F" w14:textId="77777777" w:rsidR="009941D2" w:rsidRPr="009941D2" w:rsidRDefault="009941D2" w:rsidP="009941D2">
      <w:pPr>
        <w:pStyle w:val="SingleTxtG"/>
        <w:rPr>
          <w:lang w:val="es-ES_tradnl"/>
        </w:rPr>
      </w:pPr>
      <w:r w:rsidRPr="009941D2">
        <w:rPr>
          <w:i/>
          <w:iCs/>
          <w:lang w:val="es-ES_tradnl"/>
        </w:rPr>
        <w:tab/>
        <w:t>Muy preocupado</w:t>
      </w:r>
      <w:r w:rsidRPr="009941D2">
        <w:rPr>
          <w:lang w:val="es-ES_tradnl"/>
        </w:rPr>
        <w:t xml:space="preserve"> por el importante deterioro de la situación de los derechos humanos en la Federación de Rusia, en particular por las graves restricciones de los derechos a la libertad de opinión y de expresión, de reunión pacífica y de asociación, tanto en línea como en espacios físicos, que se traducen en una represión sistemática de las organizaciones de la sociedad civil, los defensores de los derechos humanos —en especial las defensoras de los derechos humanos, que se enfrentan a amenazas particulares en razón de su género—, los medios de comunicación independientes, los periodistas, los trabajadores de los medios de comunicación, los abogados y la oposición política por parte de las autoridades rusas, y la ejecución extrajudicial de personas que critican al Gobierno,</w:t>
      </w:r>
    </w:p>
    <w:p w14:paraId="382F2CB6" w14:textId="77777777" w:rsidR="009941D2" w:rsidRPr="009941D2" w:rsidRDefault="009941D2" w:rsidP="009941D2">
      <w:pPr>
        <w:pStyle w:val="SingleTxtG"/>
        <w:rPr>
          <w:lang w:val="es-ES_tradnl"/>
        </w:rPr>
      </w:pPr>
      <w:r w:rsidRPr="009941D2">
        <w:rPr>
          <w:i/>
          <w:iCs/>
          <w:lang w:val="es-ES_tradnl"/>
        </w:rPr>
        <w:lastRenderedPageBreak/>
        <w:tab/>
        <w:t>Expresando su profunda preocupación</w:t>
      </w:r>
      <w:r w:rsidRPr="009941D2">
        <w:rPr>
          <w:lang w:val="es-ES_tradnl"/>
        </w:rPr>
        <w:t xml:space="preserve"> a este respecto por las denuncias de detención y reclusión arbitrarias y hostigamiento en masa de representantes de la sociedad civil, defensores de los derechos humanos, representantes de la oposición política, periodistas y otros trabajadores de los medios de comunicación, en particular mujeres, personas pertenecientes a minorías y a grupos discriminados y marginados y otras personas que ejercen sus derechos humanos, incluidas las personas que protestan pacíficamente y condenan el deterioro del estado de derecho en la Federación de Rusia, así como la agresión de la Federación de Rusia contra Ucrania, y por el uso excesivo de la fuerza contra estas personas, así como por la denegación del derecho a la asistencia jurídica, entre otros casos a personas detenidas, y la denegación de su derecho a un juicio imparcial,</w:t>
      </w:r>
    </w:p>
    <w:p w14:paraId="04D307CE" w14:textId="77777777" w:rsidR="009941D2" w:rsidRPr="009941D2" w:rsidRDefault="009941D2" w:rsidP="009941D2">
      <w:pPr>
        <w:pStyle w:val="SingleTxtG"/>
        <w:rPr>
          <w:lang w:val="es-ES_tradnl"/>
        </w:rPr>
      </w:pPr>
      <w:bookmarkStart w:id="2" w:name="_Hlk117236529"/>
      <w:r w:rsidRPr="009941D2">
        <w:rPr>
          <w:i/>
          <w:iCs/>
          <w:lang w:val="es-ES_tradnl"/>
        </w:rPr>
        <w:tab/>
      </w:r>
      <w:r w:rsidRPr="00657C90">
        <w:rPr>
          <w:i/>
          <w:iCs/>
          <w:lang w:val="es-ES_tradnl"/>
        </w:rPr>
        <w:t>Expresando preocupación</w:t>
      </w:r>
      <w:r w:rsidRPr="00657C90">
        <w:rPr>
          <w:lang w:val="es-ES_tradnl"/>
        </w:rPr>
        <w:t xml:space="preserve"> por el cese de actividad impuesto por la fuerza y de forma masiva a organizaciones de la sociedad civil, como el International Human Rights Centre “Memorial” y el Centre for Support of Indigenous Peoples of the North, y a medios de comunicación independientes, incluidos emisoras de radio, canales de televisión, medios de comunicación en línea y periódicos, entre ellos </w:t>
      </w:r>
      <w:r w:rsidRPr="00657C90">
        <w:rPr>
          <w:i/>
          <w:iCs/>
          <w:lang w:val="es-ES_tradnl"/>
        </w:rPr>
        <w:t>Novaya Gazeta</w:t>
      </w:r>
      <w:r w:rsidRPr="00657C90">
        <w:rPr>
          <w:lang w:val="es-ES_tradnl"/>
        </w:rPr>
        <w:t>, Eco de Moscú y el canal de televisión Dozhd, las prohibiciones impuestas a los medios de comunicación extranjeros y la expulsión selectiva de organizaciones extranjeras del registro por parte de las autoridades rusas, así como por el acceso limitado de la sociedad civil rusa a la información y a la infraestructura de comunicaciones y la intensificación de la censura y la desinformación,</w:t>
      </w:r>
      <w:bookmarkStart w:id="3" w:name="OLE_LINK4"/>
      <w:bookmarkStart w:id="4" w:name="OLE_LINK5"/>
      <w:bookmarkEnd w:id="3"/>
      <w:bookmarkEnd w:id="4"/>
      <w:bookmarkEnd w:id="2"/>
    </w:p>
    <w:p w14:paraId="2EDF1A77" w14:textId="77777777" w:rsidR="009941D2" w:rsidRPr="009941D2" w:rsidRDefault="009941D2" w:rsidP="009941D2">
      <w:pPr>
        <w:pStyle w:val="SingleTxtG"/>
        <w:rPr>
          <w:lang w:val="es-ES_tradnl"/>
        </w:rPr>
      </w:pPr>
      <w:r w:rsidRPr="009941D2">
        <w:rPr>
          <w:i/>
          <w:iCs/>
          <w:lang w:val="es-ES_tradnl"/>
        </w:rPr>
        <w:tab/>
        <w:t>Haciendo notar con profunda preocupación</w:t>
      </w:r>
      <w:r w:rsidRPr="009941D2">
        <w:rPr>
          <w:lang w:val="es-ES_tradnl"/>
        </w:rPr>
        <w:t xml:space="preserve"> las medidas legislativas que restringen cada vez más las libertades de reunión pacífica, de asociación y de expresión, incluida la libertad de buscar, recibir y difundir informaciones, tanto en línea como en espacios físicos, especialmente las leyes sobre los denominados “agentes extranjeros”, el “extremismo” y las “organizaciones indeseables”, en su versión modificada, y la Ley de 4 de marzo de 2022 por la que se modifican el Código de Infracciones Administrativas y el Código Penal, conocida como “ley de noticias falsas sobre la guerra”, que incluye prohibiciones generales de difusión de información basadas en unos conceptos imprecisos y ambiguos,</w:t>
      </w:r>
    </w:p>
    <w:p w14:paraId="40071CA6" w14:textId="77777777" w:rsidR="009941D2" w:rsidRPr="009941D2" w:rsidRDefault="009941D2" w:rsidP="009941D2">
      <w:pPr>
        <w:pStyle w:val="SingleTxtG"/>
        <w:rPr>
          <w:lang w:val="es-ES_tradnl"/>
        </w:rPr>
      </w:pPr>
      <w:r w:rsidRPr="009941D2">
        <w:rPr>
          <w:i/>
          <w:iCs/>
          <w:lang w:val="es-ES_tradnl"/>
        </w:rPr>
        <w:tab/>
        <w:t xml:space="preserve">Convencido </w:t>
      </w:r>
      <w:r w:rsidRPr="009941D2">
        <w:rPr>
          <w:lang w:val="es-ES_tradnl"/>
        </w:rPr>
        <w:t>de que la independencia e imparcialidad de la judicatura y la integridad del sistema judicial y la independencia de los profesionales del derecho son un requisito previo indispensable para proteger los derechos humanos, el estado de derecho, la buena gobernanza y la democracia, y para garantizar la no discriminación en la administración de justicia, y de que, por tanto, deben respetarse en cualquier circunstancia,</w:t>
      </w:r>
    </w:p>
    <w:p w14:paraId="6BE2E8D7" w14:textId="77777777" w:rsidR="009941D2" w:rsidRPr="009941D2" w:rsidRDefault="009941D2" w:rsidP="009941D2">
      <w:pPr>
        <w:pStyle w:val="SingleTxtG"/>
        <w:rPr>
          <w:lang w:val="es-ES_tradnl"/>
        </w:rPr>
      </w:pPr>
      <w:r w:rsidRPr="009941D2">
        <w:rPr>
          <w:i/>
          <w:iCs/>
          <w:lang w:val="es-ES_tradnl"/>
        </w:rPr>
        <w:tab/>
        <w:t xml:space="preserve">Lamentando </w:t>
      </w:r>
      <w:r w:rsidRPr="009941D2">
        <w:rPr>
          <w:lang w:val="es-ES_tradnl"/>
        </w:rPr>
        <w:t>los reiterados aplazamientos por la Federación de Rusia del examen del país por parte del Comité de Derechos Humanos en virtud del Pacto Internacional de Derechos Civiles y Políticos,</w:t>
      </w:r>
    </w:p>
    <w:p w14:paraId="7B0B6674" w14:textId="77777777" w:rsidR="009941D2" w:rsidRPr="009941D2" w:rsidRDefault="009941D2" w:rsidP="009941D2">
      <w:pPr>
        <w:pStyle w:val="SingleTxtG"/>
        <w:rPr>
          <w:lang w:val="es-ES_tradnl"/>
        </w:rPr>
      </w:pPr>
      <w:r w:rsidRPr="009941D2">
        <w:rPr>
          <w:i/>
          <w:iCs/>
          <w:lang w:val="es-ES_tradnl"/>
        </w:rPr>
        <w:tab/>
        <w:t xml:space="preserve">Observando </w:t>
      </w:r>
      <w:r w:rsidRPr="009941D2">
        <w:rPr>
          <w:lang w:val="es-ES_tradnl"/>
        </w:rPr>
        <w:t>que la Federación de Rusia dejó de ser Alta Parte Contratante del Convenio Europeo de Derechos Humanos el 16 de septiembre de 2022, y que actualmente están pendientes 17.450 demandas presentadas contra la Federación de Rusia ante el Tribunal Europeo de Derechos Humanos,</w:t>
      </w:r>
      <w:bookmarkStart w:id="5" w:name="OLE_LINK6"/>
      <w:bookmarkEnd w:id="5"/>
    </w:p>
    <w:p w14:paraId="7F667523" w14:textId="77777777" w:rsidR="009941D2" w:rsidRPr="009941D2" w:rsidRDefault="009941D2" w:rsidP="009941D2">
      <w:pPr>
        <w:pStyle w:val="SingleTxtG"/>
        <w:rPr>
          <w:lang w:val="es-ES_tradnl"/>
        </w:rPr>
      </w:pPr>
      <w:r w:rsidRPr="009941D2">
        <w:rPr>
          <w:lang w:val="es-ES_tradnl"/>
        </w:rPr>
        <w:tab/>
        <w:t>1.</w:t>
      </w:r>
      <w:r w:rsidRPr="009941D2">
        <w:rPr>
          <w:lang w:val="es-ES_tradnl"/>
        </w:rPr>
        <w:tab/>
      </w:r>
      <w:r w:rsidRPr="009941D2">
        <w:rPr>
          <w:i/>
          <w:iCs/>
          <w:lang w:val="es-ES_tradnl"/>
        </w:rPr>
        <w:t>Insta encarecidamente</w:t>
      </w:r>
      <w:r w:rsidRPr="009941D2">
        <w:rPr>
          <w:lang w:val="es-ES_tradnl"/>
        </w:rPr>
        <w:t xml:space="preserve"> a las autoridades rusas a que cumplan todas las obligaciones que incumben al Estado en virtud del derecho internacional de los derechos humanos;</w:t>
      </w:r>
    </w:p>
    <w:p w14:paraId="18A8A971" w14:textId="77777777" w:rsidR="009941D2" w:rsidRPr="009941D2" w:rsidRDefault="009941D2" w:rsidP="009941D2">
      <w:pPr>
        <w:pStyle w:val="SingleTxtG"/>
        <w:rPr>
          <w:lang w:val="es-ES_tradnl"/>
        </w:rPr>
      </w:pPr>
      <w:r w:rsidRPr="009941D2">
        <w:rPr>
          <w:lang w:val="es-ES_tradnl"/>
        </w:rPr>
        <w:tab/>
        <w:t>2.</w:t>
      </w:r>
      <w:r w:rsidRPr="009941D2">
        <w:rPr>
          <w:lang w:val="es-ES_tradnl"/>
        </w:rPr>
        <w:tab/>
      </w:r>
      <w:r w:rsidRPr="009941D2">
        <w:rPr>
          <w:i/>
          <w:iCs/>
          <w:lang w:val="es-ES_tradnl"/>
        </w:rPr>
        <w:t xml:space="preserve">Exhorta </w:t>
      </w:r>
      <w:r w:rsidRPr="009941D2">
        <w:rPr>
          <w:lang w:val="es-ES_tradnl"/>
        </w:rPr>
        <w:t>a las autoridades rusas a que defiendan las libertades fundamentales de pensamiento, de conciencia, de religión o de creencias, de opinión y de expresión, de reunión pacífica y de asociación, concretamente eliminando las restricciones de la diversidad de ideas, la crítica y la disidencia, así como de los derechos conexos a la libertad y la seguridad personales, a un juicio imparcial y a no ser sometido a tortura y otros tratos o penas crueles, inhumanos o degradantes, que se imponen a las personas que ejercen dichas libertades;</w:t>
      </w:r>
    </w:p>
    <w:p w14:paraId="197912EB" w14:textId="77777777" w:rsidR="009941D2" w:rsidRPr="009941D2" w:rsidRDefault="009941D2" w:rsidP="009941D2">
      <w:pPr>
        <w:pStyle w:val="SingleTxtG"/>
        <w:rPr>
          <w:lang w:val="es-ES_tradnl"/>
        </w:rPr>
      </w:pPr>
      <w:r w:rsidRPr="009941D2">
        <w:rPr>
          <w:lang w:val="es-ES_tradnl"/>
        </w:rPr>
        <w:tab/>
        <w:t>3.</w:t>
      </w:r>
      <w:r w:rsidRPr="009941D2">
        <w:rPr>
          <w:lang w:val="es-ES_tradnl"/>
        </w:rPr>
        <w:tab/>
      </w:r>
      <w:r w:rsidRPr="009941D2">
        <w:rPr>
          <w:i/>
          <w:iCs/>
          <w:lang w:val="es-ES_tradnl"/>
        </w:rPr>
        <w:t xml:space="preserve">Decide </w:t>
      </w:r>
      <w:r w:rsidRPr="009941D2">
        <w:rPr>
          <w:lang w:val="es-ES_tradnl"/>
        </w:rPr>
        <w:t xml:space="preserve">establecer el mandato de Relator Especial sobre la situación de los derechos humanos en la Federación de Rusia por un período de un año, y solicita a su titular que vigile la situación de los derechos humanos en la Federación de Rusia, recopile, examine y evalúe la información pertinente facilitada por todas las partes interesadas, incluida la sociedad civil rusa tanto dentro como fuera del país, teniendo en cuenta, cuando proceda, dimensiones como la edad, el género y la discapacidad, colabore con otros mecanismos </w:t>
      </w:r>
      <w:r w:rsidRPr="009941D2">
        <w:rPr>
          <w:lang w:val="es-ES_tradnl"/>
        </w:rPr>
        <w:lastRenderedPageBreak/>
        <w:t>pertinentes de derechos humanos de las Naciones Unidas, formule recomendaciones y presente un informe exhaustivo al Consejo de Derechos Humanos en su 54º período de sesiones y a la Asamblea General en su septuagésimo octavo período de sesiones;</w:t>
      </w:r>
    </w:p>
    <w:p w14:paraId="54D7840E" w14:textId="77777777" w:rsidR="009941D2" w:rsidRPr="009941D2" w:rsidRDefault="009941D2" w:rsidP="009941D2">
      <w:pPr>
        <w:pStyle w:val="SingleTxtG"/>
        <w:rPr>
          <w:lang w:val="es-ES_tradnl"/>
        </w:rPr>
      </w:pPr>
      <w:r w:rsidRPr="009941D2">
        <w:rPr>
          <w:lang w:val="es-ES_tradnl"/>
        </w:rPr>
        <w:tab/>
        <w:t>4.</w:t>
      </w:r>
      <w:r w:rsidRPr="009941D2">
        <w:rPr>
          <w:lang w:val="es-ES_tradnl"/>
        </w:rPr>
        <w:tab/>
      </w:r>
      <w:r w:rsidRPr="009941D2">
        <w:rPr>
          <w:i/>
          <w:iCs/>
          <w:lang w:val="es-ES_tradnl"/>
        </w:rPr>
        <w:t xml:space="preserve">Exhorta </w:t>
      </w:r>
      <w:r w:rsidRPr="009941D2">
        <w:rPr>
          <w:lang w:val="es-ES_tradnl"/>
        </w:rPr>
        <w:t>a las autoridades rusas a que cooperen plenamente con el o la titular del mandato de Relator Especial, entre otras cosas facilitándole un acceso sin trabas para que pueda visitar el país y reunirse libremente con las partes interesadas pertinentes, incluidos representantes de la sociedad civil y defensores de los derechos humanos, y proporcionándole la información necesaria para que desempeñe adecuadamente su mandato, y exhorta también a las autoridades rusas a que cooperen plenamente con todos los titulares de mandatos de los procedimientos especiales, los órganos de tratados y la Oficina del Alto Comisionado de las Naciones Unidas para los Derechos Humanos, y a que se abstengan de recurrir a cualquier forma de intimidación o represalia contra personas o asociaciones por el hecho de haber colaborado con estos órganos;</w:t>
      </w:r>
    </w:p>
    <w:p w14:paraId="6AF20040" w14:textId="77777777" w:rsidR="009941D2" w:rsidRPr="009941D2" w:rsidRDefault="009941D2" w:rsidP="009941D2">
      <w:pPr>
        <w:pStyle w:val="SingleTxtG"/>
        <w:rPr>
          <w:lang w:val="es-ES_tradnl"/>
        </w:rPr>
      </w:pPr>
      <w:r w:rsidRPr="009941D2">
        <w:rPr>
          <w:lang w:val="es-ES_tradnl"/>
        </w:rPr>
        <w:tab/>
        <w:t>5.</w:t>
      </w:r>
      <w:r w:rsidRPr="009941D2">
        <w:rPr>
          <w:lang w:val="es-ES_tradnl"/>
        </w:rPr>
        <w:tab/>
      </w:r>
      <w:r w:rsidRPr="009941D2">
        <w:rPr>
          <w:i/>
          <w:iCs/>
          <w:lang w:val="es-ES_tradnl"/>
        </w:rPr>
        <w:t xml:space="preserve">Solicita </w:t>
      </w:r>
      <w:r w:rsidRPr="009941D2">
        <w:rPr>
          <w:lang w:val="es-ES_tradnl"/>
        </w:rPr>
        <w:t>a la Oficina del Alto Comisionado que proporcione al o a la titular del mandato de Relator Especial la asistencia y todos los recursos necesarios para que pueda desempeñar dicho mandato.</w:t>
      </w:r>
    </w:p>
    <w:p w14:paraId="6100780E" w14:textId="77777777" w:rsidR="009941D2" w:rsidRPr="009941D2" w:rsidRDefault="009941D2" w:rsidP="009941D2">
      <w:pPr>
        <w:pStyle w:val="SingleTxtG"/>
        <w:spacing w:after="0"/>
        <w:jc w:val="right"/>
        <w:rPr>
          <w:i/>
          <w:lang w:val="es-ES_tradnl"/>
        </w:rPr>
      </w:pPr>
      <w:r w:rsidRPr="009941D2">
        <w:rPr>
          <w:i/>
          <w:lang w:val="es-ES_tradnl"/>
        </w:rPr>
        <w:t>42ª sesión</w:t>
      </w:r>
    </w:p>
    <w:p w14:paraId="6A0AA4FF" w14:textId="77777777" w:rsidR="009941D2" w:rsidRPr="009941D2" w:rsidRDefault="009941D2" w:rsidP="009941D2">
      <w:pPr>
        <w:pStyle w:val="SingleTxtG"/>
        <w:jc w:val="right"/>
        <w:rPr>
          <w:i/>
          <w:lang w:val="es-ES_tradnl"/>
        </w:rPr>
      </w:pPr>
      <w:r w:rsidRPr="009941D2">
        <w:rPr>
          <w:i/>
          <w:lang w:val="es-ES_tradnl"/>
        </w:rPr>
        <w:t>7 de octubre de 2022</w:t>
      </w:r>
    </w:p>
    <w:p w14:paraId="3568CAC4" w14:textId="602B412B" w:rsidR="009941D2" w:rsidRPr="009941D2" w:rsidRDefault="009941D2" w:rsidP="009941D2">
      <w:pPr>
        <w:pStyle w:val="SingleTxtG"/>
        <w:rPr>
          <w:lang w:val="es-ES_tradnl"/>
        </w:rPr>
      </w:pPr>
      <w:r w:rsidRPr="009941D2">
        <w:rPr>
          <w:lang w:val="es-ES_tradnl"/>
        </w:rPr>
        <w:t>[Aprobada en votación registrada por 17 votos contra 6 y 24 abstenciones. El resultado de la votación fue el siguiente:</w:t>
      </w:r>
    </w:p>
    <w:p w14:paraId="10378BE9" w14:textId="39C895A3" w:rsidR="009941D2" w:rsidRPr="009941D2" w:rsidRDefault="009941D2" w:rsidP="009941D2">
      <w:pPr>
        <w:pStyle w:val="SingleTxtG"/>
        <w:spacing w:after="0"/>
        <w:ind w:left="1701"/>
        <w:rPr>
          <w:i/>
          <w:lang w:val="es-ES_tradnl"/>
        </w:rPr>
      </w:pPr>
      <w:r w:rsidRPr="009941D2">
        <w:rPr>
          <w:i/>
          <w:lang w:val="es-ES_tradnl"/>
        </w:rPr>
        <w:t>Votos a favor:</w:t>
      </w:r>
    </w:p>
    <w:p w14:paraId="0DB6A830" w14:textId="5D801425" w:rsidR="009941D2" w:rsidRDefault="009941D2" w:rsidP="009941D2">
      <w:pPr>
        <w:pStyle w:val="SingleTxtG"/>
        <w:ind w:left="2268"/>
        <w:rPr>
          <w:lang w:val="es-ES_tradnl"/>
        </w:rPr>
      </w:pPr>
      <w:bookmarkStart w:id="6" w:name="_Hlk116290610"/>
      <w:r w:rsidRPr="009941D2">
        <w:rPr>
          <w:lang w:val="es-ES_tradnl"/>
        </w:rPr>
        <w:t>Alemania, Argentina, Chequia, Estados Unidos de América</w:t>
      </w:r>
      <w:r>
        <w:rPr>
          <w:lang w:val="es-ES_tradnl"/>
        </w:rPr>
        <w:t xml:space="preserve">, </w:t>
      </w:r>
      <w:r w:rsidRPr="009941D2">
        <w:rPr>
          <w:lang w:val="es-ES_tradnl"/>
        </w:rPr>
        <w:t>Finlandia, Francia, Islas Marshall, Japón, Lituania, Luxemburgo, Montenegro, Países</w:t>
      </w:r>
      <w:r w:rsidR="003F1D0E">
        <w:rPr>
          <w:lang w:val="es-ES_tradnl"/>
        </w:rPr>
        <w:t> </w:t>
      </w:r>
      <w:r w:rsidRPr="009941D2">
        <w:rPr>
          <w:lang w:val="es-ES_tradnl"/>
        </w:rPr>
        <w:t>Bajos, Paraguay, Polonia, Reino Unido de Gran Bretaña e Irlanda del Norte</w:t>
      </w:r>
      <w:r>
        <w:rPr>
          <w:lang w:val="es-ES_tradnl"/>
        </w:rPr>
        <w:t>,</w:t>
      </w:r>
      <w:r w:rsidRPr="009941D2">
        <w:rPr>
          <w:lang w:val="es-ES_tradnl"/>
        </w:rPr>
        <w:t xml:space="preserve"> República de Corea</w:t>
      </w:r>
      <w:r>
        <w:rPr>
          <w:lang w:val="es-ES_tradnl"/>
        </w:rPr>
        <w:t xml:space="preserve"> y</w:t>
      </w:r>
      <w:r w:rsidRPr="009941D2">
        <w:rPr>
          <w:lang w:val="es-ES_tradnl"/>
        </w:rPr>
        <w:t xml:space="preserve"> Ucrania</w:t>
      </w:r>
      <w:r>
        <w:rPr>
          <w:lang w:val="es-ES_tradnl"/>
        </w:rPr>
        <w:t>.</w:t>
      </w:r>
    </w:p>
    <w:bookmarkEnd w:id="6"/>
    <w:p w14:paraId="7F99D998" w14:textId="77777777" w:rsidR="009941D2" w:rsidRPr="009941D2" w:rsidRDefault="009941D2" w:rsidP="009941D2">
      <w:pPr>
        <w:pStyle w:val="SingleTxtG"/>
        <w:spacing w:after="0"/>
        <w:ind w:left="1701"/>
        <w:rPr>
          <w:i/>
          <w:lang w:val="es-ES_tradnl"/>
        </w:rPr>
      </w:pPr>
      <w:r w:rsidRPr="009941D2">
        <w:rPr>
          <w:i/>
          <w:lang w:val="es-ES_tradnl"/>
        </w:rPr>
        <w:t>Votos en contra:</w:t>
      </w:r>
    </w:p>
    <w:p w14:paraId="4C3D91DB" w14:textId="6563108A" w:rsidR="009941D2" w:rsidRPr="009941D2" w:rsidRDefault="009941D2" w:rsidP="009941D2">
      <w:pPr>
        <w:pStyle w:val="SingleTxtG"/>
        <w:ind w:left="2268"/>
        <w:rPr>
          <w:lang w:val="es-ES_tradnl"/>
        </w:rPr>
      </w:pPr>
      <w:bookmarkStart w:id="7" w:name="_Hlk116290627"/>
      <w:r w:rsidRPr="009941D2">
        <w:rPr>
          <w:lang w:val="es-ES_tradnl"/>
        </w:rPr>
        <w:t>Bolivia (Estado Plurinacional de), China, Cuba, Eritrea, Kazajstán y Venezuela (República Bolivariana de)</w:t>
      </w:r>
      <w:r>
        <w:rPr>
          <w:lang w:val="es-ES_tradnl"/>
        </w:rPr>
        <w:t>.</w:t>
      </w:r>
    </w:p>
    <w:bookmarkEnd w:id="7"/>
    <w:p w14:paraId="71115F4A" w14:textId="1CB68447" w:rsidR="009941D2" w:rsidRPr="009941D2" w:rsidRDefault="009941D2" w:rsidP="009941D2">
      <w:pPr>
        <w:pStyle w:val="SingleTxtG"/>
        <w:spacing w:after="0"/>
        <w:ind w:left="1701"/>
        <w:rPr>
          <w:i/>
          <w:lang w:val="es-ES_tradnl"/>
        </w:rPr>
      </w:pPr>
      <w:r w:rsidRPr="009941D2">
        <w:rPr>
          <w:i/>
          <w:lang w:val="es-ES_tradnl"/>
        </w:rPr>
        <w:t>Abstenciones:</w:t>
      </w:r>
    </w:p>
    <w:p w14:paraId="428186D4" w14:textId="06F1A4EF" w:rsidR="009941D2" w:rsidRPr="009941D2" w:rsidRDefault="009941D2" w:rsidP="009941D2">
      <w:pPr>
        <w:pStyle w:val="SingleTxtG"/>
        <w:ind w:left="2268"/>
        <w:rPr>
          <w:lang w:val="es-ES_tradnl"/>
        </w:rPr>
      </w:pPr>
      <w:r w:rsidRPr="009941D2">
        <w:rPr>
          <w:lang w:val="es-ES_tradnl"/>
        </w:rPr>
        <w:t>Armenia, Benin, Brasil, Camerún, Côte d’Ivoire, Emiratos Árabes Unidos</w:t>
      </w:r>
      <w:r>
        <w:rPr>
          <w:lang w:val="es-ES_tradnl"/>
        </w:rPr>
        <w:t>,</w:t>
      </w:r>
      <w:r w:rsidRPr="009941D2">
        <w:rPr>
          <w:lang w:val="es-ES_tradnl"/>
        </w:rPr>
        <w:t xml:space="preserve"> </w:t>
      </w:r>
      <w:r w:rsidRPr="009941D2">
        <w:rPr>
          <w:lang w:val="es-ES_tradnl"/>
        </w:rPr>
        <w:t>Gabón, Gambia, Honduras, India, Indonesia, Libia, Malasia,</w:t>
      </w:r>
      <w:r>
        <w:rPr>
          <w:lang w:val="es-ES_tradnl"/>
        </w:rPr>
        <w:t xml:space="preserve"> </w:t>
      </w:r>
      <w:r w:rsidRPr="009941D2">
        <w:rPr>
          <w:lang w:val="es-ES_tradnl"/>
        </w:rPr>
        <w:t>Malawi, Mauritania, México, Namibia, Nepal, Pakistán, Qatar, Senegal, Somalia, Sudán y Uzbekistán</w:t>
      </w:r>
      <w:r>
        <w:rPr>
          <w:lang w:val="es-ES_tradnl"/>
        </w:rPr>
        <w:t>.</w:t>
      </w:r>
      <w:r w:rsidRPr="009941D2">
        <w:rPr>
          <w:lang w:val="es-ES_tradnl"/>
        </w:rPr>
        <w:t>]</w:t>
      </w:r>
    </w:p>
    <w:p w14:paraId="352C0390" w14:textId="11B1AA37" w:rsidR="00381C24" w:rsidRPr="009941D2" w:rsidRDefault="009941D2" w:rsidP="009941D2">
      <w:pPr>
        <w:pStyle w:val="SingleTxtG"/>
        <w:suppressAutoHyphens/>
        <w:spacing w:before="240" w:after="0"/>
        <w:jc w:val="center"/>
        <w:rPr>
          <w:u w:val="single"/>
        </w:rPr>
      </w:pPr>
      <w:r>
        <w:rPr>
          <w:u w:val="single"/>
        </w:rPr>
        <w:tab/>
      </w:r>
      <w:r>
        <w:rPr>
          <w:u w:val="single"/>
        </w:rPr>
        <w:tab/>
      </w:r>
      <w:r>
        <w:rPr>
          <w:u w:val="single"/>
        </w:rPr>
        <w:tab/>
      </w:r>
    </w:p>
    <w:sectPr w:rsidR="00381C24" w:rsidRPr="009941D2" w:rsidSect="009941D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8D857" w14:textId="77777777" w:rsidR="00F759F5" w:rsidRPr="00A312BC" w:rsidRDefault="00F759F5" w:rsidP="00A312BC">
      <w:pPr>
        <w:pStyle w:val="Piedepgina"/>
      </w:pPr>
    </w:p>
  </w:endnote>
  <w:endnote w:type="continuationSeparator" w:id="0">
    <w:p w14:paraId="5AAA7DE7" w14:textId="77777777" w:rsidR="00F759F5" w:rsidRPr="00A312BC" w:rsidRDefault="00F759F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8DE44" w14:textId="02AFDA50" w:rsidR="009941D2" w:rsidRPr="009941D2" w:rsidRDefault="009941D2" w:rsidP="009941D2">
    <w:pPr>
      <w:pStyle w:val="Piedepgina"/>
      <w:tabs>
        <w:tab w:val="right" w:pos="9638"/>
      </w:tabs>
    </w:pPr>
    <w:r w:rsidRPr="009941D2">
      <w:rPr>
        <w:b/>
        <w:sz w:val="18"/>
      </w:rPr>
      <w:fldChar w:fldCharType="begin"/>
    </w:r>
    <w:r w:rsidRPr="009941D2">
      <w:rPr>
        <w:b/>
        <w:sz w:val="18"/>
      </w:rPr>
      <w:instrText xml:space="preserve"> PAGE  \* MERGEFORMAT </w:instrText>
    </w:r>
    <w:r w:rsidRPr="009941D2">
      <w:rPr>
        <w:b/>
        <w:sz w:val="18"/>
      </w:rPr>
      <w:fldChar w:fldCharType="separate"/>
    </w:r>
    <w:r w:rsidRPr="009941D2">
      <w:rPr>
        <w:b/>
        <w:noProof/>
        <w:sz w:val="18"/>
      </w:rPr>
      <w:t>2</w:t>
    </w:r>
    <w:r w:rsidRPr="009941D2">
      <w:rPr>
        <w:b/>
        <w:sz w:val="18"/>
      </w:rPr>
      <w:fldChar w:fldCharType="end"/>
    </w:r>
    <w:r>
      <w:rPr>
        <w:b/>
        <w:sz w:val="18"/>
      </w:rPr>
      <w:tab/>
    </w:r>
    <w:r>
      <w:t>GE.22-16415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E3E3" w14:textId="5BC521BE" w:rsidR="009941D2" w:rsidRPr="009941D2" w:rsidRDefault="009941D2" w:rsidP="009941D2">
    <w:pPr>
      <w:pStyle w:val="Piedepgina"/>
      <w:tabs>
        <w:tab w:val="right" w:pos="9638"/>
      </w:tabs>
      <w:rPr>
        <w:b/>
        <w:sz w:val="18"/>
      </w:rPr>
    </w:pPr>
    <w:r>
      <w:t>GE.22-16415</w:t>
    </w:r>
    <w:r>
      <w:tab/>
    </w:r>
    <w:r w:rsidRPr="009941D2">
      <w:rPr>
        <w:b/>
        <w:sz w:val="18"/>
      </w:rPr>
      <w:fldChar w:fldCharType="begin"/>
    </w:r>
    <w:r w:rsidRPr="009941D2">
      <w:rPr>
        <w:b/>
        <w:sz w:val="18"/>
      </w:rPr>
      <w:instrText xml:space="preserve"> PAGE  \* MERGEFORMAT </w:instrText>
    </w:r>
    <w:r w:rsidRPr="009941D2">
      <w:rPr>
        <w:b/>
        <w:sz w:val="18"/>
      </w:rPr>
      <w:fldChar w:fldCharType="separate"/>
    </w:r>
    <w:r w:rsidRPr="009941D2">
      <w:rPr>
        <w:b/>
        <w:noProof/>
        <w:sz w:val="18"/>
      </w:rPr>
      <w:t>3</w:t>
    </w:r>
    <w:r w:rsidRPr="009941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E30D2" w14:textId="793B343E" w:rsidR="00042B72" w:rsidRPr="009941D2" w:rsidRDefault="009941D2" w:rsidP="009941D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C74B2F6" wp14:editId="52EA100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22-16415  (S)</w:t>
    </w:r>
    <w:r>
      <w:rPr>
        <w:noProof/>
        <w:sz w:val="20"/>
      </w:rPr>
      <w:drawing>
        <wp:anchor distT="0" distB="0" distL="114300" distR="114300" simplePos="0" relativeHeight="251658752" behindDoc="0" locked="0" layoutInCell="1" allowOverlap="1" wp14:anchorId="77A0FACD" wp14:editId="6F6F89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3A562" w14:textId="77777777" w:rsidR="00F759F5" w:rsidRPr="001075E9" w:rsidRDefault="00F759F5" w:rsidP="001075E9">
      <w:pPr>
        <w:tabs>
          <w:tab w:val="right" w:pos="2155"/>
        </w:tabs>
        <w:spacing w:after="80" w:line="240" w:lineRule="auto"/>
        <w:ind w:left="680"/>
        <w:rPr>
          <w:u w:val="single"/>
        </w:rPr>
      </w:pPr>
      <w:r>
        <w:rPr>
          <w:u w:val="single"/>
        </w:rPr>
        <w:tab/>
      </w:r>
    </w:p>
  </w:footnote>
  <w:footnote w:type="continuationSeparator" w:id="0">
    <w:p w14:paraId="7C4E5B33" w14:textId="77777777" w:rsidR="00F759F5" w:rsidRDefault="00F759F5"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CA663" w14:textId="227BC15E" w:rsidR="009941D2" w:rsidRPr="009941D2" w:rsidRDefault="009941D2">
    <w:pPr>
      <w:pStyle w:val="Encabezado"/>
    </w:pPr>
    <w:fldSimple w:instr=" TITLE  \* MERGEFORMAT ">
      <w:r w:rsidR="00AA76F0">
        <w:t>A/HRC/RES/51/25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1D379" w14:textId="617C4A55" w:rsidR="009941D2" w:rsidRPr="009941D2" w:rsidRDefault="009941D2" w:rsidP="009941D2">
    <w:pPr>
      <w:pStyle w:val="Encabezado"/>
      <w:jc w:val="right"/>
    </w:pPr>
    <w:fldSimple w:instr=" TITLE  \* MERGEFORMAT ">
      <w:r w:rsidR="00AA76F0">
        <w:t>A/HRC/RES/51/25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9F5"/>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F1D0E"/>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57C90"/>
    <w:rsid w:val="00681A10"/>
    <w:rsid w:val="006A1ED8"/>
    <w:rsid w:val="006C2031"/>
    <w:rsid w:val="006D461A"/>
    <w:rsid w:val="006F35EE"/>
    <w:rsid w:val="007021FF"/>
    <w:rsid w:val="00712895"/>
    <w:rsid w:val="00757357"/>
    <w:rsid w:val="00804F8A"/>
    <w:rsid w:val="00825F8D"/>
    <w:rsid w:val="00834B71"/>
    <w:rsid w:val="0086445C"/>
    <w:rsid w:val="00894693"/>
    <w:rsid w:val="008A08D7"/>
    <w:rsid w:val="008B6909"/>
    <w:rsid w:val="00906890"/>
    <w:rsid w:val="00911BE4"/>
    <w:rsid w:val="00951972"/>
    <w:rsid w:val="009608F3"/>
    <w:rsid w:val="00982D57"/>
    <w:rsid w:val="009941D2"/>
    <w:rsid w:val="009A24AC"/>
    <w:rsid w:val="00A312BC"/>
    <w:rsid w:val="00A84021"/>
    <w:rsid w:val="00A84D35"/>
    <w:rsid w:val="00A90665"/>
    <w:rsid w:val="00A917B3"/>
    <w:rsid w:val="00A978F1"/>
    <w:rsid w:val="00AA76F0"/>
    <w:rsid w:val="00AB4B51"/>
    <w:rsid w:val="00B10CC7"/>
    <w:rsid w:val="00B42844"/>
    <w:rsid w:val="00B539E7"/>
    <w:rsid w:val="00B62458"/>
    <w:rsid w:val="00BC18B2"/>
    <w:rsid w:val="00BD33EE"/>
    <w:rsid w:val="00C106D6"/>
    <w:rsid w:val="00C60F0C"/>
    <w:rsid w:val="00C76AAE"/>
    <w:rsid w:val="00C805C9"/>
    <w:rsid w:val="00C92939"/>
    <w:rsid w:val="00CA1679"/>
    <w:rsid w:val="00CB151C"/>
    <w:rsid w:val="00CD0C97"/>
    <w:rsid w:val="00CE5A1A"/>
    <w:rsid w:val="00CF55F6"/>
    <w:rsid w:val="00D33D63"/>
    <w:rsid w:val="00D90138"/>
    <w:rsid w:val="00E728B5"/>
    <w:rsid w:val="00E73F76"/>
    <w:rsid w:val="00EA2C9F"/>
    <w:rsid w:val="00ED0BDA"/>
    <w:rsid w:val="00ED6538"/>
    <w:rsid w:val="00EF1360"/>
    <w:rsid w:val="00EF3220"/>
    <w:rsid w:val="00F759F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40D71"/>
  <w15:docId w15:val="{09F9D683-F705-4959-A26C-F43C7987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character" w:styleId="Refdecomentario">
    <w:name w:val="annotation reference"/>
    <w:basedOn w:val="Fuentedeprrafopredeter"/>
    <w:semiHidden/>
    <w:unhideWhenUsed/>
    <w:rsid w:val="009941D2"/>
    <w:rPr>
      <w:sz w:val="16"/>
      <w:szCs w:val="16"/>
    </w:rPr>
  </w:style>
  <w:style w:type="paragraph" w:styleId="Textocomentario">
    <w:name w:val="annotation text"/>
    <w:basedOn w:val="Normal"/>
    <w:link w:val="TextocomentarioCar"/>
    <w:semiHidden/>
    <w:unhideWhenUsed/>
    <w:rsid w:val="009941D2"/>
    <w:pPr>
      <w:spacing w:line="240" w:lineRule="auto"/>
    </w:pPr>
  </w:style>
  <w:style w:type="character" w:customStyle="1" w:styleId="TextocomentarioCar">
    <w:name w:val="Texto comentario Car"/>
    <w:basedOn w:val="Fuentedeprrafopredeter"/>
    <w:link w:val="Textocomentario"/>
    <w:semiHidden/>
    <w:rsid w:val="009941D2"/>
  </w:style>
  <w:style w:type="paragraph" w:styleId="Asuntodelcomentario">
    <w:name w:val="annotation subject"/>
    <w:basedOn w:val="Textocomentario"/>
    <w:next w:val="Textocomentario"/>
    <w:link w:val="AsuntodelcomentarioCar"/>
    <w:semiHidden/>
    <w:unhideWhenUsed/>
    <w:rsid w:val="009941D2"/>
    <w:rPr>
      <w:b/>
      <w:bCs/>
    </w:rPr>
  </w:style>
  <w:style w:type="character" w:customStyle="1" w:styleId="AsuntodelcomentarioCar">
    <w:name w:val="Asunto del comentario Car"/>
    <w:basedOn w:val="TextocomentarioCar"/>
    <w:link w:val="Asuntodelcomentario"/>
    <w:semiHidden/>
    <w:rsid w:val="009941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1468</Words>
  <Characters>8064</Characters>
  <Application>Microsoft Office Word</Application>
  <DocSecurity>0</DocSecurity>
  <Lines>139</Lines>
  <Paragraphs>49</Paragraphs>
  <ScaleCrop>false</ScaleCrop>
  <HeadingPairs>
    <vt:vector size="2" baseType="variant">
      <vt:variant>
        <vt:lpstr>Título</vt:lpstr>
      </vt:variant>
      <vt:variant>
        <vt:i4>1</vt:i4>
      </vt:variant>
    </vt:vector>
  </HeadingPairs>
  <TitlesOfParts>
    <vt:vector size="1" baseType="lpstr">
      <vt:lpstr>A/HRC/RES/51/25</vt:lpstr>
    </vt:vector>
  </TitlesOfParts>
  <Company>DCM</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A/HRC/RES/51/25</dc:title>
  <dc:subject/>
  <dc:creator>Luz Maria URQUIZU MARROQUIN</dc:creator>
  <cp:keywords/>
  <cp:lastModifiedBy>Luz Urquizu Marroquin</cp:lastModifiedBy>
  <cp:revision>3</cp:revision>
  <cp:lastPrinted>2022-10-21T08:11:00Z</cp:lastPrinted>
  <dcterms:created xsi:type="dcterms:W3CDTF">2022-10-21T08:11:00Z</dcterms:created>
  <dcterms:modified xsi:type="dcterms:W3CDTF">2022-10-21T08:11:00Z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