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80"/>
        <w:gridCol w:w="2273"/>
        <w:gridCol w:w="3267"/>
        <w:gridCol w:w="2819"/>
      </w:tblGrid>
      <w:tr w:rsidR="002D5AAC" w:rsidTr="00B85767">
        <w:trPr>
          <w:trHeight w:hRule="exact" w:val="851"/>
        </w:trPr>
        <w:tc>
          <w:tcPr>
            <w:tcW w:w="1280" w:type="dxa"/>
            <w:tcBorders>
              <w:bottom w:val="single" w:sz="4" w:space="0" w:color="auto"/>
            </w:tcBorders>
            <w:shd w:val="clear" w:color="auto" w:fill="auto"/>
          </w:tcPr>
          <w:p w:rsidR="002D5AAC" w:rsidRDefault="002D5AAC" w:rsidP="00B85767"/>
        </w:tc>
        <w:tc>
          <w:tcPr>
            <w:tcW w:w="2273" w:type="dxa"/>
            <w:tcBorders>
              <w:bottom w:val="single" w:sz="4" w:space="0" w:color="auto"/>
            </w:tcBorders>
            <w:shd w:val="clear" w:color="auto" w:fill="auto"/>
            <w:vAlign w:val="bottom"/>
          </w:tcPr>
          <w:p w:rsidR="002D5AAC" w:rsidRPr="00B85767" w:rsidRDefault="00BD33EE" w:rsidP="00B85767">
            <w:pPr>
              <w:spacing w:after="80" w:line="300" w:lineRule="exact"/>
              <w:rPr>
                <w:sz w:val="28"/>
              </w:rPr>
            </w:pPr>
            <w:r w:rsidRPr="00B85767">
              <w:rPr>
                <w:sz w:val="28"/>
              </w:rPr>
              <w:t>Naciones Unidas</w:t>
            </w:r>
          </w:p>
        </w:tc>
        <w:tc>
          <w:tcPr>
            <w:tcW w:w="6086" w:type="dxa"/>
            <w:gridSpan w:val="2"/>
            <w:tcBorders>
              <w:bottom w:val="single" w:sz="4" w:space="0" w:color="auto"/>
            </w:tcBorders>
            <w:shd w:val="clear" w:color="auto" w:fill="auto"/>
            <w:vAlign w:val="bottom"/>
          </w:tcPr>
          <w:p w:rsidR="002D5AAC" w:rsidRDefault="00FA6F60" w:rsidP="00B85767">
            <w:pPr>
              <w:jc w:val="right"/>
            </w:pPr>
            <w:r w:rsidRPr="00B85767">
              <w:rPr>
                <w:sz w:val="40"/>
              </w:rPr>
              <w:t>A</w:t>
            </w:r>
            <w:r>
              <w:t>/HRC/RES/27/29</w:t>
            </w:r>
          </w:p>
        </w:tc>
      </w:tr>
      <w:tr w:rsidR="002D5AAC" w:rsidTr="00B85767">
        <w:trPr>
          <w:trHeight w:hRule="exact" w:val="2835"/>
        </w:trPr>
        <w:tc>
          <w:tcPr>
            <w:tcW w:w="1280" w:type="dxa"/>
            <w:tcBorders>
              <w:top w:val="single" w:sz="4" w:space="0" w:color="auto"/>
              <w:bottom w:val="single" w:sz="12" w:space="0" w:color="auto"/>
            </w:tcBorders>
            <w:shd w:val="clear" w:color="auto" w:fill="auto"/>
          </w:tcPr>
          <w:p w:rsidR="002D5AAC" w:rsidRDefault="00B85767" w:rsidP="00B85767">
            <w:pPr>
              <w:spacing w:before="120"/>
              <w:jc w:val="center"/>
            </w:pPr>
            <w:r w:rsidRPr="00E17B91">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1" o:spid="_x0000_i1025" type="#_x0000_t75" alt="_unlogo" style="width:56.25pt;height:46.5pt;visibility:visible">
                  <v:imagedata r:id="rId7" o:title="_unlogo"/>
                </v:shape>
              </w:pict>
            </w:r>
          </w:p>
        </w:tc>
        <w:tc>
          <w:tcPr>
            <w:tcW w:w="5540" w:type="dxa"/>
            <w:gridSpan w:val="2"/>
            <w:tcBorders>
              <w:top w:val="single" w:sz="4" w:space="0" w:color="auto"/>
              <w:bottom w:val="single" w:sz="12" w:space="0" w:color="auto"/>
            </w:tcBorders>
            <w:shd w:val="clear" w:color="auto" w:fill="auto"/>
          </w:tcPr>
          <w:p w:rsidR="002D5AAC" w:rsidRPr="00B85767" w:rsidRDefault="002F7EEC" w:rsidP="00B85767">
            <w:pPr>
              <w:spacing w:before="120" w:line="360" w:lineRule="exact"/>
              <w:rPr>
                <w:b/>
                <w:sz w:val="34"/>
                <w:szCs w:val="34"/>
              </w:rPr>
            </w:pPr>
            <w:r w:rsidRPr="00B85767">
              <w:rPr>
                <w:b/>
                <w:sz w:val="40"/>
                <w:szCs w:val="40"/>
              </w:rPr>
              <w:t>Asamblea General</w:t>
            </w:r>
          </w:p>
        </w:tc>
        <w:tc>
          <w:tcPr>
            <w:tcW w:w="2819" w:type="dxa"/>
            <w:tcBorders>
              <w:top w:val="single" w:sz="4" w:space="0" w:color="auto"/>
              <w:bottom w:val="single" w:sz="12" w:space="0" w:color="auto"/>
            </w:tcBorders>
            <w:shd w:val="clear" w:color="auto" w:fill="auto"/>
          </w:tcPr>
          <w:p w:rsidR="00FA6F60" w:rsidRDefault="00FA6F60" w:rsidP="00B85767">
            <w:pPr>
              <w:spacing w:before="240"/>
            </w:pPr>
            <w:r>
              <w:t>Distr. general</w:t>
            </w:r>
          </w:p>
          <w:p w:rsidR="00FA6F60" w:rsidRDefault="00FA6F60" w:rsidP="00B85767">
            <w:pPr>
              <w:spacing w:line="240" w:lineRule="exact"/>
            </w:pPr>
            <w:r>
              <w:t>7 de octubre de 2014</w:t>
            </w:r>
          </w:p>
          <w:p w:rsidR="00FA6F60" w:rsidRDefault="00FA6F60" w:rsidP="00B85767">
            <w:pPr>
              <w:spacing w:line="240" w:lineRule="exact"/>
            </w:pPr>
            <w:r>
              <w:t>Español</w:t>
            </w:r>
          </w:p>
          <w:p w:rsidR="002D5AAC" w:rsidRDefault="00FA6F60" w:rsidP="00B85767">
            <w:pPr>
              <w:spacing w:line="240" w:lineRule="exact"/>
            </w:pPr>
            <w:r>
              <w:t>Original: inglés</w:t>
            </w:r>
          </w:p>
        </w:tc>
      </w:tr>
    </w:tbl>
    <w:p w:rsidR="00FA6F60" w:rsidRPr="00FA6F60" w:rsidRDefault="00FA6F60" w:rsidP="00FA6F60">
      <w:pPr>
        <w:spacing w:before="120"/>
        <w:rPr>
          <w:b/>
          <w:bCs/>
          <w:sz w:val="24"/>
          <w:szCs w:val="24"/>
          <w:lang w:val="es-ES_tradnl"/>
        </w:rPr>
      </w:pPr>
      <w:r w:rsidRPr="00FA6F60">
        <w:rPr>
          <w:b/>
          <w:bCs/>
          <w:sz w:val="24"/>
          <w:szCs w:val="24"/>
          <w:lang w:val="es-ES_tradnl"/>
        </w:rPr>
        <w:t>Consejo de Derechos Humanos</w:t>
      </w:r>
    </w:p>
    <w:p w:rsidR="00FA6F60" w:rsidRPr="00FA6F60" w:rsidRDefault="00FA6F60" w:rsidP="00FA6F60">
      <w:pPr>
        <w:rPr>
          <w:b/>
          <w:bCs/>
          <w:lang w:val="es-ES_tradnl"/>
        </w:rPr>
      </w:pPr>
      <w:r w:rsidRPr="00FA6F60">
        <w:rPr>
          <w:b/>
          <w:bCs/>
          <w:lang w:val="es-ES_tradnl"/>
        </w:rPr>
        <w:t>27º período de sesiones</w:t>
      </w:r>
    </w:p>
    <w:p w:rsidR="00FA6F60" w:rsidRPr="00FA6F60" w:rsidRDefault="00FA6F60" w:rsidP="00FA6F60">
      <w:pPr>
        <w:rPr>
          <w:bCs/>
          <w:lang w:val="es-ES_tradnl"/>
        </w:rPr>
      </w:pPr>
      <w:r w:rsidRPr="00FA6F60">
        <w:rPr>
          <w:bCs/>
          <w:lang w:val="es-ES_tradnl"/>
        </w:rPr>
        <w:t>Tema 10 de la agenda</w:t>
      </w:r>
    </w:p>
    <w:p w:rsidR="00FA6F60" w:rsidRPr="00FA6F60" w:rsidRDefault="00FA6F60" w:rsidP="00FA6F60">
      <w:pPr>
        <w:rPr>
          <w:b/>
          <w:bCs/>
          <w:lang w:val="es-ES_tradnl"/>
        </w:rPr>
      </w:pPr>
      <w:r w:rsidRPr="00FA6F60">
        <w:rPr>
          <w:b/>
          <w:bCs/>
          <w:lang w:val="es-ES_tradnl"/>
        </w:rPr>
        <w:t>Asistencia técnica y fomento de la capacidad</w:t>
      </w:r>
    </w:p>
    <w:p w:rsidR="00FA6F60" w:rsidRPr="00FA6F60" w:rsidRDefault="00FA6F60" w:rsidP="00FA6F60">
      <w:pPr>
        <w:pStyle w:val="H23G"/>
        <w:rPr>
          <w:lang w:val="es-ES_tradnl"/>
        </w:rPr>
      </w:pPr>
      <w:r w:rsidRPr="00FA6F60">
        <w:rPr>
          <w:lang w:val="es-ES_tradnl"/>
        </w:rPr>
        <w:tab/>
      </w:r>
      <w:r w:rsidRPr="00FA6F60">
        <w:rPr>
          <w:lang w:val="es-ES_tradnl"/>
        </w:rPr>
        <w:tab/>
      </w:r>
      <w:r>
        <w:rPr>
          <w:lang w:val="es-ES_tradnl"/>
        </w:rPr>
        <w:t>R</w:t>
      </w:r>
      <w:r w:rsidRPr="00FA6F60">
        <w:rPr>
          <w:lang w:val="es-ES_tradnl"/>
        </w:rPr>
        <w:t>esolución</w:t>
      </w:r>
      <w:r>
        <w:rPr>
          <w:lang w:val="es-ES_tradnl"/>
        </w:rPr>
        <w:t xml:space="preserve"> aprobada por el Consejo de Derechos Humanos</w:t>
      </w:r>
    </w:p>
    <w:p w:rsidR="00FA6F60" w:rsidRPr="00FA6F60" w:rsidRDefault="00FA6F60" w:rsidP="00FA6F60">
      <w:pPr>
        <w:pStyle w:val="H1G"/>
        <w:rPr>
          <w:lang w:val="es-ES_tradnl"/>
        </w:rPr>
      </w:pPr>
      <w:r w:rsidRPr="00FA6F60">
        <w:rPr>
          <w:lang w:val="es-ES_tradnl"/>
        </w:rPr>
        <w:tab/>
      </w:r>
      <w:r w:rsidRPr="00FA6F60">
        <w:rPr>
          <w:lang w:val="es-ES_tradnl"/>
        </w:rPr>
        <w:tab/>
        <w:t>27/</w:t>
      </w:r>
      <w:r>
        <w:rPr>
          <w:lang w:val="es-ES_tradnl"/>
        </w:rPr>
        <w:t>29</w:t>
      </w:r>
      <w:r w:rsidRPr="00FA6F60">
        <w:rPr>
          <w:lang w:val="es-ES_tradnl"/>
        </w:rPr>
        <w:br/>
        <w:t xml:space="preserve">Asistencia técnica y fomento de la capacidad para mejorar </w:t>
      </w:r>
      <w:r w:rsidRPr="00FA6F60">
        <w:rPr>
          <w:lang w:val="es-ES_tradnl"/>
        </w:rPr>
        <w:br/>
        <w:t>la situación de los derechos humanos en el Sudán</w:t>
      </w:r>
    </w:p>
    <w:p w:rsidR="00FA6F60" w:rsidRPr="00FA6F60" w:rsidRDefault="00FA6F60" w:rsidP="00FA6F60">
      <w:pPr>
        <w:pStyle w:val="SingleTxtG"/>
        <w:rPr>
          <w:lang w:val="es-ES_tradnl"/>
        </w:rPr>
      </w:pPr>
      <w:r>
        <w:rPr>
          <w:lang w:val="es-ES_tradnl"/>
        </w:rPr>
        <w:tab/>
      </w:r>
      <w:r w:rsidRPr="00FA6F60">
        <w:rPr>
          <w:i/>
          <w:lang w:val="es-ES_tradnl"/>
        </w:rPr>
        <w:t>El Consejo de Derechos Humanos</w:t>
      </w:r>
      <w:r w:rsidRPr="00FA6F60">
        <w:rPr>
          <w:lang w:val="es-ES_tradnl"/>
        </w:rPr>
        <w:t>,</w:t>
      </w:r>
      <w:r w:rsidRPr="00FA6F60">
        <w:rPr>
          <w:bCs/>
          <w:lang w:val="es-ES_tradnl"/>
        </w:rPr>
        <w:t xml:space="preserve"> </w:t>
      </w:r>
    </w:p>
    <w:p w:rsidR="00FA6F60" w:rsidRPr="00FA6F60" w:rsidRDefault="00FA6F60" w:rsidP="00FA6F60">
      <w:pPr>
        <w:pStyle w:val="SingleTxtG"/>
        <w:rPr>
          <w:lang w:val="es-ES_tradnl"/>
        </w:rPr>
      </w:pPr>
      <w:r>
        <w:rPr>
          <w:i/>
          <w:iCs/>
          <w:lang w:val="es-ES_tradnl"/>
        </w:rPr>
        <w:tab/>
      </w:r>
      <w:r w:rsidRPr="00FA6F60">
        <w:rPr>
          <w:i/>
          <w:iCs/>
          <w:lang w:val="es-ES_tradnl"/>
        </w:rPr>
        <w:t>Guiado</w:t>
      </w:r>
      <w:r w:rsidRPr="00FA6F60">
        <w:rPr>
          <w:iCs/>
          <w:lang w:val="es-ES_tradnl"/>
        </w:rPr>
        <w:t xml:space="preserve"> </w:t>
      </w:r>
      <w:r w:rsidRPr="00FA6F60">
        <w:rPr>
          <w:lang w:val="es-ES_tradnl"/>
        </w:rPr>
        <w:t xml:space="preserve">por los propósitos y principios de la Carta de las Naciones Unidas, </w:t>
      </w:r>
    </w:p>
    <w:p w:rsidR="00FA6F60" w:rsidRPr="00FA6F60" w:rsidRDefault="00FA6F60" w:rsidP="00FA6F60">
      <w:pPr>
        <w:pStyle w:val="SingleTxtG"/>
        <w:rPr>
          <w:lang w:val="es-ES_tradnl"/>
        </w:rPr>
      </w:pPr>
      <w:r>
        <w:rPr>
          <w:i/>
          <w:iCs/>
          <w:lang w:val="es-ES_tradnl"/>
        </w:rPr>
        <w:tab/>
      </w:r>
      <w:r w:rsidRPr="00FA6F60">
        <w:rPr>
          <w:i/>
          <w:iCs/>
          <w:lang w:val="es-ES_tradnl"/>
        </w:rPr>
        <w:t>Recordando</w:t>
      </w:r>
      <w:r w:rsidRPr="00FA6F60">
        <w:rPr>
          <w:iCs/>
          <w:lang w:val="es-ES_tradnl"/>
        </w:rPr>
        <w:t xml:space="preserve"> </w:t>
      </w:r>
      <w:r w:rsidRPr="00FA6F60">
        <w:rPr>
          <w:lang w:val="es-ES_tradnl"/>
        </w:rPr>
        <w:t>la Declaración Universal de Derechos Humanos, los Pactos Internacionales de derechos humanos y otros instrumentos internacionales de derechos humanos pertinentes,</w:t>
      </w:r>
    </w:p>
    <w:p w:rsidR="00FA6F60" w:rsidRPr="00FA6F60" w:rsidRDefault="00FA6F60" w:rsidP="00FA6F60">
      <w:pPr>
        <w:pStyle w:val="SingleTxtG"/>
        <w:rPr>
          <w:lang w:val="es-ES_tradnl"/>
        </w:rPr>
      </w:pPr>
      <w:r>
        <w:rPr>
          <w:i/>
          <w:lang w:val="es-ES_tradnl"/>
        </w:rPr>
        <w:tab/>
      </w:r>
      <w:r w:rsidRPr="00FA6F60">
        <w:rPr>
          <w:i/>
          <w:lang w:val="es-ES_tradnl"/>
        </w:rPr>
        <w:t xml:space="preserve">Recordando </w:t>
      </w:r>
      <w:r w:rsidRPr="00FA6F60">
        <w:rPr>
          <w:i/>
          <w:iCs/>
          <w:lang w:val="es-ES_tradnl"/>
        </w:rPr>
        <w:t>también</w:t>
      </w:r>
      <w:r w:rsidRPr="00FA6F60">
        <w:rPr>
          <w:lang w:val="es-ES_tradnl"/>
        </w:rPr>
        <w:t xml:space="preserve"> la resolución 60/251 de la Asamblea General</w:t>
      </w:r>
      <w:r w:rsidR="00B65CBA">
        <w:rPr>
          <w:lang w:val="es-ES_tradnl"/>
        </w:rPr>
        <w:t xml:space="preserve">, de 15 de marzo de 2006, </w:t>
      </w:r>
      <w:r w:rsidRPr="00FA6F60">
        <w:rPr>
          <w:lang w:val="es-ES_tradnl"/>
        </w:rPr>
        <w:t>y las resoluciones del Consejo de Derechos Humanos 5/1 y 5/2, de 18 de junio de</w:t>
      </w:r>
      <w:r w:rsidR="00B65CBA">
        <w:rPr>
          <w:lang w:val="es-ES_tradnl"/>
        </w:rPr>
        <w:t> </w:t>
      </w:r>
      <w:r w:rsidRPr="00FA6F60">
        <w:rPr>
          <w:lang w:val="es-ES_tradnl"/>
        </w:rPr>
        <w:t>2007,</w:t>
      </w:r>
    </w:p>
    <w:p w:rsidR="00FA6F60" w:rsidRPr="00FA6F60" w:rsidRDefault="00B65CBA" w:rsidP="00B65CBA">
      <w:pPr>
        <w:pStyle w:val="SingleTxtG"/>
        <w:rPr>
          <w:lang w:val="es-ES_tradnl"/>
        </w:rPr>
      </w:pPr>
      <w:r>
        <w:rPr>
          <w:i/>
          <w:lang w:val="es-ES_tradnl"/>
        </w:rPr>
        <w:tab/>
      </w:r>
      <w:r w:rsidR="00FA6F60" w:rsidRPr="00FA6F60">
        <w:rPr>
          <w:i/>
          <w:lang w:val="es-ES_tradnl"/>
        </w:rPr>
        <w:t>Poniendo de relieve</w:t>
      </w:r>
      <w:r w:rsidR="00FA6F60" w:rsidRPr="00FA6F60">
        <w:rPr>
          <w:lang w:val="es-ES_tradnl"/>
        </w:rPr>
        <w:t xml:space="preserve"> que recae en los Estados la responsabilidad primordial de promover y proteger todos los derechos humanos, </w:t>
      </w:r>
    </w:p>
    <w:p w:rsidR="00FA6F60" w:rsidRPr="00FA6F60" w:rsidRDefault="00B65CBA" w:rsidP="00B65CBA">
      <w:pPr>
        <w:pStyle w:val="SingleTxtG"/>
        <w:rPr>
          <w:iCs/>
          <w:lang w:val="es-ES_tradnl"/>
        </w:rPr>
      </w:pPr>
      <w:r>
        <w:rPr>
          <w:i/>
          <w:iCs/>
          <w:lang w:val="es-ES_tradnl"/>
        </w:rPr>
        <w:tab/>
      </w:r>
      <w:r w:rsidR="00FA6F60" w:rsidRPr="00FA6F60">
        <w:rPr>
          <w:i/>
          <w:iCs/>
          <w:lang w:val="es-ES_tradnl"/>
        </w:rPr>
        <w:t>Acogiendo con beneplácito</w:t>
      </w:r>
      <w:r w:rsidR="00FA6F60" w:rsidRPr="00FA6F60">
        <w:rPr>
          <w:iCs/>
          <w:lang w:val="es-ES_tradnl"/>
        </w:rPr>
        <w:t xml:space="preserve"> el </w:t>
      </w:r>
      <w:r w:rsidR="00FA6F60" w:rsidRPr="00B65CBA">
        <w:rPr>
          <w:lang w:val="es-ES_tradnl"/>
        </w:rPr>
        <w:t>compromiso</w:t>
      </w:r>
      <w:r w:rsidR="00FA6F60" w:rsidRPr="00FA6F60">
        <w:rPr>
          <w:iCs/>
          <w:lang w:val="es-ES_tradnl"/>
        </w:rPr>
        <w:t xml:space="preserve"> del Gobierno del Sudán de proteger y promover los derechos humanos en el país,</w:t>
      </w:r>
    </w:p>
    <w:p w:rsidR="00FA6F60" w:rsidRPr="00FA6F60" w:rsidRDefault="00B65CBA" w:rsidP="00B65CBA">
      <w:pPr>
        <w:pStyle w:val="SingleTxtG"/>
        <w:rPr>
          <w:lang w:val="es-ES_tradnl"/>
        </w:rPr>
      </w:pPr>
      <w:r>
        <w:rPr>
          <w:bCs/>
          <w:i/>
          <w:iCs/>
          <w:lang w:val="es-ES_tradnl"/>
        </w:rPr>
        <w:tab/>
      </w:r>
      <w:r w:rsidR="00FA6F60" w:rsidRPr="00FA6F60">
        <w:rPr>
          <w:bCs/>
          <w:i/>
          <w:iCs/>
          <w:lang w:val="es-ES_tradnl"/>
        </w:rPr>
        <w:t>Observando</w:t>
      </w:r>
      <w:r w:rsidR="00FA6F60" w:rsidRPr="00FA6F60">
        <w:rPr>
          <w:bCs/>
          <w:iCs/>
          <w:lang w:val="es-ES_tradnl"/>
        </w:rPr>
        <w:t xml:space="preserve"> los acontecimientos que se están produciendo en el Sudán y el historial de su Gobierno respecto de la promoción y protección de los derechos humanos,</w:t>
      </w:r>
      <w:r w:rsidR="00FA6F60" w:rsidRPr="00FA6F60">
        <w:rPr>
          <w:lang w:val="es-ES_tradnl"/>
        </w:rPr>
        <w:t xml:space="preserve"> </w:t>
      </w:r>
    </w:p>
    <w:p w:rsidR="00FA6F60" w:rsidRPr="00FA6F60" w:rsidRDefault="00B65CBA" w:rsidP="00B65CBA">
      <w:pPr>
        <w:pStyle w:val="SingleTxtG"/>
        <w:rPr>
          <w:lang w:val="es-ES_tradnl"/>
        </w:rPr>
      </w:pPr>
      <w:r>
        <w:rPr>
          <w:bCs/>
          <w:i/>
          <w:iCs/>
          <w:lang w:val="es-ES_tradnl"/>
        </w:rPr>
        <w:tab/>
      </w:r>
      <w:r w:rsidR="00FA6F60" w:rsidRPr="00FA6F60">
        <w:rPr>
          <w:bCs/>
          <w:i/>
          <w:iCs/>
          <w:lang w:val="es-ES_tradnl"/>
        </w:rPr>
        <w:t>Acogiendo con beneplácito</w:t>
      </w:r>
      <w:r w:rsidR="00FA6F60" w:rsidRPr="00FA6F60">
        <w:rPr>
          <w:bCs/>
          <w:iCs/>
          <w:lang w:val="es-ES_tradnl"/>
        </w:rPr>
        <w:t xml:space="preserve"> que el Gobierno del Sudán haya puesto en vigor la Ley del Niño (2010)</w:t>
      </w:r>
      <w:r>
        <w:rPr>
          <w:bCs/>
          <w:iCs/>
          <w:lang w:val="es-ES_tradnl"/>
        </w:rPr>
        <w:t>,</w:t>
      </w:r>
      <w:r w:rsidR="00FA6F60" w:rsidRPr="00FA6F60">
        <w:rPr>
          <w:bCs/>
          <w:iCs/>
          <w:lang w:val="es-ES_tradnl"/>
        </w:rPr>
        <w:t xml:space="preserve"> que ofrece protección al menor, incluida la prohibición del reclutamiento de niños,</w:t>
      </w:r>
    </w:p>
    <w:p w:rsidR="00FA6F60" w:rsidRPr="00FA6F60" w:rsidRDefault="00B65CBA" w:rsidP="00B65CBA">
      <w:pPr>
        <w:pStyle w:val="SingleTxtG"/>
        <w:rPr>
          <w:lang w:val="es-ES_tradnl"/>
        </w:rPr>
      </w:pPr>
      <w:r>
        <w:rPr>
          <w:i/>
          <w:iCs/>
          <w:lang w:val="es-ES_tradnl"/>
        </w:rPr>
        <w:tab/>
      </w:r>
      <w:r w:rsidR="00FA6F60" w:rsidRPr="00FA6F60">
        <w:rPr>
          <w:i/>
          <w:iCs/>
          <w:lang w:val="es-ES_tradnl"/>
        </w:rPr>
        <w:t>Alentando</w:t>
      </w:r>
      <w:r w:rsidR="00FA6F60" w:rsidRPr="00FA6F60">
        <w:rPr>
          <w:lang w:val="es-ES_tradnl"/>
        </w:rPr>
        <w:t xml:space="preserve"> los esfuerzos del </w:t>
      </w:r>
      <w:r w:rsidR="00FA6F60" w:rsidRPr="00B65CBA">
        <w:rPr>
          <w:bCs/>
          <w:iCs/>
          <w:lang w:val="es-ES_tradnl"/>
        </w:rPr>
        <w:t>Gobierno</w:t>
      </w:r>
      <w:r w:rsidR="00FA6F60" w:rsidRPr="00FA6F60">
        <w:rPr>
          <w:lang w:val="es-ES_tradnl"/>
        </w:rPr>
        <w:t xml:space="preserve"> del Sudán por aplicar las recomendaciones del examen periódico universal que aceptó,</w:t>
      </w:r>
    </w:p>
    <w:p w:rsidR="00FA6F60" w:rsidRPr="00FA6F60" w:rsidRDefault="00B65CBA" w:rsidP="00B65CBA">
      <w:pPr>
        <w:pStyle w:val="SingleTxtG"/>
        <w:rPr>
          <w:lang w:val="es-ES_tradnl"/>
        </w:rPr>
      </w:pPr>
      <w:r>
        <w:rPr>
          <w:i/>
          <w:lang w:val="es-ES_tradnl"/>
        </w:rPr>
        <w:tab/>
      </w:r>
      <w:r w:rsidR="00FA6F60" w:rsidRPr="00FA6F60">
        <w:rPr>
          <w:i/>
          <w:lang w:val="es-ES_tradnl"/>
        </w:rPr>
        <w:t>Observando</w:t>
      </w:r>
      <w:r w:rsidR="00FA6F60" w:rsidRPr="00FA6F60">
        <w:rPr>
          <w:lang w:val="es-ES_tradnl"/>
        </w:rPr>
        <w:t xml:space="preserve"> las dificultades que sigue enfrentando el Sudán en las zonas afectadas por el conflicto, en particular en los estados de Darfur, Kordofán del Sur y el Nilo Azul,</w:t>
      </w:r>
    </w:p>
    <w:p w:rsidR="00FA6F60" w:rsidRPr="00FA6F60" w:rsidRDefault="00B65CBA" w:rsidP="00B65CBA">
      <w:pPr>
        <w:pStyle w:val="SingleTxtG"/>
        <w:rPr>
          <w:lang w:val="es-ES_tradnl"/>
        </w:rPr>
      </w:pPr>
      <w:r>
        <w:rPr>
          <w:lang w:val="es-ES_tradnl"/>
        </w:rPr>
        <w:tab/>
      </w:r>
      <w:r w:rsidR="00FA6F60" w:rsidRPr="00FA6F60">
        <w:rPr>
          <w:lang w:val="es-ES_tradnl"/>
        </w:rPr>
        <w:t>1.</w:t>
      </w:r>
      <w:r w:rsidR="00FA6F60" w:rsidRPr="00FA6F60">
        <w:rPr>
          <w:lang w:val="es-ES_tradnl"/>
        </w:rPr>
        <w:tab/>
      </w:r>
      <w:r w:rsidR="00FA6F60" w:rsidRPr="00FA6F60">
        <w:rPr>
          <w:i/>
          <w:lang w:val="es-ES_tradnl"/>
        </w:rPr>
        <w:t>Toma nota</w:t>
      </w:r>
      <w:r w:rsidR="00FA6F60" w:rsidRPr="00FA6F60">
        <w:rPr>
          <w:lang w:val="es-ES_tradnl"/>
        </w:rPr>
        <w:t xml:space="preserve"> del informe que el Experto Independiente sobre la situación de los derechos humanos en el Sudán le presentó en su 27º período de sesiones</w:t>
      </w:r>
      <w:r>
        <w:rPr>
          <w:rStyle w:val="FootnoteReference"/>
          <w:lang w:val="es-ES_tradnl"/>
        </w:rPr>
        <w:footnoteReference w:id="1"/>
      </w:r>
      <w:r w:rsidR="00FA6F60" w:rsidRPr="00FA6F60">
        <w:rPr>
          <w:lang w:val="es-ES_tradnl"/>
        </w:rPr>
        <w:t>, así como de las recomendaciones en él formuladas;</w:t>
      </w:r>
    </w:p>
    <w:p w:rsidR="00FA6F60" w:rsidRPr="00FA6F60" w:rsidRDefault="00B65CBA" w:rsidP="00B65CBA">
      <w:pPr>
        <w:pStyle w:val="SingleTxtG"/>
        <w:rPr>
          <w:lang w:val="es-ES_tradnl"/>
        </w:rPr>
      </w:pPr>
      <w:r>
        <w:rPr>
          <w:lang w:val="es-ES_tradnl"/>
        </w:rPr>
        <w:tab/>
      </w:r>
      <w:r w:rsidR="00FA6F60" w:rsidRPr="00FA6F60">
        <w:rPr>
          <w:lang w:val="es-ES_tradnl"/>
        </w:rPr>
        <w:t>2.</w:t>
      </w:r>
      <w:r w:rsidR="00FA6F60" w:rsidRPr="00FA6F60">
        <w:rPr>
          <w:lang w:val="es-ES_tradnl"/>
        </w:rPr>
        <w:tab/>
      </w:r>
      <w:r w:rsidR="00FA6F60" w:rsidRPr="00FA6F60">
        <w:rPr>
          <w:i/>
          <w:iCs/>
          <w:lang w:val="es-ES_tradnl"/>
        </w:rPr>
        <w:t>Toma nota con aprecio</w:t>
      </w:r>
      <w:r w:rsidR="00FA6F60" w:rsidRPr="00FA6F60">
        <w:rPr>
          <w:iCs/>
          <w:lang w:val="es-ES_tradnl"/>
        </w:rPr>
        <w:t xml:space="preserve"> </w:t>
      </w:r>
      <w:r w:rsidR="00FA6F60" w:rsidRPr="00FA6F60">
        <w:rPr>
          <w:lang w:val="es-ES_tradnl"/>
        </w:rPr>
        <w:t>de la labor del Experto Independiente;</w:t>
      </w:r>
    </w:p>
    <w:p w:rsidR="00FA6F60" w:rsidRPr="00FA6F60" w:rsidRDefault="00B65CBA" w:rsidP="00B65CBA">
      <w:pPr>
        <w:pStyle w:val="SingleTxtG"/>
        <w:rPr>
          <w:lang w:val="es-ES_tradnl"/>
        </w:rPr>
      </w:pPr>
      <w:r>
        <w:rPr>
          <w:lang w:val="es-ES_tradnl"/>
        </w:rPr>
        <w:tab/>
      </w:r>
      <w:r w:rsidR="00FA6F60" w:rsidRPr="00FA6F60">
        <w:rPr>
          <w:lang w:val="es-ES_tradnl"/>
        </w:rPr>
        <w:t>3.</w:t>
      </w:r>
      <w:r w:rsidR="00FA6F60" w:rsidRPr="00FA6F60">
        <w:rPr>
          <w:lang w:val="es-ES_tradnl"/>
        </w:rPr>
        <w:tab/>
      </w:r>
      <w:r w:rsidR="00FA6F60" w:rsidRPr="00FA6F60">
        <w:rPr>
          <w:i/>
          <w:iCs/>
          <w:lang w:val="es-ES_tradnl"/>
        </w:rPr>
        <w:t>Toma nota</w:t>
      </w:r>
      <w:r w:rsidR="00FA6F60" w:rsidRPr="00FA6F60">
        <w:rPr>
          <w:lang w:val="es-ES_tradnl"/>
        </w:rPr>
        <w:t xml:space="preserve"> de que el Gobierno del Sudán sigue cooperando con el Experto Independiente para que </w:t>
      </w:r>
      <w:r>
        <w:rPr>
          <w:lang w:val="es-ES_tradnl"/>
        </w:rPr>
        <w:t xml:space="preserve">este </w:t>
      </w:r>
      <w:r w:rsidR="00FA6F60" w:rsidRPr="00FA6F60">
        <w:rPr>
          <w:lang w:val="es-ES_tradnl"/>
        </w:rPr>
        <w:t>pueda cumplir su mandato y de que ha expresado el compromiso de mantener dicha cooperación;</w:t>
      </w:r>
    </w:p>
    <w:p w:rsidR="00FA6F60" w:rsidRPr="004B639B" w:rsidRDefault="00B65CBA" w:rsidP="00B65CBA">
      <w:pPr>
        <w:pStyle w:val="SingleTxtG"/>
        <w:rPr>
          <w:spacing w:val="-2"/>
          <w:lang w:val="es-ES_tradnl"/>
        </w:rPr>
      </w:pPr>
      <w:r w:rsidRPr="004B639B">
        <w:rPr>
          <w:spacing w:val="-2"/>
          <w:lang w:val="es-ES_tradnl"/>
        </w:rPr>
        <w:tab/>
      </w:r>
      <w:r w:rsidR="00FA6F60" w:rsidRPr="004B639B">
        <w:rPr>
          <w:spacing w:val="-2"/>
          <w:lang w:val="es-ES_tradnl"/>
        </w:rPr>
        <w:t>4.</w:t>
      </w:r>
      <w:r w:rsidR="00FA6F60" w:rsidRPr="004B639B">
        <w:rPr>
          <w:spacing w:val="-2"/>
          <w:lang w:val="es-ES_tradnl"/>
        </w:rPr>
        <w:tab/>
      </w:r>
      <w:r w:rsidR="00FA6F60" w:rsidRPr="004B639B">
        <w:rPr>
          <w:i/>
          <w:iCs/>
          <w:spacing w:val="-2"/>
          <w:lang w:val="es-ES_tradnl"/>
        </w:rPr>
        <w:t>Alienta</w:t>
      </w:r>
      <w:r w:rsidR="00FA6F60" w:rsidRPr="004B639B">
        <w:rPr>
          <w:spacing w:val="-2"/>
          <w:lang w:val="es-ES_tradnl"/>
        </w:rPr>
        <w:t xml:space="preserve"> la iniciativa de celebrar un amplio e incluyente diálogo nacional en el Sudán para lograr una paz sostenible y </w:t>
      </w:r>
      <w:r w:rsidRPr="004B639B">
        <w:rPr>
          <w:spacing w:val="-2"/>
          <w:lang w:val="es-ES_tradnl"/>
        </w:rPr>
        <w:t>los progresos que están alcanzando</w:t>
      </w:r>
      <w:r w:rsidR="00FA6F60" w:rsidRPr="004B639B">
        <w:rPr>
          <w:spacing w:val="-2"/>
          <w:lang w:val="es-ES_tradnl"/>
        </w:rPr>
        <w:t xml:space="preserve"> las partes sudanesas interesadas en su preparación para este proceso con el apoyo del Grupo de Alto Nivel de la Unión Africana encargado de la aplicación de las recomendaciones para el Sudán;</w:t>
      </w:r>
    </w:p>
    <w:p w:rsidR="00FA6F60" w:rsidRPr="00FA6F60" w:rsidRDefault="00B65CBA" w:rsidP="00B65CBA">
      <w:pPr>
        <w:pStyle w:val="SingleTxtG"/>
        <w:rPr>
          <w:lang w:val="es-ES_tradnl"/>
        </w:rPr>
      </w:pPr>
      <w:r>
        <w:rPr>
          <w:lang w:val="es-ES_tradnl"/>
        </w:rPr>
        <w:tab/>
      </w:r>
      <w:r w:rsidR="00FA6F60" w:rsidRPr="00FA6F60">
        <w:rPr>
          <w:lang w:val="es-ES_tradnl"/>
        </w:rPr>
        <w:t>5.</w:t>
      </w:r>
      <w:r w:rsidR="00FA6F60" w:rsidRPr="00FA6F60">
        <w:rPr>
          <w:lang w:val="es-ES_tradnl"/>
        </w:rPr>
        <w:tab/>
      </w:r>
      <w:r w:rsidR="00FA6F60" w:rsidRPr="00FA6F60">
        <w:rPr>
          <w:i/>
          <w:lang w:val="es-ES_tradnl"/>
        </w:rPr>
        <w:t>Toma nota</w:t>
      </w:r>
      <w:r w:rsidR="00FA6F60" w:rsidRPr="00FA6F60">
        <w:rPr>
          <w:lang w:val="es-ES_tradnl"/>
        </w:rPr>
        <w:t xml:space="preserve"> de la evaluación realizada por el Experto Independiente en el párrafo 46 de su informe</w:t>
      </w:r>
      <w:r>
        <w:rPr>
          <w:lang w:val="es-ES_tradnl"/>
        </w:rPr>
        <w:t>,</w:t>
      </w:r>
      <w:r w:rsidR="00FA6F60" w:rsidRPr="00FA6F60">
        <w:rPr>
          <w:lang w:val="es-ES_tradnl"/>
        </w:rPr>
        <w:t xml:space="preserve"> y alienta al Gobierno del Sudán a que cumpla sus promesas de liberar a los presos políticos </w:t>
      </w:r>
      <w:r>
        <w:rPr>
          <w:lang w:val="es-ES_tradnl"/>
        </w:rPr>
        <w:t>y</w:t>
      </w:r>
      <w:r w:rsidR="00FA6F60" w:rsidRPr="00FA6F60">
        <w:rPr>
          <w:lang w:val="es-ES_tradnl"/>
        </w:rPr>
        <w:t xml:space="preserve"> a todas las partes interesadas del Sudán a que establezcan un entorno propicio para un diálogo incluyente, transparente y digno de crédito;</w:t>
      </w:r>
    </w:p>
    <w:p w:rsidR="00FA6F60" w:rsidRPr="00947A8D" w:rsidRDefault="00B65CBA" w:rsidP="00B65CBA">
      <w:pPr>
        <w:pStyle w:val="SingleTxtG"/>
        <w:rPr>
          <w:spacing w:val="-2"/>
          <w:lang w:val="es-ES_tradnl"/>
        </w:rPr>
      </w:pPr>
      <w:r w:rsidRPr="00947A8D">
        <w:rPr>
          <w:spacing w:val="-2"/>
          <w:lang w:val="es-ES_tradnl"/>
        </w:rPr>
        <w:tab/>
      </w:r>
      <w:r w:rsidR="00FA6F60" w:rsidRPr="00947A8D">
        <w:rPr>
          <w:spacing w:val="-2"/>
          <w:lang w:val="es-ES_tradnl"/>
        </w:rPr>
        <w:t>6.</w:t>
      </w:r>
      <w:r w:rsidR="00FA6F60" w:rsidRPr="00947A8D">
        <w:rPr>
          <w:spacing w:val="-2"/>
          <w:lang w:val="es-ES_tradnl"/>
        </w:rPr>
        <w:tab/>
      </w:r>
      <w:r w:rsidR="00FA6F60" w:rsidRPr="00947A8D">
        <w:rPr>
          <w:i/>
          <w:spacing w:val="-2"/>
          <w:lang w:val="es-ES_tradnl"/>
        </w:rPr>
        <w:t>Encomia</w:t>
      </w:r>
      <w:r w:rsidR="00FA6F60" w:rsidRPr="00947A8D">
        <w:rPr>
          <w:spacing w:val="-2"/>
          <w:lang w:val="es-ES_tradnl"/>
        </w:rPr>
        <w:t xml:space="preserve"> las medidas adoptadas por el Ministerio de Educación del Sudán para reforzar la educación sobre derechos humanos en la enseñanza básica y secundaria como parte de la aplicación del Plan Nacional para la Protección y Promoción de los Derechos Humanos (2013-2023), y alienta al Gobierno del Sudán a que </w:t>
      </w:r>
      <w:r w:rsidRPr="00947A8D">
        <w:rPr>
          <w:spacing w:val="-2"/>
          <w:lang w:val="es-ES_tradnl"/>
        </w:rPr>
        <w:t>prosiga en esa labor</w:t>
      </w:r>
      <w:r w:rsidR="00FA6F60" w:rsidRPr="00947A8D">
        <w:rPr>
          <w:spacing w:val="-2"/>
          <w:lang w:val="es-ES_tradnl"/>
        </w:rPr>
        <w:t xml:space="preserve">; </w:t>
      </w:r>
    </w:p>
    <w:p w:rsidR="00FA6F60" w:rsidRPr="00FA6F60" w:rsidRDefault="00B65CBA" w:rsidP="00B65CBA">
      <w:pPr>
        <w:pStyle w:val="SingleTxtG"/>
        <w:rPr>
          <w:lang w:val="es-ES_tradnl"/>
        </w:rPr>
      </w:pPr>
      <w:r>
        <w:rPr>
          <w:lang w:val="es-ES_tradnl"/>
        </w:rPr>
        <w:tab/>
      </w:r>
      <w:r w:rsidR="00FA6F60" w:rsidRPr="00FA6F60">
        <w:rPr>
          <w:lang w:val="es-ES_tradnl"/>
        </w:rPr>
        <w:t>7.</w:t>
      </w:r>
      <w:r w:rsidR="00FA6F60" w:rsidRPr="00FA6F60">
        <w:rPr>
          <w:lang w:val="es-ES_tradnl"/>
        </w:rPr>
        <w:tab/>
      </w:r>
      <w:r w:rsidR="00FA6F60" w:rsidRPr="00FA6F60">
        <w:rPr>
          <w:i/>
          <w:lang w:val="es-ES_tradnl"/>
        </w:rPr>
        <w:t>Acoge con beneplácito</w:t>
      </w:r>
      <w:r w:rsidR="00FA6F60" w:rsidRPr="00FA6F60">
        <w:rPr>
          <w:lang w:val="es-ES_tradnl"/>
        </w:rPr>
        <w:t xml:space="preserve"> los esfuerzos realizados por el Gobierno del Sudán para combatir la trata de seres humanos</w:t>
      </w:r>
      <w:r>
        <w:rPr>
          <w:lang w:val="es-ES_tradnl"/>
        </w:rPr>
        <w:t xml:space="preserve"> </w:t>
      </w:r>
      <w:r w:rsidRPr="00FA6F60">
        <w:rPr>
          <w:lang w:val="es-ES_tradnl"/>
        </w:rPr>
        <w:t>mediante</w:t>
      </w:r>
      <w:r w:rsidR="00FA6F60" w:rsidRPr="00FA6F60">
        <w:rPr>
          <w:lang w:val="es-ES_tradnl"/>
        </w:rPr>
        <w:t>, entre otras cosas</w:t>
      </w:r>
      <w:r>
        <w:rPr>
          <w:lang w:val="es-ES_tradnl"/>
        </w:rPr>
        <w:t>,</w:t>
      </w:r>
      <w:r w:rsidR="00FA6F60" w:rsidRPr="00FA6F60">
        <w:rPr>
          <w:lang w:val="es-ES_tradnl"/>
        </w:rPr>
        <w:t xml:space="preserve"> la promulgación de leyes nacionales como la Ley de Lucha contra la Trata, la creación y el fortalecimiento de mecanismos nacionales y el mantenimiento de la colaboración con las partes interesadas en los planos regional e internacional respecto de esta cuestión;</w:t>
      </w:r>
    </w:p>
    <w:p w:rsidR="00FA6F60" w:rsidRPr="00FA6F60" w:rsidRDefault="00B65CBA" w:rsidP="00B65CBA">
      <w:pPr>
        <w:pStyle w:val="SingleTxtG"/>
        <w:rPr>
          <w:lang w:val="es-ES_tradnl"/>
        </w:rPr>
      </w:pPr>
      <w:r>
        <w:rPr>
          <w:lang w:val="es-ES_tradnl"/>
        </w:rPr>
        <w:tab/>
      </w:r>
      <w:r w:rsidR="00FA6F60" w:rsidRPr="00FA6F60">
        <w:rPr>
          <w:lang w:val="es-ES_tradnl"/>
        </w:rPr>
        <w:t>8.</w:t>
      </w:r>
      <w:r w:rsidR="00FA6F60" w:rsidRPr="00FA6F60">
        <w:rPr>
          <w:lang w:val="es-ES_tradnl"/>
        </w:rPr>
        <w:tab/>
      </w:r>
      <w:r w:rsidR="00FA6F60" w:rsidRPr="00FA6F60">
        <w:rPr>
          <w:i/>
          <w:lang w:val="es-ES_tradnl"/>
        </w:rPr>
        <w:t>Alienta</w:t>
      </w:r>
      <w:r w:rsidR="00FA6F60" w:rsidRPr="00FA6F60">
        <w:rPr>
          <w:lang w:val="es-ES_tradnl"/>
        </w:rPr>
        <w:t xml:space="preserve"> al Gobierno del Sudán a que siga promoviendo y protegiendo el derecho a la libertad de religión y de creencias y, en este sentido, a que cumpla sus obligaciones constitucionales y las obligaciones que le impone el Pacto Internacional de Derechos Civiles y Políticos;</w:t>
      </w:r>
    </w:p>
    <w:p w:rsidR="00FA6F60" w:rsidRPr="00FA6F60" w:rsidRDefault="00B65CBA" w:rsidP="00B65CBA">
      <w:pPr>
        <w:pStyle w:val="SingleTxtG"/>
        <w:rPr>
          <w:lang w:val="es-ES_tradnl"/>
        </w:rPr>
      </w:pPr>
      <w:r>
        <w:rPr>
          <w:lang w:val="es-ES_tradnl"/>
        </w:rPr>
        <w:tab/>
      </w:r>
      <w:r w:rsidR="00FA6F60" w:rsidRPr="00FA6F60">
        <w:rPr>
          <w:lang w:val="es-ES_tradnl"/>
        </w:rPr>
        <w:t>9.</w:t>
      </w:r>
      <w:r w:rsidR="00FA6F60" w:rsidRPr="00FA6F60">
        <w:rPr>
          <w:lang w:val="es-ES_tradnl"/>
        </w:rPr>
        <w:tab/>
      </w:r>
      <w:r w:rsidR="00FA6F60" w:rsidRPr="00FA6F60">
        <w:rPr>
          <w:i/>
          <w:lang w:val="es-ES_tradnl"/>
        </w:rPr>
        <w:t>Expresa suma preocupación</w:t>
      </w:r>
      <w:r w:rsidR="00FA6F60" w:rsidRPr="00FA6F60">
        <w:rPr>
          <w:lang w:val="es-ES_tradnl"/>
        </w:rPr>
        <w:t xml:space="preserve"> por el uso excesivo de la fuerza y, en particular, por los disparos que causaron la muerte de manifestantes en septiembre de 2013 y marzo de</w:t>
      </w:r>
      <w:r>
        <w:rPr>
          <w:lang w:val="es-ES_tradnl"/>
        </w:rPr>
        <w:t xml:space="preserve"> </w:t>
      </w:r>
      <w:r w:rsidR="00FA6F60" w:rsidRPr="00FA6F60">
        <w:rPr>
          <w:lang w:val="es-ES_tradnl"/>
        </w:rPr>
        <w:t xml:space="preserve">2014, y exhorta al Gobierno del Sudán a que ponga en marcha una investigación pública independiente y a que, en el marco de su ordenamiento jurídico, transmita sus resultados a la judicatura, en aras de la justicia y la rendición de cuentas respecto de estos incidentes; </w:t>
      </w:r>
    </w:p>
    <w:p w:rsidR="00FA6F60" w:rsidRPr="00FA6F60" w:rsidRDefault="00B65CBA" w:rsidP="00B65CBA">
      <w:pPr>
        <w:pStyle w:val="SingleTxtG"/>
        <w:rPr>
          <w:lang w:val="es-ES_tradnl"/>
        </w:rPr>
      </w:pPr>
      <w:r>
        <w:rPr>
          <w:lang w:val="es-ES_tradnl"/>
        </w:rPr>
        <w:tab/>
      </w:r>
      <w:r w:rsidR="00FA6F60" w:rsidRPr="00FA6F60">
        <w:rPr>
          <w:lang w:val="es-ES_tradnl"/>
        </w:rPr>
        <w:t>10.</w:t>
      </w:r>
      <w:r w:rsidR="00FA6F60" w:rsidRPr="00FA6F60">
        <w:rPr>
          <w:lang w:val="es-ES_tradnl"/>
        </w:rPr>
        <w:tab/>
      </w:r>
      <w:r w:rsidR="00FA6F60" w:rsidRPr="00FA6F60">
        <w:rPr>
          <w:i/>
          <w:lang w:val="es-ES_tradnl"/>
        </w:rPr>
        <w:t>Expresa preocupación</w:t>
      </w:r>
      <w:r w:rsidR="00FA6F60" w:rsidRPr="00FA6F60">
        <w:rPr>
          <w:lang w:val="es-ES_tradnl"/>
        </w:rPr>
        <w:t xml:space="preserve"> por las denuncias de restricciones a los medios de comunicación, de censura antes y después de las publicaciones, de incautación de periódicos, de proscripción de algunos periodistas y de la conculcación continua del derecho a la libertad de expresión y el derecho a la libertad de asociación y de reunión pacífica;</w:t>
      </w:r>
    </w:p>
    <w:p w:rsidR="00FA6F60" w:rsidRPr="00FA6F60" w:rsidRDefault="00B65CBA" w:rsidP="00B65CBA">
      <w:pPr>
        <w:pStyle w:val="SingleTxtG"/>
        <w:rPr>
          <w:lang w:val="es-ES_tradnl"/>
        </w:rPr>
      </w:pPr>
      <w:r>
        <w:rPr>
          <w:lang w:val="es-ES_tradnl"/>
        </w:rPr>
        <w:tab/>
      </w:r>
      <w:r w:rsidR="00FA6F60" w:rsidRPr="00FA6F60">
        <w:rPr>
          <w:lang w:val="es-ES_tradnl"/>
        </w:rPr>
        <w:t>11.</w:t>
      </w:r>
      <w:r w:rsidR="00FA6F60" w:rsidRPr="00FA6F60">
        <w:rPr>
          <w:lang w:val="es-ES_tradnl"/>
        </w:rPr>
        <w:tab/>
      </w:r>
      <w:r w:rsidR="00FA6F60" w:rsidRPr="00FA6F60">
        <w:rPr>
          <w:i/>
          <w:lang w:val="es-ES_tradnl"/>
        </w:rPr>
        <w:t>Insta</w:t>
      </w:r>
      <w:r w:rsidR="00FA6F60" w:rsidRPr="00FA6F60">
        <w:rPr>
          <w:lang w:val="es-ES_tradnl"/>
        </w:rPr>
        <w:t xml:space="preserve"> al Gobierno del Sudán a que persevere en sus esfuerzos por promover y proteger los derechos humanos y, en particular, a que garantice el derecho a no ser objeto de detención o </w:t>
      </w:r>
      <w:r>
        <w:rPr>
          <w:lang w:val="es-ES_tradnl"/>
        </w:rPr>
        <w:t>reclusión</w:t>
      </w:r>
      <w:r w:rsidR="00FA6F60" w:rsidRPr="00FA6F60">
        <w:rPr>
          <w:lang w:val="es-ES_tradnl"/>
        </w:rPr>
        <w:t xml:space="preserve"> arbitrari</w:t>
      </w:r>
      <w:r>
        <w:rPr>
          <w:lang w:val="es-ES_tradnl"/>
        </w:rPr>
        <w:t>a</w:t>
      </w:r>
      <w:r w:rsidR="00FA6F60" w:rsidRPr="00FA6F60">
        <w:rPr>
          <w:lang w:val="es-ES_tradnl"/>
        </w:rPr>
        <w:t>s y respete los derechos humanos de todas las personas, entre ellos los defensores de los derechos humanos y los miembros de organizaciones de la sociedad civil;</w:t>
      </w:r>
    </w:p>
    <w:p w:rsidR="00FA6F60" w:rsidRPr="00FA6F60" w:rsidRDefault="00B65CBA" w:rsidP="00B65CBA">
      <w:pPr>
        <w:pStyle w:val="SingleTxtG"/>
        <w:rPr>
          <w:lang w:val="es-ES_tradnl"/>
        </w:rPr>
      </w:pPr>
      <w:r>
        <w:rPr>
          <w:lang w:val="es-ES_tradnl"/>
        </w:rPr>
        <w:tab/>
      </w:r>
      <w:r w:rsidR="00FA6F60" w:rsidRPr="00FA6F60">
        <w:rPr>
          <w:lang w:val="es-ES_tradnl"/>
        </w:rPr>
        <w:t>12.</w:t>
      </w:r>
      <w:r w:rsidR="00FA6F60" w:rsidRPr="00FA6F60">
        <w:rPr>
          <w:lang w:val="es-ES_tradnl"/>
        </w:rPr>
        <w:tab/>
      </w:r>
      <w:r w:rsidR="00FA6F60" w:rsidRPr="00FA6F60">
        <w:rPr>
          <w:i/>
          <w:lang w:val="es-ES_tradnl"/>
        </w:rPr>
        <w:t>Condena</w:t>
      </w:r>
      <w:r w:rsidR="00FA6F60" w:rsidRPr="00FA6F60">
        <w:rPr>
          <w:lang w:val="es-ES_tradnl"/>
        </w:rPr>
        <w:t xml:space="preserve"> las transgresiones </w:t>
      </w:r>
      <w:r>
        <w:rPr>
          <w:lang w:val="es-ES_tradnl"/>
        </w:rPr>
        <w:t>e infracciones</w:t>
      </w:r>
      <w:r w:rsidR="00FA6F60" w:rsidRPr="00FA6F60">
        <w:rPr>
          <w:lang w:val="es-ES_tradnl"/>
        </w:rPr>
        <w:t xml:space="preserve"> del derecho internacional de los derechos humanos y el derecho internacional humanitario denunciad</w:t>
      </w:r>
      <w:r w:rsidR="005B05F0">
        <w:rPr>
          <w:lang w:val="es-ES_tradnl"/>
        </w:rPr>
        <w:t>a</w:t>
      </w:r>
      <w:r w:rsidR="00FA6F60" w:rsidRPr="00FA6F60">
        <w:rPr>
          <w:lang w:val="es-ES_tradnl"/>
        </w:rPr>
        <w:t>s en los estados de Darfur, Kordofán del Sur y el Nilo Azul por todas las partes, entre ell</w:t>
      </w:r>
      <w:r w:rsidR="005B05F0">
        <w:rPr>
          <w:lang w:val="es-ES_tradnl"/>
        </w:rPr>
        <w:t>a</w:t>
      </w:r>
      <w:r w:rsidR="00FA6F60" w:rsidRPr="00FA6F60">
        <w:rPr>
          <w:lang w:val="es-ES_tradnl"/>
        </w:rPr>
        <w:t>s actos de violencia sexual y de género, bombardeos aéreos indiscriminados contra instalaciones humanitarias, como el bombardeo de un hospital dirigido por Médicos Sin Fronteras, y los ataques dirigidos contra civiles y trabajadores de la ayuda humanitaria</w:t>
      </w:r>
      <w:r w:rsidR="005B05F0">
        <w:rPr>
          <w:lang w:val="es-ES_tradnl"/>
        </w:rPr>
        <w:t>,</w:t>
      </w:r>
      <w:r w:rsidR="00FA6F60" w:rsidRPr="00FA6F60">
        <w:rPr>
          <w:lang w:val="es-ES_tradnl"/>
        </w:rPr>
        <w:t xml:space="preserve"> e insta a todas las partes a seguir el camino de la</w:t>
      </w:r>
      <w:r>
        <w:rPr>
          <w:lang w:val="es-ES_tradnl"/>
        </w:rPr>
        <w:t xml:space="preserve"> </w:t>
      </w:r>
      <w:r w:rsidR="00FA6F60" w:rsidRPr="00FA6F60">
        <w:rPr>
          <w:lang w:val="es-ES_tradnl"/>
        </w:rPr>
        <w:t xml:space="preserve">paz; </w:t>
      </w:r>
    </w:p>
    <w:p w:rsidR="00FA6F60" w:rsidRPr="00FA6F60" w:rsidRDefault="005B05F0" w:rsidP="005B05F0">
      <w:pPr>
        <w:pStyle w:val="SingleTxtG"/>
        <w:rPr>
          <w:lang w:val="es-ES_tradnl"/>
        </w:rPr>
      </w:pPr>
      <w:r>
        <w:rPr>
          <w:lang w:val="es-ES_tradnl"/>
        </w:rPr>
        <w:tab/>
      </w:r>
      <w:r w:rsidR="00FA6F60" w:rsidRPr="00FA6F60">
        <w:rPr>
          <w:lang w:val="es-ES_tradnl"/>
        </w:rPr>
        <w:t>13.</w:t>
      </w:r>
      <w:r w:rsidR="00FA6F60" w:rsidRPr="00FA6F60">
        <w:rPr>
          <w:lang w:val="es-ES_tradnl"/>
        </w:rPr>
        <w:tab/>
      </w:r>
      <w:r w:rsidR="00FA6F60" w:rsidRPr="00FA6F60">
        <w:rPr>
          <w:i/>
          <w:lang w:val="es-ES_tradnl"/>
        </w:rPr>
        <w:t>Insta</w:t>
      </w:r>
      <w:r w:rsidR="00FA6F60" w:rsidRPr="00FA6F60">
        <w:rPr>
          <w:lang w:val="es-ES_tradnl"/>
        </w:rPr>
        <w:t xml:space="preserve"> al Gobierno del Sudán a que, teniendo en cuenta las recomendaciones del Experto Independiente, investigue las denuncias de transgresiones de los derechos humanos en los campamentos de desplazados internos con miras a ponerles fin; </w:t>
      </w:r>
    </w:p>
    <w:p w:rsidR="00FA6F60" w:rsidRPr="00FA6F60" w:rsidRDefault="005B05F0" w:rsidP="005B05F0">
      <w:pPr>
        <w:pStyle w:val="SingleTxtG"/>
        <w:rPr>
          <w:lang w:val="es-ES_tradnl"/>
        </w:rPr>
      </w:pPr>
      <w:r>
        <w:rPr>
          <w:lang w:val="es-ES_tradnl"/>
        </w:rPr>
        <w:tab/>
      </w:r>
      <w:r w:rsidR="00FA6F60" w:rsidRPr="00FA6F60">
        <w:rPr>
          <w:lang w:val="es-ES_tradnl"/>
        </w:rPr>
        <w:t>14.</w:t>
      </w:r>
      <w:r w:rsidR="00FA6F60" w:rsidRPr="00FA6F60">
        <w:rPr>
          <w:lang w:val="es-ES_tradnl"/>
        </w:rPr>
        <w:tab/>
      </w:r>
      <w:r w:rsidR="00FA6F60" w:rsidRPr="00FA6F60">
        <w:rPr>
          <w:i/>
          <w:lang w:val="es-ES_tradnl"/>
        </w:rPr>
        <w:t>Alienta</w:t>
      </w:r>
      <w:r w:rsidR="00FA6F60" w:rsidRPr="00FA6F60">
        <w:rPr>
          <w:lang w:val="es-ES_tradnl"/>
        </w:rPr>
        <w:t xml:space="preserve"> las iniciativas amplias de reforma jurídica en el Sudán para seguir garantizando el pleno respeto, por parte del Estado, de sus obligaciones constitucionales e internacionales en materia de derechos humanos y alienta también al Gobierno del Sudán a ratificar los instrumentos internacionales que aceptó en el proceso del examen periódico universal;</w:t>
      </w:r>
    </w:p>
    <w:p w:rsidR="00FA6F60" w:rsidRPr="00FA6F60" w:rsidRDefault="005B05F0" w:rsidP="005B05F0">
      <w:pPr>
        <w:pStyle w:val="SingleTxtG"/>
        <w:rPr>
          <w:lang w:val="es-ES_tradnl"/>
        </w:rPr>
      </w:pPr>
      <w:r>
        <w:rPr>
          <w:lang w:val="es-ES_tradnl"/>
        </w:rPr>
        <w:tab/>
      </w:r>
      <w:r w:rsidR="00FA6F60" w:rsidRPr="00FA6F60">
        <w:rPr>
          <w:lang w:val="es-ES_tradnl"/>
        </w:rPr>
        <w:t>15.</w:t>
      </w:r>
      <w:r w:rsidR="00FA6F60" w:rsidRPr="00FA6F60">
        <w:rPr>
          <w:lang w:val="es-ES_tradnl"/>
        </w:rPr>
        <w:tab/>
      </w:r>
      <w:r w:rsidR="00FA6F60" w:rsidRPr="00FA6F60">
        <w:rPr>
          <w:i/>
          <w:lang w:val="es-ES_tradnl"/>
        </w:rPr>
        <w:t>Alienta</w:t>
      </w:r>
      <w:r w:rsidR="00FA6F60" w:rsidRPr="00FA6F60">
        <w:rPr>
          <w:lang w:val="es-ES_tradnl"/>
        </w:rPr>
        <w:t xml:space="preserve"> a todas las partes a que permitan la inmunización en las zonas afectadas por el conflicto y faciliten la ayuda humanitaria a las poblaciones que la necesiten, y al Gobierno del Sudán a que redoble sus esfuerzos por atender las necesidades de ayuda humanitaria en las zonas afectadas por el conflicto;</w:t>
      </w:r>
    </w:p>
    <w:p w:rsidR="00FA6F60" w:rsidRPr="00796FF7" w:rsidRDefault="005B05F0" w:rsidP="005B05F0">
      <w:pPr>
        <w:pStyle w:val="SingleTxtG"/>
        <w:rPr>
          <w:spacing w:val="-2"/>
          <w:lang w:val="es-ES_tradnl"/>
        </w:rPr>
      </w:pPr>
      <w:r w:rsidRPr="00796FF7">
        <w:rPr>
          <w:spacing w:val="-2"/>
          <w:lang w:val="es-ES_tradnl"/>
        </w:rPr>
        <w:tab/>
      </w:r>
      <w:r w:rsidR="00FA6F60" w:rsidRPr="00796FF7">
        <w:rPr>
          <w:spacing w:val="-2"/>
          <w:lang w:val="es-ES_tradnl"/>
        </w:rPr>
        <w:t>16.</w:t>
      </w:r>
      <w:r w:rsidR="00FA6F60" w:rsidRPr="00796FF7">
        <w:rPr>
          <w:spacing w:val="-2"/>
          <w:lang w:val="es-ES_tradnl"/>
        </w:rPr>
        <w:tab/>
      </w:r>
      <w:r w:rsidR="00FA6F60" w:rsidRPr="00796FF7">
        <w:rPr>
          <w:i/>
          <w:spacing w:val="-2"/>
          <w:lang w:val="es-ES_tradnl"/>
        </w:rPr>
        <w:t>Insta</w:t>
      </w:r>
      <w:r w:rsidR="00FA6F60" w:rsidRPr="00796FF7">
        <w:rPr>
          <w:spacing w:val="-2"/>
          <w:lang w:val="es-ES_tradnl"/>
        </w:rPr>
        <w:t xml:space="preserve"> a los Estados Miembros, el Alto Comisionado de las Naciones Unidas para los Derechos Humanos, los organismos competentes de las Naciones Unidas y otras partes interesadas a que, de conformidad con la presente resolución, apoyen, atendiendo las solicitudes de asistencia técnica del Gobierno del Sudán, la labor que realiza ese Gobierno en el plano interno con miras a seguir mejorando la situación de los derechos humanos en el país;</w:t>
      </w:r>
    </w:p>
    <w:p w:rsidR="00FA6F60" w:rsidRPr="00FA6F60" w:rsidRDefault="005B05F0" w:rsidP="005B05F0">
      <w:pPr>
        <w:pStyle w:val="SingleTxtG"/>
        <w:rPr>
          <w:lang w:val="es-ES_tradnl"/>
        </w:rPr>
      </w:pPr>
      <w:r>
        <w:rPr>
          <w:lang w:val="es-ES_tradnl"/>
        </w:rPr>
        <w:tab/>
      </w:r>
      <w:r w:rsidR="00FA6F60" w:rsidRPr="00FA6F60">
        <w:rPr>
          <w:lang w:val="es-ES_tradnl"/>
        </w:rPr>
        <w:t>17.</w:t>
      </w:r>
      <w:r w:rsidR="00FA6F60" w:rsidRPr="00FA6F60">
        <w:rPr>
          <w:lang w:val="es-ES_tradnl"/>
        </w:rPr>
        <w:tab/>
      </w:r>
      <w:r w:rsidR="00FA6F60" w:rsidRPr="00FA6F60">
        <w:rPr>
          <w:i/>
          <w:lang w:val="es-ES_tradnl"/>
        </w:rPr>
        <w:t>Decide</w:t>
      </w:r>
      <w:r w:rsidR="00FA6F60" w:rsidRPr="00FA6F60">
        <w:rPr>
          <w:lang w:val="es-ES_tradnl"/>
        </w:rPr>
        <w:t xml:space="preserve">, en relación con el tema 10 de la agenda, renovar por un año el mandato del Experto Independiente sobre la situación de los derechos humanos en el Sudán, para mantener la colaboración de este con el Gobierno del Sudán, evaluar y verificar la situación de los derechos humanos en el país y presentar informes al respecto, </w:t>
      </w:r>
      <w:r>
        <w:rPr>
          <w:lang w:val="es-ES_tradnl"/>
        </w:rPr>
        <w:t>a fin de</w:t>
      </w:r>
      <w:r w:rsidR="00FA6F60" w:rsidRPr="00FA6F60">
        <w:rPr>
          <w:lang w:val="es-ES_tradnl"/>
        </w:rPr>
        <w:t xml:space="preserve"> formular recomendaciones sobre asistencia técnica y fomento de la capacidad para hacer frente a dicha situación, teniendo en cuenta una amplia variedad de datos, entre ellos la información facilitada por el Gobierno, los puntos de vista de la sociedad civil y la información facilitada por otras partes interesadas que ayudarían al Experto Independiente a desempeñar su mandato;</w:t>
      </w:r>
    </w:p>
    <w:p w:rsidR="00FA6F60" w:rsidRPr="00FA6F60" w:rsidRDefault="005B05F0" w:rsidP="005B05F0">
      <w:pPr>
        <w:pStyle w:val="SingleTxtG"/>
        <w:rPr>
          <w:lang w:val="es-ES_tradnl"/>
        </w:rPr>
      </w:pPr>
      <w:r>
        <w:rPr>
          <w:lang w:val="es-ES_tradnl"/>
        </w:rPr>
        <w:tab/>
      </w:r>
      <w:r w:rsidR="00FA6F60" w:rsidRPr="00FA6F60">
        <w:rPr>
          <w:lang w:val="es-ES_tradnl"/>
        </w:rPr>
        <w:t>18.</w:t>
      </w:r>
      <w:r w:rsidR="00FA6F60" w:rsidRPr="00FA6F60">
        <w:rPr>
          <w:lang w:val="es-ES_tradnl"/>
        </w:rPr>
        <w:tab/>
      </w:r>
      <w:r w:rsidR="00FA6F60" w:rsidRPr="00FA6F60">
        <w:rPr>
          <w:i/>
          <w:iCs/>
          <w:lang w:val="es-ES_tradnl"/>
        </w:rPr>
        <w:t>Solicita</w:t>
      </w:r>
      <w:r w:rsidR="00FA6F60" w:rsidRPr="00FA6F60">
        <w:rPr>
          <w:iCs/>
          <w:lang w:val="es-ES_tradnl"/>
        </w:rPr>
        <w:t xml:space="preserve"> </w:t>
      </w:r>
      <w:r w:rsidR="00FA6F60" w:rsidRPr="00FA6F60">
        <w:rPr>
          <w:lang w:val="es-ES_tradnl"/>
        </w:rPr>
        <w:t>al Experto Independiente que le presente un informe para examinarlo en su 30º período de sesiones;</w:t>
      </w:r>
    </w:p>
    <w:p w:rsidR="00FA6F60" w:rsidRPr="00FA6F60" w:rsidRDefault="005B05F0" w:rsidP="005B05F0">
      <w:pPr>
        <w:pStyle w:val="SingleTxtG"/>
        <w:rPr>
          <w:lang w:val="es-ES_tradnl"/>
        </w:rPr>
      </w:pPr>
      <w:r>
        <w:rPr>
          <w:lang w:val="es-ES_tradnl"/>
        </w:rPr>
        <w:tab/>
      </w:r>
      <w:r w:rsidR="00FA6F60" w:rsidRPr="00FA6F60">
        <w:rPr>
          <w:lang w:val="es-ES_tradnl"/>
        </w:rPr>
        <w:t>19.</w:t>
      </w:r>
      <w:r w:rsidR="00FA6F60" w:rsidRPr="00FA6F60">
        <w:rPr>
          <w:lang w:val="es-ES_tradnl"/>
        </w:rPr>
        <w:tab/>
      </w:r>
      <w:r w:rsidR="00FA6F60" w:rsidRPr="00FA6F60">
        <w:rPr>
          <w:i/>
          <w:iCs/>
          <w:lang w:val="es-ES_tradnl"/>
        </w:rPr>
        <w:t>Exhorta</w:t>
      </w:r>
      <w:r w:rsidR="00FA6F60" w:rsidRPr="00FA6F60">
        <w:rPr>
          <w:lang w:val="es-ES_tradnl"/>
        </w:rPr>
        <w:t xml:space="preserve"> al Gobierno del Sudán a que siga colaborando plenamente con el Experto Independiente y a que le siga permitiendo, de manera efectiva, visitar todas las zonas del país y reunirse con todas las partes interesadas que proceda; </w:t>
      </w:r>
    </w:p>
    <w:p w:rsidR="00FA6F60" w:rsidRPr="00FA6F60" w:rsidRDefault="005B05F0" w:rsidP="005B05F0">
      <w:pPr>
        <w:pStyle w:val="SingleTxtG"/>
        <w:rPr>
          <w:lang w:val="es-ES_tradnl"/>
        </w:rPr>
      </w:pPr>
      <w:r>
        <w:rPr>
          <w:lang w:val="es-ES_tradnl"/>
        </w:rPr>
        <w:tab/>
      </w:r>
      <w:r w:rsidR="00FA6F60" w:rsidRPr="00FA6F60">
        <w:rPr>
          <w:lang w:val="es-ES_tradnl"/>
        </w:rPr>
        <w:t>20.</w:t>
      </w:r>
      <w:r w:rsidR="00FA6F60" w:rsidRPr="00FA6F60">
        <w:rPr>
          <w:lang w:val="es-ES_tradnl"/>
        </w:rPr>
        <w:tab/>
      </w:r>
      <w:r w:rsidR="00FA6F60" w:rsidRPr="00FA6F60">
        <w:rPr>
          <w:i/>
          <w:lang w:val="es-ES_tradnl"/>
        </w:rPr>
        <w:t>Solicita</w:t>
      </w:r>
      <w:r w:rsidR="00FA6F60" w:rsidRPr="00FA6F60">
        <w:rPr>
          <w:lang w:val="es-ES_tradnl"/>
        </w:rPr>
        <w:t xml:space="preserve"> a la Oficina del Alto Comisionado que preste al Experto Independiente todo el apoyo necesario en materia de recursos financieros y humanos para que este pueda desempeñar su mandato; </w:t>
      </w:r>
    </w:p>
    <w:p w:rsidR="00FA6F60" w:rsidRPr="00FA6F60" w:rsidRDefault="005B05F0" w:rsidP="005B05F0">
      <w:pPr>
        <w:pStyle w:val="SingleTxtG"/>
        <w:rPr>
          <w:lang w:val="es-ES_tradnl"/>
        </w:rPr>
      </w:pPr>
      <w:r>
        <w:rPr>
          <w:lang w:val="es-ES_tradnl"/>
        </w:rPr>
        <w:tab/>
      </w:r>
      <w:r w:rsidR="00FA6F60" w:rsidRPr="00FA6F60">
        <w:rPr>
          <w:lang w:val="es-ES_tradnl"/>
        </w:rPr>
        <w:t>21.</w:t>
      </w:r>
      <w:r w:rsidR="00FA6F60" w:rsidRPr="00FA6F60">
        <w:rPr>
          <w:lang w:val="es-ES_tradnl"/>
        </w:rPr>
        <w:tab/>
      </w:r>
      <w:r w:rsidR="00FA6F60" w:rsidRPr="00FA6F60">
        <w:rPr>
          <w:i/>
          <w:lang w:val="es-ES_tradnl"/>
        </w:rPr>
        <w:t>Exhorta</w:t>
      </w:r>
      <w:r w:rsidR="00FA6F60" w:rsidRPr="00FA6F60">
        <w:rPr>
          <w:lang w:val="es-ES_tradnl"/>
        </w:rPr>
        <w:t xml:space="preserve"> al Gobierno del Sudán a que siga cooperando con la Oficina del Alto Comisionado en la aplicación de la presente resolución;</w:t>
      </w:r>
    </w:p>
    <w:p w:rsidR="00FA6F60" w:rsidRDefault="005B05F0" w:rsidP="004B639B">
      <w:pPr>
        <w:pStyle w:val="SingleTxtG"/>
        <w:rPr>
          <w:lang w:val="es-ES_tradnl"/>
        </w:rPr>
      </w:pPr>
      <w:r>
        <w:rPr>
          <w:lang w:val="es-ES_tradnl"/>
        </w:rPr>
        <w:tab/>
      </w:r>
      <w:r w:rsidR="00FA6F60" w:rsidRPr="00FA6F60">
        <w:rPr>
          <w:lang w:val="es-ES_tradnl"/>
        </w:rPr>
        <w:t>22.</w:t>
      </w:r>
      <w:r w:rsidR="00FA6F60" w:rsidRPr="00FA6F60">
        <w:rPr>
          <w:lang w:val="es-ES_tradnl"/>
        </w:rPr>
        <w:tab/>
      </w:r>
      <w:r w:rsidR="00FA6F60" w:rsidRPr="00FA6F60">
        <w:rPr>
          <w:i/>
          <w:iCs/>
          <w:lang w:val="es-ES_tradnl"/>
        </w:rPr>
        <w:t>Decide</w:t>
      </w:r>
      <w:r w:rsidR="00FA6F60" w:rsidRPr="00FA6F60">
        <w:rPr>
          <w:lang w:val="es-ES_tradnl"/>
        </w:rPr>
        <w:t xml:space="preserve"> examinar esta cuestión en relación con el tema 10 de la agenda.</w:t>
      </w:r>
    </w:p>
    <w:p w:rsidR="005B05F0" w:rsidRPr="005B05F0" w:rsidRDefault="005B05F0" w:rsidP="004B639B">
      <w:pPr>
        <w:pStyle w:val="SingleTxtG"/>
        <w:spacing w:after="0"/>
        <w:jc w:val="right"/>
        <w:rPr>
          <w:i/>
          <w:lang w:val="es-ES_tradnl"/>
        </w:rPr>
      </w:pPr>
      <w:r w:rsidRPr="005B05F0">
        <w:rPr>
          <w:i/>
          <w:lang w:val="es-ES_tradnl"/>
        </w:rPr>
        <w:t>40ª sesión</w:t>
      </w:r>
    </w:p>
    <w:p w:rsidR="005B05F0" w:rsidRPr="005B05F0" w:rsidRDefault="005B05F0" w:rsidP="004B639B">
      <w:pPr>
        <w:pStyle w:val="SingleTxtG"/>
        <w:jc w:val="right"/>
        <w:rPr>
          <w:i/>
          <w:lang w:val="es-ES_tradnl"/>
        </w:rPr>
      </w:pPr>
      <w:r w:rsidRPr="005B05F0">
        <w:rPr>
          <w:i/>
          <w:lang w:val="es-ES_tradnl"/>
        </w:rPr>
        <w:t>26 de septiembre de 2014</w:t>
      </w:r>
    </w:p>
    <w:p w:rsidR="005B05F0" w:rsidRPr="00FA6F60" w:rsidRDefault="005B05F0" w:rsidP="004B639B">
      <w:pPr>
        <w:pStyle w:val="SingleTxtG"/>
        <w:rPr>
          <w:lang w:val="es-ES_tradnl"/>
        </w:rPr>
      </w:pPr>
      <w:r>
        <w:rPr>
          <w:lang w:val="es-ES_tradnl"/>
        </w:rPr>
        <w:t>[Aprobada sin votación.]</w:t>
      </w:r>
    </w:p>
    <w:p w:rsidR="00381C24" w:rsidRPr="005B05F0" w:rsidRDefault="005B05F0" w:rsidP="00796FF7">
      <w:pPr>
        <w:pStyle w:val="SingleTxtG"/>
        <w:spacing w:before="240" w:after="0"/>
        <w:jc w:val="center"/>
        <w:rPr>
          <w:u w:val="single"/>
        </w:rPr>
      </w:pPr>
      <w:r>
        <w:rPr>
          <w:u w:val="single"/>
          <w:lang w:val="es-ES_tradnl"/>
        </w:rPr>
        <w:tab/>
      </w:r>
      <w:r>
        <w:rPr>
          <w:u w:val="single"/>
          <w:lang w:val="es-ES_tradnl"/>
        </w:rPr>
        <w:tab/>
      </w:r>
      <w:r>
        <w:rPr>
          <w:u w:val="single"/>
          <w:lang w:val="es-ES_tradnl"/>
        </w:rPr>
        <w:tab/>
      </w:r>
    </w:p>
    <w:sectPr w:rsidR="00381C24" w:rsidRPr="005B05F0" w:rsidSect="00FA6F60">
      <w:headerReference w:type="even" r:id="rId8"/>
      <w:headerReference w:type="default" r:id="rId9"/>
      <w:footerReference w:type="even" r:id="rId10"/>
      <w:footerReference w:type="default" r:id="rId11"/>
      <w:footerReference w:type="first" r:id="rId12"/>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E59C7" w:rsidRPr="00A312BC" w:rsidRDefault="00AE59C7" w:rsidP="00A312BC">
      <w:pPr>
        <w:pStyle w:val="Footer"/>
      </w:pPr>
    </w:p>
  </w:endnote>
  <w:endnote w:type="continuationSeparator" w:id="0">
    <w:p w:rsidR="00AE59C7" w:rsidRPr="00A312BC" w:rsidRDefault="00AE59C7" w:rsidP="00A312BC">
      <w:pPr>
        <w:pStyle w:val="Footer"/>
      </w:pP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A6F60" w:rsidRPr="00FA6F60" w:rsidRDefault="00FA6F60" w:rsidP="00FA6F60">
    <w:pPr>
      <w:pStyle w:val="Footer"/>
      <w:tabs>
        <w:tab w:val="right" w:pos="9638"/>
      </w:tabs>
    </w:pPr>
    <w:r w:rsidRPr="00FA6F60">
      <w:rPr>
        <w:b/>
        <w:sz w:val="18"/>
      </w:rPr>
      <w:fldChar w:fldCharType="begin"/>
    </w:r>
    <w:r w:rsidRPr="00FA6F60">
      <w:rPr>
        <w:b/>
        <w:sz w:val="18"/>
      </w:rPr>
      <w:instrText xml:space="preserve"> PAGE  \* MERGEFORMAT </w:instrText>
    </w:r>
    <w:r w:rsidRPr="00FA6F60">
      <w:rPr>
        <w:b/>
        <w:sz w:val="18"/>
      </w:rPr>
      <w:fldChar w:fldCharType="separate"/>
    </w:r>
    <w:r w:rsidR="00B85767">
      <w:rPr>
        <w:b/>
        <w:noProof/>
        <w:sz w:val="18"/>
      </w:rPr>
      <w:t>2</w:t>
    </w:r>
    <w:r w:rsidRPr="00FA6F60">
      <w:rPr>
        <w:b/>
        <w:sz w:val="18"/>
      </w:rPr>
      <w:fldChar w:fldCharType="end"/>
    </w:r>
    <w:r>
      <w:rPr>
        <w:b/>
        <w:sz w:val="18"/>
      </w:rPr>
      <w:tab/>
    </w:r>
    <w:r>
      <w:t>GE.14-17997</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A6F60" w:rsidRPr="00FA6F60" w:rsidRDefault="00FA6F60" w:rsidP="00FA6F60">
    <w:pPr>
      <w:pStyle w:val="Footer"/>
      <w:tabs>
        <w:tab w:val="right" w:pos="9638"/>
      </w:tabs>
      <w:rPr>
        <w:b/>
        <w:sz w:val="18"/>
      </w:rPr>
    </w:pPr>
    <w:r>
      <w:t>GE.14-17997</w:t>
    </w:r>
    <w:r>
      <w:tab/>
    </w:r>
    <w:r w:rsidRPr="00FA6F60">
      <w:rPr>
        <w:b/>
        <w:sz w:val="18"/>
      </w:rPr>
      <w:fldChar w:fldCharType="begin"/>
    </w:r>
    <w:r w:rsidRPr="00FA6F60">
      <w:rPr>
        <w:b/>
        <w:sz w:val="18"/>
      </w:rPr>
      <w:instrText xml:space="preserve"> PAGE  \* MERGEFORMAT </w:instrText>
    </w:r>
    <w:r w:rsidRPr="00FA6F60">
      <w:rPr>
        <w:b/>
        <w:sz w:val="18"/>
      </w:rPr>
      <w:fldChar w:fldCharType="separate"/>
    </w:r>
    <w:r w:rsidR="00B85767">
      <w:rPr>
        <w:b/>
        <w:noProof/>
        <w:sz w:val="18"/>
      </w:rPr>
      <w:t>3</w:t>
    </w:r>
    <w:r w:rsidRPr="00FA6F60">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A6F60" w:rsidRDefault="00FA6F60" w:rsidP="00FA6F60">
    <w:pPr>
      <w:pStyle w:val="Footer"/>
      <w:spacing w:before="240"/>
      <w:rPr>
        <w:sz w:val="20"/>
      </w:rPr>
    </w:pPr>
    <w:r>
      <w:rPr>
        <w:sz w:val="20"/>
      </w:rPr>
      <w:t>GE.</w:t>
    </w:r>
    <w:r w:rsidR="00B85767">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1" o:spid="_x0000_s2052" type="#_x0000_t75" alt="recycle_Spanish" style="position:absolute;margin-left:340.15pt;margin-top:651.95pt;width:85.5pt;height:18pt;z-index:1;visibility:visible;mso-position-horizontal-relative:margin;mso-position-vertical-relative:margin">
          <v:imagedata r:id="rId1" o:title="recycle_Spanish"/>
          <w10:wrap anchorx="margin" anchory="margin"/>
          <w10:anchorlock/>
        </v:shape>
      </w:pict>
    </w:r>
    <w:r>
      <w:rPr>
        <w:sz w:val="20"/>
      </w:rPr>
      <w:t>14-17997  (S)</w:t>
    </w:r>
    <w:r w:rsidR="00B65CBA">
      <w:rPr>
        <w:sz w:val="20"/>
      </w:rPr>
      <w:t xml:space="preserve">    151014    151014</w:t>
    </w:r>
  </w:p>
  <w:p w:rsidR="004E73A9" w:rsidRPr="00FA6F60" w:rsidRDefault="00FA6F60" w:rsidP="00FA6F60">
    <w:pP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sidR="00B85767">
      <w:rPr>
        <w:noProof/>
      </w:rPr>
      <w:pict>
        <v:shape id="Imagen 2" o:spid="_x0000_s2051" type="#_x0000_t75" alt="29&amp;Size=2&amp;Lang=S" style="position:absolute;margin-left:432.25pt;margin-top:632.1pt;width:50.25pt;height:50.25pt;z-index:2;visibility:visible;mso-position-horizontal-relative:margin;mso-position-vertical-relative:margin">
          <v:imagedata r:id="rId2" o:title="29&amp;Size=2&amp;Lang=S"/>
          <w10:wrap anchorx="margin" anchory="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E59C7" w:rsidRPr="001075E9" w:rsidRDefault="00AE59C7" w:rsidP="001075E9">
      <w:pPr>
        <w:tabs>
          <w:tab w:val="right" w:pos="2155"/>
        </w:tabs>
        <w:spacing w:after="80" w:line="240" w:lineRule="auto"/>
        <w:ind w:left="680"/>
        <w:rPr>
          <w:u w:val="single"/>
        </w:rPr>
      </w:pPr>
      <w:r>
        <w:rPr>
          <w:u w:val="single"/>
        </w:rPr>
        <w:tab/>
      </w:r>
    </w:p>
  </w:footnote>
  <w:footnote w:type="continuationSeparator" w:id="0">
    <w:p w:rsidR="00AE59C7" w:rsidRDefault="00AE59C7" w:rsidP="00407B78">
      <w:pPr>
        <w:tabs>
          <w:tab w:val="right" w:pos="2155"/>
        </w:tabs>
        <w:spacing w:after="80"/>
        <w:ind w:left="680"/>
        <w:rPr>
          <w:u w:val="single"/>
        </w:rPr>
      </w:pPr>
      <w:r>
        <w:rPr>
          <w:u w:val="single"/>
        </w:rPr>
        <w:tab/>
      </w:r>
    </w:p>
  </w:footnote>
  <w:footnote w:id="1">
    <w:p w:rsidR="00B65CBA" w:rsidRDefault="00B65CBA" w:rsidP="00B65CBA">
      <w:pPr>
        <w:pStyle w:val="FootnoteText"/>
        <w:widowControl w:val="0"/>
        <w:tabs>
          <w:tab w:val="clear" w:pos="1021"/>
          <w:tab w:val="right" w:pos="1020"/>
        </w:tabs>
        <w:suppressAutoHyphens/>
      </w:pPr>
      <w:r>
        <w:tab/>
      </w:r>
      <w:r>
        <w:rPr>
          <w:rStyle w:val="FootnoteReference"/>
        </w:rPr>
        <w:footnoteRef/>
      </w:r>
      <w:r>
        <w:tab/>
      </w:r>
      <w:r w:rsidRPr="00B65CBA">
        <w:t xml:space="preserve">A/HRC/27/69. </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A6F60" w:rsidRPr="00FA6F60" w:rsidRDefault="00FA6F60">
    <w:pPr>
      <w:pStyle w:val="Header"/>
    </w:pPr>
    <w:r>
      <w:t>A/HRC/RES/27/29</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A6F60" w:rsidRPr="00FA6F60" w:rsidRDefault="00FA6F60" w:rsidP="00FA6F60">
    <w:pPr>
      <w:pStyle w:val="Header"/>
      <w:jc w:val="right"/>
    </w:pPr>
    <w:r>
      <w:t>A/HRC/RES/27/29</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attachedTemplate r:id="rId1"/>
  <w:stylePaneFormatFilter w:val="3801"/>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4E73A9"/>
    <w:rsid w:val="00025632"/>
    <w:rsid w:val="00033EE1"/>
    <w:rsid w:val="00042B72"/>
    <w:rsid w:val="000558BD"/>
    <w:rsid w:val="000B57E7"/>
    <w:rsid w:val="000B6373"/>
    <w:rsid w:val="000F09DF"/>
    <w:rsid w:val="000F61B2"/>
    <w:rsid w:val="001075E9"/>
    <w:rsid w:val="00136F23"/>
    <w:rsid w:val="00180183"/>
    <w:rsid w:val="0018024D"/>
    <w:rsid w:val="0018649F"/>
    <w:rsid w:val="00196389"/>
    <w:rsid w:val="001B3EF6"/>
    <w:rsid w:val="001C7A89"/>
    <w:rsid w:val="002A2EFC"/>
    <w:rsid w:val="002C0E18"/>
    <w:rsid w:val="002D5AAC"/>
    <w:rsid w:val="002E07A9"/>
    <w:rsid w:val="002F405F"/>
    <w:rsid w:val="002F7EEC"/>
    <w:rsid w:val="00301299"/>
    <w:rsid w:val="00307FB6"/>
    <w:rsid w:val="00317339"/>
    <w:rsid w:val="00322004"/>
    <w:rsid w:val="003402C2"/>
    <w:rsid w:val="00381C24"/>
    <w:rsid w:val="003958D0"/>
    <w:rsid w:val="003B00E5"/>
    <w:rsid w:val="00407B78"/>
    <w:rsid w:val="004133C6"/>
    <w:rsid w:val="00424203"/>
    <w:rsid w:val="00452493"/>
    <w:rsid w:val="00454E07"/>
    <w:rsid w:val="004B639B"/>
    <w:rsid w:val="004E73A9"/>
    <w:rsid w:val="0050108D"/>
    <w:rsid w:val="00505552"/>
    <w:rsid w:val="00513081"/>
    <w:rsid w:val="00517901"/>
    <w:rsid w:val="00526683"/>
    <w:rsid w:val="005709E0"/>
    <w:rsid w:val="00572E19"/>
    <w:rsid w:val="005961C8"/>
    <w:rsid w:val="005B05F0"/>
    <w:rsid w:val="005D7914"/>
    <w:rsid w:val="005E2B41"/>
    <w:rsid w:val="005F0B42"/>
    <w:rsid w:val="006504E0"/>
    <w:rsid w:val="00681A10"/>
    <w:rsid w:val="006C2031"/>
    <w:rsid w:val="006D461A"/>
    <w:rsid w:val="006F35EE"/>
    <w:rsid w:val="007021FF"/>
    <w:rsid w:val="00712895"/>
    <w:rsid w:val="00757357"/>
    <w:rsid w:val="00796FF7"/>
    <w:rsid w:val="00825F8D"/>
    <w:rsid w:val="00834B71"/>
    <w:rsid w:val="0086445C"/>
    <w:rsid w:val="00894693"/>
    <w:rsid w:val="008A08D7"/>
    <w:rsid w:val="008B6909"/>
    <w:rsid w:val="00906890"/>
    <w:rsid w:val="00911BE4"/>
    <w:rsid w:val="00947A8D"/>
    <w:rsid w:val="00951972"/>
    <w:rsid w:val="009608F3"/>
    <w:rsid w:val="00A312BC"/>
    <w:rsid w:val="00A84021"/>
    <w:rsid w:val="00A917B3"/>
    <w:rsid w:val="00AB4B51"/>
    <w:rsid w:val="00AC7591"/>
    <w:rsid w:val="00AE59C7"/>
    <w:rsid w:val="00B10CC7"/>
    <w:rsid w:val="00B539E7"/>
    <w:rsid w:val="00B62458"/>
    <w:rsid w:val="00B65CBA"/>
    <w:rsid w:val="00B85767"/>
    <w:rsid w:val="00BA2C6A"/>
    <w:rsid w:val="00BD33EE"/>
    <w:rsid w:val="00C106D6"/>
    <w:rsid w:val="00C60F0C"/>
    <w:rsid w:val="00C805C9"/>
    <w:rsid w:val="00C92939"/>
    <w:rsid w:val="00CA1679"/>
    <w:rsid w:val="00CB151C"/>
    <w:rsid w:val="00CE5A1A"/>
    <w:rsid w:val="00CF55F6"/>
    <w:rsid w:val="00D0791D"/>
    <w:rsid w:val="00D33D63"/>
    <w:rsid w:val="00D90138"/>
    <w:rsid w:val="00E25975"/>
    <w:rsid w:val="00E73F76"/>
    <w:rsid w:val="00EA2C9F"/>
    <w:rsid w:val="00ED0BDA"/>
    <w:rsid w:val="00EF1360"/>
    <w:rsid w:val="00EF3220"/>
    <w:rsid w:val="00F94155"/>
    <w:rsid w:val="00FA6F60"/>
    <w:rsid w:val="00FD2EF7"/>
    <w:rsid w:val="00FE447E"/>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81A10"/>
    <w:pPr>
      <w:spacing w:line="240" w:lineRule="atLeast"/>
    </w:pPr>
    <w:rPr>
      <w:lang w:val="es-ES" w:eastAsia="es-ES"/>
    </w:rPr>
  </w:style>
  <w:style w:type="paragraph" w:styleId="Heading1">
    <w:name w:val="heading 1"/>
    <w:aliases w:val="Table_G"/>
    <w:basedOn w:val="SingleTxtG"/>
    <w:next w:val="SingleTxtG"/>
    <w:qFormat/>
    <w:rsid w:val="001B3EF6"/>
    <w:pPr>
      <w:keepNext/>
      <w:spacing w:after="0" w:line="240" w:lineRule="auto"/>
      <w:outlineLvl w:val="0"/>
    </w:pPr>
    <w:rPr>
      <w:rFonts w:cs="Arial"/>
      <w:bCs/>
      <w:szCs w:val="32"/>
    </w:rPr>
  </w:style>
  <w:style w:type="paragraph" w:styleId="Heading2">
    <w:name w:val="heading 2"/>
    <w:basedOn w:val="Normal"/>
    <w:next w:val="Normal"/>
    <w:qFormat/>
    <w:rsid w:val="00681A10"/>
    <w:pPr>
      <w:keepNext/>
      <w:outlineLvl w:val="1"/>
    </w:pPr>
    <w:rPr>
      <w:rFonts w:cs="Arial"/>
      <w:bCs/>
      <w:iCs/>
      <w:szCs w:val="28"/>
    </w:rPr>
  </w:style>
  <w:style w:type="paragraph" w:styleId="Heading3">
    <w:name w:val="heading 3"/>
    <w:basedOn w:val="Normal"/>
    <w:next w:val="Normal"/>
    <w:qFormat/>
    <w:rsid w:val="00681A10"/>
    <w:pPr>
      <w:keepNext/>
      <w:spacing w:before="240" w:after="60"/>
      <w:outlineLvl w:val="2"/>
    </w:pPr>
    <w:rPr>
      <w:rFonts w:ascii="Arial" w:hAnsi="Arial" w:cs="Arial"/>
      <w:b/>
      <w:bCs/>
      <w:sz w:val="26"/>
      <w:szCs w:val="26"/>
    </w:rPr>
  </w:style>
  <w:style w:type="paragraph" w:styleId="Heading4">
    <w:name w:val="heading 4"/>
    <w:basedOn w:val="Normal"/>
    <w:next w:val="Normal"/>
    <w:qFormat/>
    <w:rsid w:val="00681A10"/>
    <w:pPr>
      <w:keepNext/>
      <w:spacing w:before="240" w:after="60"/>
      <w:outlineLvl w:val="3"/>
    </w:pPr>
    <w:rPr>
      <w:b/>
      <w:bCs/>
      <w:sz w:val="28"/>
      <w:szCs w:val="28"/>
    </w:rPr>
  </w:style>
  <w:style w:type="paragraph" w:styleId="Heading5">
    <w:name w:val="heading 5"/>
    <w:basedOn w:val="Normal"/>
    <w:next w:val="Normal"/>
    <w:qFormat/>
    <w:rsid w:val="00681A10"/>
    <w:pPr>
      <w:spacing w:before="240" w:after="60"/>
      <w:outlineLvl w:val="4"/>
    </w:pPr>
    <w:rPr>
      <w:b/>
      <w:bCs/>
      <w:i/>
      <w:iCs/>
      <w:sz w:val="26"/>
      <w:szCs w:val="26"/>
    </w:rPr>
  </w:style>
  <w:style w:type="paragraph" w:styleId="Heading6">
    <w:name w:val="heading 6"/>
    <w:basedOn w:val="Normal"/>
    <w:next w:val="Normal"/>
    <w:qFormat/>
    <w:rsid w:val="00681A10"/>
    <w:pPr>
      <w:spacing w:before="240" w:after="60"/>
      <w:outlineLvl w:val="5"/>
    </w:pPr>
    <w:rPr>
      <w:b/>
      <w:bCs/>
      <w:sz w:val="22"/>
      <w:szCs w:val="22"/>
    </w:rPr>
  </w:style>
  <w:style w:type="paragraph" w:styleId="Heading7">
    <w:name w:val="heading 7"/>
    <w:basedOn w:val="Normal"/>
    <w:next w:val="Normal"/>
    <w:qFormat/>
    <w:rsid w:val="00681A10"/>
    <w:pPr>
      <w:spacing w:before="240" w:after="60"/>
      <w:outlineLvl w:val="6"/>
    </w:pPr>
    <w:rPr>
      <w:sz w:val="24"/>
      <w:szCs w:val="24"/>
    </w:rPr>
  </w:style>
  <w:style w:type="paragraph" w:styleId="Heading8">
    <w:name w:val="heading 8"/>
    <w:basedOn w:val="Normal"/>
    <w:next w:val="Normal"/>
    <w:qFormat/>
    <w:rsid w:val="00681A10"/>
    <w:pPr>
      <w:spacing w:before="240" w:after="60"/>
      <w:outlineLvl w:val="7"/>
    </w:pPr>
    <w:rPr>
      <w:i/>
      <w:iCs/>
      <w:sz w:val="24"/>
      <w:szCs w:val="24"/>
    </w:rPr>
  </w:style>
  <w:style w:type="paragraph" w:styleId="Heading9">
    <w:name w:val="heading 9"/>
    <w:basedOn w:val="Normal"/>
    <w:next w:val="Normal"/>
    <w:qFormat/>
    <w:rsid w:val="00681A10"/>
    <w:pPr>
      <w:spacing w:before="240" w:after="60"/>
      <w:outlineLvl w:val="8"/>
    </w:pPr>
    <w:rPr>
      <w:rFonts w:ascii="Arial" w:hAnsi="Arial" w:cs="Arial"/>
      <w:sz w:val="22"/>
      <w:szCs w:val="22"/>
    </w:rPr>
  </w:style>
  <w:style w:type="character" w:default="1" w:styleId="DefaultParagraphFont">
    <w:name w:val="Default Paragraph Font"/>
    <w:semiHidden/>
    <w:rsid w:val="00681A1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681A10"/>
  </w:style>
  <w:style w:type="character" w:styleId="FootnoteReference">
    <w:name w:val="footnote reference"/>
    <w:aliases w:val="4_G"/>
    <w:rsid w:val="00681A10"/>
    <w:rPr>
      <w:rFonts w:ascii="Times New Roman" w:hAnsi="Times New Roman"/>
      <w:sz w:val="18"/>
      <w:vertAlign w:val="superscript"/>
    </w:rPr>
  </w:style>
  <w:style w:type="paragraph" w:customStyle="1" w:styleId="HMG">
    <w:name w:val="_ H __M_G"/>
    <w:basedOn w:val="Normal"/>
    <w:next w:val="Normal"/>
    <w:rsid w:val="00681A10"/>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681A10"/>
    <w:pPr>
      <w:keepNext/>
      <w:keepLines/>
      <w:tabs>
        <w:tab w:val="right" w:pos="851"/>
      </w:tabs>
      <w:suppressAutoHyphens/>
      <w:spacing w:before="360" w:after="240" w:line="300" w:lineRule="exact"/>
      <w:ind w:left="1134" w:right="1134" w:hanging="1134"/>
    </w:pPr>
    <w:rPr>
      <w:b/>
      <w:sz w:val="28"/>
    </w:rPr>
  </w:style>
  <w:style w:type="paragraph" w:styleId="BalloonText">
    <w:name w:val="Balloon Text"/>
    <w:basedOn w:val="Normal"/>
    <w:link w:val="BalloonTextChar"/>
    <w:rsid w:val="00136F23"/>
    <w:pPr>
      <w:spacing w:line="240" w:lineRule="auto"/>
    </w:pPr>
    <w:rPr>
      <w:rFonts w:ascii="Tahoma" w:hAnsi="Tahoma"/>
      <w:sz w:val="16"/>
      <w:szCs w:val="16"/>
      <w:lang/>
    </w:rPr>
  </w:style>
  <w:style w:type="character" w:customStyle="1" w:styleId="BalloonTextChar">
    <w:name w:val="Balloon Text Char"/>
    <w:link w:val="BalloonText"/>
    <w:rsid w:val="00136F23"/>
    <w:rPr>
      <w:rFonts w:ascii="Tahoma" w:hAnsi="Tahoma" w:cs="Tahoma"/>
      <w:sz w:val="16"/>
      <w:szCs w:val="16"/>
    </w:rPr>
  </w:style>
  <w:style w:type="paragraph" w:customStyle="1" w:styleId="H1G">
    <w:name w:val="_ H_1_G"/>
    <w:basedOn w:val="Normal"/>
    <w:next w:val="Normal"/>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681A10"/>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Footer">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FootnoteText">
    <w:name w:val="footnote text"/>
    <w:aliases w:val="5_G"/>
    <w:basedOn w:val="Normal"/>
    <w:rsid w:val="00681A10"/>
    <w:pPr>
      <w:tabs>
        <w:tab w:val="right" w:pos="1021"/>
      </w:tabs>
      <w:spacing w:line="220" w:lineRule="exact"/>
      <w:ind w:left="1134" w:right="1134" w:hanging="1134"/>
    </w:pPr>
    <w:rPr>
      <w:sz w:val="18"/>
    </w:rPr>
  </w:style>
  <w:style w:type="table" w:styleId="TableGrid">
    <w:name w:val="Table Grid"/>
    <w:basedOn w:val="TableNormal"/>
    <w:semiHidden/>
    <w:rsid w:val="00681A10"/>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681A10"/>
    <w:pPr>
      <w:numPr>
        <w:numId w:val="3"/>
      </w:numPr>
    </w:pPr>
  </w:style>
  <w:style w:type="numbering" w:styleId="1ai">
    <w:name w:val="Outline List 1"/>
    <w:basedOn w:val="NoList"/>
    <w:semiHidden/>
    <w:rsid w:val="00681A10"/>
    <w:pPr>
      <w:numPr>
        <w:numId w:val="4"/>
      </w:numPr>
    </w:pPr>
  </w:style>
  <w:style w:type="character" w:styleId="HTMLAcronym">
    <w:name w:val="HTML Acronym"/>
    <w:basedOn w:val="DefaultParagraphFont"/>
    <w:semiHidden/>
    <w:rsid w:val="00681A10"/>
  </w:style>
  <w:style w:type="numbering" w:styleId="ArticleSection">
    <w:name w:val="Outline List 3"/>
    <w:basedOn w:val="NoList"/>
    <w:semiHidden/>
    <w:rsid w:val="00681A10"/>
    <w:pPr>
      <w:numPr>
        <w:numId w:val="5"/>
      </w:numPr>
    </w:pPr>
  </w:style>
  <w:style w:type="paragraph" w:styleId="Closing">
    <w:name w:val="Closing"/>
    <w:basedOn w:val="Normal"/>
    <w:semiHidden/>
    <w:rsid w:val="00681A10"/>
    <w:pPr>
      <w:ind w:left="4252"/>
    </w:pPr>
  </w:style>
  <w:style w:type="character" w:styleId="HTMLCite">
    <w:name w:val="HTML Cite"/>
    <w:semiHidden/>
    <w:rsid w:val="00681A10"/>
    <w:rPr>
      <w:i/>
      <w:iCs/>
    </w:rPr>
  </w:style>
  <w:style w:type="character" w:styleId="HTMLCode">
    <w:name w:val="HTML Code"/>
    <w:semiHidden/>
    <w:rsid w:val="00681A10"/>
    <w:rPr>
      <w:rFonts w:ascii="Courier New" w:hAnsi="Courier New" w:cs="Courier New"/>
      <w:sz w:val="20"/>
      <w:szCs w:val="20"/>
    </w:rPr>
  </w:style>
  <w:style w:type="paragraph" w:styleId="ListContinue">
    <w:name w:val="List Continue"/>
    <w:basedOn w:val="Normal"/>
    <w:semiHidden/>
    <w:rsid w:val="00681A10"/>
    <w:pPr>
      <w:spacing w:after="120"/>
      <w:ind w:left="283"/>
    </w:pPr>
  </w:style>
  <w:style w:type="paragraph" w:styleId="ListContinue2">
    <w:name w:val="List Continue 2"/>
    <w:basedOn w:val="Normal"/>
    <w:semiHidden/>
    <w:rsid w:val="00681A10"/>
    <w:pPr>
      <w:spacing w:after="120"/>
      <w:ind w:left="566"/>
    </w:pPr>
  </w:style>
  <w:style w:type="paragraph" w:styleId="ListContinue3">
    <w:name w:val="List Continue 3"/>
    <w:basedOn w:val="Normal"/>
    <w:semiHidden/>
    <w:rsid w:val="00681A10"/>
    <w:pPr>
      <w:spacing w:after="120"/>
      <w:ind w:left="849"/>
    </w:pPr>
  </w:style>
  <w:style w:type="paragraph" w:styleId="ListContinue4">
    <w:name w:val="List Continue 4"/>
    <w:basedOn w:val="Normal"/>
    <w:semiHidden/>
    <w:rsid w:val="00681A10"/>
    <w:pPr>
      <w:spacing w:after="120"/>
      <w:ind w:left="1132"/>
    </w:pPr>
  </w:style>
  <w:style w:type="paragraph" w:styleId="ListContinue5">
    <w:name w:val="List Continue 5"/>
    <w:basedOn w:val="Normal"/>
    <w:semiHidden/>
    <w:rsid w:val="00681A10"/>
    <w:pPr>
      <w:spacing w:after="120"/>
      <w:ind w:left="1415"/>
    </w:pPr>
  </w:style>
  <w:style w:type="character" w:styleId="HTMLDefinition">
    <w:name w:val="HTML Definition"/>
    <w:semiHidden/>
    <w:rsid w:val="00681A10"/>
    <w:rPr>
      <w:i/>
      <w:iCs/>
    </w:rPr>
  </w:style>
  <w:style w:type="paragraph" w:styleId="HTMLAddress">
    <w:name w:val="HTML Address"/>
    <w:basedOn w:val="Normal"/>
    <w:semiHidden/>
    <w:rsid w:val="00681A10"/>
    <w:rPr>
      <w:i/>
      <w:iCs/>
    </w:rPr>
  </w:style>
  <w:style w:type="paragraph" w:styleId="EnvelopeAddress">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681A10"/>
    <w:rPr>
      <w:rFonts w:ascii="Courier New" w:hAnsi="Courier New" w:cs="Courier New"/>
    </w:rPr>
  </w:style>
  <w:style w:type="paragraph" w:styleId="MessageHeader">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681A10"/>
  </w:style>
  <w:style w:type="character" w:styleId="Emphasis">
    <w:name w:val="Emphasis"/>
    <w:qFormat/>
    <w:rsid w:val="00681A10"/>
    <w:rPr>
      <w:i/>
      <w:iCs/>
    </w:rPr>
  </w:style>
  <w:style w:type="paragraph" w:styleId="Date">
    <w:name w:val="Date"/>
    <w:basedOn w:val="Normal"/>
    <w:next w:val="Normal"/>
    <w:semiHidden/>
    <w:rsid w:val="00681A10"/>
  </w:style>
  <w:style w:type="paragraph" w:styleId="Signature">
    <w:name w:val="Signature"/>
    <w:basedOn w:val="Normal"/>
    <w:semiHidden/>
    <w:rsid w:val="00681A10"/>
    <w:pPr>
      <w:ind w:left="4252"/>
    </w:pPr>
  </w:style>
  <w:style w:type="paragraph" w:styleId="E-mailSignature">
    <w:name w:val="E-mail Signature"/>
    <w:basedOn w:val="Normal"/>
    <w:semiHidden/>
    <w:rsid w:val="00681A10"/>
  </w:style>
  <w:style w:type="character" w:styleId="Hyperlink">
    <w:name w:val="Hyperlink"/>
    <w:semiHidden/>
    <w:rsid w:val="00681A10"/>
    <w:rPr>
      <w:color w:val="0000FF"/>
      <w:u w:val="single"/>
    </w:rPr>
  </w:style>
  <w:style w:type="character" w:styleId="FollowedHyperlink">
    <w:name w:val="FollowedHyperlink"/>
    <w:semiHidden/>
    <w:rsid w:val="00681A10"/>
    <w:rPr>
      <w:color w:val="800080"/>
      <w:u w:val="single"/>
    </w:rPr>
  </w:style>
  <w:style w:type="paragraph" w:styleId="HTMLPreformatted">
    <w:name w:val="HTML Preformatted"/>
    <w:basedOn w:val="Normal"/>
    <w:semiHidden/>
    <w:rsid w:val="00681A10"/>
    <w:rPr>
      <w:rFonts w:ascii="Courier New" w:hAnsi="Courier New" w:cs="Courier New"/>
    </w:rPr>
  </w:style>
  <w:style w:type="paragraph" w:styleId="List">
    <w:name w:val="List"/>
    <w:basedOn w:val="Normal"/>
    <w:semiHidden/>
    <w:rsid w:val="00681A10"/>
    <w:pPr>
      <w:ind w:left="283" w:hanging="283"/>
    </w:pPr>
  </w:style>
  <w:style w:type="paragraph" w:styleId="List2">
    <w:name w:val="List 2"/>
    <w:basedOn w:val="Normal"/>
    <w:semiHidden/>
    <w:rsid w:val="00681A10"/>
    <w:pPr>
      <w:ind w:left="566" w:hanging="283"/>
    </w:pPr>
  </w:style>
  <w:style w:type="paragraph" w:styleId="List3">
    <w:name w:val="List 3"/>
    <w:basedOn w:val="Normal"/>
    <w:semiHidden/>
    <w:rsid w:val="00681A10"/>
    <w:pPr>
      <w:ind w:left="849" w:hanging="283"/>
    </w:pPr>
  </w:style>
  <w:style w:type="paragraph" w:styleId="List4">
    <w:name w:val="List 4"/>
    <w:basedOn w:val="Normal"/>
    <w:semiHidden/>
    <w:rsid w:val="00681A10"/>
    <w:pPr>
      <w:ind w:left="1132" w:hanging="283"/>
    </w:pPr>
  </w:style>
  <w:style w:type="paragraph" w:styleId="List5">
    <w:name w:val="List 5"/>
    <w:basedOn w:val="Normal"/>
    <w:semiHidden/>
    <w:rsid w:val="00681A10"/>
    <w:pPr>
      <w:ind w:left="1415" w:hanging="283"/>
    </w:pPr>
  </w:style>
  <w:style w:type="paragraph" w:styleId="ListNumber">
    <w:name w:val="List Number"/>
    <w:basedOn w:val="Normal"/>
    <w:semiHidden/>
    <w:rsid w:val="00681A10"/>
    <w:pPr>
      <w:numPr>
        <w:numId w:val="6"/>
      </w:numPr>
    </w:pPr>
  </w:style>
  <w:style w:type="paragraph" w:styleId="ListNumber2">
    <w:name w:val="List Number 2"/>
    <w:basedOn w:val="Normal"/>
    <w:semiHidden/>
    <w:rsid w:val="00681A10"/>
    <w:pPr>
      <w:numPr>
        <w:numId w:val="7"/>
      </w:numPr>
    </w:pPr>
  </w:style>
  <w:style w:type="paragraph" w:styleId="ListNumber3">
    <w:name w:val="List Number 3"/>
    <w:basedOn w:val="Normal"/>
    <w:semiHidden/>
    <w:rsid w:val="00681A10"/>
    <w:pPr>
      <w:numPr>
        <w:numId w:val="8"/>
      </w:numPr>
    </w:pPr>
  </w:style>
  <w:style w:type="paragraph" w:styleId="ListNumber4">
    <w:name w:val="List Number 4"/>
    <w:basedOn w:val="Normal"/>
    <w:semiHidden/>
    <w:rsid w:val="00681A10"/>
    <w:pPr>
      <w:numPr>
        <w:numId w:val="9"/>
      </w:numPr>
    </w:pPr>
  </w:style>
  <w:style w:type="paragraph" w:styleId="ListNumber5">
    <w:name w:val="List Number 5"/>
    <w:basedOn w:val="Normal"/>
    <w:semiHidden/>
    <w:rsid w:val="00681A10"/>
    <w:pPr>
      <w:numPr>
        <w:numId w:val="10"/>
      </w:numPr>
    </w:pPr>
  </w:style>
  <w:style w:type="paragraph" w:styleId="ListBullet">
    <w:name w:val="List Bullet"/>
    <w:basedOn w:val="Normal"/>
    <w:semiHidden/>
    <w:rsid w:val="00681A10"/>
    <w:pPr>
      <w:numPr>
        <w:numId w:val="11"/>
      </w:numPr>
    </w:pPr>
  </w:style>
  <w:style w:type="paragraph" w:styleId="ListBullet2">
    <w:name w:val="List Bullet 2"/>
    <w:basedOn w:val="Normal"/>
    <w:semiHidden/>
    <w:rsid w:val="00681A10"/>
    <w:pPr>
      <w:numPr>
        <w:numId w:val="12"/>
      </w:numPr>
    </w:pPr>
  </w:style>
  <w:style w:type="paragraph" w:styleId="ListBullet3">
    <w:name w:val="List Bullet 3"/>
    <w:basedOn w:val="Normal"/>
    <w:semiHidden/>
    <w:rsid w:val="00681A10"/>
    <w:pPr>
      <w:numPr>
        <w:numId w:val="13"/>
      </w:numPr>
    </w:pPr>
  </w:style>
  <w:style w:type="paragraph" w:styleId="ListBullet4">
    <w:name w:val="List Bullet 4"/>
    <w:basedOn w:val="Normal"/>
    <w:semiHidden/>
    <w:rsid w:val="00681A10"/>
    <w:pPr>
      <w:numPr>
        <w:numId w:val="14"/>
      </w:numPr>
    </w:pPr>
  </w:style>
  <w:style w:type="paragraph" w:styleId="ListBullet5">
    <w:name w:val="List Bullet 5"/>
    <w:basedOn w:val="Normal"/>
    <w:semiHidden/>
    <w:rsid w:val="00681A10"/>
    <w:pPr>
      <w:numPr>
        <w:numId w:val="15"/>
      </w:numPr>
    </w:pPr>
  </w:style>
  <w:style w:type="character" w:styleId="HTMLTypewriter">
    <w:name w:val="HTML Typewriter"/>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LineNumber">
    <w:name w:val="line number"/>
    <w:basedOn w:val="DefaultParagraphFont"/>
    <w:semiHidden/>
    <w:rsid w:val="00681A10"/>
  </w:style>
  <w:style w:type="character" w:styleId="PageNumber">
    <w:name w:val="page number"/>
    <w:aliases w:val="7_G"/>
    <w:rsid w:val="00681A10"/>
    <w:rPr>
      <w:b/>
      <w:sz w:val="18"/>
    </w:rPr>
  </w:style>
  <w:style w:type="character" w:styleId="EndnoteReference">
    <w:name w:val="endnote reference"/>
    <w:aliases w:val="1_G"/>
    <w:basedOn w:val="FootnoteReference"/>
    <w:rsid w:val="00681A10"/>
  </w:style>
  <w:style w:type="paragraph" w:styleId="EnvelopeReturn">
    <w:name w:val="envelope return"/>
    <w:basedOn w:val="Normal"/>
    <w:semiHidden/>
    <w:rsid w:val="00681A10"/>
    <w:rPr>
      <w:rFonts w:ascii="Arial" w:hAnsi="Arial" w:cs="Arial"/>
    </w:rPr>
  </w:style>
  <w:style w:type="paragraph" w:styleId="Salutation">
    <w:name w:val="Salutation"/>
    <w:basedOn w:val="Normal"/>
    <w:next w:val="Normal"/>
    <w:semiHidden/>
    <w:rsid w:val="00681A10"/>
  </w:style>
  <w:style w:type="paragraph" w:styleId="BodyTextIndent2">
    <w:name w:val="Body Text Indent 2"/>
    <w:basedOn w:val="Normal"/>
    <w:semiHidden/>
    <w:rsid w:val="00681A10"/>
    <w:pPr>
      <w:spacing w:after="120" w:line="480" w:lineRule="auto"/>
      <w:ind w:left="283"/>
    </w:pPr>
  </w:style>
  <w:style w:type="paragraph" w:styleId="BodyTextIndent3">
    <w:name w:val="Body Text Indent 3"/>
    <w:basedOn w:val="Normal"/>
    <w:semiHidden/>
    <w:rsid w:val="00681A10"/>
    <w:pPr>
      <w:spacing w:after="120"/>
      <w:ind w:left="283"/>
    </w:pPr>
    <w:rPr>
      <w:sz w:val="16"/>
      <w:szCs w:val="16"/>
    </w:rPr>
  </w:style>
  <w:style w:type="paragraph" w:styleId="BodyTextIndent">
    <w:name w:val="Body Text Indent"/>
    <w:basedOn w:val="Normal"/>
    <w:semiHidden/>
    <w:rsid w:val="00681A10"/>
    <w:pPr>
      <w:spacing w:after="120"/>
      <w:ind w:left="283"/>
    </w:pPr>
  </w:style>
  <w:style w:type="paragraph" w:styleId="NormalIndent">
    <w:name w:val="Normal Indent"/>
    <w:basedOn w:val="Normal"/>
    <w:semiHidden/>
    <w:rsid w:val="00681A10"/>
    <w:pPr>
      <w:ind w:left="567"/>
    </w:pPr>
  </w:style>
  <w:style w:type="paragraph" w:styleId="Subtitle">
    <w:name w:val="Subtitle"/>
    <w:basedOn w:val="Normal"/>
    <w:qFormat/>
    <w:rsid w:val="00681A10"/>
    <w:pPr>
      <w:spacing w:after="60"/>
      <w:jc w:val="center"/>
      <w:outlineLvl w:val="1"/>
    </w:pPr>
    <w:rPr>
      <w:rFonts w:ascii="Arial" w:hAnsi="Arial" w:cs="Arial"/>
      <w:sz w:val="24"/>
      <w:szCs w:val="24"/>
    </w:rPr>
  </w:style>
  <w:style w:type="table" w:styleId="TableSimple1">
    <w:name w:val="Table Simple 1"/>
    <w:basedOn w:val="TableNormal"/>
    <w:semiHidden/>
    <w:rsid w:val="00681A10"/>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681A10"/>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681A10"/>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681A10"/>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681A10"/>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681A10"/>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681A10"/>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681A10"/>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681A10"/>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681A10"/>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681A10"/>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681A10"/>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681A10"/>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681A10"/>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681A10"/>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681A10"/>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681A10"/>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681A10"/>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681A10"/>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681A10"/>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681A10"/>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681A10"/>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681A10"/>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681A10"/>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681A10"/>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681A10"/>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681A10"/>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681A10"/>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681A10"/>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681A10"/>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681A10"/>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681A10"/>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681A10"/>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681A10"/>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681A10"/>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681A10"/>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681A10"/>
    <w:rPr>
      <w:rFonts w:ascii="Courier New" w:hAnsi="Courier New" w:cs="Courier New"/>
      <w:sz w:val="20"/>
      <w:szCs w:val="20"/>
    </w:rPr>
  </w:style>
  <w:style w:type="paragraph" w:styleId="BlockText">
    <w:name w:val="Block Text"/>
    <w:basedOn w:val="Normal"/>
    <w:semiHidden/>
    <w:rsid w:val="00681A10"/>
    <w:pPr>
      <w:spacing w:after="120"/>
      <w:ind w:left="1440" w:right="1440"/>
    </w:pPr>
  </w:style>
  <w:style w:type="character" w:styleId="Strong">
    <w:name w:val="Strong"/>
    <w:qFormat/>
    <w:rsid w:val="00681A10"/>
    <w:rPr>
      <w:b/>
      <w:bCs/>
    </w:rPr>
  </w:style>
  <w:style w:type="paragraph" w:styleId="BodyText">
    <w:name w:val="Body Text"/>
    <w:basedOn w:val="Normal"/>
    <w:semiHidden/>
    <w:rsid w:val="00681A10"/>
    <w:pPr>
      <w:spacing w:after="120"/>
    </w:pPr>
  </w:style>
  <w:style w:type="paragraph" w:styleId="BodyText2">
    <w:name w:val="Body Text 2"/>
    <w:basedOn w:val="Normal"/>
    <w:semiHidden/>
    <w:rsid w:val="00681A10"/>
    <w:pPr>
      <w:spacing w:after="120" w:line="480" w:lineRule="auto"/>
    </w:pPr>
  </w:style>
  <w:style w:type="paragraph" w:styleId="BodyText3">
    <w:name w:val="Body Text 3"/>
    <w:basedOn w:val="Normal"/>
    <w:semiHidden/>
    <w:rsid w:val="00681A10"/>
    <w:pPr>
      <w:spacing w:after="120"/>
    </w:pPr>
    <w:rPr>
      <w:sz w:val="16"/>
      <w:szCs w:val="16"/>
    </w:rPr>
  </w:style>
  <w:style w:type="paragraph" w:styleId="BodyTextFirstIndent">
    <w:name w:val="Body Text First Indent"/>
    <w:basedOn w:val="BodyText"/>
    <w:semiHidden/>
    <w:rsid w:val="00681A10"/>
    <w:pPr>
      <w:ind w:firstLine="210"/>
    </w:pPr>
  </w:style>
  <w:style w:type="paragraph" w:styleId="BodyTextFirstIndent2">
    <w:name w:val="Body Text First Indent 2"/>
    <w:basedOn w:val="BodyTextIndent"/>
    <w:semiHidden/>
    <w:rsid w:val="00681A10"/>
    <w:pPr>
      <w:ind w:firstLine="210"/>
    </w:pPr>
  </w:style>
  <w:style w:type="paragraph" w:styleId="EndnoteText">
    <w:name w:val="endnote text"/>
    <w:aliases w:val="2_G"/>
    <w:basedOn w:val="FootnoteText"/>
    <w:rsid w:val="00681A10"/>
  </w:style>
  <w:style w:type="paragraph" w:styleId="PlainText">
    <w:name w:val="Plain Text"/>
    <w:basedOn w:val="Normal"/>
    <w:semiHidden/>
    <w:rsid w:val="00681A10"/>
    <w:rPr>
      <w:rFonts w:ascii="Courier New" w:hAnsi="Courier New" w:cs="Courier New"/>
    </w:rPr>
  </w:style>
  <w:style w:type="paragraph" w:styleId="Title">
    <w:name w:val="Title"/>
    <w:basedOn w:val="Normal"/>
    <w:qFormat/>
    <w:rsid w:val="00681A10"/>
    <w:pPr>
      <w:spacing w:before="240" w:after="60"/>
      <w:jc w:val="center"/>
      <w:outlineLvl w:val="0"/>
    </w:pPr>
    <w:rPr>
      <w:rFonts w:ascii="Arial" w:hAnsi="Arial" w:cs="Arial"/>
      <w:b/>
      <w:bCs/>
      <w:kern w:val="28"/>
      <w:sz w:val="32"/>
      <w:szCs w:val="32"/>
    </w:rPr>
  </w:style>
  <w:style w:type="character" w:styleId="HTMLVariable">
    <w:name w:val="HTML Variable"/>
    <w:semiHidden/>
    <w:rsid w:val="00681A10"/>
    <w:rPr>
      <w:i/>
      <w:iCs/>
    </w:rPr>
  </w:style>
  <w:style w:type="paragraph" w:customStyle="1" w:styleId="Bullet1G">
    <w:name w:val="_Bullet 1_G"/>
    <w:basedOn w:val="Normal"/>
    <w:rsid w:val="00681A10"/>
    <w:pPr>
      <w:numPr>
        <w:numId w:val="1"/>
      </w:numPr>
      <w:spacing w:after="120"/>
      <w:ind w:right="1134"/>
      <w:jc w:val="both"/>
    </w:pPr>
    <w:rPr>
      <w:lang w:eastAsia="en-US"/>
    </w:rPr>
  </w:style>
  <w:style w:type="paragraph" w:customStyle="1" w:styleId="Bullet2G">
    <w:name w:val="_Bullet 2_G"/>
    <w:basedOn w:val="Normal"/>
    <w:rsid w:val="00681A10"/>
    <w:pPr>
      <w:numPr>
        <w:numId w:val="2"/>
      </w:numPr>
      <w:spacing w:after="120"/>
      <w:ind w:right="1134"/>
      <w:jc w:val="both"/>
    </w:pPr>
  </w:style>
</w:styles>
</file>

<file path=word/webSettings.xml><?xml version="1.0" encoding="utf-8"?>
<w:webSettings xmlns:r="http://schemas.openxmlformats.org/officeDocument/2006/relationships" xmlns:w="http://schemas.openxmlformats.org/wordprocessingml/2006/main">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A.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A.dot</Template>
  <TotalTime>0</TotalTime>
  <Pages>3</Pages>
  <Words>1315</Words>
  <Characters>7235</Characters>
  <Application>Microsoft Office Outlook</Application>
  <DocSecurity>4</DocSecurity>
  <Lines>60</Lines>
  <Paragraphs>17</Paragraphs>
  <ScaleCrop>false</ScaleCrop>
  <HeadingPairs>
    <vt:vector size="2" baseType="variant">
      <vt:variant>
        <vt:lpstr>Título</vt:lpstr>
      </vt:variant>
      <vt:variant>
        <vt:i4>1</vt:i4>
      </vt:variant>
    </vt:vector>
  </HeadingPairs>
  <TitlesOfParts>
    <vt:vector size="1" baseType="lpstr">
      <vt:lpstr>A/HRC/RES/27/29  -  14-17997</vt:lpstr>
    </vt:vector>
  </TitlesOfParts>
  <Company>DCM</Company>
  <LinksUpToDate>false</LinksUpToDate>
  <CharactersWithSpaces>8533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A/HRC/RES/27/29  -  14-17997</dc:title>
  <dc:subject>FINAL DIRECTO</dc:subject>
  <dc:creator>Luz María Urquizu</dc:creator>
  <cp:keywords/>
  <cp:lastModifiedBy>Maruchi Zeballos</cp:lastModifiedBy>
  <cp:revision>2</cp:revision>
  <cp:lastPrinted>2014-10-15T13:26:00Z</cp:lastPrinted>
  <dcterms:created xsi:type="dcterms:W3CDTF">2014-10-15T13:26:00Z</dcterms:created>
  <dcterms:modified xsi:type="dcterms:W3CDTF">2014-10-15T13:26:00Z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