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7CA8016E" w14:textId="77777777" w:rsidTr="00130C41">
        <w:trPr>
          <w:trHeight w:hRule="exact" w:val="851"/>
        </w:trPr>
        <w:tc>
          <w:tcPr>
            <w:tcW w:w="1276" w:type="dxa"/>
            <w:tcBorders>
              <w:bottom w:val="single" w:sz="4" w:space="0" w:color="auto"/>
            </w:tcBorders>
          </w:tcPr>
          <w:p w14:paraId="528EBCC0" w14:textId="77777777" w:rsidR="00057BC0" w:rsidRPr="00C70F6B" w:rsidRDefault="00057BC0" w:rsidP="00186254"/>
        </w:tc>
        <w:tc>
          <w:tcPr>
            <w:tcW w:w="2268" w:type="dxa"/>
            <w:tcBorders>
              <w:bottom w:val="single" w:sz="4" w:space="0" w:color="auto"/>
            </w:tcBorders>
            <w:vAlign w:val="bottom"/>
          </w:tcPr>
          <w:p w14:paraId="48EBEB97"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B9D188" w14:textId="34EC8E07" w:rsidR="00057BC0" w:rsidRPr="00C01BCF" w:rsidRDefault="00C01BCF" w:rsidP="00C01BCF">
            <w:pPr>
              <w:jc w:val="right"/>
            </w:pPr>
            <w:r w:rsidRPr="00C01BCF">
              <w:rPr>
                <w:sz w:val="40"/>
              </w:rPr>
              <w:t>A</w:t>
            </w:r>
            <w:r>
              <w:t>/HRC/RES/49/34</w:t>
            </w:r>
          </w:p>
        </w:tc>
      </w:tr>
      <w:tr w:rsidR="00057BC0" w:rsidRPr="00DB58B5" w14:paraId="5387A5D0" w14:textId="77777777" w:rsidTr="00186254">
        <w:trPr>
          <w:trHeight w:hRule="exact" w:val="2835"/>
        </w:trPr>
        <w:tc>
          <w:tcPr>
            <w:tcW w:w="1276" w:type="dxa"/>
            <w:tcBorders>
              <w:top w:val="single" w:sz="4" w:space="0" w:color="auto"/>
              <w:bottom w:val="single" w:sz="12" w:space="0" w:color="auto"/>
            </w:tcBorders>
          </w:tcPr>
          <w:p w14:paraId="544BCD8C" w14:textId="7689266B" w:rsidR="00057BC0" w:rsidRPr="00DB58B5" w:rsidRDefault="006742FD" w:rsidP="00186254">
            <w:pPr>
              <w:spacing w:before="120"/>
              <w:jc w:val="center"/>
            </w:pPr>
            <w:r>
              <w:rPr>
                <w:noProof/>
                <w:lang w:val="en-GB" w:eastAsia="en-GB"/>
              </w:rPr>
              <w:drawing>
                <wp:inline distT="0" distB="0" distL="0" distR="0" wp14:anchorId="1EDDC81D" wp14:editId="4BD647B1">
                  <wp:extent cx="717550" cy="58420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842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1965F9" w14:textId="77777777" w:rsidR="00057BC0" w:rsidRPr="00740562" w:rsidRDefault="00057BC0" w:rsidP="00186254">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869F3CD" w14:textId="2CC4918B" w:rsidR="00057BC0" w:rsidRDefault="00AD7860" w:rsidP="00130C41">
            <w:pPr>
              <w:spacing w:before="240" w:line="240" w:lineRule="exact"/>
            </w:pPr>
            <w:proofErr w:type="spellStart"/>
            <w:r>
              <w:t>Distr</w:t>
            </w:r>
            <w:proofErr w:type="spellEnd"/>
            <w:r>
              <w:t xml:space="preserve">. </w:t>
            </w:r>
            <w:r w:rsidR="000457F4" w:rsidRPr="000457F4">
              <w:t>générale</w:t>
            </w:r>
          </w:p>
          <w:p w14:paraId="33BABA25" w14:textId="237DB3A8" w:rsidR="00130C41" w:rsidRDefault="002904BF" w:rsidP="00130C41">
            <w:pPr>
              <w:spacing w:line="240" w:lineRule="exact"/>
            </w:pPr>
            <w:r>
              <w:t>8</w:t>
            </w:r>
            <w:r w:rsidR="000457F4">
              <w:t xml:space="preserve"> avril</w:t>
            </w:r>
            <w:r w:rsidR="007D4BF4">
              <w:t xml:space="preserve"> 2022</w:t>
            </w:r>
          </w:p>
          <w:p w14:paraId="1D83D989" w14:textId="77777777" w:rsidR="00130C41" w:rsidRDefault="00130C41" w:rsidP="00130C41">
            <w:pPr>
              <w:spacing w:line="240" w:lineRule="exact"/>
            </w:pPr>
          </w:p>
          <w:p w14:paraId="663D2A2B" w14:textId="77777777" w:rsidR="00130C41" w:rsidRPr="00DB58B5" w:rsidRDefault="00130C41" w:rsidP="00130C41">
            <w:pPr>
              <w:spacing w:line="240" w:lineRule="exact"/>
            </w:pPr>
            <w:r>
              <w:t>Original : français</w:t>
            </w:r>
          </w:p>
        </w:tc>
      </w:tr>
    </w:tbl>
    <w:p w14:paraId="15F0EF83" w14:textId="77777777" w:rsidR="00130C41" w:rsidRPr="00130C41" w:rsidRDefault="00130C41" w:rsidP="00130C41">
      <w:pPr>
        <w:spacing w:before="120"/>
        <w:rPr>
          <w:b/>
          <w:sz w:val="24"/>
          <w:szCs w:val="24"/>
          <w:lang w:val="fr-FR"/>
        </w:rPr>
      </w:pPr>
      <w:r w:rsidRPr="00130C41">
        <w:rPr>
          <w:b/>
          <w:sz w:val="24"/>
          <w:szCs w:val="24"/>
          <w:lang w:val="fr-FR"/>
        </w:rPr>
        <w:t>Conseil des droits de l’homme</w:t>
      </w:r>
    </w:p>
    <w:p w14:paraId="57212AFD" w14:textId="31B3C1B1" w:rsidR="00130C41" w:rsidRPr="00130C41" w:rsidRDefault="00C11BE5" w:rsidP="00130C41">
      <w:pPr>
        <w:rPr>
          <w:b/>
          <w:lang w:val="fr-FR"/>
        </w:rPr>
      </w:pPr>
      <w:r>
        <w:rPr>
          <w:b/>
          <w:lang w:val="fr-FR"/>
        </w:rPr>
        <w:t>Quarante</w:t>
      </w:r>
      <w:r w:rsidR="001416F3">
        <w:rPr>
          <w:b/>
          <w:lang w:val="fr-FR"/>
        </w:rPr>
        <w:t>-</w:t>
      </w:r>
      <w:r w:rsidR="007D4BF4">
        <w:rPr>
          <w:b/>
          <w:lang w:val="fr-FR"/>
        </w:rPr>
        <w:t>neuv</w:t>
      </w:r>
      <w:r w:rsidR="00BB2C7F">
        <w:rPr>
          <w:b/>
          <w:lang w:val="fr-FR"/>
        </w:rPr>
        <w:t>ième</w:t>
      </w:r>
      <w:r w:rsidR="005D64DA">
        <w:rPr>
          <w:b/>
          <w:lang w:val="fr-FR"/>
        </w:rPr>
        <w:t xml:space="preserve"> </w:t>
      </w:r>
      <w:r w:rsidR="00130C41" w:rsidRPr="00130C41">
        <w:rPr>
          <w:b/>
          <w:lang w:val="fr-FR"/>
        </w:rPr>
        <w:t>session</w:t>
      </w:r>
    </w:p>
    <w:p w14:paraId="2E7B00CE" w14:textId="21439E67" w:rsidR="00130C41" w:rsidRPr="00130C41" w:rsidRDefault="007D4BF4" w:rsidP="00130C41">
      <w:pPr>
        <w:rPr>
          <w:lang w:val="fr-FR"/>
        </w:rPr>
      </w:pPr>
      <w:r>
        <w:rPr>
          <w:lang w:val="fr-FR"/>
        </w:rPr>
        <w:t>28</w:t>
      </w:r>
      <w:r w:rsidR="00CE09C9">
        <w:rPr>
          <w:lang w:val="fr-FR"/>
        </w:rPr>
        <w:t xml:space="preserve"> </w:t>
      </w:r>
      <w:r>
        <w:rPr>
          <w:lang w:val="fr-FR"/>
        </w:rPr>
        <w:t>février</w:t>
      </w:r>
      <w:r w:rsidR="00CB4DC9">
        <w:rPr>
          <w:lang w:val="fr-FR"/>
        </w:rPr>
        <w:t>-</w:t>
      </w:r>
      <w:r>
        <w:rPr>
          <w:lang w:val="fr-FR"/>
        </w:rPr>
        <w:t>1</w:t>
      </w:r>
      <w:r w:rsidR="00CB4DC9" w:rsidRPr="00CB4DC9">
        <w:rPr>
          <w:vertAlign w:val="superscript"/>
          <w:lang w:val="fr-FR"/>
        </w:rPr>
        <w:t>er</w:t>
      </w:r>
      <w:r w:rsidR="006E0B3E">
        <w:rPr>
          <w:lang w:val="fr-FR"/>
        </w:rPr>
        <w:t xml:space="preserve"> </w:t>
      </w:r>
      <w:r>
        <w:rPr>
          <w:lang w:val="fr-FR"/>
        </w:rPr>
        <w:t>avril</w:t>
      </w:r>
      <w:r w:rsidR="00CE09C9">
        <w:rPr>
          <w:lang w:val="fr-FR"/>
        </w:rPr>
        <w:t xml:space="preserve"> 202</w:t>
      </w:r>
      <w:r>
        <w:rPr>
          <w:lang w:val="fr-FR"/>
        </w:rPr>
        <w:t>2</w:t>
      </w:r>
    </w:p>
    <w:p w14:paraId="3FDAB0F5" w14:textId="77777777" w:rsidR="00130C41" w:rsidRPr="00130C41" w:rsidRDefault="00130C41" w:rsidP="00130C41">
      <w:pPr>
        <w:rPr>
          <w:lang w:val="fr-FR"/>
        </w:rPr>
      </w:pPr>
      <w:r w:rsidRPr="00130C41">
        <w:rPr>
          <w:lang w:val="fr-FR"/>
        </w:rPr>
        <w:t>Point 10 de l’ordre du jour</w:t>
      </w:r>
    </w:p>
    <w:p w14:paraId="43C383D7" w14:textId="77777777" w:rsidR="00130C41" w:rsidRPr="00130C41" w:rsidRDefault="00130C41" w:rsidP="00130C41">
      <w:pPr>
        <w:rPr>
          <w:b/>
          <w:lang w:val="fr-FR"/>
        </w:rPr>
      </w:pPr>
      <w:r w:rsidRPr="00130C41">
        <w:rPr>
          <w:b/>
          <w:lang w:val="fr-FR"/>
        </w:rPr>
        <w:t>Assistance technique et renforcement des capacités</w:t>
      </w:r>
    </w:p>
    <w:p w14:paraId="3EA5AAF8" w14:textId="083F5CFC" w:rsidR="00130C41" w:rsidRPr="00130C41" w:rsidRDefault="00130C41" w:rsidP="007B67AF">
      <w:pPr>
        <w:pStyle w:val="HChG"/>
        <w:rPr>
          <w:lang w:val="fr-FR"/>
        </w:rPr>
      </w:pPr>
      <w:r w:rsidRPr="00130C41">
        <w:rPr>
          <w:lang w:val="fr-FR"/>
        </w:rPr>
        <w:tab/>
      </w:r>
      <w:r w:rsidRPr="00130C41">
        <w:rPr>
          <w:lang w:val="fr-FR"/>
        </w:rPr>
        <w:tab/>
      </w:r>
      <w:r w:rsidR="000457F4">
        <w:rPr>
          <w:lang w:val="fr-FR"/>
        </w:rPr>
        <w:t>R</w:t>
      </w:r>
      <w:r w:rsidRPr="00130C41">
        <w:rPr>
          <w:lang w:val="fr-FR"/>
        </w:rPr>
        <w:t>ésolution</w:t>
      </w:r>
      <w:r w:rsidR="000457F4">
        <w:rPr>
          <w:lang w:val="fr-FR"/>
        </w:rPr>
        <w:t xml:space="preserve"> </w:t>
      </w:r>
      <w:r w:rsidR="000457F4" w:rsidRPr="000457F4">
        <w:rPr>
          <w:lang w:val="fr-FR"/>
        </w:rPr>
        <w:t>adoptée par le Conseil des droits de l’homme</w:t>
      </w:r>
      <w:r w:rsidR="000457F4" w:rsidRPr="000457F4">
        <w:rPr>
          <w:lang w:val="fr-FR"/>
        </w:rPr>
        <w:br/>
        <w:t xml:space="preserve">le </w:t>
      </w:r>
      <w:r w:rsidR="000457F4">
        <w:rPr>
          <w:lang w:val="fr-FR"/>
        </w:rPr>
        <w:t>1</w:t>
      </w:r>
      <w:r w:rsidR="000457F4" w:rsidRPr="000457F4">
        <w:rPr>
          <w:vertAlign w:val="superscript"/>
          <w:lang w:val="fr-FR"/>
        </w:rPr>
        <w:t xml:space="preserve">er </w:t>
      </w:r>
      <w:r w:rsidR="000457F4">
        <w:rPr>
          <w:lang w:val="fr-FR"/>
        </w:rPr>
        <w:t>avril 2022</w:t>
      </w:r>
    </w:p>
    <w:p w14:paraId="749CBA17" w14:textId="01DEE892" w:rsidR="00130C41" w:rsidRPr="00130C41" w:rsidRDefault="000A02E3" w:rsidP="000457F4">
      <w:pPr>
        <w:keepNext/>
        <w:keepLines/>
        <w:spacing w:before="360" w:after="240" w:line="270" w:lineRule="exact"/>
        <w:ind w:left="1134" w:right="1134" w:hanging="850"/>
        <w:rPr>
          <w:b/>
          <w:sz w:val="24"/>
          <w:lang w:val="fr-FR"/>
        </w:rPr>
      </w:pPr>
      <w:r>
        <w:rPr>
          <w:b/>
          <w:sz w:val="24"/>
          <w:lang w:val="fr-FR"/>
        </w:rPr>
        <w:t>4</w:t>
      </w:r>
      <w:r w:rsidR="007D4BF4">
        <w:rPr>
          <w:b/>
          <w:sz w:val="24"/>
          <w:lang w:val="fr-FR"/>
        </w:rPr>
        <w:t>9</w:t>
      </w:r>
      <w:r w:rsidR="00130C41" w:rsidRPr="00130C41">
        <w:rPr>
          <w:b/>
          <w:sz w:val="24"/>
          <w:lang w:val="fr-FR"/>
        </w:rPr>
        <w:t>/</w:t>
      </w:r>
      <w:r w:rsidR="000457F4">
        <w:rPr>
          <w:b/>
          <w:sz w:val="24"/>
          <w:lang w:val="fr-FR"/>
        </w:rPr>
        <w:t>34.</w:t>
      </w:r>
      <w:r w:rsidR="00130C41" w:rsidRPr="00130C41">
        <w:rPr>
          <w:b/>
          <w:sz w:val="24"/>
          <w:lang w:val="fr-FR"/>
        </w:rPr>
        <w:tab/>
      </w:r>
      <w:r w:rsidR="0040252D" w:rsidRPr="0040252D">
        <w:rPr>
          <w:b/>
          <w:sz w:val="24"/>
        </w:rPr>
        <w:t>Assistance technique et renforcement des capacités dans le domaine des</w:t>
      </w:r>
      <w:r w:rsidR="0040252D" w:rsidRPr="0040252D">
        <w:rPr>
          <w:b/>
          <w:bCs/>
          <w:sz w:val="24"/>
        </w:rPr>
        <w:t xml:space="preserve"> </w:t>
      </w:r>
      <w:r w:rsidR="0040252D" w:rsidRPr="0040252D">
        <w:rPr>
          <w:b/>
          <w:sz w:val="24"/>
        </w:rPr>
        <w:t>droits de l’homme au Mali</w:t>
      </w:r>
    </w:p>
    <w:p w14:paraId="3B9C07EE" w14:textId="77777777" w:rsidR="00130C41" w:rsidRPr="00130C41" w:rsidRDefault="00130C41" w:rsidP="00130C41">
      <w:pPr>
        <w:spacing w:after="120"/>
        <w:ind w:left="1134" w:right="1134" w:firstLine="567"/>
        <w:jc w:val="both"/>
        <w:rPr>
          <w:lang w:val="fr-FR"/>
        </w:rPr>
      </w:pPr>
      <w:r w:rsidRPr="00130C41">
        <w:rPr>
          <w:i/>
          <w:lang w:val="fr-FR"/>
        </w:rPr>
        <w:t>Le Conseil des droits de l’homme</w:t>
      </w:r>
      <w:r w:rsidRPr="00130C41">
        <w:rPr>
          <w:lang w:val="fr-FR"/>
        </w:rPr>
        <w:t>,</w:t>
      </w:r>
    </w:p>
    <w:p w14:paraId="5434FCAE" w14:textId="3960907C" w:rsidR="0040252D" w:rsidRPr="0040252D" w:rsidRDefault="0040252D" w:rsidP="0040252D">
      <w:pPr>
        <w:pStyle w:val="SingleTxtG"/>
        <w:ind w:firstLine="567"/>
      </w:pPr>
      <w:r w:rsidRPr="0040252D">
        <w:rPr>
          <w:i/>
        </w:rPr>
        <w:t xml:space="preserve">Guidé </w:t>
      </w:r>
      <w:r w:rsidRPr="0040252D">
        <w:t>par les buts et principes de la Charte des Nations Unies,</w:t>
      </w:r>
    </w:p>
    <w:p w14:paraId="0FCE80C5" w14:textId="4893C794" w:rsidR="0040252D" w:rsidRPr="0040252D" w:rsidRDefault="0040252D" w:rsidP="0040252D">
      <w:pPr>
        <w:pStyle w:val="SingleTxtG"/>
        <w:ind w:firstLine="567"/>
      </w:pPr>
      <w:r w:rsidRPr="0040252D">
        <w:rPr>
          <w:i/>
        </w:rPr>
        <w:t xml:space="preserve">Réaffirmant </w:t>
      </w:r>
      <w:r w:rsidRPr="0040252D">
        <w:t>la Déclaration universelle des droits de l’homme et les autres instruments internationaux pertinents relatifs aux droits de l’homme,</w:t>
      </w:r>
    </w:p>
    <w:p w14:paraId="002ECC14" w14:textId="685C4D22" w:rsidR="0040252D" w:rsidRPr="0040252D" w:rsidRDefault="0040252D" w:rsidP="0040252D">
      <w:pPr>
        <w:pStyle w:val="SingleTxtG"/>
        <w:ind w:firstLine="567"/>
      </w:pPr>
      <w:r w:rsidRPr="0040252D">
        <w:rPr>
          <w:i/>
        </w:rPr>
        <w:t xml:space="preserve">Rappelant </w:t>
      </w:r>
      <w:r w:rsidRPr="0040252D">
        <w:t>la résolution 60/251 de l’Assemblée générale en date du 15 mars 2006,</w:t>
      </w:r>
    </w:p>
    <w:p w14:paraId="1E57CBD2" w14:textId="3CFD46D7" w:rsidR="0040252D" w:rsidRPr="0040252D" w:rsidRDefault="0040252D" w:rsidP="0040252D">
      <w:pPr>
        <w:pStyle w:val="SingleTxtG"/>
        <w:ind w:firstLine="567"/>
      </w:pPr>
      <w:r w:rsidRPr="0040252D">
        <w:rPr>
          <w:i/>
        </w:rPr>
        <w:t xml:space="preserve">Rappelant également </w:t>
      </w:r>
      <w:r w:rsidRPr="0040252D">
        <w:t xml:space="preserve">ses </w:t>
      </w:r>
      <w:r w:rsidR="0035623D">
        <w:t xml:space="preserve">propres </w:t>
      </w:r>
      <w:r w:rsidRPr="0040252D">
        <w:t>résolutions 5/1 relative à la mise en place des institutions du Conseil et 5/2 relative au Code de conduite pour les titulaires de mandat au titre des procédures spéciales du Conseil, toutes deux en date du 18 juin 2007,</w:t>
      </w:r>
    </w:p>
    <w:p w14:paraId="293305BE" w14:textId="25DEA58E" w:rsidR="0040252D" w:rsidRPr="0040252D" w:rsidRDefault="0040252D" w:rsidP="0040252D">
      <w:pPr>
        <w:pStyle w:val="SingleTxtG"/>
        <w:ind w:firstLine="567"/>
      </w:pPr>
      <w:r w:rsidRPr="0040252D">
        <w:rPr>
          <w:i/>
        </w:rPr>
        <w:t xml:space="preserve">Rappelant en outre </w:t>
      </w:r>
      <w:r w:rsidRPr="0040252D">
        <w:t>ses résolutions 20/17 du 6 juillet 2012 relative à la situation des droits de l’homme au Mali, 22/18 du 21 mars 2013 portant création d’un mandat d’expert indépendant sur la situation des droits de l’homme au Mali, 25/36 du 28 mars 2014, 31/28 du 24 mars 2016, 34/39 du 24 mars 2017, 37/39 du 23 mars 2018, 40/26 du 22 mars 2019, 43/38 du 22 juin 2020 et 46/28 du 24 mars 2021 par lesquelles il a prorogé le mandat de l’Expert indépendant,</w:t>
      </w:r>
    </w:p>
    <w:p w14:paraId="257012B5" w14:textId="698211D3" w:rsidR="0040252D" w:rsidRPr="0040252D" w:rsidRDefault="0040252D" w:rsidP="0040252D">
      <w:pPr>
        <w:pStyle w:val="SingleTxtG"/>
        <w:ind w:firstLine="567"/>
      </w:pPr>
      <w:r w:rsidRPr="0040252D">
        <w:rPr>
          <w:i/>
        </w:rPr>
        <w:t xml:space="preserve">Réaffirmant </w:t>
      </w:r>
      <w:r w:rsidRPr="0040252D">
        <w:t>la responsabilité première des États de promouvoir, de protéger et de mettre en œuvre les droits de l’homme et les libertés fondamentales consacrés dans la Charte, la Déclaration universelle des droits de l’homme, les Pactes internationaux relatifs aux droits de l’homme et les autres instruments internationaux pertinents relatifs aux droits de l’homme auxquels ils sont parties,</w:t>
      </w:r>
    </w:p>
    <w:p w14:paraId="578A6492" w14:textId="3DF2B24E" w:rsidR="0040252D" w:rsidRPr="0040252D" w:rsidRDefault="0040252D" w:rsidP="0040252D">
      <w:pPr>
        <w:pStyle w:val="SingleTxtG"/>
        <w:ind w:firstLine="567"/>
      </w:pPr>
      <w:r w:rsidRPr="0040252D">
        <w:rPr>
          <w:i/>
        </w:rPr>
        <w:t xml:space="preserve">Réaffirmant également </w:t>
      </w:r>
      <w:r w:rsidRPr="0040252D">
        <w:t>son attachement à la souveraineté, à l’indépendance, à l’unité et à l’intégrité territoriale du Mali,</w:t>
      </w:r>
    </w:p>
    <w:p w14:paraId="7341256E" w14:textId="31564A5D" w:rsidR="0040252D" w:rsidRPr="0040252D" w:rsidRDefault="0040252D" w:rsidP="0040252D">
      <w:pPr>
        <w:pStyle w:val="SingleTxtG"/>
        <w:ind w:firstLine="567"/>
      </w:pPr>
      <w:r w:rsidRPr="0040252D">
        <w:rPr>
          <w:i/>
        </w:rPr>
        <w:t xml:space="preserve">Prenant note avec satisfaction </w:t>
      </w:r>
      <w:r w:rsidRPr="0040252D">
        <w:t>du rapport de l’Expert indépendant sur la situation des droits de l’homme au Mali</w:t>
      </w:r>
      <w:r w:rsidR="00246D7D">
        <w:rPr>
          <w:rStyle w:val="Appelnotedebasdep"/>
        </w:rPr>
        <w:footnoteReference w:id="2"/>
      </w:r>
      <w:r w:rsidRPr="0040252D">
        <w:t>,</w:t>
      </w:r>
    </w:p>
    <w:p w14:paraId="2545D87C" w14:textId="1980533E" w:rsidR="0040252D" w:rsidRPr="0040252D" w:rsidRDefault="0040252D" w:rsidP="0040252D">
      <w:pPr>
        <w:pStyle w:val="SingleTxtG"/>
        <w:ind w:firstLine="567"/>
      </w:pPr>
      <w:r w:rsidRPr="0040252D">
        <w:rPr>
          <w:bCs/>
          <w:i/>
          <w:iCs/>
        </w:rPr>
        <w:t xml:space="preserve">Constatant </w:t>
      </w:r>
      <w:r w:rsidRPr="0040252D">
        <w:rPr>
          <w:bCs/>
        </w:rPr>
        <w:t>les perturbations</w:t>
      </w:r>
      <w:r w:rsidRPr="0040252D">
        <w:t xml:space="preserve"> de l’ordre constitutionnel au Mali</w:t>
      </w:r>
      <w:r w:rsidRPr="0040252D">
        <w:rPr>
          <w:bCs/>
        </w:rPr>
        <w:t xml:space="preserve"> et la non-tenue des élections dans les délais prévus, et appelant à </w:t>
      </w:r>
      <w:r w:rsidRPr="0040252D">
        <w:t xml:space="preserve">la </w:t>
      </w:r>
      <w:r w:rsidRPr="0040252D">
        <w:rPr>
          <w:bCs/>
        </w:rPr>
        <w:t xml:space="preserve">poursuite du dialogue avec la </w:t>
      </w:r>
      <w:r w:rsidR="00DE726B">
        <w:rPr>
          <w:bCs/>
        </w:rPr>
        <w:t xml:space="preserve">Communauté </w:t>
      </w:r>
      <w:r w:rsidR="00DE726B">
        <w:rPr>
          <w:bCs/>
        </w:rPr>
        <w:lastRenderedPageBreak/>
        <w:t>économique des États de l’Afrique de l’Ouest</w:t>
      </w:r>
      <w:r w:rsidRPr="0040252D">
        <w:rPr>
          <w:bCs/>
        </w:rPr>
        <w:t>, l’Union africaine et la communauté internationale,</w:t>
      </w:r>
      <w:r w:rsidRPr="0040252D">
        <w:t xml:space="preserve"> en </w:t>
      </w:r>
      <w:r w:rsidRPr="0040252D">
        <w:rPr>
          <w:bCs/>
        </w:rPr>
        <w:t>vue</w:t>
      </w:r>
      <w:r w:rsidRPr="0040252D">
        <w:t xml:space="preserve"> de </w:t>
      </w:r>
      <w:r w:rsidRPr="0040252D">
        <w:rPr>
          <w:bCs/>
        </w:rPr>
        <w:t>parvenir à un chronogramme</w:t>
      </w:r>
      <w:r w:rsidRPr="0040252D">
        <w:t xml:space="preserve"> de la transition </w:t>
      </w:r>
      <w:r w:rsidRPr="0040252D">
        <w:rPr>
          <w:bCs/>
        </w:rPr>
        <w:t>acceptable pour un retour rapide à l’ordre constitutionnel, notamment</w:t>
      </w:r>
      <w:r w:rsidRPr="0040252D">
        <w:t xml:space="preserve"> à travers l’organisation d’élections libres, justes</w:t>
      </w:r>
      <w:r w:rsidRPr="0040252D">
        <w:rPr>
          <w:bCs/>
        </w:rPr>
        <w:t>,</w:t>
      </w:r>
      <w:r w:rsidRPr="0040252D">
        <w:t xml:space="preserve"> transparentes</w:t>
      </w:r>
      <w:r w:rsidRPr="0040252D">
        <w:rPr>
          <w:bCs/>
        </w:rPr>
        <w:t>, inclusives et crédibles</w:t>
      </w:r>
      <w:r w:rsidRPr="0040252D">
        <w:t>,</w:t>
      </w:r>
    </w:p>
    <w:p w14:paraId="038ED9B4" w14:textId="6B062EF6" w:rsidR="0040252D" w:rsidRPr="0040252D" w:rsidRDefault="001E4B36" w:rsidP="0040252D">
      <w:pPr>
        <w:pStyle w:val="SingleTxtG"/>
        <w:ind w:firstLine="567"/>
      </w:pPr>
      <w:r>
        <w:rPr>
          <w:bCs/>
          <w:i/>
        </w:rPr>
        <w:t>Demeurant</w:t>
      </w:r>
      <w:r w:rsidR="0040252D" w:rsidRPr="0040252D">
        <w:rPr>
          <w:i/>
        </w:rPr>
        <w:t xml:space="preserve"> préoccupé </w:t>
      </w:r>
      <w:r w:rsidR="0040252D" w:rsidRPr="0040252D">
        <w:t xml:space="preserve">par la </w:t>
      </w:r>
      <w:r w:rsidR="0040252D" w:rsidRPr="0040252D">
        <w:rPr>
          <w:bCs/>
        </w:rPr>
        <w:t>persistance</w:t>
      </w:r>
      <w:r w:rsidR="0040252D" w:rsidRPr="0040252D">
        <w:t xml:space="preserve"> des </w:t>
      </w:r>
      <w:r w:rsidR="0040252D" w:rsidRPr="0040252D">
        <w:rPr>
          <w:bCs/>
        </w:rPr>
        <w:t>problèmes</w:t>
      </w:r>
      <w:r w:rsidR="0040252D" w:rsidRPr="0040252D">
        <w:t xml:space="preserve"> de sécurité</w:t>
      </w:r>
      <w:r w:rsidR="0040252D" w:rsidRPr="0040252D">
        <w:rPr>
          <w:bCs/>
        </w:rPr>
        <w:t>, d’extrémisme violent et de violence intercommunautaire en dépit d’une légère amélioration de la situation</w:t>
      </w:r>
      <w:r w:rsidR="0040252D" w:rsidRPr="0040252D">
        <w:t xml:space="preserve">, principalement dans le nord et le centre du pays, </w:t>
      </w:r>
      <w:r w:rsidR="0040252D" w:rsidRPr="0040252D">
        <w:rPr>
          <w:bCs/>
        </w:rPr>
        <w:t xml:space="preserve">ainsi que </w:t>
      </w:r>
      <w:r w:rsidR="00853E7B">
        <w:rPr>
          <w:bCs/>
        </w:rPr>
        <w:t xml:space="preserve">par </w:t>
      </w:r>
      <w:r w:rsidR="0040252D" w:rsidRPr="0040252D">
        <w:rPr>
          <w:bCs/>
        </w:rPr>
        <w:t>la poursuite</w:t>
      </w:r>
      <w:r w:rsidR="0040252D" w:rsidRPr="0040252D">
        <w:t xml:space="preserve"> des activités terroristes, la prolifération des armes légères, le trafic de drogues et de migrants, la traite des êtres humains et d’autres formes de criminalité transnationale organisée,</w:t>
      </w:r>
    </w:p>
    <w:p w14:paraId="1A427AE7" w14:textId="7286984F" w:rsidR="0040252D" w:rsidRPr="0040252D" w:rsidRDefault="0040252D" w:rsidP="0040252D">
      <w:pPr>
        <w:pStyle w:val="SingleTxtG"/>
        <w:ind w:firstLine="567"/>
      </w:pPr>
      <w:r w:rsidRPr="0040252D">
        <w:rPr>
          <w:i/>
        </w:rPr>
        <w:t>Demeurant préoccupé</w:t>
      </w:r>
      <w:r w:rsidR="001E4B36">
        <w:rPr>
          <w:i/>
        </w:rPr>
        <w:t xml:space="preserve"> également</w:t>
      </w:r>
      <w:r w:rsidRPr="0040252D">
        <w:rPr>
          <w:i/>
        </w:rPr>
        <w:t xml:space="preserve"> </w:t>
      </w:r>
      <w:r w:rsidRPr="0040252D">
        <w:t>par la poursuite des violations des droits de l’homme et des atteintes à ces droits, incluant des exactions, des violences sexuelles liées au conflit, des violations commises à l’encontre des enfants et d’autres groupes vulnérables, et des violations du droit international humanitaire</w:t>
      </w:r>
      <w:r w:rsidRPr="0040252D">
        <w:rPr>
          <w:lang w:val="fr-FR"/>
        </w:rPr>
        <w:t>,</w:t>
      </w:r>
    </w:p>
    <w:p w14:paraId="03719F5A" w14:textId="7911D1A9" w:rsidR="0040252D" w:rsidRPr="0040252D" w:rsidRDefault="0040252D" w:rsidP="0040252D">
      <w:pPr>
        <w:pStyle w:val="SingleTxtG"/>
        <w:ind w:firstLine="567"/>
      </w:pPr>
      <w:r w:rsidRPr="0040252D">
        <w:rPr>
          <w:i/>
        </w:rPr>
        <w:t xml:space="preserve">Demeurant préoccupé </w:t>
      </w:r>
      <w:r w:rsidR="001E4B36">
        <w:rPr>
          <w:i/>
        </w:rPr>
        <w:t>en outre</w:t>
      </w:r>
      <w:r w:rsidRPr="0040252D">
        <w:rPr>
          <w:i/>
        </w:rPr>
        <w:t xml:space="preserve"> </w:t>
      </w:r>
      <w:r w:rsidRPr="0040252D">
        <w:t xml:space="preserve">par la crise alimentaire et </w:t>
      </w:r>
      <w:r w:rsidRPr="0040252D">
        <w:rPr>
          <w:bCs/>
        </w:rPr>
        <w:t xml:space="preserve">la situation de besoin d’assistance </w:t>
      </w:r>
      <w:r w:rsidRPr="0040252D">
        <w:t>humanitaire</w:t>
      </w:r>
      <w:r w:rsidRPr="0040252D">
        <w:rPr>
          <w:bCs/>
        </w:rPr>
        <w:t xml:space="preserve">, rendue plus pressante par la crise sanitaire </w:t>
      </w:r>
      <w:r w:rsidR="00586F89">
        <w:rPr>
          <w:bCs/>
        </w:rPr>
        <w:t>liée à la pandémie de maladie à coronavirus</w:t>
      </w:r>
      <w:r w:rsidRPr="0040252D">
        <w:rPr>
          <w:bCs/>
        </w:rPr>
        <w:t xml:space="preserve"> </w:t>
      </w:r>
      <w:r w:rsidR="00586F89">
        <w:rPr>
          <w:bCs/>
        </w:rPr>
        <w:t>(COVID</w:t>
      </w:r>
      <w:r w:rsidRPr="0040252D">
        <w:rPr>
          <w:bCs/>
        </w:rPr>
        <w:t>-19</w:t>
      </w:r>
      <w:r w:rsidR="00586F89">
        <w:rPr>
          <w:bCs/>
        </w:rPr>
        <w:t>)</w:t>
      </w:r>
      <w:r w:rsidRPr="0040252D">
        <w:rPr>
          <w:bCs/>
        </w:rPr>
        <w:t xml:space="preserve">, des </w:t>
      </w:r>
      <w:r w:rsidRPr="0040252D">
        <w:t>populations touchées par le conflit, y compris</w:t>
      </w:r>
      <w:r w:rsidRPr="0040252D">
        <w:rPr>
          <w:bCs/>
        </w:rPr>
        <w:t xml:space="preserve"> les réfugiés et</w:t>
      </w:r>
      <w:r w:rsidRPr="0040252D">
        <w:t xml:space="preserve"> les personnes déplacées au sein de leur propre pays, et par l’insécurité qui continue d’entraver l’accès humanitaire, soulignant que la situation humanitaire</w:t>
      </w:r>
      <w:r w:rsidRPr="0040252D">
        <w:rPr>
          <w:bCs/>
        </w:rPr>
        <w:t xml:space="preserve"> difficile</w:t>
      </w:r>
      <w:r w:rsidRPr="0040252D">
        <w:t xml:space="preserve"> a un impact disproportionné sur les femmes et les filles, et condamnant les attaques dirigées contre l</w:t>
      </w:r>
      <w:bookmarkStart w:id="0" w:name="_Hlk2090994"/>
      <w:r w:rsidRPr="0040252D">
        <w:t>e personnel humanitaire,</w:t>
      </w:r>
    </w:p>
    <w:p w14:paraId="38FAF259" w14:textId="324A8F57" w:rsidR="0040252D" w:rsidRPr="0040252D" w:rsidRDefault="0040252D" w:rsidP="0040252D">
      <w:pPr>
        <w:pStyle w:val="SingleTxtG"/>
        <w:ind w:firstLine="567"/>
      </w:pPr>
      <w:r w:rsidRPr="0040252D">
        <w:rPr>
          <w:i/>
        </w:rPr>
        <w:t>Rappelant</w:t>
      </w:r>
      <w:r w:rsidRPr="0040252D">
        <w:t xml:space="preserve"> à cet égard qu’il importe que tous les auteurs de tels actes soient amenés à en répondre, rappelant également qu’à la demande des autorités de transition maliennes, la Procureure de la Cour pénale internationale a, le 16 janvier 2013, ouvert une enquête sur les allégations de crimes qui auraient été commis sur le territoire du Mali depuis janvier 2012,</w:t>
      </w:r>
    </w:p>
    <w:bookmarkEnd w:id="0"/>
    <w:p w14:paraId="0E301215" w14:textId="7169D35F" w:rsidR="0040252D" w:rsidRPr="0040252D" w:rsidRDefault="0040252D" w:rsidP="0040252D">
      <w:pPr>
        <w:pStyle w:val="SingleTxtG"/>
        <w:ind w:firstLine="567"/>
      </w:pPr>
      <w:r w:rsidRPr="0040252D">
        <w:rPr>
          <w:i/>
        </w:rPr>
        <w:t xml:space="preserve">Notant </w:t>
      </w:r>
      <w:r w:rsidRPr="0040252D">
        <w:t>l’attachement exprimé par les autorités de transition maliennes et les groupes signataires à l’Accord pour la paix et la réconciliation au Mali, s’inquiétant des retards pris dans le processus de paix, et encourageant l’ensemble des parties à poursuivre le dialogue dans le cadre du Comité de suivi de l’Accord et à s’acquitter des obligations que leur impose l’Accord,</w:t>
      </w:r>
    </w:p>
    <w:p w14:paraId="6532699F" w14:textId="03DECA64" w:rsidR="0040252D" w:rsidRPr="0040252D" w:rsidRDefault="0040252D" w:rsidP="0040252D">
      <w:pPr>
        <w:pStyle w:val="SingleTxtG"/>
        <w:ind w:firstLine="567"/>
      </w:pPr>
      <w:r w:rsidRPr="0040252D">
        <w:rPr>
          <w:bCs/>
          <w:i/>
        </w:rPr>
        <w:t xml:space="preserve">Appelant </w:t>
      </w:r>
      <w:r w:rsidRPr="0040252D">
        <w:rPr>
          <w:bCs/>
          <w:iCs/>
        </w:rPr>
        <w:t>à</w:t>
      </w:r>
      <w:r w:rsidRPr="0040252D">
        <w:t xml:space="preserve"> la</w:t>
      </w:r>
      <w:r w:rsidRPr="0040252D">
        <w:rPr>
          <w:i/>
        </w:rPr>
        <w:t xml:space="preserve"> </w:t>
      </w:r>
      <w:r w:rsidRPr="0040252D">
        <w:t xml:space="preserve">redynamisation du processus de paix avec la tenue d’une </w:t>
      </w:r>
      <w:r w:rsidRPr="0040252D">
        <w:rPr>
          <w:bCs/>
          <w:iCs/>
        </w:rPr>
        <w:t>prochaine réunion</w:t>
      </w:r>
      <w:r w:rsidRPr="0040252D">
        <w:t xml:space="preserve"> du Comité de suivi de l’Accord</w:t>
      </w:r>
      <w:r w:rsidRPr="0040252D">
        <w:rPr>
          <w:bCs/>
          <w:iCs/>
        </w:rPr>
        <w:t xml:space="preserve"> dans les meilleurs délais</w:t>
      </w:r>
      <w:r w:rsidRPr="0040252D">
        <w:t>,</w:t>
      </w:r>
    </w:p>
    <w:p w14:paraId="5A0AE93A" w14:textId="5F8CE548" w:rsidR="0040252D" w:rsidRPr="0040252D" w:rsidRDefault="0040252D" w:rsidP="0040252D">
      <w:pPr>
        <w:pStyle w:val="SingleTxtG"/>
        <w:ind w:firstLine="567"/>
      </w:pPr>
      <w:r w:rsidRPr="0040252D">
        <w:rPr>
          <w:i/>
          <w:lang w:val="fr-FR"/>
        </w:rPr>
        <w:t xml:space="preserve">Notant avec satisfaction </w:t>
      </w:r>
      <w:r w:rsidRPr="0040252D">
        <w:rPr>
          <w:bCs/>
          <w:iCs/>
          <w:lang w:val="fr-FR"/>
        </w:rPr>
        <w:t>l’engagement pris par les autorités de transition maliennes d’augmenter le</w:t>
      </w:r>
      <w:r w:rsidRPr="0040252D">
        <w:rPr>
          <w:lang w:val="fr-FR"/>
        </w:rPr>
        <w:t xml:space="preserve"> nombre de femmes participant aux travaux du Comité de suivi de l’Accord</w:t>
      </w:r>
      <w:r w:rsidR="00DA27C5">
        <w:rPr>
          <w:lang w:val="fr-FR"/>
        </w:rPr>
        <w:t>,</w:t>
      </w:r>
      <w:r w:rsidRPr="0040252D">
        <w:rPr>
          <w:lang w:val="fr-FR"/>
        </w:rPr>
        <w:t xml:space="preserve"> </w:t>
      </w:r>
      <w:r w:rsidRPr="00BD453E">
        <w:rPr>
          <w:bCs/>
          <w:lang w:val="fr-FR"/>
        </w:rPr>
        <w:t>encourageant</w:t>
      </w:r>
      <w:r w:rsidRPr="0040252D">
        <w:rPr>
          <w:bCs/>
          <w:iCs/>
          <w:lang w:val="fr-FR"/>
        </w:rPr>
        <w:t xml:space="preserve"> les parties maliennes à assurer la pleine</w:t>
      </w:r>
      <w:r w:rsidRPr="0040252D">
        <w:rPr>
          <w:lang w:val="fr-FR"/>
        </w:rPr>
        <w:t xml:space="preserve"> participation des femmes</w:t>
      </w:r>
      <w:r w:rsidRPr="0040252D">
        <w:rPr>
          <w:bCs/>
          <w:iCs/>
          <w:lang w:val="fr-FR"/>
        </w:rPr>
        <w:t xml:space="preserve"> dans tous les mécanismes du Comité de suivi de l’Accord</w:t>
      </w:r>
      <w:r w:rsidRPr="0040252D">
        <w:rPr>
          <w:lang w:val="fr-FR"/>
        </w:rPr>
        <w:t xml:space="preserve">, notamment au sein des sous-commissions, </w:t>
      </w:r>
      <w:r w:rsidRPr="0040252D">
        <w:rPr>
          <w:bCs/>
          <w:iCs/>
          <w:lang w:val="fr-FR"/>
        </w:rPr>
        <w:t xml:space="preserve">et </w:t>
      </w:r>
      <w:r w:rsidRPr="00BD453E">
        <w:rPr>
          <w:bCs/>
          <w:lang w:val="fr-FR"/>
        </w:rPr>
        <w:t>notant avec satisfaction</w:t>
      </w:r>
      <w:r w:rsidRPr="0040252D">
        <w:rPr>
          <w:bCs/>
          <w:lang w:val="fr-FR"/>
        </w:rPr>
        <w:t xml:space="preserve"> </w:t>
      </w:r>
      <w:r w:rsidRPr="0040252D">
        <w:rPr>
          <w:lang w:val="fr-FR"/>
        </w:rPr>
        <w:t>l’adoption du nouveau Plan d’action national sur la mise en œuvre pour la période</w:t>
      </w:r>
      <w:r w:rsidRPr="0040252D">
        <w:rPr>
          <w:bCs/>
          <w:lang w:val="fr-FR"/>
        </w:rPr>
        <w:t xml:space="preserve"> </w:t>
      </w:r>
      <w:r w:rsidRPr="0040252D">
        <w:rPr>
          <w:lang w:val="fr-FR"/>
        </w:rPr>
        <w:t>2019-2023 de la résolution 1325 (2000) du Conseil de sécurité, en date du 31</w:t>
      </w:r>
      <w:r w:rsidR="00B403DB">
        <w:rPr>
          <w:bCs/>
          <w:lang w:val="fr-FR"/>
        </w:rPr>
        <w:t> </w:t>
      </w:r>
      <w:r w:rsidRPr="0040252D">
        <w:rPr>
          <w:lang w:val="fr-FR"/>
        </w:rPr>
        <w:t>octobre</w:t>
      </w:r>
      <w:r w:rsidRPr="0040252D">
        <w:rPr>
          <w:bCs/>
          <w:lang w:val="fr-FR"/>
        </w:rPr>
        <w:t xml:space="preserve"> </w:t>
      </w:r>
      <w:r w:rsidRPr="0040252D">
        <w:rPr>
          <w:lang w:val="fr-FR"/>
        </w:rPr>
        <w:t>2000,</w:t>
      </w:r>
    </w:p>
    <w:p w14:paraId="6FA2488F" w14:textId="63447566" w:rsidR="0040252D" w:rsidRPr="0040252D" w:rsidRDefault="0040252D" w:rsidP="0040252D">
      <w:pPr>
        <w:pStyle w:val="SingleTxtG"/>
        <w:ind w:firstLine="567"/>
      </w:pPr>
      <w:r w:rsidRPr="0040252D">
        <w:rPr>
          <w:bCs/>
          <w:i/>
        </w:rPr>
        <w:t>Constatant</w:t>
      </w:r>
      <w:r w:rsidRPr="0040252D">
        <w:rPr>
          <w:i/>
        </w:rPr>
        <w:t xml:space="preserve"> </w:t>
      </w:r>
      <w:r w:rsidRPr="0040252D">
        <w:t xml:space="preserve">des </w:t>
      </w:r>
      <w:r w:rsidRPr="0040252D">
        <w:rPr>
          <w:bCs/>
        </w:rPr>
        <w:t>lenteurs</w:t>
      </w:r>
      <w:r w:rsidRPr="0040252D">
        <w:t xml:space="preserve"> dans le cadre du processus de désarmement, de démobilisation et de réintégration, </w:t>
      </w:r>
      <w:r w:rsidRPr="0040252D">
        <w:rPr>
          <w:bCs/>
        </w:rPr>
        <w:t xml:space="preserve">malgré les avancées constatées en 2021 avec </w:t>
      </w:r>
      <w:r w:rsidRPr="0040252D">
        <w:t xml:space="preserve">l’intégration effective de </w:t>
      </w:r>
      <w:r w:rsidRPr="0040252D">
        <w:rPr>
          <w:bCs/>
          <w:iCs/>
        </w:rPr>
        <w:t>1</w:t>
      </w:r>
      <w:r w:rsidR="008A4F6C">
        <w:rPr>
          <w:bCs/>
          <w:iCs/>
        </w:rPr>
        <w:t> </w:t>
      </w:r>
      <w:r w:rsidRPr="0040252D">
        <w:rPr>
          <w:bCs/>
          <w:iCs/>
        </w:rPr>
        <w:t>764</w:t>
      </w:r>
      <w:r w:rsidRPr="0040252D">
        <w:rPr>
          <w:i/>
        </w:rPr>
        <w:t xml:space="preserve"> </w:t>
      </w:r>
      <w:r w:rsidRPr="0040252D">
        <w:t>anciens membres de groupes armés au sein des Forces de défense et de sécurité maliennes</w:t>
      </w:r>
      <w:r w:rsidRPr="0040252D">
        <w:rPr>
          <w:bCs/>
          <w:i/>
        </w:rPr>
        <w:t xml:space="preserve"> </w:t>
      </w:r>
      <w:r w:rsidRPr="0040252D">
        <w:rPr>
          <w:bCs/>
          <w:iCs/>
        </w:rPr>
        <w:t>ainsi que la réintégration de 878 militaires déserteurs, se félicitant du lancement</w:t>
      </w:r>
      <w:r w:rsidRPr="0040252D">
        <w:t xml:space="preserve"> du </w:t>
      </w:r>
      <w:r w:rsidRPr="0040252D">
        <w:rPr>
          <w:bCs/>
          <w:iCs/>
        </w:rPr>
        <w:t>recrutement spécial de 2</w:t>
      </w:r>
      <w:r w:rsidR="0039302A">
        <w:rPr>
          <w:bCs/>
          <w:iCs/>
        </w:rPr>
        <w:t> </w:t>
      </w:r>
      <w:r w:rsidRPr="0040252D">
        <w:rPr>
          <w:bCs/>
          <w:iCs/>
        </w:rPr>
        <w:t xml:space="preserve">000 ex-combattants du centre du pays, </w:t>
      </w:r>
      <w:r w:rsidRPr="0040252D">
        <w:rPr>
          <w:bCs/>
        </w:rPr>
        <w:t>et appelant les autorités à intensifier leurs efforts</w:t>
      </w:r>
      <w:r w:rsidRPr="0040252D">
        <w:t xml:space="preserve"> en </w:t>
      </w:r>
      <w:r w:rsidRPr="0040252D">
        <w:rPr>
          <w:bCs/>
        </w:rPr>
        <w:t>la matière pour permettre l’accélération du processus, notamment</w:t>
      </w:r>
      <w:r w:rsidRPr="0040252D">
        <w:t xml:space="preserve"> à </w:t>
      </w:r>
      <w:r w:rsidRPr="0040252D">
        <w:rPr>
          <w:bCs/>
        </w:rPr>
        <w:t xml:space="preserve">travers </w:t>
      </w:r>
      <w:r w:rsidRPr="0040252D">
        <w:rPr>
          <w:bCs/>
          <w:iCs/>
        </w:rPr>
        <w:t xml:space="preserve">l’organisation d’une réunion décisionnelle relative aux questions de commandement et de grade </w:t>
      </w:r>
      <w:r w:rsidR="005308BA">
        <w:rPr>
          <w:bCs/>
          <w:iCs/>
        </w:rPr>
        <w:t xml:space="preserve">associées au </w:t>
      </w:r>
      <w:r w:rsidR="005308BA" w:rsidRPr="0040252D">
        <w:t>processus de désarmement, de démobilisation et de réintégration</w:t>
      </w:r>
      <w:r w:rsidRPr="0040252D">
        <w:rPr>
          <w:bCs/>
          <w:iCs/>
        </w:rPr>
        <w:t xml:space="preserve"> global</w:t>
      </w:r>
      <w:r w:rsidRPr="0040252D">
        <w:t>,</w:t>
      </w:r>
    </w:p>
    <w:p w14:paraId="3FC684C5" w14:textId="5AE5A0B9" w:rsidR="0040252D" w:rsidRPr="0040252D" w:rsidRDefault="0040252D" w:rsidP="0040252D">
      <w:pPr>
        <w:pStyle w:val="SingleTxtG"/>
        <w:ind w:firstLine="567"/>
      </w:pPr>
      <w:bookmarkStart w:id="1" w:name="_Hlk98796534"/>
      <w:r w:rsidRPr="0040252D">
        <w:rPr>
          <w:bCs/>
          <w:i/>
        </w:rPr>
        <w:t>Rappelant</w:t>
      </w:r>
      <w:r w:rsidRPr="0040252D">
        <w:rPr>
          <w:i/>
        </w:rPr>
        <w:t xml:space="preserve"> </w:t>
      </w:r>
      <w:r w:rsidRPr="0040252D">
        <w:t>la résolution 2374 (2017) du Conseil de sécurité en date du 5</w:t>
      </w:r>
      <w:r w:rsidR="00405687">
        <w:t> </w:t>
      </w:r>
      <w:r w:rsidRPr="0040252D">
        <w:t>septembre</w:t>
      </w:r>
      <w:r w:rsidR="00405687">
        <w:t> </w:t>
      </w:r>
      <w:r w:rsidRPr="0040252D">
        <w:t xml:space="preserve">2017, qui établit un régime de sanctions </w:t>
      </w:r>
      <w:r w:rsidRPr="0040252D">
        <w:rPr>
          <w:bCs/>
        </w:rPr>
        <w:t xml:space="preserve">ciblées </w:t>
      </w:r>
      <w:r w:rsidRPr="0040252D">
        <w:t xml:space="preserve">visant notamment ceux qui entravent la mise en œuvre de l’Accord pour la paix et la réconciliation au Mali, ainsi que ceux qui planifient, dirigent ou commettent des violations des droits de l’homme ou des atteintes à ces droits, ou des violations du droit international humanitaire, y compris </w:t>
      </w:r>
      <w:r w:rsidRPr="0040252D">
        <w:rPr>
          <w:bCs/>
        </w:rPr>
        <w:t>celles dirigées</w:t>
      </w:r>
      <w:r w:rsidRPr="0040252D">
        <w:t xml:space="preserve"> contre les populations civiles, dont les femmes et les enfants, et notant l’adoption par le Conseil de sécurité de deux trains de sanctions </w:t>
      </w:r>
      <w:r w:rsidRPr="0040252D">
        <w:rPr>
          <w:bCs/>
        </w:rPr>
        <w:t xml:space="preserve">individuelles </w:t>
      </w:r>
      <w:r w:rsidRPr="0040252D">
        <w:t>en décembre 2018 et en juillet 2019,</w:t>
      </w:r>
      <w:bookmarkEnd w:id="1"/>
    </w:p>
    <w:p w14:paraId="3DE045EB" w14:textId="4EEDAA6A" w:rsidR="0040252D" w:rsidRPr="0040252D" w:rsidRDefault="0040252D" w:rsidP="0040252D">
      <w:pPr>
        <w:pStyle w:val="SingleTxtG"/>
        <w:ind w:firstLine="567"/>
      </w:pPr>
      <w:r w:rsidRPr="0040252D">
        <w:rPr>
          <w:i/>
        </w:rPr>
        <w:lastRenderedPageBreak/>
        <w:t>Notant</w:t>
      </w:r>
      <w:r w:rsidRPr="0040252D">
        <w:t xml:space="preserve"> la volonté du Gouvernement et du peuple malien, exprimée en diverses circonstances, notamment lors de la Conférence d’entente nationale</w:t>
      </w:r>
      <w:r w:rsidRPr="0040252D">
        <w:rPr>
          <w:bCs/>
        </w:rPr>
        <w:t xml:space="preserve"> suivie de </w:t>
      </w:r>
      <w:r w:rsidRPr="0040252D">
        <w:rPr>
          <w:bCs/>
          <w:iCs/>
        </w:rPr>
        <w:t>l’adoption d’une loi d’entente nationale</w:t>
      </w:r>
      <w:r w:rsidRPr="0040252D">
        <w:t>, du dialogue national inclusif</w:t>
      </w:r>
      <w:r w:rsidRPr="0040252D">
        <w:rPr>
          <w:bCs/>
        </w:rPr>
        <w:t>,</w:t>
      </w:r>
      <w:r w:rsidRPr="0040252D">
        <w:t xml:space="preserve"> des concertations nationales</w:t>
      </w:r>
      <w:r w:rsidRPr="0040252D">
        <w:rPr>
          <w:bCs/>
        </w:rPr>
        <w:t xml:space="preserve"> </w:t>
      </w:r>
      <w:r w:rsidRPr="0040252D">
        <w:rPr>
          <w:bCs/>
          <w:iCs/>
        </w:rPr>
        <w:t>et des assises nationales de la refondation</w:t>
      </w:r>
      <w:r w:rsidRPr="0040252D">
        <w:t>, de privilégier le dialogue et la réconciliation dans le règlement de la crise,</w:t>
      </w:r>
    </w:p>
    <w:p w14:paraId="419F5D36" w14:textId="51D13180" w:rsidR="0040252D" w:rsidRPr="0040252D" w:rsidRDefault="0040252D" w:rsidP="0040252D">
      <w:pPr>
        <w:pStyle w:val="SingleTxtG"/>
        <w:ind w:firstLine="567"/>
      </w:pPr>
      <w:r w:rsidRPr="0040252D">
        <w:rPr>
          <w:i/>
        </w:rPr>
        <w:t xml:space="preserve">Appelant </w:t>
      </w:r>
      <w:r w:rsidRPr="0040252D">
        <w:t>les autorités de transition maliennes à intensifier leurs efforts pour rétablir la primauté du droit et lutter efficacement contre l’impunité,</w:t>
      </w:r>
    </w:p>
    <w:p w14:paraId="19C7B823" w14:textId="6164DA6F" w:rsidR="0040252D" w:rsidRPr="0040252D" w:rsidRDefault="0040252D" w:rsidP="0040252D">
      <w:pPr>
        <w:pStyle w:val="SingleTxtG"/>
        <w:ind w:firstLine="567"/>
      </w:pPr>
      <w:r w:rsidRPr="0040252D">
        <w:rPr>
          <w:i/>
        </w:rPr>
        <w:t xml:space="preserve">Saluant </w:t>
      </w:r>
      <w:r w:rsidRPr="0040252D">
        <w:t>la coopération du Mali avec les mécanismes internationaux des droits de l’homme, notamment sa participation au troisième cycle de l’Examen périodique universel en 2018, ainsi que l’ouverture d’invitations à l’endroit de titulaires de mandat au titre des procédures spéciales du Conseil, saluant également l’endossement par le Mali de l’Appel à l’action humanitaire,</w:t>
      </w:r>
    </w:p>
    <w:p w14:paraId="1DEFD030" w14:textId="6A407B15" w:rsidR="0040252D" w:rsidRPr="0040252D" w:rsidRDefault="0040252D" w:rsidP="0040252D">
      <w:pPr>
        <w:pStyle w:val="SingleTxtG"/>
        <w:ind w:firstLine="567"/>
      </w:pPr>
      <w:r w:rsidRPr="0040252D">
        <w:rPr>
          <w:i/>
        </w:rPr>
        <w:t xml:space="preserve">Prenant note </w:t>
      </w:r>
      <w:r w:rsidRPr="0040252D">
        <w:t>du dernier rapport du Secrétaire général sur la situation au Mali</w:t>
      </w:r>
      <w:r w:rsidR="000127A4">
        <w:rPr>
          <w:rStyle w:val="Appelnotedebasdep"/>
        </w:rPr>
        <w:footnoteReference w:id="3"/>
      </w:r>
      <w:r w:rsidRPr="0040252D">
        <w:t xml:space="preserve">, dans lequel il se dit préoccupé par la </w:t>
      </w:r>
      <w:r w:rsidRPr="0040252D">
        <w:rPr>
          <w:bCs/>
          <w:iCs/>
        </w:rPr>
        <w:t>persistance des problèmes de</w:t>
      </w:r>
      <w:r w:rsidRPr="0040252D">
        <w:t xml:space="preserve"> sécurité, au nord et au centre du Mali, ainsi que de la situation humanitaire et des violations des droits de l’homme,</w:t>
      </w:r>
      <w:r w:rsidRPr="0040252D">
        <w:rPr>
          <w:bCs/>
          <w:iCs/>
        </w:rPr>
        <w:t xml:space="preserve"> notamment à l’encontre des enfants et des femmes, </w:t>
      </w:r>
      <w:r w:rsidRPr="0040252D">
        <w:t>appelant les autorités de transition maliennes à prendre toutes les mesures à cet égard, et indiquant que la mise en œuvre de l’Accord pour la paix et la réconciliation au Mali et la consolidation des mécanismes et des institutions pour la protection des droits de l’homme dans le pays constituent des priorités pour la transition en place,</w:t>
      </w:r>
    </w:p>
    <w:p w14:paraId="14128121" w14:textId="1EA4E755" w:rsidR="0040252D" w:rsidRPr="0040252D" w:rsidRDefault="00D340BA" w:rsidP="0040252D">
      <w:pPr>
        <w:pStyle w:val="SingleTxtG"/>
        <w:ind w:firstLine="567"/>
      </w:pPr>
      <w:r w:rsidRPr="00BD453E">
        <w:rPr>
          <w:i/>
          <w:iCs/>
        </w:rPr>
        <w:t>Rappelant</w:t>
      </w:r>
      <w:r>
        <w:t xml:space="preserve"> les</w:t>
      </w:r>
      <w:r w:rsidR="0040252D" w:rsidRPr="0040252D">
        <w:t xml:space="preserve"> conclusions du Groupe de travail du Conseil de sécurité sur les enfants et les conflits armés concernant la situation au Mali</w:t>
      </w:r>
      <w:r w:rsidR="0055540B">
        <w:rPr>
          <w:rStyle w:val="Appelnotedebasdep"/>
        </w:rPr>
        <w:footnoteReference w:id="4"/>
      </w:r>
      <w:r w:rsidR="0040252D" w:rsidRPr="0040252D">
        <w:rPr>
          <w:bCs/>
          <w:iCs/>
        </w:rPr>
        <w:t>,</w:t>
      </w:r>
    </w:p>
    <w:p w14:paraId="24F0919A" w14:textId="48AB2C62" w:rsidR="0040252D" w:rsidRPr="0040252D" w:rsidRDefault="0040252D" w:rsidP="0040252D">
      <w:pPr>
        <w:pStyle w:val="SingleTxtG"/>
        <w:ind w:firstLine="567"/>
        <w:rPr>
          <w:lang w:val="fr-FR"/>
        </w:rPr>
      </w:pPr>
      <w:r w:rsidRPr="0040252D">
        <w:rPr>
          <w:i/>
        </w:rPr>
        <w:t xml:space="preserve">Saluant </w:t>
      </w:r>
      <w:r w:rsidRPr="0040252D">
        <w:rPr>
          <w:bCs/>
          <w:iCs/>
          <w:lang w:val="fr-FR"/>
        </w:rPr>
        <w:t>l'engagement continu de</w:t>
      </w:r>
      <w:r w:rsidRPr="0040252D">
        <w:rPr>
          <w:lang w:val="fr-FR"/>
        </w:rPr>
        <w:t xml:space="preserve"> </w:t>
      </w:r>
      <w:r w:rsidRPr="0040252D">
        <w:t xml:space="preserve">la Force conjointe du Groupe de cinq pays du Sahel </w:t>
      </w:r>
      <w:r w:rsidRPr="0040252D">
        <w:rPr>
          <w:lang w:val="fr-FR"/>
        </w:rPr>
        <w:t xml:space="preserve">et </w:t>
      </w:r>
      <w:r w:rsidRPr="0040252D">
        <w:rPr>
          <w:bCs/>
          <w:lang w:val="fr-FR"/>
        </w:rPr>
        <w:t xml:space="preserve">du </w:t>
      </w:r>
      <w:r w:rsidRPr="0040252D">
        <w:rPr>
          <w:bCs/>
          <w:iCs/>
          <w:lang w:val="fr-FR"/>
        </w:rPr>
        <w:t>Secrétaire exécutif</w:t>
      </w:r>
      <w:r w:rsidRPr="0040252D">
        <w:rPr>
          <w:bCs/>
          <w:lang w:val="fr-FR"/>
        </w:rPr>
        <w:t xml:space="preserve"> du </w:t>
      </w:r>
      <w:r w:rsidR="00294877" w:rsidRPr="0040252D">
        <w:t>Groupe de cinq pays</w:t>
      </w:r>
      <w:r w:rsidR="005A05A0">
        <w:t xml:space="preserve"> du</w:t>
      </w:r>
      <w:r w:rsidRPr="0040252D">
        <w:rPr>
          <w:bCs/>
          <w:iCs/>
          <w:lang w:val="fr-FR"/>
        </w:rPr>
        <w:t xml:space="preserve"> </w:t>
      </w:r>
      <w:r w:rsidRPr="0040252D">
        <w:rPr>
          <w:bCs/>
          <w:lang w:val="fr-FR"/>
        </w:rPr>
        <w:t xml:space="preserve">Sahel </w:t>
      </w:r>
      <w:r w:rsidR="006E7C51">
        <w:rPr>
          <w:lang w:val="fr-FR"/>
        </w:rPr>
        <w:t>dans la mise</w:t>
      </w:r>
      <w:r w:rsidRPr="0040252D">
        <w:rPr>
          <w:lang w:val="fr-FR"/>
        </w:rPr>
        <w:t xml:space="preserve"> en œuvre </w:t>
      </w:r>
      <w:r w:rsidR="0029519C">
        <w:rPr>
          <w:bCs/>
          <w:iCs/>
          <w:lang w:val="fr-FR"/>
        </w:rPr>
        <w:t>du</w:t>
      </w:r>
      <w:r w:rsidRPr="0040252D">
        <w:rPr>
          <w:lang w:val="fr-FR"/>
        </w:rPr>
        <w:t xml:space="preserve"> Cadre de conformité aux droits de </w:t>
      </w:r>
      <w:r w:rsidRPr="0040252D">
        <w:rPr>
          <w:bCs/>
          <w:iCs/>
          <w:lang w:val="fr-FR"/>
        </w:rPr>
        <w:t>l'homme</w:t>
      </w:r>
      <w:r w:rsidRPr="0040252D">
        <w:rPr>
          <w:lang w:val="fr-FR"/>
        </w:rPr>
        <w:t xml:space="preserve"> et au droit international humanitaire</w:t>
      </w:r>
      <w:r w:rsidRPr="0040252D">
        <w:rPr>
          <w:bCs/>
          <w:iCs/>
          <w:lang w:val="fr-FR"/>
        </w:rPr>
        <w:t xml:space="preserve">, soutenu par le Haut-Commissariat des Nations Unies aux droits de l’homme depuis 2018, avec le soutien financier de </w:t>
      </w:r>
      <w:r w:rsidRPr="0040252D">
        <w:rPr>
          <w:lang w:val="fr-FR"/>
        </w:rPr>
        <w:t xml:space="preserve">l’Union </w:t>
      </w:r>
      <w:r w:rsidR="002837B3">
        <w:rPr>
          <w:bCs/>
          <w:iCs/>
          <w:lang w:val="fr-FR"/>
        </w:rPr>
        <w:t>e</w:t>
      </w:r>
      <w:r w:rsidRPr="0040252D">
        <w:rPr>
          <w:bCs/>
          <w:iCs/>
          <w:lang w:val="fr-FR"/>
        </w:rPr>
        <w:t>uropéenne</w:t>
      </w:r>
      <w:r w:rsidRPr="0040252D">
        <w:rPr>
          <w:lang w:val="fr-FR"/>
        </w:rPr>
        <w:t xml:space="preserve"> et </w:t>
      </w:r>
      <w:r w:rsidR="003E73B8">
        <w:rPr>
          <w:lang w:val="fr-FR"/>
        </w:rPr>
        <w:t xml:space="preserve">de </w:t>
      </w:r>
      <w:r w:rsidRPr="0040252D">
        <w:t>ses</w:t>
      </w:r>
      <w:r w:rsidRPr="0040252D">
        <w:rPr>
          <w:lang w:val="fr-FR"/>
        </w:rPr>
        <w:t xml:space="preserve"> États membres</w:t>
      </w:r>
      <w:r w:rsidR="003E73B8">
        <w:rPr>
          <w:lang w:val="fr-FR"/>
        </w:rPr>
        <w:t>,</w:t>
      </w:r>
      <w:r w:rsidRPr="0040252D">
        <w:rPr>
          <w:lang w:val="fr-FR"/>
        </w:rPr>
        <w:t xml:space="preserve"> et </w:t>
      </w:r>
      <w:r w:rsidRPr="0040252D">
        <w:rPr>
          <w:bCs/>
          <w:iCs/>
          <w:lang w:val="fr-FR"/>
        </w:rPr>
        <w:t>les progrès réalisés jusqu'à présent,</w:t>
      </w:r>
    </w:p>
    <w:p w14:paraId="3C0E86C7" w14:textId="60498A1E" w:rsidR="0040252D" w:rsidRPr="0040252D" w:rsidRDefault="0040252D" w:rsidP="0040252D">
      <w:pPr>
        <w:pStyle w:val="SingleTxtG"/>
        <w:ind w:firstLine="567"/>
      </w:pPr>
      <w:r w:rsidRPr="0040252D">
        <w:t>1.</w:t>
      </w:r>
      <w:r w:rsidRPr="0040252D">
        <w:tab/>
      </w:r>
      <w:r w:rsidRPr="0040252D">
        <w:rPr>
          <w:i/>
        </w:rPr>
        <w:t xml:space="preserve">Condamne fermement </w:t>
      </w:r>
      <w:r w:rsidRPr="0040252D">
        <w:t xml:space="preserve">les violations des droits de l’homme et atteintes à ces droits et les violations du droit international humanitaire, les violations des droits des enfants et atteintes à ces droits, en particulier le recrutement et l’utilisation d’enfants, en violation du droit international, ainsi que les exécutions </w:t>
      </w:r>
      <w:proofErr w:type="spellStart"/>
      <w:r w:rsidRPr="0040252D">
        <w:t>extrajudiciaires</w:t>
      </w:r>
      <w:proofErr w:type="spellEnd"/>
      <w:r w:rsidRPr="0040252D">
        <w:t xml:space="preserve"> et sommaires, les disparitions forcées, les arrestations et détentions arbitraires, les </w:t>
      </w:r>
      <w:r w:rsidRPr="0040252D">
        <w:rPr>
          <w:bCs/>
          <w:iCs/>
        </w:rPr>
        <w:t xml:space="preserve">actes de torture et les </w:t>
      </w:r>
      <w:r w:rsidRPr="0040252D">
        <w:t xml:space="preserve">mauvais traitements infligés aux </w:t>
      </w:r>
      <w:r w:rsidRPr="0040252D">
        <w:rPr>
          <w:bCs/>
          <w:iCs/>
        </w:rPr>
        <w:t>personnes en détention</w:t>
      </w:r>
      <w:r w:rsidRPr="0040252D">
        <w:t>, le meurtre, la mutilation, ainsi que les attaques dirigées contre les écoles et les hôpitaux ;</w:t>
      </w:r>
    </w:p>
    <w:p w14:paraId="14556539" w14:textId="621668F0" w:rsidR="0040252D" w:rsidRPr="0040252D" w:rsidRDefault="0040252D" w:rsidP="0040252D">
      <w:pPr>
        <w:pStyle w:val="SingleTxtG"/>
        <w:ind w:firstLine="567"/>
      </w:pPr>
      <w:r w:rsidRPr="0040252D">
        <w:rPr>
          <w:bCs/>
        </w:rPr>
        <w:t>2.</w:t>
      </w:r>
      <w:r>
        <w:rPr>
          <w:bCs/>
        </w:rPr>
        <w:tab/>
      </w:r>
      <w:r w:rsidRPr="00BD453E">
        <w:rPr>
          <w:bCs/>
          <w:i/>
          <w:iCs/>
        </w:rPr>
        <w:t>Condamne fermement</w:t>
      </w:r>
      <w:r w:rsidR="002E4CB3" w:rsidRPr="00BD453E">
        <w:rPr>
          <w:bCs/>
          <w:i/>
          <w:iCs/>
        </w:rPr>
        <w:t xml:space="preserve"> également</w:t>
      </w:r>
      <w:r w:rsidRPr="0040252D">
        <w:rPr>
          <w:bCs/>
        </w:rPr>
        <w:t xml:space="preserve"> les violations des droits de l’homme</w:t>
      </w:r>
      <w:r w:rsidR="00C131CE">
        <w:rPr>
          <w:bCs/>
        </w:rPr>
        <w:t>,</w:t>
      </w:r>
      <w:r w:rsidRPr="0040252D">
        <w:rPr>
          <w:bCs/>
        </w:rPr>
        <w:t xml:space="preserve"> dont celles impliquant les violations des droits des femmes et atteintes à ces droits, y compris la violence sexuelle ou basée sur le genre</w:t>
      </w:r>
      <w:r w:rsidR="00205F89">
        <w:rPr>
          <w:bCs/>
        </w:rPr>
        <w:t>,</w:t>
      </w:r>
      <w:r w:rsidRPr="0040252D">
        <w:rPr>
          <w:bCs/>
        </w:rPr>
        <w:t xml:space="preserve"> et salue la signature en mars 2019 du Communiqué conjoint entre l</w:t>
      </w:r>
      <w:r w:rsidR="00776D0A">
        <w:rPr>
          <w:bCs/>
        </w:rPr>
        <w:t>’Organisation d</w:t>
      </w:r>
      <w:r w:rsidRPr="0040252D">
        <w:rPr>
          <w:bCs/>
        </w:rPr>
        <w:t xml:space="preserve">es Nations Unies </w:t>
      </w:r>
      <w:r w:rsidR="00776D0A">
        <w:rPr>
          <w:bCs/>
        </w:rPr>
        <w:t xml:space="preserve">et le Mali </w:t>
      </w:r>
      <w:r w:rsidRPr="0040252D">
        <w:rPr>
          <w:bCs/>
        </w:rPr>
        <w:t xml:space="preserve">en matière de prévention de </w:t>
      </w:r>
      <w:r w:rsidR="00D2069E">
        <w:rPr>
          <w:bCs/>
        </w:rPr>
        <w:t xml:space="preserve">la </w:t>
      </w:r>
      <w:r w:rsidRPr="0040252D">
        <w:rPr>
          <w:bCs/>
        </w:rPr>
        <w:t>violence sexuelle dans le contexte du conflit</w:t>
      </w:r>
      <w:r>
        <w:rPr>
          <w:bCs/>
        </w:rPr>
        <w:t> ;</w:t>
      </w:r>
    </w:p>
    <w:p w14:paraId="2B1908E3" w14:textId="77777777" w:rsidR="0040252D" w:rsidRPr="0040252D" w:rsidRDefault="0040252D" w:rsidP="0040252D">
      <w:pPr>
        <w:pStyle w:val="SingleTxtG"/>
        <w:ind w:firstLine="567"/>
      </w:pPr>
      <w:r w:rsidRPr="0040252D">
        <w:rPr>
          <w:bCs/>
        </w:rPr>
        <w:t>3</w:t>
      </w:r>
      <w:r w:rsidRPr="0040252D">
        <w:t>.</w:t>
      </w:r>
      <w:r w:rsidRPr="0040252D">
        <w:tab/>
      </w:r>
      <w:r w:rsidRPr="0040252D">
        <w:rPr>
          <w:i/>
        </w:rPr>
        <w:t xml:space="preserve">Demande </w:t>
      </w:r>
      <w:r w:rsidRPr="0040252D">
        <w:t>à toutes les parties de respecter le caractère civil des écoles en tant que telles, conformément au droit international humanitaire, et de cesser de détenir des enfants pour atteinte à la sécurité nationale en violation du droit international applicable, exhorte toutes les parties à mettre fin à ces violations et atteintes, et à s’acquitter des obligations que leur impose le droit international applicable, y compris le droit international des droits de l’homme et le droit international humanitaire, salue à cet égard l’endossement par les autorités maliennes de la Déclaration sur la sécurité dans les écoles, en février 2019, et les encourage à y donner suite, notamment en dressant une liste des écoles fermées en raison de menaces directes ou de l’insécurité ;</w:t>
      </w:r>
    </w:p>
    <w:p w14:paraId="7A76A362" w14:textId="77777777" w:rsidR="0040252D" w:rsidRPr="0040252D" w:rsidRDefault="0040252D" w:rsidP="0040252D">
      <w:pPr>
        <w:pStyle w:val="SingleTxtG"/>
        <w:ind w:firstLine="567"/>
      </w:pPr>
      <w:r w:rsidRPr="0040252D">
        <w:rPr>
          <w:bCs/>
        </w:rPr>
        <w:t>4</w:t>
      </w:r>
      <w:r w:rsidRPr="0040252D">
        <w:t>.</w:t>
      </w:r>
      <w:r w:rsidRPr="0040252D">
        <w:tab/>
      </w:r>
      <w:r w:rsidRPr="0040252D">
        <w:rPr>
          <w:i/>
        </w:rPr>
        <w:t>Rappelle</w:t>
      </w:r>
      <w:r w:rsidRPr="00BD453E">
        <w:rPr>
          <w:iCs/>
        </w:rPr>
        <w:t xml:space="preserve"> à cet égard</w:t>
      </w:r>
      <w:r w:rsidRPr="0040252D">
        <w:rPr>
          <w:i/>
        </w:rPr>
        <w:t xml:space="preserve"> </w:t>
      </w:r>
      <w:r w:rsidRPr="0040252D">
        <w:t>que tous les auteurs de tels actes doivent être amenés à en répondre devant les juridictions compétentes, au niveau tant national qu’international ;</w:t>
      </w:r>
    </w:p>
    <w:p w14:paraId="3466EC46" w14:textId="6C6DBFAF" w:rsidR="0040252D" w:rsidRPr="0040252D" w:rsidRDefault="0040252D" w:rsidP="0040252D">
      <w:pPr>
        <w:pStyle w:val="SingleTxtG"/>
        <w:ind w:firstLine="567"/>
      </w:pPr>
      <w:r w:rsidRPr="0040252D">
        <w:rPr>
          <w:bCs/>
        </w:rPr>
        <w:lastRenderedPageBreak/>
        <w:t>5</w:t>
      </w:r>
      <w:r w:rsidRPr="0040252D">
        <w:t>.</w:t>
      </w:r>
      <w:r w:rsidRPr="0040252D">
        <w:tab/>
      </w:r>
      <w:r w:rsidRPr="0040252D">
        <w:rPr>
          <w:i/>
        </w:rPr>
        <w:t xml:space="preserve">Condamne fermement </w:t>
      </w:r>
      <w:r w:rsidRPr="0040252D">
        <w:t>les attaques, y compris les attaques terroristes, contre les civils, les représentants d’institutions locales, régionales et centrales, ainsi que les Forces de défense et de sécurité maliennes, la Mission multidimensionnelle intégrée des Nations Unies pour la stabilisation au Mali</w:t>
      </w:r>
      <w:r w:rsidRPr="0040252D">
        <w:rPr>
          <w:bCs/>
        </w:rPr>
        <w:t xml:space="preserve">, la Force conjointe du </w:t>
      </w:r>
      <w:r w:rsidR="005A05A0" w:rsidRPr="0040252D">
        <w:t>Groupe de cinq pays</w:t>
      </w:r>
      <w:r w:rsidR="005A05A0">
        <w:t xml:space="preserve"> du</w:t>
      </w:r>
      <w:r w:rsidRPr="0040252D">
        <w:rPr>
          <w:bCs/>
        </w:rPr>
        <w:t xml:space="preserve"> Sahel</w:t>
      </w:r>
      <w:r w:rsidRPr="0040252D">
        <w:t xml:space="preserve"> et les forces </w:t>
      </w:r>
      <w:r w:rsidRPr="0040252D">
        <w:rPr>
          <w:bCs/>
          <w:iCs/>
        </w:rPr>
        <w:t>internationales</w:t>
      </w:r>
      <w:r w:rsidRPr="0040252D">
        <w:t xml:space="preserve"> déployées dans le cadre </w:t>
      </w:r>
      <w:r w:rsidRPr="0040252D">
        <w:rPr>
          <w:bCs/>
          <w:iCs/>
        </w:rPr>
        <w:t>de</w:t>
      </w:r>
      <w:r w:rsidRPr="0040252D">
        <w:rPr>
          <w:bCs/>
        </w:rPr>
        <w:t xml:space="preserve"> </w:t>
      </w:r>
      <w:r w:rsidR="000C6578">
        <w:rPr>
          <w:bCs/>
        </w:rPr>
        <w:t>l’</w:t>
      </w:r>
      <w:r w:rsidRPr="0040252D">
        <w:rPr>
          <w:bCs/>
        </w:rPr>
        <w:t>opération</w:t>
      </w:r>
      <w:r w:rsidRPr="0040252D">
        <w:t xml:space="preserve"> Barkhane</w:t>
      </w:r>
      <w:r w:rsidRPr="0040252D">
        <w:rPr>
          <w:bCs/>
        </w:rPr>
        <w:t xml:space="preserve"> </w:t>
      </w:r>
      <w:r w:rsidRPr="0040252D">
        <w:rPr>
          <w:bCs/>
          <w:iCs/>
        </w:rPr>
        <w:t xml:space="preserve">et </w:t>
      </w:r>
      <w:r w:rsidR="00B85867">
        <w:rPr>
          <w:bCs/>
          <w:iCs/>
        </w:rPr>
        <w:t xml:space="preserve">par le groupement de forces </w:t>
      </w:r>
      <w:proofErr w:type="spellStart"/>
      <w:r w:rsidRPr="0040252D">
        <w:rPr>
          <w:bCs/>
          <w:iCs/>
        </w:rPr>
        <w:t>Takuba</w:t>
      </w:r>
      <w:proofErr w:type="spellEnd"/>
      <w:r w:rsidRPr="0040252D">
        <w:t>, souligne l’importance de traduire en justice les auteurs, commanditaires et organisateurs de ces actes et ceux qui les ont financés, et exhorte le Gouvernement de transition malien à intensifier ses efforts pour s’assurer que les auteurs de ces actes soient poursuivis, le cas échéant ;</w:t>
      </w:r>
    </w:p>
    <w:p w14:paraId="6B831511" w14:textId="4957B7CE" w:rsidR="0040252D" w:rsidRPr="0040252D" w:rsidRDefault="0040252D" w:rsidP="0040252D">
      <w:pPr>
        <w:pStyle w:val="SingleTxtG"/>
        <w:ind w:firstLine="567"/>
      </w:pPr>
      <w:r w:rsidRPr="0040252D">
        <w:rPr>
          <w:bCs/>
        </w:rPr>
        <w:t>6</w:t>
      </w:r>
      <w:r w:rsidRPr="0040252D">
        <w:t>.</w:t>
      </w:r>
      <w:r w:rsidRPr="0040252D">
        <w:tab/>
      </w:r>
      <w:r w:rsidRPr="0040252D">
        <w:rPr>
          <w:i/>
        </w:rPr>
        <w:t xml:space="preserve">Condamne fermement également </w:t>
      </w:r>
      <w:r w:rsidRPr="0040252D">
        <w:rPr>
          <w:bCs/>
        </w:rPr>
        <w:t xml:space="preserve">les attaques contre </w:t>
      </w:r>
      <w:r w:rsidRPr="0040252D">
        <w:t xml:space="preserve">la </w:t>
      </w:r>
      <w:r w:rsidRPr="0040252D">
        <w:rPr>
          <w:bCs/>
        </w:rPr>
        <w:t>population civile menées dans le cadre</w:t>
      </w:r>
      <w:r w:rsidRPr="0040252D">
        <w:t xml:space="preserve"> des violences intercommunautaires,</w:t>
      </w:r>
      <w:r w:rsidR="00FE578A">
        <w:t xml:space="preserve"> et</w:t>
      </w:r>
      <w:r w:rsidRPr="0040252D">
        <w:rPr>
          <w:i/>
        </w:rPr>
        <w:t xml:space="preserve"> </w:t>
      </w:r>
      <w:r w:rsidRPr="00BD453E">
        <w:rPr>
          <w:iCs/>
        </w:rPr>
        <w:t>appelle</w:t>
      </w:r>
      <w:r w:rsidRPr="0040252D">
        <w:t xml:space="preserve"> le Gouvernement de transition malien, avec l’appui de la Mission multidimensionnelle intégrée des Nations Unies pour la stabilisation au Mali et de la communauté internationale, à renforcer ses efforts en faveur de la réconciliation nationale et en vue de prévenir les violences dans les foyers de tensions identifiés</w:t>
      </w:r>
      <w:r>
        <w:t> </w:t>
      </w:r>
      <w:r>
        <w:rPr>
          <w:bCs/>
        </w:rPr>
        <w:t>;</w:t>
      </w:r>
    </w:p>
    <w:p w14:paraId="1ECC0CA3" w14:textId="77777777" w:rsidR="0040252D" w:rsidRPr="0040252D" w:rsidRDefault="0040252D" w:rsidP="0040252D">
      <w:pPr>
        <w:pStyle w:val="SingleTxtG"/>
        <w:ind w:firstLine="567"/>
      </w:pPr>
      <w:r w:rsidRPr="0040252D">
        <w:rPr>
          <w:bCs/>
        </w:rPr>
        <w:t>7</w:t>
      </w:r>
      <w:r w:rsidRPr="0040252D">
        <w:t>.</w:t>
      </w:r>
      <w:r w:rsidRPr="0040252D">
        <w:tab/>
      </w:r>
      <w:r w:rsidRPr="0040252D">
        <w:rPr>
          <w:i/>
        </w:rPr>
        <w:t xml:space="preserve">Souligne </w:t>
      </w:r>
      <w:r w:rsidRPr="0040252D">
        <w:t>que la stabilisation de la situation dans le centre du Mali ne peut se faire sans un plan pleinement intégré englobant la poursuite simultanée de progrès sur les plans de la sécurité, de la gouvernance, du développement et de la réconciliation, ainsi que du respect, de la protection et de la promotion des droits de l’homme</w:t>
      </w:r>
      <w:r w:rsidRPr="0040252D">
        <w:rPr>
          <w:iCs/>
        </w:rPr>
        <w:t> ;</w:t>
      </w:r>
    </w:p>
    <w:p w14:paraId="150D8C94" w14:textId="7216DC2F" w:rsidR="0040252D" w:rsidRPr="0040252D" w:rsidRDefault="0040252D" w:rsidP="0040252D">
      <w:pPr>
        <w:pStyle w:val="SingleTxtG"/>
        <w:ind w:firstLine="567"/>
      </w:pPr>
      <w:r w:rsidRPr="0040252D">
        <w:rPr>
          <w:bCs/>
        </w:rPr>
        <w:t>8</w:t>
      </w:r>
      <w:r w:rsidRPr="0040252D">
        <w:t>.</w:t>
      </w:r>
      <w:r w:rsidRPr="0040252D">
        <w:tab/>
      </w:r>
      <w:r w:rsidRPr="0040252D">
        <w:rPr>
          <w:i/>
        </w:rPr>
        <w:t xml:space="preserve">Renouvelle </w:t>
      </w:r>
      <w:r w:rsidRPr="0040252D">
        <w:t>son appel à l’arrêt immédiat des violations des droits de l’homme et des atteintes à ces droits, et des violations du droit international humanitaire, ainsi qu’au strict respect des droits de l’homme et des libertés fondamentales</w:t>
      </w:r>
      <w:r w:rsidRPr="0040252D">
        <w:rPr>
          <w:iCs/>
        </w:rPr>
        <w:t> ;</w:t>
      </w:r>
    </w:p>
    <w:p w14:paraId="43D6C88E" w14:textId="7209E1B2" w:rsidR="0040252D" w:rsidRPr="0040252D" w:rsidRDefault="0040252D" w:rsidP="0040252D">
      <w:pPr>
        <w:pStyle w:val="SingleTxtG"/>
        <w:ind w:firstLine="567"/>
      </w:pPr>
      <w:r w:rsidRPr="0040252D">
        <w:rPr>
          <w:bCs/>
        </w:rPr>
        <w:t>9</w:t>
      </w:r>
      <w:r w:rsidRPr="0040252D">
        <w:t>.</w:t>
      </w:r>
      <w:r w:rsidRPr="0040252D">
        <w:tab/>
      </w:r>
      <w:r w:rsidRPr="0040252D">
        <w:rPr>
          <w:i/>
        </w:rPr>
        <w:t xml:space="preserve">Demande </w:t>
      </w:r>
      <w:r w:rsidRPr="0040252D">
        <w:t>à toutes les parties de permettre, conformément aux dispositions applicables du droit international humanitaire et aux principes humanitaires, un accès humanitaire sûr, complet, immédiat et sans entrave, de faciliter le libre passage en toute sécurité et sans restriction de l’aide humanitaire afin qu’elle puisse être rapidement distribuée à tous ceux qui en ont besoin sur tout le territoire malien, et d’assurer la sécurité et la protection des civils qui la reçoivent et celles du personnel humanitaire et de santé travaillant au Mali ;</w:t>
      </w:r>
    </w:p>
    <w:p w14:paraId="21D8D1AB" w14:textId="495F8925" w:rsidR="0040252D" w:rsidRPr="0040252D" w:rsidRDefault="0040252D" w:rsidP="0040252D">
      <w:pPr>
        <w:pStyle w:val="SingleTxtG"/>
        <w:ind w:firstLine="567"/>
      </w:pPr>
      <w:r w:rsidRPr="0040252D">
        <w:rPr>
          <w:bCs/>
        </w:rPr>
        <w:t>10</w:t>
      </w:r>
      <w:r w:rsidRPr="0040252D">
        <w:t>.</w:t>
      </w:r>
      <w:r w:rsidRPr="0040252D">
        <w:tab/>
      </w:r>
      <w:r w:rsidRPr="0040252D">
        <w:rPr>
          <w:i/>
        </w:rPr>
        <w:t>Encourage</w:t>
      </w:r>
      <w:r w:rsidRPr="0040252D">
        <w:t xml:space="preserve"> les autorités de transition maliennes à poursuivre la mise en œuvre des recommandations acceptées lors du troisième cycle de l’Examen périodique universel du Mali, appelle notamment à l’adoption de la loi contre les violences basées sur le genre ainsi qu’à la poursuite des efforts de lutte contre l’esclavage</w:t>
      </w:r>
      <w:r w:rsidRPr="0040252D">
        <w:rPr>
          <w:bCs/>
        </w:rPr>
        <w:t xml:space="preserve">, </w:t>
      </w:r>
      <w:r w:rsidR="00007198">
        <w:rPr>
          <w:bCs/>
        </w:rPr>
        <w:t xml:space="preserve">et </w:t>
      </w:r>
      <w:r w:rsidRPr="0040252D">
        <w:rPr>
          <w:bCs/>
        </w:rPr>
        <w:t>salue les avancées judiciaires et législatives réalisées à cet égard</w:t>
      </w:r>
      <w:r w:rsidRPr="0040252D">
        <w:t> ;</w:t>
      </w:r>
    </w:p>
    <w:p w14:paraId="15F05E0C" w14:textId="77777777" w:rsidR="0040252D" w:rsidRPr="0040252D" w:rsidRDefault="0040252D" w:rsidP="0040252D">
      <w:pPr>
        <w:pStyle w:val="SingleTxtG"/>
        <w:ind w:firstLine="567"/>
      </w:pPr>
      <w:r w:rsidRPr="0040252D">
        <w:rPr>
          <w:bCs/>
        </w:rPr>
        <w:t>11</w:t>
      </w:r>
      <w:r w:rsidRPr="0040252D">
        <w:t>.</w:t>
      </w:r>
      <w:r w:rsidRPr="0040252D">
        <w:tab/>
      </w:r>
      <w:r w:rsidRPr="0040252D">
        <w:rPr>
          <w:i/>
        </w:rPr>
        <w:t xml:space="preserve">Encourage </w:t>
      </w:r>
      <w:r w:rsidRPr="0040252D">
        <w:t>la communauté internationale à poursuivre son soutien aux efforts des autorités de transition et des parties maliennes dans le cadre d’une meilleure implication des femmes dans le processus de réconciliation nationale et dans toutes les structures de décision du processus de paix, ainsi que de leur autonomisation politique à tous les niveaux, encourage également les autorités de transition et les parties maliennes à renforcer leurs efforts en la matière ;</w:t>
      </w:r>
    </w:p>
    <w:p w14:paraId="4154AC6E" w14:textId="77777777" w:rsidR="0040252D" w:rsidRPr="0040252D" w:rsidRDefault="0040252D" w:rsidP="0040252D">
      <w:pPr>
        <w:pStyle w:val="SingleTxtG"/>
        <w:ind w:firstLine="567"/>
      </w:pPr>
      <w:r w:rsidRPr="0040252D">
        <w:rPr>
          <w:bCs/>
        </w:rPr>
        <w:t>12</w:t>
      </w:r>
      <w:r w:rsidRPr="0040252D">
        <w:t>.</w:t>
      </w:r>
      <w:r w:rsidRPr="0040252D">
        <w:tab/>
      </w:r>
      <w:r w:rsidRPr="0040252D">
        <w:rPr>
          <w:i/>
        </w:rPr>
        <w:t xml:space="preserve">Engage </w:t>
      </w:r>
      <w:r w:rsidRPr="0040252D">
        <w:t>tous les signataires de l’Accord pour la paix et la réconciliation au Mali à mettre en œuvre l’intégralité de ses dispositions, y compris celles qui portent sur le désarmement, la démobilisation et la réinsertion des anciens combattants, sur le redéploiement des forces armées maliennes sur l’ensemble du territoire et sur la décentralisation, sur la lutte contre l’impunité, sur le fonctionnement des administrations intérimaires dans le nord et sur la participation des femmes, se félicite à cet égard de l’inclusion des femmes dans le Comité de suivi de l’Accord, qui constitue un pas important, et salue l’engagement du Centre Carter en tant qu’observateur indépendant de l’Accord ;</w:t>
      </w:r>
    </w:p>
    <w:p w14:paraId="6867C908" w14:textId="77777777" w:rsidR="0040252D" w:rsidRPr="0040252D" w:rsidRDefault="0040252D" w:rsidP="0040252D">
      <w:pPr>
        <w:pStyle w:val="SingleTxtG"/>
        <w:ind w:firstLine="567"/>
      </w:pPr>
      <w:r w:rsidRPr="0040252D">
        <w:rPr>
          <w:bCs/>
        </w:rPr>
        <w:t>13</w:t>
      </w:r>
      <w:r w:rsidRPr="0040252D">
        <w:t>.</w:t>
      </w:r>
      <w:r w:rsidRPr="0040252D">
        <w:tab/>
      </w:r>
      <w:r w:rsidRPr="0040252D">
        <w:rPr>
          <w:i/>
        </w:rPr>
        <w:t xml:space="preserve">Encourage </w:t>
      </w:r>
      <w:r w:rsidRPr="0040252D">
        <w:t xml:space="preserve">les autorités de transition maliennes à mettre en place toutes les mesures nécessaires visant à prévenir le recrutement </w:t>
      </w:r>
      <w:bookmarkStart w:id="2" w:name="_Hlk2689915"/>
      <w:r w:rsidRPr="0040252D">
        <w:t xml:space="preserve">et l’utilisation d’enfants en violation du droit international, </w:t>
      </w:r>
      <w:bookmarkEnd w:id="2"/>
      <w:r w:rsidRPr="0040252D">
        <w:t>à faire cesser ces pratiques, à mettre en œuvre des programmes durables de réintégration et de réhabilitation, y compris en prenant en compte la dimension de genre, et à adopter la loi sur la protection de l’enfant ;</w:t>
      </w:r>
    </w:p>
    <w:p w14:paraId="70982646" w14:textId="77777777" w:rsidR="0040252D" w:rsidRPr="0040252D" w:rsidRDefault="0040252D" w:rsidP="0040252D">
      <w:pPr>
        <w:pStyle w:val="SingleTxtG"/>
        <w:ind w:firstLine="567"/>
      </w:pPr>
      <w:r w:rsidRPr="0040252D">
        <w:rPr>
          <w:bCs/>
        </w:rPr>
        <w:t>14</w:t>
      </w:r>
      <w:r w:rsidRPr="0040252D">
        <w:t>.</w:t>
      </w:r>
      <w:r w:rsidRPr="0040252D">
        <w:tab/>
      </w:r>
      <w:r w:rsidRPr="0040252D">
        <w:rPr>
          <w:i/>
        </w:rPr>
        <w:t>Encourage également</w:t>
      </w:r>
      <w:r w:rsidRPr="0040252D">
        <w:t xml:space="preserve"> les autorités de transition maliennes à mettre en place toutes les mesures utiles au respect du Protocole facultatif à la Convention relative aux droits </w:t>
      </w:r>
      <w:r w:rsidRPr="0040252D">
        <w:lastRenderedPageBreak/>
        <w:t>de l’enfant, concernant l’implication d’enfants dans les conflits armés et, en particulier, à renforcer les mesures pour la poursuite de la mise en œuvre du Protocole relatif à la libération et au transfert des enfants associés aux forces et groupes armés signé par l’Organisation des Nations Unies et le Gouvernement malien en 2013, ainsi qu’à renforcer les programmes de formation des Forces de défense et de sécurité maliennes en la matière, et appelle les partenaires à soutenir les autorités de transition maliennes en vue d’assurer un meilleur accès à la justice</w:t>
      </w:r>
      <w:r w:rsidRPr="0040252D">
        <w:rPr>
          <w:bCs/>
        </w:rPr>
        <w:t>,</w:t>
      </w:r>
      <w:r w:rsidRPr="0040252D">
        <w:t xml:space="preserve"> et aux services sociaux, médicaux et </w:t>
      </w:r>
      <w:proofErr w:type="spellStart"/>
      <w:r w:rsidRPr="0040252D">
        <w:t>psychosociaux</w:t>
      </w:r>
      <w:proofErr w:type="spellEnd"/>
      <w:r w:rsidRPr="0040252D">
        <w:t xml:space="preserve"> à toutes les survivantes et à tous les survivants de violences </w:t>
      </w:r>
      <w:r w:rsidRPr="0040252D">
        <w:rPr>
          <w:bCs/>
        </w:rPr>
        <w:t xml:space="preserve">sexuelles et </w:t>
      </w:r>
      <w:r w:rsidRPr="0040252D">
        <w:t>basées sur le genre ;</w:t>
      </w:r>
    </w:p>
    <w:p w14:paraId="18013AA0" w14:textId="67F086BD" w:rsidR="0040252D" w:rsidRPr="0040252D" w:rsidRDefault="0040252D" w:rsidP="0040252D">
      <w:pPr>
        <w:pStyle w:val="SingleTxtG"/>
        <w:ind w:firstLine="567"/>
      </w:pPr>
      <w:r w:rsidRPr="0040252D">
        <w:rPr>
          <w:bCs/>
        </w:rPr>
        <w:t>15</w:t>
      </w:r>
      <w:r w:rsidRPr="0040252D">
        <w:t>.</w:t>
      </w:r>
      <w:r w:rsidRPr="0040252D">
        <w:tab/>
      </w:r>
      <w:r w:rsidRPr="0040252D">
        <w:rPr>
          <w:i/>
        </w:rPr>
        <w:t xml:space="preserve">Note </w:t>
      </w:r>
      <w:r w:rsidRPr="0040252D">
        <w:t>l’ouverture par la Procureure de la Cour pénale internationale, en janvier</w:t>
      </w:r>
      <w:r w:rsidR="00911C00">
        <w:t> </w:t>
      </w:r>
      <w:r w:rsidRPr="0040252D">
        <w:t>2013, d’une enquête sur les crimes commis depuis janvier 2012 sur le territoire malien, note également, d’une part, que la Cour a jugé le 27 septembre 2016 un individu coupable de crime de guerre pour avoir dirigé intentionnellement des attaques contre des bâtiments à caractère religieux et historique à Tombouctou, et ouvert, le 14 juillet 2020, le procès d’un individu pour crimes de guerre et crimes contre l’humanité et, d’autre part, que toutes les parties maliennes concernées ont décidé de prêter leur concours à la Cour et de lui apporter leur coopération ;</w:t>
      </w:r>
    </w:p>
    <w:p w14:paraId="0232D4E2" w14:textId="23D7C52D" w:rsidR="0040252D" w:rsidRPr="0040252D" w:rsidRDefault="0040252D" w:rsidP="0040252D">
      <w:pPr>
        <w:pStyle w:val="SingleTxtG"/>
        <w:ind w:firstLine="567"/>
      </w:pPr>
      <w:r w:rsidRPr="0040252D">
        <w:t>16.</w:t>
      </w:r>
      <w:r>
        <w:tab/>
      </w:r>
      <w:r w:rsidRPr="0040252D">
        <w:rPr>
          <w:i/>
        </w:rPr>
        <w:t>Appuie</w:t>
      </w:r>
      <w:r w:rsidRPr="0040252D">
        <w:t xml:space="preserve"> à cet égard les efforts fournis par les autorités de transition maliennes afin de traduire devant des tribunaux impartiaux et indépendants tous les auteurs de violations des droits de l’homme et d’atteintes à ces droits, et de violations du droit international humanitaire, et exhorte les autorités de transition à intensifier leur action en matière de lutte contre l’impunité</w:t>
      </w:r>
      <w:r>
        <w:t> ;</w:t>
      </w:r>
    </w:p>
    <w:p w14:paraId="731DA3E3" w14:textId="77777777" w:rsidR="0040252D" w:rsidRPr="0040252D" w:rsidRDefault="0040252D" w:rsidP="0040252D">
      <w:pPr>
        <w:pStyle w:val="SingleTxtG"/>
        <w:ind w:firstLine="567"/>
      </w:pPr>
      <w:r w:rsidRPr="0040252D">
        <w:rPr>
          <w:bCs/>
        </w:rPr>
        <w:t>17</w:t>
      </w:r>
      <w:r w:rsidRPr="0040252D">
        <w:t>.</w:t>
      </w:r>
      <w:r w:rsidRPr="0040252D">
        <w:tab/>
      </w:r>
      <w:r w:rsidRPr="0040252D">
        <w:rPr>
          <w:i/>
        </w:rPr>
        <w:t xml:space="preserve">Exhorte </w:t>
      </w:r>
      <w:r w:rsidRPr="0040252D">
        <w:t>les autorités de transition maliennes à garantir que les mesures prises pour favoriser l’entente nationale sont élaborées de manière inclusive et associent étroitement la société civile, en assurant des poursuites contre les crimes les plus graves et en prévoyant des réparations adéquates pour les victimes</w:t>
      </w:r>
      <w:r w:rsidRPr="0040252D">
        <w:rPr>
          <w:iCs/>
        </w:rPr>
        <w:t> ;</w:t>
      </w:r>
    </w:p>
    <w:p w14:paraId="532527BD" w14:textId="5E8743B0" w:rsidR="0040252D" w:rsidRPr="0040252D" w:rsidRDefault="0040252D" w:rsidP="0040252D">
      <w:pPr>
        <w:pStyle w:val="SingleTxtG"/>
        <w:ind w:firstLine="567"/>
      </w:pPr>
      <w:r w:rsidRPr="0040252D">
        <w:rPr>
          <w:bCs/>
        </w:rPr>
        <w:t>18</w:t>
      </w:r>
      <w:r w:rsidRPr="0040252D">
        <w:t>.</w:t>
      </w:r>
      <w:r w:rsidRPr="0040252D">
        <w:tab/>
      </w:r>
      <w:r w:rsidRPr="0040252D">
        <w:rPr>
          <w:i/>
        </w:rPr>
        <w:t xml:space="preserve">Condamne fermement </w:t>
      </w:r>
      <w:r w:rsidRPr="0040252D">
        <w:t xml:space="preserve">les exécutions sommaires </w:t>
      </w:r>
      <w:r w:rsidRPr="0040252D">
        <w:rPr>
          <w:bCs/>
        </w:rPr>
        <w:t>d’individus</w:t>
      </w:r>
      <w:r w:rsidRPr="0040252D">
        <w:t xml:space="preserve">, encourage les autorités de transition à mener à bien les enquêtes judiciaires ouvertes et à venir afin de traduire en justice les responsables de ces graves violations des droits de l’homme, salue la tenue, au </w:t>
      </w:r>
      <w:r w:rsidR="002A3CDB">
        <w:t>cours</w:t>
      </w:r>
      <w:r w:rsidRPr="0040252D">
        <w:t xml:space="preserve"> de l’année 2021, de plusieurs sessions spéciales d’assises pour juger notamment des crimes de terrorisme, des crimes transnationaux organisés et des infractions liées à la délinquance économique et financière, ainsi que le jugement de plusieurs cas d’infractions relevant de leur compétence par les tribunaux militaires, </w:t>
      </w:r>
      <w:r w:rsidRPr="0040252D">
        <w:rPr>
          <w:iCs/>
        </w:rPr>
        <w:t xml:space="preserve">salue également la relecture en cours du Code pénal, du Code </w:t>
      </w:r>
      <w:r w:rsidRPr="0040252D">
        <w:t xml:space="preserve">de </w:t>
      </w:r>
      <w:r w:rsidRPr="0040252D">
        <w:rPr>
          <w:iCs/>
        </w:rPr>
        <w:t>procédure pénale et du Code</w:t>
      </w:r>
      <w:r w:rsidRPr="0040252D">
        <w:t xml:space="preserve"> de </w:t>
      </w:r>
      <w:r w:rsidRPr="0040252D">
        <w:rPr>
          <w:iCs/>
        </w:rPr>
        <w:t>justice militaire</w:t>
      </w:r>
      <w:r w:rsidRPr="0040252D">
        <w:t> ;</w:t>
      </w:r>
    </w:p>
    <w:p w14:paraId="53725A32" w14:textId="063C9B1F" w:rsidR="0040252D" w:rsidRPr="0040252D" w:rsidRDefault="0040252D" w:rsidP="0040252D">
      <w:pPr>
        <w:pStyle w:val="SingleTxtG"/>
        <w:ind w:firstLine="567"/>
      </w:pPr>
      <w:r w:rsidRPr="0040252D">
        <w:rPr>
          <w:bCs/>
        </w:rPr>
        <w:t>19</w:t>
      </w:r>
      <w:r w:rsidRPr="0040252D">
        <w:t>.</w:t>
      </w:r>
      <w:r w:rsidRPr="0040252D">
        <w:tab/>
      </w:r>
      <w:r w:rsidR="00932347">
        <w:rPr>
          <w:i/>
        </w:rPr>
        <w:t>Rappelle</w:t>
      </w:r>
      <w:r w:rsidRPr="0040252D">
        <w:rPr>
          <w:i/>
        </w:rPr>
        <w:t xml:space="preserve"> </w:t>
      </w:r>
      <w:r w:rsidRPr="0040252D">
        <w:t xml:space="preserve">le rapport de la Commission d’enquête internationale </w:t>
      </w:r>
      <w:bookmarkStart w:id="3" w:name="_Hlk2700413"/>
      <w:r w:rsidRPr="0040252D">
        <w:t>pour le Mali</w:t>
      </w:r>
      <w:bookmarkEnd w:id="3"/>
      <w:r w:rsidR="00FE3169">
        <w:rPr>
          <w:rStyle w:val="Appelnotedebasdep"/>
        </w:rPr>
        <w:footnoteReference w:id="5"/>
      </w:r>
      <w:r w:rsidRPr="0040252D">
        <w:t xml:space="preserve">, établie par le Secrétaire général pour enquêter sur les graves violations du droit international des droits de l’homme et du droit international humanitaire et les atteintes à ces droits, y compris les allégations concernant les violences </w:t>
      </w:r>
      <w:r w:rsidRPr="0040252D">
        <w:rPr>
          <w:bCs/>
        </w:rPr>
        <w:t xml:space="preserve">sexuelles et </w:t>
      </w:r>
      <w:r w:rsidRPr="0040252D">
        <w:t>liées au genre en période de conflit, commises sur le territoire malien du 1</w:t>
      </w:r>
      <w:r w:rsidRPr="0040252D">
        <w:rPr>
          <w:vertAlign w:val="superscript"/>
        </w:rPr>
        <w:t>er</w:t>
      </w:r>
      <w:r w:rsidRPr="0040252D">
        <w:t xml:space="preserve"> janvier 2012 au 19 janvier 2018, </w:t>
      </w:r>
      <w:bookmarkStart w:id="4" w:name="_Hlk98174711"/>
      <w:r w:rsidRPr="0040252D">
        <w:t xml:space="preserve">et exhorte les autorités de transition maliennes à </w:t>
      </w:r>
      <w:r w:rsidRPr="0040252D">
        <w:rPr>
          <w:bCs/>
        </w:rPr>
        <w:t>mettre en place, dans les meilleurs délais, un mécanisme national pour assurer le suivi adéquat</w:t>
      </w:r>
      <w:r w:rsidRPr="0040252D">
        <w:t xml:space="preserve"> des recommandations de la Commission ;</w:t>
      </w:r>
    </w:p>
    <w:bookmarkEnd w:id="4"/>
    <w:p w14:paraId="64FB1684" w14:textId="5E17A21E" w:rsidR="0040252D" w:rsidRPr="0040252D" w:rsidRDefault="0040252D" w:rsidP="0040252D">
      <w:pPr>
        <w:pStyle w:val="SingleTxtG"/>
        <w:ind w:firstLine="567"/>
      </w:pPr>
      <w:r w:rsidRPr="0040252D">
        <w:rPr>
          <w:bCs/>
        </w:rPr>
        <w:t>20</w:t>
      </w:r>
      <w:r w:rsidRPr="0040252D">
        <w:t>.</w:t>
      </w:r>
      <w:r w:rsidRPr="0040252D">
        <w:tab/>
      </w:r>
      <w:r w:rsidRPr="0040252D">
        <w:rPr>
          <w:i/>
        </w:rPr>
        <w:t xml:space="preserve">Encourage </w:t>
      </w:r>
      <w:r w:rsidRPr="0040252D">
        <w:t xml:space="preserve">les autorités de transition maliennes à poursuivre le soutien aux travaux de la Commission vérité, justice et réconciliation, qui ont permis de recueillir plus de </w:t>
      </w:r>
      <w:r w:rsidRPr="0040252D">
        <w:rPr>
          <w:bCs/>
          <w:iCs/>
        </w:rPr>
        <w:t>24 000</w:t>
      </w:r>
      <w:r w:rsidRPr="0040252D">
        <w:rPr>
          <w:bCs/>
        </w:rPr>
        <w:t xml:space="preserve"> </w:t>
      </w:r>
      <w:r w:rsidRPr="0040252D">
        <w:t xml:space="preserve">témoignages de victimes dans plusieurs régions du Mali et de tenir </w:t>
      </w:r>
      <w:r w:rsidRPr="0040252D">
        <w:rPr>
          <w:bCs/>
          <w:iCs/>
        </w:rPr>
        <w:t>quatre</w:t>
      </w:r>
      <w:r w:rsidRPr="0040252D">
        <w:t xml:space="preserve"> audiences publiques, les 8 décembre 2019</w:t>
      </w:r>
      <w:r w:rsidRPr="0040252D">
        <w:rPr>
          <w:bCs/>
        </w:rPr>
        <w:t>,</w:t>
      </w:r>
      <w:r w:rsidRPr="0040252D">
        <w:t xml:space="preserve"> 5 décembre 2020, </w:t>
      </w:r>
      <w:r w:rsidRPr="0040252D">
        <w:rPr>
          <w:bCs/>
          <w:iCs/>
        </w:rPr>
        <w:t>3 avril 2021 et 18 septembre 2021</w:t>
      </w:r>
      <w:r w:rsidRPr="0040252D">
        <w:rPr>
          <w:bCs/>
        </w:rPr>
        <w:t xml:space="preserve">, </w:t>
      </w:r>
      <w:r w:rsidR="002D3C12">
        <w:rPr>
          <w:bCs/>
        </w:rPr>
        <w:t xml:space="preserve">et </w:t>
      </w:r>
      <w:r w:rsidRPr="0040252D">
        <w:rPr>
          <w:bCs/>
        </w:rPr>
        <w:t xml:space="preserve">invite la communauté internationale </w:t>
      </w:r>
      <w:r w:rsidRPr="0040252D">
        <w:t xml:space="preserve">à </w:t>
      </w:r>
      <w:r w:rsidRPr="0040252D">
        <w:rPr>
          <w:bCs/>
        </w:rPr>
        <w:t>accompagner</w:t>
      </w:r>
      <w:r w:rsidRPr="0040252D">
        <w:t xml:space="preserve"> les </w:t>
      </w:r>
      <w:r w:rsidRPr="0040252D">
        <w:rPr>
          <w:bCs/>
        </w:rPr>
        <w:t>autorités</w:t>
      </w:r>
      <w:r w:rsidRPr="0040252D">
        <w:t xml:space="preserve"> de </w:t>
      </w:r>
      <w:r w:rsidRPr="0040252D">
        <w:rPr>
          <w:bCs/>
        </w:rPr>
        <w:t xml:space="preserve">transition </w:t>
      </w:r>
      <w:r w:rsidR="002D3C12">
        <w:rPr>
          <w:bCs/>
        </w:rPr>
        <w:t>dans</w:t>
      </w:r>
      <w:r w:rsidRPr="0040252D">
        <w:rPr>
          <w:bCs/>
        </w:rPr>
        <w:t xml:space="preserve"> la mise en place des organes devant succéder à </w:t>
      </w:r>
      <w:r w:rsidRPr="0040252D">
        <w:t>la Commission</w:t>
      </w:r>
      <w:r w:rsidRPr="0040252D">
        <w:rPr>
          <w:bCs/>
        </w:rPr>
        <w:t>, notamment l’organe</w:t>
      </w:r>
      <w:r w:rsidRPr="0040252D">
        <w:t xml:space="preserve"> de </w:t>
      </w:r>
      <w:r w:rsidRPr="0040252D">
        <w:rPr>
          <w:bCs/>
        </w:rPr>
        <w:t>réparation des préjudices subis par les</w:t>
      </w:r>
      <w:r w:rsidRPr="0040252D">
        <w:t xml:space="preserve"> victimes </w:t>
      </w:r>
      <w:r w:rsidRPr="0040252D">
        <w:rPr>
          <w:bCs/>
        </w:rPr>
        <w:t xml:space="preserve">et l’organe chargé de la conservation des mémoires </w:t>
      </w:r>
      <w:r w:rsidRPr="0040252D">
        <w:t>des crises ;</w:t>
      </w:r>
    </w:p>
    <w:p w14:paraId="0F9BA471" w14:textId="7718E84D" w:rsidR="0040252D" w:rsidRPr="0040252D" w:rsidRDefault="0040252D" w:rsidP="0040252D">
      <w:pPr>
        <w:pStyle w:val="SingleTxtG"/>
        <w:ind w:firstLine="567"/>
      </w:pPr>
      <w:r w:rsidRPr="0040252D">
        <w:rPr>
          <w:bCs/>
        </w:rPr>
        <w:t>21</w:t>
      </w:r>
      <w:r w:rsidRPr="0040252D">
        <w:t>.</w:t>
      </w:r>
      <w:r w:rsidRPr="0040252D">
        <w:tab/>
      </w:r>
      <w:r w:rsidRPr="0040252D">
        <w:rPr>
          <w:i/>
          <w:iCs/>
        </w:rPr>
        <w:t>Encourage également</w:t>
      </w:r>
      <w:r w:rsidRPr="0040252D">
        <w:t xml:space="preserve"> les autorités de transition maliennes, et tous les acteurs régionaux et internationaux, à poursuivre leurs efforts pour l’instauration de la paix et de la sécurité au Mali</w:t>
      </w:r>
      <w:r>
        <w:t> </w:t>
      </w:r>
      <w:r>
        <w:rPr>
          <w:bCs/>
        </w:rPr>
        <w:t>;</w:t>
      </w:r>
    </w:p>
    <w:p w14:paraId="61003866" w14:textId="35F4008C" w:rsidR="0040252D" w:rsidRPr="0040252D" w:rsidRDefault="0040252D" w:rsidP="0040252D">
      <w:pPr>
        <w:pStyle w:val="SingleTxtG"/>
        <w:ind w:firstLine="567"/>
      </w:pPr>
      <w:r w:rsidRPr="0040252D">
        <w:rPr>
          <w:bCs/>
        </w:rPr>
        <w:lastRenderedPageBreak/>
        <w:t>22.</w:t>
      </w:r>
      <w:r>
        <w:rPr>
          <w:bCs/>
        </w:rPr>
        <w:tab/>
      </w:r>
      <w:r w:rsidRPr="0040252D">
        <w:rPr>
          <w:i/>
        </w:rPr>
        <w:t xml:space="preserve">Salue </w:t>
      </w:r>
      <w:r w:rsidRPr="0040252D">
        <w:t>le soutien de la Mission multidimensionnelle intégrée des Nations Unies pour la stabilisation au Mali aux efforts des autorités de transition maliennes visant à rétablir l’autorité de l’État et l’état de droit dans le pays, et à mettre en œuvre l’Accord pour la paix et la réconciliation au Mali, et déplore les pertes en vies humaines qu’elle subit ;</w:t>
      </w:r>
    </w:p>
    <w:p w14:paraId="6080877B" w14:textId="4D1AAB15" w:rsidR="0040252D" w:rsidRPr="0040252D" w:rsidRDefault="0040252D" w:rsidP="0040252D">
      <w:pPr>
        <w:pStyle w:val="SingleTxtG"/>
        <w:ind w:firstLine="567"/>
      </w:pPr>
      <w:r w:rsidRPr="0040252D">
        <w:t>23.</w:t>
      </w:r>
      <w:r>
        <w:tab/>
      </w:r>
      <w:r w:rsidRPr="0040252D">
        <w:rPr>
          <w:i/>
          <w:iCs/>
        </w:rPr>
        <w:t>Encourage</w:t>
      </w:r>
      <w:r w:rsidRPr="0040252D">
        <w:t xml:space="preserve"> la Force conjointe du </w:t>
      </w:r>
      <w:r w:rsidR="005A05A0" w:rsidRPr="0040252D">
        <w:t>Groupe de cinq pays</w:t>
      </w:r>
      <w:r w:rsidR="005A05A0">
        <w:t xml:space="preserve"> du</w:t>
      </w:r>
      <w:r w:rsidRPr="0040252D">
        <w:t xml:space="preserve"> Sahel à </w:t>
      </w:r>
      <w:r w:rsidRPr="0040252D">
        <w:rPr>
          <w:lang w:val="fr-FR"/>
        </w:rPr>
        <w:t>intensifier</w:t>
      </w:r>
      <w:r w:rsidRPr="0040252D">
        <w:t xml:space="preserve"> ses efforts pour mettre </w:t>
      </w:r>
      <w:r w:rsidRPr="0040252D">
        <w:rPr>
          <w:lang w:val="fr-FR"/>
        </w:rPr>
        <w:t>pleinement</w:t>
      </w:r>
      <w:r w:rsidRPr="0040252D">
        <w:t xml:space="preserve"> en œuvre son </w:t>
      </w:r>
      <w:r w:rsidR="0095388C">
        <w:t>c</w:t>
      </w:r>
      <w:r w:rsidRPr="0040252D">
        <w:t>adre de conformité,</w:t>
      </w:r>
      <w:r w:rsidRPr="0040252D">
        <w:rPr>
          <w:lang w:val="fr-FR"/>
        </w:rPr>
        <w:t xml:space="preserve"> avec le soutien continu du Haut-Commissariat des Nations Unies</w:t>
      </w:r>
      <w:r w:rsidRPr="0040252D">
        <w:t xml:space="preserve"> aux droits de l’homme, </w:t>
      </w:r>
      <w:r w:rsidR="003A4884">
        <w:t xml:space="preserve">et </w:t>
      </w:r>
      <w:r w:rsidRPr="0040252D">
        <w:rPr>
          <w:lang w:val="fr-FR"/>
        </w:rPr>
        <w:t>à placer les droits de l'homme et la protection des civils au centre de ses opérations militaires, invite les partenaires à continuer à soutenir ces efforts, notamment par un soutien financier</w:t>
      </w:r>
      <w:r w:rsidR="003A4884">
        <w:rPr>
          <w:lang w:val="fr-FR"/>
        </w:rPr>
        <w:t>,</w:t>
      </w:r>
      <w:r w:rsidRPr="0040252D">
        <w:rPr>
          <w:bCs/>
          <w:lang w:val="fr-FR"/>
        </w:rPr>
        <w:t xml:space="preserve"> et </w:t>
      </w:r>
      <w:r w:rsidRPr="00BD453E">
        <w:rPr>
          <w:bCs/>
          <w:iCs/>
        </w:rPr>
        <w:t>appelle</w:t>
      </w:r>
      <w:r w:rsidRPr="0040252D">
        <w:rPr>
          <w:bCs/>
          <w:i/>
        </w:rPr>
        <w:t xml:space="preserve"> </w:t>
      </w:r>
      <w:r w:rsidRPr="0040252D">
        <w:rPr>
          <w:bCs/>
        </w:rPr>
        <w:t>la Force conjointe à s’assurer</w:t>
      </w:r>
      <w:r w:rsidRPr="0040252D">
        <w:t xml:space="preserve"> de l’effectivité des mécanismes de reddition de comptes en son sein, qui sont essentiels afin que chaque incident impliquant des victimes civiles ou des violations présumées des droits de l’homme ou atteintes à ces droits ou des violations du droit international humanitaire fasse l’objet d’une enquête rapide, impartiale, indépendante et approfondie, et que des mesures immédiates soient prises à l’égard des unités et des individus présumés responsables, le cas échéant ;</w:t>
      </w:r>
    </w:p>
    <w:p w14:paraId="3DDA5F23" w14:textId="082CB2CC" w:rsidR="0040252D" w:rsidRPr="0040252D" w:rsidRDefault="0040252D" w:rsidP="0040252D">
      <w:pPr>
        <w:pStyle w:val="SingleTxtG"/>
        <w:ind w:firstLine="567"/>
      </w:pPr>
      <w:r w:rsidRPr="0040252D">
        <w:rPr>
          <w:bCs/>
        </w:rPr>
        <w:t>24</w:t>
      </w:r>
      <w:r w:rsidRPr="0040252D">
        <w:t>.</w:t>
      </w:r>
      <w:r w:rsidRPr="0040252D">
        <w:tab/>
      </w:r>
      <w:r w:rsidRPr="0040252D">
        <w:rPr>
          <w:i/>
        </w:rPr>
        <w:t xml:space="preserve">Demande </w:t>
      </w:r>
      <w:r w:rsidRPr="0040252D">
        <w:t>à toutes les parties de respecter les droits de l’homme et de veiller au strict respect du droit international des droits de l’homme et du droit international humanitaire</w:t>
      </w:r>
      <w:r>
        <w:t> </w:t>
      </w:r>
      <w:r>
        <w:rPr>
          <w:bCs/>
        </w:rPr>
        <w:t>;</w:t>
      </w:r>
    </w:p>
    <w:p w14:paraId="7D80994D" w14:textId="77777777" w:rsidR="0040252D" w:rsidRPr="0040252D" w:rsidRDefault="0040252D" w:rsidP="0040252D">
      <w:pPr>
        <w:pStyle w:val="SingleTxtG"/>
        <w:ind w:firstLine="567"/>
      </w:pPr>
      <w:r w:rsidRPr="0040252D">
        <w:rPr>
          <w:bCs/>
        </w:rPr>
        <w:t>25</w:t>
      </w:r>
      <w:r w:rsidRPr="0040252D">
        <w:t>.</w:t>
      </w:r>
      <w:r w:rsidRPr="0040252D">
        <w:tab/>
      </w:r>
      <w:r w:rsidRPr="0040252D">
        <w:rPr>
          <w:i/>
        </w:rPr>
        <w:t>Exhorte</w:t>
      </w:r>
      <w:r w:rsidRPr="0040252D">
        <w:t xml:space="preserve"> les autorités de transition maliennes à accélérer le retour</w:t>
      </w:r>
      <w:r w:rsidRPr="0040252D">
        <w:rPr>
          <w:bCs/>
        </w:rPr>
        <w:t xml:space="preserve"> effectif</w:t>
      </w:r>
      <w:r w:rsidRPr="0040252D">
        <w:t xml:space="preserve"> de l’administration, notamment judiciaire, et des services de base dans le centre et le nord du pays et à œuvrer au rétablissement</w:t>
      </w:r>
      <w:r w:rsidRPr="0040252D">
        <w:rPr>
          <w:b/>
        </w:rPr>
        <w:t xml:space="preserve"> </w:t>
      </w:r>
      <w:r w:rsidRPr="0040252D">
        <w:rPr>
          <w:bCs/>
        </w:rPr>
        <w:t>des conditions requises pour assurer un</w:t>
      </w:r>
      <w:r w:rsidRPr="0040252D">
        <w:t xml:space="preserve"> niveau de sécurité acceptable ;</w:t>
      </w:r>
    </w:p>
    <w:p w14:paraId="49862C23" w14:textId="13223254" w:rsidR="0040252D" w:rsidRPr="0040252D" w:rsidRDefault="0040252D" w:rsidP="0040252D">
      <w:pPr>
        <w:pStyle w:val="SingleTxtG"/>
        <w:ind w:firstLine="567"/>
      </w:pPr>
      <w:r w:rsidRPr="0040252D">
        <w:rPr>
          <w:bCs/>
        </w:rPr>
        <w:t>26.</w:t>
      </w:r>
      <w:r>
        <w:rPr>
          <w:bCs/>
        </w:rPr>
        <w:tab/>
      </w:r>
      <w:r w:rsidRPr="00BD453E">
        <w:rPr>
          <w:bCs/>
          <w:i/>
          <w:iCs/>
        </w:rPr>
        <w:t>Encourage vivement</w:t>
      </w:r>
      <w:r w:rsidRPr="0040252D">
        <w:t xml:space="preserve"> les autorités de transition à </w:t>
      </w:r>
      <w:r w:rsidRPr="0040252D">
        <w:rPr>
          <w:bCs/>
        </w:rPr>
        <w:t>présenter</w:t>
      </w:r>
      <w:r w:rsidRPr="0040252D">
        <w:t xml:space="preserve"> un </w:t>
      </w:r>
      <w:r w:rsidRPr="0040252D">
        <w:rPr>
          <w:bCs/>
        </w:rPr>
        <w:t>chronogramme de la transition acceptable devant permettre l’organisation d’élections justes, libres, transparentes, inclusives et crédibles</w:t>
      </w:r>
      <w:r w:rsidRPr="0040252D">
        <w:t xml:space="preserve"> en vue </w:t>
      </w:r>
      <w:r w:rsidRPr="0040252D">
        <w:rPr>
          <w:bCs/>
        </w:rPr>
        <w:t>du</w:t>
      </w:r>
      <w:r w:rsidRPr="0040252D">
        <w:t xml:space="preserve"> rétablissement </w:t>
      </w:r>
      <w:r w:rsidRPr="0040252D">
        <w:rPr>
          <w:bCs/>
        </w:rPr>
        <w:t xml:space="preserve">rapide </w:t>
      </w:r>
      <w:r w:rsidRPr="0040252D">
        <w:t>de l’ordre constitutionnel ;</w:t>
      </w:r>
    </w:p>
    <w:p w14:paraId="3B581CA6" w14:textId="77777777" w:rsidR="0040252D" w:rsidRPr="0040252D" w:rsidRDefault="0040252D" w:rsidP="0040252D">
      <w:pPr>
        <w:pStyle w:val="SingleTxtG"/>
        <w:ind w:firstLine="567"/>
      </w:pPr>
      <w:r w:rsidRPr="0040252D">
        <w:t>27.</w:t>
      </w:r>
      <w:r w:rsidRPr="0040252D">
        <w:tab/>
      </w:r>
      <w:r w:rsidRPr="0040252D">
        <w:rPr>
          <w:i/>
        </w:rPr>
        <w:t xml:space="preserve">Constate avec satisfaction </w:t>
      </w:r>
      <w:r w:rsidRPr="0040252D">
        <w:t>la coopération étroite des autorités de transition maliennes avec l’Expert indépendant sur la situation des droits de l’homme au Mali dans le cadre de l’accomplissement du mandat qui a été confié à ce dernier, et appelle les autorités de transition à mettre en œuvre ses recommandations ;</w:t>
      </w:r>
    </w:p>
    <w:p w14:paraId="3E4FCF4A" w14:textId="256C51B4" w:rsidR="0040252D" w:rsidRPr="0040252D" w:rsidRDefault="0040252D" w:rsidP="0040252D">
      <w:pPr>
        <w:pStyle w:val="SingleTxtG"/>
        <w:ind w:firstLine="567"/>
      </w:pPr>
      <w:r w:rsidRPr="0040252D">
        <w:t>28.</w:t>
      </w:r>
      <w:r>
        <w:rPr>
          <w:bCs/>
        </w:rPr>
        <w:tab/>
      </w:r>
      <w:r w:rsidRPr="0040252D">
        <w:rPr>
          <w:i/>
        </w:rPr>
        <w:t xml:space="preserve">Décide </w:t>
      </w:r>
      <w:r w:rsidRPr="0040252D">
        <w:t xml:space="preserve">de proroger d’un an le mandat de l’Expert indépendant sur la situation des droits de l’homme au Mali afin de lui permettre de continuer l’évaluation de la situation des droits de l’homme dans le pays et </w:t>
      </w:r>
      <w:r w:rsidR="0099356B">
        <w:t xml:space="preserve">de </w:t>
      </w:r>
      <w:r w:rsidRPr="0040252D">
        <w:rPr>
          <w:bCs/>
        </w:rPr>
        <w:t>fournir son assistance</w:t>
      </w:r>
      <w:r w:rsidRPr="0040252D">
        <w:t xml:space="preserve"> pour assurer la promotion, la protection et la mise en œuvre des droits de l’homme et renforcer la primauté du droit</w:t>
      </w:r>
      <w:r>
        <w:t> </w:t>
      </w:r>
      <w:r>
        <w:rPr>
          <w:bCs/>
        </w:rPr>
        <w:t>;</w:t>
      </w:r>
    </w:p>
    <w:p w14:paraId="16D0328F" w14:textId="5321D922" w:rsidR="0040252D" w:rsidRPr="0040252D" w:rsidRDefault="0040252D" w:rsidP="0040252D">
      <w:pPr>
        <w:pStyle w:val="SingleTxtG"/>
        <w:ind w:firstLine="567"/>
      </w:pPr>
      <w:r w:rsidRPr="0040252D">
        <w:t>29.</w:t>
      </w:r>
      <w:r w:rsidRPr="0040252D">
        <w:tab/>
      </w:r>
      <w:r w:rsidRPr="0040252D">
        <w:rPr>
          <w:i/>
        </w:rPr>
        <w:t xml:space="preserve">Engage </w:t>
      </w:r>
      <w:r w:rsidRPr="0040252D">
        <w:t>toutes les parties au Mali à collaborer pleinement avec l’Expert indépendant et à l’assister dans l’exercice de son mandat ;</w:t>
      </w:r>
    </w:p>
    <w:p w14:paraId="4C306846" w14:textId="7E498FC4" w:rsidR="0040252D" w:rsidRPr="0040252D" w:rsidRDefault="0040252D" w:rsidP="0040252D">
      <w:pPr>
        <w:pStyle w:val="SingleTxtG"/>
        <w:ind w:firstLine="567"/>
      </w:pPr>
      <w:r w:rsidRPr="0040252D">
        <w:t>30.</w:t>
      </w:r>
      <w:r w:rsidRPr="0040252D">
        <w:tab/>
      </w:r>
      <w:r w:rsidRPr="0040252D">
        <w:rPr>
          <w:i/>
        </w:rPr>
        <w:t xml:space="preserve">Demande </w:t>
      </w:r>
      <w:r w:rsidRPr="0040252D">
        <w:t>à l’Expert indépendant, dans le cadre de son mandat, de travailler en étroite collaboration avec tous les organes des Nations Unies, l’Union africaine, la Communauté économique des États de l’Afrique de l’Ouest, le Groupe de cinq pays du Sahel et ses États membres</w:t>
      </w:r>
      <w:r w:rsidR="00527666">
        <w:t>,</w:t>
      </w:r>
      <w:r w:rsidRPr="0040252D">
        <w:t xml:space="preserve"> les États voisins et toute autre organisation internationale intéressée, ainsi qu’avec la société civile malienne ;</w:t>
      </w:r>
    </w:p>
    <w:p w14:paraId="781D147A" w14:textId="77777777" w:rsidR="0040252D" w:rsidRPr="0040252D" w:rsidRDefault="0040252D" w:rsidP="0040252D">
      <w:pPr>
        <w:pStyle w:val="SingleTxtG"/>
        <w:ind w:firstLine="567"/>
      </w:pPr>
      <w:r w:rsidRPr="0040252D">
        <w:t>31.</w:t>
      </w:r>
      <w:r w:rsidRPr="0040252D">
        <w:tab/>
      </w:r>
      <w:r w:rsidRPr="0040252D">
        <w:rPr>
          <w:i/>
        </w:rPr>
        <w:t xml:space="preserve">Demande également </w:t>
      </w:r>
      <w:r w:rsidRPr="0040252D">
        <w:t xml:space="preserve">à l’Expert indépendant de lui faire rapport sur la situation des droits de l’homme à sa </w:t>
      </w:r>
      <w:r w:rsidRPr="0040252D">
        <w:rPr>
          <w:bCs/>
        </w:rPr>
        <w:t>cinquante-deuxième</w:t>
      </w:r>
      <w:r w:rsidRPr="0040252D">
        <w:t xml:space="preserve"> session ;</w:t>
      </w:r>
    </w:p>
    <w:p w14:paraId="0EA77E5D" w14:textId="4688AE1E" w:rsidR="0040252D" w:rsidRPr="0040252D" w:rsidRDefault="0040252D" w:rsidP="0040252D">
      <w:pPr>
        <w:pStyle w:val="SingleTxtG"/>
        <w:ind w:firstLine="567"/>
      </w:pPr>
      <w:r w:rsidRPr="0040252D">
        <w:t>32.</w:t>
      </w:r>
      <w:r w:rsidRPr="0040252D">
        <w:tab/>
      </w:r>
      <w:r w:rsidRPr="0040252D">
        <w:rPr>
          <w:i/>
        </w:rPr>
        <w:t xml:space="preserve">Décide </w:t>
      </w:r>
      <w:r w:rsidRPr="0040252D">
        <w:t xml:space="preserve">de tenir à sa </w:t>
      </w:r>
      <w:r w:rsidRPr="0040252D">
        <w:rPr>
          <w:bCs/>
        </w:rPr>
        <w:t>cinquante-deuxième</w:t>
      </w:r>
      <w:r w:rsidRPr="0040252D">
        <w:t xml:space="preserve"> session un dialogue en présence de l’Expert indépendant et des représentants du Gouvernement de transition malien afin d’évaluer l’évolution de la situation des droits de l’homme dans le pays, en s’attachant particulièrement </w:t>
      </w:r>
      <w:r w:rsidRPr="0040252D">
        <w:rPr>
          <w:bCs/>
        </w:rPr>
        <w:t>aux questions de</w:t>
      </w:r>
      <w:r w:rsidRPr="0040252D">
        <w:t xml:space="preserve"> la </w:t>
      </w:r>
      <w:r w:rsidRPr="0040252D">
        <w:rPr>
          <w:bCs/>
        </w:rPr>
        <w:t>protection</w:t>
      </w:r>
      <w:r w:rsidRPr="0040252D">
        <w:t xml:space="preserve"> de l’espace </w:t>
      </w:r>
      <w:r w:rsidRPr="0040252D">
        <w:rPr>
          <w:bCs/>
        </w:rPr>
        <w:t>civique</w:t>
      </w:r>
      <w:r w:rsidRPr="0040252D">
        <w:t xml:space="preserve"> et </w:t>
      </w:r>
      <w:r w:rsidR="003D11CA">
        <w:rPr>
          <w:bCs/>
        </w:rPr>
        <w:t>du</w:t>
      </w:r>
      <w:r w:rsidRPr="0040252D">
        <w:rPr>
          <w:bCs/>
        </w:rPr>
        <w:t xml:space="preserve"> respect de l’</w:t>
      </w:r>
      <w:r w:rsidR="003D11CA">
        <w:rPr>
          <w:bCs/>
        </w:rPr>
        <w:t>é</w:t>
      </w:r>
      <w:r w:rsidRPr="0040252D">
        <w:rPr>
          <w:bCs/>
        </w:rPr>
        <w:t>tat de droit</w:t>
      </w:r>
      <w:r>
        <w:rPr>
          <w:bCs/>
        </w:rPr>
        <w:t> ;</w:t>
      </w:r>
    </w:p>
    <w:p w14:paraId="4AA77AF2" w14:textId="77777777" w:rsidR="0040252D" w:rsidRPr="0040252D" w:rsidRDefault="0040252D" w:rsidP="0040252D">
      <w:pPr>
        <w:pStyle w:val="SingleTxtG"/>
        <w:ind w:firstLine="567"/>
      </w:pPr>
      <w:r w:rsidRPr="0040252D">
        <w:t>33.</w:t>
      </w:r>
      <w:r w:rsidRPr="0040252D">
        <w:tab/>
      </w:r>
      <w:r w:rsidRPr="0040252D">
        <w:rPr>
          <w:i/>
        </w:rPr>
        <w:t>Invite</w:t>
      </w:r>
      <w:r w:rsidRPr="0040252D">
        <w:t xml:space="preserve"> le Secrétaire général et la </w:t>
      </w:r>
      <w:proofErr w:type="spellStart"/>
      <w:r w:rsidRPr="0040252D">
        <w:t>Haute-Commissaire</w:t>
      </w:r>
      <w:proofErr w:type="spellEnd"/>
      <w:r w:rsidRPr="0040252D">
        <w:t xml:space="preserve"> des Nations Unies aux droits de l’homme à continuer d’apporter à l’Expert indépendant toute l’assistance dont il a besoin pour s’acquitter entièrement de son mandat ;</w:t>
      </w:r>
    </w:p>
    <w:p w14:paraId="1624627E" w14:textId="77777777" w:rsidR="0040252D" w:rsidRPr="0040252D" w:rsidRDefault="0040252D" w:rsidP="0040252D">
      <w:pPr>
        <w:pStyle w:val="SingleTxtG"/>
        <w:ind w:firstLine="567"/>
      </w:pPr>
      <w:r w:rsidRPr="0040252D">
        <w:lastRenderedPageBreak/>
        <w:t>34.</w:t>
      </w:r>
      <w:r w:rsidRPr="0040252D">
        <w:tab/>
      </w:r>
      <w:r w:rsidRPr="0040252D">
        <w:rPr>
          <w:i/>
        </w:rPr>
        <w:t>Demande</w:t>
      </w:r>
      <w:r w:rsidRPr="0040252D">
        <w:t xml:space="preserve"> au Haut-Commissariat des Nations Unies aux droits de l’homme de continuer à fournir l’assistance technique sollicitée par le Gouvernement de transition malien afin de renforcer les capacités de la Commission nationale des droits de l’homme du Mali ;</w:t>
      </w:r>
    </w:p>
    <w:p w14:paraId="0CE347AE" w14:textId="77777777" w:rsidR="0040252D" w:rsidRPr="0040252D" w:rsidRDefault="0040252D" w:rsidP="0040252D">
      <w:pPr>
        <w:pStyle w:val="SingleTxtG"/>
        <w:ind w:firstLine="567"/>
      </w:pPr>
      <w:r w:rsidRPr="0040252D">
        <w:t>35.</w:t>
      </w:r>
      <w:r w:rsidRPr="0040252D">
        <w:tab/>
      </w:r>
      <w:r w:rsidRPr="0040252D">
        <w:rPr>
          <w:i/>
        </w:rPr>
        <w:t xml:space="preserve">Engage instamment </w:t>
      </w:r>
      <w:r w:rsidRPr="0040252D">
        <w:t>la communauté internationale à continuer d’apporter au Mali l’assistance nécessaire pour assurer sa stabilité en vue de promouvoir le respect de tous les droits de l’homme et de lutter résolument contre l’impunité, ce qui favorisera la réconciliation nationale, la paix et la cohésion sociale ;</w:t>
      </w:r>
    </w:p>
    <w:p w14:paraId="66C3513B" w14:textId="0CBD1B94" w:rsidR="00130C41" w:rsidRDefault="0040252D" w:rsidP="0040252D">
      <w:pPr>
        <w:pStyle w:val="SingleTxtG"/>
        <w:ind w:firstLine="567"/>
      </w:pPr>
      <w:r w:rsidRPr="0040252D">
        <w:t>36.</w:t>
      </w:r>
      <w:r>
        <w:rPr>
          <w:bCs/>
        </w:rPr>
        <w:tab/>
      </w:r>
      <w:r w:rsidRPr="0040252D">
        <w:rPr>
          <w:i/>
        </w:rPr>
        <w:t xml:space="preserve">Décide </w:t>
      </w:r>
      <w:r w:rsidRPr="0040252D">
        <w:t>de demeurer saisi de cette question.</w:t>
      </w:r>
    </w:p>
    <w:p w14:paraId="7FF6A96B" w14:textId="798E7D87" w:rsidR="00171303" w:rsidRPr="00093FC3" w:rsidRDefault="00171303" w:rsidP="00171303">
      <w:pPr>
        <w:pStyle w:val="SingleTxtG"/>
        <w:jc w:val="right"/>
        <w:rPr>
          <w:i/>
          <w:iCs/>
          <w:lang w:val="fr-FR"/>
        </w:rPr>
      </w:pPr>
      <w:r>
        <w:rPr>
          <w:i/>
          <w:iCs/>
          <w:lang w:val="fr-FR"/>
        </w:rPr>
        <w:t>58</w:t>
      </w:r>
      <w:r w:rsidRPr="00093FC3">
        <w:rPr>
          <w:i/>
          <w:iCs/>
          <w:vertAlign w:val="superscript"/>
          <w:lang w:val="fr-FR"/>
        </w:rPr>
        <w:t>e</w:t>
      </w:r>
      <w:r>
        <w:rPr>
          <w:i/>
          <w:iCs/>
          <w:lang w:val="fr-FR"/>
        </w:rPr>
        <w:t> </w:t>
      </w:r>
      <w:r w:rsidRPr="00093FC3">
        <w:rPr>
          <w:i/>
          <w:iCs/>
          <w:lang w:val="fr-FR"/>
        </w:rPr>
        <w:t>séance</w:t>
      </w:r>
      <w:r w:rsidRPr="00093FC3">
        <w:rPr>
          <w:i/>
          <w:iCs/>
          <w:lang w:val="fr-FR"/>
        </w:rPr>
        <w:br/>
      </w:r>
      <w:r>
        <w:rPr>
          <w:i/>
          <w:iCs/>
          <w:lang w:val="fr-FR"/>
        </w:rPr>
        <w:t>1</w:t>
      </w:r>
      <w:r w:rsidRPr="00171303">
        <w:rPr>
          <w:i/>
          <w:iCs/>
          <w:vertAlign w:val="superscript"/>
          <w:lang w:val="fr-FR"/>
        </w:rPr>
        <w:t>er</w:t>
      </w:r>
      <w:r>
        <w:rPr>
          <w:i/>
          <w:iCs/>
          <w:lang w:val="fr-FR"/>
        </w:rPr>
        <w:t xml:space="preserve"> avril 2022</w:t>
      </w:r>
    </w:p>
    <w:p w14:paraId="4DD7B077" w14:textId="34CE6F20" w:rsidR="00171303" w:rsidRPr="00130C41" w:rsidRDefault="00171303" w:rsidP="00171303">
      <w:pPr>
        <w:pStyle w:val="SingleTxtG"/>
        <w:rPr>
          <w:lang w:val="fr-FR"/>
        </w:rPr>
      </w:pPr>
      <w:r w:rsidRPr="00093FC3">
        <w:rPr>
          <w:lang w:val="fr-FR"/>
        </w:rPr>
        <w:t>[Adoptée sans vote.]</w:t>
      </w:r>
    </w:p>
    <w:p w14:paraId="7C352BC9" w14:textId="1B4D02A4" w:rsidR="0008167F" w:rsidRPr="0040252D" w:rsidRDefault="0040252D" w:rsidP="0040252D">
      <w:pPr>
        <w:spacing w:before="240"/>
        <w:ind w:left="1134" w:right="1134"/>
        <w:jc w:val="center"/>
        <w:rPr>
          <w:u w:val="single"/>
        </w:rPr>
      </w:pPr>
      <w:r>
        <w:rPr>
          <w:u w:val="single"/>
        </w:rPr>
        <w:tab/>
      </w:r>
      <w:r>
        <w:rPr>
          <w:u w:val="single"/>
        </w:rPr>
        <w:tab/>
      </w:r>
      <w:r>
        <w:rPr>
          <w:u w:val="single"/>
        </w:rPr>
        <w:tab/>
      </w:r>
      <w:r w:rsidR="005A50FF">
        <w:rPr>
          <w:u w:val="single"/>
        </w:rPr>
        <w:tab/>
      </w:r>
    </w:p>
    <w:sectPr w:rsidR="0008167F" w:rsidRPr="0040252D" w:rsidSect="00130C41">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78CEC" w14:textId="77777777" w:rsidR="00BC611F" w:rsidRDefault="00BC611F"/>
  </w:endnote>
  <w:endnote w:type="continuationSeparator" w:id="0">
    <w:p w14:paraId="09590C09" w14:textId="77777777" w:rsidR="00BC611F" w:rsidRDefault="00BC611F"/>
  </w:endnote>
  <w:endnote w:type="continuationNotice" w:id="1">
    <w:p w14:paraId="103C3D42" w14:textId="77777777" w:rsidR="00BC611F" w:rsidRDefault="00BC61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773F2" w14:textId="0EBEC5DA"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2904BF">
      <w:rPr>
        <w:b/>
        <w:noProof/>
        <w:sz w:val="18"/>
      </w:rPr>
      <w:t>6</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A4A2C" w14:textId="1E703868"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2904BF">
      <w:rPr>
        <w:b/>
        <w:noProof/>
        <w:sz w:val="18"/>
      </w:rPr>
      <w:t>7</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425C8" w14:textId="7E5350A7" w:rsidR="00152D66" w:rsidRPr="00C01BCF" w:rsidRDefault="00C01BCF" w:rsidP="00C01BCF">
    <w:pPr>
      <w:pStyle w:val="Pieddepage"/>
      <w:tabs>
        <w:tab w:val="left" w:pos="6520"/>
        <w:tab w:val="right" w:pos="9638"/>
      </w:tabs>
      <w:spacing w:before="120"/>
      <w:rPr>
        <w:sz w:val="20"/>
      </w:rPr>
    </w:pPr>
    <w:r>
      <w:rPr>
        <w:sz w:val="20"/>
      </w:rPr>
      <w:t>GE.22-05124  (F)</w:t>
    </w:r>
    <w:bookmarkStart w:id="5" w:name="_GoBack"/>
    <w:bookmarkEnd w:id="5"/>
    <w:r>
      <w:rPr>
        <w:sz w:val="20"/>
      </w:rPr>
      <w:tab/>
    </w:r>
    <w:r w:rsidRPr="00C01BCF">
      <w:rPr>
        <w:noProof/>
        <w:sz w:val="20"/>
        <w:lang w:eastAsia="fr-CH"/>
      </w:rPr>
      <w:drawing>
        <wp:inline distT="0" distB="0" distL="0" distR="0" wp14:anchorId="12EC96E7" wp14:editId="1965DFBB">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A6C7CD9" wp14:editId="2BC4744C">
          <wp:extent cx="560705" cy="56070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0A55B" w14:textId="77777777" w:rsidR="00BC611F" w:rsidRPr="00D27D5E" w:rsidRDefault="00BC611F" w:rsidP="00D27D5E">
      <w:pPr>
        <w:tabs>
          <w:tab w:val="right" w:pos="2155"/>
        </w:tabs>
        <w:spacing w:after="80"/>
        <w:ind w:left="680"/>
        <w:rPr>
          <w:u w:val="single"/>
        </w:rPr>
      </w:pPr>
      <w:r>
        <w:rPr>
          <w:u w:val="single"/>
        </w:rPr>
        <w:tab/>
      </w:r>
    </w:p>
  </w:footnote>
  <w:footnote w:type="continuationSeparator" w:id="0">
    <w:p w14:paraId="2EC15C7B" w14:textId="77777777" w:rsidR="00BC611F" w:rsidRPr="00D72E7E" w:rsidRDefault="00BC611F" w:rsidP="00D72E7E">
      <w:pPr>
        <w:tabs>
          <w:tab w:val="right" w:pos="2155"/>
        </w:tabs>
        <w:spacing w:after="80"/>
        <w:ind w:left="680"/>
        <w:rPr>
          <w:u w:val="single"/>
        </w:rPr>
      </w:pPr>
      <w:r w:rsidRPr="00D72E7E">
        <w:rPr>
          <w:u w:val="single"/>
        </w:rPr>
        <w:tab/>
      </w:r>
    </w:p>
  </w:footnote>
  <w:footnote w:type="continuationNotice" w:id="1">
    <w:p w14:paraId="33BD77EF" w14:textId="77777777" w:rsidR="00BC611F" w:rsidRDefault="00BC611F"/>
  </w:footnote>
  <w:footnote w:id="2">
    <w:p w14:paraId="566FAD46" w14:textId="29BB7501" w:rsidR="00246D7D" w:rsidRPr="008A37A5" w:rsidRDefault="008A37A5" w:rsidP="008A37A5">
      <w:pPr>
        <w:pStyle w:val="Notedebasdepage"/>
      </w:pPr>
      <w:r w:rsidRPr="00E51E56">
        <w:rPr>
          <w:lang w:val="fr-CH"/>
        </w:rPr>
        <w:tab/>
      </w:r>
      <w:r w:rsidR="00246D7D">
        <w:rPr>
          <w:rStyle w:val="Appelnotedebasdep"/>
        </w:rPr>
        <w:footnoteRef/>
      </w:r>
      <w:r>
        <w:tab/>
        <w:t>A/HRC/49/94.</w:t>
      </w:r>
    </w:p>
  </w:footnote>
  <w:footnote w:id="3">
    <w:p w14:paraId="6CE9A3EB" w14:textId="1282B439" w:rsidR="000127A4" w:rsidRPr="000127A4" w:rsidRDefault="000127A4">
      <w:pPr>
        <w:pStyle w:val="Notedebasdepage"/>
      </w:pPr>
      <w:r>
        <w:tab/>
      </w:r>
      <w:r>
        <w:rPr>
          <w:rStyle w:val="Appelnotedebasdep"/>
        </w:rPr>
        <w:footnoteRef/>
      </w:r>
      <w:r>
        <w:tab/>
        <w:t>S/2021/1117.</w:t>
      </w:r>
    </w:p>
  </w:footnote>
  <w:footnote w:id="4">
    <w:p w14:paraId="33AFE697" w14:textId="5858C3D9" w:rsidR="0055540B" w:rsidRPr="00993183" w:rsidRDefault="0055540B">
      <w:pPr>
        <w:pStyle w:val="Notedebasdepage"/>
      </w:pPr>
      <w:r>
        <w:tab/>
      </w:r>
      <w:r>
        <w:rPr>
          <w:rStyle w:val="Appelnotedebasdep"/>
        </w:rPr>
        <w:footnoteRef/>
      </w:r>
      <w:r>
        <w:tab/>
      </w:r>
      <w:r w:rsidR="00993183">
        <w:t>S/</w:t>
      </w:r>
      <w:r>
        <w:t>A</w:t>
      </w:r>
      <w:r w:rsidR="00993183">
        <w:t>C.51/2020/11.</w:t>
      </w:r>
    </w:p>
  </w:footnote>
  <w:footnote w:id="5">
    <w:p w14:paraId="3FCA4E88" w14:textId="45A7E4C0" w:rsidR="00FE3169" w:rsidRPr="00FE3169" w:rsidRDefault="00FE3169">
      <w:pPr>
        <w:pStyle w:val="Notedebasdepage"/>
      </w:pPr>
      <w:r>
        <w:tab/>
      </w:r>
      <w:r>
        <w:rPr>
          <w:rStyle w:val="Appelnotedebasdep"/>
        </w:rPr>
        <w:footnoteRef/>
      </w:r>
      <w:r>
        <w:tab/>
      </w:r>
      <w:r w:rsidR="0054753D">
        <w:t>S/2020/1332,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6E19" w14:textId="43C2345B" w:rsidR="00130C41" w:rsidRPr="00130C41" w:rsidRDefault="00056AEA">
    <w:pPr>
      <w:pStyle w:val="En-tte"/>
    </w:pPr>
    <w:r>
      <w:t>A/HRC/</w:t>
    </w:r>
    <w:r w:rsidR="000457F4">
      <w:t>RES/</w:t>
    </w:r>
    <w:r>
      <w:t>4</w:t>
    </w:r>
    <w:r w:rsidR="007D4BF4">
      <w:t>9</w:t>
    </w:r>
    <w:r>
      <w:t>/</w:t>
    </w:r>
    <w:r w:rsidR="000457F4">
      <w:t>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DFB42" w14:textId="0C5F531D" w:rsidR="00130C41" w:rsidRPr="00130C41" w:rsidRDefault="0040252D" w:rsidP="00130C41">
    <w:pPr>
      <w:pStyle w:val="En-tte"/>
      <w:jc w:val="right"/>
    </w:pPr>
    <w:r>
      <w:t>A/HRC/</w:t>
    </w:r>
    <w:r w:rsidR="000457F4">
      <w:t>RES/</w:t>
    </w:r>
    <w:r>
      <w:t>49/</w:t>
    </w:r>
    <w:r w:rsidR="000457F4">
      <w:t>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9"/>
  </w:num>
  <w:num w:numId="2">
    <w:abstractNumId w:val="1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8"/>
  </w:num>
  <w:num w:numId="15">
    <w:abstractNumId w:val="17"/>
  </w:num>
  <w:num w:numId="16">
    <w:abstractNumId w:val="16"/>
  </w:num>
  <w:num w:numId="17">
    <w:abstractNumId w:val="14"/>
  </w:num>
  <w:num w:numId="18">
    <w:abstractNumId w:val="16"/>
  </w:num>
  <w:num w:numId="19">
    <w:abstractNumId w:val="14"/>
  </w:num>
  <w:num w:numId="20">
    <w:abstractNumId w:val="16"/>
  </w:num>
  <w:num w:numId="21">
    <w:abstractNumId w:val="14"/>
  </w:num>
  <w:num w:numId="22">
    <w:abstractNumId w:val="10"/>
  </w:num>
  <w:num w:numId="23">
    <w:abstractNumId w:val="15"/>
  </w:num>
  <w:num w:numId="2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C41"/>
    <w:rsid w:val="00007198"/>
    <w:rsid w:val="00010548"/>
    <w:rsid w:val="000127A4"/>
    <w:rsid w:val="00016AC5"/>
    <w:rsid w:val="00020C56"/>
    <w:rsid w:val="00020E1C"/>
    <w:rsid w:val="00025771"/>
    <w:rsid w:val="0003055E"/>
    <w:rsid w:val="00031819"/>
    <w:rsid w:val="000457F4"/>
    <w:rsid w:val="00056AEA"/>
    <w:rsid w:val="00057BC0"/>
    <w:rsid w:val="00067210"/>
    <w:rsid w:val="0007752F"/>
    <w:rsid w:val="0008047D"/>
    <w:rsid w:val="0008167F"/>
    <w:rsid w:val="00085A8C"/>
    <w:rsid w:val="000A02E3"/>
    <w:rsid w:val="000C6578"/>
    <w:rsid w:val="000E03D2"/>
    <w:rsid w:val="000F41F2"/>
    <w:rsid w:val="0011219D"/>
    <w:rsid w:val="00130C41"/>
    <w:rsid w:val="00133A93"/>
    <w:rsid w:val="00133B7A"/>
    <w:rsid w:val="001370FA"/>
    <w:rsid w:val="001416F3"/>
    <w:rsid w:val="00146003"/>
    <w:rsid w:val="00152D66"/>
    <w:rsid w:val="00153B2E"/>
    <w:rsid w:val="00160540"/>
    <w:rsid w:val="00170BBF"/>
    <w:rsid w:val="00171303"/>
    <w:rsid w:val="00172B99"/>
    <w:rsid w:val="00186254"/>
    <w:rsid w:val="00192EEB"/>
    <w:rsid w:val="001A20FB"/>
    <w:rsid w:val="001C6647"/>
    <w:rsid w:val="001E3FEB"/>
    <w:rsid w:val="001E4A02"/>
    <w:rsid w:val="001E4B36"/>
    <w:rsid w:val="00205F89"/>
    <w:rsid w:val="00213A68"/>
    <w:rsid w:val="00246D7D"/>
    <w:rsid w:val="002659F1"/>
    <w:rsid w:val="00273488"/>
    <w:rsid w:val="002820DF"/>
    <w:rsid w:val="002837B3"/>
    <w:rsid w:val="00287E79"/>
    <w:rsid w:val="002904BF"/>
    <w:rsid w:val="00290EE9"/>
    <w:rsid w:val="002928F9"/>
    <w:rsid w:val="00294877"/>
    <w:rsid w:val="0029519C"/>
    <w:rsid w:val="002A3CDB"/>
    <w:rsid w:val="002A5D07"/>
    <w:rsid w:val="002D3C12"/>
    <w:rsid w:val="002E4CB3"/>
    <w:rsid w:val="003016B7"/>
    <w:rsid w:val="003515AA"/>
    <w:rsid w:val="0035623D"/>
    <w:rsid w:val="00374106"/>
    <w:rsid w:val="0037787B"/>
    <w:rsid w:val="003800E1"/>
    <w:rsid w:val="00380C55"/>
    <w:rsid w:val="0039302A"/>
    <w:rsid w:val="00394E00"/>
    <w:rsid w:val="003976D5"/>
    <w:rsid w:val="003A4884"/>
    <w:rsid w:val="003D11CA"/>
    <w:rsid w:val="003D193B"/>
    <w:rsid w:val="003D2619"/>
    <w:rsid w:val="003D5D72"/>
    <w:rsid w:val="003D6C68"/>
    <w:rsid w:val="003E6ACD"/>
    <w:rsid w:val="003E73B8"/>
    <w:rsid w:val="003F495C"/>
    <w:rsid w:val="0040252D"/>
    <w:rsid w:val="00405687"/>
    <w:rsid w:val="0041110B"/>
    <w:rsid w:val="004159D0"/>
    <w:rsid w:val="00420648"/>
    <w:rsid w:val="00453816"/>
    <w:rsid w:val="0045478E"/>
    <w:rsid w:val="00476ABA"/>
    <w:rsid w:val="00481744"/>
    <w:rsid w:val="00481B4D"/>
    <w:rsid w:val="00482630"/>
    <w:rsid w:val="004B2F4D"/>
    <w:rsid w:val="004C6613"/>
    <w:rsid w:val="004D77C9"/>
    <w:rsid w:val="004E0ED4"/>
    <w:rsid w:val="00506892"/>
    <w:rsid w:val="00515E4C"/>
    <w:rsid w:val="00515EF2"/>
    <w:rsid w:val="00520C0B"/>
    <w:rsid w:val="00527666"/>
    <w:rsid w:val="005308BA"/>
    <w:rsid w:val="0054753D"/>
    <w:rsid w:val="0055540B"/>
    <w:rsid w:val="00571F41"/>
    <w:rsid w:val="00586F89"/>
    <w:rsid w:val="00594033"/>
    <w:rsid w:val="005A05A0"/>
    <w:rsid w:val="005A3D32"/>
    <w:rsid w:val="005A50FF"/>
    <w:rsid w:val="005D1816"/>
    <w:rsid w:val="005D64DA"/>
    <w:rsid w:val="005E5774"/>
    <w:rsid w:val="005E5D1F"/>
    <w:rsid w:val="005F0015"/>
    <w:rsid w:val="005F3C2D"/>
    <w:rsid w:val="00612D48"/>
    <w:rsid w:val="00616B45"/>
    <w:rsid w:val="00621F7A"/>
    <w:rsid w:val="006402CD"/>
    <w:rsid w:val="006439EC"/>
    <w:rsid w:val="0066166E"/>
    <w:rsid w:val="006717FE"/>
    <w:rsid w:val="006739B9"/>
    <w:rsid w:val="006742FD"/>
    <w:rsid w:val="00675282"/>
    <w:rsid w:val="006A0A19"/>
    <w:rsid w:val="006A1465"/>
    <w:rsid w:val="006A4BB1"/>
    <w:rsid w:val="006B4590"/>
    <w:rsid w:val="006C340C"/>
    <w:rsid w:val="006E0B3E"/>
    <w:rsid w:val="006E7C51"/>
    <w:rsid w:val="0070347C"/>
    <w:rsid w:val="007245EE"/>
    <w:rsid w:val="00730B93"/>
    <w:rsid w:val="00757464"/>
    <w:rsid w:val="00757B26"/>
    <w:rsid w:val="007602DF"/>
    <w:rsid w:val="00776D0A"/>
    <w:rsid w:val="00794671"/>
    <w:rsid w:val="007B4AD1"/>
    <w:rsid w:val="007B67AF"/>
    <w:rsid w:val="007D30F7"/>
    <w:rsid w:val="007D4BF4"/>
    <w:rsid w:val="0081197C"/>
    <w:rsid w:val="00844750"/>
    <w:rsid w:val="00853E7B"/>
    <w:rsid w:val="0088312E"/>
    <w:rsid w:val="00887F7F"/>
    <w:rsid w:val="0089210D"/>
    <w:rsid w:val="008921DD"/>
    <w:rsid w:val="0089595B"/>
    <w:rsid w:val="008A37A5"/>
    <w:rsid w:val="008A4F6C"/>
    <w:rsid w:val="008B4356"/>
    <w:rsid w:val="008E7FAE"/>
    <w:rsid w:val="00911BF7"/>
    <w:rsid w:val="00911C00"/>
    <w:rsid w:val="00932347"/>
    <w:rsid w:val="0095388C"/>
    <w:rsid w:val="0096714A"/>
    <w:rsid w:val="00977EC8"/>
    <w:rsid w:val="00993183"/>
    <w:rsid w:val="009934E1"/>
    <w:rsid w:val="0099356B"/>
    <w:rsid w:val="009D3A8C"/>
    <w:rsid w:val="009E3000"/>
    <w:rsid w:val="009E321E"/>
    <w:rsid w:val="009E7956"/>
    <w:rsid w:val="00A0097E"/>
    <w:rsid w:val="00A13AA0"/>
    <w:rsid w:val="00A2492E"/>
    <w:rsid w:val="00A41FCA"/>
    <w:rsid w:val="00A51BCB"/>
    <w:rsid w:val="00A63BBD"/>
    <w:rsid w:val="00A8374C"/>
    <w:rsid w:val="00A954DF"/>
    <w:rsid w:val="00AA3F85"/>
    <w:rsid w:val="00AC47AD"/>
    <w:rsid w:val="00AC7977"/>
    <w:rsid w:val="00AD7860"/>
    <w:rsid w:val="00AE02BF"/>
    <w:rsid w:val="00AE352C"/>
    <w:rsid w:val="00AE5C9A"/>
    <w:rsid w:val="00AE6A9E"/>
    <w:rsid w:val="00B32AA5"/>
    <w:rsid w:val="00B32E2D"/>
    <w:rsid w:val="00B403DB"/>
    <w:rsid w:val="00B61990"/>
    <w:rsid w:val="00B85867"/>
    <w:rsid w:val="00B920A1"/>
    <w:rsid w:val="00B9642C"/>
    <w:rsid w:val="00BB2C7F"/>
    <w:rsid w:val="00BC08F2"/>
    <w:rsid w:val="00BC611F"/>
    <w:rsid w:val="00BD1FBC"/>
    <w:rsid w:val="00BD453E"/>
    <w:rsid w:val="00BE28D3"/>
    <w:rsid w:val="00BF0556"/>
    <w:rsid w:val="00BF485D"/>
    <w:rsid w:val="00C01BCF"/>
    <w:rsid w:val="00C11BE5"/>
    <w:rsid w:val="00C131CE"/>
    <w:rsid w:val="00C261F8"/>
    <w:rsid w:val="00C32804"/>
    <w:rsid w:val="00C33DA2"/>
    <w:rsid w:val="00C70F6B"/>
    <w:rsid w:val="00C717E0"/>
    <w:rsid w:val="00C80BE9"/>
    <w:rsid w:val="00CA7A07"/>
    <w:rsid w:val="00CB4DC9"/>
    <w:rsid w:val="00CD1A71"/>
    <w:rsid w:val="00CD1FBB"/>
    <w:rsid w:val="00CE09C9"/>
    <w:rsid w:val="00CE2696"/>
    <w:rsid w:val="00CE2A9C"/>
    <w:rsid w:val="00CE5AFE"/>
    <w:rsid w:val="00D016B5"/>
    <w:rsid w:val="00D034F1"/>
    <w:rsid w:val="00D112B6"/>
    <w:rsid w:val="00D2069E"/>
    <w:rsid w:val="00D27D5E"/>
    <w:rsid w:val="00D340BA"/>
    <w:rsid w:val="00D42E42"/>
    <w:rsid w:val="00D64408"/>
    <w:rsid w:val="00D72E7E"/>
    <w:rsid w:val="00D8208D"/>
    <w:rsid w:val="00D85476"/>
    <w:rsid w:val="00D86C3D"/>
    <w:rsid w:val="00DA27C5"/>
    <w:rsid w:val="00DE2AF1"/>
    <w:rsid w:val="00DE6D90"/>
    <w:rsid w:val="00DE726B"/>
    <w:rsid w:val="00DF002F"/>
    <w:rsid w:val="00E0244D"/>
    <w:rsid w:val="00E51E56"/>
    <w:rsid w:val="00E5332C"/>
    <w:rsid w:val="00E53A1D"/>
    <w:rsid w:val="00E81E94"/>
    <w:rsid w:val="00E82607"/>
    <w:rsid w:val="00EB4068"/>
    <w:rsid w:val="00ED6DA2"/>
    <w:rsid w:val="00F0230A"/>
    <w:rsid w:val="00F06709"/>
    <w:rsid w:val="00F22103"/>
    <w:rsid w:val="00F238D8"/>
    <w:rsid w:val="00F42631"/>
    <w:rsid w:val="00F442ED"/>
    <w:rsid w:val="00F62891"/>
    <w:rsid w:val="00F72951"/>
    <w:rsid w:val="00FA5A79"/>
    <w:rsid w:val="00FA5B1C"/>
    <w:rsid w:val="00FB0BFE"/>
    <w:rsid w:val="00FB4C51"/>
    <w:rsid w:val="00FE3169"/>
    <w:rsid w:val="00FE578A"/>
    <w:rsid w:val="00FF07B1"/>
    <w:rsid w:val="00FF1DB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282C8479"/>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outlineLvl w:val="2"/>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794671"/>
    <w:pPr>
      <w:tabs>
        <w:tab w:val="left" w:pos="1701"/>
        <w:tab w:val="left" w:pos="2268"/>
        <w:tab w:val="left" w:pos="2835"/>
      </w:tabs>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Normal"/>
    <w:qFormat/>
    <w:rsid w:val="007245EE"/>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style>
  <w:style w:type="character" w:styleId="Marquedecommentaire">
    <w:name w:val="annotation reference"/>
    <w:basedOn w:val="Policepardfaut"/>
    <w:semiHidden/>
    <w:unhideWhenUsed/>
    <w:rsid w:val="009E321E"/>
    <w:rPr>
      <w:sz w:val="16"/>
      <w:szCs w:val="16"/>
    </w:rPr>
  </w:style>
  <w:style w:type="paragraph" w:styleId="Commentaire">
    <w:name w:val="annotation text"/>
    <w:basedOn w:val="Normal"/>
    <w:link w:val="CommentaireCar"/>
    <w:unhideWhenUsed/>
    <w:rsid w:val="009E321E"/>
    <w:pPr>
      <w:spacing w:line="240" w:lineRule="auto"/>
    </w:pPr>
  </w:style>
  <w:style w:type="character" w:customStyle="1" w:styleId="CommentaireCar">
    <w:name w:val="Commentaire Car"/>
    <w:basedOn w:val="Policepardfaut"/>
    <w:link w:val="Commentaire"/>
    <w:rsid w:val="009E321E"/>
    <w:rPr>
      <w:lang w:val="fr-CH" w:eastAsia="en-US"/>
    </w:rPr>
  </w:style>
  <w:style w:type="paragraph" w:styleId="Objetducommentaire">
    <w:name w:val="annotation subject"/>
    <w:basedOn w:val="Commentaire"/>
    <w:next w:val="Commentaire"/>
    <w:link w:val="ObjetducommentaireCar"/>
    <w:semiHidden/>
    <w:unhideWhenUsed/>
    <w:rsid w:val="009E321E"/>
    <w:rPr>
      <w:b/>
      <w:bCs/>
    </w:rPr>
  </w:style>
  <w:style w:type="character" w:customStyle="1" w:styleId="ObjetducommentaireCar">
    <w:name w:val="Objet du commentaire Car"/>
    <w:basedOn w:val="CommentaireCar"/>
    <w:link w:val="Objetducommentaire"/>
    <w:semiHidden/>
    <w:rsid w:val="009E321E"/>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BB8F9-3930-4C23-9985-B4C666534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A_F.dotm</Template>
  <TotalTime>3</TotalTime>
  <Pages>7</Pages>
  <Words>3791</Words>
  <Characters>20477</Characters>
  <Application>Microsoft Office Word</Application>
  <DocSecurity>0</DocSecurity>
  <Lines>319</Lines>
  <Paragraphs>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A/HRC/49/L.33</vt:lpstr>
      <vt:lpstr>Nations Unies</vt:lpstr>
    </vt:vector>
  </TitlesOfParts>
  <Company>CSD</Company>
  <LinksUpToDate>false</LinksUpToDate>
  <CharactersWithSpaces>24179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A/HRC/RES/49/34</dc:title>
  <dc:subject/>
  <dc:creator>Sumiko IHARA</dc:creator>
  <cp:keywords/>
  <cp:lastModifiedBy>Corinne Robert</cp:lastModifiedBy>
  <cp:revision>3</cp:revision>
  <cp:lastPrinted>2022-04-11T06:32:00Z</cp:lastPrinted>
  <dcterms:created xsi:type="dcterms:W3CDTF">2022-04-11T06:32:00Z</dcterms:created>
  <dcterms:modified xsi:type="dcterms:W3CDTF">2022-04-11T06:33:00Z</dcterms:modified>
</cp:coreProperties>
</file>