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0329DD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A17DFD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329DD" w:rsidP="000329DD">
            <w:pPr>
              <w:jc w:val="right"/>
            </w:pPr>
            <w:r w:rsidRPr="000329DD">
              <w:rPr>
                <w:sz w:val="40"/>
              </w:rPr>
              <w:t>CERD</w:t>
            </w:r>
            <w:r>
              <w:t>/C/ALB/Q/5-8</w:t>
            </w:r>
          </w:p>
        </w:tc>
      </w:tr>
      <w:tr w:rsidR="002D5AAC" w:rsidTr="000329D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A17DF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8728CD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>la Eliminación de todas 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329DD" w:rsidRDefault="000329DD" w:rsidP="00B778C8">
            <w:pPr>
              <w:spacing w:before="240"/>
            </w:pPr>
            <w:r>
              <w:t>Distr. general</w:t>
            </w:r>
          </w:p>
          <w:p w:rsidR="000329DD" w:rsidRDefault="000329DD" w:rsidP="000329DD">
            <w:pPr>
              <w:spacing w:line="240" w:lineRule="exact"/>
            </w:pPr>
            <w:r>
              <w:t>2 de agosto de 2011</w:t>
            </w:r>
          </w:p>
          <w:p w:rsidR="000329DD" w:rsidRDefault="000329DD" w:rsidP="000329DD">
            <w:pPr>
              <w:spacing w:line="240" w:lineRule="exact"/>
            </w:pPr>
            <w:r>
              <w:t>Español</w:t>
            </w:r>
          </w:p>
          <w:p w:rsidR="002D5AAC" w:rsidRDefault="000329DD" w:rsidP="000329DD">
            <w:pPr>
              <w:spacing w:line="240" w:lineRule="exact"/>
            </w:pPr>
            <w:r>
              <w:t>Original: inglés</w:t>
            </w:r>
          </w:p>
        </w:tc>
      </w:tr>
    </w:tbl>
    <w:p w:rsidR="000329DD" w:rsidRPr="001B6567" w:rsidRDefault="000329DD" w:rsidP="000329DD">
      <w:pPr>
        <w:spacing w:before="120"/>
        <w:rPr>
          <w:b/>
          <w:sz w:val="24"/>
          <w:szCs w:val="24"/>
        </w:rPr>
      </w:pPr>
      <w:r w:rsidRPr="001B6567">
        <w:rPr>
          <w:b/>
          <w:sz w:val="24"/>
          <w:szCs w:val="24"/>
        </w:rPr>
        <w:t>Comité para la Eliminación de la Discriminación Racial</w:t>
      </w:r>
    </w:p>
    <w:p w:rsidR="000329DD" w:rsidRPr="00857839" w:rsidRDefault="000329DD" w:rsidP="000329DD">
      <w:pPr>
        <w:rPr>
          <w:b/>
        </w:rPr>
      </w:pPr>
      <w:r w:rsidRPr="00857839">
        <w:rPr>
          <w:b/>
        </w:rPr>
        <w:t>79º período de sesiones</w:t>
      </w:r>
    </w:p>
    <w:p w:rsidR="000329DD" w:rsidRPr="00857839" w:rsidRDefault="000329DD" w:rsidP="000329DD">
      <w:r w:rsidRPr="00857839">
        <w:t>8 de agosto a 2 de septiembre de 2011</w:t>
      </w:r>
    </w:p>
    <w:p w:rsidR="000329DD" w:rsidRPr="001B6567" w:rsidRDefault="000329DD" w:rsidP="000329DD">
      <w:pPr>
        <w:pStyle w:val="HChG"/>
      </w:pPr>
      <w:r>
        <w:tab/>
      </w:r>
      <w:r>
        <w:tab/>
      </w:r>
      <w:r w:rsidRPr="001B6567">
        <w:t>Aplicación de la Convención Internacional sobre la Eliminación de todas las Formas de Discriminación</w:t>
      </w:r>
      <w:r>
        <w:br/>
      </w:r>
      <w:r w:rsidRPr="001B6567">
        <w:t>Racial</w:t>
      </w:r>
    </w:p>
    <w:p w:rsidR="000329DD" w:rsidRPr="00857839" w:rsidRDefault="000329DD" w:rsidP="000329DD">
      <w:pPr>
        <w:pStyle w:val="H1G"/>
      </w:pPr>
      <w:r>
        <w:tab/>
      </w:r>
      <w:r>
        <w:tab/>
      </w:r>
      <w:r w:rsidRPr="001B6567">
        <w:t>Lista de temas que deben abordarse al examinar los informes periódicos quinto a octavo de Albania (CERD/C/ALB/5-8)</w:t>
      </w:r>
      <w:r w:rsidRPr="001B6567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0329DD" w:rsidRPr="00857839" w:rsidTr="00993A62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0329DD" w:rsidRPr="00857839" w:rsidRDefault="000329DD" w:rsidP="00993A62">
            <w:pPr>
              <w:spacing w:after="240" w:line="240" w:lineRule="auto"/>
              <w:rPr>
                <w:b/>
              </w:rPr>
            </w:pPr>
          </w:p>
        </w:tc>
      </w:tr>
      <w:tr w:rsidR="000329DD" w:rsidRPr="00857839" w:rsidTr="00993A6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329DD" w:rsidRPr="00857839" w:rsidRDefault="000329DD" w:rsidP="00993A62">
            <w:pPr>
              <w:spacing w:after="120" w:line="240" w:lineRule="auto"/>
              <w:jc w:val="both"/>
            </w:pPr>
            <w:r w:rsidRPr="00857839">
              <w:tab/>
              <w:t xml:space="preserve">La lista de temas que figura a continuación ha sido elaborada por el Relator para el país, con el propósito de utilizarla en el examen de los informes periódicos quinto, sexto, séptimo y octavo de Albania. El objetivo de esta lista es facilitar el diálogo entre la delegación del Estado parte y el Comité, y </w:t>
            </w:r>
            <w:r w:rsidRPr="00857839">
              <w:rPr>
                <w:i/>
              </w:rPr>
              <w:t>no requiere respuestas por escrito</w:t>
            </w:r>
            <w:r w:rsidRPr="00857839">
              <w:t>. No es una lista exhaustiva, pues durante el diálogo con el Estado parte podrán abordarse otros asuntos.</w:t>
            </w:r>
          </w:p>
        </w:tc>
      </w:tr>
      <w:tr w:rsidR="000329DD" w:rsidRPr="00857839" w:rsidTr="00993A62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0329DD" w:rsidRPr="00857839" w:rsidRDefault="000329DD" w:rsidP="00993A62">
            <w:pPr>
              <w:spacing w:after="240" w:line="240" w:lineRule="auto"/>
              <w:rPr>
                <w:b/>
              </w:rPr>
            </w:pPr>
          </w:p>
        </w:tc>
      </w:tr>
    </w:tbl>
    <w:p w:rsidR="000329DD" w:rsidRPr="008A6B13" w:rsidRDefault="000329DD" w:rsidP="000329DD">
      <w:pPr>
        <w:pStyle w:val="H23G"/>
      </w:pPr>
      <w:r>
        <w:tab/>
      </w:r>
      <w:r w:rsidRPr="008A6B13">
        <w:t>1.</w:t>
      </w:r>
      <w:r w:rsidRPr="008A6B13">
        <w:tab/>
        <w:t>Indicadores fidedignos de la composición demográfica y dat</w:t>
      </w:r>
      <w:r>
        <w:t>os socioeconómicos (artículo 1)</w:t>
      </w:r>
    </w:p>
    <w:p w:rsidR="000329DD" w:rsidRPr="00857839" w:rsidRDefault="000329DD" w:rsidP="000329DD">
      <w:pPr>
        <w:pStyle w:val="SingleTxtG"/>
      </w:pPr>
      <w:r w:rsidRPr="00857839">
        <w:rPr>
          <w:b/>
        </w:rPr>
        <w:tab/>
      </w:r>
      <w:r w:rsidRPr="00857839">
        <w:t>a)</w:t>
      </w:r>
      <w:r w:rsidRPr="00857839">
        <w:tab/>
        <w:t>Situación de</w:t>
      </w:r>
      <w:r>
        <w:t>l</w:t>
      </w:r>
      <w:r w:rsidRPr="00857839">
        <w:t xml:space="preserve"> censo de población de 2011; alcance </w:t>
      </w:r>
      <w:r>
        <w:t>y</w:t>
      </w:r>
      <w:r w:rsidRPr="00857839">
        <w:t xml:space="preserve"> modalidades de </w:t>
      </w:r>
      <w:r>
        <w:t xml:space="preserve">la </w:t>
      </w:r>
      <w:r w:rsidRPr="00857839">
        <w:t>participación de los grupos minoritarios en la elaboración del censo, y criterios utilizados para la inclusión de cuestiones sobre el origen étnico;</w:t>
      </w:r>
    </w:p>
    <w:p w:rsidR="000329DD" w:rsidRPr="00857839" w:rsidRDefault="000329DD" w:rsidP="000329DD">
      <w:pPr>
        <w:pStyle w:val="SingleTxtG"/>
      </w:pPr>
      <w:r w:rsidRPr="00857839">
        <w:tab/>
        <w:t>b)</w:t>
      </w:r>
      <w:r w:rsidRPr="00857839">
        <w:tab/>
        <w:t>Sistemas vigentes para la reunión de datos sobre la situación social y económica de las minorías del país.</w:t>
      </w:r>
    </w:p>
    <w:p w:rsidR="000329DD" w:rsidRPr="008A6B13" w:rsidRDefault="000329DD" w:rsidP="000329DD">
      <w:pPr>
        <w:pStyle w:val="H23G"/>
      </w:pPr>
      <w:r>
        <w:tab/>
      </w:r>
      <w:r w:rsidRPr="008A6B13">
        <w:t>2.</w:t>
      </w:r>
      <w:r w:rsidRPr="008A6B13">
        <w:tab/>
        <w:t>La Convención en la legislación interna y el marco legislativo y normativo para</w:t>
      </w:r>
      <w:r>
        <w:br/>
      </w:r>
      <w:r w:rsidRPr="008A6B13">
        <w:t>su aplicación; recursos judiciales e indemnización (artículos 2, 4 y 6)</w:t>
      </w:r>
    </w:p>
    <w:p w:rsidR="000329DD" w:rsidRPr="00857839" w:rsidRDefault="000329DD" w:rsidP="000329DD">
      <w:pPr>
        <w:pStyle w:val="SingleTxtG"/>
      </w:pPr>
      <w:r w:rsidRPr="00857839">
        <w:tab/>
        <w:t>a)</w:t>
      </w:r>
      <w:r w:rsidRPr="00857839">
        <w:tab/>
        <w:t xml:space="preserve">Mandato y funcionamiento de la Oficina del Comisionado para la Protección contra la discriminación; recursos, </w:t>
      </w:r>
      <w:r>
        <w:t>competencias</w:t>
      </w:r>
      <w:r w:rsidRPr="00857839">
        <w:t xml:space="preserve"> para tramitar denuncias individuales o de grupos, compatibilidad con los Principios relativos al estatuto de las instituciones nacionales de promoción y protección de los derechos humanos (Principios de París);</w:t>
      </w:r>
    </w:p>
    <w:p w:rsidR="000329DD" w:rsidRPr="00857839" w:rsidRDefault="000329DD" w:rsidP="000329DD">
      <w:pPr>
        <w:pStyle w:val="SingleTxtG"/>
      </w:pPr>
      <w:r w:rsidRPr="00857839">
        <w:tab/>
        <w:t>b)</w:t>
      </w:r>
      <w:r w:rsidRPr="00857839">
        <w:tab/>
        <w:t>Coordinación entre las diferentes instituciones, entidades y órganos consultivos que se ocupan de temas relacionados con la Convención;</w:t>
      </w:r>
    </w:p>
    <w:p w:rsidR="000329DD" w:rsidRPr="00857839" w:rsidRDefault="000329DD" w:rsidP="000329DD">
      <w:pPr>
        <w:pStyle w:val="SingleTxtG"/>
      </w:pPr>
      <w:r w:rsidRPr="00857839">
        <w:tab/>
        <w:t>c)</w:t>
      </w:r>
      <w:r w:rsidRPr="00857839">
        <w:tab/>
        <w:t>Prohibición de organizaciones que promuev</w:t>
      </w:r>
      <w:r>
        <w:t>a</w:t>
      </w:r>
      <w:r w:rsidRPr="00857839">
        <w:t xml:space="preserve">n la discriminación racial y </w:t>
      </w:r>
      <w:r>
        <w:t xml:space="preserve">de </w:t>
      </w:r>
      <w:r w:rsidRPr="00857839">
        <w:t>la participación en ellas; prohibición de instituciones públicas que promuev</w:t>
      </w:r>
      <w:r>
        <w:t>a</w:t>
      </w:r>
      <w:r w:rsidRPr="00857839">
        <w:t>n la discriminación racial;</w:t>
      </w:r>
    </w:p>
    <w:p w:rsidR="000329DD" w:rsidRPr="00857839" w:rsidRDefault="000329DD" w:rsidP="000329DD">
      <w:pPr>
        <w:pStyle w:val="SingleTxtG"/>
      </w:pPr>
      <w:r w:rsidRPr="00857839">
        <w:tab/>
        <w:t>d)</w:t>
      </w:r>
      <w:r w:rsidRPr="00857839">
        <w:tab/>
        <w:t>Concepto de medidas especiales en la legislación y la</w:t>
      </w:r>
      <w:r>
        <w:t>s políticas</w:t>
      </w:r>
      <w:r w:rsidRPr="00857839">
        <w:t xml:space="preserve"> del Estado parte: si se considera</w:t>
      </w:r>
      <w:r>
        <w:t>n</w:t>
      </w:r>
      <w:r w:rsidRPr="00857839">
        <w:t xml:space="preserve"> necesari</w:t>
      </w:r>
      <w:r>
        <w:t>as</w:t>
      </w:r>
      <w:r w:rsidRPr="00857839">
        <w:t xml:space="preserve"> </w:t>
      </w:r>
      <w:r>
        <w:t>las</w:t>
      </w:r>
      <w:r w:rsidRPr="00857839">
        <w:t xml:space="preserve"> medidas especiales y en qué ámbitos; si hay grupos o personas vulnerables que </w:t>
      </w:r>
      <w:r>
        <w:t xml:space="preserve">tengan derecho a </w:t>
      </w:r>
      <w:r w:rsidRPr="00857839">
        <w:t>beneficiarse de ellas;</w:t>
      </w:r>
    </w:p>
    <w:p w:rsidR="000329DD" w:rsidRPr="00857839" w:rsidRDefault="000329DD" w:rsidP="000329DD">
      <w:pPr>
        <w:pStyle w:val="SingleTxtG"/>
      </w:pPr>
      <w:r w:rsidRPr="00857839">
        <w:tab/>
        <w:t>e)</w:t>
      </w:r>
      <w:r w:rsidRPr="00857839">
        <w:tab/>
        <w:t>Legislación y medidas destinadas a pr</w:t>
      </w:r>
      <w:r>
        <w:t>e</w:t>
      </w:r>
      <w:r w:rsidRPr="00857839">
        <w:t>venir y eliminar la discriminación indirecta, especialmente en los ámbitos de la vivienda, la educación, la salud y el empleo;</w:t>
      </w:r>
    </w:p>
    <w:p w:rsidR="000329DD" w:rsidRPr="00857839" w:rsidRDefault="000329DD" w:rsidP="000329DD">
      <w:pPr>
        <w:pStyle w:val="SingleTxtG"/>
      </w:pPr>
      <w:r w:rsidRPr="00857839">
        <w:tab/>
        <w:t>f)</w:t>
      </w:r>
      <w:r w:rsidRPr="00857839">
        <w:tab/>
        <w:t xml:space="preserve">Acceso de las presuntas víctimas del racismo y la discriminación racial a recursos efectivos, incluidas las medidas para concienciar a dichas víctimas de los recursos previstos en la legislación nacional y de la asistencia jurídica que se les presta; enjuiciamiento y sanción de los responsables y justa reparación </w:t>
      </w:r>
      <w:r>
        <w:t xml:space="preserve">otorgada a las </w:t>
      </w:r>
      <w:r w:rsidRPr="00857839">
        <w:t xml:space="preserve">víctimas; falta de </w:t>
      </w:r>
      <w:r>
        <w:t xml:space="preserve">presentación de </w:t>
      </w:r>
      <w:r w:rsidRPr="00857839">
        <w:t>denuncias de discriminación racial y decisiones adoptadas por los tribunales nacionales.</w:t>
      </w:r>
    </w:p>
    <w:p w:rsidR="000329DD" w:rsidRPr="008A6B13" w:rsidRDefault="000329DD" w:rsidP="000329DD">
      <w:pPr>
        <w:pStyle w:val="H23G"/>
      </w:pPr>
      <w:r>
        <w:tab/>
      </w:r>
      <w:r w:rsidRPr="008A6B13">
        <w:t>4.</w:t>
      </w:r>
      <w:r w:rsidRPr="008A6B13">
        <w:tab/>
        <w:t>Situaci</w:t>
      </w:r>
      <w:r>
        <w:t>ón de las minorías (artículo 5)</w:t>
      </w:r>
    </w:p>
    <w:p w:rsidR="000329DD" w:rsidRPr="00857839" w:rsidRDefault="000329DD" w:rsidP="000329DD">
      <w:pPr>
        <w:pStyle w:val="SingleTxtG"/>
      </w:pPr>
      <w:r w:rsidRPr="00857839">
        <w:rPr>
          <w:b/>
        </w:rPr>
        <w:tab/>
      </w:r>
      <w:r w:rsidRPr="00857839">
        <w:t>a)</w:t>
      </w:r>
      <w:r w:rsidRPr="00857839">
        <w:tab/>
        <w:t xml:space="preserve">Distinción entre minorías nacionales y lingüísticas; diálogo con las minorías lingüísticas romaní y </w:t>
      </w:r>
      <w:r>
        <w:t>valaco</w:t>
      </w:r>
      <w:r w:rsidRPr="00857839">
        <w:t>/ar</w:t>
      </w:r>
      <w:r>
        <w:t>o</w:t>
      </w:r>
      <w:r w:rsidRPr="00857839">
        <w:t>manian</w:t>
      </w:r>
      <w:r>
        <w:t>a</w:t>
      </w:r>
      <w:r w:rsidRPr="00857839">
        <w:t xml:space="preserve"> sobre su estatuto de minorías en Albania; situación de la comunidad egipcia y de los bosnios que viven en Albania;</w:t>
      </w:r>
    </w:p>
    <w:p w:rsidR="000329DD" w:rsidRPr="00857839" w:rsidRDefault="000329DD" w:rsidP="000329DD">
      <w:pPr>
        <w:pStyle w:val="SingleTxtG"/>
      </w:pPr>
      <w:r w:rsidRPr="00857839">
        <w:tab/>
        <w:t>b)</w:t>
      </w:r>
      <w:r w:rsidRPr="00857839">
        <w:tab/>
        <w:t>Situación de la participación de las minorías en los procesos de adopción de decisiones y en la vida pública;</w:t>
      </w:r>
    </w:p>
    <w:p w:rsidR="000329DD" w:rsidRPr="00857839" w:rsidRDefault="000329DD" w:rsidP="000329DD">
      <w:pPr>
        <w:pStyle w:val="SingleTxtG"/>
      </w:pPr>
      <w:r w:rsidRPr="00857839">
        <w:tab/>
        <w:t>c)</w:t>
      </w:r>
      <w:r w:rsidRPr="00857839">
        <w:tab/>
        <w:t>Eficacia de los mecanismos de diálogo y de consulta existentes, como el Comité Nacional de las Minorías, para transmitir las preocupaciones de estas a los foros políticos;</w:t>
      </w:r>
    </w:p>
    <w:p w:rsidR="000329DD" w:rsidRPr="00857839" w:rsidRDefault="000329DD" w:rsidP="000329DD">
      <w:pPr>
        <w:pStyle w:val="SingleTxtG"/>
      </w:pPr>
      <w:r w:rsidRPr="00857839">
        <w:tab/>
        <w:t>d)</w:t>
      </w:r>
      <w:r w:rsidRPr="00857839">
        <w:tab/>
        <w:t>Situación de los grupos minoritarios respe</w:t>
      </w:r>
      <w:r w:rsidR="00C8080E">
        <w:t>cto</w:t>
      </w:r>
      <w:r w:rsidRPr="00857839">
        <w:t xml:space="preserve"> del goce sin discriminación de los derechos contemplados en el artículo 5 del Pacto, concretamente en relación con la educación, el empleo y el acceso a </w:t>
      </w:r>
      <w:r>
        <w:t xml:space="preserve">los </w:t>
      </w:r>
      <w:r w:rsidRPr="00857839">
        <w:t>servicios de salud;</w:t>
      </w:r>
    </w:p>
    <w:p w:rsidR="000329DD" w:rsidRPr="00857839" w:rsidRDefault="000329DD" w:rsidP="000329DD">
      <w:pPr>
        <w:pStyle w:val="SingleTxtG"/>
      </w:pPr>
      <w:r w:rsidRPr="00857839">
        <w:tab/>
        <w:t>e)</w:t>
      </w:r>
      <w:r w:rsidRPr="00857839">
        <w:tab/>
        <w:t>Situación social y económica de la comunidad egipcia en Albania.</w:t>
      </w:r>
    </w:p>
    <w:p w:rsidR="000329DD" w:rsidRPr="008A6B13" w:rsidRDefault="000329DD" w:rsidP="000329DD">
      <w:pPr>
        <w:pStyle w:val="H23G"/>
      </w:pPr>
      <w:r>
        <w:tab/>
      </w:r>
      <w:r w:rsidRPr="008A6B13">
        <w:t>5.</w:t>
      </w:r>
      <w:r w:rsidRPr="008A6B13">
        <w:tab/>
        <w:t>Situación de los romaníes (artículo 5)</w:t>
      </w:r>
    </w:p>
    <w:p w:rsidR="000329DD" w:rsidRPr="00857839" w:rsidRDefault="000329DD" w:rsidP="000329DD">
      <w:pPr>
        <w:pStyle w:val="SingleTxtG"/>
      </w:pPr>
      <w:r w:rsidRPr="00857839">
        <w:rPr>
          <w:b/>
        </w:rPr>
        <w:tab/>
      </w:r>
      <w:r w:rsidRPr="00857839">
        <w:t>Actualización sobre la situación de los romaníes, especialmente respecto de su acceso a la educación, el empleo, los servicios de salud, el registro de nacimientos y una vivienda adecuada; situación, eficacia, obstáculos y dificultades en relación con la aplicación de la Estrategia nacional para mejorar las condiciones de vida de la comunidad romaní.</w:t>
      </w:r>
    </w:p>
    <w:p w:rsidR="000329DD" w:rsidRPr="008A6B13" w:rsidRDefault="000329DD" w:rsidP="000329DD">
      <w:pPr>
        <w:pStyle w:val="H23G"/>
      </w:pPr>
      <w:r>
        <w:tab/>
      </w:r>
      <w:r w:rsidRPr="008A6B13">
        <w:t>6.</w:t>
      </w:r>
      <w:r w:rsidRPr="008A6B13">
        <w:tab/>
        <w:t>Situación de los no ciudadanos (artículo 5)</w:t>
      </w:r>
    </w:p>
    <w:p w:rsidR="000329DD" w:rsidRDefault="000329DD" w:rsidP="000329DD">
      <w:pPr>
        <w:pStyle w:val="SingleTxtG"/>
        <w:spacing w:after="240"/>
      </w:pPr>
      <w:r w:rsidRPr="00857839">
        <w:tab/>
        <w:t>Situación de los refugiados y los solicitantes de asilo respecto del disfrute de sus derechos sin discriminación.</w:t>
      </w:r>
    </w:p>
    <w:p w:rsidR="000329DD" w:rsidRPr="008A6B13" w:rsidRDefault="000329DD" w:rsidP="000329DD">
      <w:pPr>
        <w:pStyle w:val="SingleTxtG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329DD" w:rsidRDefault="000329DD" w:rsidP="000329DD">
      <w:pPr>
        <w:spacing w:after="240" w:line="240" w:lineRule="auto"/>
      </w:pPr>
    </w:p>
    <w:p w:rsidR="006F35EE" w:rsidRDefault="006F35EE" w:rsidP="001075E9"/>
    <w:p w:rsidR="00381C24" w:rsidRPr="001075E9" w:rsidRDefault="00381C24" w:rsidP="001075E9"/>
    <w:sectPr w:rsidR="00381C24" w:rsidRPr="001075E9" w:rsidSect="000329D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81A" w:rsidRDefault="009E781A">
      <w:r>
        <w:separator/>
      </w:r>
    </w:p>
  </w:endnote>
  <w:endnote w:type="continuationSeparator" w:id="0">
    <w:p w:rsidR="009E781A" w:rsidRDefault="009E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9DD" w:rsidRPr="000329DD" w:rsidRDefault="000329DD" w:rsidP="000329DD">
    <w:pPr>
      <w:pStyle w:val="Footer"/>
      <w:tabs>
        <w:tab w:val="right" w:pos="9638"/>
      </w:tabs>
    </w:pPr>
    <w:r w:rsidRPr="000329DD">
      <w:rPr>
        <w:b/>
        <w:sz w:val="18"/>
      </w:rPr>
      <w:fldChar w:fldCharType="begin"/>
    </w:r>
    <w:r w:rsidRPr="000329DD">
      <w:rPr>
        <w:b/>
        <w:sz w:val="18"/>
      </w:rPr>
      <w:instrText xml:space="preserve"> PAGE  \* MERGEFORMAT </w:instrText>
    </w:r>
    <w:r w:rsidRPr="000329DD">
      <w:rPr>
        <w:b/>
        <w:sz w:val="18"/>
      </w:rPr>
      <w:fldChar w:fldCharType="separate"/>
    </w:r>
    <w:r w:rsidR="00080B8D">
      <w:rPr>
        <w:b/>
        <w:noProof/>
        <w:sz w:val="18"/>
      </w:rPr>
      <w:t>2</w:t>
    </w:r>
    <w:r w:rsidRPr="000329DD">
      <w:rPr>
        <w:b/>
        <w:sz w:val="18"/>
      </w:rPr>
      <w:fldChar w:fldCharType="end"/>
    </w:r>
    <w:r>
      <w:rPr>
        <w:b/>
        <w:sz w:val="18"/>
      </w:rPr>
      <w:tab/>
    </w:r>
    <w:r>
      <w:t>GE.11-44558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9DD" w:rsidRPr="000329DD" w:rsidRDefault="000329DD" w:rsidP="000329DD">
    <w:pPr>
      <w:pStyle w:val="Footer"/>
      <w:tabs>
        <w:tab w:val="right" w:pos="9638"/>
      </w:tabs>
      <w:rPr>
        <w:b/>
        <w:sz w:val="18"/>
      </w:rPr>
    </w:pPr>
    <w:r>
      <w:t>GE.11-44558</w:t>
    </w:r>
    <w:r>
      <w:tab/>
    </w:r>
    <w:r w:rsidRPr="000329DD">
      <w:rPr>
        <w:b/>
        <w:sz w:val="18"/>
      </w:rPr>
      <w:fldChar w:fldCharType="begin"/>
    </w:r>
    <w:r w:rsidRPr="000329DD">
      <w:rPr>
        <w:b/>
        <w:sz w:val="18"/>
      </w:rPr>
      <w:instrText xml:space="preserve"> PAGE  \* MERGEFORMAT </w:instrText>
    </w:r>
    <w:r w:rsidRPr="000329DD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0329D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164" w:rsidRPr="000329DD" w:rsidRDefault="000329DD">
    <w:pPr>
      <w:pStyle w:val="Footer"/>
      <w:rPr>
        <w:sz w:val="20"/>
      </w:rPr>
    </w:pPr>
    <w:r>
      <w:rPr>
        <w:sz w:val="20"/>
      </w:rPr>
      <w:t>GE.</w:t>
    </w:r>
    <w:r w:rsidR="0016216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11-44558  (S)</w:t>
    </w:r>
    <w:r w:rsidR="00C8080E">
      <w:rPr>
        <w:sz w:val="20"/>
      </w:rPr>
      <w:t xml:space="preserve">    150811    220811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81A" w:rsidRPr="001075E9" w:rsidRDefault="009E781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E781A" w:rsidRDefault="009E781A">
      <w:r>
        <w:continuationSeparator/>
      </w:r>
    </w:p>
  </w:footnote>
  <w:footnote w:id="1">
    <w:p w:rsidR="000329DD" w:rsidRPr="001B6567" w:rsidRDefault="000329DD" w:rsidP="000329DD">
      <w:pPr>
        <w:pStyle w:val="FootnoteText"/>
        <w:rPr>
          <w:sz w:val="20"/>
        </w:rPr>
      </w:pPr>
      <w:r>
        <w:tab/>
      </w:r>
      <w:r w:rsidRPr="001B6567">
        <w:rPr>
          <w:rStyle w:val="FootnoteReference"/>
          <w:sz w:val="20"/>
          <w:vertAlign w:val="baseline"/>
        </w:rPr>
        <w:t>*</w:t>
      </w:r>
      <w:r w:rsidRPr="001B6567">
        <w:tab/>
      </w:r>
      <w:r>
        <w:t>Documento presentado con retraso.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9DD" w:rsidRPr="000329DD" w:rsidRDefault="000329DD">
    <w:pPr>
      <w:pStyle w:val="Header"/>
    </w:pPr>
    <w:r>
      <w:t>CERD/C/ALB/Q/5-8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9DD" w:rsidRPr="000329DD" w:rsidRDefault="000329DD" w:rsidP="000329DD">
    <w:pPr>
      <w:pStyle w:val="Header"/>
      <w:jc w:val="right"/>
    </w:pPr>
    <w:r>
      <w:t>CERD/C/ALB/Q/5-8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2164"/>
    <w:rsid w:val="00006BB9"/>
    <w:rsid w:val="000107A1"/>
    <w:rsid w:val="0002339D"/>
    <w:rsid w:val="000329DD"/>
    <w:rsid w:val="00036733"/>
    <w:rsid w:val="00080B8D"/>
    <w:rsid w:val="000B57E7"/>
    <w:rsid w:val="000F09DF"/>
    <w:rsid w:val="000F61B2"/>
    <w:rsid w:val="001075E9"/>
    <w:rsid w:val="00145F2F"/>
    <w:rsid w:val="00160FF7"/>
    <w:rsid w:val="00162164"/>
    <w:rsid w:val="00180183"/>
    <w:rsid w:val="00196389"/>
    <w:rsid w:val="001C7A89"/>
    <w:rsid w:val="00201F1A"/>
    <w:rsid w:val="002433EC"/>
    <w:rsid w:val="0025226E"/>
    <w:rsid w:val="002A2EFC"/>
    <w:rsid w:val="002C0E18"/>
    <w:rsid w:val="002C33BB"/>
    <w:rsid w:val="002D000C"/>
    <w:rsid w:val="002D5AAC"/>
    <w:rsid w:val="00301299"/>
    <w:rsid w:val="00322004"/>
    <w:rsid w:val="003402C2"/>
    <w:rsid w:val="00381C24"/>
    <w:rsid w:val="003958D0"/>
    <w:rsid w:val="004031F0"/>
    <w:rsid w:val="00454E07"/>
    <w:rsid w:val="00471CB3"/>
    <w:rsid w:val="0050108D"/>
    <w:rsid w:val="0051740C"/>
    <w:rsid w:val="00572E19"/>
    <w:rsid w:val="005D62DA"/>
    <w:rsid w:val="005F0B42"/>
    <w:rsid w:val="00634841"/>
    <w:rsid w:val="00655A21"/>
    <w:rsid w:val="006725B3"/>
    <w:rsid w:val="006808A9"/>
    <w:rsid w:val="006D631C"/>
    <w:rsid w:val="006F35EE"/>
    <w:rsid w:val="007021FF"/>
    <w:rsid w:val="007076CB"/>
    <w:rsid w:val="007967DF"/>
    <w:rsid w:val="00834B71"/>
    <w:rsid w:val="0086445C"/>
    <w:rsid w:val="00865FAC"/>
    <w:rsid w:val="008728CD"/>
    <w:rsid w:val="008A08D7"/>
    <w:rsid w:val="008A13F9"/>
    <w:rsid w:val="008C0F65"/>
    <w:rsid w:val="00906890"/>
    <w:rsid w:val="00951972"/>
    <w:rsid w:val="00954E65"/>
    <w:rsid w:val="00993A62"/>
    <w:rsid w:val="009E781A"/>
    <w:rsid w:val="00A17DFD"/>
    <w:rsid w:val="00A4674B"/>
    <w:rsid w:val="00A917B3"/>
    <w:rsid w:val="00AB4B51"/>
    <w:rsid w:val="00B066FC"/>
    <w:rsid w:val="00B10CC7"/>
    <w:rsid w:val="00B62458"/>
    <w:rsid w:val="00B778C8"/>
    <w:rsid w:val="00BB36EA"/>
    <w:rsid w:val="00BD33EE"/>
    <w:rsid w:val="00C60F0C"/>
    <w:rsid w:val="00C63C2A"/>
    <w:rsid w:val="00C805C9"/>
    <w:rsid w:val="00C8080E"/>
    <w:rsid w:val="00CA1679"/>
    <w:rsid w:val="00D05347"/>
    <w:rsid w:val="00D90138"/>
    <w:rsid w:val="00E73F76"/>
    <w:rsid w:val="00EA31D8"/>
    <w:rsid w:val="00EA5579"/>
    <w:rsid w:val="00EF1360"/>
    <w:rsid w:val="00EF3220"/>
    <w:rsid w:val="00EF7198"/>
    <w:rsid w:val="00F41883"/>
    <w:rsid w:val="00F9415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31D8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EA31D8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A31D8"/>
  </w:style>
  <w:style w:type="character" w:styleId="FootnoteReference">
    <w:name w:val="footnote reference"/>
    <w:aliases w:val="4_G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EA31D8"/>
    <w:pPr>
      <w:numPr>
        <w:numId w:val="3"/>
      </w:numPr>
    </w:pPr>
  </w:style>
  <w:style w:type="numbering" w:styleId="1ai">
    <w:name w:val="Outline List 1"/>
    <w:basedOn w:val="NoList"/>
    <w:semiHidden/>
    <w:rsid w:val="00EA31D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semiHidden/>
    <w:rsid w:val="00EA31D8"/>
    <w:pPr>
      <w:ind w:left="4252"/>
    </w:pPr>
  </w:style>
  <w:style w:type="character" w:styleId="HTMLCite">
    <w:name w:val="HTML Cite"/>
    <w:semiHidden/>
    <w:rsid w:val="00EA31D8"/>
    <w:rPr>
      <w:i/>
      <w:iCs/>
    </w:rPr>
  </w:style>
  <w:style w:type="character" w:styleId="HTMLCode">
    <w:name w:val="HTML Code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semiHidden/>
    <w:rsid w:val="00EA31D8"/>
    <w:rPr>
      <w:i/>
      <w:iCs/>
    </w:rPr>
  </w:style>
  <w:style w:type="paragraph" w:styleId="HTMLAddress">
    <w:name w:val="HTML Address"/>
    <w:basedOn w:val="Normal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EA31D8"/>
  </w:style>
  <w:style w:type="character" w:styleId="Emphasis">
    <w:name w:val="Emphasis"/>
    <w:qFormat/>
    <w:rsid w:val="00EA31D8"/>
    <w:rPr>
      <w:i/>
      <w:iCs/>
    </w:rPr>
  </w:style>
  <w:style w:type="paragraph" w:styleId="Date">
    <w:name w:val="Date"/>
    <w:basedOn w:val="Normal"/>
    <w:next w:val="Normal"/>
    <w:semiHidden/>
    <w:rsid w:val="00EA31D8"/>
  </w:style>
  <w:style w:type="paragraph" w:styleId="Signature">
    <w:name w:val="Signature"/>
    <w:basedOn w:val="Normal"/>
    <w:semiHidden/>
    <w:rsid w:val="00EA31D8"/>
    <w:pPr>
      <w:ind w:left="4252"/>
    </w:pPr>
  </w:style>
  <w:style w:type="paragraph" w:styleId="E-mailSignature">
    <w:name w:val="E-mail Signature"/>
    <w:basedOn w:val="Normal"/>
    <w:semiHidden/>
    <w:rsid w:val="00EA31D8"/>
  </w:style>
  <w:style w:type="character" w:styleId="Hyperlink">
    <w:name w:val="Hyperlink"/>
    <w:semiHidden/>
    <w:rsid w:val="00EA31D8"/>
    <w:rPr>
      <w:color w:val="0000FF"/>
      <w:u w:val="single"/>
    </w:rPr>
  </w:style>
  <w:style w:type="character" w:styleId="FollowedHyperlink">
    <w:name w:val="FollowedHyperlink"/>
    <w:semiHidden/>
    <w:rsid w:val="00EA31D8"/>
    <w:rPr>
      <w:color w:val="800080"/>
      <w:u w:val="single"/>
    </w:rPr>
  </w:style>
  <w:style w:type="paragraph" w:styleId="HTMLPreformatted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semiHidden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semiHidden/>
    <w:rsid w:val="00EA31D8"/>
    <w:pPr>
      <w:ind w:left="1132" w:hanging="283"/>
    </w:pPr>
  </w:style>
  <w:style w:type="paragraph" w:styleId="List5">
    <w:name w:val="List 5"/>
    <w:basedOn w:val="Normal"/>
    <w:semiHidden/>
    <w:rsid w:val="00EA31D8"/>
    <w:pPr>
      <w:ind w:left="1415" w:hanging="283"/>
    </w:pPr>
  </w:style>
  <w:style w:type="paragraph" w:styleId="ListNumber">
    <w:name w:val="List Number"/>
    <w:basedOn w:val="Normal"/>
    <w:semiHidden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semiHidden/>
    <w:rsid w:val="00EA31D8"/>
    <w:pPr>
      <w:numPr>
        <w:numId w:val="12"/>
      </w:numPr>
    </w:pPr>
  </w:style>
  <w:style w:type="paragraph" w:styleId="ListBullet3">
    <w:name w:val="List Bullet 3"/>
    <w:basedOn w:val="Normal"/>
    <w:semiHidden/>
    <w:rsid w:val="00EA31D8"/>
    <w:pPr>
      <w:numPr>
        <w:numId w:val="13"/>
      </w:numPr>
    </w:pPr>
  </w:style>
  <w:style w:type="paragraph" w:styleId="ListBullet4">
    <w:name w:val="List Bullet 4"/>
    <w:basedOn w:val="Normal"/>
    <w:semiHidden/>
    <w:rsid w:val="00EA31D8"/>
    <w:pPr>
      <w:numPr>
        <w:numId w:val="14"/>
      </w:numPr>
    </w:pPr>
  </w:style>
  <w:style w:type="paragraph" w:styleId="ListBullet5">
    <w:name w:val="List Bullet 5"/>
    <w:basedOn w:val="Normal"/>
    <w:semiHidden/>
    <w:rsid w:val="00EA31D8"/>
    <w:pPr>
      <w:numPr>
        <w:numId w:val="15"/>
      </w:numPr>
    </w:pPr>
  </w:style>
  <w:style w:type="character" w:styleId="HTMLTypewriter">
    <w:name w:val="HTML Typewri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rsid w:val="00EA31D8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EA31D8"/>
  </w:style>
  <w:style w:type="paragraph" w:styleId="BodyTextIndent2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qFormat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qFormat/>
    <w:rsid w:val="00EA31D8"/>
    <w:rPr>
      <w:b/>
      <w:bCs/>
    </w:rPr>
  </w:style>
  <w:style w:type="paragraph" w:styleId="BodyText">
    <w:name w:val="Body Text"/>
    <w:basedOn w:val="Normal"/>
    <w:semiHidden/>
    <w:rsid w:val="00EA31D8"/>
    <w:pPr>
      <w:spacing w:after="120"/>
    </w:pPr>
  </w:style>
  <w:style w:type="paragraph" w:styleId="BodyText2">
    <w:name w:val="Body Text 2"/>
    <w:basedOn w:val="Normal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EA31D8"/>
    <w:pPr>
      <w:ind w:firstLine="210"/>
    </w:pPr>
  </w:style>
  <w:style w:type="paragraph" w:styleId="BodyTextFirstIndent2">
    <w:name w:val="Body Text First Indent 2"/>
    <w:basedOn w:val="BodyTextIndent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rsid w:val="00EA31D8"/>
  </w:style>
  <w:style w:type="paragraph" w:styleId="PlainText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qFormat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EA31D8"/>
    <w:rPr>
      <w:i/>
      <w:iCs/>
    </w:rPr>
  </w:style>
  <w:style w:type="paragraph" w:customStyle="1" w:styleId="Bullet1G">
    <w:name w:val="_Bullet 1_G"/>
    <w:basedOn w:val="Normal"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EA31D8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2</Pages>
  <Words>696</Words>
  <Characters>3834</Characters>
  <Application>Microsoft Office Word</Application>
  <DocSecurity>4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CERD/C/ALB/Q/5-8 - 11-44558</vt:lpstr>
    </vt:vector>
  </TitlesOfParts>
  <Company/>
  <LinksUpToDate>false</LinksUpToDate>
  <CharactersWithSpaces>4521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CERD/C/ALB/Q/5-8 - 11-44558</dc:title>
  <dc:subject>FINAL</dc:subject>
  <dc:creator>Mabel Parada</dc:creator>
  <cp:keywords/>
  <dc:description/>
  <cp:lastModifiedBy>Traductor</cp:lastModifiedBy>
  <cp:revision>2</cp:revision>
  <cp:lastPrinted>2008-01-16T09:37:00Z</cp:lastPrinted>
  <dcterms:created xsi:type="dcterms:W3CDTF">2011-08-22T11:57:00Z</dcterms:created>
  <dcterms:modified xsi:type="dcterms:W3CDTF">2011-08-22T11:57:00Z</dcterms:modified>
</cp:coreProperties>
</file>