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AA40CD6" w14:textId="77777777" w:rsidTr="00281242">
        <w:trPr>
          <w:trHeight w:hRule="exact" w:val="851"/>
        </w:trPr>
        <w:tc>
          <w:tcPr>
            <w:tcW w:w="1274" w:type="dxa"/>
            <w:tcBorders>
              <w:bottom w:val="single" w:sz="4" w:space="0" w:color="auto"/>
            </w:tcBorders>
            <w:shd w:val="clear" w:color="auto" w:fill="auto"/>
          </w:tcPr>
          <w:p w14:paraId="4D136BA6" w14:textId="77777777" w:rsidR="006B3E27" w:rsidRPr="00BE5849" w:rsidRDefault="006B3E27" w:rsidP="008E202A">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D15A4E7" w14:textId="231C0770" w:rsidR="006B3E27" w:rsidRPr="00AC03B4" w:rsidRDefault="006B3E27" w:rsidP="002F3D3A">
            <w:pPr>
              <w:spacing w:after="80" w:line="480" w:lineRule="exact"/>
              <w:ind w:left="57"/>
              <w:rPr>
                <w:sz w:val="30"/>
                <w:szCs w:val="30"/>
                <w:rtl/>
              </w:rPr>
            </w:pPr>
            <w:r w:rsidRPr="00AC03B4">
              <w:rPr>
                <w:rFonts w:hint="cs"/>
                <w:sz w:val="30"/>
                <w:szCs w:val="30"/>
                <w:rtl/>
              </w:rPr>
              <w:t>الأمم</w:t>
            </w:r>
            <w:r w:rsidR="00C75E1B">
              <w:rPr>
                <w:rFonts w:hint="cs"/>
                <w:sz w:val="30"/>
                <w:szCs w:val="30"/>
                <w:rtl/>
              </w:rPr>
              <w:t xml:space="preserve"> </w:t>
            </w:r>
            <w:r w:rsidRPr="00AC03B4">
              <w:rPr>
                <w:rFonts w:hint="cs"/>
                <w:sz w:val="30"/>
                <w:szCs w:val="30"/>
                <w:rtl/>
              </w:rPr>
              <w:t>المتحدة</w:t>
            </w:r>
          </w:p>
        </w:tc>
        <w:tc>
          <w:tcPr>
            <w:tcW w:w="3402" w:type="dxa"/>
            <w:tcBorders>
              <w:bottom w:val="single" w:sz="4" w:space="0" w:color="auto"/>
            </w:tcBorders>
            <w:shd w:val="clear" w:color="auto" w:fill="auto"/>
            <w:vAlign w:val="bottom"/>
          </w:tcPr>
          <w:p w14:paraId="42643DCF" w14:textId="36FC923E" w:rsidR="006B3E27" w:rsidRPr="006A0484" w:rsidRDefault="006A0484" w:rsidP="006A0484">
            <w:pPr>
              <w:bidi w:val="0"/>
              <w:rPr>
                <w:szCs w:val="20"/>
                <w:lang w:eastAsia="zh-TW"/>
              </w:rPr>
            </w:pPr>
            <w:r w:rsidRPr="006A0484">
              <w:rPr>
                <w:sz w:val="40"/>
                <w:szCs w:val="20"/>
                <w:lang w:eastAsia="zh-TW"/>
              </w:rPr>
              <w:t>A</w:t>
            </w:r>
            <w:r>
              <w:rPr>
                <w:szCs w:val="20"/>
                <w:lang w:eastAsia="zh-TW"/>
              </w:rPr>
              <w:t>/HRC/RES/</w:t>
            </w:r>
            <w:r w:rsidRPr="00435DBA">
              <w:t>53</w:t>
            </w:r>
            <w:r>
              <w:rPr>
                <w:szCs w:val="20"/>
                <w:lang w:eastAsia="zh-TW"/>
              </w:rPr>
              <w:t>/</w:t>
            </w:r>
            <w:r w:rsidRPr="00435DBA">
              <w:t>8</w:t>
            </w:r>
          </w:p>
        </w:tc>
      </w:tr>
      <w:tr w:rsidR="006B3E27" w:rsidRPr="00AC03B4" w14:paraId="7DF0BC79" w14:textId="77777777" w:rsidTr="00281242">
        <w:trPr>
          <w:trHeight w:hRule="exact" w:val="2835"/>
        </w:trPr>
        <w:tc>
          <w:tcPr>
            <w:tcW w:w="1274" w:type="dxa"/>
            <w:tcBorders>
              <w:top w:val="single" w:sz="4" w:space="0" w:color="auto"/>
              <w:bottom w:val="single" w:sz="12" w:space="0" w:color="auto"/>
            </w:tcBorders>
            <w:shd w:val="clear" w:color="auto" w:fill="auto"/>
          </w:tcPr>
          <w:p w14:paraId="228D3108"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76C4DB0D" wp14:editId="79147110">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D9EB7BB" w14:textId="5199D9B4" w:rsidR="006B3E27" w:rsidRPr="00435DBA" w:rsidRDefault="001773DB" w:rsidP="002F3D3A">
            <w:pPr>
              <w:spacing w:before="120" w:after="40" w:line="640" w:lineRule="exact"/>
              <w:ind w:left="57"/>
              <w:rPr>
                <w:b/>
                <w:bCs/>
                <w:sz w:val="50"/>
                <w:szCs w:val="50"/>
              </w:rPr>
            </w:pPr>
            <w:r w:rsidRPr="00435DBA">
              <w:rPr>
                <w:rFonts w:hint="cs"/>
                <w:b/>
                <w:bCs/>
                <w:sz w:val="50"/>
                <w:szCs w:val="50"/>
                <w:rtl/>
              </w:rPr>
              <w:t>الجمعية</w:t>
            </w:r>
            <w:r w:rsidR="00C75E1B" w:rsidRPr="00435DBA">
              <w:rPr>
                <w:rFonts w:hint="cs"/>
                <w:b/>
                <w:bCs/>
                <w:sz w:val="50"/>
                <w:szCs w:val="50"/>
                <w:rtl/>
              </w:rPr>
              <w:t xml:space="preserve"> </w:t>
            </w:r>
            <w:r w:rsidRPr="00435DBA">
              <w:rPr>
                <w:rFonts w:hint="cs"/>
                <w:b/>
                <w:bCs/>
                <w:sz w:val="50"/>
                <w:szCs w:val="50"/>
                <w:rtl/>
              </w:rPr>
              <w:t>العامة</w:t>
            </w:r>
          </w:p>
        </w:tc>
        <w:tc>
          <w:tcPr>
            <w:tcW w:w="3402" w:type="dxa"/>
            <w:tcBorders>
              <w:top w:val="single" w:sz="4" w:space="0" w:color="auto"/>
              <w:bottom w:val="single" w:sz="12" w:space="0" w:color="auto"/>
            </w:tcBorders>
            <w:shd w:val="clear" w:color="auto" w:fill="auto"/>
          </w:tcPr>
          <w:p w14:paraId="08C00767" w14:textId="70DCA5B9" w:rsidR="006B3E27" w:rsidRDefault="006A0484" w:rsidP="00BE5849">
            <w:pPr>
              <w:bidi w:val="0"/>
              <w:spacing w:before="240"/>
              <w:rPr>
                <w:szCs w:val="20"/>
              </w:rPr>
            </w:pPr>
            <w:r>
              <w:rPr>
                <w:szCs w:val="20"/>
              </w:rPr>
              <w:t>Distr.:</w:t>
            </w:r>
            <w:r w:rsidR="00C75E1B">
              <w:rPr>
                <w:szCs w:val="20"/>
              </w:rPr>
              <w:t xml:space="preserve"> </w:t>
            </w:r>
            <w:r>
              <w:rPr>
                <w:szCs w:val="20"/>
              </w:rPr>
              <w:t>General</w:t>
            </w:r>
          </w:p>
          <w:p w14:paraId="1BCEB4A5" w14:textId="54377148" w:rsidR="006A0484" w:rsidRDefault="006A0484" w:rsidP="006A0484">
            <w:pPr>
              <w:bidi w:val="0"/>
              <w:spacing w:line="240" w:lineRule="exact"/>
              <w:jc w:val="left"/>
              <w:rPr>
                <w:szCs w:val="20"/>
              </w:rPr>
            </w:pPr>
            <w:r w:rsidRPr="00435DBA">
              <w:t>17</w:t>
            </w:r>
            <w:r w:rsidR="00C75E1B">
              <w:rPr>
                <w:szCs w:val="20"/>
              </w:rPr>
              <w:t xml:space="preserve"> </w:t>
            </w:r>
            <w:r>
              <w:rPr>
                <w:szCs w:val="20"/>
              </w:rPr>
              <w:t>July</w:t>
            </w:r>
            <w:r w:rsidR="00C75E1B">
              <w:rPr>
                <w:szCs w:val="20"/>
              </w:rPr>
              <w:t xml:space="preserve"> </w:t>
            </w:r>
            <w:r w:rsidRPr="00435DBA">
              <w:t>2023</w:t>
            </w:r>
          </w:p>
          <w:p w14:paraId="5734D395" w14:textId="77777777" w:rsidR="006A0484" w:rsidRDefault="006A0484" w:rsidP="006A0484">
            <w:pPr>
              <w:bidi w:val="0"/>
              <w:spacing w:line="240" w:lineRule="exact"/>
              <w:jc w:val="left"/>
              <w:rPr>
                <w:szCs w:val="20"/>
              </w:rPr>
            </w:pPr>
            <w:r>
              <w:rPr>
                <w:szCs w:val="20"/>
              </w:rPr>
              <w:t>Arabic</w:t>
            </w:r>
          </w:p>
          <w:p w14:paraId="6CFB40C5" w14:textId="54C177D9" w:rsidR="006A0484" w:rsidRPr="006A0484" w:rsidRDefault="006A0484" w:rsidP="006A0484">
            <w:pPr>
              <w:bidi w:val="0"/>
              <w:spacing w:line="240" w:lineRule="exact"/>
              <w:jc w:val="left"/>
              <w:rPr>
                <w:szCs w:val="20"/>
              </w:rPr>
            </w:pPr>
            <w:r>
              <w:rPr>
                <w:szCs w:val="20"/>
              </w:rPr>
              <w:t>Original:</w:t>
            </w:r>
            <w:r w:rsidR="00C75E1B">
              <w:rPr>
                <w:szCs w:val="20"/>
              </w:rPr>
              <w:t xml:space="preserve"> </w:t>
            </w:r>
            <w:r>
              <w:rPr>
                <w:szCs w:val="20"/>
              </w:rPr>
              <w:t>English</w:t>
            </w:r>
          </w:p>
        </w:tc>
      </w:tr>
    </w:tbl>
    <w:bookmarkEnd w:id="0"/>
    <w:p w14:paraId="177B785A" w14:textId="7EC9FECB" w:rsidR="008E202A" w:rsidRPr="00435DBA" w:rsidRDefault="00F572D8" w:rsidP="00F572D8">
      <w:pPr>
        <w:pStyle w:val="SingleTxtGA"/>
        <w:spacing w:before="120" w:after="0"/>
        <w:ind w:left="0" w:right="4252"/>
        <w:jc w:val="left"/>
        <w:rPr>
          <w:b/>
          <w:bCs/>
          <w:sz w:val="26"/>
          <w:szCs w:val="26"/>
          <w:rtl/>
          <w:lang w:eastAsia="zh-TW"/>
        </w:rPr>
      </w:pPr>
      <w:r w:rsidRPr="00435DBA">
        <w:rPr>
          <w:rFonts w:hint="cs"/>
          <w:b/>
          <w:bCs/>
          <w:sz w:val="26"/>
          <w:szCs w:val="26"/>
          <w:rtl/>
          <w:lang w:eastAsia="zh-TW"/>
        </w:rPr>
        <w:t>مجلس</w:t>
      </w:r>
      <w:r w:rsidR="00C75E1B" w:rsidRPr="00435DBA">
        <w:rPr>
          <w:rFonts w:hint="cs"/>
          <w:b/>
          <w:bCs/>
          <w:sz w:val="26"/>
          <w:szCs w:val="26"/>
          <w:rtl/>
          <w:lang w:eastAsia="zh-TW"/>
        </w:rPr>
        <w:t xml:space="preserve"> </w:t>
      </w:r>
      <w:r w:rsidRPr="00435DBA">
        <w:rPr>
          <w:rFonts w:hint="cs"/>
          <w:b/>
          <w:bCs/>
          <w:sz w:val="26"/>
          <w:szCs w:val="26"/>
          <w:rtl/>
          <w:lang w:eastAsia="zh-TW"/>
        </w:rPr>
        <w:t>حقوق</w:t>
      </w:r>
      <w:r w:rsidR="00C75E1B" w:rsidRPr="00435DBA">
        <w:rPr>
          <w:rFonts w:hint="cs"/>
          <w:b/>
          <w:bCs/>
          <w:sz w:val="26"/>
          <w:szCs w:val="26"/>
          <w:rtl/>
          <w:lang w:eastAsia="zh-TW"/>
        </w:rPr>
        <w:t xml:space="preserve"> </w:t>
      </w:r>
      <w:r w:rsidRPr="00435DBA">
        <w:rPr>
          <w:rFonts w:hint="cs"/>
          <w:b/>
          <w:bCs/>
          <w:sz w:val="26"/>
          <w:szCs w:val="26"/>
          <w:rtl/>
          <w:lang w:eastAsia="zh-TW"/>
        </w:rPr>
        <w:t>الإنسان</w:t>
      </w:r>
    </w:p>
    <w:p w14:paraId="16E6A46C" w14:textId="04A3D6D0" w:rsidR="00C75E1B" w:rsidRPr="00435DBA" w:rsidRDefault="00C75E1B" w:rsidP="00C75E1B">
      <w:pPr>
        <w:spacing w:line="360" w:lineRule="exact"/>
        <w:rPr>
          <w:b/>
          <w:bCs/>
          <w:sz w:val="22"/>
        </w:rPr>
      </w:pPr>
      <w:r w:rsidRPr="00435DBA">
        <w:rPr>
          <w:b/>
          <w:bCs/>
          <w:sz w:val="22"/>
          <w:rtl/>
        </w:rPr>
        <w:t>الدورة الثالثة والخمسون</w:t>
      </w:r>
    </w:p>
    <w:p w14:paraId="293E8360" w14:textId="683BB4B1" w:rsidR="00C75E1B" w:rsidRPr="00C75E1B" w:rsidRDefault="00C75E1B" w:rsidP="00C75E1B">
      <w:pPr>
        <w:spacing w:line="360" w:lineRule="exact"/>
        <w:rPr>
          <w:sz w:val="22"/>
        </w:rPr>
      </w:pPr>
      <w:r w:rsidRPr="00435DBA">
        <w:rPr>
          <w:rtl/>
        </w:rPr>
        <w:t>19</w:t>
      </w:r>
      <w:r>
        <w:rPr>
          <w:sz w:val="22"/>
          <w:rtl/>
        </w:rPr>
        <w:t xml:space="preserve"> </w:t>
      </w:r>
      <w:r w:rsidRPr="00C75E1B">
        <w:rPr>
          <w:sz w:val="22"/>
          <w:rtl/>
        </w:rPr>
        <w:t>حزيران/يونيه</w:t>
      </w:r>
      <w:r>
        <w:rPr>
          <w:sz w:val="22"/>
          <w:rtl/>
        </w:rPr>
        <w:t xml:space="preserve"> </w:t>
      </w:r>
      <w:r w:rsidRPr="00C75E1B">
        <w:rPr>
          <w:sz w:val="22"/>
          <w:rtl/>
        </w:rPr>
        <w:t>-</w:t>
      </w:r>
      <w:r>
        <w:rPr>
          <w:sz w:val="22"/>
          <w:rtl/>
        </w:rPr>
        <w:t xml:space="preserve"> </w:t>
      </w:r>
      <w:r w:rsidRPr="00435DBA">
        <w:rPr>
          <w:rtl/>
        </w:rPr>
        <w:t>14</w:t>
      </w:r>
      <w:r>
        <w:rPr>
          <w:sz w:val="22"/>
          <w:rtl/>
        </w:rPr>
        <w:t xml:space="preserve"> </w:t>
      </w:r>
      <w:r w:rsidRPr="00C75E1B">
        <w:rPr>
          <w:sz w:val="22"/>
          <w:rtl/>
        </w:rPr>
        <w:t>تموز/يوليه</w:t>
      </w:r>
      <w:r>
        <w:rPr>
          <w:sz w:val="22"/>
          <w:rtl/>
        </w:rPr>
        <w:t xml:space="preserve"> </w:t>
      </w:r>
      <w:r w:rsidRPr="00435DBA">
        <w:rPr>
          <w:rtl/>
        </w:rPr>
        <w:t>2023</w:t>
      </w:r>
    </w:p>
    <w:p w14:paraId="5E42BFEE" w14:textId="6B865E83" w:rsidR="00C75E1B" w:rsidRPr="00C75E1B" w:rsidRDefault="00C75E1B" w:rsidP="00C75E1B">
      <w:pPr>
        <w:spacing w:line="360" w:lineRule="exact"/>
        <w:rPr>
          <w:sz w:val="22"/>
          <w:rtl/>
        </w:rPr>
      </w:pPr>
      <w:r w:rsidRPr="00C75E1B">
        <w:rPr>
          <w:sz w:val="22"/>
          <w:rtl/>
        </w:rPr>
        <w:t>البند</w:t>
      </w:r>
      <w:r>
        <w:rPr>
          <w:sz w:val="22"/>
          <w:rtl/>
        </w:rPr>
        <w:t xml:space="preserve"> </w:t>
      </w:r>
      <w:r w:rsidRPr="00435DBA">
        <w:rPr>
          <w:rtl/>
        </w:rPr>
        <w:t>3</w:t>
      </w:r>
      <w:r>
        <w:rPr>
          <w:sz w:val="22"/>
          <w:rtl/>
        </w:rPr>
        <w:t xml:space="preserve"> </w:t>
      </w:r>
      <w:r w:rsidRPr="00C75E1B">
        <w:rPr>
          <w:sz w:val="22"/>
          <w:rtl/>
        </w:rPr>
        <w:t>من</w:t>
      </w:r>
      <w:r>
        <w:rPr>
          <w:sz w:val="22"/>
          <w:rtl/>
        </w:rPr>
        <w:t xml:space="preserve"> </w:t>
      </w:r>
      <w:r w:rsidRPr="00C75E1B">
        <w:rPr>
          <w:sz w:val="22"/>
          <w:rtl/>
        </w:rPr>
        <w:t>جدول</w:t>
      </w:r>
      <w:r>
        <w:rPr>
          <w:sz w:val="22"/>
          <w:rtl/>
        </w:rPr>
        <w:t xml:space="preserve"> </w:t>
      </w:r>
      <w:r w:rsidRPr="00C75E1B">
        <w:rPr>
          <w:sz w:val="22"/>
          <w:rtl/>
        </w:rPr>
        <w:t>الأعمال</w:t>
      </w:r>
    </w:p>
    <w:p w14:paraId="41CA074B" w14:textId="490DE44E" w:rsidR="00C75E1B" w:rsidRPr="00435DBA" w:rsidRDefault="00C75E1B" w:rsidP="00C75E1B">
      <w:pPr>
        <w:spacing w:line="360" w:lineRule="exact"/>
        <w:ind w:right="4962"/>
        <w:rPr>
          <w:b/>
          <w:bCs/>
          <w:sz w:val="22"/>
          <w:lang w:eastAsia="zh-TW" w:bidi="en-GB"/>
        </w:rPr>
      </w:pPr>
      <w:r w:rsidRPr="00435DBA">
        <w:rPr>
          <w:b/>
          <w:bCs/>
          <w:sz w:val="22"/>
          <w:rtl/>
        </w:rPr>
        <w:t>تعزيز وحماية جميع حقوق الإنسان، المدنية والسياسية والاقتصادية والاجتماعية والثقافية، بما في ذلك الحق في التنمية</w:t>
      </w:r>
    </w:p>
    <w:p w14:paraId="7E86AF6B" w14:textId="09247BDF" w:rsidR="00C75E1B" w:rsidRPr="00435DBA" w:rsidRDefault="00C75E1B" w:rsidP="00C75E1B">
      <w:pPr>
        <w:pStyle w:val="HChGA"/>
      </w:pPr>
      <w:r w:rsidRPr="00435DBA">
        <w:rPr>
          <w:rtl/>
        </w:rPr>
        <w:tab/>
      </w:r>
      <w:r w:rsidRPr="00435DBA">
        <w:rPr>
          <w:rtl/>
        </w:rPr>
        <w:tab/>
        <w:t>قرار</w:t>
      </w:r>
      <w:r w:rsidRPr="00435DBA">
        <w:rPr>
          <w:rFonts w:hint="cs"/>
          <w:rtl/>
        </w:rPr>
        <w:t xml:space="preserve"> اعتمده مجلس حقوق الإنسان في 12 تموز/يوليه 2023</w:t>
      </w:r>
    </w:p>
    <w:p w14:paraId="1004A0A6" w14:textId="39B0D76E" w:rsidR="00C75E1B" w:rsidRPr="00435DBA" w:rsidRDefault="00C75E1B" w:rsidP="00C75E1B">
      <w:pPr>
        <w:pStyle w:val="H1GA"/>
      </w:pPr>
      <w:r w:rsidRPr="00435DBA">
        <w:rPr>
          <w:rtl/>
        </w:rPr>
        <w:tab/>
        <w:t>53/</w:t>
      </w:r>
      <w:r w:rsidRPr="00435DBA">
        <w:rPr>
          <w:rFonts w:hint="cs"/>
          <w:rtl/>
        </w:rPr>
        <w:t>8</w:t>
      </w:r>
      <w:r w:rsidR="008D22B8" w:rsidRPr="00435DBA">
        <w:rPr>
          <w:rFonts w:hint="cs"/>
          <w:rtl/>
        </w:rPr>
        <w:t>-</w:t>
      </w:r>
      <w:r w:rsidRPr="00435DBA">
        <w:rPr>
          <w:rtl/>
        </w:rPr>
        <w:tab/>
        <w:t>القضاء على التمييز ضد الأشخاص ذوي الجذام (داء هانسن) وأفراد أسرهم</w:t>
      </w:r>
    </w:p>
    <w:p w14:paraId="1C93AEB0" w14:textId="14BF54CF" w:rsidR="00C75E1B" w:rsidRPr="00435DBA" w:rsidRDefault="00C75E1B" w:rsidP="000A000A">
      <w:pPr>
        <w:pStyle w:val="SingleTxtGA"/>
        <w:rPr>
          <w:i/>
          <w:iCs/>
          <w:lang w:val="en-US" w:eastAsia="zh-TW" w:bidi="en-GB"/>
        </w:rPr>
      </w:pPr>
      <w:r w:rsidRPr="000A000A">
        <w:rPr>
          <w:rtl/>
        </w:rPr>
        <w:tab/>
      </w:r>
      <w:r w:rsidRPr="00435DBA">
        <w:rPr>
          <w:i/>
          <w:iCs/>
          <w:rtl/>
        </w:rPr>
        <w:t>إن مجلس حقوق الإنسان،</w:t>
      </w:r>
    </w:p>
    <w:p w14:paraId="68A15A1F" w14:textId="312778B7" w:rsidR="00C75E1B" w:rsidRPr="000A000A" w:rsidRDefault="00C75E1B" w:rsidP="000A000A">
      <w:pPr>
        <w:pStyle w:val="SingleTxtGA"/>
      </w:pPr>
      <w:r w:rsidRPr="000A000A">
        <w:rPr>
          <w:rtl/>
        </w:rPr>
        <w:tab/>
      </w:r>
      <w:r w:rsidRPr="00435DBA">
        <w:rPr>
          <w:i/>
          <w:iCs/>
          <w:rtl/>
        </w:rPr>
        <w:t>إذ يسترشد</w:t>
      </w:r>
      <w:r w:rsidRPr="000A000A">
        <w:rPr>
          <w:rtl/>
        </w:rPr>
        <w:t xml:space="preserve"> بمقاصد ميثاق الأمم المتحدة ومبادئه وأحكامه،</w:t>
      </w:r>
    </w:p>
    <w:p w14:paraId="110B3C58" w14:textId="25C50913" w:rsidR="00C75E1B" w:rsidRPr="000A000A" w:rsidRDefault="00C75E1B" w:rsidP="000A000A">
      <w:pPr>
        <w:pStyle w:val="SingleTxtGA"/>
        <w:rPr>
          <w:rtl/>
        </w:rPr>
      </w:pPr>
      <w:r w:rsidRPr="000A000A">
        <w:rPr>
          <w:rtl/>
        </w:rPr>
        <w:tab/>
      </w:r>
      <w:r w:rsidRPr="00435DBA">
        <w:rPr>
          <w:i/>
          <w:iCs/>
          <w:rtl/>
        </w:rPr>
        <w:t>وإذ يسترشد أيضاً</w:t>
      </w:r>
      <w:r w:rsidRPr="000A000A">
        <w:rPr>
          <w:rtl/>
        </w:rPr>
        <w:t xml:space="preserve"> بالإعلان العالمي لحقوق الإنسان، وإذ يشير إلى الصكوك الدولية لحقوق </w:t>
      </w:r>
      <w:r w:rsidRPr="000A000A">
        <w:rPr>
          <w:spacing w:val="-2"/>
          <w:rtl/>
        </w:rPr>
        <w:t>الإنسان ذات الصلة، بما فيها العهد الدولي الخاص بالحقوق الاقتصادية والاجتماعية والثقافية والعهد الدولي</w:t>
      </w:r>
      <w:r w:rsidRPr="000A000A">
        <w:rPr>
          <w:rtl/>
        </w:rPr>
        <w:t xml:space="preserve"> </w:t>
      </w:r>
      <w:r w:rsidRPr="000A000A">
        <w:rPr>
          <w:spacing w:val="-2"/>
          <w:rtl/>
        </w:rPr>
        <w:t>الخاص بالحقوق المدنية والسياسية واتفاقية حقوق الأشخاص ذوي الإعاقة واتفاقية القضاء على جميع أشكال</w:t>
      </w:r>
      <w:r w:rsidRPr="000A000A">
        <w:rPr>
          <w:rtl/>
        </w:rPr>
        <w:t xml:space="preserve"> التمييز ضد المرأة واتفاقية حقوق الطفل والاتفاقية الدولية للقضاء على جميع أشكال التمييز العنصري،</w:t>
      </w:r>
    </w:p>
    <w:p w14:paraId="7716B0B7" w14:textId="41FC77E2" w:rsidR="00C75E1B" w:rsidRPr="000A000A" w:rsidRDefault="00C75E1B" w:rsidP="000A000A">
      <w:pPr>
        <w:pStyle w:val="SingleTxtGA"/>
      </w:pPr>
      <w:r w:rsidRPr="000A000A">
        <w:rPr>
          <w:rtl/>
        </w:rPr>
        <w:tab/>
      </w:r>
      <w:r w:rsidRPr="00435DBA">
        <w:rPr>
          <w:i/>
          <w:iCs/>
          <w:rtl/>
        </w:rPr>
        <w:t>وإذ يرحب</w:t>
      </w:r>
      <w:r w:rsidRPr="000A000A">
        <w:rPr>
          <w:rtl/>
        </w:rPr>
        <w:t xml:space="preserve"> بعمل المقررة الخاصة المعنية بالقضاء على التمييز ضد الأشخاص ذوي الجذام وأفراد </w:t>
      </w:r>
      <w:r w:rsidRPr="000A000A">
        <w:rPr>
          <w:spacing w:val="-2"/>
          <w:rtl/>
        </w:rPr>
        <w:t>أسرهم ويحيط علماً بتقاريرها المقدمة إلى مجلس حقوق الإنسان والجمعية العامة</w:t>
      </w:r>
      <w:r w:rsidRPr="000A000A">
        <w:rPr>
          <w:spacing w:val="-2"/>
          <w:vertAlign w:val="superscript"/>
          <w:rtl/>
        </w:rPr>
        <w:t>(</w:t>
      </w:r>
      <w:r w:rsidRPr="00435DBA">
        <w:rPr>
          <w:spacing w:val="-2"/>
          <w:vertAlign w:val="superscript"/>
          <w:lang w:val="en-US"/>
        </w:rPr>
        <w:footnoteReference w:id="1"/>
      </w:r>
      <w:r w:rsidRPr="000A000A">
        <w:rPr>
          <w:spacing w:val="-2"/>
          <w:vertAlign w:val="superscript"/>
          <w:rtl/>
        </w:rPr>
        <w:t>)</w:t>
      </w:r>
      <w:r w:rsidRPr="000A000A">
        <w:rPr>
          <w:spacing w:val="-2"/>
          <w:rtl/>
        </w:rPr>
        <w:t>، وبالتوصيات الواردة فيها،</w:t>
      </w:r>
    </w:p>
    <w:p w14:paraId="3C8657E3" w14:textId="11FABBB5" w:rsidR="00C75E1B" w:rsidRPr="000A000A" w:rsidRDefault="00C75E1B" w:rsidP="000A000A">
      <w:pPr>
        <w:pStyle w:val="SingleTxtGA"/>
        <w:rPr>
          <w:rtl/>
        </w:rPr>
      </w:pPr>
      <w:r w:rsidRPr="000A000A">
        <w:rPr>
          <w:rtl/>
        </w:rPr>
        <w:tab/>
      </w:r>
      <w:r w:rsidRPr="00435DBA">
        <w:rPr>
          <w:i/>
          <w:iCs/>
          <w:rtl/>
        </w:rPr>
        <w:t>وإذ يشير</w:t>
      </w:r>
      <w:r w:rsidRPr="000A000A">
        <w:rPr>
          <w:rtl/>
        </w:rPr>
        <w:t xml:space="preserve"> إلى قراري مجلس حقوق الإنسان </w:t>
      </w:r>
      <w:r w:rsidRPr="00435DBA">
        <w:rPr>
          <w:rtl/>
        </w:rPr>
        <w:t>5</w:t>
      </w:r>
      <w:r w:rsidRPr="000A000A">
        <w:rPr>
          <w:rtl/>
        </w:rPr>
        <w:t>/</w:t>
      </w:r>
      <w:r w:rsidRPr="00435DBA">
        <w:rPr>
          <w:rtl/>
        </w:rPr>
        <w:t>1</w:t>
      </w:r>
      <w:r w:rsidRPr="000A000A">
        <w:rPr>
          <w:rtl/>
        </w:rPr>
        <w:t xml:space="preserve"> بشأن بناء مؤسسات مجلس حقوق الإنسان، و</w:t>
      </w:r>
      <w:r w:rsidRPr="00435DBA">
        <w:rPr>
          <w:rtl/>
        </w:rPr>
        <w:t>5</w:t>
      </w:r>
      <w:r w:rsidRPr="000A000A">
        <w:rPr>
          <w:rtl/>
        </w:rPr>
        <w:t>/</w:t>
      </w:r>
      <w:r w:rsidRPr="00435DBA">
        <w:rPr>
          <w:rtl/>
        </w:rPr>
        <w:t>2</w:t>
      </w:r>
      <w:r w:rsidRPr="000A000A">
        <w:rPr>
          <w:rtl/>
        </w:rPr>
        <w:t xml:space="preserve"> بشأن مدونة قواعد السلوك لأصحاب الولايات في إطار الإجراءات الخاصة لمجلس حقوق الإنسان، المؤرخين </w:t>
      </w:r>
      <w:r w:rsidRPr="00435DBA">
        <w:rPr>
          <w:rtl/>
        </w:rPr>
        <w:t>18</w:t>
      </w:r>
      <w:r w:rsidRPr="000A000A">
        <w:rPr>
          <w:rtl/>
        </w:rPr>
        <w:t xml:space="preserve"> حزيران/يونيه </w:t>
      </w:r>
      <w:r w:rsidRPr="00435DBA">
        <w:rPr>
          <w:rtl/>
        </w:rPr>
        <w:t>2007</w:t>
      </w:r>
      <w:r w:rsidRPr="000A000A">
        <w:rPr>
          <w:rtl/>
        </w:rPr>
        <w:t>، وإذ يشدد على وجوب أداء جميع المكلفين بولايات واجباتهم وفقاً لهذين القرارين ومرفقيهما،</w:t>
      </w:r>
    </w:p>
    <w:p w14:paraId="08E67F9A" w14:textId="1589F558" w:rsidR="00C75E1B" w:rsidRPr="000A000A" w:rsidRDefault="00C75E1B" w:rsidP="000A000A">
      <w:pPr>
        <w:pStyle w:val="SingleTxtGA"/>
        <w:spacing w:after="100"/>
      </w:pPr>
      <w:r w:rsidRPr="000A000A">
        <w:rPr>
          <w:rtl/>
        </w:rPr>
        <w:tab/>
      </w:r>
      <w:r w:rsidRPr="00435DBA">
        <w:rPr>
          <w:i/>
          <w:iCs/>
          <w:rtl/>
        </w:rPr>
        <w:t>وإذ يشير أيضاً</w:t>
      </w:r>
      <w:r w:rsidRPr="000A000A">
        <w:rPr>
          <w:rtl/>
        </w:rPr>
        <w:t xml:space="preserve"> إلى قراراته </w:t>
      </w:r>
      <w:r w:rsidRPr="00435DBA">
        <w:rPr>
          <w:rtl/>
        </w:rPr>
        <w:t>8</w:t>
      </w:r>
      <w:r w:rsidRPr="000A000A">
        <w:rPr>
          <w:rtl/>
        </w:rPr>
        <w:t>/</w:t>
      </w:r>
      <w:r w:rsidRPr="00435DBA">
        <w:rPr>
          <w:rtl/>
        </w:rPr>
        <w:t>13</w:t>
      </w:r>
      <w:r w:rsidRPr="000A000A">
        <w:rPr>
          <w:rtl/>
        </w:rPr>
        <w:t xml:space="preserve"> المؤرخ </w:t>
      </w:r>
      <w:r w:rsidRPr="00435DBA">
        <w:rPr>
          <w:rtl/>
        </w:rPr>
        <w:t>18</w:t>
      </w:r>
      <w:r w:rsidRPr="000A000A">
        <w:rPr>
          <w:rtl/>
        </w:rPr>
        <w:t xml:space="preserve"> حزيران/يونيه </w:t>
      </w:r>
      <w:r w:rsidRPr="00435DBA">
        <w:rPr>
          <w:rtl/>
        </w:rPr>
        <w:t>2008</w:t>
      </w:r>
      <w:r w:rsidRPr="000A000A">
        <w:rPr>
          <w:rtl/>
        </w:rPr>
        <w:t>، و</w:t>
      </w:r>
      <w:r w:rsidRPr="00435DBA">
        <w:rPr>
          <w:rtl/>
        </w:rPr>
        <w:t>12</w:t>
      </w:r>
      <w:r w:rsidRPr="000A000A">
        <w:rPr>
          <w:rtl/>
        </w:rPr>
        <w:t>/</w:t>
      </w:r>
      <w:r w:rsidRPr="00435DBA">
        <w:rPr>
          <w:rtl/>
        </w:rPr>
        <w:t>7</w:t>
      </w:r>
      <w:r w:rsidRPr="000A000A">
        <w:rPr>
          <w:rtl/>
        </w:rPr>
        <w:t xml:space="preserve"> المؤرخ </w:t>
      </w:r>
      <w:r w:rsidRPr="00435DBA">
        <w:rPr>
          <w:rtl/>
        </w:rPr>
        <w:t>1</w:t>
      </w:r>
      <w:r w:rsidRPr="000A000A">
        <w:rPr>
          <w:rtl/>
        </w:rPr>
        <w:t xml:space="preserve"> تشرين الأول/أكتوبر </w:t>
      </w:r>
      <w:r w:rsidRPr="00435DBA">
        <w:rPr>
          <w:rtl/>
        </w:rPr>
        <w:t>2009</w:t>
      </w:r>
      <w:r w:rsidRPr="000A000A">
        <w:rPr>
          <w:rtl/>
        </w:rPr>
        <w:t>، و</w:t>
      </w:r>
      <w:r w:rsidRPr="00435DBA">
        <w:rPr>
          <w:rtl/>
        </w:rPr>
        <w:t>15</w:t>
      </w:r>
      <w:r w:rsidRPr="000A000A">
        <w:rPr>
          <w:rtl/>
        </w:rPr>
        <w:t>/</w:t>
      </w:r>
      <w:r w:rsidRPr="00435DBA">
        <w:rPr>
          <w:rtl/>
        </w:rPr>
        <w:t>10</w:t>
      </w:r>
      <w:r w:rsidRPr="000A000A">
        <w:rPr>
          <w:rtl/>
        </w:rPr>
        <w:t xml:space="preserve"> المؤرخ </w:t>
      </w:r>
      <w:r w:rsidRPr="00435DBA">
        <w:rPr>
          <w:rtl/>
        </w:rPr>
        <w:t>30</w:t>
      </w:r>
      <w:r w:rsidRPr="000A000A">
        <w:rPr>
          <w:rtl/>
        </w:rPr>
        <w:t xml:space="preserve"> أيلول/سبتمبر </w:t>
      </w:r>
      <w:r w:rsidRPr="00435DBA">
        <w:rPr>
          <w:rtl/>
        </w:rPr>
        <w:t>2010</w:t>
      </w:r>
      <w:r w:rsidRPr="000A000A">
        <w:rPr>
          <w:rtl/>
        </w:rPr>
        <w:t>، و</w:t>
      </w:r>
      <w:r w:rsidRPr="00435DBA">
        <w:rPr>
          <w:rtl/>
        </w:rPr>
        <w:t>29</w:t>
      </w:r>
      <w:r w:rsidRPr="000A000A">
        <w:rPr>
          <w:rtl/>
        </w:rPr>
        <w:t>/</w:t>
      </w:r>
      <w:r w:rsidRPr="00435DBA">
        <w:rPr>
          <w:rtl/>
        </w:rPr>
        <w:t>5</w:t>
      </w:r>
      <w:r w:rsidRPr="000A000A">
        <w:rPr>
          <w:rtl/>
        </w:rPr>
        <w:t xml:space="preserve"> المؤرخ </w:t>
      </w:r>
      <w:r w:rsidRPr="00435DBA">
        <w:rPr>
          <w:rtl/>
        </w:rPr>
        <w:t>2</w:t>
      </w:r>
      <w:r w:rsidRPr="000A000A">
        <w:rPr>
          <w:rtl/>
        </w:rPr>
        <w:t xml:space="preserve"> تموز/يوليه </w:t>
      </w:r>
      <w:r w:rsidRPr="00435DBA">
        <w:rPr>
          <w:rtl/>
        </w:rPr>
        <w:t>2015</w:t>
      </w:r>
      <w:r w:rsidRPr="000A000A">
        <w:rPr>
          <w:rtl/>
        </w:rPr>
        <w:t>، و</w:t>
      </w:r>
      <w:r w:rsidRPr="00435DBA">
        <w:rPr>
          <w:rtl/>
        </w:rPr>
        <w:t>35</w:t>
      </w:r>
      <w:r w:rsidRPr="000A000A">
        <w:rPr>
          <w:rtl/>
        </w:rPr>
        <w:t>/</w:t>
      </w:r>
      <w:r w:rsidRPr="00435DBA">
        <w:rPr>
          <w:rtl/>
        </w:rPr>
        <w:t>9</w:t>
      </w:r>
      <w:r w:rsidRPr="000A000A">
        <w:rPr>
          <w:rtl/>
        </w:rPr>
        <w:t xml:space="preserve"> المؤرخ </w:t>
      </w:r>
      <w:r w:rsidRPr="00435DBA">
        <w:rPr>
          <w:rtl/>
        </w:rPr>
        <w:t>22</w:t>
      </w:r>
      <w:r w:rsidRPr="000A000A">
        <w:rPr>
          <w:rtl/>
        </w:rPr>
        <w:t xml:space="preserve"> حزيران/يونيه </w:t>
      </w:r>
      <w:r w:rsidRPr="00435DBA">
        <w:rPr>
          <w:rtl/>
        </w:rPr>
        <w:t>2017</w:t>
      </w:r>
      <w:r w:rsidRPr="000A000A">
        <w:rPr>
          <w:rtl/>
        </w:rPr>
        <w:t>، و</w:t>
      </w:r>
      <w:r w:rsidRPr="00435DBA">
        <w:rPr>
          <w:rtl/>
        </w:rPr>
        <w:t>44</w:t>
      </w:r>
      <w:r w:rsidRPr="000A000A">
        <w:rPr>
          <w:rtl/>
        </w:rPr>
        <w:t>/</w:t>
      </w:r>
      <w:r w:rsidRPr="00435DBA">
        <w:rPr>
          <w:rtl/>
        </w:rPr>
        <w:t>6</w:t>
      </w:r>
      <w:r w:rsidRPr="000A000A">
        <w:rPr>
          <w:rtl/>
        </w:rPr>
        <w:t xml:space="preserve"> المؤرخ </w:t>
      </w:r>
      <w:r w:rsidRPr="00435DBA">
        <w:rPr>
          <w:rtl/>
        </w:rPr>
        <w:t>16</w:t>
      </w:r>
      <w:r w:rsidRPr="000A000A">
        <w:rPr>
          <w:rtl/>
        </w:rPr>
        <w:t xml:space="preserve"> تموز/يوليه </w:t>
      </w:r>
      <w:r w:rsidRPr="00435DBA">
        <w:rPr>
          <w:rtl/>
        </w:rPr>
        <w:t>2020</w:t>
      </w:r>
      <w:r w:rsidRPr="000A000A">
        <w:rPr>
          <w:rtl/>
        </w:rPr>
        <w:t xml:space="preserve">، وإلى قرار الجمعية العامة </w:t>
      </w:r>
      <w:r w:rsidRPr="00435DBA">
        <w:rPr>
          <w:rtl/>
        </w:rPr>
        <w:t>65</w:t>
      </w:r>
      <w:r w:rsidRPr="000A000A">
        <w:rPr>
          <w:rtl/>
        </w:rPr>
        <w:t>/</w:t>
      </w:r>
      <w:r w:rsidRPr="00435DBA">
        <w:rPr>
          <w:rtl/>
        </w:rPr>
        <w:t>215</w:t>
      </w:r>
      <w:r w:rsidRPr="000A000A">
        <w:rPr>
          <w:rtl/>
        </w:rPr>
        <w:t xml:space="preserve"> المؤرخ </w:t>
      </w:r>
      <w:r w:rsidRPr="00435DBA">
        <w:rPr>
          <w:rtl/>
        </w:rPr>
        <w:t>21</w:t>
      </w:r>
      <w:r w:rsidRPr="000A000A">
        <w:rPr>
          <w:rtl/>
        </w:rPr>
        <w:t xml:space="preserve"> كانون الأول/ديسمبر </w:t>
      </w:r>
      <w:r w:rsidRPr="00435DBA">
        <w:rPr>
          <w:rtl/>
        </w:rPr>
        <w:t>2010</w:t>
      </w:r>
      <w:r w:rsidRPr="000A000A">
        <w:rPr>
          <w:rtl/>
        </w:rPr>
        <w:t>،</w:t>
      </w:r>
    </w:p>
    <w:p w14:paraId="0DB9EC26" w14:textId="1C4AF649" w:rsidR="00C75E1B" w:rsidRPr="000A000A" w:rsidRDefault="00C75E1B" w:rsidP="000A000A">
      <w:pPr>
        <w:pStyle w:val="SingleTxtGA"/>
        <w:spacing w:after="100" w:line="340" w:lineRule="exact"/>
      </w:pPr>
      <w:r w:rsidRPr="000A000A">
        <w:rPr>
          <w:rtl/>
        </w:rPr>
        <w:lastRenderedPageBreak/>
        <w:tab/>
      </w:r>
      <w:r w:rsidRPr="00435DBA">
        <w:rPr>
          <w:i/>
          <w:iCs/>
          <w:rtl/>
        </w:rPr>
        <w:t>وإذ يشير كذلك</w:t>
      </w:r>
      <w:r w:rsidRPr="000A000A">
        <w:rPr>
          <w:rtl/>
        </w:rPr>
        <w:t xml:space="preserve"> إلى أن جميع حقوق الإنسان والحريات الأساسية عالمية وغير قابلة للتجزئة ومترابطة ومتشابكة،</w:t>
      </w:r>
    </w:p>
    <w:p w14:paraId="30A51FEF" w14:textId="29880796" w:rsidR="00C75E1B" w:rsidRPr="000A000A" w:rsidRDefault="00C75E1B" w:rsidP="000A000A">
      <w:pPr>
        <w:pStyle w:val="SingleTxtGA"/>
        <w:spacing w:after="100" w:line="340" w:lineRule="exact"/>
      </w:pPr>
      <w:r w:rsidRPr="000A000A">
        <w:rPr>
          <w:rtl/>
        </w:rPr>
        <w:tab/>
      </w:r>
      <w:r w:rsidRPr="00435DBA">
        <w:rPr>
          <w:i/>
          <w:iCs/>
          <w:rtl/>
        </w:rPr>
        <w:t>وإذ يشير</w:t>
      </w:r>
      <w:r w:rsidRPr="000A000A">
        <w:rPr>
          <w:rtl/>
        </w:rPr>
        <w:t xml:space="preserve"> إلى الاستراتيجية العالمية لمكافحة الجذام (مرض هانسن) للفترة </w:t>
      </w:r>
      <w:r w:rsidRPr="00435DBA">
        <w:rPr>
          <w:rtl/>
        </w:rPr>
        <w:t>2021</w:t>
      </w:r>
      <w:r w:rsidRPr="000A000A">
        <w:rPr>
          <w:rtl/>
        </w:rPr>
        <w:t>-</w:t>
      </w:r>
      <w:r w:rsidRPr="00435DBA">
        <w:rPr>
          <w:rtl/>
        </w:rPr>
        <w:t>2030</w:t>
      </w:r>
      <w:r w:rsidRPr="000A000A">
        <w:rPr>
          <w:rtl/>
        </w:rPr>
        <w:t>، التي وضعتها منظمة الصحة العالمية، وإذ يشاطر التطلع المشترك إلى التعجيل بإيجاد عالم خال من الجذام (مرض هانسن)،</w:t>
      </w:r>
    </w:p>
    <w:p w14:paraId="49C6DB28" w14:textId="15F1F68A" w:rsidR="00C75E1B" w:rsidRPr="000A000A" w:rsidRDefault="00C75E1B" w:rsidP="000A000A">
      <w:pPr>
        <w:pStyle w:val="SingleTxtGA"/>
        <w:spacing w:after="100" w:line="340" w:lineRule="exact"/>
      </w:pPr>
      <w:r w:rsidRPr="000A000A">
        <w:rPr>
          <w:rtl/>
        </w:rPr>
        <w:tab/>
      </w:r>
      <w:r w:rsidRPr="00435DBA">
        <w:rPr>
          <w:i/>
          <w:iCs/>
          <w:rtl/>
        </w:rPr>
        <w:t>وإذ يشير أيضاً</w:t>
      </w:r>
      <w:r w:rsidRPr="000A000A">
        <w:rPr>
          <w:rtl/>
        </w:rPr>
        <w:t xml:space="preserve"> إلى أن الجذام (داء هانسن) قابل للعلاج وأنه يمكن حماية حقوق الإنسان للأشخاص ذوي الجذام على نحو أفضل بتوفير العلاج لهم في المراحل المبكرة، مما قد يمنع الإعاقة،</w:t>
      </w:r>
    </w:p>
    <w:p w14:paraId="6CD2645F" w14:textId="3717AD6A" w:rsidR="00C75E1B" w:rsidRPr="000A000A" w:rsidRDefault="00C75E1B" w:rsidP="000A000A">
      <w:pPr>
        <w:pStyle w:val="SingleTxtGA"/>
        <w:spacing w:after="100" w:line="340" w:lineRule="exact"/>
      </w:pPr>
      <w:r w:rsidRPr="000A000A">
        <w:rPr>
          <w:rtl/>
        </w:rPr>
        <w:tab/>
      </w:r>
      <w:r w:rsidRPr="00435DBA">
        <w:rPr>
          <w:i/>
          <w:iCs/>
          <w:rtl/>
        </w:rPr>
        <w:t>وإذ يشعر بقلق بالغ</w:t>
      </w:r>
      <w:r w:rsidRPr="000A000A">
        <w:rPr>
          <w:rtl/>
        </w:rPr>
        <w:t xml:space="preserve"> لأن الأشخاص ذوي الجذام (داء هانسن) وأفراد أسرهم واجهوا ولا يزالون يواجهون في أنحاء مختلفة من العالم حواجز تحول دون مشاركتهم على قدم المساواة في المجتمع وتجعلهم في حالة ضعف، منها العزل والتمييز وانتهاكات وتجاوزات حقوق الإنسان المكفولة لهم، وإذ يدرك أنه ينبغي إيلاء اهتمام أكبر لمعالجة هذه التحديات، مع مراعاة أثر جائحة مرض فيروس كورونا (كوفيد-</w:t>
      </w:r>
      <w:r w:rsidRPr="00435DBA">
        <w:rPr>
          <w:rtl/>
        </w:rPr>
        <w:t>19</w:t>
      </w:r>
      <w:r w:rsidRPr="000A000A">
        <w:rPr>
          <w:rtl/>
        </w:rPr>
        <w:t>) بصفة خاصة،</w:t>
      </w:r>
    </w:p>
    <w:p w14:paraId="5E617E5B" w14:textId="5EA7293E" w:rsidR="00C75E1B" w:rsidRPr="000A000A" w:rsidRDefault="00C75E1B" w:rsidP="000A000A">
      <w:pPr>
        <w:pStyle w:val="SingleTxtGA"/>
        <w:spacing w:after="100" w:line="340" w:lineRule="exact"/>
      </w:pPr>
      <w:r w:rsidRPr="000A000A">
        <w:rPr>
          <w:rtl/>
        </w:rPr>
        <w:tab/>
      </w:r>
      <w:r w:rsidRPr="00435DBA">
        <w:rPr>
          <w:i/>
          <w:iCs/>
          <w:rtl/>
        </w:rPr>
        <w:t>وإذ يؤكد من جديد</w:t>
      </w:r>
      <w:r w:rsidRPr="000A000A">
        <w:rPr>
          <w:rtl/>
        </w:rPr>
        <w:t xml:space="preserve"> أنه ينبغي معاملة الأشخاص ذوي الجذام (داء هانسن) وأفراد أسرهم، بمن فيهم النساء والأطفال وكبار السن، بطريقة تحفظ كرامتهم، وأنه يحق لهم التمتع بجميع حقوق الإنسان والحريات الأساسية المكفولة بموجب القانون الدولي، بما في ذلك الاتفاقيات ذات الصلة، والدساتير والقوانين الوطنية،</w:t>
      </w:r>
    </w:p>
    <w:p w14:paraId="5D394DFC" w14:textId="175B90F1" w:rsidR="00C75E1B" w:rsidRPr="000A000A" w:rsidRDefault="00C75E1B" w:rsidP="000A000A">
      <w:pPr>
        <w:pStyle w:val="SingleTxtGA"/>
        <w:spacing w:after="100" w:line="340" w:lineRule="exact"/>
      </w:pPr>
      <w:r w:rsidRPr="000A000A">
        <w:rPr>
          <w:rtl/>
        </w:rPr>
        <w:tab/>
      </w:r>
      <w:r w:rsidRPr="00435DBA">
        <w:rPr>
          <w:i/>
          <w:iCs/>
          <w:rtl/>
        </w:rPr>
        <w:t>وإذ يسلم</w:t>
      </w:r>
      <w:r w:rsidRPr="000A000A">
        <w:rPr>
          <w:rtl/>
        </w:rPr>
        <w:t xml:space="preserve"> بأن الأشخاص ذوي الجذام (داء هانسن) وأفراد أسرهم لا يزالون يواجهون أشكالاً متعددة </w:t>
      </w:r>
      <w:r w:rsidRPr="000A000A">
        <w:rPr>
          <w:spacing w:val="-2"/>
          <w:rtl/>
        </w:rPr>
        <w:t>من التحيز والتمييز الناجمين عن المعلومات الخاطئة بشأن هذا الداء وعن سوء فهمه في جميع أنحاء العالم</w:t>
      </w:r>
      <w:r w:rsidRPr="000A000A">
        <w:rPr>
          <w:rtl/>
        </w:rPr>
        <w:t>،</w:t>
      </w:r>
    </w:p>
    <w:p w14:paraId="7A71B015" w14:textId="3B4B5BCD" w:rsidR="00C75E1B" w:rsidRPr="000A000A" w:rsidRDefault="00C75E1B" w:rsidP="000A000A">
      <w:pPr>
        <w:pStyle w:val="SingleTxtGA"/>
        <w:spacing w:after="100" w:line="340" w:lineRule="exact"/>
      </w:pPr>
      <w:r w:rsidRPr="000A000A">
        <w:rPr>
          <w:rtl/>
        </w:rPr>
        <w:tab/>
      </w:r>
      <w:r w:rsidRPr="00435DBA">
        <w:rPr>
          <w:i/>
          <w:iCs/>
          <w:rtl/>
        </w:rPr>
        <w:t>وإذ يسلم أيضاً</w:t>
      </w:r>
      <w:r w:rsidRPr="000A000A">
        <w:rPr>
          <w:rtl/>
        </w:rPr>
        <w:t xml:space="preserve"> بضرورة إيلاء اهتمام خاص للتصدي لجميع أشكال التمييز والعنف ضد الأشخاص ذوي الجذام (داء هانسن) وأفراد أسرهم،</w:t>
      </w:r>
    </w:p>
    <w:p w14:paraId="767D1946" w14:textId="4556B9A2" w:rsidR="00C75E1B" w:rsidRPr="000A000A" w:rsidRDefault="00C75E1B" w:rsidP="000A000A">
      <w:pPr>
        <w:pStyle w:val="SingleTxtGA"/>
        <w:spacing w:after="100" w:line="340" w:lineRule="exact"/>
      </w:pPr>
      <w:r w:rsidRPr="000A000A">
        <w:rPr>
          <w:rtl/>
        </w:rPr>
        <w:tab/>
      </w:r>
      <w:r w:rsidRPr="00435DBA">
        <w:rPr>
          <w:i/>
          <w:iCs/>
          <w:rtl/>
        </w:rPr>
        <w:t>وإذ يضع في اعتباره</w:t>
      </w:r>
      <w:r w:rsidRPr="000A000A">
        <w:rPr>
          <w:rtl/>
        </w:rPr>
        <w:t xml:space="preserve"> ضرورة تكثيف الجهود للقضاء على جميع أشكال التحيز والتمييز ضد الأشخاص ذوي الجذام (داء هانسن) وأفراد أسرهم ولتعزيز سياسات تيسير إدماجهم في جميع أنحاء العالم،</w:t>
      </w:r>
    </w:p>
    <w:p w14:paraId="383F982D" w14:textId="3E7C6B33" w:rsidR="00C75E1B" w:rsidRPr="000A000A" w:rsidRDefault="00C75E1B" w:rsidP="000A000A">
      <w:pPr>
        <w:pStyle w:val="SingleTxtGA"/>
        <w:spacing w:after="100" w:line="340" w:lineRule="exact"/>
      </w:pPr>
      <w:r w:rsidRPr="000A000A">
        <w:rPr>
          <w:rtl/>
        </w:rPr>
        <w:tab/>
      </w:r>
      <w:r w:rsidRPr="00435DBA">
        <w:rPr>
          <w:i/>
          <w:iCs/>
          <w:rtl/>
        </w:rPr>
        <w:t>وإذ يشدد</w:t>
      </w:r>
      <w:r w:rsidRPr="000A000A">
        <w:rPr>
          <w:rtl/>
        </w:rPr>
        <w:t xml:space="preserve"> على أهمية تنفيذ المبادئ والمبادئ التوجيهية للقضاء على التمييز ضد الأشخاص ذوي الجذام وأفراد أسرهم، التي قدمتها إلى مجلس حقوق الإنسان لجنته الاستشارية في عام </w:t>
      </w:r>
      <w:r w:rsidRPr="00435DBA">
        <w:rPr>
          <w:rtl/>
        </w:rPr>
        <w:t>2010</w:t>
      </w:r>
      <w:r w:rsidRPr="000A000A">
        <w:rPr>
          <w:vertAlign w:val="superscript"/>
          <w:rtl/>
        </w:rPr>
        <w:t>(</w:t>
      </w:r>
      <w:r w:rsidRPr="00435DBA">
        <w:rPr>
          <w:vertAlign w:val="superscript"/>
          <w:lang w:val="en-US"/>
        </w:rPr>
        <w:footnoteReference w:id="2"/>
      </w:r>
      <w:r w:rsidRPr="000A000A">
        <w:rPr>
          <w:vertAlign w:val="superscript"/>
          <w:rtl/>
        </w:rPr>
        <w:t>)</w:t>
      </w:r>
      <w:r w:rsidRPr="000A000A">
        <w:rPr>
          <w:rtl/>
        </w:rPr>
        <w:t xml:space="preserve">، والتي شجع المجلس، في قراره </w:t>
      </w:r>
      <w:r w:rsidRPr="00435DBA">
        <w:rPr>
          <w:rtl/>
        </w:rPr>
        <w:t>15</w:t>
      </w:r>
      <w:r w:rsidRPr="000A000A">
        <w:rPr>
          <w:rtl/>
        </w:rPr>
        <w:t>/</w:t>
      </w:r>
      <w:r w:rsidRPr="00435DBA">
        <w:rPr>
          <w:rtl/>
        </w:rPr>
        <w:t>10</w:t>
      </w:r>
      <w:r w:rsidRPr="000A000A">
        <w:rPr>
          <w:rtl/>
        </w:rPr>
        <w:t xml:space="preserve">، والجمعية العامة، في قرارها </w:t>
      </w:r>
      <w:r w:rsidRPr="00435DBA">
        <w:rPr>
          <w:rtl/>
        </w:rPr>
        <w:t>65</w:t>
      </w:r>
      <w:r w:rsidRPr="000A000A">
        <w:rPr>
          <w:rtl/>
        </w:rPr>
        <w:t>/</w:t>
      </w:r>
      <w:r w:rsidRPr="00435DBA">
        <w:rPr>
          <w:rtl/>
        </w:rPr>
        <w:t>215</w:t>
      </w:r>
      <w:r w:rsidRPr="000A000A">
        <w:rPr>
          <w:rtl/>
        </w:rPr>
        <w:t>، الحكومات وهيئات الأمم المتحدة ذات الصلة ووكالاتها المتخصصة وصناديقها وبرامجها والمنظمات الحكومية الدولية الأخرى والمؤسسات الوطنية لحقوق الإنسان على أن توليها الاعتبار الواجب،</w:t>
      </w:r>
      <w:bookmarkStart w:id="1" w:name="_Ref485570367"/>
      <w:bookmarkEnd w:id="1"/>
    </w:p>
    <w:p w14:paraId="7ABDD906" w14:textId="5BE7CA07" w:rsidR="00C75E1B" w:rsidRPr="000A000A" w:rsidRDefault="00C75E1B" w:rsidP="000A000A">
      <w:pPr>
        <w:pStyle w:val="SingleTxtGA"/>
        <w:spacing w:after="100" w:line="340" w:lineRule="exact"/>
      </w:pPr>
      <w:r w:rsidRPr="000A000A">
        <w:rPr>
          <w:rtl/>
        </w:rPr>
        <w:tab/>
      </w:r>
      <w:r w:rsidRPr="00435DBA">
        <w:rPr>
          <w:i/>
          <w:iCs/>
          <w:rtl/>
        </w:rPr>
        <w:t>وإذ يشير</w:t>
      </w:r>
      <w:r w:rsidRPr="000A000A">
        <w:rPr>
          <w:rtl/>
        </w:rPr>
        <w:t xml:space="preserve"> إلى التقرير النهائي للجنة الاستشارية، المقدم عملاً بقرار مجلس حقوق الإنسان </w:t>
      </w:r>
      <w:r w:rsidRPr="00435DBA">
        <w:rPr>
          <w:rtl/>
        </w:rPr>
        <w:t>29</w:t>
      </w:r>
      <w:r w:rsidRPr="000A000A">
        <w:rPr>
          <w:rtl/>
        </w:rPr>
        <w:t>/</w:t>
      </w:r>
      <w:r w:rsidRPr="00435DBA">
        <w:rPr>
          <w:rtl/>
        </w:rPr>
        <w:t>5</w:t>
      </w:r>
      <w:r w:rsidRPr="000A000A">
        <w:rPr>
          <w:rtl/>
        </w:rPr>
        <w:t>، والتوصيات الواردة فيه</w:t>
      </w:r>
      <w:r w:rsidRPr="000A000A">
        <w:rPr>
          <w:vertAlign w:val="superscript"/>
          <w:rtl/>
        </w:rPr>
        <w:t>(</w:t>
      </w:r>
      <w:r w:rsidRPr="00435DBA">
        <w:rPr>
          <w:vertAlign w:val="superscript"/>
          <w:lang w:val="en-US"/>
        </w:rPr>
        <w:footnoteReference w:id="3"/>
      </w:r>
      <w:r w:rsidRPr="000A000A">
        <w:rPr>
          <w:vertAlign w:val="superscript"/>
          <w:rtl/>
        </w:rPr>
        <w:t>)</w:t>
      </w:r>
      <w:r w:rsidRPr="000A000A">
        <w:rPr>
          <w:rtl/>
        </w:rPr>
        <w:t>،</w:t>
      </w:r>
    </w:p>
    <w:p w14:paraId="603BC3D9" w14:textId="3EC54844" w:rsidR="00C75E1B" w:rsidRPr="000A000A" w:rsidRDefault="00C75E1B" w:rsidP="000A000A">
      <w:pPr>
        <w:pStyle w:val="SingleTxtGA"/>
        <w:spacing w:after="100" w:line="340" w:lineRule="exact"/>
      </w:pPr>
      <w:r w:rsidRPr="000A000A">
        <w:rPr>
          <w:rtl/>
        </w:rPr>
        <w:tab/>
      </w:r>
      <w:r w:rsidRPr="00435DBA">
        <w:rPr>
          <w:rtl/>
        </w:rPr>
        <w:t>1</w:t>
      </w:r>
      <w:r w:rsidRPr="000A000A">
        <w:rPr>
          <w:rtl/>
        </w:rPr>
        <w:t>-</w:t>
      </w:r>
      <w:r w:rsidRPr="000A000A">
        <w:rPr>
          <w:rtl/>
        </w:rPr>
        <w:tab/>
      </w:r>
      <w:r w:rsidRPr="00435DBA">
        <w:rPr>
          <w:i/>
          <w:iCs/>
          <w:rtl/>
        </w:rPr>
        <w:t>يرحب</w:t>
      </w:r>
      <w:r w:rsidRPr="000A000A">
        <w:rPr>
          <w:rtl/>
        </w:rPr>
        <w:t xml:space="preserve"> بعمل المقررة الخاصة المعنية بالقضاء على التمييز ضد الأشخاص ذوي الجذام وأفراد أسرهم؛</w:t>
      </w:r>
    </w:p>
    <w:p w14:paraId="6FD541A8" w14:textId="7D34E06E" w:rsidR="00C75E1B" w:rsidRPr="000A000A" w:rsidRDefault="00C75E1B" w:rsidP="000A000A">
      <w:pPr>
        <w:pStyle w:val="SingleTxtGA"/>
        <w:spacing w:line="340" w:lineRule="exact"/>
      </w:pPr>
      <w:r w:rsidRPr="000A000A">
        <w:rPr>
          <w:rtl/>
        </w:rPr>
        <w:tab/>
      </w:r>
      <w:r w:rsidRPr="00435DBA">
        <w:rPr>
          <w:rtl/>
        </w:rPr>
        <w:t>2</w:t>
      </w:r>
      <w:r w:rsidRPr="000A000A">
        <w:rPr>
          <w:rtl/>
        </w:rPr>
        <w:t>-</w:t>
      </w:r>
      <w:r w:rsidRPr="000A000A">
        <w:rPr>
          <w:rtl/>
        </w:rPr>
        <w:tab/>
      </w:r>
      <w:r w:rsidRPr="00435DBA">
        <w:rPr>
          <w:i/>
          <w:iCs/>
          <w:rtl/>
        </w:rPr>
        <w:t>يقرر</w:t>
      </w:r>
      <w:r w:rsidRPr="000A000A">
        <w:rPr>
          <w:rtl/>
        </w:rPr>
        <w:t xml:space="preserve"> أن يمدد مدة ثلاث سنوات ولاية المقررة الخاصة، بصفة المقررة الخاصة المعنية بالقضاء على التمييز ضد الأشخاص ذوي الجذام (داء هانسن) وأفراد أسرهم، مع منحها الولاية التالية:</w:t>
      </w:r>
    </w:p>
    <w:p w14:paraId="6344C476" w14:textId="02100CFF" w:rsidR="00C75E1B" w:rsidRPr="000A000A" w:rsidRDefault="00C75E1B" w:rsidP="000A000A">
      <w:pPr>
        <w:pStyle w:val="SingleTxtGA"/>
        <w:spacing w:line="340" w:lineRule="exact"/>
      </w:pPr>
      <w:r w:rsidRPr="000A000A">
        <w:rPr>
          <w:rtl/>
        </w:rPr>
        <w:tab/>
        <w:t>(أ)</w:t>
      </w:r>
      <w:r w:rsidRPr="000A000A">
        <w:rPr>
          <w:rtl/>
        </w:rPr>
        <w:tab/>
        <w:t>أن تتابع التقدم الذي تحرزه الدول والتدابير التي تتخذها من أجل التنفيذ الفعال للمبادئ والمبادئ التوجيهية للقضاء على التمييز ضد الأشخاص ذوي الجذام وأفراد أسرهم بغية كفالة تمتع الأشخاص ذوي الجذام (داء هانسن) وأفراد أسرهم بحقوق الإنسان في جميع مناطق العالم، وأن تقدم تقارير وتوصيات إلى مجلس حقوق الإنسان في هذا الصدد؛</w:t>
      </w:r>
    </w:p>
    <w:p w14:paraId="6031DB93" w14:textId="09120FEE" w:rsidR="00C75E1B" w:rsidRPr="000A000A" w:rsidRDefault="00C75E1B" w:rsidP="000A000A">
      <w:pPr>
        <w:pStyle w:val="SingleTxtGA"/>
        <w:spacing w:line="350" w:lineRule="exact"/>
      </w:pPr>
      <w:r w:rsidRPr="000A000A">
        <w:rPr>
          <w:rtl/>
        </w:rPr>
        <w:tab/>
        <w:t>(ب)</w:t>
      </w:r>
      <w:r w:rsidRPr="000A000A">
        <w:rPr>
          <w:rtl/>
        </w:rPr>
        <w:tab/>
        <w:t>أن تتحاور وتتشاور مع الدول وغيرها من الجهات المعنية صاحبة المصلحة، بما فيها هيئات الأمم المتحدة ووكالاتها المتخصصة وصناديقها وبرامجها، ولا سيما منظمة الصحة العالمية، والمنظمات الحكومية الدولية الأخرى والآليات الإقليمية لحقوق الإنسان والمؤسسات الوطنية لحقوق الإنسان والمنظمات غير الحكومية، ومع العلماء والخبراء الطبيين، من أجل تحديد الممارسات الجيدة المتعلقة بإعمال حقوق الأشخاص ذوي الجذام (داء هانسن) وأفراد أسرهم، وبمشاركتهم على قدم المساواة في المجتمع، وتبادلها هذه الممارسات وتعزيزها بهدف إيجاد عالم خال من الجذام (داء هانسن)؛</w:t>
      </w:r>
    </w:p>
    <w:p w14:paraId="73C18824" w14:textId="1C1C0DB7" w:rsidR="00C75E1B" w:rsidRPr="000A000A" w:rsidRDefault="00C75E1B" w:rsidP="000A000A">
      <w:pPr>
        <w:pStyle w:val="SingleTxtGA"/>
        <w:spacing w:line="350" w:lineRule="exact"/>
      </w:pPr>
      <w:r w:rsidRPr="000A000A">
        <w:rPr>
          <w:rtl/>
        </w:rPr>
        <w:tab/>
        <w:t>(ج)</w:t>
      </w:r>
      <w:r w:rsidRPr="000A000A">
        <w:rPr>
          <w:rtl/>
        </w:rPr>
        <w:tab/>
        <w:t>أن تذكي الوعي بحقوق الأشخاص ذوي الجذام (داء هانسن) وأفراد أسرهم وتكافح الوصم والتحيز والتمييز والممارسات والمعتقدات التقليدية الضارة التي تعوق تمتعهم بحقوق الإنسان والحريات الأساسية ومشاركتهم في المجتمع على قدم المساواة مع الآخرين؛</w:t>
      </w:r>
    </w:p>
    <w:p w14:paraId="6290C2F0" w14:textId="14873945" w:rsidR="00C75E1B" w:rsidRPr="000A000A" w:rsidRDefault="00C75E1B" w:rsidP="000A000A">
      <w:pPr>
        <w:pStyle w:val="SingleTxtGA"/>
        <w:spacing w:line="350" w:lineRule="exact"/>
      </w:pPr>
      <w:r w:rsidRPr="000A000A">
        <w:rPr>
          <w:rtl/>
        </w:rPr>
        <w:tab/>
        <w:t>(د)</w:t>
      </w:r>
      <w:r w:rsidRPr="000A000A">
        <w:rPr>
          <w:rtl/>
        </w:rPr>
        <w:tab/>
        <w:t>أن تواصل تقديم تقارير سنوية إلى مجلس حقوق الإنسان، وكذلك إلى الجمعية العامة؛</w:t>
      </w:r>
    </w:p>
    <w:p w14:paraId="669366BF" w14:textId="1F9488E5" w:rsidR="00C75E1B" w:rsidRPr="000A000A" w:rsidRDefault="00C75E1B" w:rsidP="000A000A">
      <w:pPr>
        <w:pStyle w:val="SingleTxtGA"/>
        <w:spacing w:line="350" w:lineRule="exact"/>
      </w:pPr>
      <w:r w:rsidRPr="000A000A">
        <w:rPr>
          <w:rtl/>
        </w:rPr>
        <w:tab/>
      </w:r>
      <w:r w:rsidRPr="00435DBA">
        <w:rPr>
          <w:rtl/>
        </w:rPr>
        <w:t>3</w:t>
      </w:r>
      <w:r w:rsidRPr="000A000A">
        <w:rPr>
          <w:rtl/>
        </w:rPr>
        <w:t>-</w:t>
      </w:r>
      <w:r w:rsidRPr="000A000A">
        <w:rPr>
          <w:rtl/>
        </w:rPr>
        <w:tab/>
      </w:r>
      <w:r w:rsidRPr="00435DBA">
        <w:rPr>
          <w:i/>
          <w:iCs/>
          <w:rtl/>
        </w:rPr>
        <w:t>يدعو</w:t>
      </w:r>
      <w:r w:rsidRPr="000A000A">
        <w:rPr>
          <w:rtl/>
        </w:rPr>
        <w:t xml:space="preserve"> جميع الدول إلى أن تتعاون مع المقررة الخاصة في الاضطلاع بولايتها، بطرق منها تزويدها بجميع المعلومات التي تطلبها، وأن تنظر بجدية في قبول طلباتها لزيارة بلدانها، وأن تنظر في مسألة تنفيذ التوصيات التي تقدمها المكلفة بهذه الولاية في تقاريرها؛</w:t>
      </w:r>
    </w:p>
    <w:p w14:paraId="3FD9AD5D" w14:textId="7C46DD91" w:rsidR="00C75E1B" w:rsidRPr="000A000A" w:rsidRDefault="00C75E1B" w:rsidP="000A000A">
      <w:pPr>
        <w:pStyle w:val="SingleTxtGA"/>
        <w:spacing w:line="350" w:lineRule="exact"/>
      </w:pPr>
      <w:r w:rsidRPr="000A000A">
        <w:rPr>
          <w:rtl/>
        </w:rPr>
        <w:tab/>
      </w:r>
      <w:r w:rsidRPr="00435DBA">
        <w:rPr>
          <w:rtl/>
        </w:rPr>
        <w:t>4</w:t>
      </w:r>
      <w:r w:rsidRPr="000A000A">
        <w:rPr>
          <w:rtl/>
        </w:rPr>
        <w:t>-</w:t>
      </w:r>
      <w:r w:rsidRPr="000A000A">
        <w:rPr>
          <w:rtl/>
        </w:rPr>
        <w:tab/>
      </w:r>
      <w:r w:rsidRPr="00435DBA">
        <w:rPr>
          <w:i/>
          <w:iCs/>
          <w:rtl/>
        </w:rPr>
        <w:t>يشجع</w:t>
      </w:r>
      <w:r w:rsidRPr="000A000A">
        <w:rPr>
          <w:rtl/>
        </w:rPr>
        <w:t xml:space="preserve"> جميع الجهات المعنية صاحبة المصلحة، بما فيها هيئات الأمم المتحدة ووكالاتها المتخصصة وصناديقها وبرامجها، والمنظمات الدولية الأخرى والآليات الإقليمية لحقوق الإنسان والمؤسسات الوطنية لحقوق الإنسان والمنظمات غير الحكومية، على أن تتعاون على نحو كامل مع المقررة الخاصة لتمكينها من أداء ولايتها؛</w:t>
      </w:r>
    </w:p>
    <w:p w14:paraId="1CDCABEB" w14:textId="4DDF4ED4" w:rsidR="00C75E1B" w:rsidRPr="000A000A" w:rsidRDefault="00C75E1B" w:rsidP="000A000A">
      <w:pPr>
        <w:pStyle w:val="SingleTxtGA"/>
        <w:spacing w:line="350" w:lineRule="exact"/>
      </w:pPr>
      <w:r w:rsidRPr="000A000A">
        <w:rPr>
          <w:rtl/>
        </w:rPr>
        <w:tab/>
      </w:r>
      <w:r w:rsidRPr="00435DBA">
        <w:rPr>
          <w:rtl/>
        </w:rPr>
        <w:t>5</w:t>
      </w:r>
      <w:r w:rsidRPr="000A000A">
        <w:rPr>
          <w:rtl/>
        </w:rPr>
        <w:t>-</w:t>
      </w:r>
      <w:r w:rsidRPr="000A000A">
        <w:rPr>
          <w:rtl/>
        </w:rPr>
        <w:tab/>
      </w:r>
      <w:r w:rsidRPr="00435DBA">
        <w:rPr>
          <w:i/>
          <w:iCs/>
          <w:rtl/>
        </w:rPr>
        <w:t>يطلب</w:t>
      </w:r>
      <w:r w:rsidRPr="000A000A">
        <w:rPr>
          <w:rtl/>
        </w:rPr>
        <w:t xml:space="preserve"> إلى الأمين العام ومفوض الأمم المتحدة السامي لحقوق الإنسان أن يوفرا للمقررة الخاصة كل الموارد البشرية والتقنية والمالية اللازمة لأداء ولايتها بفعالية؛</w:t>
      </w:r>
    </w:p>
    <w:p w14:paraId="58BC15C2" w14:textId="019E1CAE" w:rsidR="00C75E1B" w:rsidRPr="000A000A" w:rsidRDefault="00C75E1B" w:rsidP="000A000A">
      <w:pPr>
        <w:pStyle w:val="SingleTxtGA"/>
        <w:spacing w:line="350" w:lineRule="exact"/>
      </w:pPr>
      <w:r w:rsidRPr="000A000A">
        <w:rPr>
          <w:rtl/>
        </w:rPr>
        <w:tab/>
      </w:r>
      <w:r w:rsidRPr="00435DBA">
        <w:rPr>
          <w:rtl/>
        </w:rPr>
        <w:t>6</w:t>
      </w:r>
      <w:r w:rsidRPr="000A000A">
        <w:rPr>
          <w:rtl/>
        </w:rPr>
        <w:t>-</w:t>
      </w:r>
      <w:r w:rsidRPr="000A000A">
        <w:rPr>
          <w:rtl/>
        </w:rPr>
        <w:tab/>
      </w:r>
      <w:r w:rsidRPr="00435DBA">
        <w:rPr>
          <w:i/>
          <w:iCs/>
          <w:rtl/>
        </w:rPr>
        <w:t>يشجع</w:t>
      </w:r>
      <w:r w:rsidRPr="000A000A">
        <w:rPr>
          <w:rtl/>
        </w:rPr>
        <w:t xml:space="preserve"> المفوض السامي والمقررة الخاصة على أن يواصلا، بالتعاون مع الدول والمنظمات الدولية ذات الصلة، مثل منظمة الصحة العالمية، وكذلك المنظمات غير الحكومية المعنية، المشاورات مع مختلف الجهات صاحبة المصلحة بهدف القضاء على التمييز المتصل بالجذام (داء هانسن)، بطرق منها نشر المبادئ والمبادئ التوجيهية على نطاق واسع وترسيخ فهمها بين الدول وجميع الجهات صاحبة المصلحة المعنية الأخرى، بمشاركة الأشخاص ذوي الجذام (داء هانسن) وأفراد أسرهم على نحو كامل وشامل ومجدٍ؛</w:t>
      </w:r>
    </w:p>
    <w:p w14:paraId="429BA6F1" w14:textId="5E81C986" w:rsidR="00C75E1B" w:rsidRPr="000A000A" w:rsidRDefault="00C75E1B" w:rsidP="000A000A">
      <w:pPr>
        <w:pStyle w:val="SingleTxtGA"/>
        <w:spacing w:line="350" w:lineRule="exact"/>
      </w:pPr>
      <w:r w:rsidRPr="000A000A">
        <w:rPr>
          <w:rtl/>
        </w:rPr>
        <w:tab/>
      </w:r>
      <w:r w:rsidRPr="00435DBA">
        <w:rPr>
          <w:rtl/>
        </w:rPr>
        <w:t>7</w:t>
      </w:r>
      <w:r w:rsidRPr="000A000A">
        <w:rPr>
          <w:rtl/>
        </w:rPr>
        <w:t>-</w:t>
      </w:r>
      <w:r w:rsidRPr="000A000A">
        <w:rPr>
          <w:rtl/>
        </w:rPr>
        <w:tab/>
      </w:r>
      <w:r w:rsidRPr="00435DBA">
        <w:rPr>
          <w:i/>
          <w:iCs/>
          <w:rtl/>
        </w:rPr>
        <w:t>يشجع</w:t>
      </w:r>
      <w:r w:rsidRPr="000A000A">
        <w:rPr>
          <w:rtl/>
        </w:rPr>
        <w:t xml:space="preserve"> الدول وجميع الجهات صاحبة المصلحة المعنية، بما فيها هيئات الأمم المتحدة ووكالاتها المتخصصة وصناديقها وبرامجها، مثل منظمة الصحة العالمية، والإجراءات الخاصة، وهيئات المعاهدات، والمنظمات الدولية الأخرى، والآليات الإقليمية لحقوق الإنسان، والمؤسسات الوطنية لحقوق الإنسان، ومنظمات الأشخاص ذوي الإعاقة، والمنظمات غير الحكومية، والعلماء والخبراء الطبيين على المشاركة في المشاورات؛</w:t>
      </w:r>
    </w:p>
    <w:p w14:paraId="686041DE" w14:textId="42AB2D5A" w:rsidR="00C75E1B" w:rsidRPr="000A000A" w:rsidRDefault="00C75E1B" w:rsidP="000A000A">
      <w:pPr>
        <w:pStyle w:val="SingleTxtGA"/>
        <w:spacing w:after="0" w:line="350" w:lineRule="exact"/>
        <w:rPr>
          <w:rtl/>
        </w:rPr>
      </w:pPr>
      <w:r w:rsidRPr="000A000A">
        <w:rPr>
          <w:rtl/>
        </w:rPr>
        <w:tab/>
      </w:r>
      <w:r w:rsidRPr="00435DBA">
        <w:rPr>
          <w:rtl/>
        </w:rPr>
        <w:t>8</w:t>
      </w:r>
      <w:r w:rsidRPr="000A000A">
        <w:rPr>
          <w:rtl/>
        </w:rPr>
        <w:t>-</w:t>
      </w:r>
      <w:r w:rsidRPr="000A000A">
        <w:rPr>
          <w:rtl/>
        </w:rPr>
        <w:tab/>
      </w:r>
      <w:r w:rsidRPr="00435DBA">
        <w:rPr>
          <w:i/>
          <w:iCs/>
          <w:rtl/>
        </w:rPr>
        <w:t>يقرر</w:t>
      </w:r>
      <w:r w:rsidRPr="000A000A">
        <w:rPr>
          <w:rtl/>
        </w:rPr>
        <w:t xml:space="preserve"> أن يبقي المسألة قيد نظره.</w:t>
      </w:r>
    </w:p>
    <w:p w14:paraId="4FCBC514" w14:textId="29C7F8EA" w:rsidR="00C75E1B" w:rsidRPr="00435DBA" w:rsidRDefault="00C75E1B" w:rsidP="000A000A">
      <w:pPr>
        <w:pStyle w:val="SingleTxtGA"/>
        <w:spacing w:after="0" w:line="350" w:lineRule="exact"/>
        <w:jc w:val="right"/>
        <w:rPr>
          <w:i/>
          <w:iCs/>
          <w:rtl/>
        </w:rPr>
      </w:pPr>
      <w:r w:rsidRPr="00435DBA">
        <w:rPr>
          <w:i/>
          <w:iCs/>
          <w:rtl/>
        </w:rPr>
        <w:t>الجلسة 34</w:t>
      </w:r>
    </w:p>
    <w:p w14:paraId="57546B87" w14:textId="13046995" w:rsidR="00C75E1B" w:rsidRPr="00435DBA" w:rsidRDefault="00C75E1B" w:rsidP="000A000A">
      <w:pPr>
        <w:pStyle w:val="SingleTxtGA"/>
        <w:spacing w:line="350" w:lineRule="exact"/>
        <w:jc w:val="right"/>
        <w:rPr>
          <w:i/>
          <w:iCs/>
          <w:rtl/>
        </w:rPr>
      </w:pPr>
      <w:r w:rsidRPr="00435DBA">
        <w:rPr>
          <w:i/>
          <w:iCs/>
          <w:rtl/>
        </w:rPr>
        <w:t>12 تموز/يوليه 2023</w:t>
      </w:r>
    </w:p>
    <w:p w14:paraId="5CADFD06" w14:textId="465830FB" w:rsidR="00C75E1B" w:rsidRPr="000A000A" w:rsidRDefault="00C75E1B" w:rsidP="000A000A">
      <w:pPr>
        <w:pStyle w:val="SingleTxtGA"/>
        <w:spacing w:line="350" w:lineRule="exact"/>
      </w:pPr>
      <w:r w:rsidRPr="000A000A">
        <w:rPr>
          <w:rFonts w:hint="cs"/>
          <w:rtl/>
        </w:rPr>
        <w:t>[اعتُمد من دون تصويت]</w:t>
      </w:r>
    </w:p>
    <w:p w14:paraId="19D0A700" w14:textId="77777777" w:rsidR="00C75E1B" w:rsidRPr="000A000A" w:rsidRDefault="00C75E1B" w:rsidP="000A000A">
      <w:pPr>
        <w:pStyle w:val="SingleTxtGA"/>
        <w:spacing w:line="350" w:lineRule="exact"/>
        <w:jc w:val="center"/>
        <w:rPr>
          <w:u w:val="single"/>
        </w:rPr>
      </w:pPr>
      <w:r w:rsidRPr="000A000A">
        <w:rPr>
          <w:u w:val="single"/>
          <w:rtl/>
        </w:rPr>
        <w:tab/>
      </w:r>
      <w:r w:rsidRPr="000A000A">
        <w:rPr>
          <w:u w:val="single"/>
          <w:rtl/>
        </w:rPr>
        <w:tab/>
      </w:r>
      <w:r w:rsidRPr="000A000A">
        <w:rPr>
          <w:u w:val="single"/>
          <w:rtl/>
        </w:rPr>
        <w:tab/>
      </w:r>
    </w:p>
    <w:sectPr w:rsidR="00C75E1B" w:rsidRPr="000A000A" w:rsidSect="006A048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57A67" w14:textId="77777777" w:rsidR="008659AB" w:rsidRPr="002901D9" w:rsidRDefault="008659AB" w:rsidP="00AD3834">
      <w:pPr>
        <w:spacing w:after="60" w:line="240" w:lineRule="auto"/>
        <w:ind w:left="57"/>
        <w:rPr>
          <w:i/>
          <w:iCs/>
        </w:rPr>
      </w:pPr>
      <w:r>
        <w:rPr>
          <w:rFonts w:hint="cs"/>
          <w:i/>
          <w:iCs/>
          <w:rtl/>
        </w:rPr>
        <w:t>الحواشي</w:t>
      </w:r>
    </w:p>
  </w:endnote>
  <w:endnote w:type="continuationSeparator" w:id="0">
    <w:p w14:paraId="4DFFC070" w14:textId="77777777" w:rsidR="008659AB" w:rsidRDefault="008659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856CC" w14:textId="4FD7BDEB" w:rsidR="008E202A" w:rsidRPr="008E202A" w:rsidRDefault="008E202A" w:rsidP="008E202A">
    <w:pPr>
      <w:pStyle w:val="Footer"/>
      <w:tabs>
        <w:tab w:val="right" w:pos="9638"/>
      </w:tabs>
      <w:rPr>
        <w:b/>
        <w:sz w:val="18"/>
        <w:lang w:val="en-US"/>
      </w:rPr>
    </w:pPr>
    <w:r>
      <w:rPr>
        <w:lang w:val="en-US"/>
      </w:rPr>
      <w:t>GE.23-13930</w:t>
    </w:r>
    <w:r>
      <w:rPr>
        <w:lang w:val="en-US"/>
      </w:rPr>
      <w:tab/>
    </w:r>
    <w:r w:rsidRPr="008E202A">
      <w:rPr>
        <w:b/>
        <w:sz w:val="18"/>
        <w:lang w:val="en-US"/>
      </w:rPr>
      <w:fldChar w:fldCharType="begin"/>
    </w:r>
    <w:r w:rsidRPr="008E202A">
      <w:rPr>
        <w:b/>
        <w:sz w:val="18"/>
        <w:lang w:val="en-US"/>
      </w:rPr>
      <w:instrText xml:space="preserve"> PAGE  \* MERGEFORMAT </w:instrText>
    </w:r>
    <w:r w:rsidRPr="008E202A">
      <w:rPr>
        <w:b/>
        <w:sz w:val="18"/>
        <w:lang w:val="en-US"/>
      </w:rPr>
      <w:fldChar w:fldCharType="separate"/>
    </w:r>
    <w:r w:rsidRPr="008E202A">
      <w:rPr>
        <w:b/>
        <w:noProof/>
        <w:sz w:val="18"/>
        <w:lang w:val="en-US"/>
      </w:rPr>
      <w:t>2</w:t>
    </w:r>
    <w:r w:rsidRPr="008E202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88B6" w14:textId="20C3F35A" w:rsidR="006959B0" w:rsidRPr="008E202A" w:rsidRDefault="008E202A" w:rsidP="008E202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GE.23-13930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EF248" w14:textId="5BA6C144" w:rsidR="00FD4BC9" w:rsidRPr="008E202A" w:rsidRDefault="008E202A" w:rsidP="008E202A">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75CB833" wp14:editId="3FDA4C3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23-13930</w:t>
    </w:r>
    <w:r w:rsidR="00C75E1B">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0D34AEF1" wp14:editId="62A326A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27005" w14:textId="77777777" w:rsidR="008659AB" w:rsidRPr="00A350CC" w:rsidRDefault="008659AB"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1E92342" w14:textId="77777777" w:rsidR="008659AB" w:rsidRDefault="008659AB" w:rsidP="00656392">
      <w:pPr>
        <w:spacing w:line="240" w:lineRule="auto"/>
      </w:pPr>
      <w:r>
        <w:continuationSeparator/>
      </w:r>
    </w:p>
  </w:footnote>
  <w:footnote w:id="1">
    <w:p w14:paraId="74A359FA" w14:textId="71372C37" w:rsidR="00C75E1B" w:rsidRPr="00BA1572" w:rsidRDefault="00C75E1B" w:rsidP="00C75E1B">
      <w:pPr>
        <w:pStyle w:val="FootnoteText1"/>
      </w:pPr>
      <w:r>
        <w:rPr>
          <w:rtl/>
        </w:rPr>
        <w:t>(</w:t>
      </w:r>
      <w:r w:rsidRPr="00435DBA">
        <w:footnoteRef/>
      </w:r>
      <w:r>
        <w:rPr>
          <w:rtl/>
        </w:rPr>
        <w:t>)</w:t>
      </w:r>
      <w:r w:rsidRPr="00BA1572">
        <w:rPr>
          <w:rtl/>
        </w:rPr>
        <w:tab/>
      </w:r>
      <w:r w:rsidRPr="00BA1572">
        <w:t>A/HRC/</w:t>
      </w:r>
      <w:r w:rsidRPr="00435DBA">
        <w:t>38</w:t>
      </w:r>
      <w:r w:rsidRPr="00BA1572">
        <w:t>/</w:t>
      </w:r>
      <w:r w:rsidRPr="00435DBA">
        <w:t>42</w:t>
      </w:r>
      <w:r w:rsidRPr="00BA1572">
        <w:rPr>
          <w:rtl/>
        </w:rPr>
        <w:t>،</w:t>
      </w:r>
      <w:r>
        <w:rPr>
          <w:rtl/>
        </w:rPr>
        <w:t xml:space="preserve"> </w:t>
      </w:r>
      <w:r w:rsidRPr="00BA1572">
        <w:rPr>
          <w:rtl/>
        </w:rPr>
        <w:t>و</w:t>
      </w:r>
      <w:r w:rsidRPr="00BA1572">
        <w:t>A/HRC/</w:t>
      </w:r>
      <w:r w:rsidRPr="00435DBA">
        <w:t>41</w:t>
      </w:r>
      <w:r w:rsidRPr="00BA1572">
        <w:t>/</w:t>
      </w:r>
      <w:r w:rsidRPr="00435DBA">
        <w:t>47</w:t>
      </w:r>
      <w:r w:rsidRPr="00BA1572">
        <w:rPr>
          <w:rtl/>
        </w:rPr>
        <w:t>،</w:t>
      </w:r>
      <w:r>
        <w:rPr>
          <w:rtl/>
        </w:rPr>
        <w:t xml:space="preserve"> </w:t>
      </w:r>
      <w:r w:rsidRPr="00BA1572">
        <w:rPr>
          <w:rtl/>
        </w:rPr>
        <w:t>و</w:t>
      </w:r>
      <w:r w:rsidRPr="00BA1572">
        <w:t>A/HRC/</w:t>
      </w:r>
      <w:r w:rsidRPr="00435DBA">
        <w:t>44</w:t>
      </w:r>
      <w:r w:rsidRPr="00BA1572">
        <w:t>/</w:t>
      </w:r>
      <w:r w:rsidRPr="00435DBA">
        <w:t>46</w:t>
      </w:r>
      <w:r w:rsidRPr="00BA1572">
        <w:rPr>
          <w:rtl/>
        </w:rPr>
        <w:t>،</w:t>
      </w:r>
      <w:r>
        <w:rPr>
          <w:rtl/>
        </w:rPr>
        <w:t xml:space="preserve"> </w:t>
      </w:r>
      <w:r w:rsidRPr="00BA1572">
        <w:rPr>
          <w:rtl/>
        </w:rPr>
        <w:t>و</w:t>
      </w:r>
      <w:r w:rsidRPr="00BA1572">
        <w:t>A/HRC/</w:t>
      </w:r>
      <w:r w:rsidRPr="00435DBA">
        <w:t>44</w:t>
      </w:r>
      <w:r w:rsidRPr="00BA1572">
        <w:t>/</w:t>
      </w:r>
      <w:r w:rsidRPr="00435DBA">
        <w:t>46</w:t>
      </w:r>
      <w:r w:rsidRPr="00BA1572">
        <w:t>/Add.</w:t>
      </w:r>
      <w:r w:rsidRPr="00435DBA">
        <w:t>1</w:t>
      </w:r>
      <w:r w:rsidRPr="00BA1572">
        <w:rPr>
          <w:rtl/>
        </w:rPr>
        <w:t>،</w:t>
      </w:r>
      <w:r>
        <w:rPr>
          <w:rtl/>
        </w:rPr>
        <w:t xml:space="preserve"> </w:t>
      </w:r>
      <w:r w:rsidRPr="00BA1572">
        <w:rPr>
          <w:rtl/>
        </w:rPr>
        <w:t>و</w:t>
      </w:r>
      <w:r w:rsidRPr="00BA1572">
        <w:t>A/HRC/</w:t>
      </w:r>
      <w:r w:rsidRPr="00435DBA">
        <w:t>44</w:t>
      </w:r>
      <w:r w:rsidRPr="00BA1572">
        <w:t>/</w:t>
      </w:r>
      <w:r w:rsidRPr="00435DBA">
        <w:t>46</w:t>
      </w:r>
      <w:r w:rsidRPr="00BA1572">
        <w:t>/Add.</w:t>
      </w:r>
      <w:r w:rsidRPr="00435DBA">
        <w:t>2</w:t>
      </w:r>
      <w:r w:rsidRPr="00BA1572">
        <w:rPr>
          <w:rtl/>
        </w:rPr>
        <w:t>،</w:t>
      </w:r>
      <w:r>
        <w:rPr>
          <w:rtl/>
        </w:rPr>
        <w:t xml:space="preserve"> </w:t>
      </w:r>
      <w:r w:rsidRPr="00BA1572">
        <w:rPr>
          <w:rtl/>
        </w:rPr>
        <w:t>و</w:t>
      </w:r>
      <w:r w:rsidRPr="00BA1572">
        <w:t>A/HRC/</w:t>
      </w:r>
      <w:r w:rsidRPr="00435DBA">
        <w:t>47</w:t>
      </w:r>
      <w:r w:rsidRPr="00BA1572">
        <w:t>/</w:t>
      </w:r>
      <w:r w:rsidRPr="00435DBA">
        <w:t>29</w:t>
      </w:r>
      <w:r w:rsidRPr="00BA1572">
        <w:rPr>
          <w:rtl/>
        </w:rPr>
        <w:t>،</w:t>
      </w:r>
      <w:r>
        <w:rPr>
          <w:rtl/>
        </w:rPr>
        <w:t xml:space="preserve"> </w:t>
      </w:r>
      <w:r w:rsidRPr="00BA1572">
        <w:rPr>
          <w:rtl/>
        </w:rPr>
        <w:t>و</w:t>
      </w:r>
      <w:r w:rsidRPr="00BA1572">
        <w:t>A/HRC/</w:t>
      </w:r>
      <w:r w:rsidRPr="00435DBA">
        <w:t>50</w:t>
      </w:r>
      <w:r w:rsidRPr="00BA1572">
        <w:t>/</w:t>
      </w:r>
      <w:r w:rsidRPr="00435DBA">
        <w:t>35</w:t>
      </w:r>
      <w:r w:rsidRPr="00BA1572">
        <w:rPr>
          <w:rtl/>
        </w:rPr>
        <w:t>،</w:t>
      </w:r>
      <w:r>
        <w:rPr>
          <w:rtl/>
        </w:rPr>
        <w:t xml:space="preserve"> </w:t>
      </w:r>
      <w:r w:rsidRPr="00BA1572">
        <w:rPr>
          <w:rtl/>
        </w:rPr>
        <w:t>و</w:t>
      </w:r>
      <w:r w:rsidRPr="00BA1572">
        <w:t>A/</w:t>
      </w:r>
      <w:r w:rsidRPr="00435DBA">
        <w:t>76</w:t>
      </w:r>
      <w:r w:rsidRPr="00BA1572">
        <w:t>/</w:t>
      </w:r>
      <w:r w:rsidRPr="00435DBA">
        <w:t>148</w:t>
      </w:r>
      <w:r w:rsidRPr="00BA1572">
        <w:rPr>
          <w:rtl/>
        </w:rPr>
        <w:t>،</w:t>
      </w:r>
      <w:r>
        <w:rPr>
          <w:rtl/>
        </w:rPr>
        <w:t xml:space="preserve"> </w:t>
      </w:r>
      <w:r w:rsidRPr="00BA1572">
        <w:rPr>
          <w:rtl/>
        </w:rPr>
        <w:t>و</w:t>
      </w:r>
      <w:r w:rsidRPr="00BA1572">
        <w:t>A/</w:t>
      </w:r>
      <w:r w:rsidRPr="00435DBA">
        <w:t>77</w:t>
      </w:r>
      <w:r w:rsidRPr="00BA1572">
        <w:t>/</w:t>
      </w:r>
      <w:r w:rsidRPr="00435DBA">
        <w:t>139</w:t>
      </w:r>
      <w:r w:rsidRPr="00BA1572">
        <w:rPr>
          <w:rtl/>
        </w:rPr>
        <w:t>.</w:t>
      </w:r>
    </w:p>
  </w:footnote>
  <w:footnote w:id="2">
    <w:p w14:paraId="39BFC7C1" w14:textId="0D318A5F" w:rsidR="00C75E1B" w:rsidRPr="00BA1572" w:rsidRDefault="00C75E1B" w:rsidP="00C75E1B">
      <w:pPr>
        <w:pStyle w:val="FootnoteText1"/>
      </w:pPr>
      <w:r>
        <w:rPr>
          <w:rtl/>
        </w:rPr>
        <w:t>(</w:t>
      </w:r>
      <w:r w:rsidRPr="00435DBA">
        <w:footnoteRef/>
      </w:r>
      <w:r>
        <w:rPr>
          <w:rtl/>
        </w:rPr>
        <w:t>)</w:t>
      </w:r>
      <w:r w:rsidRPr="00BA1572">
        <w:rPr>
          <w:rtl/>
        </w:rPr>
        <w:tab/>
      </w:r>
      <w:r w:rsidRPr="00BA1572">
        <w:t>A/HRC/</w:t>
      </w:r>
      <w:r w:rsidRPr="00435DBA">
        <w:t>15</w:t>
      </w:r>
      <w:r w:rsidRPr="00BA1572">
        <w:t>/</w:t>
      </w:r>
      <w:r w:rsidRPr="00435DBA">
        <w:t>30</w:t>
      </w:r>
      <w:r w:rsidRPr="00BA1572">
        <w:rPr>
          <w:rtl/>
        </w:rPr>
        <w:t>،</w:t>
      </w:r>
      <w:r>
        <w:rPr>
          <w:rtl/>
        </w:rPr>
        <w:t xml:space="preserve"> </w:t>
      </w:r>
      <w:r w:rsidRPr="00BA1572">
        <w:rPr>
          <w:rtl/>
        </w:rPr>
        <w:t>المرفق.</w:t>
      </w:r>
    </w:p>
  </w:footnote>
  <w:footnote w:id="3">
    <w:p w14:paraId="0D5EFB60" w14:textId="77777777" w:rsidR="00C75E1B" w:rsidRPr="00BA1572" w:rsidRDefault="00C75E1B" w:rsidP="00C75E1B">
      <w:pPr>
        <w:pStyle w:val="FootnoteText1"/>
      </w:pPr>
      <w:r>
        <w:rPr>
          <w:rtl/>
        </w:rPr>
        <w:t>(</w:t>
      </w:r>
      <w:r w:rsidRPr="00435DBA">
        <w:footnoteRef/>
      </w:r>
      <w:r>
        <w:rPr>
          <w:rtl/>
        </w:rPr>
        <w:t>)</w:t>
      </w:r>
      <w:r w:rsidRPr="00BA1572">
        <w:rPr>
          <w:rtl/>
        </w:rPr>
        <w:tab/>
      </w:r>
      <w:r w:rsidRPr="00BA1572">
        <w:t>A/HRC/</w:t>
      </w:r>
      <w:r w:rsidRPr="00435DBA">
        <w:t>35</w:t>
      </w:r>
      <w:r w:rsidRPr="00BA1572">
        <w:t>/</w:t>
      </w:r>
      <w:r w:rsidRPr="00435DBA">
        <w:t>38</w:t>
      </w:r>
      <w:r w:rsidRPr="00BA157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04769" w14:textId="55CE3D13" w:rsidR="008E202A" w:rsidRPr="008E202A" w:rsidRDefault="008E202A" w:rsidP="008E202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14312">
      <w:t>A/HRC/RES/53/8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7DD3D" w14:textId="6948794E" w:rsidR="008E202A" w:rsidRPr="008E202A" w:rsidRDefault="008E202A" w:rsidP="008E202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14312">
      <w:t>A/HRC/RES/53/8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44F47"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evenAndOddHeaders/>
  <w:characterSpacingControl w:val="doNotCompress"/>
  <w:savePreviewPicture/>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9AB"/>
    <w:rsid w:val="000076D5"/>
    <w:rsid w:val="00014B0C"/>
    <w:rsid w:val="00031428"/>
    <w:rsid w:val="0004009B"/>
    <w:rsid w:val="0004034F"/>
    <w:rsid w:val="00043663"/>
    <w:rsid w:val="000505CF"/>
    <w:rsid w:val="00072019"/>
    <w:rsid w:val="000A000A"/>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5DBA"/>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A0484"/>
    <w:rsid w:val="006B13CB"/>
    <w:rsid w:val="006B3E27"/>
    <w:rsid w:val="006B506C"/>
    <w:rsid w:val="006B6507"/>
    <w:rsid w:val="006C084B"/>
    <w:rsid w:val="006C104C"/>
    <w:rsid w:val="006C10D9"/>
    <w:rsid w:val="006C3C80"/>
    <w:rsid w:val="006E4EFE"/>
    <w:rsid w:val="006E719B"/>
    <w:rsid w:val="0070598D"/>
    <w:rsid w:val="00714312"/>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59AB"/>
    <w:rsid w:val="00867971"/>
    <w:rsid w:val="00871544"/>
    <w:rsid w:val="00880CC3"/>
    <w:rsid w:val="008930DB"/>
    <w:rsid w:val="00895D16"/>
    <w:rsid w:val="008A4DD3"/>
    <w:rsid w:val="008D1D80"/>
    <w:rsid w:val="008D22B8"/>
    <w:rsid w:val="008D4E87"/>
    <w:rsid w:val="008E202A"/>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36A25"/>
    <w:rsid w:val="00C41653"/>
    <w:rsid w:val="00C4236D"/>
    <w:rsid w:val="00C438D7"/>
    <w:rsid w:val="00C53FE8"/>
    <w:rsid w:val="00C70B0C"/>
    <w:rsid w:val="00C75E1B"/>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E84DD49"/>
  <w15:docId w15:val="{2A367819-E164-406E-98D9-A59551B8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952</Words>
  <Characters>5957</Characters>
  <Application>Microsoft Office Word</Application>
  <DocSecurity>0</DocSecurity>
  <Lines>595</Lines>
  <Paragraphs>531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A/HRC/RES/53/8</vt:lpstr>
      <vt:lpstr>    قرار اعتمده مجلس حقوق الإنسان في 12 تموز/يوليه 2023</vt:lpstr>
      <vt:lpstr>        53/8-	القضاء على التمييز ضد الأشخاص ذوي الجذام (داء هانسن) وأفراد أسرهم</vt:lpstr>
    </vt:vector>
  </TitlesOfParts>
  <Company>DCM</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A/HRC/RES/53/8</dc:title>
  <dc:subject>GE.2313930(A)</dc:subject>
  <dc:creator>Jamila CHEDAD - Mahjoub</dc:creator>
  <cp:keywords>GE.(A)</cp:keywords>
  <dc:description>General_x000d_
17 July 2023_x000d_
Arabic_x000d_
English</dc:description>
  <cp:lastModifiedBy>Jamila Chedad</cp:lastModifiedBy>
  <cp:revision>3</cp:revision>
  <cp:lastPrinted>2023-07-20T08:29:00Z</cp:lastPrinted>
  <dcterms:created xsi:type="dcterms:W3CDTF">2023-07-20T08:29:00Z</dcterms:created>
  <dcterms:modified xsi:type="dcterms:W3CDTF">2023-07-20T08:29:00Z</dcterms:modified>
  <cp:category>Final</cp:category>
</cp:coreProperties>
</file>