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263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rPr>
          <w:lang w:val="fr-FR"/>
        </w:rPr>
      </w:pPr>
      <w:r>
        <w:rPr>
          <w:lang w:val="fr-FR"/>
        </w:rPr>
        <w:t>CAT/C/67/Add.6</w:t>
      </w:r>
      <w:r>
        <w:rPr>
          <w:lang w:val="fr-FR"/>
        </w:rPr>
        <w:br/>
        <w:t>31 de mayo de 2005</w:t>
      </w:r>
    </w:p>
    <w:p w:rsidR="00000000" w:rsidRDefault="00000000">
      <w:pPr>
        <w:spacing w:after="720"/>
        <w:ind w:left="6804"/>
      </w:pPr>
      <w:r>
        <w:rPr>
          <w:lang w:val="fr-FR"/>
        </w:rPr>
        <w:t>ESPAÑOL</w:t>
      </w:r>
      <w:r>
        <w:rPr>
          <w:lang w:val="fr-FR"/>
        </w:rPr>
        <w:br/>
      </w:r>
      <w:r>
        <w:t>Original:  FRANCÉS</w:t>
      </w:r>
    </w:p>
    <w:p w:rsidR="00000000" w:rsidRDefault="00000000">
      <w:pPr>
        <w:spacing w:after="1080"/>
      </w:pPr>
      <w:r>
        <w:t xml:space="preserve">COMITÉ CONTRA LA TORTURA </w:t>
      </w:r>
    </w:p>
    <w:p w:rsidR="00000000" w:rsidRDefault="00000000">
      <w:pPr>
        <w:autoSpaceDE w:val="0"/>
        <w:autoSpaceDN w:val="0"/>
        <w:adjustRightInd w:val="0"/>
        <w:spacing w:after="360"/>
        <w:jc w:val="center"/>
        <w:rPr>
          <w:b/>
          <w:bCs/>
        </w:rPr>
      </w:pPr>
      <w:r>
        <w:rPr>
          <w:b/>
          <w:bCs/>
        </w:rPr>
        <w:t>EXAMEN DE  LOS INFORMES  PRESENTADOS  POR LOS ESTADOS</w:t>
      </w:r>
      <w:r>
        <w:rPr>
          <w:b/>
          <w:bCs/>
        </w:rPr>
        <w:br/>
        <w:t>PARTES EN APLICACIÓN DEL ARTÍCULO 19 DE LA CONVENCIÓN</w:t>
      </w:r>
    </w:p>
    <w:p w:rsidR="00000000" w:rsidRDefault="00000000">
      <w:pPr>
        <w:autoSpaceDE w:val="0"/>
        <w:autoSpaceDN w:val="0"/>
        <w:adjustRightInd w:val="0"/>
        <w:spacing w:after="480"/>
        <w:jc w:val="center"/>
        <w:rPr>
          <w:b/>
          <w:bCs/>
        </w:rPr>
      </w:pPr>
      <w:r>
        <w:rPr>
          <w:b/>
          <w:bCs/>
        </w:rPr>
        <w:t>Cuarto informe periódico que los Estados Partes debían presentar en 2002</w:t>
      </w:r>
    </w:p>
    <w:p w:rsidR="00000000" w:rsidRDefault="00000000">
      <w:pPr>
        <w:spacing w:after="240"/>
        <w:jc w:val="center"/>
        <w:rPr>
          <w:b/>
          <w:bCs/>
        </w:rPr>
      </w:pPr>
      <w:r>
        <w:rPr>
          <w:b/>
          <w:bCs/>
        </w:rPr>
        <w:t>PORTUGAL</w:t>
      </w:r>
      <w:r>
        <w:rPr>
          <w:rStyle w:val="FootnoteReference"/>
          <w:b w:val="0"/>
          <w:bCs/>
        </w:rPr>
        <w:footnoteReference w:customMarkFollows="1" w:id="1"/>
        <w:t>*</w:t>
      </w:r>
    </w:p>
    <w:p w:rsidR="00000000" w:rsidRDefault="00000000">
      <w:pPr>
        <w:spacing w:after="240"/>
        <w:jc w:val="right"/>
      </w:pPr>
      <w:r>
        <w:t>[21 de marzo de 2005]</w:t>
      </w:r>
    </w:p>
    <w:p w:rsidR="00000000" w:rsidRDefault="00000000">
      <w:pPr>
        <w:spacing w:after="240"/>
      </w:pPr>
    </w:p>
    <w:p w:rsidR="00000000" w:rsidRDefault="00000000">
      <w:pPr>
        <w:autoSpaceDE w:val="0"/>
        <w:autoSpaceDN w:val="0"/>
        <w:adjustRightInd w:val="0"/>
        <w:spacing w:after="240"/>
        <w:jc w:val="center"/>
      </w:pPr>
      <w:r>
        <w:br w:type="page"/>
      </w:r>
      <w:r>
        <w:rPr>
          <w:b/>
        </w:rPr>
        <w:t>ÍNDICE</w:t>
      </w:r>
    </w:p>
    <w:p w:rsidR="00000000" w:rsidRDefault="00000000">
      <w:pPr>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INTRODUCCIÓN</w:t>
      </w:r>
      <w:r>
        <w:tab/>
      </w:r>
      <w:r>
        <w:tab/>
        <w:t>1</w:t>
      </w:r>
      <w:r>
        <w:tab/>
        <w:t>-</w:t>
      </w:r>
      <w:r>
        <w:tab/>
        <w:t>2</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t>I.</w:t>
      </w:r>
      <w:r>
        <w:tab/>
        <w:t>DEFINICIÓN DE TORTURA Y COMPROMISO DE NO</w:t>
      </w:r>
      <w:r>
        <w:br/>
      </w:r>
      <w:r>
        <w:tab/>
      </w:r>
      <w:r>
        <w:tab/>
        <w:t>COMETERLA</w:t>
      </w:r>
      <w:r>
        <w:tab/>
      </w:r>
      <w:r>
        <w:tab/>
        <w:t>3</w:t>
      </w:r>
      <w:r>
        <w:tab/>
        <w:t>-</w:t>
      </w:r>
      <w:r>
        <w:tab/>
        <w:t>27</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A.</w:t>
      </w:r>
      <w:r>
        <w:tab/>
        <w:t>Definición de la tortura</w:t>
      </w:r>
      <w:r>
        <w:tab/>
      </w:r>
      <w:r>
        <w:tab/>
      </w:r>
      <w:r>
        <w:tab/>
        <w:t>3</w:t>
      </w:r>
      <w:r>
        <w:tab/>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B.</w:t>
      </w:r>
      <w:r>
        <w:tab/>
        <w:t>Compromiso de Portugal contra la tortura</w:t>
      </w:r>
      <w:r>
        <w:tab/>
      </w:r>
      <w:r>
        <w:tab/>
        <w:t>4</w:t>
      </w:r>
      <w:r>
        <w:tab/>
        <w:t>-</w:t>
      </w:r>
      <w:r>
        <w:tab/>
        <w:t>7</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C.</w:t>
      </w:r>
      <w:r>
        <w:tab/>
        <w:t>Medidas legislativas, administrativas o de otra índole</w:t>
      </w:r>
      <w:r>
        <w:tab/>
      </w:r>
      <w:r>
        <w:tab/>
        <w:t>8</w:t>
      </w:r>
      <w:r>
        <w:tab/>
        <w:t>-</w:t>
      </w:r>
      <w:r>
        <w:tab/>
        <w:t>18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D.</w:t>
      </w:r>
      <w:r>
        <w:tab/>
        <w:t>No expulsión, entrega o extradición de una persona a otro</w:t>
      </w:r>
      <w:r>
        <w:br/>
      </w:r>
      <w:r>
        <w:tab/>
      </w:r>
      <w:r>
        <w:tab/>
      </w:r>
      <w:r>
        <w:tab/>
        <w:t>Estado en que pueda ser sometida a tortura</w:t>
      </w:r>
      <w:r>
        <w:tab/>
      </w:r>
      <w:r>
        <w:tab/>
        <w:t>19</w:t>
      </w:r>
      <w:r>
        <w:tab/>
        <w:t>-</w:t>
      </w:r>
      <w:r>
        <w:tab/>
        <w:t>27</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t>II.</w:t>
      </w:r>
      <w:r>
        <w:tab/>
        <w:t>LEGISLACIÓN PENAL RELATIVA AL CASTIGO DE LOS</w:t>
      </w:r>
      <w:r>
        <w:br/>
      </w:r>
      <w:r>
        <w:tab/>
      </w:r>
      <w:r>
        <w:tab/>
        <w:t>ACTOS DE TORTURA</w:t>
      </w:r>
      <w:r>
        <w:tab/>
      </w:r>
      <w:r>
        <w:tab/>
        <w:t>28</w:t>
      </w:r>
      <w:r>
        <w:tab/>
        <w:t>-</w:t>
      </w:r>
      <w:r>
        <w:tab/>
        <w:t>56</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A.</w:t>
      </w:r>
      <w:r>
        <w:tab/>
        <w:t>La jurisdicción del Estado</w:t>
      </w:r>
      <w:r>
        <w:tab/>
      </w:r>
      <w:r>
        <w:tab/>
        <w:t>30</w:t>
      </w:r>
      <w:r>
        <w:tab/>
        <w:t>-</w:t>
      </w:r>
      <w:r>
        <w:tab/>
        <w:t>32</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B.</w:t>
      </w:r>
      <w:r>
        <w:tab/>
        <w:t>El castigo de los actos de tortura</w:t>
      </w:r>
      <w:r>
        <w:tab/>
      </w:r>
      <w:r>
        <w:tab/>
        <w:t>33</w:t>
      </w:r>
      <w:r>
        <w:tab/>
        <w:t>-</w:t>
      </w:r>
      <w:r>
        <w:tab/>
        <w:t>35</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C.</w:t>
      </w:r>
      <w:r>
        <w:tab/>
        <w:t>La detención de las personas que hayan cometido actos de</w:t>
      </w:r>
      <w:r>
        <w:br/>
      </w:r>
      <w:r>
        <w:tab/>
      </w:r>
      <w:r>
        <w:tab/>
      </w:r>
      <w:r>
        <w:tab/>
        <w:t>tortura</w:t>
      </w:r>
      <w:r>
        <w:tab/>
      </w:r>
      <w:r>
        <w:tab/>
        <w:t>36</w:t>
      </w:r>
      <w:r>
        <w:tab/>
        <w:t>-</w:t>
      </w:r>
      <w:r>
        <w:tab/>
        <w:t>38</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D.</w:t>
      </w:r>
      <w:r>
        <w:tab/>
        <w:t>Acción penal contra una persona sujeta a la jurisdicción del</w:t>
      </w:r>
      <w:r>
        <w:br/>
      </w:r>
      <w:r>
        <w:tab/>
      </w:r>
      <w:r>
        <w:tab/>
      </w:r>
      <w:r>
        <w:tab/>
        <w:t>Estado y que no haya sido extraditada</w:t>
      </w:r>
      <w:r>
        <w:tab/>
      </w:r>
      <w:r>
        <w:tab/>
        <w:t>39</w:t>
      </w:r>
      <w:r>
        <w:tab/>
        <w:t>-</w:t>
      </w:r>
      <w:r>
        <w:tab/>
        <w:t>47</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E.</w:t>
      </w:r>
      <w:r>
        <w:tab/>
        <w:t>Cuestiones relativas a la jurisdicción universal del Estado</w:t>
      </w:r>
      <w:r>
        <w:br/>
      </w:r>
      <w:r>
        <w:tab/>
      </w:r>
      <w:r>
        <w:tab/>
      </w:r>
      <w:r>
        <w:tab/>
        <w:t>y a los crímenes de lesa humanidad</w:t>
      </w:r>
      <w:r>
        <w:tab/>
      </w:r>
      <w:r>
        <w:tab/>
        <w:t>48</w:t>
      </w:r>
      <w:r>
        <w:tab/>
        <w:t>-</w:t>
      </w:r>
      <w:r>
        <w:tab/>
        <w:t>55</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F.</w:t>
      </w:r>
      <w:r>
        <w:tab/>
        <w:t>El auxilio judicial internacional</w:t>
      </w:r>
      <w:r>
        <w:tab/>
      </w:r>
      <w:r>
        <w:tab/>
      </w:r>
      <w:r>
        <w:tab/>
        <w:t>56</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t>III.</w:t>
      </w:r>
      <w:r>
        <w:tab/>
        <w:t>GARANTÍAS QUE OFRECE EL PROCEDIMIENTO PENAL</w:t>
      </w:r>
      <w:r>
        <w:tab/>
      </w:r>
      <w:r>
        <w:tab/>
        <w:t>57</w:t>
      </w:r>
      <w:r>
        <w:tab/>
        <w:t>-</w:t>
      </w:r>
      <w:r>
        <w:tab/>
        <w:t>197</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A.</w:t>
      </w:r>
      <w:r>
        <w:tab/>
        <w:t>Garantías personales en lo que respecta a la detención</w:t>
      </w:r>
      <w:r>
        <w:tab/>
      </w:r>
      <w:r>
        <w:tab/>
        <w:t>58</w:t>
      </w:r>
      <w:r>
        <w:tab/>
        <w:t>-</w:t>
      </w:r>
      <w:r>
        <w:tab/>
        <w:t>74</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B.</w:t>
      </w:r>
      <w:r>
        <w:tab/>
        <w:t>La prisión preventiva</w:t>
      </w:r>
      <w:r>
        <w:tab/>
      </w:r>
      <w:r>
        <w:tab/>
        <w:t>75</w:t>
      </w:r>
      <w:r>
        <w:tab/>
        <w:t>-</w:t>
      </w:r>
      <w:r>
        <w:tab/>
        <w:t>92</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C.</w:t>
      </w:r>
      <w:r>
        <w:tab/>
        <w:t>La vigilancia electrónica</w:t>
      </w:r>
      <w:r>
        <w:tab/>
      </w:r>
      <w:r>
        <w:tab/>
        <w:t>93</w:t>
      </w:r>
      <w:r>
        <w:tab/>
        <w:t>-</w:t>
      </w:r>
      <w:r>
        <w:tab/>
        <w:t>97</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D.</w:t>
      </w:r>
      <w:r>
        <w:tab/>
        <w:t>Control sobre las autoridades encargadas de la detención</w:t>
      </w:r>
      <w:r>
        <w:tab/>
      </w:r>
      <w:r>
        <w:tab/>
        <w:t>98</w:t>
      </w:r>
      <w:r>
        <w:tab/>
        <w:t>-</w:t>
      </w:r>
      <w:r>
        <w:tab/>
        <w:t>191</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E.</w:t>
      </w:r>
      <w:r>
        <w:tab/>
        <w:t>Los abusos cometidos por las fuerzas del orden:  datos del</w:t>
      </w:r>
      <w:r>
        <w:br/>
      </w:r>
      <w:r>
        <w:tab/>
      </w:r>
      <w:r>
        <w:tab/>
      </w:r>
      <w:r>
        <w:tab/>
        <w:t>Fiscal General de la República</w:t>
      </w:r>
      <w:r>
        <w:tab/>
      </w:r>
      <w:r>
        <w:tab/>
        <w:t>192</w:t>
      </w:r>
      <w:r>
        <w:tab/>
        <w:t>-</w:t>
      </w:r>
      <w:r>
        <w:tab/>
        <w:t>193</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F.</w:t>
      </w:r>
      <w:r>
        <w:tab/>
        <w:t>Derecho a presentar una queja</w:t>
      </w:r>
      <w:r>
        <w:tab/>
      </w:r>
      <w:r>
        <w:tab/>
        <w:t>194</w:t>
      </w:r>
      <w:r>
        <w:tab/>
        <w:t>-</w:t>
      </w:r>
      <w:r>
        <w:tab/>
        <w:t>197</w:t>
      </w:r>
      <w:r>
        <w:tab/>
        <w:t>51</w:t>
      </w:r>
    </w:p>
    <w:p w:rsidR="00000000" w:rsidRDefault="00000000">
      <w:pPr>
        <w:autoSpaceDE w:val="0"/>
        <w:autoSpaceDN w:val="0"/>
        <w:adjustRightInd w:val="0"/>
        <w:spacing w:after="240"/>
        <w:jc w:val="center"/>
        <w:rPr>
          <w:bCs/>
        </w:rPr>
      </w:pPr>
      <w:r>
        <w:rPr>
          <w:b/>
        </w:rPr>
        <w:t xml:space="preserve">ÍNDICE </w:t>
      </w:r>
      <w:r>
        <w:rPr>
          <w:bCs/>
        </w:rPr>
        <w:t>(</w:t>
      </w:r>
      <w:r>
        <w:rPr>
          <w:bCs/>
          <w:i/>
          <w:iCs/>
        </w:rPr>
        <w:t>continuación</w:t>
      </w:r>
      <w:r>
        <w:rPr>
          <w:bCs/>
        </w:rPr>
        <w:t>)</w:t>
      </w:r>
    </w:p>
    <w:p w:rsidR="00000000" w:rsidRDefault="00000000">
      <w:pPr>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t>IV.</w:t>
      </w:r>
      <w:r>
        <w:tab/>
        <w:t>EL SISTEMA PENITENCIARIO DE PORTUGAL</w:t>
      </w:r>
      <w:r>
        <w:tab/>
      </w:r>
      <w:r>
        <w:tab/>
        <w:t>198</w:t>
      </w:r>
      <w:r>
        <w:tab/>
        <w:t>-</w:t>
      </w:r>
      <w:r>
        <w:tab/>
        <w:t>229</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A.</w:t>
      </w:r>
      <w:r>
        <w:tab/>
        <w:t>Instituto de Reinserción Social y los centros educativos</w:t>
      </w:r>
      <w:r>
        <w:tab/>
      </w:r>
      <w:r>
        <w:tab/>
        <w:t>199</w:t>
      </w:r>
      <w:r>
        <w:tab/>
        <w:t>-</w:t>
      </w:r>
      <w:r>
        <w:tab/>
        <w:t>205</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B.</w:t>
      </w:r>
      <w:r>
        <w:tab/>
        <w:t>Servicios encargados de aplicar las medidas de privación de</w:t>
      </w:r>
      <w:r>
        <w:br/>
      </w:r>
      <w:r>
        <w:tab/>
      </w:r>
      <w:r>
        <w:tab/>
      </w:r>
      <w:r>
        <w:tab/>
        <w:t>libertad</w:t>
      </w:r>
      <w:r>
        <w:tab/>
      </w:r>
      <w:r>
        <w:tab/>
        <w:t>206</w:t>
      </w:r>
      <w:r>
        <w:tab/>
        <w:t>-</w:t>
      </w:r>
      <w:r>
        <w:tab/>
        <w:t>222</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r>
      <w:r>
        <w:tab/>
        <w:t>C.</w:t>
      </w:r>
      <w:r>
        <w:tab/>
        <w:t>Datos estadísticos</w:t>
      </w:r>
      <w:r>
        <w:tab/>
      </w:r>
      <w:r>
        <w:tab/>
        <w:t>223</w:t>
      </w:r>
      <w:r>
        <w:tab/>
        <w:t>-</w:t>
      </w:r>
      <w:r>
        <w:tab/>
        <w:t>229</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r>
        <w:tab/>
        <w:t>V.</w:t>
      </w:r>
      <w:r>
        <w:tab/>
        <w:t>EL DERECHO A LA REPARACIÓN</w:t>
      </w:r>
      <w:r>
        <w:tab/>
      </w:r>
      <w:r>
        <w:tab/>
        <w:t>230</w:t>
      </w:r>
      <w:r>
        <w:tab/>
        <w:t>-</w:t>
      </w:r>
      <w:r>
        <w:tab/>
        <w:t>234</w:t>
      </w:r>
      <w:r>
        <w:tab/>
        <w:t>67</w:t>
      </w:r>
    </w:p>
    <w:p w:rsidR="00000000" w:rsidRDefault="00000000">
      <w:pPr>
        <w:tabs>
          <w:tab w:val="right" w:pos="567"/>
          <w:tab w:val="left" w:pos="850"/>
          <w:tab w:val="left" w:pos="1200"/>
          <w:tab w:val="left" w:pos="1440"/>
          <w:tab w:val="right" w:leader="dot" w:pos="7285"/>
          <w:tab w:val="center" w:pos="7920"/>
          <w:tab w:val="right" w:pos="8357"/>
          <w:tab w:val="right" w:pos="9099"/>
        </w:tabs>
        <w:autoSpaceDE w:val="0"/>
        <w:autoSpaceDN w:val="0"/>
        <w:adjustRightInd w:val="0"/>
        <w:spacing w:after="240"/>
      </w:pPr>
      <w:r>
        <w:t>CONCLUSIÓN</w:t>
      </w:r>
      <w:r>
        <w:tab/>
      </w:r>
      <w:r>
        <w:tab/>
        <w:t>235</w:t>
      </w:r>
      <w:r>
        <w:tab/>
      </w:r>
      <w:r>
        <w:tab/>
        <w:t>68</w:t>
      </w:r>
    </w:p>
    <w:p w:rsidR="00000000" w:rsidRDefault="00000000">
      <w:pPr>
        <w:tabs>
          <w:tab w:val="right" w:pos="567"/>
          <w:tab w:val="left" w:pos="850"/>
          <w:tab w:val="left" w:pos="1304"/>
          <w:tab w:val="left" w:pos="1440"/>
          <w:tab w:val="right" w:leader="dot" w:pos="8520"/>
          <w:tab w:val="right" w:pos="9099"/>
        </w:tabs>
        <w:autoSpaceDE w:val="0"/>
        <w:autoSpaceDN w:val="0"/>
        <w:adjustRightInd w:val="0"/>
        <w:spacing w:after="240"/>
      </w:pPr>
      <w:r>
        <w:tab/>
        <w:t>Lista de anexos</w:t>
      </w:r>
      <w:r>
        <w:rPr>
          <w:rStyle w:val="FootnoteReference"/>
        </w:rPr>
        <w:footnoteReference w:customMarkFollows="1" w:id="2"/>
        <w:t>a</w:t>
      </w:r>
      <w:r>
        <w:tab/>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utoSpaceDE w:val="0"/>
        <w:autoSpaceDN w:val="0"/>
        <w:adjustRightInd w:val="0"/>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autoSpaceDE w:val="0"/>
        <w:autoSpaceDN w:val="0"/>
        <w:adjustRightInd w:val="0"/>
        <w:spacing w:after="240"/>
        <w:jc w:val="center"/>
        <w:rPr>
          <w:b/>
          <w:bCs/>
        </w:rPr>
      </w:pPr>
      <w:r>
        <w:br w:type="page"/>
      </w:r>
      <w:r>
        <w:rPr>
          <w:b/>
          <w:bCs/>
        </w:rPr>
        <w:t>INTRODUCCIÓN</w:t>
      </w:r>
    </w:p>
    <w:p w:rsidR="00000000" w:rsidRDefault="00000000">
      <w:pPr>
        <w:autoSpaceDE w:val="0"/>
        <w:autoSpaceDN w:val="0"/>
        <w:adjustRightInd w:val="0"/>
        <w:spacing w:after="240"/>
      </w:pPr>
      <w:r>
        <w:t>1.</w:t>
      </w:r>
      <w:r>
        <w:tab/>
        <w:t>El presente informe es continuación del tercer informe periódico de Portugal relativo a la aplicación de la Convención contra la Tortura (CAT/C/44/Add.7).  Abarca el período comprendido entre 2000 y 2004, es decir, el tiempo transcurrido desde la presentación del tercer informe hasta los meses de mayo, junio y julio de 2004.</w:t>
      </w:r>
    </w:p>
    <w:p w:rsidR="00000000" w:rsidRDefault="00000000">
      <w:pPr>
        <w:autoSpaceDE w:val="0"/>
        <w:autoSpaceDN w:val="0"/>
        <w:adjustRightInd w:val="0"/>
        <w:spacing w:after="240"/>
      </w:pPr>
      <w:r>
        <w:t>2.</w:t>
      </w:r>
      <w:r>
        <w:tab/>
        <w:t>La estructura general del informe es la siguiente:</w:t>
      </w:r>
    </w:p>
    <w:p w:rsidR="00000000" w:rsidRDefault="00000000">
      <w:pPr>
        <w:autoSpaceDE w:val="0"/>
        <w:autoSpaceDN w:val="0"/>
        <w:adjustRightInd w:val="0"/>
        <w:spacing w:after="240"/>
        <w:ind w:left="1134" w:hanging="567"/>
      </w:pPr>
      <w:r>
        <w:t>a)</w:t>
      </w:r>
      <w:r>
        <w:tab/>
        <w:t>Un primer capítulo trata de la definición de la tortura que, para Portugal, sigue siendo la misma desde el tercer informe, así como del compromiso de Portugal de no permitir la existencia de este fenómeno en ningún territorio que se encuentre bajo su jurisdicción.  Se hace referencia al artículo 1 de la Convención (definición), al artículo 2 (medidas legislativas, administrativas, judiciales o de otra índole) y al artículo 3 (garantías de no expulsión o de no extradición hacia otro Estado en que la persona corra el riesgo de ser torturada).</w:t>
      </w:r>
    </w:p>
    <w:p w:rsidR="00000000" w:rsidRDefault="00000000">
      <w:pPr>
        <w:autoSpaceDE w:val="0"/>
        <w:autoSpaceDN w:val="0"/>
        <w:adjustRightInd w:val="0"/>
        <w:spacing w:after="240"/>
        <w:ind w:left="1134" w:hanging="567"/>
      </w:pPr>
      <w:r>
        <w:t>b)</w:t>
      </w:r>
      <w:r>
        <w:tab/>
        <w:t>El capítulo II se refiere a los actos de tortura, que son delitos tipificados en el derecho penal, y el castigo de la tortura.  También se refiere al artículo 4 de la Convención (todos los actos de tortura, así como las tentativas, constituyen delitos conforme a la legislación penal, que se castigan con penas adecuadas).  Trata también sobre los artículos 5, 6, 7 (jurisdicción del Estado, detención de la persona que haya cometido actos de tortura) y contiene una nota sobre la jurisdicción universal del Estado de Portugal.  Asimismo se facilita información acerca del artículo 8 (extradición de las personas que hayan perpetrado actos de tortura) y el artículo 9 (auxilio judicial internacional)</w:t>
      </w:r>
    </w:p>
    <w:p w:rsidR="00000000" w:rsidRDefault="00000000">
      <w:pPr>
        <w:autoSpaceDE w:val="0"/>
        <w:autoSpaceDN w:val="0"/>
        <w:adjustRightInd w:val="0"/>
        <w:spacing w:after="240"/>
        <w:ind w:left="1134" w:hanging="567"/>
      </w:pPr>
      <w:r>
        <w:t>c)</w:t>
      </w:r>
      <w:r>
        <w:tab/>
        <w:t>El capítulo III está consagrado a las garantías que ofrece el procedimiento penal.  En este capítulo se abordan entre otros los problemas asociados con las garantías de las personas en lo referente a la detención, la prisión preventiva, la vigilancia sistemática, el control sobre las autoridades encargadas de la detención y el derecho de queja.</w:t>
      </w:r>
    </w:p>
    <w:p w:rsidR="00000000" w:rsidRDefault="00000000">
      <w:pPr>
        <w:autoSpaceDE w:val="0"/>
        <w:autoSpaceDN w:val="0"/>
        <w:adjustRightInd w:val="0"/>
        <w:spacing w:after="240"/>
        <w:ind w:left="1134" w:hanging="567"/>
      </w:pPr>
      <w:r>
        <w:t>d)</w:t>
      </w:r>
      <w:r>
        <w:tab/>
        <w:t>En el capítulo IV se ofrece información sobre el sistema penitenciario de Portugal.</w:t>
      </w:r>
    </w:p>
    <w:p w:rsidR="00000000" w:rsidRDefault="00000000">
      <w:pPr>
        <w:autoSpaceDE w:val="0"/>
        <w:autoSpaceDN w:val="0"/>
        <w:adjustRightInd w:val="0"/>
        <w:spacing w:after="240"/>
        <w:ind w:left="1134" w:hanging="567"/>
      </w:pPr>
      <w:r>
        <w:t>e)</w:t>
      </w:r>
      <w:r>
        <w:tab/>
        <w:t>El capítulo V se refiere al derecho a reparación, tema en que prácticamente no hay cambios desde la presentación del último informe periódico.</w:t>
      </w:r>
    </w:p>
    <w:p w:rsidR="00000000" w:rsidRDefault="00000000">
      <w:pPr>
        <w:autoSpaceDE w:val="0"/>
        <w:autoSpaceDN w:val="0"/>
        <w:adjustRightInd w:val="0"/>
        <w:spacing w:after="480"/>
        <w:ind w:left="1134" w:hanging="567"/>
      </w:pPr>
      <w:r>
        <w:t>f)</w:t>
      </w:r>
      <w:r>
        <w:tab/>
        <w:t>En una breve conclusión, Portugal expresa la esperanza de que su informe reciba una acogida tan buena como los precedentes, pero sobre todo de que se comprenda su esfuerzo por mejorar tanto el sistema jurídico como el régimen penitenciario.</w:t>
      </w:r>
    </w:p>
    <w:p w:rsidR="00000000" w:rsidRDefault="00000000">
      <w:pPr>
        <w:keepNext/>
        <w:keepLines/>
        <w:autoSpaceDE w:val="0"/>
        <w:autoSpaceDN w:val="0"/>
        <w:adjustRightInd w:val="0"/>
        <w:spacing w:after="240"/>
        <w:jc w:val="center"/>
        <w:rPr>
          <w:b/>
          <w:bCs/>
        </w:rPr>
      </w:pPr>
      <w:r>
        <w:rPr>
          <w:b/>
          <w:bCs/>
        </w:rPr>
        <w:t>I.  DEFINICIÓN DE TORTURA Y COMPROMISO DE NO COMETERLA</w:t>
      </w:r>
    </w:p>
    <w:p w:rsidR="00000000" w:rsidRDefault="00000000">
      <w:pPr>
        <w:keepNext/>
        <w:keepLines/>
        <w:autoSpaceDE w:val="0"/>
        <w:autoSpaceDN w:val="0"/>
        <w:adjustRightInd w:val="0"/>
        <w:spacing w:after="240"/>
        <w:jc w:val="center"/>
        <w:rPr>
          <w:b/>
          <w:bCs/>
        </w:rPr>
      </w:pPr>
      <w:r>
        <w:rPr>
          <w:b/>
          <w:bCs/>
        </w:rPr>
        <w:t>A.  Definición de la tortura</w:t>
      </w:r>
    </w:p>
    <w:p w:rsidR="00000000" w:rsidRDefault="00000000">
      <w:pPr>
        <w:keepNext/>
        <w:keepLines/>
        <w:autoSpaceDE w:val="0"/>
        <w:autoSpaceDN w:val="0"/>
        <w:adjustRightInd w:val="0"/>
        <w:spacing w:after="240"/>
      </w:pPr>
      <w:r>
        <w:t>3.</w:t>
      </w:r>
      <w:r>
        <w:tab/>
        <w:t>En el artículo 1 de la Convención contra la Tortura se afirma lo siguiente:</w:t>
      </w:r>
    </w:p>
    <w:p w:rsidR="00000000" w:rsidRDefault="00000000">
      <w:pPr>
        <w:keepNext/>
        <w:keepLines/>
        <w:autoSpaceDE w:val="0"/>
        <w:autoSpaceDN w:val="0"/>
        <w:adjustRightInd w:val="0"/>
        <w:spacing w:after="240"/>
        <w:ind w:left="567"/>
      </w:pPr>
      <w:r>
        <w:t xml:space="preserve">"... se entenderá por el término "tortura" todo acto por el cual se inflijan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 o por cualquier razón basada en cualquier tipo de discriminación, cuando dichos dolores o sufrimientos sean </w:t>
      </w:r>
      <w:r>
        <w:rPr>
          <w:u w:val="single"/>
        </w:rPr>
        <w:t>infligidos por un funcionario público u otra persona</w:t>
      </w:r>
      <w:r>
        <w:t xml:space="preserve"> [subrayado por el autor] en el ejercicio de funciones públicas, a instigación suya, o con su consentimiento o aquiescencia.  No se considerarán torturas los dolores o sufrimientos que sean consecuencia únicamente de sanciones legítimas, o que sean inherentes o incidentales a éstas."</w:t>
      </w:r>
    </w:p>
    <w:p w:rsidR="00000000" w:rsidRDefault="00000000">
      <w:pPr>
        <w:autoSpaceDE w:val="0"/>
        <w:autoSpaceDN w:val="0"/>
        <w:adjustRightInd w:val="0"/>
        <w:spacing w:after="240"/>
        <w:jc w:val="center"/>
        <w:rPr>
          <w:b/>
          <w:bCs/>
        </w:rPr>
      </w:pPr>
      <w:r>
        <w:rPr>
          <w:b/>
          <w:bCs/>
        </w:rPr>
        <w:t>B.  Compromiso de Portugal contra la tortura</w:t>
      </w:r>
    </w:p>
    <w:p w:rsidR="00000000" w:rsidRDefault="00000000">
      <w:pPr>
        <w:autoSpaceDE w:val="0"/>
        <w:autoSpaceDN w:val="0"/>
        <w:adjustRightInd w:val="0"/>
        <w:spacing w:after="240"/>
      </w:pPr>
      <w:r>
        <w:t>4.</w:t>
      </w:r>
      <w:r>
        <w:tab/>
        <w:t>En la definición de tortura que aparece en la Convención figuran los sufrimientos infligidos por un funcionario.  La legislación de Portugal dispone que la tortura es un delito contra la paz y la humanidad.  El artículo 243 del Código Penal reza lo siguiente:</w:t>
      </w:r>
    </w:p>
    <w:p w:rsidR="00000000" w:rsidRDefault="00000000">
      <w:pPr>
        <w:spacing w:after="240"/>
        <w:ind w:left="567"/>
      </w:pPr>
      <w:r>
        <w:tab/>
        <w:t>"1.</w:t>
      </w:r>
      <w:r>
        <w:tab/>
        <w:t xml:space="preserve">Las personas que, estando encargadas de prevenir, procesar, investigar o examinar las infracciones penales o disciplinarias, aplicar las sanciones relativas a estas infracciones o proteger, custodiar o vigilar a personas detenidas o presas, las sometan a tortura o las traten de modo cruel, inhumano o degradante, con el propósito de:  </w:t>
      </w:r>
    </w:p>
    <w:p w:rsidR="00000000" w:rsidRDefault="00000000">
      <w:pPr>
        <w:spacing w:after="240"/>
        <w:ind w:left="567"/>
      </w:pPr>
      <w:r>
        <w:tab/>
        <w:t>a)</w:t>
      </w:r>
      <w:r>
        <w:tab/>
        <w:t xml:space="preserve">Obtener de ellas o de terceros confesiones, testimonios, declaraciones o información; </w:t>
      </w:r>
    </w:p>
    <w:p w:rsidR="00000000" w:rsidRDefault="00000000">
      <w:pPr>
        <w:spacing w:after="240"/>
        <w:ind w:left="567"/>
      </w:pPr>
      <w:r>
        <w:tab/>
        <w:t>b)</w:t>
      </w:r>
      <w:r>
        <w:tab/>
        <w:t xml:space="preserve">Castigarlas por un acto que han cometido, o que se sospeche que han cometido, o por actos cometidos por otras personas; </w:t>
      </w:r>
    </w:p>
    <w:p w:rsidR="00000000" w:rsidRDefault="00000000">
      <w:pPr>
        <w:spacing w:after="240"/>
        <w:ind w:left="567"/>
      </w:pPr>
      <w:r>
        <w:tab/>
        <w:t>c)</w:t>
      </w:r>
      <w:r>
        <w:tab/>
        <w:t>Intimidarlas o intimidar a otros serán condenadas a pena de prisión de 1 a 5 años, a menos que una pena más grave sea aplicable en virtud de otra disposición legal.</w:t>
      </w:r>
    </w:p>
    <w:p w:rsidR="00000000" w:rsidRDefault="00000000">
      <w:pPr>
        <w:spacing w:after="240"/>
        <w:ind w:left="567"/>
      </w:pPr>
      <w:r>
        <w:tab/>
        <w:t>2</w:t>
      </w:r>
      <w:r>
        <w:tab/>
        <w:t>Las personas que, por iniciativa propia o por orden de un superior jerárquico, aprovechen las funciones descritas en el párrafo anterior para cometer uno de los actos previstos, serán condenadas a la misma pena.</w:t>
      </w:r>
    </w:p>
    <w:p w:rsidR="00000000" w:rsidRDefault="00000000">
      <w:pPr>
        <w:spacing w:after="240"/>
        <w:ind w:left="567"/>
      </w:pPr>
      <w:r>
        <w:tab/>
        <w:t>3.</w:t>
      </w:r>
      <w:r>
        <w:tab/>
        <w:t xml:space="preserve">Se considerará tortura y trato cruel, degradante o inhumano todo acto que consista en causar un sufrimiento físico o psicológico grave o emplear productos químicos, drogas u otros medios, naturales o artificiales, con el objeto de menoscabar la capacidad de decisión o la libre expresión de la voluntad de la víctima.  </w:t>
      </w:r>
    </w:p>
    <w:p w:rsidR="00000000" w:rsidRDefault="00000000">
      <w:pPr>
        <w:spacing w:after="240"/>
        <w:ind w:left="567"/>
      </w:pPr>
      <w:r>
        <w:tab/>
        <w:t>4.</w:t>
      </w:r>
      <w:r>
        <w:tab/>
        <w:t>El texto del párrafo anterior no abarca los sufrimientos inherentes a las sanciones previstas en el primer párrafo o que se desprendan de ellas, ni las medidas legales de privación o restricción de la libertad."</w:t>
      </w:r>
    </w:p>
    <w:p w:rsidR="00000000" w:rsidRDefault="00000000">
      <w:pPr>
        <w:autoSpaceDE w:val="0"/>
        <w:autoSpaceDN w:val="0"/>
        <w:adjustRightInd w:val="0"/>
        <w:spacing w:after="240"/>
      </w:pPr>
      <w:r>
        <w:t>Por lo tanto, la definición de la tortura que figura en el Código Penal es muy similar a la de la Convención.</w:t>
      </w:r>
    </w:p>
    <w:p w:rsidR="00000000" w:rsidRDefault="00000000">
      <w:pPr>
        <w:autoSpaceDE w:val="0"/>
        <w:autoSpaceDN w:val="0"/>
        <w:adjustRightInd w:val="0"/>
        <w:spacing w:after="240"/>
      </w:pPr>
      <w:r>
        <w:t>5.</w:t>
      </w:r>
      <w:r>
        <w:tab/>
        <w:t>En el Código Penal hay otro artículo que versa sobre la definición de la tortura.  Se trata del artículo 244, que dispone:</w:t>
      </w:r>
    </w:p>
    <w:p w:rsidR="00000000" w:rsidRDefault="00000000">
      <w:pPr>
        <w:spacing w:after="240"/>
        <w:ind w:left="567"/>
      </w:pPr>
      <w:r>
        <w:tab/>
        <w:t>"1.</w:t>
      </w:r>
      <w:r>
        <w:tab/>
        <w:t xml:space="preserve">Todo aquel que, con arreglo al artículo precedente:  </w:t>
      </w:r>
    </w:p>
    <w:p w:rsidR="00000000" w:rsidRDefault="00000000">
      <w:pPr>
        <w:spacing w:after="240"/>
        <w:ind w:left="567"/>
      </w:pPr>
      <w:r>
        <w:tab/>
        <w:t>a)</w:t>
      </w:r>
      <w:r>
        <w:tab/>
        <w:t>Atente gravemente contra la integridad física de otra persona;</w:t>
      </w:r>
    </w:p>
    <w:p w:rsidR="00000000" w:rsidRDefault="00000000">
      <w:pPr>
        <w:spacing w:after="240"/>
        <w:ind w:left="567"/>
      </w:pPr>
      <w:r>
        <w:tab/>
        <w:t>b)</w:t>
      </w:r>
      <w:r>
        <w:tab/>
        <w:t xml:space="preserve">Emplee métodos de tortura particularmente graves, como actos de agresión, descargas eléctricas, simulacros de ejecución o sustancias alucinógenas, o </w:t>
      </w:r>
    </w:p>
    <w:p w:rsidR="00000000" w:rsidRDefault="00000000">
      <w:pPr>
        <w:spacing w:after="240"/>
        <w:ind w:left="567"/>
      </w:pPr>
      <w:r>
        <w:tab/>
        <w:t>c)</w:t>
      </w:r>
      <w:r>
        <w:tab/>
        <w:t>Cometa habitualmente alguno de los actos mencionados en el artículo precedente, será sancionado con una pena de 3 a 12 años de prisión.</w:t>
      </w:r>
    </w:p>
    <w:p w:rsidR="00000000" w:rsidRDefault="00000000">
      <w:pPr>
        <w:spacing w:after="240"/>
        <w:ind w:left="567"/>
      </w:pPr>
      <w:r>
        <w:tab/>
        <w:t>2.</w:t>
      </w:r>
      <w:r>
        <w:tab/>
        <w:t>Cuando los hechos descritos en el presente artículo o en el artículo precedente lleven al suicidio o la muerte de la víctima, el autor podrá ser sancionado con una pena de 8 a 16 años de prisión."</w:t>
      </w:r>
    </w:p>
    <w:p w:rsidR="00000000" w:rsidRDefault="00000000">
      <w:pPr>
        <w:autoSpaceDE w:val="0"/>
        <w:autoSpaceDN w:val="0"/>
        <w:adjustRightInd w:val="0"/>
        <w:spacing w:after="240"/>
      </w:pPr>
      <w:r>
        <w:t>6.</w:t>
      </w:r>
      <w:r>
        <w:tab/>
        <w:t>Por último, con arreglo a lo dispuesto en el artículo 245, también se castiga la omisión de denunciar la perpetración de un acto de tortura:</w:t>
      </w:r>
    </w:p>
    <w:p w:rsidR="00000000" w:rsidRDefault="00000000">
      <w:pPr>
        <w:autoSpaceDE w:val="0"/>
        <w:autoSpaceDN w:val="0"/>
        <w:adjustRightInd w:val="0"/>
        <w:spacing w:after="240"/>
        <w:ind w:left="567"/>
      </w:pPr>
      <w:r>
        <w:tab/>
        <w:t>"El superior jerárquico que, teniendo conocimiento de la perpetración, por uno de sus subordinados, de uno de los hechos prescritos en los artículos 243 ó 244, no procede a la denuncia en el plazo máximo de tres días a partir del momento en que toma conocimiento de los hechos, podrá ser castigado con penas de prisión de seis meses a tres años."</w:t>
      </w:r>
    </w:p>
    <w:p w:rsidR="00000000" w:rsidRDefault="00000000">
      <w:pPr>
        <w:autoSpaceDE w:val="0"/>
        <w:autoSpaceDN w:val="0"/>
        <w:adjustRightInd w:val="0"/>
        <w:spacing w:after="240"/>
      </w:pPr>
      <w:r>
        <w:t>7.</w:t>
      </w:r>
      <w:r>
        <w:tab/>
        <w:t>Por último, la perpetración de los crímenes previstos en el Código Penal como crímenes de lesa humanidad puede traer aparejada, con arreglo a lo dispuesto en el artículo 246 del Código Penal, la incapacidad para elegir y ser elegido para desempeñar un cargo político durante un período de dos a diez años.</w:t>
      </w:r>
    </w:p>
    <w:p w:rsidR="00000000" w:rsidRDefault="00000000">
      <w:pPr>
        <w:autoSpaceDE w:val="0"/>
        <w:autoSpaceDN w:val="0"/>
        <w:adjustRightInd w:val="0"/>
        <w:spacing w:after="240"/>
        <w:jc w:val="center"/>
        <w:rPr>
          <w:b/>
          <w:bCs/>
        </w:rPr>
      </w:pPr>
      <w:r>
        <w:rPr>
          <w:b/>
          <w:bCs/>
        </w:rPr>
        <w:t>C.  Medidas legislativas, administrativas o de otra índole</w:t>
      </w:r>
    </w:p>
    <w:p w:rsidR="00000000" w:rsidRDefault="00000000">
      <w:pPr>
        <w:autoSpaceDE w:val="0"/>
        <w:autoSpaceDN w:val="0"/>
        <w:adjustRightInd w:val="0"/>
        <w:spacing w:after="240"/>
      </w:pPr>
      <w:r>
        <w:t>8.</w:t>
      </w:r>
      <w:r>
        <w:tab/>
        <w:t>Por lo que respecta a las medidas legislativas, administrativas, judiciales y de otra índole, así como todas las afirmaciones formuladas hasta el momento, remitimos al tercer informe periódico de Portugal (CAT/C/44/Add.7, párrs. 33 a 36).</w:t>
      </w:r>
    </w:p>
    <w:p w:rsidR="00000000" w:rsidRDefault="00000000">
      <w:pPr>
        <w:autoSpaceDE w:val="0"/>
        <w:autoSpaceDN w:val="0"/>
        <w:adjustRightInd w:val="0"/>
        <w:spacing w:after="240"/>
      </w:pPr>
      <w:r>
        <w:t>9.</w:t>
      </w:r>
      <w:r>
        <w:tab/>
        <w:t>Por lo que respecta a las medidas adoptadas recientemente, cabe citar la nueva Ley de organización y funcionamiento de los tribunales judiciales, ya mencionada en la presentación, en mayo de 2000, del tercer informe, y que fue modificada por última vez mediante la Ley Nº 105/2003, de 10 de diciembre.  Esta ley resuelve problemas relacionados con la integración de los jueces militares para los asuntos militares en los tribunales comunes.</w:t>
      </w:r>
    </w:p>
    <w:p w:rsidR="00000000" w:rsidRDefault="00000000">
      <w:pPr>
        <w:autoSpaceDE w:val="0"/>
        <w:autoSpaceDN w:val="0"/>
        <w:adjustRightInd w:val="0"/>
        <w:spacing w:after="240"/>
      </w:pPr>
      <w:r>
        <w:t>10.</w:t>
      </w:r>
      <w:r>
        <w:tab/>
        <w:t>Los artículos 68 a 76 constituyen un conjunto importante de disposiciones de esta nueva ley, que mantiene la garantía de la independencia de los tribunales y fortalece sus competencias, pues las reorganiza:</w:t>
      </w:r>
    </w:p>
    <w:p w:rsidR="00000000" w:rsidRDefault="00000000">
      <w:pPr>
        <w:autoSpaceDE w:val="0"/>
        <w:autoSpaceDN w:val="0"/>
        <w:adjustRightInd w:val="0"/>
        <w:spacing w:after="240"/>
        <w:ind w:left="1134" w:hanging="567"/>
      </w:pPr>
      <w:r>
        <w:t>a)</w:t>
      </w:r>
      <w:r>
        <w:tab/>
        <w:t>En ellos se prevé la sustitución de los jueces, cuando haya ausencia o impedimento, por otro juez y, cuando éste tampoco se presente, por la persona idónea, titular de una licenciatura en derecho, y designada por el Consejo Superior de la Magistratura (art. 68);</w:t>
      </w:r>
    </w:p>
    <w:p w:rsidR="00000000" w:rsidRDefault="00000000">
      <w:pPr>
        <w:autoSpaceDE w:val="0"/>
        <w:autoSpaceDN w:val="0"/>
        <w:adjustRightInd w:val="0"/>
        <w:spacing w:after="240"/>
        <w:ind w:left="1134" w:hanging="567"/>
      </w:pPr>
      <w:r>
        <w:t>b)</w:t>
      </w:r>
      <w:r>
        <w:tab/>
        <w:t>En caso de necesidad justificada, y en circunstancias excepcionales, el Consejo Superior de la Magistratura puede decidir que un juez, con su consentimiento, ejerza funciones en más de un tribunal, incluso en una circunscripción distinta (art. 68);</w:t>
      </w:r>
    </w:p>
    <w:p w:rsidR="00000000" w:rsidRDefault="00000000">
      <w:pPr>
        <w:autoSpaceDE w:val="0"/>
        <w:autoSpaceDN w:val="0"/>
        <w:adjustRightInd w:val="0"/>
        <w:spacing w:after="240"/>
        <w:ind w:left="1134" w:hanging="567"/>
      </w:pPr>
      <w:r>
        <w:t>c)</w:t>
      </w:r>
      <w:r>
        <w:tab/>
        <w:t>Pueden designarse jueces auxiliares para completar el número de jueces de los tribunales de primera instancia y de los tribunales de apelación (arts. 70 y 50);</w:t>
      </w:r>
    </w:p>
    <w:p w:rsidR="00000000" w:rsidRDefault="00000000">
      <w:pPr>
        <w:autoSpaceDE w:val="0"/>
        <w:autoSpaceDN w:val="0"/>
        <w:adjustRightInd w:val="0"/>
        <w:spacing w:after="240"/>
        <w:ind w:left="1134" w:hanging="567"/>
      </w:pPr>
      <w:r>
        <w:t>d)</w:t>
      </w:r>
      <w:r>
        <w:tab/>
        <w:t>En cada distrito judicial se creará una "reserva común" de jueces destinados a sustituir a los jueces de las circunscripciones judiciales comprendidas en el distrito cuando el volumen de trabajo, un impedimento de los jueces o el período para el que sea necesario un juez suplente no permitan hacer uso del régimen previsto en el artículo 69 (art. 71);</w:t>
      </w:r>
    </w:p>
    <w:p w:rsidR="00000000" w:rsidRDefault="00000000">
      <w:pPr>
        <w:autoSpaceDE w:val="0"/>
        <w:autoSpaceDN w:val="0"/>
        <w:adjustRightInd w:val="0"/>
        <w:spacing w:after="240"/>
        <w:ind w:left="1134" w:hanging="567"/>
      </w:pPr>
      <w:r>
        <w:t>e)</w:t>
      </w:r>
      <w:r>
        <w:tab/>
        <w:t>Con arreglo a lo dispuesto en el artículo 73, se garantizará un servicio de urgencia por rotación, sobre todo durante el período de vacaciones judiciales;</w:t>
      </w:r>
    </w:p>
    <w:p w:rsidR="00000000" w:rsidRDefault="00000000">
      <w:pPr>
        <w:autoSpaceDE w:val="0"/>
        <w:autoSpaceDN w:val="0"/>
        <w:adjustRightInd w:val="0"/>
        <w:spacing w:after="240"/>
        <w:ind w:left="1134" w:hanging="567"/>
      </w:pPr>
      <w:r>
        <w:t>f)</w:t>
      </w:r>
      <w:r>
        <w:tab/>
        <w:t>El servicio de urgencia previsto en el Código de Procedimiento Penal, en la Ley de salud mental y en la legislación relativa a los jóvenes se organiza asimismo por rotación (art. 73).</w:t>
      </w:r>
    </w:p>
    <w:p w:rsidR="00000000" w:rsidRDefault="00000000">
      <w:pPr>
        <w:autoSpaceDE w:val="0"/>
        <w:autoSpaceDN w:val="0"/>
        <w:adjustRightInd w:val="0"/>
        <w:spacing w:after="240"/>
      </w:pPr>
      <w:r>
        <w:t>11.</w:t>
      </w:r>
      <w:r>
        <w:tab/>
        <w:t>Cuando el volumen de la actividad judicial lo exija, podrán crearse tribunales de instrucción penal, previstos en los artículos 79 y siguientes de la Ley de organización y funcionamiento de los tribunales judiciales.  Del mismo modo, en el ámbito de jurisdicción de los tribunales de instrucción podrán crearse unidades del ministerio público, llamadas Departamentos de Investigación y Acción Penal (DIAP).</w:t>
      </w:r>
    </w:p>
    <w:p w:rsidR="00000000" w:rsidRDefault="00000000">
      <w:pPr>
        <w:autoSpaceDE w:val="0"/>
        <w:autoSpaceDN w:val="0"/>
        <w:adjustRightInd w:val="0"/>
        <w:spacing w:after="240"/>
      </w:pPr>
      <w:r>
        <w:t>12.</w:t>
      </w:r>
      <w:r>
        <w:tab/>
        <w:t xml:space="preserve">La ley también prevé el servicio del ministerio público ante los tribunales y la representación de este ministerio en cada instancia:  en el Tribunal Supremo, el representante es el </w:t>
      </w:r>
      <w:r>
        <w:rPr>
          <w:bCs/>
          <w:lang w:val="es-ES_tradnl"/>
        </w:rPr>
        <w:t>Fiscal General de la República; en</w:t>
      </w:r>
      <w:r>
        <w:t xml:space="preserve"> los tribunales de apelación, los representantes son los fiscales generales adjuntos y los fiscales generales de distrito; en los tribunales de primera instancia, la representación está a cargo de los fiscales de la República y los fiscales adjuntos.</w:t>
      </w:r>
    </w:p>
    <w:p w:rsidR="00000000" w:rsidRDefault="00000000">
      <w:pPr>
        <w:autoSpaceDE w:val="0"/>
        <w:autoSpaceDN w:val="0"/>
        <w:adjustRightInd w:val="0"/>
        <w:spacing w:after="240"/>
      </w:pPr>
      <w:r>
        <w:t>13.</w:t>
      </w:r>
      <w:r>
        <w:tab/>
        <w:t>Una parte importante de esta ley se refiere a los representantes legales, es decir, los abogados, en el artículo 114:</w:t>
      </w:r>
    </w:p>
    <w:p w:rsidR="00000000" w:rsidRDefault="00000000">
      <w:pPr>
        <w:autoSpaceDE w:val="0"/>
        <w:autoSpaceDN w:val="0"/>
        <w:adjustRightInd w:val="0"/>
        <w:spacing w:after="240"/>
        <w:ind w:left="567"/>
      </w:pPr>
      <w:r>
        <w:tab/>
        <w:t>"1.</w:t>
      </w:r>
      <w:r>
        <w:tab/>
        <w:t>La ley garantiza a los abogados las inmunidades necesarias para el ejercicio de su mandato y reglamenta la representación ante los tribunales como elemento esencial de la administración de la justicia.</w:t>
      </w:r>
    </w:p>
    <w:p w:rsidR="00000000" w:rsidRDefault="00000000">
      <w:pPr>
        <w:autoSpaceDE w:val="0"/>
        <w:autoSpaceDN w:val="0"/>
        <w:adjustRightInd w:val="0"/>
        <w:spacing w:after="240"/>
        <w:ind w:left="567"/>
      </w:pPr>
      <w:r>
        <w:tab/>
        <w:t>2.</w:t>
      </w:r>
      <w:r>
        <w:tab/>
        <w:t>Para la defensa de los derechos y garantías individuales, los abogados pueden exigir la intervención de los órganos judiciales competentes.</w:t>
      </w:r>
    </w:p>
    <w:p w:rsidR="00000000" w:rsidRDefault="00000000">
      <w:pPr>
        <w:autoSpaceDE w:val="0"/>
        <w:autoSpaceDN w:val="0"/>
        <w:adjustRightInd w:val="0"/>
        <w:spacing w:after="240"/>
        <w:ind w:left="567"/>
      </w:pPr>
      <w:r>
        <w:tab/>
        <w:t>3.</w:t>
      </w:r>
      <w:r>
        <w:tab/>
        <w:t>A los abogados se les garantiza la inmunidad necesaria para un ejercicio eficaz de su mandato mediante el reconocimiento legal y la garantía:</w:t>
      </w:r>
    </w:p>
    <w:p w:rsidR="00000000" w:rsidRDefault="00000000">
      <w:pPr>
        <w:autoSpaceDE w:val="0"/>
        <w:autoSpaceDN w:val="0"/>
        <w:adjustRightInd w:val="0"/>
        <w:spacing w:after="240"/>
        <w:ind w:left="567"/>
      </w:pPr>
      <w:r>
        <w:tab/>
        <w:t>a)</w:t>
      </w:r>
      <w:r>
        <w:tab/>
        <w:t>Del derecho a la protección del secreto profesional;</w:t>
      </w:r>
    </w:p>
    <w:p w:rsidR="00000000" w:rsidRDefault="00000000">
      <w:pPr>
        <w:autoSpaceDE w:val="0"/>
        <w:autoSpaceDN w:val="0"/>
        <w:adjustRightInd w:val="0"/>
        <w:spacing w:after="240"/>
        <w:ind w:left="567"/>
      </w:pPr>
      <w:r>
        <w:tab/>
        <w:t>b)</w:t>
      </w:r>
      <w:r>
        <w:tab/>
        <w:t>Del derecho a ejercer libremente la representación y a no ser castigados por el ejercicio de actos conformes al estatuto de la profesión;</w:t>
      </w:r>
    </w:p>
    <w:p w:rsidR="00000000" w:rsidRDefault="00000000">
      <w:pPr>
        <w:autoSpaceDE w:val="0"/>
        <w:autoSpaceDN w:val="0"/>
        <w:adjustRightInd w:val="0"/>
        <w:spacing w:after="240"/>
        <w:ind w:left="567"/>
      </w:pPr>
      <w:r>
        <w:tab/>
        <w:t>c)</w:t>
      </w:r>
      <w:r>
        <w:tab/>
        <w:t>Del derecho a la protección especial de las comunicaciones con el cliente y la preservación del secreto de la documentación relativa al ejercicio de la defensa."</w:t>
      </w:r>
    </w:p>
    <w:p w:rsidR="00000000" w:rsidRDefault="00000000">
      <w:pPr>
        <w:autoSpaceDE w:val="0"/>
        <w:autoSpaceDN w:val="0"/>
        <w:adjustRightInd w:val="0"/>
        <w:spacing w:after="240"/>
      </w:pPr>
      <w:r>
        <w:t>14.</w:t>
      </w:r>
      <w:r>
        <w:tab/>
        <w:t>Asimismo se ha modificado el estatuto del ministerio público; actualmente está regulado por la Ley Nº 68/98.  El ministerio público representa al Estado, defiende los intereses que la ley determina, participa en la aplicación de la política penal definida por los órganos del Estado, ejerce la acción penal orientado por el principio de la legalidad y defiende el principio de la legalidad democrática, de conformidad con lo dispuesto en la Constitución, en su estatuto y en la ley.</w:t>
      </w:r>
    </w:p>
    <w:p w:rsidR="00000000" w:rsidRDefault="00000000">
      <w:pPr>
        <w:autoSpaceDE w:val="0"/>
        <w:autoSpaceDN w:val="0"/>
        <w:adjustRightInd w:val="0"/>
        <w:spacing w:after="240"/>
      </w:pPr>
      <w:r>
        <w:t>15.</w:t>
      </w:r>
      <w:r>
        <w:tab/>
        <w:t>El ministerio público goza de autonomía con respecto a los demás órganos del poder central, regional y local, con arreglo a lo dispuesto en la ley.  Su autonomía se caracteriza por estar vinculada a criterios de legalidad y objetividad y por la sujeción exclusiva de los magistrados del ministerio público a las directrices, órdenes e instrucciones previstas en la ley.</w:t>
      </w:r>
    </w:p>
    <w:p w:rsidR="00000000" w:rsidRDefault="00000000">
      <w:pPr>
        <w:autoSpaceDE w:val="0"/>
        <w:autoSpaceDN w:val="0"/>
        <w:adjustRightInd w:val="0"/>
        <w:spacing w:after="240"/>
      </w:pPr>
      <w:r>
        <w:t>16.</w:t>
      </w:r>
      <w:r>
        <w:tab/>
        <w:t>A diferencia de los tribunales, que son independientes, el ministerio público únicamente es autónomo, porque está ligado al Estado; con todo, no por ello es menos autónomo:  incluso cuando representa al Estado, es el ministerio público quien determina las condiciones de esta representación.  En los casos que se le presentan en las condiciones que determina la ley, el ministerio público es quien decide de qué modo va a intervenir.  Por otra parte, el Estado no tiene ningún control sobre la dirección del ministerio público, que incumbe al Fiscal General de la República y al Consejo Superior del Ministerio Público.</w:t>
      </w:r>
    </w:p>
    <w:p w:rsidR="00000000" w:rsidRDefault="00000000">
      <w:pPr>
        <w:autoSpaceDE w:val="0"/>
        <w:autoSpaceDN w:val="0"/>
        <w:adjustRightInd w:val="0"/>
        <w:spacing w:after="240"/>
      </w:pPr>
      <w:r>
        <w:t>17.</w:t>
      </w:r>
      <w:r>
        <w:tab/>
        <w:t>La supervisión de los procedimientos de los órganos de policía criminal, especialmente la policía judicial, incumbe al ministerio público, concretamente, al Fiscal General de la República.  Esa supervisión se lleva a cabo en cada nivel de la jerarquía y en función de cada proceso concreto, y la dirección de la indagación incumbe siempre al ministerio público, en el marco de la acción penal (la instrucción, presidida por el juez de instrucción, es facultativa, ya que se celebra, en particular, cuando la solicita el acusado).</w:t>
      </w:r>
    </w:p>
    <w:p w:rsidR="00000000" w:rsidRDefault="00000000">
      <w:pPr>
        <w:autoSpaceDE w:val="0"/>
        <w:autoSpaceDN w:val="0"/>
        <w:adjustRightInd w:val="0"/>
        <w:spacing w:after="240"/>
      </w:pPr>
      <w:r>
        <w:t>18.</w:t>
      </w:r>
      <w:r>
        <w:tab/>
        <w:t>Además de la reforma del Código de Procedimiento Penal, que se finalizó en 1998 (Ley Nº 58/98, de 25 de agosto), y a la que se aludirá posteriormente en el examen de las garantías de procedimiento, desde la presentación del tercer informe periódico se han adoptado otras medidas:</w:t>
      </w:r>
    </w:p>
    <w:p w:rsidR="00000000" w:rsidRDefault="00000000">
      <w:pPr>
        <w:autoSpaceDE w:val="0"/>
        <w:autoSpaceDN w:val="0"/>
        <w:adjustRightInd w:val="0"/>
        <w:spacing w:after="240"/>
        <w:ind w:left="1134" w:hanging="567"/>
      </w:pPr>
      <w:r>
        <w:t>a)</w:t>
      </w:r>
      <w:r>
        <w:tab/>
        <w:t>La Ley Nº 16/98, de 8 de abril, que reglamenta la estructura y el funcionamiento del Centro de Estudios Judiciales, encargado de la formación de los magistrados y fiscales, así como de los asesores de los tribunales; de la formación jurídica y judicial, y de las actuaciones específicas de abogados, procuradores y agentes de otros sectores profesionales, así como de la propuesta de actividades de estudio e investigación jurídicos y judiciales;</w:t>
      </w:r>
    </w:p>
    <w:p w:rsidR="00000000" w:rsidRDefault="00000000">
      <w:pPr>
        <w:autoSpaceDE w:val="0"/>
        <w:autoSpaceDN w:val="0"/>
        <w:adjustRightInd w:val="0"/>
        <w:spacing w:after="240"/>
        <w:ind w:left="1134" w:hanging="567"/>
      </w:pPr>
      <w:r>
        <w:t>b)</w:t>
      </w:r>
      <w:r>
        <w:tab/>
        <w:t>La Ley Nº 93/99, de 14 de julio, que reglamenta la aplicación de las medidas de protección de los testigos en procedimiento penal, y el Decreto-ley Nº 190/2003, de 22 de agosto, que reglamenta la aplicación de la ley;</w:t>
      </w:r>
    </w:p>
    <w:p w:rsidR="00000000" w:rsidRDefault="00000000">
      <w:pPr>
        <w:autoSpaceDE w:val="0"/>
        <w:autoSpaceDN w:val="0"/>
        <w:adjustRightInd w:val="0"/>
        <w:spacing w:after="240"/>
        <w:ind w:left="1134" w:hanging="567"/>
      </w:pPr>
      <w:r>
        <w:t>c)</w:t>
      </w:r>
      <w:r>
        <w:tab/>
        <w:t>La Orden Nº 183/2003, de 21 de febrero, que versa sobre la creación, en el Ministerio de Justicia, con carácter temporal, de la Comisión de Estudios y Debate de la Reforma del Sistema Penitenciario;</w:t>
      </w:r>
    </w:p>
    <w:p w:rsidR="00000000" w:rsidRDefault="00000000">
      <w:pPr>
        <w:autoSpaceDE w:val="0"/>
        <w:autoSpaceDN w:val="0"/>
        <w:adjustRightInd w:val="0"/>
        <w:spacing w:after="240"/>
        <w:ind w:left="1134" w:hanging="567"/>
      </w:pPr>
      <w:r>
        <w:t>d)</w:t>
      </w:r>
      <w:r>
        <w:tab/>
        <w:t>La Resolución del Consejo de Ministros Nº 37/2002, de 28 de febrero, que toma nota de la adopción, por los agentes de la Guardia Nacional Republicana, (GNR) y de la Policía de Seguridad Pública (PSP), del Código Deontológico del servicio de policía;</w:t>
      </w:r>
    </w:p>
    <w:p w:rsidR="00000000" w:rsidRDefault="00000000">
      <w:pPr>
        <w:autoSpaceDE w:val="0"/>
        <w:autoSpaceDN w:val="0"/>
        <w:adjustRightInd w:val="0"/>
        <w:spacing w:after="240"/>
        <w:ind w:left="1134" w:hanging="567"/>
      </w:pPr>
      <w:r>
        <w:t>e)</w:t>
      </w:r>
      <w:r>
        <w:tab/>
        <w:t>La Orden Nº 472/2001, de 10 de mayo, que determina que los departamentos de investigación criminal de la policía judicial sean los resultantes de la división judicial del país en circunscripciones de primera instancia (</w:t>
      </w:r>
      <w:r>
        <w:rPr>
          <w:i/>
        </w:rPr>
        <w:t>comarcas</w:t>
      </w:r>
      <w:r>
        <w:t>);</w:t>
      </w:r>
    </w:p>
    <w:p w:rsidR="00000000" w:rsidRDefault="00000000">
      <w:pPr>
        <w:autoSpaceDE w:val="0"/>
        <w:autoSpaceDN w:val="0"/>
        <w:adjustRightInd w:val="0"/>
        <w:spacing w:after="240"/>
        <w:ind w:left="1134" w:hanging="567"/>
      </w:pPr>
      <w:r>
        <w:t>f)</w:t>
      </w:r>
      <w:r>
        <w:tab/>
        <w:t>El Decreto-ley Nº 11/98, de 24 de enero, que reorganiza el sistema médico legal;</w:t>
      </w:r>
    </w:p>
    <w:p w:rsidR="00000000" w:rsidRDefault="00000000">
      <w:pPr>
        <w:autoSpaceDE w:val="0"/>
        <w:autoSpaceDN w:val="0"/>
        <w:adjustRightInd w:val="0"/>
        <w:spacing w:after="240"/>
        <w:ind w:left="1134" w:hanging="567"/>
      </w:pPr>
      <w:r>
        <w:t>g)</w:t>
      </w:r>
      <w:r>
        <w:tab/>
        <w:t>El Decreto-ley Nº 96/2001, de 26 de marzo, que aprueba la Ley orgánica del Instituto Nacional de Medicina Legal;</w:t>
      </w:r>
    </w:p>
    <w:p w:rsidR="00000000" w:rsidRDefault="00000000">
      <w:pPr>
        <w:autoSpaceDE w:val="0"/>
        <w:autoSpaceDN w:val="0"/>
        <w:adjustRightInd w:val="0"/>
        <w:spacing w:after="240"/>
        <w:ind w:left="1134" w:hanging="567"/>
      </w:pPr>
      <w:r>
        <w:t>h)</w:t>
      </w:r>
      <w:r>
        <w:tab/>
        <w:t>El Decreto-ley Nº 395/99, de 13 de octubre, que establece el régimen jurídico de los institutos de medicina legal de Lisboa, Oporto y Coimbra;</w:t>
      </w:r>
    </w:p>
    <w:p w:rsidR="00000000" w:rsidRDefault="00000000">
      <w:pPr>
        <w:autoSpaceDE w:val="0"/>
        <w:autoSpaceDN w:val="0"/>
        <w:adjustRightInd w:val="0"/>
        <w:spacing w:after="240"/>
        <w:ind w:left="1134" w:hanging="567"/>
      </w:pPr>
      <w:r>
        <w:t>i)</w:t>
      </w:r>
      <w:r>
        <w:tab/>
        <w:t>El Decreto-ley Nº 274/99, de 22 de julio, que reglamenta la disección de cadáveres y la extracción de especímenes, tejidos y órganos, a efectos de la enseñanza y la investigación científica;</w:t>
      </w:r>
    </w:p>
    <w:p w:rsidR="00000000" w:rsidRDefault="00000000">
      <w:pPr>
        <w:autoSpaceDE w:val="0"/>
        <w:autoSpaceDN w:val="0"/>
        <w:adjustRightInd w:val="0"/>
        <w:spacing w:after="240"/>
        <w:ind w:left="1134" w:hanging="567"/>
      </w:pPr>
      <w:r>
        <w:t>j)</w:t>
      </w:r>
      <w:r>
        <w:tab/>
        <w:t>La Ley de salud mental, Ley Nº 36/98, de 24 de julio;</w:t>
      </w:r>
    </w:p>
    <w:p w:rsidR="00000000" w:rsidRDefault="00000000">
      <w:pPr>
        <w:autoSpaceDE w:val="0"/>
        <w:autoSpaceDN w:val="0"/>
        <w:adjustRightInd w:val="0"/>
        <w:spacing w:after="240"/>
        <w:ind w:left="1134" w:hanging="567"/>
      </w:pPr>
      <w:r>
        <w:t>k)</w:t>
      </w:r>
      <w:r>
        <w:tab/>
        <w:t>La Resolución Nº 46/99 del Consejo de Ministros, de 26 de mayo, por la que se aprueba la Estrategia Nacional de Lucha contra la Droga;</w:t>
      </w:r>
    </w:p>
    <w:p w:rsidR="00000000" w:rsidRDefault="00000000">
      <w:pPr>
        <w:autoSpaceDE w:val="0"/>
        <w:autoSpaceDN w:val="0"/>
        <w:adjustRightInd w:val="0"/>
        <w:spacing w:after="240"/>
        <w:ind w:left="1134" w:hanging="567"/>
      </w:pPr>
      <w:r>
        <w:t>l)</w:t>
      </w:r>
      <w:r>
        <w:tab/>
        <w:t>La Resolución Nº 39/2001 del Consejo de Ministros, de 9 de abril, que establece el Plan Nacional de Acción de Lucha contra la Droga y la Toxicomanía - Horizon 2004;</w:t>
      </w:r>
    </w:p>
    <w:p w:rsidR="00000000" w:rsidRDefault="00000000">
      <w:pPr>
        <w:autoSpaceDE w:val="0"/>
        <w:autoSpaceDN w:val="0"/>
        <w:adjustRightInd w:val="0"/>
        <w:spacing w:after="240"/>
        <w:ind w:left="1134" w:hanging="567"/>
      </w:pPr>
      <w:r>
        <w:t>m)</w:t>
      </w:r>
      <w:r>
        <w:tab/>
        <w:t>La Resolución Nº 16/2000 de la Asamblea de la República, de 2 de diciembre de 1999;</w:t>
      </w:r>
    </w:p>
    <w:p w:rsidR="00000000" w:rsidRDefault="00000000">
      <w:pPr>
        <w:autoSpaceDE w:val="0"/>
        <w:autoSpaceDN w:val="0"/>
        <w:adjustRightInd w:val="0"/>
        <w:spacing w:after="240"/>
        <w:ind w:left="1134" w:hanging="567"/>
      </w:pPr>
      <w:r>
        <w:t>n)</w:t>
      </w:r>
      <w:r>
        <w:tab/>
        <w:t>El Decreto Nº 4/2000 del Presidente de la República, de 6 de marzo,  relativo a la ratificación del Convenio Europeo sobre la indemnización a las víctimas de delitos violentos.</w:t>
      </w:r>
    </w:p>
    <w:p w:rsidR="00000000" w:rsidRDefault="00000000">
      <w:pPr>
        <w:autoSpaceDE w:val="0"/>
        <w:autoSpaceDN w:val="0"/>
        <w:adjustRightInd w:val="0"/>
        <w:spacing w:after="240"/>
        <w:ind w:left="360" w:hanging="360"/>
        <w:jc w:val="center"/>
        <w:rPr>
          <w:b/>
          <w:bCs/>
        </w:rPr>
      </w:pPr>
      <w:r>
        <w:rPr>
          <w:b/>
          <w:bCs/>
        </w:rPr>
        <w:t>D.  No expulsión, entrega o extradición de una persona a otro Estado</w:t>
      </w:r>
      <w:r>
        <w:rPr>
          <w:b/>
          <w:bCs/>
        </w:rPr>
        <w:br/>
        <w:t>en que pueda ser sometida a tortura</w:t>
      </w:r>
    </w:p>
    <w:p w:rsidR="00000000" w:rsidRDefault="00000000">
      <w:pPr>
        <w:autoSpaceDE w:val="0"/>
        <w:autoSpaceDN w:val="0"/>
        <w:adjustRightInd w:val="0"/>
        <w:spacing w:after="240"/>
      </w:pPr>
      <w:r>
        <w:t>19.</w:t>
      </w:r>
      <w:r>
        <w:tab/>
        <w:t>La Ley Nº 144/99, de 31 de agosto, que regula la asistencia judicial internacional del Estado portugués, trata de:  i) la extradición;  ii) la transmisión de procesos penales;  iii) la ejecución de sentencias penales;  iv) el traslado de las personas condenadas a penas y medidas de privación de libertad;  v) la vigilancia de los condenados o personas en libertad bajo fianza; y  vi) la asistencia judicial mutua en materia penal.</w:t>
      </w:r>
    </w:p>
    <w:p w:rsidR="00000000" w:rsidRDefault="00000000">
      <w:pPr>
        <w:autoSpaceDE w:val="0"/>
        <w:autoSpaceDN w:val="0"/>
        <w:adjustRightInd w:val="0"/>
        <w:spacing w:after="240"/>
      </w:pPr>
      <w:r>
        <w:t>20.</w:t>
      </w:r>
      <w:r>
        <w:tab/>
        <w:t>Con arreglo a lo dispuesto en el artículo 4 de esta ley, la cooperación judicial internacional en materia penal se basa en el principio de la reciprocidad.  El Ministerio de Justicia solicita una garantía de reciprocidad cuando las circunstancias lo exigen, y puede dar esta garantía a otros Estados.  La ausencia de cooperación y de asistencia mutua no impide atender a una solicitud de cooperación, siempre que esta última:</w:t>
      </w:r>
    </w:p>
    <w:p w:rsidR="00000000" w:rsidRDefault="00000000">
      <w:pPr>
        <w:autoSpaceDE w:val="0"/>
        <w:autoSpaceDN w:val="0"/>
        <w:adjustRightInd w:val="0"/>
        <w:spacing w:after="240"/>
        <w:ind w:left="1134" w:hanging="567"/>
      </w:pPr>
      <w:r>
        <w:t>a)</w:t>
      </w:r>
      <w:r>
        <w:tab/>
        <w:t>Parezca necesaria por el carácter del hecho o de la necesidad de luchar contra ciertas formas graves de delincuencia;</w:t>
      </w:r>
    </w:p>
    <w:p w:rsidR="00000000" w:rsidRDefault="00000000">
      <w:pPr>
        <w:autoSpaceDE w:val="0"/>
        <w:autoSpaceDN w:val="0"/>
        <w:adjustRightInd w:val="0"/>
        <w:spacing w:after="240"/>
        <w:ind w:left="1134" w:hanging="567"/>
      </w:pPr>
      <w:r>
        <w:t>b)</w:t>
      </w:r>
      <w:r>
        <w:tab/>
        <w:t>Pueda contribuir a mejorar la situación del detenido o su reinserción social;</w:t>
      </w:r>
    </w:p>
    <w:p w:rsidR="00000000" w:rsidRDefault="00000000">
      <w:pPr>
        <w:autoSpaceDE w:val="0"/>
        <w:autoSpaceDN w:val="0"/>
        <w:adjustRightInd w:val="0"/>
        <w:spacing w:after="240"/>
        <w:ind w:left="1134" w:hanging="567"/>
      </w:pPr>
      <w:r>
        <w:t>c)</w:t>
      </w:r>
      <w:r>
        <w:tab/>
        <w:t>Sea útil para descubrir la verdad, por lo que respecta a los hechos imputados a un ciudadano portugués.</w:t>
      </w:r>
    </w:p>
    <w:p w:rsidR="00000000" w:rsidRDefault="00000000">
      <w:pPr>
        <w:autoSpaceDE w:val="0"/>
        <w:autoSpaceDN w:val="0"/>
        <w:adjustRightInd w:val="0"/>
        <w:spacing w:after="240"/>
      </w:pPr>
      <w:r>
        <w:t>21.</w:t>
      </w:r>
      <w:r>
        <w:tab/>
        <w:t>El artículo 6 de la Ley Nº 144/99 impone límites a la cooperación internacional.  Esta asistencia se deniega cuando:</w:t>
      </w:r>
    </w:p>
    <w:p w:rsidR="00000000" w:rsidRDefault="00000000">
      <w:pPr>
        <w:autoSpaceDE w:val="0"/>
        <w:autoSpaceDN w:val="0"/>
        <w:adjustRightInd w:val="0"/>
        <w:spacing w:after="240"/>
        <w:ind w:left="1134" w:hanging="567"/>
      </w:pPr>
      <w:r>
        <w:t>a)</w:t>
      </w:r>
      <w:r>
        <w:tab/>
        <w:t xml:space="preserve">El proceso no se ajusta a las exigencias del </w:t>
      </w:r>
      <w:r>
        <w:rPr>
          <w:bCs/>
        </w:rPr>
        <w:t>Convenio Europeo para la Protección de los Derechos Humanos y Libertades Fundamentales, de 4 de noviembre de 1950, o de otros instrumentos internacionales pertinentes ratificados por Portugal;</w:t>
      </w:r>
    </w:p>
    <w:p w:rsidR="00000000" w:rsidRDefault="00000000">
      <w:pPr>
        <w:autoSpaceDE w:val="0"/>
        <w:autoSpaceDN w:val="0"/>
        <w:adjustRightInd w:val="0"/>
        <w:spacing w:after="240"/>
        <w:ind w:left="1134" w:hanging="567"/>
      </w:pPr>
      <w:r>
        <w:t>b)</w:t>
      </w:r>
      <w:r>
        <w:tab/>
        <w:t>Existen motivos razonables para creer que el auxilio se solicita con el objeto de perseguir o castigar a una persona por motivos de raza, religión, sexo, nacionalidad, idioma, convicciones políticas o ideológicas o pertenencia a un grupo social determinado;</w:t>
      </w:r>
    </w:p>
    <w:p w:rsidR="00000000" w:rsidRDefault="00000000">
      <w:pPr>
        <w:autoSpaceDE w:val="0"/>
        <w:autoSpaceDN w:val="0"/>
        <w:adjustRightInd w:val="0"/>
        <w:spacing w:after="240"/>
        <w:ind w:left="1134" w:hanging="567"/>
      </w:pPr>
      <w:r>
        <w:t>c)</w:t>
      </w:r>
      <w:r>
        <w:tab/>
        <w:t>Existe un riesgo serio de agravar la situación procesal de una persona por alguno de los motivos indicados más arriba;</w:t>
      </w:r>
    </w:p>
    <w:p w:rsidR="00000000" w:rsidRDefault="00000000">
      <w:pPr>
        <w:autoSpaceDE w:val="0"/>
        <w:autoSpaceDN w:val="0"/>
        <w:adjustRightInd w:val="0"/>
        <w:spacing w:after="240"/>
        <w:ind w:left="1134" w:hanging="567"/>
      </w:pPr>
      <w:r>
        <w:t>d)</w:t>
      </w:r>
      <w:r>
        <w:tab/>
        <w:t>El auxilio puede facilitar un fallo de un tribunal de excepción o la ejecución de un fallo dictado por un tribunal de este tipo;</w:t>
      </w:r>
    </w:p>
    <w:p w:rsidR="00000000" w:rsidRDefault="00000000">
      <w:pPr>
        <w:autoSpaceDE w:val="0"/>
        <w:autoSpaceDN w:val="0"/>
        <w:adjustRightInd w:val="0"/>
        <w:spacing w:after="240"/>
        <w:ind w:left="1134" w:hanging="567"/>
      </w:pPr>
      <w:r>
        <w:t>e)</w:t>
      </w:r>
      <w:r>
        <w:tab/>
        <w:t>El hecho al que se refiere está castigado con pena de muerte o con otras penas de las que pueda resultar un daño  irreversible a la integridad de la persona;</w:t>
      </w:r>
    </w:p>
    <w:p w:rsidR="00000000" w:rsidRDefault="00000000">
      <w:pPr>
        <w:autoSpaceDE w:val="0"/>
        <w:autoSpaceDN w:val="0"/>
        <w:adjustRightInd w:val="0"/>
        <w:spacing w:after="240"/>
        <w:ind w:left="1134" w:hanging="567"/>
      </w:pPr>
      <w:r>
        <w:t>f)</w:t>
      </w:r>
      <w:r>
        <w:tab/>
        <w:t>Se refiere a una infracción castigada con una pena de reclusión perpetua o de duración indefinida.</w:t>
      </w:r>
    </w:p>
    <w:p w:rsidR="00000000" w:rsidRDefault="00000000">
      <w:pPr>
        <w:autoSpaceDE w:val="0"/>
        <w:autoSpaceDN w:val="0"/>
        <w:adjustRightInd w:val="0"/>
        <w:spacing w:after="240"/>
      </w:pPr>
      <w:r>
        <w:t>22.</w:t>
      </w:r>
      <w:r>
        <w:tab/>
        <w:t xml:space="preserve">Con arreglo a lo dispuesto en el párrafo 2 del artículo 6, las disposiciones de los incisos </w:t>
      </w:r>
      <w:r>
        <w:rPr>
          <w:iCs/>
        </w:rPr>
        <w:t>e)</w:t>
      </w:r>
      <w:r>
        <w:t xml:space="preserve"> y </w:t>
      </w:r>
      <w:r>
        <w:rPr>
          <w:iCs/>
        </w:rPr>
        <w:t>f)</w:t>
      </w:r>
      <w:r>
        <w:t xml:space="preserve"> de párrafo anterior no se oponen al auxilio:</w:t>
      </w:r>
    </w:p>
    <w:p w:rsidR="00000000" w:rsidRDefault="00000000">
      <w:pPr>
        <w:autoSpaceDE w:val="0"/>
        <w:autoSpaceDN w:val="0"/>
        <w:adjustRightInd w:val="0"/>
        <w:spacing w:after="240"/>
        <w:ind w:left="1134" w:hanging="567"/>
      </w:pPr>
      <w:r>
        <w:t>a)</w:t>
      </w:r>
      <w:r>
        <w:tab/>
        <w:t>Si el Estado que formula la demanda conmuta la pena, por acto irrevocable y que compromete a los tribunales u otros organismos responsables de la ejecución de las penas; si anteriormente ha conmutado la pena de muerte u otra pena de que pueda resultar una lesión irreversible contra la integridad de la persona o ha retirado el carácter perpetuo o de duración indefinida de la pena;</w:t>
      </w:r>
    </w:p>
    <w:p w:rsidR="00000000" w:rsidRDefault="00000000">
      <w:pPr>
        <w:autoSpaceDE w:val="0"/>
        <w:autoSpaceDN w:val="0"/>
        <w:adjustRightInd w:val="0"/>
        <w:spacing w:after="240"/>
        <w:ind w:left="1134" w:hanging="567"/>
      </w:pPr>
      <w:r>
        <w:t>b)</w:t>
      </w:r>
      <w:r>
        <w:tab/>
        <w:t>Si, en el caso de extradición por delitos a los que, con arreglo a lo dispuesto en el derecho del Estado solicitante, se aplica una pena o una medida de privación o restricción de la libertad de carácter perpetuo, o de duración indefinida, el Estado solicitante ofrece garantías de que no se aplicará o ejecutará esta pena o medida;</w:t>
      </w:r>
    </w:p>
    <w:p w:rsidR="00000000" w:rsidRDefault="00000000">
      <w:pPr>
        <w:autoSpaceDE w:val="0"/>
        <w:autoSpaceDN w:val="0"/>
        <w:adjustRightInd w:val="0"/>
        <w:spacing w:after="240"/>
        <w:ind w:left="1134" w:hanging="567"/>
      </w:pPr>
      <w:r>
        <w:t>c)</w:t>
      </w:r>
      <w:r>
        <w:tab/>
        <w:t>Si el Estado que formula la demanda acepta que un tribunal de Portugal convierta estas penas o estas medidas, con arreglo a las disposiciones de la legislación portuguesa aplicable al delito que ha motivado la condena;</w:t>
      </w:r>
    </w:p>
    <w:p w:rsidR="00000000" w:rsidRDefault="00000000">
      <w:pPr>
        <w:autoSpaceDE w:val="0"/>
        <w:autoSpaceDN w:val="0"/>
        <w:adjustRightInd w:val="0"/>
        <w:spacing w:after="240"/>
        <w:ind w:left="1701" w:hanging="567"/>
      </w:pPr>
      <w:r>
        <w:t>o también</w:t>
      </w:r>
    </w:p>
    <w:p w:rsidR="00000000" w:rsidRDefault="00000000">
      <w:pPr>
        <w:autoSpaceDE w:val="0"/>
        <w:autoSpaceDN w:val="0"/>
        <w:adjustRightInd w:val="0"/>
        <w:spacing w:after="240"/>
        <w:ind w:left="1134" w:hanging="567"/>
      </w:pPr>
      <w:r>
        <w:t>d)</w:t>
      </w:r>
      <w:r>
        <w:tab/>
        <w:t>Si, en caso de que la solicitud se refiera a la asistencia mutua prevista en el inciso</w:t>
      </w:r>
      <w:r>
        <w:rPr>
          <w:iCs/>
        </w:rPr>
        <w:t xml:space="preserve"> f)</w:t>
      </w:r>
      <w:r>
        <w:t xml:space="preserve"> del párrafo 1 del artículo 6, ésta se solicita sobre la base de la pertinencia del acto para la presunta no aplicación de estas penas o medidas.</w:t>
      </w:r>
    </w:p>
    <w:p w:rsidR="00000000" w:rsidRDefault="00000000">
      <w:pPr>
        <w:autoSpaceDE w:val="0"/>
        <w:autoSpaceDN w:val="0"/>
        <w:adjustRightInd w:val="0"/>
        <w:spacing w:after="240"/>
      </w:pPr>
      <w:r>
        <w:t>23.</w:t>
      </w:r>
      <w:r>
        <w:tab/>
        <w:t>En caso de denegación de la solicitud de extradición, en virtud de lo dispuesto en los incisos</w:t>
      </w:r>
      <w:r>
        <w:rPr>
          <w:iCs/>
        </w:rPr>
        <w:t xml:space="preserve"> d), e) </w:t>
      </w:r>
      <w:r>
        <w:t>y</w:t>
      </w:r>
      <w:r>
        <w:rPr>
          <w:iCs/>
        </w:rPr>
        <w:t xml:space="preserve"> f)</w:t>
      </w:r>
      <w:r>
        <w:t xml:space="preserve"> del párrafo 1, se aplica el mecanismo de auxilio previsto en el párrafo 5 del artículo 32, a saber, que cuando se deniega la extradición sobre la base de lo dispuesto en los incisos </w:t>
      </w:r>
      <w:r>
        <w:rPr>
          <w:iCs/>
        </w:rPr>
        <w:t xml:space="preserve">d), e) </w:t>
      </w:r>
      <w:r>
        <w:t>y</w:t>
      </w:r>
      <w:r>
        <w:rPr>
          <w:iCs/>
        </w:rPr>
        <w:t xml:space="preserve"> f)</w:t>
      </w:r>
      <w:r>
        <w:t xml:space="preserve"> del párrafo 1 del artículo 6, se inicia un procedimiento penal para los hechos a que se refiere la solicitud y se piden los elementos necesarios al Estado solicitante.  El juez puede aplicar las medidas cautelares que considere adecuadas.</w:t>
      </w:r>
    </w:p>
    <w:p w:rsidR="00000000" w:rsidRDefault="00000000">
      <w:pPr>
        <w:autoSpaceDE w:val="0"/>
        <w:autoSpaceDN w:val="0"/>
        <w:adjustRightInd w:val="0"/>
        <w:spacing w:after="240"/>
      </w:pPr>
      <w:r>
        <w:t>24.</w:t>
      </w:r>
      <w:r>
        <w:tab/>
        <w:t xml:space="preserve">El Mediador planteó como pregunta abstracta, ante el Tribunal Constitucional, la cuestión de la constitucionalidad de esta nueva ley.  Sin embargo este último, en su Decisión Nº 1/2001, adoptada en el proceso 742/99 (publicado en el </w:t>
      </w:r>
      <w:r>
        <w:rPr>
          <w:i/>
        </w:rPr>
        <w:t>Diário da República</w:t>
      </w:r>
      <w:r>
        <w:t>, II</w:t>
      </w:r>
      <w:r>
        <w:rPr>
          <w:vertAlign w:val="superscript"/>
        </w:rPr>
        <w:t>a</w:t>
      </w:r>
      <w:r>
        <w:t xml:space="preserve"> serie, del 8 de febrero de 2001), decidió que la ley no era inconstitucional.</w:t>
      </w:r>
    </w:p>
    <w:p w:rsidR="00000000" w:rsidRDefault="00000000">
      <w:pPr>
        <w:autoSpaceDE w:val="0"/>
        <w:autoSpaceDN w:val="0"/>
        <w:adjustRightInd w:val="0"/>
        <w:spacing w:after="240"/>
      </w:pPr>
      <w:r>
        <w:t>25.</w:t>
      </w:r>
      <w:r>
        <w:tab/>
        <w:t>Últimamente, la Ley Nº 65/2003, de 23 de agosto, sobre la aprobación del régimen jurídico del mandamiento de detención europeo (en aplicación de la Decisión marco Nº 2002/584/JAI, justicia y asuntos internos, del Consejo, de 13 de junio) ha modificado ligeramente el régimen de la Ley Nº 144/99.</w:t>
      </w:r>
    </w:p>
    <w:p w:rsidR="00000000" w:rsidRDefault="00000000">
      <w:pPr>
        <w:autoSpaceDE w:val="0"/>
        <w:autoSpaceDN w:val="0"/>
        <w:adjustRightInd w:val="0"/>
        <w:spacing w:after="240"/>
      </w:pPr>
      <w:r>
        <w:t>26.</w:t>
      </w:r>
      <w:r>
        <w:tab/>
        <w:t>Para los Estados miembros de la Unión Europea, hoy en día basta con que un juez dicte una orden de detención para que ésta se ejecute en Portugal, sin que deba verificarse, entre otras cosas, el principio de la doble inculpación (que, para que la extradición pueda tener lugar, exige que cuando una persona está perseguida por un hecho por autoridades extranjeras, también debe serlo por las autoridades nacionales con arreglo a la legislación de Portugal, si ésta debiera aplicarse), por los hechos siguientes:</w:t>
      </w:r>
    </w:p>
    <w:p w:rsidR="00000000" w:rsidRDefault="00000000">
      <w:pPr>
        <w:autoSpaceDE w:val="0"/>
        <w:autoSpaceDN w:val="0"/>
        <w:adjustRightInd w:val="0"/>
        <w:spacing w:after="240"/>
        <w:ind w:left="1134" w:hanging="567"/>
      </w:pPr>
      <w:r>
        <w:t>a)</w:t>
      </w:r>
      <w:r>
        <w:tab/>
        <w:t>Participación en una organización criminal;</w:t>
      </w:r>
    </w:p>
    <w:p w:rsidR="00000000" w:rsidRDefault="00000000">
      <w:pPr>
        <w:autoSpaceDE w:val="0"/>
        <w:autoSpaceDN w:val="0"/>
        <w:adjustRightInd w:val="0"/>
        <w:spacing w:after="240"/>
        <w:ind w:left="1134" w:hanging="567"/>
      </w:pPr>
      <w:r>
        <w:t>b)</w:t>
      </w:r>
      <w:r>
        <w:tab/>
        <w:t>Terrorismo;</w:t>
      </w:r>
    </w:p>
    <w:p w:rsidR="00000000" w:rsidRDefault="00000000">
      <w:pPr>
        <w:autoSpaceDE w:val="0"/>
        <w:autoSpaceDN w:val="0"/>
        <w:adjustRightInd w:val="0"/>
        <w:spacing w:after="240"/>
        <w:ind w:left="1134" w:hanging="567"/>
      </w:pPr>
      <w:r>
        <w:t>c)</w:t>
      </w:r>
      <w:r>
        <w:tab/>
        <w:t>Trata de seres humanos;</w:t>
      </w:r>
    </w:p>
    <w:p w:rsidR="00000000" w:rsidRDefault="00000000">
      <w:pPr>
        <w:autoSpaceDE w:val="0"/>
        <w:autoSpaceDN w:val="0"/>
        <w:adjustRightInd w:val="0"/>
        <w:spacing w:after="240"/>
        <w:ind w:left="1134" w:hanging="567"/>
      </w:pPr>
      <w:r>
        <w:t>d)</w:t>
      </w:r>
      <w:r>
        <w:tab/>
        <w:t>Explotación sexual de niños y pornografía infantil;</w:t>
      </w:r>
    </w:p>
    <w:p w:rsidR="00000000" w:rsidRDefault="00000000">
      <w:pPr>
        <w:autoSpaceDE w:val="0"/>
        <w:autoSpaceDN w:val="0"/>
        <w:adjustRightInd w:val="0"/>
        <w:spacing w:after="240"/>
        <w:ind w:left="1134" w:hanging="567"/>
      </w:pPr>
      <w:r>
        <w:t>e)</w:t>
      </w:r>
      <w:r>
        <w:tab/>
        <w:t>Tráfico ilícito de estupefacientes y sustancias psicotrópicas;</w:t>
      </w:r>
    </w:p>
    <w:p w:rsidR="00000000" w:rsidRDefault="00000000">
      <w:pPr>
        <w:autoSpaceDE w:val="0"/>
        <w:autoSpaceDN w:val="0"/>
        <w:adjustRightInd w:val="0"/>
        <w:spacing w:after="240"/>
        <w:ind w:left="1134" w:hanging="567"/>
      </w:pPr>
      <w:r>
        <w:t>f)</w:t>
      </w:r>
      <w:r>
        <w:tab/>
        <w:t>Tráfico ilícito de armas, municiones y explosivos;</w:t>
      </w:r>
    </w:p>
    <w:p w:rsidR="00000000" w:rsidRDefault="00000000">
      <w:pPr>
        <w:autoSpaceDE w:val="0"/>
        <w:autoSpaceDN w:val="0"/>
        <w:adjustRightInd w:val="0"/>
        <w:spacing w:after="240"/>
        <w:ind w:left="1134" w:hanging="567"/>
      </w:pPr>
      <w:r>
        <w:t>g)</w:t>
      </w:r>
      <w:r>
        <w:tab/>
        <w:t>Corrupción;</w:t>
      </w:r>
    </w:p>
    <w:p w:rsidR="00000000" w:rsidRDefault="00000000">
      <w:pPr>
        <w:autoSpaceDE w:val="0"/>
        <w:autoSpaceDN w:val="0"/>
        <w:adjustRightInd w:val="0"/>
        <w:spacing w:after="240"/>
        <w:ind w:left="1134" w:hanging="567"/>
      </w:pPr>
      <w:r>
        <w:t>h)</w:t>
      </w:r>
      <w:r>
        <w:tab/>
        <w:t>Fraude, incluido el fraude que lesiona los intereses financieros de las comunidades europeas, en el sentido del Convenio de 26 de julio de 1995, relativo a la protección de los intereses financieros de las comunidades y lucha contra el fraude;</w:t>
      </w:r>
    </w:p>
    <w:p w:rsidR="00000000" w:rsidRDefault="00000000">
      <w:pPr>
        <w:autoSpaceDE w:val="0"/>
        <w:autoSpaceDN w:val="0"/>
        <w:adjustRightInd w:val="0"/>
        <w:spacing w:after="240"/>
        <w:ind w:left="1134" w:hanging="567"/>
      </w:pPr>
      <w:r>
        <w:t>i)</w:t>
      </w:r>
      <w:r>
        <w:tab/>
        <w:t>Blanqueo del producto del delito;</w:t>
      </w:r>
    </w:p>
    <w:p w:rsidR="00000000" w:rsidRDefault="00000000">
      <w:pPr>
        <w:autoSpaceDE w:val="0"/>
        <w:autoSpaceDN w:val="0"/>
        <w:adjustRightInd w:val="0"/>
        <w:spacing w:after="240"/>
        <w:ind w:left="1134" w:hanging="567"/>
      </w:pPr>
      <w:r>
        <w:t>j)</w:t>
      </w:r>
      <w:r>
        <w:tab/>
        <w:t>Falsificación de moneda, incluido el euro;</w:t>
      </w:r>
    </w:p>
    <w:p w:rsidR="00000000" w:rsidRDefault="00000000">
      <w:pPr>
        <w:autoSpaceDE w:val="0"/>
        <w:autoSpaceDN w:val="0"/>
        <w:adjustRightInd w:val="0"/>
        <w:spacing w:after="240"/>
        <w:ind w:left="1134" w:hanging="567"/>
      </w:pPr>
      <w:r>
        <w:t>k)</w:t>
      </w:r>
      <w:r>
        <w:tab/>
        <w:t>Delitos cibernéticos;</w:t>
      </w:r>
    </w:p>
    <w:p w:rsidR="00000000" w:rsidRDefault="00000000">
      <w:pPr>
        <w:autoSpaceDE w:val="0"/>
        <w:autoSpaceDN w:val="0"/>
        <w:adjustRightInd w:val="0"/>
        <w:spacing w:after="240"/>
        <w:ind w:left="1134" w:hanging="567"/>
      </w:pPr>
      <w:r>
        <w:t>l)</w:t>
      </w:r>
      <w:r>
        <w:tab/>
        <w:t>Delitos contra el medio ambiente, incluido el comercio ilícito de especies de fauna y flora en peligro de extinción;</w:t>
      </w:r>
    </w:p>
    <w:p w:rsidR="00000000" w:rsidRDefault="00000000">
      <w:pPr>
        <w:autoSpaceDE w:val="0"/>
        <w:autoSpaceDN w:val="0"/>
        <w:adjustRightInd w:val="0"/>
        <w:spacing w:after="240"/>
        <w:ind w:left="1134" w:hanging="567"/>
      </w:pPr>
      <w:r>
        <w:t>m)</w:t>
      </w:r>
      <w:r>
        <w:tab/>
        <w:t>Ayuda a la entrada y permanencia de personas en el país en situación irregular;</w:t>
      </w:r>
    </w:p>
    <w:p w:rsidR="00000000" w:rsidRDefault="00000000">
      <w:pPr>
        <w:autoSpaceDE w:val="0"/>
        <w:autoSpaceDN w:val="0"/>
        <w:adjustRightInd w:val="0"/>
        <w:spacing w:after="240"/>
        <w:ind w:left="1134" w:hanging="567"/>
      </w:pPr>
      <w:r>
        <w:t>n)</w:t>
      </w:r>
      <w:r>
        <w:tab/>
        <w:t>Homicidio voluntario y daños graves a la integridad física;</w:t>
      </w:r>
    </w:p>
    <w:p w:rsidR="00000000" w:rsidRDefault="00000000">
      <w:pPr>
        <w:autoSpaceDE w:val="0"/>
        <w:autoSpaceDN w:val="0"/>
        <w:adjustRightInd w:val="0"/>
        <w:spacing w:after="240"/>
        <w:ind w:left="1134" w:hanging="567"/>
      </w:pPr>
      <w:r>
        <w:t>o)</w:t>
      </w:r>
      <w:r>
        <w:tab/>
        <w:t>Tráfico ilícito de órganos y tejidos humanos;</w:t>
      </w:r>
    </w:p>
    <w:p w:rsidR="00000000" w:rsidRDefault="00000000">
      <w:pPr>
        <w:autoSpaceDE w:val="0"/>
        <w:autoSpaceDN w:val="0"/>
        <w:adjustRightInd w:val="0"/>
        <w:spacing w:after="240"/>
        <w:ind w:left="1134" w:hanging="567"/>
      </w:pPr>
      <w:r>
        <w:t>p)</w:t>
      </w:r>
      <w:r>
        <w:tab/>
        <w:t>Rapto, secuestro y toma de rehenes;</w:t>
      </w:r>
    </w:p>
    <w:p w:rsidR="00000000" w:rsidRDefault="00000000">
      <w:pPr>
        <w:autoSpaceDE w:val="0"/>
        <w:autoSpaceDN w:val="0"/>
        <w:adjustRightInd w:val="0"/>
        <w:spacing w:after="240"/>
        <w:ind w:left="1134" w:hanging="567"/>
      </w:pPr>
      <w:r>
        <w:t>q)</w:t>
      </w:r>
      <w:r>
        <w:tab/>
        <w:t>Racismo y xenofobia;</w:t>
      </w:r>
    </w:p>
    <w:p w:rsidR="00000000" w:rsidRDefault="00000000">
      <w:pPr>
        <w:autoSpaceDE w:val="0"/>
        <w:autoSpaceDN w:val="0"/>
        <w:adjustRightInd w:val="0"/>
        <w:spacing w:after="240"/>
        <w:ind w:left="1134" w:hanging="567"/>
      </w:pPr>
      <w:r>
        <w:t>r)</w:t>
      </w:r>
      <w:r>
        <w:tab/>
        <w:t>Robo organizado o a mano armada;</w:t>
      </w:r>
    </w:p>
    <w:p w:rsidR="00000000" w:rsidRDefault="00000000">
      <w:pPr>
        <w:autoSpaceDE w:val="0"/>
        <w:autoSpaceDN w:val="0"/>
        <w:adjustRightInd w:val="0"/>
        <w:spacing w:after="240"/>
        <w:ind w:left="1134" w:hanging="567"/>
      </w:pPr>
      <w:r>
        <w:t>s)</w:t>
      </w:r>
      <w:r>
        <w:tab/>
        <w:t>Tráfico de bienes culturales, incluidas las antigüedades y obras de arte;</w:t>
      </w:r>
    </w:p>
    <w:p w:rsidR="00000000" w:rsidRDefault="00000000">
      <w:pPr>
        <w:autoSpaceDE w:val="0"/>
        <w:autoSpaceDN w:val="0"/>
        <w:adjustRightInd w:val="0"/>
        <w:spacing w:after="240"/>
        <w:ind w:left="1134" w:hanging="567"/>
      </w:pPr>
      <w:r>
        <w:t>t)</w:t>
      </w:r>
      <w:r>
        <w:tab/>
        <w:t>Estafa;</w:t>
      </w:r>
    </w:p>
    <w:p w:rsidR="00000000" w:rsidRDefault="00000000">
      <w:pPr>
        <w:autoSpaceDE w:val="0"/>
        <w:autoSpaceDN w:val="0"/>
        <w:adjustRightInd w:val="0"/>
        <w:spacing w:after="240"/>
        <w:ind w:left="1134" w:hanging="567"/>
      </w:pPr>
      <w:r>
        <w:t>u)</w:t>
      </w:r>
      <w:r>
        <w:tab/>
        <w:t>Extorsión a cambio de protección y extorsión simple;</w:t>
      </w:r>
    </w:p>
    <w:p w:rsidR="00000000" w:rsidRDefault="00000000">
      <w:pPr>
        <w:autoSpaceDE w:val="0"/>
        <w:autoSpaceDN w:val="0"/>
        <w:adjustRightInd w:val="0"/>
        <w:spacing w:after="240"/>
        <w:ind w:left="1134" w:hanging="567"/>
      </w:pPr>
      <w:r>
        <w:t>v)</w:t>
      </w:r>
      <w:r>
        <w:tab/>
        <w:t>Fabricación de imitaciones y piratería de productos;</w:t>
      </w:r>
    </w:p>
    <w:p w:rsidR="00000000" w:rsidRDefault="00000000">
      <w:pPr>
        <w:autoSpaceDE w:val="0"/>
        <w:autoSpaceDN w:val="0"/>
        <w:adjustRightInd w:val="0"/>
        <w:spacing w:after="240"/>
        <w:ind w:left="1134" w:hanging="567"/>
      </w:pPr>
      <w:r>
        <w:t>w)</w:t>
      </w:r>
      <w:r>
        <w:tab/>
        <w:t>Falsificación y tráfico de documentos administrativos;</w:t>
      </w:r>
    </w:p>
    <w:p w:rsidR="00000000" w:rsidRDefault="00000000">
      <w:pPr>
        <w:autoSpaceDE w:val="0"/>
        <w:autoSpaceDN w:val="0"/>
        <w:adjustRightInd w:val="0"/>
        <w:spacing w:after="240"/>
        <w:ind w:left="1134" w:hanging="567"/>
      </w:pPr>
      <w:r>
        <w:t>x)</w:t>
      </w:r>
      <w:r>
        <w:tab/>
        <w:t>Falsificación de medios de pago;</w:t>
      </w:r>
    </w:p>
    <w:p w:rsidR="00000000" w:rsidRDefault="00000000">
      <w:pPr>
        <w:autoSpaceDE w:val="0"/>
        <w:autoSpaceDN w:val="0"/>
        <w:adjustRightInd w:val="0"/>
        <w:spacing w:after="240"/>
        <w:ind w:left="1134" w:hanging="567"/>
      </w:pPr>
      <w:r>
        <w:t>y)</w:t>
      </w:r>
      <w:r>
        <w:tab/>
        <w:t>Tráfico ilícito de sustancias hormonales y de otros factores de crecimiento;</w:t>
      </w:r>
    </w:p>
    <w:p w:rsidR="00000000" w:rsidRDefault="00000000">
      <w:pPr>
        <w:autoSpaceDE w:val="0"/>
        <w:autoSpaceDN w:val="0"/>
        <w:adjustRightInd w:val="0"/>
        <w:spacing w:after="240"/>
        <w:ind w:left="1134" w:hanging="567"/>
      </w:pPr>
      <w:r>
        <w:t>z)</w:t>
      </w:r>
      <w:r>
        <w:tab/>
        <w:t>Tráfico ilícito de material nuclear y radiactivo;</w:t>
      </w:r>
    </w:p>
    <w:p w:rsidR="00000000" w:rsidRDefault="00000000">
      <w:pPr>
        <w:autoSpaceDE w:val="0"/>
        <w:autoSpaceDN w:val="0"/>
        <w:adjustRightInd w:val="0"/>
        <w:spacing w:after="240"/>
        <w:ind w:left="1134" w:hanging="567"/>
      </w:pPr>
      <w:r>
        <w:t>aa)</w:t>
      </w:r>
      <w:r>
        <w:tab/>
        <w:t>Tráfico de vehículos robados;</w:t>
      </w:r>
    </w:p>
    <w:p w:rsidR="00000000" w:rsidRDefault="00000000">
      <w:pPr>
        <w:autoSpaceDE w:val="0"/>
        <w:autoSpaceDN w:val="0"/>
        <w:adjustRightInd w:val="0"/>
        <w:spacing w:after="240"/>
        <w:ind w:left="1134" w:hanging="567"/>
      </w:pPr>
      <w:r>
        <w:t>bb)</w:t>
      </w:r>
      <w:r>
        <w:tab/>
        <w:t>Violación;</w:t>
      </w:r>
    </w:p>
    <w:p w:rsidR="00000000" w:rsidRDefault="00000000">
      <w:pPr>
        <w:autoSpaceDE w:val="0"/>
        <w:autoSpaceDN w:val="0"/>
        <w:adjustRightInd w:val="0"/>
        <w:spacing w:after="240"/>
        <w:ind w:left="1134" w:hanging="567"/>
      </w:pPr>
      <w:r>
        <w:t>cc)</w:t>
      </w:r>
      <w:r>
        <w:tab/>
        <w:t>Incendio criminal;</w:t>
      </w:r>
    </w:p>
    <w:p w:rsidR="00000000" w:rsidRDefault="00000000">
      <w:pPr>
        <w:autoSpaceDE w:val="0"/>
        <w:autoSpaceDN w:val="0"/>
        <w:adjustRightInd w:val="0"/>
        <w:spacing w:after="240"/>
        <w:ind w:left="1134" w:hanging="567"/>
      </w:pPr>
      <w:r>
        <w:t>dd)</w:t>
      </w:r>
      <w:r>
        <w:tab/>
        <w:t>Delitos comprendidos en la jurisdicción de la Corte Penal Internacional;</w:t>
      </w:r>
    </w:p>
    <w:p w:rsidR="00000000" w:rsidRDefault="00000000">
      <w:pPr>
        <w:autoSpaceDE w:val="0"/>
        <w:autoSpaceDN w:val="0"/>
        <w:adjustRightInd w:val="0"/>
        <w:spacing w:after="240"/>
        <w:ind w:left="1134" w:hanging="567"/>
      </w:pPr>
      <w:r>
        <w:t>ee)</w:t>
      </w:r>
      <w:r>
        <w:tab/>
        <w:t>Desvío de avión o de nave;</w:t>
      </w:r>
    </w:p>
    <w:p w:rsidR="00000000" w:rsidRDefault="00000000">
      <w:pPr>
        <w:autoSpaceDE w:val="0"/>
        <w:autoSpaceDN w:val="0"/>
        <w:adjustRightInd w:val="0"/>
        <w:spacing w:after="240"/>
        <w:ind w:left="1134" w:hanging="567"/>
      </w:pPr>
      <w:r>
        <w:t>ff)</w:t>
      </w:r>
      <w:r>
        <w:tab/>
        <w:t>Sabotaje.</w:t>
      </w:r>
    </w:p>
    <w:p w:rsidR="00000000" w:rsidRDefault="00000000">
      <w:pPr>
        <w:autoSpaceDE w:val="0"/>
        <w:autoSpaceDN w:val="0"/>
        <w:adjustRightInd w:val="0"/>
        <w:spacing w:after="240"/>
      </w:pPr>
      <w:r>
        <w:t>27.</w:t>
      </w:r>
      <w:r>
        <w:tab/>
        <w:t>Cabe añadir que la Ley Nº 65/2003, de 23 de agosto, mencionada en el párrafo 25, mantiene las garantías propias del ordenamiento jurídico de Portugal, en su artículo 13.  De este modo, la orden de detención europea únicamente se ejecuta si el Estado miembro que la emite proporciona una de las siguientes garantías:</w:t>
      </w:r>
    </w:p>
    <w:p w:rsidR="00000000" w:rsidRDefault="00000000">
      <w:pPr>
        <w:autoSpaceDE w:val="0"/>
        <w:autoSpaceDN w:val="0"/>
        <w:adjustRightInd w:val="0"/>
        <w:spacing w:after="240"/>
        <w:ind w:left="1134" w:hanging="567"/>
      </w:pPr>
      <w:r>
        <w:t>a)</w:t>
      </w:r>
      <w:r>
        <w:tab/>
        <w:t>Cuando la orden de detención europea se dicta con objeto de ejecutar una pena o una medida de seguridad impuesta por una decisión adoptada en ausencia del acusado, y cuando el encausado no ha sido informado por notificación, o de cualquier otro modo, de la fecha y lugar de la audiencia que ha determinado la decisión adoptada en ausencia, la decisión de entrega se adopta únicamente si la autoridad judicial que dictó la orden da garantías suficientes de que existe la posibilidad de interponer un recurso o solicitar una nueva decisión en el Estado miembro en que se dictó la orden, así como de estar presente en el juicio;</w:t>
      </w:r>
    </w:p>
    <w:p w:rsidR="00000000" w:rsidRDefault="00000000">
      <w:pPr>
        <w:autoSpaceDE w:val="0"/>
        <w:autoSpaceDN w:val="0"/>
        <w:adjustRightInd w:val="0"/>
        <w:spacing w:after="240"/>
        <w:ind w:left="1134" w:hanging="567"/>
      </w:pPr>
      <w:r>
        <w:t>b)</w:t>
      </w:r>
      <w:r>
        <w:tab/>
        <w:t>Cuando la infracción que motiva la emisión de la orden de detención europea está castigada con una pena o cualquier otra medida de privación de libertad de carácter perpetuo, la decisión de entrega se adopta únicamente si el ordenamiento jurídico del Estado miembro en que se dictó la orden prevé la revisión de la pena aplicada, a petición del acusado, o a más tardar en un plazo de 20 años, o la aplicación de las medidas de clemencia a que tiene derecho la persona buscada, con arreglo a lo dispuesto en el ordenamiento jurídico del Estado miembro en que se dictó la orden o en su práctica judicial, con miras a no ejecutar esa pena o medida;</w:t>
      </w:r>
    </w:p>
    <w:p w:rsidR="00000000" w:rsidRDefault="00000000">
      <w:pPr>
        <w:autoSpaceDE w:val="0"/>
        <w:autoSpaceDN w:val="0"/>
        <w:adjustRightInd w:val="0"/>
        <w:spacing w:after="480"/>
        <w:ind w:left="1134" w:hanging="567"/>
      </w:pPr>
      <w:r>
        <w:t>c)</w:t>
      </w:r>
      <w:r>
        <w:tab/>
        <w:t>Cuando la persona buscada a los efectos del procedimiento penal tiene la nacionalidad del Estado miembro en que ha de ejecutarse la pena, o reside en dicho Estado, la decisión de entrega puede estar supeditada a la condición de que la persona buscada se entregue al Estado miembro en que ha de ejecutarse la pena, tras haber sido oída, para que se ejecute la pena o la medida de privación de libertad a la que se condenó a la persona en el Estado miembro que dictó la orden.</w:t>
      </w:r>
    </w:p>
    <w:p w:rsidR="00000000" w:rsidRDefault="00000000">
      <w:pPr>
        <w:autoSpaceDE w:val="0"/>
        <w:autoSpaceDN w:val="0"/>
        <w:adjustRightInd w:val="0"/>
        <w:spacing w:after="240"/>
        <w:ind w:left="480" w:hanging="480"/>
        <w:jc w:val="center"/>
        <w:rPr>
          <w:b/>
          <w:bCs/>
        </w:rPr>
      </w:pPr>
      <w:r>
        <w:rPr>
          <w:b/>
          <w:bCs/>
        </w:rPr>
        <w:t>II.  LEGISLACIÓN PENAL RELATIVA AL CASTIGO</w:t>
      </w:r>
      <w:r>
        <w:rPr>
          <w:b/>
          <w:bCs/>
        </w:rPr>
        <w:br/>
        <w:t>DE LOS ACTOS DE TORTURA</w:t>
      </w:r>
    </w:p>
    <w:p w:rsidR="00000000" w:rsidRDefault="00000000">
      <w:pPr>
        <w:autoSpaceDE w:val="0"/>
        <w:autoSpaceDN w:val="0"/>
        <w:adjustRightInd w:val="0"/>
        <w:spacing w:after="240"/>
      </w:pPr>
      <w:r>
        <w:t>28.</w:t>
      </w:r>
      <w:r>
        <w:tab/>
        <w:t>Si en este capítulo seguimos el orden de los artículos de la Convención, habría que abordar el artículo 4, con arreglo al cual todos los actos de tortura, así como las tentativas, constituyen delitos conforme a la legislación penal que se castigan con las penas adecuadas, el artículo 5, sobre la jurisdicción del Estado, el 6, acerca de la detención de la persona que haya cometido actos de tortura, el artículo 7, que se refiere al ejercicio de la acción penal contra la persona sujeta a la jurisdicción del Estado y que no es extraditada, el artículo 8, relativo a la extradición, y, por último, el artículo 9, sobre la cooperación judicial internacional.</w:t>
      </w:r>
    </w:p>
    <w:p w:rsidR="00000000" w:rsidRDefault="00000000">
      <w:pPr>
        <w:autoSpaceDE w:val="0"/>
        <w:autoSpaceDN w:val="0"/>
        <w:adjustRightInd w:val="0"/>
        <w:spacing w:after="240"/>
      </w:pPr>
      <w:r>
        <w:t>29.</w:t>
      </w:r>
      <w:r>
        <w:tab/>
        <w:t>Aunque está previsto abordar estos temas, para evitar las repeticiones se los analizará de forma sucinta en seis capítulos referentes a la jurisdicción del Estado, el castigo de los actos de tortura, la detención de las personas que han cometido actos de tortura, el ejercicio de la acción penal contra la persona sujeta a la jurisdicción del Estado que no es extraditada, las cuestiones relativas a la jurisdicción universal del Estado y a los crímenes de lesa humanidad y, por último, la cooperación judicial internacional.</w:t>
      </w:r>
    </w:p>
    <w:p w:rsidR="00000000" w:rsidRDefault="00000000">
      <w:pPr>
        <w:autoSpaceDE w:val="0"/>
        <w:autoSpaceDN w:val="0"/>
        <w:adjustRightInd w:val="0"/>
        <w:spacing w:after="240"/>
        <w:jc w:val="center"/>
        <w:rPr>
          <w:b/>
        </w:rPr>
      </w:pPr>
      <w:r>
        <w:rPr>
          <w:b/>
        </w:rPr>
        <w:t>A.  La jurisdicción del Estado</w:t>
      </w:r>
    </w:p>
    <w:p w:rsidR="00000000" w:rsidRDefault="00000000">
      <w:pPr>
        <w:autoSpaceDE w:val="0"/>
        <w:autoSpaceDN w:val="0"/>
        <w:adjustRightInd w:val="0"/>
        <w:spacing w:after="240"/>
      </w:pPr>
      <w:r>
        <w:t>30.</w:t>
      </w:r>
      <w:r>
        <w:tab/>
        <w:t>La jurisdicción del Estado corresponde a la competencia de los tribunales y las autoridades de policía para perseguir y castigar los delitos de que se trata en este informe.  Esta jurisdicción corresponde al territorio de Portugal (continente, Azores y Madeira) sobre el que las autoridades de Portugal ejercen su autoridad, que abarca a todas las personas que se encuentren sobre dicho territorio.</w:t>
      </w:r>
    </w:p>
    <w:p w:rsidR="00000000" w:rsidRDefault="00000000">
      <w:pPr>
        <w:autoSpaceDE w:val="0"/>
        <w:autoSpaceDN w:val="0"/>
        <w:adjustRightInd w:val="0"/>
        <w:spacing w:after="240"/>
      </w:pPr>
      <w:r>
        <w:t>31.</w:t>
      </w:r>
      <w:r>
        <w:tab/>
        <w:t>En virtud de lo dispuesto en el artículo 4 del Código Penal, a menos que exista un tratado o convención internacional en sentido contrario, la legislación penal de Portugal se aplica a los hechos realizados:  a) en territorio portugués, con independencia de la nacionalidad del autor o  b) a bordo de naves o aeronaves portuguesas.</w:t>
      </w:r>
    </w:p>
    <w:p w:rsidR="00000000" w:rsidRDefault="00000000">
      <w:pPr>
        <w:autoSpaceDE w:val="0"/>
        <w:autoSpaceDN w:val="0"/>
        <w:adjustRightInd w:val="0"/>
        <w:spacing w:after="240"/>
      </w:pPr>
      <w:r>
        <w:t>32.</w:t>
      </w:r>
      <w:r>
        <w:tab/>
        <w:t>En virtud de lo dispuesto en el artículo 8 del Código de Procedimiento Penal, los tribunales judiciales son los órganos competentes para adoptar decisiones en las causas penales y aplicar las penas y medidas de seguridad penales.  Por lo tanto, corresponde al poder judicial común juzgar los actos de tortura.</w:t>
      </w:r>
    </w:p>
    <w:p w:rsidR="00000000" w:rsidRDefault="00000000">
      <w:pPr>
        <w:autoSpaceDE w:val="0"/>
        <w:autoSpaceDN w:val="0"/>
        <w:adjustRightInd w:val="0"/>
        <w:spacing w:after="240"/>
        <w:jc w:val="center"/>
        <w:rPr>
          <w:b/>
        </w:rPr>
      </w:pPr>
      <w:r>
        <w:rPr>
          <w:b/>
        </w:rPr>
        <w:t>B.  El castigo de los actos de tortura</w:t>
      </w:r>
    </w:p>
    <w:p w:rsidR="00000000" w:rsidRDefault="00000000">
      <w:pPr>
        <w:autoSpaceDE w:val="0"/>
        <w:autoSpaceDN w:val="0"/>
        <w:adjustRightInd w:val="0"/>
        <w:spacing w:after="240"/>
      </w:pPr>
      <w:r>
        <w:t>33.</w:t>
      </w:r>
      <w:r>
        <w:tab/>
        <w:t>Ya se ha hecho referencia a los delitos de tortura previstos en los artículos 243 y 244 del Código Penal, abordado en los párrafos 4 y 5 de este mismo informe en el marco de la definición de la tortura.  En uno de ellos se define la tortura, y se prevé el castigo por la perpetración de la misma, en el segundo se enuncia el castigo de la tortura cuando las consecuencias son particularmente graves (daño grave a la integridad física, empleo de métodos o medios de tortura particularmente graves como golpes, electrochoques, simulacros de ejecución, sustancias alucinógenas o práctica habitual de actos de tortura con arreglo a la definición del artículo 243).</w:t>
      </w:r>
    </w:p>
    <w:p w:rsidR="00000000" w:rsidRDefault="00000000">
      <w:pPr>
        <w:autoSpaceDE w:val="0"/>
        <w:autoSpaceDN w:val="0"/>
        <w:adjustRightInd w:val="0"/>
        <w:spacing w:after="240"/>
      </w:pPr>
      <w:r>
        <w:t>34.</w:t>
      </w:r>
      <w:r>
        <w:tab/>
        <w:t>Cabe mencionar asimismo el artículo 241 (crímenes de guerra contra civiles) en la medida en que los crímenes de que trata pueden también referirse a los agentes de la autoridad que los practican, y el artículo 245 (omisión de la denuncia):</w:t>
      </w:r>
    </w:p>
    <w:p w:rsidR="00000000" w:rsidRDefault="00000000">
      <w:pPr>
        <w:autoSpaceDE w:val="0"/>
        <w:autoSpaceDN w:val="0"/>
        <w:adjustRightInd w:val="0"/>
        <w:spacing w:after="240"/>
        <w:ind w:left="567"/>
      </w:pPr>
      <w:r>
        <w:t>a)</w:t>
      </w:r>
      <w:r>
        <w:tab/>
        <w:t>El artículo 241 dispone:</w:t>
      </w:r>
    </w:p>
    <w:p w:rsidR="00000000" w:rsidRDefault="00000000">
      <w:pPr>
        <w:autoSpaceDE w:val="0"/>
        <w:autoSpaceDN w:val="0"/>
        <w:adjustRightInd w:val="0"/>
        <w:spacing w:after="240"/>
        <w:ind w:left="1134"/>
      </w:pPr>
      <w:r>
        <w:tab/>
        <w:t>"1.</w:t>
      </w:r>
      <w:r>
        <w:tab/>
        <w:t>La persona que, en violación de las normas o principios del derecho internacional general o común, en tiempo de guerra, conflicto armado u ocupación, cometa sobre la población civil, heridos, enfermos o prisioneros de guerra, los actos siguientes:</w:t>
      </w:r>
    </w:p>
    <w:p w:rsidR="00000000" w:rsidRDefault="00000000">
      <w:pPr>
        <w:autoSpaceDE w:val="0"/>
        <w:autoSpaceDN w:val="0"/>
        <w:adjustRightInd w:val="0"/>
        <w:spacing w:after="240"/>
        <w:ind w:left="1134"/>
      </w:pPr>
      <w:r>
        <w:tab/>
        <w:t>a)</w:t>
      </w:r>
      <w:r>
        <w:tab/>
        <w:t>Homicidio doloso;</w:t>
      </w:r>
    </w:p>
    <w:p w:rsidR="00000000" w:rsidRDefault="00000000">
      <w:pPr>
        <w:autoSpaceDE w:val="0"/>
        <w:autoSpaceDN w:val="0"/>
        <w:adjustRightInd w:val="0"/>
        <w:spacing w:after="240"/>
        <w:ind w:left="1134"/>
      </w:pPr>
      <w:r>
        <w:tab/>
        <w:t>b)</w:t>
      </w:r>
      <w:r>
        <w:tab/>
        <w:t>Tortura o tratos crueles, inhumanos o degradantes;</w:t>
      </w:r>
    </w:p>
    <w:p w:rsidR="00000000" w:rsidRDefault="00000000">
      <w:pPr>
        <w:autoSpaceDE w:val="0"/>
        <w:autoSpaceDN w:val="0"/>
        <w:adjustRightInd w:val="0"/>
        <w:spacing w:after="240"/>
        <w:ind w:left="1134"/>
      </w:pPr>
      <w:r>
        <w:tab/>
        <w:t>c)</w:t>
      </w:r>
      <w:r>
        <w:tab/>
        <w:t>Daños contra la integridad física graves dolosos;</w:t>
      </w:r>
    </w:p>
    <w:p w:rsidR="00000000" w:rsidRDefault="00000000">
      <w:pPr>
        <w:autoSpaceDE w:val="0"/>
        <w:autoSpaceDN w:val="0"/>
        <w:adjustRightInd w:val="0"/>
        <w:spacing w:after="240"/>
        <w:ind w:left="1134"/>
      </w:pPr>
      <w:r>
        <w:tab/>
        <w:t>d)</w:t>
      </w:r>
      <w:r>
        <w:tab/>
        <w:t>Toma de rehenes;</w:t>
      </w:r>
    </w:p>
    <w:p w:rsidR="00000000" w:rsidRDefault="00000000">
      <w:pPr>
        <w:autoSpaceDE w:val="0"/>
        <w:autoSpaceDN w:val="0"/>
        <w:adjustRightInd w:val="0"/>
        <w:spacing w:after="240"/>
        <w:ind w:left="1134"/>
      </w:pPr>
      <w:r>
        <w:tab/>
        <w:t>e)</w:t>
      </w:r>
      <w:r>
        <w:tab/>
        <w:t>Coacción para servir en las fuerzas armadas enemigas;</w:t>
      </w:r>
    </w:p>
    <w:p w:rsidR="00000000" w:rsidRDefault="00000000">
      <w:pPr>
        <w:autoSpaceDE w:val="0"/>
        <w:autoSpaceDN w:val="0"/>
        <w:adjustRightInd w:val="0"/>
        <w:spacing w:after="240"/>
        <w:ind w:left="1134"/>
      </w:pPr>
      <w:r>
        <w:tab/>
        <w:t>f)</w:t>
      </w:r>
      <w:r>
        <w:tab/>
        <w:t>Deportación;</w:t>
      </w:r>
    </w:p>
    <w:p w:rsidR="00000000" w:rsidRDefault="00000000">
      <w:pPr>
        <w:autoSpaceDE w:val="0"/>
        <w:autoSpaceDN w:val="0"/>
        <w:adjustRightInd w:val="0"/>
        <w:spacing w:after="240"/>
        <w:ind w:left="1134"/>
      </w:pPr>
      <w:r>
        <w:tab/>
        <w:t>g)</w:t>
      </w:r>
      <w:r>
        <w:tab/>
        <w:t>Restricciones graves, prolongadas e injustificadas de la libertad de las personas; o</w:t>
      </w:r>
    </w:p>
    <w:p w:rsidR="00000000" w:rsidRDefault="00000000">
      <w:pPr>
        <w:autoSpaceDE w:val="0"/>
        <w:autoSpaceDN w:val="0"/>
        <w:adjustRightInd w:val="0"/>
        <w:spacing w:after="240"/>
        <w:ind w:left="1134"/>
      </w:pPr>
      <w:r>
        <w:tab/>
        <w:t>h)</w:t>
      </w:r>
      <w:r>
        <w:tab/>
        <w:t>Sustracción o destrucción injustificadas de bienes patrimoniales de gran valor;</w:t>
      </w:r>
    </w:p>
    <w:p w:rsidR="00000000" w:rsidRDefault="00000000">
      <w:pPr>
        <w:autoSpaceDE w:val="0"/>
        <w:autoSpaceDN w:val="0"/>
        <w:adjustRightInd w:val="0"/>
        <w:spacing w:after="240"/>
        <w:ind w:left="1134"/>
      </w:pPr>
      <w:r>
        <w:t>será castigada con pena de prisión de 10 a 20 años.</w:t>
      </w:r>
    </w:p>
    <w:p w:rsidR="00000000" w:rsidRDefault="00000000">
      <w:pPr>
        <w:autoSpaceDE w:val="0"/>
        <w:autoSpaceDN w:val="0"/>
        <w:adjustRightInd w:val="0"/>
        <w:spacing w:after="240"/>
        <w:ind w:left="1134"/>
      </w:pPr>
      <w:r>
        <w:tab/>
        <w:t>2.</w:t>
      </w:r>
      <w:r>
        <w:tab/>
        <w:t>La pena se ampliará en un 25% en sus límites mínimo y máximo cuando uno de los actos mencionados en el párrafo anterior se perpetre sobre miembros de una institución humanitaria.</w:t>
      </w:r>
    </w:p>
    <w:p w:rsidR="00000000" w:rsidRDefault="00000000">
      <w:pPr>
        <w:autoSpaceDE w:val="0"/>
        <w:autoSpaceDN w:val="0"/>
        <w:adjustRightInd w:val="0"/>
        <w:spacing w:after="240"/>
      </w:pPr>
      <w:r>
        <w:tab/>
        <w:t>b)</w:t>
      </w:r>
      <w:r>
        <w:tab/>
        <w:t>El artículo 245 reza lo siguiente:</w:t>
      </w:r>
    </w:p>
    <w:p w:rsidR="00000000" w:rsidRDefault="00000000">
      <w:pPr>
        <w:autoSpaceDE w:val="0"/>
        <w:autoSpaceDN w:val="0"/>
        <w:adjustRightInd w:val="0"/>
        <w:spacing w:after="240"/>
        <w:ind w:left="1134"/>
      </w:pPr>
      <w:r>
        <w:tab/>
        <w:t>"El superior jerárquico que, teniendo conocimiento de la perpetración, por uno de sus subordinados, de uno de los hechos descritos en los artículos 243 y 244, no proceda a la denuncia correspondiente en el plazo máximo de tres días a partir del momento en que tuvo conocimiento del delito, podrá ser castigado con penas de prisión de seis meses a tres años."</w:t>
      </w:r>
    </w:p>
    <w:p w:rsidR="00000000" w:rsidRDefault="00000000">
      <w:pPr>
        <w:autoSpaceDE w:val="0"/>
        <w:autoSpaceDN w:val="0"/>
        <w:adjustRightInd w:val="0"/>
        <w:spacing w:after="240"/>
      </w:pPr>
      <w:r>
        <w:t>35.</w:t>
      </w:r>
      <w:r>
        <w:tab/>
        <w:t>En el marco del castigo de estos delitos, el artículo 246 prevé un conjunto de medidas de inhabilitación aplicables a las personas culpables de estos delitos:</w:t>
      </w:r>
    </w:p>
    <w:p w:rsidR="00000000" w:rsidRDefault="00000000">
      <w:pPr>
        <w:autoSpaceDE w:val="0"/>
        <w:autoSpaceDN w:val="0"/>
        <w:adjustRightInd w:val="0"/>
        <w:spacing w:after="240"/>
        <w:ind w:left="567"/>
      </w:pPr>
      <w:r>
        <w:tab/>
        <w:t>"La persona que sea condenada por uno de los delitos previstos en los artículos 236 a 245 puede, teniendo en cuenta la gravedad del hecho y su proyección sobre la integridad cívica del autor, ser inhabilitada para elegir al Presidente de la República, los miembros del Parlamento Europeo, los miembros de una asamblea legislativa o de un colectivo local, ser elegida en uno de estos cargos o formar parte de un jurado, durante un período de dos a diez años."</w:t>
      </w:r>
    </w:p>
    <w:p w:rsidR="00000000" w:rsidRDefault="00000000">
      <w:pPr>
        <w:autoSpaceDE w:val="0"/>
        <w:autoSpaceDN w:val="0"/>
        <w:adjustRightInd w:val="0"/>
        <w:spacing w:after="240"/>
        <w:jc w:val="center"/>
        <w:rPr>
          <w:b/>
        </w:rPr>
      </w:pPr>
      <w:r>
        <w:rPr>
          <w:b/>
        </w:rPr>
        <w:t>C.  La detención de las personas que hayan cometido actos de tortura</w:t>
      </w:r>
    </w:p>
    <w:p w:rsidR="00000000" w:rsidRDefault="00000000">
      <w:pPr>
        <w:autoSpaceDE w:val="0"/>
        <w:autoSpaceDN w:val="0"/>
        <w:adjustRightInd w:val="0"/>
        <w:spacing w:after="240"/>
      </w:pPr>
      <w:r>
        <w:t>36.</w:t>
      </w:r>
      <w:r>
        <w:tab/>
        <w:t>Con arreglo a lo dispuesto en el artículo 242 del Código de Procedimiento Penal, la denuncia es obligatoria aunque no se conozca a los autores del delito:</w:t>
      </w:r>
    </w:p>
    <w:p w:rsidR="00000000" w:rsidRDefault="00000000">
      <w:pPr>
        <w:autoSpaceDE w:val="0"/>
        <w:autoSpaceDN w:val="0"/>
        <w:adjustRightInd w:val="0"/>
        <w:spacing w:after="240"/>
        <w:ind w:left="567" w:firstLine="567"/>
      </w:pPr>
      <w:r>
        <w:t>"a)</w:t>
      </w:r>
      <w:r>
        <w:tab/>
        <w:t>Para los agentes de policía, con respecto a todos los delitos de que tengan conocimiento;</w:t>
      </w:r>
    </w:p>
    <w:p w:rsidR="00000000" w:rsidRDefault="00000000">
      <w:pPr>
        <w:autoSpaceDE w:val="0"/>
        <w:autoSpaceDN w:val="0"/>
        <w:adjustRightInd w:val="0"/>
        <w:spacing w:after="240"/>
        <w:ind w:left="567" w:firstLine="567"/>
      </w:pPr>
      <w:r>
        <w:t>b)</w:t>
      </w:r>
      <w:r>
        <w:tab/>
        <w:t>Para los funcionarios, en el sentido de lo dispuesto en el artículo 386 del Código Penal, con respecto a los delitos de que tengan conocimiento en el ejercicio de sus funciones."</w:t>
      </w:r>
    </w:p>
    <w:p w:rsidR="00000000" w:rsidRDefault="00000000">
      <w:pPr>
        <w:autoSpaceDE w:val="0"/>
        <w:autoSpaceDN w:val="0"/>
        <w:adjustRightInd w:val="0"/>
        <w:spacing w:after="240"/>
      </w:pPr>
      <w:r>
        <w:t>37.</w:t>
      </w:r>
      <w:r>
        <w:tab/>
        <w:t>Por "funcionario" se entiende, con arreglo a lo dispuesto en el artículo 386 del Código Penal:</w:t>
      </w:r>
    </w:p>
    <w:p w:rsidR="00000000" w:rsidRDefault="00000000">
      <w:pPr>
        <w:autoSpaceDE w:val="0"/>
        <w:autoSpaceDN w:val="0"/>
        <w:adjustRightInd w:val="0"/>
        <w:spacing w:after="240"/>
        <w:ind w:left="567" w:firstLine="567"/>
      </w:pPr>
      <w:r>
        <w:t>"a)</w:t>
      </w:r>
      <w:r>
        <w:tab/>
        <w:t>El funcionario civil;</w:t>
      </w:r>
    </w:p>
    <w:p w:rsidR="00000000" w:rsidRDefault="00000000">
      <w:pPr>
        <w:autoSpaceDE w:val="0"/>
        <w:autoSpaceDN w:val="0"/>
        <w:adjustRightInd w:val="0"/>
        <w:spacing w:after="240"/>
        <w:ind w:left="567" w:firstLine="567"/>
      </w:pPr>
      <w:r>
        <w:t>b)</w:t>
      </w:r>
      <w:r>
        <w:tab/>
        <w:t>El agente administrativo; y</w:t>
      </w:r>
    </w:p>
    <w:p w:rsidR="00000000" w:rsidRDefault="00000000">
      <w:pPr>
        <w:autoSpaceDE w:val="0"/>
        <w:autoSpaceDN w:val="0"/>
        <w:adjustRightInd w:val="0"/>
        <w:spacing w:after="240"/>
        <w:ind w:left="567" w:firstLine="567"/>
      </w:pPr>
      <w:r>
        <w:t>c)</w:t>
      </w:r>
      <w:r>
        <w:tab/>
        <w:t>Toda persona que, incluso de forma provisional o temporal, a cambio de una remuneración o de forma gratuita, de manera voluntaria u obligatoria, desempeñe una actividad comprendida en la función pública administrativa o jurisdiccional, o a participar en la ejecución de esa actividad o, en las mismas circunstancias, desempeñe funciones en organismos de utilidad pública o participe en ellas.</w:t>
      </w:r>
    </w:p>
    <w:p w:rsidR="00000000" w:rsidRDefault="00000000">
      <w:pPr>
        <w:autoSpaceDE w:val="0"/>
        <w:autoSpaceDN w:val="0"/>
        <w:adjustRightInd w:val="0"/>
        <w:spacing w:after="240"/>
        <w:ind w:left="567" w:firstLine="567"/>
      </w:pPr>
      <w:r>
        <w:t>2.</w:t>
      </w:r>
      <w:r>
        <w:tab/>
        <w:t>Los directores y empleados de los órganos de vigilancia y los trabajadores de empresas públicas, nacionalizadas, con capitales públicos o con una participación mayoritaria de capital público, así como de empresas concesionarias de servicios públicos, serán considerados funcionarios a efectos del derecho penal."</w:t>
      </w:r>
    </w:p>
    <w:p w:rsidR="00000000" w:rsidRDefault="00000000">
      <w:pPr>
        <w:autoSpaceDE w:val="0"/>
        <w:autoSpaceDN w:val="0"/>
        <w:adjustRightInd w:val="0"/>
        <w:spacing w:after="240"/>
      </w:pPr>
      <w:r>
        <w:t>Ya se ha indicado que el superior jerárquico siempre está obligado a proceder a la denuncia (artículo 245 del Código Penal).</w:t>
      </w:r>
    </w:p>
    <w:p w:rsidR="00000000" w:rsidRDefault="00000000">
      <w:pPr>
        <w:autoSpaceDE w:val="0"/>
        <w:autoSpaceDN w:val="0"/>
        <w:adjustRightInd w:val="0"/>
        <w:spacing w:after="240"/>
      </w:pPr>
      <w:r>
        <w:t>38.</w:t>
      </w:r>
      <w:r>
        <w:tab/>
        <w:t>A continuación se ordena la detención, con arreglo a lo dispuesto en el artículo 257 del Código de Procedimiento Penal, por orden del juez o por orden del fiscal, en el caso de los delitos en que se admite la detención preventiva (es el caso que nos ocupa).  En caso de delito flagrante, cualquier autoridad judicial o de policía puede proceder a la detención, así como cualquier persona, si esas autoridades no se encuentran presentes o no pueden acudir a tiempo (artículo 255 del Código de Procedimiento Penal).</w:t>
      </w:r>
    </w:p>
    <w:p w:rsidR="00000000" w:rsidRDefault="00000000">
      <w:pPr>
        <w:autoSpaceDE w:val="0"/>
        <w:autoSpaceDN w:val="0"/>
        <w:adjustRightInd w:val="0"/>
        <w:spacing w:after="240"/>
        <w:ind w:left="360" w:hanging="360"/>
        <w:jc w:val="center"/>
        <w:rPr>
          <w:b/>
        </w:rPr>
      </w:pPr>
      <w:r>
        <w:rPr>
          <w:b/>
        </w:rPr>
        <w:t>D.  Acción penal contra una persona sujeta a la jurisdicción del Estado</w:t>
      </w:r>
      <w:r>
        <w:rPr>
          <w:b/>
        </w:rPr>
        <w:br/>
        <w:t>y que no haya sido extraditada</w:t>
      </w:r>
    </w:p>
    <w:p w:rsidR="00000000" w:rsidRDefault="00000000">
      <w:pPr>
        <w:autoSpaceDE w:val="0"/>
        <w:autoSpaceDN w:val="0"/>
        <w:adjustRightInd w:val="0"/>
        <w:spacing w:after="240"/>
      </w:pPr>
      <w:r>
        <w:t>39.</w:t>
      </w:r>
      <w:r>
        <w:tab/>
        <w:t>En virtud de lo dispuesto en el artículo 6 de la Ley Nº 144/99, de 31 de octubre, la demanda de auxilio internacional a los efectos de la extradición se rechaza cuando:</w:t>
      </w:r>
    </w:p>
    <w:p w:rsidR="00000000" w:rsidRDefault="00000000">
      <w:pPr>
        <w:autoSpaceDE w:val="0"/>
        <w:autoSpaceDN w:val="0"/>
        <w:adjustRightInd w:val="0"/>
        <w:spacing w:after="240"/>
        <w:ind w:left="567"/>
      </w:pPr>
      <w:r>
        <w:tab/>
        <w:t>"a)</w:t>
      </w:r>
      <w:r>
        <w:tab/>
        <w:t>El proceso no satisface o no respeta las exigencias del Convenio Europeo para la Protección de los Derechos Humanos y Libertades Fundamentales, de 4 de noviembre de 1950, o de otros instrumentos internacionales pertinentes, ratificados por Portugal;</w:t>
      </w:r>
    </w:p>
    <w:p w:rsidR="00000000" w:rsidRDefault="00000000">
      <w:pPr>
        <w:autoSpaceDE w:val="0"/>
        <w:autoSpaceDN w:val="0"/>
        <w:adjustRightInd w:val="0"/>
        <w:spacing w:after="240"/>
        <w:ind w:left="567"/>
      </w:pPr>
      <w:r>
        <w:tab/>
        <w:t>b)</w:t>
      </w:r>
      <w:r>
        <w:tab/>
        <w:t>Existen motivos razonables para creer que el auxilio se solicita con objeto de perseguir o castigar a una persona por motivo de su raza, religión, sexo, nacionalidad, idioma, convicciones políticas o ideológicas o por su pertenencia a un grupo social determinado;</w:t>
      </w:r>
    </w:p>
    <w:p w:rsidR="00000000" w:rsidRDefault="00000000">
      <w:pPr>
        <w:autoSpaceDE w:val="0"/>
        <w:autoSpaceDN w:val="0"/>
        <w:adjustRightInd w:val="0"/>
        <w:spacing w:after="240"/>
        <w:ind w:left="567"/>
      </w:pPr>
      <w:r>
        <w:tab/>
        <w:t>c)</w:t>
      </w:r>
      <w:r>
        <w:tab/>
        <w:t>Existe un riesgo serio de agravar la situación procesal de una persona por uno de los motivos indicados en el inciso anterior;</w:t>
      </w:r>
    </w:p>
    <w:p w:rsidR="00000000" w:rsidRDefault="00000000">
      <w:pPr>
        <w:autoSpaceDE w:val="0"/>
        <w:autoSpaceDN w:val="0"/>
        <w:adjustRightInd w:val="0"/>
        <w:spacing w:after="240"/>
        <w:ind w:left="567"/>
      </w:pPr>
      <w:r>
        <w:tab/>
        <w:t>d)</w:t>
      </w:r>
      <w:r>
        <w:tab/>
        <w:t>El auxilio puede facilitar un fallo de un tribunal de excepción o la ejecución de un fallo dictado por un tribunal de este tipo;</w:t>
      </w:r>
    </w:p>
    <w:p w:rsidR="00000000" w:rsidRDefault="00000000">
      <w:pPr>
        <w:autoSpaceDE w:val="0"/>
        <w:autoSpaceDN w:val="0"/>
        <w:adjustRightInd w:val="0"/>
        <w:spacing w:after="240"/>
        <w:ind w:left="567"/>
      </w:pPr>
      <w:r>
        <w:tab/>
        <w:t>e)</w:t>
      </w:r>
      <w:r>
        <w:tab/>
        <w:t xml:space="preserve">El hecho al que se refiere está castigado con pena de muerte o con otras penas de las que pueda resultar un daño irreversible para la integridad de la persona; </w:t>
      </w:r>
    </w:p>
    <w:p w:rsidR="00000000" w:rsidRDefault="00000000">
      <w:pPr>
        <w:autoSpaceDE w:val="0"/>
        <w:autoSpaceDN w:val="0"/>
        <w:adjustRightInd w:val="0"/>
        <w:spacing w:after="240"/>
        <w:ind w:left="567"/>
      </w:pPr>
      <w:r>
        <w:tab/>
        <w:t>f)</w:t>
      </w:r>
      <w:r>
        <w:tab/>
        <w:t>El proceso se refiere a una infracción castigada con una pena de detención o una medida de seguridad de carácter perpetuo o de duración indefinida."</w:t>
      </w:r>
    </w:p>
    <w:p w:rsidR="00000000" w:rsidRDefault="00000000">
      <w:pPr>
        <w:autoSpaceDE w:val="0"/>
        <w:autoSpaceDN w:val="0"/>
        <w:adjustRightInd w:val="0"/>
        <w:spacing w:after="240"/>
      </w:pPr>
      <w:r>
        <w:t>Y también cuando no se verifican los presupuestos de la aplicación del inciso b) de este artículo.</w:t>
      </w:r>
    </w:p>
    <w:p w:rsidR="00000000" w:rsidRDefault="00000000">
      <w:pPr>
        <w:autoSpaceDE w:val="0"/>
        <w:autoSpaceDN w:val="0"/>
        <w:adjustRightInd w:val="0"/>
        <w:spacing w:after="240"/>
      </w:pPr>
      <w:r>
        <w:t>40.</w:t>
      </w:r>
      <w:r>
        <w:tab/>
        <w:t>El auxilio también se deniega sise ha iniciado un proceso por el mismo hecho, en Portugal o en otro Estado, (artículo 8 de la Ley Nº 144/99), y:</w:t>
      </w:r>
    </w:p>
    <w:p w:rsidR="00000000" w:rsidRDefault="00000000">
      <w:pPr>
        <w:autoSpaceDE w:val="0"/>
        <w:autoSpaceDN w:val="0"/>
        <w:adjustRightInd w:val="0"/>
        <w:spacing w:after="240"/>
        <w:ind w:left="567"/>
      </w:pPr>
      <w:r>
        <w:tab/>
        <w:t>"a)</w:t>
      </w:r>
      <w:r>
        <w:tab/>
        <w:t>El proceso ha concluido con una decisión definitiva de absolver al acusado o borrarlo del registro;</w:t>
      </w:r>
    </w:p>
    <w:p w:rsidR="00000000" w:rsidRDefault="00000000">
      <w:pPr>
        <w:autoSpaceDE w:val="0"/>
        <w:autoSpaceDN w:val="0"/>
        <w:adjustRightInd w:val="0"/>
        <w:spacing w:after="240"/>
        <w:ind w:left="567"/>
      </w:pPr>
      <w:r>
        <w:tab/>
        <w:t>b)</w:t>
      </w:r>
      <w:r>
        <w:tab/>
        <w:t>La decisión condenatoria ya ha sido ejecutada o su ejecución es imposible, en virtud de lo dispuesto en la legislación del Estado en que se dictó;</w:t>
      </w:r>
    </w:p>
    <w:p w:rsidR="00000000" w:rsidRDefault="00000000">
      <w:pPr>
        <w:autoSpaceDE w:val="0"/>
        <w:autoSpaceDN w:val="0"/>
        <w:adjustRightInd w:val="0"/>
        <w:spacing w:after="240"/>
        <w:ind w:left="567"/>
      </w:pPr>
      <w:r>
        <w:tab/>
        <w:t>c)</w:t>
      </w:r>
      <w:r>
        <w:tab/>
        <w:t>El procedimiento ha caducado por cualquier otro motivo, salvo si la caducidad del procedimiento no impide el auxilio internacional en virtud de un convenio."</w:t>
      </w:r>
    </w:p>
    <w:p w:rsidR="00000000" w:rsidRDefault="00000000">
      <w:pPr>
        <w:autoSpaceDE w:val="0"/>
        <w:autoSpaceDN w:val="0"/>
        <w:adjustRightInd w:val="0"/>
        <w:spacing w:after="240"/>
      </w:pPr>
      <w:r>
        <w:t>41.</w:t>
      </w:r>
      <w:r>
        <w:tab/>
        <w:t>Las disposiciones de los incisos a) y b) no se aplican cuando la solicitud se basa en la necesidad de revisar la sentencia.</w:t>
      </w:r>
    </w:p>
    <w:p w:rsidR="00000000" w:rsidRDefault="00000000">
      <w:pPr>
        <w:autoSpaceDE w:val="0"/>
        <w:autoSpaceDN w:val="0"/>
        <w:adjustRightInd w:val="0"/>
        <w:spacing w:after="240"/>
      </w:pPr>
      <w:r>
        <w:t>42.</w:t>
      </w:r>
      <w:r>
        <w:tab/>
        <w:t>En virtud de lo dispuesto en el artículo 9 de la Ley Nº 144/99, cuando el hecho imputado a la persona contra la que se inicia el procedimiento está previsto en distintas disposiciones del Código Penal, la solicitud de auxilio únicamente se admite en la parte en que se refiere a una infracción o a infracciones con respecto a las cuales la solicitud es admisible, y siempre que el Estado que la formula proporcione garantías de que respetará las condiciones determinadas para el auxilio.  Sin embargo (siempre en virtud de lo dispuesto en el artículo 9, pero esta vez del párrafo 2), no se prestará auxilio si el hecho está previsto en diversas disposiciones del derecho penal portugués o extranjero, y no puede atenderse a la solicitud en virtud de una disposición jurídica que comprende el hecho en su totalidad y que constituye un motivo de denegación de auxilio.</w:t>
      </w:r>
    </w:p>
    <w:p w:rsidR="00000000" w:rsidRDefault="00000000">
      <w:pPr>
        <w:autoSpaceDE w:val="0"/>
        <w:autoSpaceDN w:val="0"/>
        <w:adjustRightInd w:val="0"/>
        <w:spacing w:after="240"/>
      </w:pPr>
      <w:r>
        <w:t>43.</w:t>
      </w:r>
      <w:r>
        <w:tab/>
        <w:t>En virtud de lo dispuesto en el artículo 18, el auxilio puede denegarse cuando el hecho que lo motiva es objeto de un procedimiento pendiente, o cuando este hecho debe o puede ser objeto asimismo de un procedimiento sujeto a la competencia de una autoridad judicial portuguesa.  Con arreglo a lo dispuesto en el párrafo 2, el auxilio puede denegarse también cuando, teniendo en cuenta las circunstancias del hecho, la satisfacción de la solicitud puede suponer consecuencias graves para la persona de que se trate, por razones de edad, de su estado de salud o por otros motivos de naturaleza personal.</w:t>
      </w:r>
    </w:p>
    <w:p w:rsidR="00000000" w:rsidRDefault="00000000">
      <w:pPr>
        <w:autoSpaceDE w:val="0"/>
        <w:autoSpaceDN w:val="0"/>
        <w:adjustRightInd w:val="0"/>
        <w:spacing w:after="240"/>
      </w:pPr>
      <w:r>
        <w:t>44.</w:t>
      </w:r>
      <w:r>
        <w:tab/>
        <w:t xml:space="preserve">En virtud de lo dispuesto en el artículo 19, el principio </w:t>
      </w:r>
      <w:r>
        <w:rPr>
          <w:i/>
        </w:rPr>
        <w:t>non bis in idem</w:t>
      </w:r>
      <w:r>
        <w:t xml:space="preserve"> es aplicable:  cuando se acepta una solicitud de auxilio, que supone delegar un procedimiento en favor de una autoridad judicial extranjera, no se puede iniciar ni continuar en Portugal un procedimiento por el mismo hecho que determinó la solicitud, ni se puede ejecutar una decisión cuya ejecución se haya delegado en una autoridad extranjera.  En estos casos de denegación de auxilio, es posible, a petición de un Estado extranjero, iniciar o proseguir en Portugal un proceso penal por un hecho perpetrado fuera del territorio portugués (art. 79).</w:t>
      </w:r>
    </w:p>
    <w:p w:rsidR="00000000" w:rsidRDefault="00000000">
      <w:pPr>
        <w:autoSpaceDE w:val="0"/>
        <w:autoSpaceDN w:val="0"/>
        <w:adjustRightInd w:val="0"/>
        <w:spacing w:after="240"/>
      </w:pPr>
      <w:r>
        <w:t>45.</w:t>
      </w:r>
      <w:r>
        <w:tab/>
        <w:t>En esos casos, deben cumplirse algunas condiciones especiales (art. 80):</w:t>
      </w:r>
    </w:p>
    <w:p w:rsidR="00000000" w:rsidRDefault="00000000">
      <w:pPr>
        <w:autoSpaceDE w:val="0"/>
        <w:autoSpaceDN w:val="0"/>
        <w:adjustRightInd w:val="0"/>
        <w:spacing w:after="240"/>
        <w:ind w:left="567"/>
      </w:pPr>
      <w:r>
        <w:tab/>
        <w:t>"a)</w:t>
      </w:r>
      <w:r>
        <w:tab/>
        <w:t>Debe estar excluido el recurso a la extradición;</w:t>
      </w:r>
    </w:p>
    <w:p w:rsidR="00000000" w:rsidRDefault="00000000">
      <w:pPr>
        <w:autoSpaceDE w:val="0"/>
        <w:autoSpaceDN w:val="0"/>
        <w:adjustRightInd w:val="0"/>
        <w:spacing w:after="240"/>
        <w:ind w:left="567"/>
      </w:pPr>
      <w:r>
        <w:tab/>
        <w:t>b)</w:t>
      </w:r>
      <w:r>
        <w:tab/>
        <w:t>El Estado extranjero debe proporcionar garantías de que no iniciará otra acción penal por el mismo hecho contra el sospechoso o acusado, en el caso de que un tribunal portugués dictara contra éste una sentencia definitiva;</w:t>
      </w:r>
    </w:p>
    <w:p w:rsidR="00000000" w:rsidRDefault="00000000">
      <w:pPr>
        <w:autoSpaceDE w:val="0"/>
        <w:autoSpaceDN w:val="0"/>
        <w:adjustRightInd w:val="0"/>
        <w:spacing w:after="240"/>
        <w:ind w:left="567"/>
      </w:pPr>
      <w:r>
        <w:tab/>
        <w:t>c)</w:t>
      </w:r>
      <w:r>
        <w:tab/>
        <w:t>El proceso penal tiene por objeto un hecho que constituye delito con arreglo a la legislación del Estado extranjero y la ley portuguesa;</w:t>
      </w:r>
    </w:p>
    <w:p w:rsidR="00000000" w:rsidRDefault="00000000">
      <w:pPr>
        <w:autoSpaceDE w:val="0"/>
        <w:autoSpaceDN w:val="0"/>
        <w:adjustRightInd w:val="0"/>
        <w:spacing w:after="240"/>
        <w:ind w:left="567"/>
      </w:pPr>
      <w:r>
        <w:tab/>
        <w:t>d)</w:t>
      </w:r>
      <w:r>
        <w:tab/>
        <w:t>La pena o la medida de privación de libertad que corresponde tiene una duración máxima no inferior a un año o, si se trata de una sanción pecuniaria, su importe máximo no es inferior a 30 unidades de cuenta utilizadas en el proceso;</w:t>
      </w:r>
    </w:p>
    <w:p w:rsidR="00000000" w:rsidRDefault="00000000">
      <w:pPr>
        <w:autoSpaceDE w:val="0"/>
        <w:autoSpaceDN w:val="0"/>
        <w:adjustRightInd w:val="0"/>
        <w:spacing w:after="240"/>
        <w:ind w:left="567"/>
      </w:pPr>
      <w:r>
        <w:tab/>
        <w:t>e)</w:t>
      </w:r>
      <w:r>
        <w:tab/>
        <w:t>El sospechoso o el detenido es de nacionalidad portuguesa o, si es extranjero o apátrida, posee su residencia habitual en territorio portugués;</w:t>
      </w:r>
    </w:p>
    <w:p w:rsidR="00000000" w:rsidRDefault="00000000">
      <w:pPr>
        <w:autoSpaceDE w:val="0"/>
        <w:autoSpaceDN w:val="0"/>
        <w:adjustRightInd w:val="0"/>
        <w:spacing w:after="240"/>
        <w:ind w:left="567"/>
      </w:pPr>
      <w:r>
        <w:tab/>
        <w:t>f)</w:t>
      </w:r>
      <w:r>
        <w:tab/>
        <w:t>La aceptación de la solicitud se justifica en interés de la buena administración de la justicia, o para una mejor reinserción social del sospechoso o del detenido, en caso de ser condenado."</w:t>
      </w:r>
    </w:p>
    <w:p w:rsidR="00000000" w:rsidRDefault="00000000">
      <w:pPr>
        <w:autoSpaceDE w:val="0"/>
        <w:autoSpaceDN w:val="0"/>
        <w:adjustRightInd w:val="0"/>
        <w:spacing w:after="240"/>
      </w:pPr>
      <w:r>
        <w:t>46.</w:t>
      </w:r>
      <w:r>
        <w:tab/>
        <w:t>Siempre en virtud de lo dispuesto en el artículo 80, pero esta vez en el párrafo 2, es posible aceptar la iniciación o continuación del proceso penal en Portugal cuando las condiciones previstas en el párrafo anterior están reunidas en los siguientes casos:</w:t>
      </w:r>
    </w:p>
    <w:p w:rsidR="00000000" w:rsidRDefault="00000000">
      <w:pPr>
        <w:autoSpaceDE w:val="0"/>
        <w:autoSpaceDN w:val="0"/>
        <w:adjustRightInd w:val="0"/>
        <w:spacing w:after="240"/>
        <w:ind w:left="567"/>
      </w:pPr>
      <w:r>
        <w:tab/>
        <w:t>"a)</w:t>
      </w:r>
      <w:r>
        <w:tab/>
        <w:t>Cuando el sospechoso o el detenido se encuentra sometido a un proceso penal en Portugal por otro hecho al que corresponde una pena o medida de seguridad cuya gravedad es igual o superior a las penas mencionadas en el inciso d), y se garantiza la presencia del sospechoso o detenido ante el tribunal;</w:t>
      </w:r>
    </w:p>
    <w:p w:rsidR="00000000" w:rsidRDefault="00000000">
      <w:pPr>
        <w:autoSpaceDE w:val="0"/>
        <w:autoSpaceDN w:val="0"/>
        <w:adjustRightInd w:val="0"/>
        <w:spacing w:after="240"/>
        <w:ind w:left="567"/>
      </w:pPr>
      <w:r>
        <w:tab/>
        <w:t>b)</w:t>
      </w:r>
      <w:r>
        <w:tab/>
        <w:t>Cuando se deniega la extradición del sospechoso o detenido que reside habitualmente en Portugal;</w:t>
      </w:r>
    </w:p>
    <w:p w:rsidR="00000000" w:rsidRDefault="00000000">
      <w:pPr>
        <w:autoSpaceDE w:val="0"/>
        <w:autoSpaceDN w:val="0"/>
        <w:adjustRightInd w:val="0"/>
        <w:spacing w:after="240"/>
        <w:ind w:left="567"/>
      </w:pPr>
      <w:r>
        <w:tab/>
        <w:t>c)</w:t>
      </w:r>
      <w:r>
        <w:tab/>
        <w:t>Cuando el Estado solicitante considera que no puede garantizarse la presencia del sospechoso o detenido ante sus tribunales, pero si en Portugal;</w:t>
      </w:r>
    </w:p>
    <w:p w:rsidR="00000000" w:rsidRDefault="00000000">
      <w:pPr>
        <w:autoSpaceDE w:val="0"/>
        <w:autoSpaceDN w:val="0"/>
        <w:adjustRightInd w:val="0"/>
        <w:spacing w:after="240"/>
        <w:ind w:left="567"/>
      </w:pPr>
      <w:r>
        <w:tab/>
        <w:t>d)</w:t>
      </w:r>
      <w:r>
        <w:tab/>
        <w:t>Si el Estado extranjero considera que no se dan las condiciones para ejecutar una posible condena, incluso recurriendo a la extradición, y dichas condiciones se dan en Portugal."</w:t>
      </w:r>
    </w:p>
    <w:p w:rsidR="00000000" w:rsidRDefault="00000000">
      <w:pPr>
        <w:autoSpaceDE w:val="0"/>
        <w:autoSpaceDN w:val="0"/>
        <w:adjustRightInd w:val="0"/>
        <w:spacing w:after="240"/>
      </w:pPr>
      <w:r>
        <w:t>47.</w:t>
      </w:r>
      <w:r>
        <w:tab/>
        <w:t>En virtud de lo dispuesto en el artículo 81, en esos casos el derecho aplicable es la legislación de Portugal, salvo si la legislación del Estado extranjero que formula la demanda es más favorable.</w:t>
      </w:r>
    </w:p>
    <w:p w:rsidR="00000000" w:rsidRDefault="00000000">
      <w:pPr>
        <w:autoSpaceDE w:val="0"/>
        <w:autoSpaceDN w:val="0"/>
        <w:adjustRightInd w:val="0"/>
        <w:spacing w:after="240"/>
        <w:ind w:left="360" w:hanging="360"/>
        <w:jc w:val="center"/>
        <w:rPr>
          <w:b/>
        </w:rPr>
      </w:pPr>
      <w:r>
        <w:rPr>
          <w:b/>
        </w:rPr>
        <w:t>E.  Cuestiones relativas a la jurisdicción universal del Estado</w:t>
      </w:r>
      <w:r>
        <w:rPr>
          <w:b/>
        </w:rPr>
        <w:br/>
        <w:t>y a los crímenes de lesa humanidad</w:t>
      </w:r>
    </w:p>
    <w:p w:rsidR="00000000" w:rsidRDefault="00000000">
      <w:pPr>
        <w:autoSpaceDE w:val="0"/>
        <w:autoSpaceDN w:val="0"/>
        <w:adjustRightInd w:val="0"/>
        <w:spacing w:after="240"/>
      </w:pPr>
      <w:r>
        <w:t>48.</w:t>
      </w:r>
      <w:r>
        <w:tab/>
        <w:t>En virtud de lo dispuesto en el artículo 4 del Código Penal, el principio de territorialidad forma el principio general de la aplicación de la ley en el espacio.  Pero el artículo 5, relativo a los hechos cometidos fuera del territorio nacional admite, en el inciso a) del párrafo 1, un conjunto de delitos que pueden ser castigados en Portugal aunque hayan sido cometidos fuera del territorio nacional.  Estos delitos, como la estafa informática y en las comunicaciones (art. 221), tienen sin embargo relación con los intereses nacionales.</w:t>
      </w:r>
    </w:p>
    <w:p w:rsidR="00000000" w:rsidRDefault="00000000">
      <w:pPr>
        <w:autoSpaceDE w:val="0"/>
        <w:autoSpaceDN w:val="0"/>
        <w:adjustRightInd w:val="0"/>
        <w:spacing w:after="240"/>
      </w:pPr>
      <w:r>
        <w:t>49.</w:t>
      </w:r>
      <w:r>
        <w:tab/>
        <w:t>En cambio, el inciso b) del párrafo 1 se refiere al principio de aplicación universal de la legislación penal al prever la persecución de determinados delitos cometidos fuera del territorio nacional, siempre y cuando el autor se encuentre en Portugal y no pueda ser extraditado.  Estos delitos, en los que Portugal reconoce tener jurisdicción universal, son:</w:t>
      </w:r>
    </w:p>
    <w:p w:rsidR="00000000" w:rsidRDefault="00000000">
      <w:pPr>
        <w:numPr>
          <w:ilvl w:val="0"/>
          <w:numId w:val="1"/>
        </w:numPr>
        <w:autoSpaceDE w:val="0"/>
        <w:autoSpaceDN w:val="0"/>
        <w:adjustRightInd w:val="0"/>
        <w:spacing w:after="240"/>
        <w:ind w:left="924" w:hanging="357"/>
      </w:pPr>
      <w:r>
        <w:t>La esclavitud (artículo 159 del Código Penal);</w:t>
      </w:r>
    </w:p>
    <w:p w:rsidR="00000000" w:rsidRDefault="00000000">
      <w:pPr>
        <w:numPr>
          <w:ilvl w:val="0"/>
          <w:numId w:val="1"/>
        </w:numPr>
        <w:autoSpaceDE w:val="0"/>
        <w:autoSpaceDN w:val="0"/>
        <w:adjustRightInd w:val="0"/>
        <w:spacing w:after="240"/>
        <w:ind w:left="924" w:hanging="357"/>
      </w:pPr>
      <w:r>
        <w:t>El secuestro (art. 160);</w:t>
      </w:r>
    </w:p>
    <w:p w:rsidR="00000000" w:rsidRDefault="00000000">
      <w:pPr>
        <w:numPr>
          <w:ilvl w:val="0"/>
          <w:numId w:val="1"/>
        </w:numPr>
        <w:autoSpaceDE w:val="0"/>
        <w:autoSpaceDN w:val="0"/>
        <w:adjustRightInd w:val="0"/>
        <w:spacing w:after="240"/>
        <w:ind w:left="924" w:hanging="357"/>
      </w:pPr>
      <w:r>
        <w:t>La trata de personas (art. 169);</w:t>
      </w:r>
    </w:p>
    <w:p w:rsidR="00000000" w:rsidRDefault="00000000">
      <w:pPr>
        <w:numPr>
          <w:ilvl w:val="0"/>
          <w:numId w:val="1"/>
        </w:numPr>
        <w:autoSpaceDE w:val="0"/>
        <w:autoSpaceDN w:val="0"/>
        <w:adjustRightInd w:val="0"/>
        <w:spacing w:after="240"/>
        <w:ind w:left="924" w:hanging="357"/>
      </w:pPr>
      <w:r>
        <w:t>El abuso sexual de menores (art. 172);</w:t>
      </w:r>
    </w:p>
    <w:p w:rsidR="00000000" w:rsidRDefault="00000000">
      <w:pPr>
        <w:numPr>
          <w:ilvl w:val="0"/>
          <w:numId w:val="1"/>
        </w:numPr>
        <w:autoSpaceDE w:val="0"/>
        <w:autoSpaceDN w:val="0"/>
        <w:adjustRightInd w:val="0"/>
        <w:spacing w:after="240"/>
        <w:ind w:left="924" w:hanging="357"/>
      </w:pPr>
      <w:r>
        <w:t>El abuso sexual de mayores dependientes (art. 173);</w:t>
      </w:r>
    </w:p>
    <w:p w:rsidR="00000000" w:rsidRDefault="00000000">
      <w:pPr>
        <w:numPr>
          <w:ilvl w:val="0"/>
          <w:numId w:val="1"/>
        </w:numPr>
        <w:autoSpaceDE w:val="0"/>
        <w:autoSpaceDN w:val="0"/>
        <w:adjustRightInd w:val="0"/>
        <w:spacing w:after="240"/>
        <w:ind w:left="924" w:hanging="357"/>
      </w:pPr>
      <w:r>
        <w:t>La explotación de la prostitución y la trata de menores (art. 176);</w:t>
      </w:r>
    </w:p>
    <w:p w:rsidR="00000000" w:rsidRDefault="00000000">
      <w:pPr>
        <w:numPr>
          <w:ilvl w:val="0"/>
          <w:numId w:val="1"/>
        </w:numPr>
        <w:autoSpaceDE w:val="0"/>
        <w:autoSpaceDN w:val="0"/>
        <w:adjustRightInd w:val="0"/>
        <w:spacing w:after="240"/>
        <w:ind w:left="924" w:hanging="357"/>
      </w:pPr>
      <w:r>
        <w:t>La incitación a la guerra (art. 236);</w:t>
      </w:r>
    </w:p>
    <w:p w:rsidR="00000000" w:rsidRDefault="00000000">
      <w:pPr>
        <w:numPr>
          <w:ilvl w:val="0"/>
          <w:numId w:val="1"/>
        </w:numPr>
        <w:autoSpaceDE w:val="0"/>
        <w:autoSpaceDN w:val="0"/>
        <w:adjustRightInd w:val="0"/>
        <w:spacing w:after="240"/>
        <w:ind w:left="924" w:hanging="357"/>
      </w:pPr>
      <w:r>
        <w:t>La incitación a la guerra a miembros de las fuerzas armadas (art. 237);</w:t>
      </w:r>
    </w:p>
    <w:p w:rsidR="00000000" w:rsidRDefault="00000000">
      <w:pPr>
        <w:numPr>
          <w:ilvl w:val="0"/>
          <w:numId w:val="1"/>
        </w:numPr>
        <w:autoSpaceDE w:val="0"/>
        <w:autoSpaceDN w:val="0"/>
        <w:adjustRightInd w:val="0"/>
        <w:spacing w:after="240"/>
        <w:ind w:left="924" w:hanging="357"/>
      </w:pPr>
      <w:r>
        <w:t>El reclutamiento de mercenarios (art. 238);</w:t>
      </w:r>
    </w:p>
    <w:p w:rsidR="00000000" w:rsidRDefault="00000000">
      <w:pPr>
        <w:numPr>
          <w:ilvl w:val="0"/>
          <w:numId w:val="1"/>
        </w:numPr>
        <w:autoSpaceDE w:val="0"/>
        <w:autoSpaceDN w:val="0"/>
        <w:adjustRightInd w:val="0"/>
        <w:spacing w:after="240"/>
        <w:ind w:left="924" w:hanging="357"/>
      </w:pPr>
      <w:r>
        <w:t>El genocidio (párrafo 1 del artículo 239); y</w:t>
      </w:r>
    </w:p>
    <w:p w:rsidR="00000000" w:rsidRDefault="00000000">
      <w:pPr>
        <w:numPr>
          <w:ilvl w:val="0"/>
          <w:numId w:val="1"/>
        </w:numPr>
        <w:autoSpaceDE w:val="0"/>
        <w:autoSpaceDN w:val="0"/>
        <w:adjustRightInd w:val="0"/>
        <w:spacing w:after="240"/>
        <w:ind w:left="924" w:hanging="357"/>
      </w:pPr>
      <w:r>
        <w:t>La destrucción de monumentos (art. 242).</w:t>
      </w:r>
    </w:p>
    <w:p w:rsidR="00000000" w:rsidRDefault="00000000">
      <w:pPr>
        <w:autoSpaceDE w:val="0"/>
        <w:autoSpaceDN w:val="0"/>
        <w:adjustRightInd w:val="0"/>
        <w:spacing w:after="240"/>
      </w:pPr>
      <w:r>
        <w:t>50.</w:t>
      </w:r>
      <w:r>
        <w:tab/>
        <w:t>Este principio consagrado en el inciso b) del párrafo 1 del artículo 5 se amplía en el párrafo 2 del mismo artículo, en que se extiende la aplicación de la legislación penal de Portugal a los hechos sucedidos fuera del territorio nacional, independientemente de la nacionalidad de los autores o de las víctimas, siempre que, por tratado o convenio internacional, Portugal se haya obligado a enjuiciarlos.</w:t>
      </w:r>
    </w:p>
    <w:p w:rsidR="00000000" w:rsidRDefault="00000000">
      <w:pPr>
        <w:autoSpaceDE w:val="0"/>
        <w:autoSpaceDN w:val="0"/>
        <w:adjustRightInd w:val="0"/>
        <w:spacing w:after="240"/>
      </w:pPr>
      <w:r>
        <w:t>51.</w:t>
      </w:r>
      <w:r>
        <w:tab/>
        <w:t>El principio está atenuado por el artículo 6, sobre las restricciones a la aplicación de la legislación de Portugal, que tiene por objeto señalar que el enjuiciamiento por hechos cometidos fuera del territorio nacional tiene carácter subsidiario:</w:t>
      </w:r>
    </w:p>
    <w:p w:rsidR="00000000" w:rsidRDefault="00000000">
      <w:pPr>
        <w:autoSpaceDE w:val="0"/>
        <w:autoSpaceDN w:val="0"/>
        <w:adjustRightInd w:val="0"/>
        <w:spacing w:after="240"/>
        <w:ind w:left="567"/>
      </w:pPr>
      <w:r>
        <w:tab/>
        <w:t>"1.</w:t>
      </w:r>
      <w:r>
        <w:tab/>
        <w:t>La aplicación de la legislación de Portugal a hechos perpetrados fuera del territorio nacional únicamente tendrá lugar cuando el autor no haya sido juzgado en el país en que se cometió el hecho o se haya sustraído a la ejecución total o parcial de la condena.</w:t>
      </w:r>
    </w:p>
    <w:p w:rsidR="00000000" w:rsidRDefault="00000000">
      <w:pPr>
        <w:autoSpaceDE w:val="0"/>
        <w:autoSpaceDN w:val="0"/>
        <w:adjustRightInd w:val="0"/>
        <w:spacing w:after="240"/>
        <w:ind w:left="567"/>
      </w:pPr>
      <w:r>
        <w:tab/>
        <w:t>2.</w:t>
      </w:r>
      <w:r>
        <w:tab/>
        <w:t>Aunque la legislación portuguesa sea aplicable, según las condiciones expuestas en el párrafo anterior el hecho se juzgará con arreglo a la legislación del país en que se haya perpetrado si esta legislación es -de forma concreta- más favorable al autor.  La pena aplicable se convierte en la pena que le corresponda en el sistema portugués o, en caso de que no haya correspondencia, en la que la legislación portuguesa prevea para el hecho."</w:t>
      </w:r>
    </w:p>
    <w:p w:rsidR="00000000" w:rsidRDefault="00000000">
      <w:pPr>
        <w:autoSpaceDE w:val="0"/>
        <w:autoSpaceDN w:val="0"/>
        <w:adjustRightInd w:val="0"/>
        <w:spacing w:after="240"/>
      </w:pPr>
      <w:r>
        <w:t>52.</w:t>
      </w:r>
      <w:r>
        <w:tab/>
        <w:t>Todos los tribunales penales pueden ejercer la jurisdicción universal, sean de primera instancia o de apelación (tribunal de</w:t>
      </w:r>
      <w:r>
        <w:rPr>
          <w:iCs/>
        </w:rPr>
        <w:t xml:space="preserve"> </w:t>
      </w:r>
      <w:r>
        <w:rPr>
          <w:i/>
        </w:rPr>
        <w:t>comarca</w:t>
      </w:r>
      <w:r>
        <w:t xml:space="preserve">, de </w:t>
      </w:r>
      <w:r>
        <w:rPr>
          <w:i/>
        </w:rPr>
        <w:t>Relação</w:t>
      </w:r>
      <w:r>
        <w:t xml:space="preserve">, o </w:t>
      </w:r>
      <w:r>
        <w:rPr>
          <w:i/>
        </w:rPr>
        <w:t>Supremo</w:t>
      </w:r>
      <w:r>
        <w:t>, según el funcionamiento del recurso</w:t>
      </w:r>
      <w:r>
        <w:rPr>
          <w:iCs/>
        </w:rPr>
        <w:t xml:space="preserve"> </w:t>
      </w:r>
      <w:r>
        <w:rPr>
          <w:i/>
        </w:rPr>
        <w:t>per saltum</w:t>
      </w:r>
      <w:r>
        <w:t xml:space="preserve"> en las normas de procedimiento de Portugal.</w:t>
      </w:r>
    </w:p>
    <w:p w:rsidR="00000000" w:rsidRDefault="00000000">
      <w:pPr>
        <w:autoSpaceDE w:val="0"/>
        <w:autoSpaceDN w:val="0"/>
        <w:adjustRightInd w:val="0"/>
        <w:spacing w:after="240"/>
      </w:pPr>
      <w:r>
        <w:t>53.</w:t>
      </w:r>
      <w:r>
        <w:tab/>
        <w:t>Por lo que respecta a determinar si la jurisdicción universal es facultativa u obligatoria, en términos generales parecería que existe el deber de enjuiciar, de oficio, por los delitos a los que se aplicaría la jurisdicción universal del Estado.  Obviamente, es obligatorio enjuiciar todos los delitos enunciados en el Código Penal de Portugal (los que aparecen en el inciso b) del párrafo 1 del artículo 5).  El mismo deber existe ciertamente para los delitos previstos en el párrafo 2 del artículo 5.</w:t>
      </w:r>
    </w:p>
    <w:p w:rsidR="00000000" w:rsidRDefault="00000000">
      <w:pPr>
        <w:autoSpaceDE w:val="0"/>
        <w:autoSpaceDN w:val="0"/>
        <w:adjustRightInd w:val="0"/>
        <w:spacing w:after="240"/>
      </w:pPr>
      <w:r>
        <w:t>54.</w:t>
      </w:r>
      <w:r>
        <w:tab/>
        <w:t>Además, puede decirse que la idea de</w:t>
      </w:r>
      <w:r>
        <w:rPr>
          <w:iCs/>
        </w:rPr>
        <w:t xml:space="preserve"> </w:t>
      </w:r>
      <w:r>
        <w:rPr>
          <w:i/>
          <w:iCs/>
        </w:rPr>
        <w:t>acción</w:t>
      </w:r>
      <w:r>
        <w:t xml:space="preserve"> </w:t>
      </w:r>
      <w:r>
        <w:rPr>
          <w:i/>
          <w:iCs/>
        </w:rPr>
        <w:t>popular</w:t>
      </w:r>
      <w:r>
        <w:t xml:space="preserve"> se aplica al ejercicio de la jurisdicción universal.  De este modo, aunque no se tenga interés en iniciar una acción penal, derivada, para cualquier ciudadano, del hecho de ser víctima o encontrarse en una situación en la que la ley le permite intervenir en calidad de demandante o de acusación en el proceso, cualquier persona puede denunciar y presentarse como en carácter accesorio (es decir, a la vez demandante y parte acusadora) cuando se trate de crímenes contra la paz y de lesa humanidad, así como cuando se trate de delitos de tráfico de influencias, corrupción por parte de un funcionario, denegación de justicia, prevaricación, cualquier forma de corrupción, sobre todo la participación económica en un negocio ilícito, abuso de poder y fraude en la obtención de una subvención o de un subsidio (inciso e) del párrafo 1 del artículo 68 del Código de Procedimiento Penal).  Para estos delitos también tiene el deber de intervenir el ministerio público.</w:t>
      </w:r>
    </w:p>
    <w:p w:rsidR="00000000" w:rsidRDefault="00000000">
      <w:pPr>
        <w:autoSpaceDE w:val="0"/>
        <w:autoSpaceDN w:val="0"/>
        <w:adjustRightInd w:val="0"/>
        <w:spacing w:after="240"/>
      </w:pPr>
      <w:r>
        <w:t>55.</w:t>
      </w:r>
      <w:r>
        <w:tab/>
        <w:t>Portugal examinó una solicitud de ejercicio de la jurisdicción universal y la Fiscalía General de la República emitió su opinión, en particular por conducto de su Consejo Consultivo.  Se trataba de una acción entablada por la sección portuguesa de la Comisión Internacional de Juristas contra cinco militares del ejército de Indonesia, a quienes se consideraba responsables de actos de terrorismo, concretamente, de matanzas generalizadas inmediatamente después del referéndum de 1999.  Sin embargo, la Fiscalía General consideró que no concurrían los presupuestos necesarios para el ejercicio de la jurisdicción universal del Estado.  Ello permitió que la jurisdicción internacional se hiciese cargo de enjuiciar estos delitos.</w:t>
      </w:r>
    </w:p>
    <w:p w:rsidR="00000000" w:rsidRDefault="00000000">
      <w:pPr>
        <w:autoSpaceDE w:val="0"/>
        <w:autoSpaceDN w:val="0"/>
        <w:adjustRightInd w:val="0"/>
        <w:spacing w:after="240"/>
        <w:jc w:val="center"/>
        <w:rPr>
          <w:b/>
          <w:bCs/>
        </w:rPr>
      </w:pPr>
      <w:r>
        <w:rPr>
          <w:b/>
          <w:bCs/>
        </w:rPr>
        <w:t>F.  El auxilio judicial internacional</w:t>
      </w:r>
    </w:p>
    <w:p w:rsidR="00000000" w:rsidRDefault="00000000">
      <w:pPr>
        <w:autoSpaceDE w:val="0"/>
        <w:autoSpaceDN w:val="0"/>
        <w:adjustRightInd w:val="0"/>
        <w:spacing w:after="480"/>
      </w:pPr>
      <w:r>
        <w:t>56.</w:t>
      </w:r>
      <w:r>
        <w:tab/>
        <w:t>Nos permitimos remitir a las secciones del presente informe en que se hace referencia al auxilio judicial internacional.  Únicamente reiteramos que el Estado de Portugal garantiza la represión de los actos de tortura, aplicando todos los medios que se acaban de mencionar en este capítulo.</w:t>
      </w:r>
    </w:p>
    <w:p w:rsidR="00000000" w:rsidRDefault="00000000">
      <w:pPr>
        <w:autoSpaceDE w:val="0"/>
        <w:autoSpaceDN w:val="0"/>
        <w:adjustRightInd w:val="0"/>
        <w:spacing w:after="240"/>
        <w:jc w:val="center"/>
        <w:rPr>
          <w:b/>
        </w:rPr>
      </w:pPr>
      <w:r>
        <w:rPr>
          <w:b/>
        </w:rPr>
        <w:t>III.  GARANTÍAS QUE OFRECE EL PROCEDIMIENTO PENAL</w:t>
      </w:r>
    </w:p>
    <w:p w:rsidR="00000000" w:rsidRDefault="00000000">
      <w:pPr>
        <w:numPr>
          <w:ilvl w:val="0"/>
          <w:numId w:val="2"/>
        </w:numPr>
        <w:tabs>
          <w:tab w:val="clear" w:pos="1065"/>
        </w:tabs>
        <w:autoSpaceDE w:val="0"/>
        <w:autoSpaceDN w:val="0"/>
        <w:adjustRightInd w:val="0"/>
        <w:spacing w:after="240"/>
        <w:ind w:left="0" w:firstLine="0"/>
      </w:pPr>
      <w:r>
        <w:t>En el capítulo III se abordarán las garantías contra la tortura de los detenidos durante el proceso penal:  se tratarán los problemas asociados con las garantías personales en lo que respecta a la detención, la prisión preventiva, la vigilancia electrónica, la vigilancia ejercida sobre las autoridades de detención y el derecho de presentar una queja.</w:t>
      </w:r>
    </w:p>
    <w:p w:rsidR="00000000" w:rsidRDefault="00000000">
      <w:pPr>
        <w:autoSpaceDE w:val="0"/>
        <w:autoSpaceDN w:val="0"/>
        <w:adjustRightInd w:val="0"/>
        <w:spacing w:after="240"/>
        <w:jc w:val="center"/>
        <w:rPr>
          <w:b/>
          <w:bCs/>
        </w:rPr>
      </w:pPr>
      <w:r>
        <w:rPr>
          <w:b/>
          <w:bCs/>
        </w:rPr>
        <w:t>A.  Garantías personales en lo que respecta a la detención</w:t>
      </w:r>
    </w:p>
    <w:p w:rsidR="00000000" w:rsidRDefault="00000000">
      <w:pPr>
        <w:autoSpaceDE w:val="0"/>
        <w:autoSpaceDN w:val="0"/>
        <w:adjustRightInd w:val="0"/>
        <w:spacing w:after="240"/>
        <w:rPr>
          <w:b/>
          <w:bCs/>
          <w:iCs/>
        </w:rPr>
      </w:pPr>
      <w:r>
        <w:rPr>
          <w:b/>
          <w:bCs/>
          <w:iCs/>
        </w:rPr>
        <w:t>1.</w:t>
      </w:r>
      <w:r>
        <w:rPr>
          <w:b/>
          <w:bCs/>
          <w:iCs/>
        </w:rPr>
        <w:tab/>
        <w:t>El sospechoso</w:t>
      </w:r>
    </w:p>
    <w:p w:rsidR="00000000" w:rsidRDefault="00000000">
      <w:pPr>
        <w:autoSpaceDE w:val="0"/>
        <w:autoSpaceDN w:val="0"/>
        <w:adjustRightInd w:val="0"/>
        <w:spacing w:after="240"/>
      </w:pPr>
      <w:r>
        <w:t>58.</w:t>
      </w:r>
      <w:r>
        <w:tab/>
        <w:t>Antes de examinar las cuestiones relativas a la prisión preventiva, cabe mencionar las garantías personales en lo que respecta a la detención.  Puede procederse a una detención para identificar a una persona que no lleve consigo sus documentos de identidad.  Esta cuestión está regida por la Ley Nº 5/95 de 21 de febrero, que establece el deber de llevar consigo un documento de identidad.  Si no se presenta este documento, la policía está autorizada a proceder a las operaciones necesarias para identificar a la persona, durante un período que no puede exceder de dos horas, en caso necesario, acompañando al interesado a su domicilio o poniéndose en contacto con las personas a las que éste haya designado, su familia o su abogado.</w:t>
      </w:r>
    </w:p>
    <w:p w:rsidR="00000000" w:rsidRDefault="00000000">
      <w:pPr>
        <w:autoSpaceDE w:val="0"/>
        <w:autoSpaceDN w:val="0"/>
        <w:adjustRightInd w:val="0"/>
        <w:spacing w:after="240"/>
      </w:pPr>
      <w:r>
        <w:t>59</w:t>
      </w:r>
      <w:r>
        <w:rPr>
          <w:iCs/>
        </w:rPr>
        <w:t>.</w:t>
      </w:r>
      <w:r>
        <w:rPr>
          <w:iCs/>
        </w:rPr>
        <w:tab/>
      </w:r>
      <w:r>
        <w:t>Esta primera situación de detención es una detención con fines de identificación, y no tiene carácter no penal.  Con arreglo a lo dispuesto en el artículo 250 del Código de Procedimiento Penal, el período para la identificación puede ser más largo -siempre que no supere las seis horas- cuando se sospecha que la persona a la que se trata de identificar ha perpetrado un delito, tiene pendiente un proceso de extradición o de expulsión, ha entrado o permanece de manera irregular en el territorio nacional o existe contra ella una orden de detención.</w:t>
      </w:r>
    </w:p>
    <w:p w:rsidR="00000000" w:rsidRDefault="00000000">
      <w:pPr>
        <w:autoSpaceDE w:val="0"/>
        <w:autoSpaceDN w:val="0"/>
        <w:adjustRightInd w:val="0"/>
        <w:spacing w:after="240"/>
      </w:pPr>
      <w:r>
        <w:t>60.</w:t>
      </w:r>
      <w:r>
        <w:tab/>
        <w:t>Antes de proceder a la identificación de la persona, los agentes de la policía criminal deben identificarse como tales, comunicar al sospechoso las circunstancias que fundamentan el deber de identificarlo e indicar los medios por los que el sospechoso puede identificarse.  Una vez más, el sospechoso tiene derecho a comunicarse con cualquier persona que pueda traerle sus documentos, desplazarse con los agentes de la policía criminal hasta el lugar en que se encuentran dichos documentos o hacer que reconozca su identidad una persona debidamente identificada que garantice la veracidad de los datos personales indicados por el sospechoso.</w:t>
      </w:r>
    </w:p>
    <w:p w:rsidR="00000000" w:rsidRDefault="00000000">
      <w:pPr>
        <w:autoSpaceDE w:val="0"/>
        <w:autoSpaceDN w:val="0"/>
        <w:adjustRightInd w:val="0"/>
        <w:spacing w:after="240"/>
        <w:rPr>
          <w:iCs/>
        </w:rPr>
      </w:pPr>
      <w:r>
        <w:t>61.</w:t>
      </w:r>
      <w:r>
        <w:tab/>
        <w:t>A continuación viene la fase de la detención propiamente dicha, que es la detención preventiva, con presentación del acusado ante un juez o un fiscal (en determinadas circunstancias) en las 48 horas (párrafo 1 del artículo 141 del Código de Procedimiento Penal) con objeto de ponerlo en libertad o de confirmar su detención, que en ese momento pasa a ser prisión preventiva.</w:t>
      </w:r>
    </w:p>
    <w:p w:rsidR="00000000" w:rsidRDefault="00000000">
      <w:pPr>
        <w:autoSpaceDE w:val="0"/>
        <w:autoSpaceDN w:val="0"/>
        <w:adjustRightInd w:val="0"/>
        <w:spacing w:after="240"/>
        <w:rPr>
          <w:b/>
          <w:bCs/>
        </w:rPr>
      </w:pPr>
      <w:r>
        <w:rPr>
          <w:b/>
          <w:bCs/>
        </w:rPr>
        <w:t>2.</w:t>
      </w:r>
      <w:r>
        <w:rPr>
          <w:b/>
          <w:bCs/>
        </w:rPr>
        <w:tab/>
        <w:t>El acusado</w:t>
      </w:r>
    </w:p>
    <w:p w:rsidR="00000000" w:rsidRDefault="00000000">
      <w:pPr>
        <w:autoSpaceDE w:val="0"/>
        <w:autoSpaceDN w:val="0"/>
        <w:adjustRightInd w:val="0"/>
        <w:spacing w:after="240"/>
      </w:pPr>
      <w:r>
        <w:t>62.</w:t>
      </w:r>
      <w:r>
        <w:tab/>
        <w:t>En este momento es cuando el sospechoso se convierte en acusado, con todos los derechos y garantías que ello implica.  En efecto, la detención preventiva es una medida coercitiva y en el artículo 58 del Código de Procedimiento Penal se dispone que el sospechoso se convierte inmediatamente en acusado en el momento en que se aplica una medida de este tipo.</w:t>
      </w:r>
    </w:p>
    <w:p w:rsidR="00000000" w:rsidRDefault="00000000">
      <w:pPr>
        <w:autoSpaceDE w:val="0"/>
        <w:autoSpaceDN w:val="0"/>
        <w:adjustRightInd w:val="0"/>
        <w:spacing w:after="240"/>
      </w:pPr>
      <w:r>
        <w:t>63.</w:t>
      </w:r>
      <w:r>
        <w:tab/>
        <w:t>La transformación en acusado se produce mediante la comunicación verbal o escrita al sospechoso por la cual una autoridad judicial o agente de la policía criminal le notifica que, a partir de ese momento, debe considerarse como acusado en un procedimiento penal.  Esta comunicación está acompañada de la indicación y, en caso necesario, la explicación de los derechos y deberes de procedimiento que le corresponden desde ese momento.</w:t>
      </w:r>
    </w:p>
    <w:p w:rsidR="00000000" w:rsidRDefault="00000000">
      <w:pPr>
        <w:autoSpaceDE w:val="0"/>
        <w:autoSpaceDN w:val="0"/>
        <w:adjustRightInd w:val="0"/>
        <w:spacing w:after="240"/>
      </w:pPr>
      <w:r>
        <w:t>64.</w:t>
      </w:r>
      <w:r>
        <w:tab/>
        <w:t>La transformación en acusado conlleva la entrega, en la medida de lo posible en el acto, de un documento en que se encuentran la identificación del proceso y del defensor, si este último ya está designado, así como el enunciado de los derechos y deberes de procedimiento mencionados en el artículo 61 del Código de Procedimiento Penal.</w:t>
      </w:r>
    </w:p>
    <w:p w:rsidR="00000000" w:rsidRDefault="00000000">
      <w:pPr>
        <w:autoSpaceDE w:val="0"/>
        <w:autoSpaceDN w:val="0"/>
        <w:adjustRightInd w:val="0"/>
        <w:spacing w:after="240"/>
      </w:pPr>
      <w:r>
        <w:t>65.</w:t>
      </w:r>
      <w:r>
        <w:tab/>
        <w:t xml:space="preserve">Si se omiten o infringen las formalidades previstas en los párrafos 2 y 3 del artículo 58 </w:t>
      </w:r>
      <w:r>
        <w:noBreakHyphen/>
        <w:t>que acaban de exponerse- las declaraciones que emita la persona destinataria de estas medidas no podrán utilizarse como prueba en su contra (párrafo 4 del artículo 58 del Código de Procedimiento Penal).</w:t>
      </w:r>
    </w:p>
    <w:p w:rsidR="00000000" w:rsidRDefault="00000000">
      <w:pPr>
        <w:autoSpaceDE w:val="0"/>
        <w:autoSpaceDN w:val="0"/>
        <w:adjustRightInd w:val="0"/>
        <w:spacing w:after="240"/>
      </w:pPr>
      <w:r>
        <w:t>66.</w:t>
      </w:r>
      <w:r>
        <w:tab/>
        <w:t>Con arreglo a lo dispuesto en el artículo 61 del Código de Procedimiento Penal, el acusado goza, a partir del momento de su transformación en tal, con arreglo a lo dispuesto en el artículo 58 de este mismo Código, y en todas las fases del proceso, de los siguientes derechos:</w:t>
      </w:r>
    </w:p>
    <w:p w:rsidR="00000000" w:rsidRDefault="00000000">
      <w:pPr>
        <w:autoSpaceDE w:val="0"/>
        <w:autoSpaceDN w:val="0"/>
        <w:adjustRightInd w:val="0"/>
        <w:spacing w:after="240"/>
        <w:ind w:left="1134" w:hanging="567"/>
      </w:pPr>
      <w:r>
        <w:t>a)</w:t>
      </w:r>
      <w:r>
        <w:tab/>
        <w:t>A estar presente en los actos del procedimiento que le afecte directamente;</w:t>
      </w:r>
    </w:p>
    <w:p w:rsidR="00000000" w:rsidRDefault="00000000">
      <w:pPr>
        <w:autoSpaceDE w:val="0"/>
        <w:autoSpaceDN w:val="0"/>
        <w:adjustRightInd w:val="0"/>
        <w:spacing w:after="240"/>
        <w:ind w:left="1134" w:hanging="567"/>
      </w:pPr>
      <w:r>
        <w:t>b)</w:t>
      </w:r>
      <w:r>
        <w:tab/>
        <w:t>A ser oído por el tribunal o por el juez de instrucción cada vez que deba adoptarse una decisión que le afecte personalmente;</w:t>
      </w:r>
    </w:p>
    <w:p w:rsidR="00000000" w:rsidRDefault="00000000">
      <w:pPr>
        <w:autoSpaceDE w:val="0"/>
        <w:autoSpaceDN w:val="0"/>
        <w:adjustRightInd w:val="0"/>
        <w:spacing w:after="240"/>
        <w:ind w:left="1134" w:hanging="567"/>
      </w:pPr>
      <w:r>
        <w:t>c)</w:t>
      </w:r>
      <w:r>
        <w:tab/>
        <w:t>A no responder a las preguntas formuladas por cualquier órgano sobre los hechos que se le imputen o sobre el contenido de las declaraciones que pueda hacer sobre esos hechos;</w:t>
      </w:r>
    </w:p>
    <w:p w:rsidR="00000000" w:rsidRDefault="00000000">
      <w:pPr>
        <w:autoSpaceDE w:val="0"/>
        <w:autoSpaceDN w:val="0"/>
        <w:adjustRightInd w:val="0"/>
        <w:spacing w:after="240"/>
        <w:ind w:left="1134" w:hanging="567"/>
      </w:pPr>
      <w:r>
        <w:t>d)</w:t>
      </w:r>
      <w:r>
        <w:tab/>
        <w:t>A elegir un defensor, o solicitar al tribunal que le designe uno;</w:t>
      </w:r>
    </w:p>
    <w:p w:rsidR="00000000" w:rsidRDefault="00000000">
      <w:pPr>
        <w:autoSpaceDE w:val="0"/>
        <w:autoSpaceDN w:val="0"/>
        <w:adjustRightInd w:val="0"/>
        <w:spacing w:after="240"/>
        <w:ind w:left="1134" w:hanging="567"/>
      </w:pPr>
      <w:r>
        <w:t>e)</w:t>
      </w:r>
      <w:r>
        <w:tab/>
        <w:t>A la asistencia de un defensor en todos los actos de procedimiento en los que participe y, cuando esté detenido, a comunicarse con él, incluso en privado;</w:t>
      </w:r>
    </w:p>
    <w:p w:rsidR="00000000" w:rsidRDefault="00000000">
      <w:pPr>
        <w:autoSpaceDE w:val="0"/>
        <w:autoSpaceDN w:val="0"/>
        <w:adjustRightInd w:val="0"/>
        <w:spacing w:after="240"/>
        <w:ind w:left="1134" w:hanging="567"/>
      </w:pPr>
      <w:r>
        <w:t>f)</w:t>
      </w:r>
      <w:r>
        <w:tab/>
        <w:t>a intervenir en la investigación y en la instrucción, ofreciendo pruebas y solicitando las diligencias que le parezcan necesarias;</w:t>
      </w:r>
    </w:p>
    <w:p w:rsidR="00000000" w:rsidRDefault="00000000">
      <w:pPr>
        <w:autoSpaceDE w:val="0"/>
        <w:autoSpaceDN w:val="0"/>
        <w:adjustRightInd w:val="0"/>
        <w:spacing w:after="240"/>
        <w:ind w:left="1134" w:hanging="567"/>
      </w:pPr>
      <w:r>
        <w:t>g)</w:t>
      </w:r>
      <w:r>
        <w:tab/>
        <w:t>A ser informado de sus derechos por la autoridad judicial o por los órganos de la policía criminal ante los que está obligado a comparecer;</w:t>
      </w:r>
    </w:p>
    <w:p w:rsidR="00000000" w:rsidRDefault="00000000">
      <w:pPr>
        <w:autoSpaceDE w:val="0"/>
        <w:autoSpaceDN w:val="0"/>
        <w:adjustRightInd w:val="0"/>
        <w:spacing w:after="240"/>
        <w:ind w:left="1134" w:hanging="567"/>
      </w:pPr>
      <w:r>
        <w:t>h)</w:t>
      </w:r>
      <w:r>
        <w:tab/>
        <w:t>A interponer recurso, en las condiciones marcadas por la ley, contra las decisiones que le sean desfavorables.</w:t>
      </w:r>
    </w:p>
    <w:p w:rsidR="00000000" w:rsidRDefault="00000000">
      <w:pPr>
        <w:autoSpaceDE w:val="0"/>
        <w:autoSpaceDN w:val="0"/>
        <w:adjustRightInd w:val="0"/>
        <w:spacing w:after="240"/>
      </w:pPr>
      <w:r>
        <w:t>La comunicación privada antes mencionada en el inciso e) (que corresponde al inciso e) del artículo 61), tiene lugar bajo vigilancia, cuando ésta se impone por motivos de seguridad, pero en condiciones tales que no pueda ser oída por la persona encargada de la vigilancia.</w:t>
      </w:r>
    </w:p>
    <w:p w:rsidR="00000000" w:rsidRDefault="00000000">
      <w:pPr>
        <w:autoSpaceDE w:val="0"/>
        <w:autoSpaceDN w:val="0"/>
        <w:adjustRightInd w:val="0"/>
        <w:spacing w:after="240"/>
      </w:pPr>
      <w:r>
        <w:t>67.</w:t>
      </w:r>
      <w:r>
        <w:tab/>
        <w:t>El acusado también tiene deberes (párrafo 3 del artículo 61):</w:t>
      </w:r>
    </w:p>
    <w:p w:rsidR="00000000" w:rsidRDefault="00000000">
      <w:pPr>
        <w:autoSpaceDE w:val="0"/>
        <w:autoSpaceDN w:val="0"/>
        <w:adjustRightInd w:val="0"/>
        <w:spacing w:after="240"/>
        <w:ind w:left="1134" w:hanging="567"/>
      </w:pPr>
      <w:r>
        <w:t>a)</w:t>
      </w:r>
      <w:r>
        <w:tab/>
        <w:t>Debe comparecer ante el juez, el ministerio público o los órganos de policía criminal cuando la ley lo determina y ha sido debidamente convocado;</w:t>
      </w:r>
    </w:p>
    <w:p w:rsidR="00000000" w:rsidRDefault="00000000">
      <w:pPr>
        <w:autoSpaceDE w:val="0"/>
        <w:autoSpaceDN w:val="0"/>
        <w:adjustRightInd w:val="0"/>
        <w:spacing w:after="240"/>
        <w:ind w:left="1134" w:hanging="567"/>
      </w:pPr>
      <w:r>
        <w:t>b)</w:t>
      </w:r>
      <w:r>
        <w:tab/>
        <w:t>Debe responder con veracidad a las preguntas que le formule una autoridad competente sobre su identidad y, cuando la ley lo determina, sobre sus antecedentes penales;</w:t>
      </w:r>
    </w:p>
    <w:p w:rsidR="00000000" w:rsidRDefault="00000000">
      <w:pPr>
        <w:autoSpaceDE w:val="0"/>
        <w:autoSpaceDN w:val="0"/>
        <w:adjustRightInd w:val="0"/>
        <w:spacing w:after="240"/>
        <w:ind w:left="1134" w:hanging="567"/>
      </w:pPr>
      <w:r>
        <w:t>c)</w:t>
      </w:r>
      <w:r>
        <w:tab/>
        <w:t>Debe mantenerse a disposición de la justicia, sobre todo en lo referente a la residencia;</w:t>
      </w:r>
    </w:p>
    <w:p w:rsidR="00000000" w:rsidRDefault="00000000">
      <w:pPr>
        <w:autoSpaceDE w:val="0"/>
        <w:autoSpaceDN w:val="0"/>
        <w:adjustRightInd w:val="0"/>
        <w:spacing w:after="240"/>
        <w:ind w:left="1134" w:hanging="567"/>
      </w:pPr>
      <w:r>
        <w:t>d)</w:t>
      </w:r>
      <w:r>
        <w:tab/>
        <w:t>Debe someterse a las diligencias de prueba y a las medidas coercitivas y de garantía patrimonial especificadas en la ley y ordenadas y efectuadas por una autoridad competente.</w:t>
      </w:r>
    </w:p>
    <w:p w:rsidR="00000000" w:rsidRDefault="00000000">
      <w:pPr>
        <w:autoSpaceDE w:val="0"/>
        <w:autoSpaceDN w:val="0"/>
        <w:adjustRightInd w:val="0"/>
        <w:spacing w:after="240"/>
      </w:pPr>
      <w:r>
        <w:t>68.</w:t>
      </w:r>
      <w:r>
        <w:tab/>
        <w:t>En virtud de lo dispuesto en el artículo 62 del Código de Procedimiento Penal, el acusado puede disponer de la asistencia de un abogado en cualquier momento del proceso.  En los casos en que la ley determine que el acusado debe estar asistido por  un defensor y éste no lo haya designado o no se haya constituido como tal, el juez le designará de oficio un abogado o pasante, que cesará en sus funciones en el momento en que el acusado nombre a un abogado.  Excepcionalmente, en caso de urgencia, si es imposible designar a un abogado o pasante, se podrá nombrar a una persona idónea que posea preferentemente una licenciatura en derecho, que cesará en sus funciones en cuanto sea posible nombrar a un abogado o a un pasante.</w:t>
      </w:r>
    </w:p>
    <w:p w:rsidR="00000000" w:rsidRDefault="00000000">
      <w:pPr>
        <w:autoSpaceDE w:val="0"/>
        <w:autoSpaceDN w:val="0"/>
        <w:adjustRightInd w:val="0"/>
        <w:spacing w:after="240"/>
      </w:pPr>
      <w:r>
        <w:t>69.</w:t>
      </w:r>
      <w:r>
        <w:tab/>
        <w:t>Cuando el acusado es sordo, mudo, analfabeto, no conoce el idioma portugués, es menor de 21 años y cuando se plantea la cuestión de su inimputablidad o de inimputabilidad reducida, el ministerio público le designa de oficio un abogado.</w:t>
      </w:r>
    </w:p>
    <w:p w:rsidR="00000000" w:rsidRDefault="00000000">
      <w:pPr>
        <w:autoSpaceDE w:val="0"/>
        <w:autoSpaceDN w:val="0"/>
        <w:adjustRightInd w:val="0"/>
        <w:spacing w:after="240"/>
      </w:pPr>
      <w:r>
        <w:t>70.</w:t>
      </w:r>
      <w:r>
        <w:tab/>
        <w:t xml:space="preserve">Esta designación </w:t>
      </w:r>
      <w:r>
        <w:rPr>
          <w:i/>
          <w:iCs/>
        </w:rPr>
        <w:t>ex officio</w:t>
      </w:r>
      <w:r>
        <w:t xml:space="preserve"> es igualmente obligatoria cuando el acusado no tiene un mandatario constituido o un defensor designado en el momento de la clausura de la investigación, si es el ministerio público quien presenta la acusación.  Esto se aplica asimismo para el primer interrogatorio no judicial de un acusado detenido, que puede solicitar la asistencia de un abogado.</w:t>
      </w:r>
    </w:p>
    <w:p w:rsidR="00000000" w:rsidRDefault="00000000">
      <w:pPr>
        <w:autoSpaceDE w:val="0"/>
        <w:autoSpaceDN w:val="0"/>
        <w:adjustRightInd w:val="0"/>
        <w:spacing w:after="240"/>
      </w:pPr>
      <w:r>
        <w:t>71.</w:t>
      </w:r>
      <w:r>
        <w:tab/>
        <w:t>Con arreglo a lo dispuesto en el artículo 64 del Código de Procedimiento Penal, la asistencia de un defensor es obligatoria:</w:t>
      </w:r>
    </w:p>
    <w:p w:rsidR="00000000" w:rsidRDefault="00000000">
      <w:pPr>
        <w:autoSpaceDE w:val="0"/>
        <w:autoSpaceDN w:val="0"/>
        <w:adjustRightInd w:val="0"/>
        <w:spacing w:after="240"/>
        <w:ind w:left="1134" w:hanging="567"/>
      </w:pPr>
      <w:r>
        <w:t>a)</w:t>
      </w:r>
      <w:r>
        <w:tab/>
        <w:t>En el primer interrogatorio judicial de un acusado detenido;</w:t>
      </w:r>
    </w:p>
    <w:p w:rsidR="00000000" w:rsidRDefault="00000000">
      <w:pPr>
        <w:autoSpaceDE w:val="0"/>
        <w:autoSpaceDN w:val="0"/>
        <w:adjustRightInd w:val="0"/>
        <w:spacing w:after="240"/>
        <w:ind w:left="1134" w:hanging="567"/>
      </w:pPr>
      <w:r>
        <w:t>b)</w:t>
      </w:r>
      <w:r>
        <w:tab/>
        <w:t>En el debate de instrucción y en la audiencia, salvo si se trata de un proceso que no puede dar lugar a la aplicación de una pena de prisión o de una medida de internamiento;</w:t>
      </w:r>
    </w:p>
    <w:p w:rsidR="00000000" w:rsidRDefault="00000000">
      <w:pPr>
        <w:autoSpaceDE w:val="0"/>
        <w:autoSpaceDN w:val="0"/>
        <w:adjustRightInd w:val="0"/>
        <w:spacing w:after="240"/>
        <w:ind w:left="1134" w:hanging="567"/>
      </w:pPr>
      <w:r>
        <w:t>c)</w:t>
      </w:r>
      <w:r>
        <w:tab/>
        <w:t>En todo acto de procedimiento, cuando el detenido es sordo, mudo, analfabeto, no conoce el idioma portugués, es menor de 21 años o cuando se plantea la cuestión de su inimputabilidad o de su imputabilidad reducida;</w:t>
      </w:r>
    </w:p>
    <w:p w:rsidR="00000000" w:rsidRDefault="00000000">
      <w:pPr>
        <w:autoSpaceDE w:val="0"/>
        <w:autoSpaceDN w:val="0"/>
        <w:adjustRightInd w:val="0"/>
        <w:spacing w:after="240"/>
        <w:ind w:left="1134" w:hanging="567"/>
      </w:pPr>
      <w:r>
        <w:t>d)</w:t>
      </w:r>
      <w:r>
        <w:tab/>
        <w:t>En los recursos ordinarios o extraordinarios;</w:t>
      </w:r>
    </w:p>
    <w:p w:rsidR="00000000" w:rsidRDefault="00000000">
      <w:pPr>
        <w:autoSpaceDE w:val="0"/>
        <w:autoSpaceDN w:val="0"/>
        <w:adjustRightInd w:val="0"/>
        <w:spacing w:after="240"/>
        <w:ind w:left="1134" w:hanging="567"/>
      </w:pPr>
      <w:r>
        <w:t>e)</w:t>
      </w:r>
      <w:r>
        <w:tab/>
        <w:t>En los casos a que se refieren los artículos 271 y 294 (testimonios y declaraciones para dejar constancia para el futuro);</w:t>
      </w:r>
    </w:p>
    <w:p w:rsidR="00000000" w:rsidRDefault="00000000">
      <w:pPr>
        <w:autoSpaceDE w:val="0"/>
        <w:autoSpaceDN w:val="0"/>
        <w:adjustRightInd w:val="0"/>
        <w:spacing w:after="240"/>
        <w:ind w:left="1134" w:hanging="567"/>
      </w:pPr>
      <w:r>
        <w:t>f)</w:t>
      </w:r>
      <w:r>
        <w:tab/>
        <w:t>En la audiencia del juicio, cuando ésta se celebra en ausencia del acusado;</w:t>
      </w:r>
    </w:p>
    <w:p w:rsidR="00000000" w:rsidRDefault="00000000">
      <w:pPr>
        <w:autoSpaceDE w:val="0"/>
        <w:autoSpaceDN w:val="0"/>
        <w:adjustRightInd w:val="0"/>
        <w:spacing w:after="240"/>
        <w:ind w:left="1134" w:hanging="567"/>
      </w:pPr>
      <w:r>
        <w:t>g)</w:t>
      </w:r>
      <w:r>
        <w:tab/>
        <w:t>En todos los casos previstos por la ley.</w:t>
      </w:r>
    </w:p>
    <w:p w:rsidR="00000000" w:rsidRDefault="00000000">
      <w:pPr>
        <w:numPr>
          <w:ilvl w:val="0"/>
          <w:numId w:val="3"/>
        </w:numPr>
        <w:tabs>
          <w:tab w:val="clear" w:pos="1065"/>
        </w:tabs>
        <w:autoSpaceDE w:val="0"/>
        <w:autoSpaceDN w:val="0"/>
        <w:adjustRightInd w:val="0"/>
        <w:spacing w:after="240"/>
        <w:ind w:left="0" w:firstLine="0"/>
      </w:pPr>
      <w:r>
        <w:t>Además de los elementos que se acaban de analizar, también conviene mencionar los medios de prueba (artículo 124 y siguientes del Código de Procedimiento Penal) y las garantías que los acompañan.</w:t>
      </w:r>
    </w:p>
    <w:p w:rsidR="00000000" w:rsidRDefault="00000000">
      <w:pPr>
        <w:autoSpaceDE w:val="0"/>
        <w:autoSpaceDN w:val="0"/>
        <w:adjustRightInd w:val="0"/>
        <w:spacing w:after="240"/>
        <w:rPr>
          <w:b/>
          <w:bCs/>
        </w:rPr>
      </w:pPr>
      <w:r>
        <w:rPr>
          <w:b/>
          <w:bCs/>
        </w:rPr>
        <w:t>3.</w:t>
      </w:r>
      <w:r>
        <w:rPr>
          <w:b/>
          <w:bCs/>
        </w:rPr>
        <w:tab/>
        <w:t>La prueba</w:t>
      </w:r>
    </w:p>
    <w:p w:rsidR="00000000" w:rsidRDefault="00000000">
      <w:pPr>
        <w:autoSpaceDE w:val="0"/>
        <w:autoSpaceDN w:val="0"/>
        <w:adjustRightInd w:val="0"/>
        <w:spacing w:after="240"/>
      </w:pPr>
      <w:r>
        <w:t>73.</w:t>
      </w:r>
      <w:r>
        <w:tab/>
        <w:t>En virtud de lo dispuesto en el artículo 124 del Código de Procedimiento Penal, el objeto de prueba son todos los hechos jurídicamente pertinentes para la existencia o inexistencia del delito, la punibilidad o no punibilidad del acusado y la determinación de la pena o medida de seguridad aplicable.</w:t>
      </w:r>
    </w:p>
    <w:p w:rsidR="00000000" w:rsidRDefault="00000000">
      <w:pPr>
        <w:autoSpaceDE w:val="0"/>
        <w:autoSpaceDN w:val="0"/>
        <w:adjustRightInd w:val="0"/>
        <w:spacing w:after="240"/>
      </w:pPr>
      <w:r>
        <w:t>74.</w:t>
      </w:r>
      <w:r>
        <w:tab/>
        <w:t>En general, son admisibles las pruebas que no están prohibidas por la ley, pues el artículo 126 del Código de Procedimiento Penal prohíbe los métodos de prueba siguientes:</w:t>
      </w:r>
    </w:p>
    <w:p w:rsidR="00000000" w:rsidRDefault="00000000">
      <w:pPr>
        <w:autoSpaceDE w:val="0"/>
        <w:autoSpaceDN w:val="0"/>
        <w:adjustRightInd w:val="0"/>
        <w:spacing w:after="240"/>
        <w:ind w:left="567" w:firstLine="567"/>
      </w:pPr>
      <w:r>
        <w:t>"1.</w:t>
      </w:r>
      <w:r>
        <w:tab/>
        <w:t>Las pruebas obtenidas por medio de torturas, coacción o, en general, un daño contra la integridad física o moral de las personas, son nulas y no pueden utilizarse;</w:t>
      </w:r>
    </w:p>
    <w:p w:rsidR="00000000" w:rsidRDefault="00000000">
      <w:pPr>
        <w:autoSpaceDE w:val="0"/>
        <w:autoSpaceDN w:val="0"/>
        <w:adjustRightInd w:val="0"/>
        <w:spacing w:after="240"/>
        <w:ind w:left="567" w:firstLine="567"/>
      </w:pPr>
      <w:r>
        <w:t>2.</w:t>
      </w:r>
      <w:r>
        <w:tab/>
        <w:t>Son nulas las siguientes pruebas, pues suponen un daño contra la integridad física y moral de las personas, cuando se obtienen por medio de:</w:t>
      </w:r>
    </w:p>
    <w:p w:rsidR="00000000" w:rsidRDefault="00000000">
      <w:pPr>
        <w:autoSpaceDE w:val="0"/>
        <w:autoSpaceDN w:val="0"/>
        <w:adjustRightInd w:val="0"/>
        <w:spacing w:after="240"/>
        <w:ind w:left="567" w:firstLine="567"/>
      </w:pPr>
      <w:r>
        <w:t>a)</w:t>
      </w:r>
      <w:r>
        <w:tab/>
        <w:t>Una perturbación de la libre voluntad o decisión por medio de malos tratos, ofensas corporales, administración de medios de todo tipo, hipnosis o medios crueles o engañosos;</w:t>
      </w:r>
    </w:p>
    <w:p w:rsidR="00000000" w:rsidRDefault="00000000">
      <w:pPr>
        <w:autoSpaceDE w:val="0"/>
        <w:autoSpaceDN w:val="0"/>
        <w:adjustRightInd w:val="0"/>
        <w:spacing w:after="240"/>
        <w:ind w:left="567" w:firstLine="567"/>
      </w:pPr>
      <w:r>
        <w:t>b)</w:t>
      </w:r>
      <w:r>
        <w:tab/>
        <w:t>Una perturbación, por cualquier medio, de la capacidad de memoria o evaluación;</w:t>
      </w:r>
    </w:p>
    <w:p w:rsidR="00000000" w:rsidRDefault="00000000">
      <w:pPr>
        <w:autoSpaceDE w:val="0"/>
        <w:autoSpaceDN w:val="0"/>
        <w:adjustRightInd w:val="0"/>
        <w:spacing w:after="240"/>
        <w:ind w:left="567" w:firstLine="567"/>
      </w:pPr>
      <w:r>
        <w:t>c)</w:t>
      </w:r>
      <w:r>
        <w:tab/>
        <w:t>El empleo de la fuerza, fuera de los casos y los límites permitidos por la ley;</w:t>
      </w:r>
    </w:p>
    <w:p w:rsidR="00000000" w:rsidRDefault="00000000">
      <w:pPr>
        <w:autoSpaceDE w:val="0"/>
        <w:autoSpaceDN w:val="0"/>
        <w:adjustRightInd w:val="0"/>
        <w:spacing w:after="240"/>
        <w:ind w:left="567" w:firstLine="567"/>
      </w:pPr>
      <w:r>
        <w:t>d)</w:t>
      </w:r>
      <w:r>
        <w:tab/>
        <w:t>La amenaza de utilización de una medida legalmente inadmisible, así como la negación, rechazo o condicionamiento de la obtención de un beneficio previsto legalmente;</w:t>
      </w:r>
    </w:p>
    <w:p w:rsidR="00000000" w:rsidRDefault="00000000">
      <w:pPr>
        <w:autoSpaceDE w:val="0"/>
        <w:autoSpaceDN w:val="0"/>
        <w:adjustRightInd w:val="0"/>
        <w:spacing w:after="240"/>
        <w:ind w:left="567" w:firstLine="567"/>
      </w:pPr>
      <w:r>
        <w:t>e)</w:t>
      </w:r>
      <w:r>
        <w:tab/>
        <w:t>La promesa de una ventaja legalmente inadmisible.</w:t>
      </w:r>
    </w:p>
    <w:p w:rsidR="00000000" w:rsidRDefault="00000000">
      <w:pPr>
        <w:autoSpaceDE w:val="0"/>
        <w:autoSpaceDN w:val="0"/>
        <w:adjustRightInd w:val="0"/>
        <w:spacing w:after="240"/>
        <w:ind w:left="567" w:firstLine="567"/>
      </w:pPr>
      <w:r>
        <w:t>3.</w:t>
      </w:r>
      <w:r>
        <w:tab/>
        <w:t>Con excepción de los casos previstos por la ley, son asimismo nulas las pruebas obtenidas por medio de injerencia en la vida privada, el domicilio, la correspondencia o las telecomunicaciones, sin el consentimiento de sus titulares.</w:t>
      </w:r>
    </w:p>
    <w:p w:rsidR="00000000" w:rsidRDefault="00000000">
      <w:pPr>
        <w:autoSpaceDE w:val="0"/>
        <w:autoSpaceDN w:val="0"/>
        <w:adjustRightInd w:val="0"/>
        <w:spacing w:after="240"/>
        <w:ind w:left="567" w:firstLine="567"/>
      </w:pPr>
      <w:r>
        <w:t>4.</w:t>
      </w:r>
      <w:r>
        <w:tab/>
        <w:t>Cuando el uso de los métodos de obtención de prueba previstos en este artículo constituye un delito, éstas pueden ser utilizadas exclusivamente contra sus autores."</w:t>
      </w:r>
    </w:p>
    <w:p w:rsidR="00000000" w:rsidRDefault="00000000">
      <w:pPr>
        <w:keepNext/>
        <w:keepLines/>
        <w:autoSpaceDE w:val="0"/>
        <w:autoSpaceDN w:val="0"/>
        <w:adjustRightInd w:val="0"/>
        <w:spacing w:after="240"/>
        <w:jc w:val="center"/>
        <w:rPr>
          <w:b/>
        </w:rPr>
      </w:pPr>
      <w:r>
        <w:rPr>
          <w:b/>
        </w:rPr>
        <w:t>B.  La prisión preventiva</w:t>
      </w:r>
    </w:p>
    <w:p w:rsidR="00000000" w:rsidRDefault="00000000">
      <w:pPr>
        <w:autoSpaceDE w:val="0"/>
        <w:autoSpaceDN w:val="0"/>
        <w:adjustRightInd w:val="0"/>
        <w:spacing w:after="240"/>
      </w:pPr>
      <w:r>
        <w:t>75.</w:t>
      </w:r>
      <w:r>
        <w:tab/>
        <w:t>La prisión preventiva es una medida coercitiva del mismo modo que otras medidas menos graves, previstas en el Código de Procedimiento Penal, como el confinamiento domiciliario (art. 196), la imposición de una fianza (art. 197), el deber de presentarse periódicamente (art. 158), la suspensión en el ejercicio de funciones, profesión y derechos (art. 199), la prohibición de permanecer, de ausentarse y de mantener contactos (art. 200) y la prohibición de dejar el domicilio (art. 201).</w:t>
      </w:r>
    </w:p>
    <w:p w:rsidR="00000000" w:rsidRDefault="00000000">
      <w:pPr>
        <w:autoSpaceDE w:val="0"/>
        <w:autoSpaceDN w:val="0"/>
        <w:adjustRightInd w:val="0"/>
        <w:spacing w:after="240"/>
      </w:pPr>
      <w:r>
        <w:t>76.</w:t>
      </w:r>
      <w:r>
        <w:tab/>
        <w:t>Las condiciones indispensables para la aplicación de la prisión preventiva son:</w:t>
      </w:r>
    </w:p>
    <w:p w:rsidR="00000000" w:rsidRDefault="00000000">
      <w:pPr>
        <w:autoSpaceDE w:val="0"/>
        <w:autoSpaceDN w:val="0"/>
        <w:adjustRightInd w:val="0"/>
        <w:spacing w:after="240"/>
        <w:ind w:left="1134" w:hanging="567"/>
      </w:pPr>
      <w:r>
        <w:t>a)</w:t>
      </w:r>
      <w:r>
        <w:tab/>
        <w:t>Que existan indicios serios de la perpetración de un delito doloso castigado con pena de prisión de una duración máxima superior a tres años, o</w:t>
      </w:r>
    </w:p>
    <w:p w:rsidR="00000000" w:rsidRDefault="00000000">
      <w:pPr>
        <w:autoSpaceDE w:val="0"/>
        <w:autoSpaceDN w:val="0"/>
        <w:adjustRightInd w:val="0"/>
        <w:spacing w:after="240"/>
        <w:ind w:left="1134" w:hanging="567"/>
      </w:pPr>
      <w:r>
        <w:t>b)</w:t>
      </w:r>
      <w:r>
        <w:tab/>
        <w:t>Que se trate de una persona que haya penetrado o permanecido irregularmente en el territorio nacional, o contra la cual haya en curso un proceso de extradición o expulsión.</w:t>
      </w:r>
    </w:p>
    <w:p w:rsidR="00000000" w:rsidRDefault="00000000">
      <w:pPr>
        <w:autoSpaceDE w:val="0"/>
        <w:autoSpaceDN w:val="0"/>
        <w:adjustRightInd w:val="0"/>
        <w:spacing w:after="240"/>
      </w:pPr>
      <w:r>
        <w:t>77.</w:t>
      </w:r>
      <w:r>
        <w:tab/>
        <w:t>En caso de que la persona a la que se ha de someter al régimen de prisión preventiva sufra anomalías psíquicas, el juez, tras haber oído al defensor y, en la medida de lo posible, a un familiar, puede determinar que, mientras esta anomalía persista, se interne a la persona en un hospital psiquiátrico o en otro establecimiento análogo adecuado, tras haber adoptado las medidas necesarias para evitar los riesgos de fuga y de perpetración de nuevos delitos.</w:t>
      </w:r>
    </w:p>
    <w:p w:rsidR="00000000" w:rsidRDefault="00000000">
      <w:pPr>
        <w:autoSpaceDE w:val="0"/>
        <w:autoSpaceDN w:val="0"/>
        <w:adjustRightInd w:val="0"/>
        <w:spacing w:after="240"/>
      </w:pPr>
      <w:r>
        <w:t>78.</w:t>
      </w:r>
      <w:r>
        <w:tab/>
        <w:t>En virtud de lo dispuesto en el artículo 204, salvo la asignación de residencia prevista en el artículo 196, no puede aplicarse ninguna medida coercitiva si no ha habido, concretamente:</w:t>
      </w:r>
    </w:p>
    <w:p w:rsidR="00000000" w:rsidRDefault="00000000">
      <w:pPr>
        <w:autoSpaceDE w:val="0"/>
        <w:autoSpaceDN w:val="0"/>
        <w:adjustRightInd w:val="0"/>
        <w:spacing w:after="240"/>
        <w:ind w:left="1134" w:hanging="567"/>
      </w:pPr>
      <w:r>
        <w:t>a)</w:t>
      </w:r>
      <w:r>
        <w:tab/>
        <w:t>Fuga o peligro de fuga;</w:t>
      </w:r>
    </w:p>
    <w:p w:rsidR="00000000" w:rsidRDefault="00000000">
      <w:pPr>
        <w:autoSpaceDE w:val="0"/>
        <w:autoSpaceDN w:val="0"/>
        <w:adjustRightInd w:val="0"/>
        <w:spacing w:after="240"/>
        <w:ind w:left="1134" w:hanging="567"/>
      </w:pPr>
      <w:r>
        <w:t>b)</w:t>
      </w:r>
      <w:r>
        <w:tab/>
        <w:t>Peligro de perturbación del desarrollo de la investigación o de la instrucción del proceso y, entre otras cosas, peligro para la adquisición, conservación o veracidad de la prueba; o</w:t>
      </w:r>
    </w:p>
    <w:p w:rsidR="00000000" w:rsidRDefault="00000000">
      <w:pPr>
        <w:autoSpaceDE w:val="0"/>
        <w:autoSpaceDN w:val="0"/>
        <w:adjustRightInd w:val="0"/>
        <w:spacing w:after="240"/>
        <w:ind w:left="1134" w:hanging="567"/>
      </w:pPr>
      <w:r>
        <w:t>c)</w:t>
      </w:r>
      <w:r>
        <w:tab/>
        <w:t>Peligro de perturbación del orden y la tranquilidad públicos, o de continuación de la actividad criminal, en razón del carácter y las circunstancias del delito o de la personalidad del acusado.</w:t>
      </w:r>
    </w:p>
    <w:p w:rsidR="00000000" w:rsidRDefault="00000000">
      <w:pPr>
        <w:autoSpaceDE w:val="0"/>
        <w:autoSpaceDN w:val="0"/>
        <w:adjustRightInd w:val="0"/>
        <w:spacing w:after="240"/>
      </w:pPr>
      <w:r>
        <w:t>79.</w:t>
      </w:r>
      <w:r>
        <w:tab/>
        <w:t>La prisión preventiva puede suspenderse por enfermedad grave del acusado, embarazo o convalecencia posparto.  La suspensión cesa en el momento en que cesan las circunstancias que la han determinado y, en lo que respecta a la convalecencia posparto, al final del tercer mes después del parto.  Durante el período de suspensión de la ejecución de la prisión preventiva, el acusado estará sometido a la medida de confinamiento domiciliario, así como a cualquier otra medida conforme y compatible con su estado, entre otras, el internamiento en un hospital.</w:t>
      </w:r>
    </w:p>
    <w:p w:rsidR="00000000" w:rsidRDefault="00000000">
      <w:pPr>
        <w:autoSpaceDE w:val="0"/>
        <w:autoSpaceDN w:val="0"/>
        <w:adjustRightInd w:val="0"/>
        <w:spacing w:after="240"/>
      </w:pPr>
      <w:r>
        <w:t>80.</w:t>
      </w:r>
      <w:r>
        <w:tab/>
        <w:t>Las medidas coercitivas se revocan inmediatamente, por orden del juez, si se han aplicado fuera de los casos o de las condiciones previstas por la ley, o si las circunstancias que justificaban su aplicación han cesado de existir.</w:t>
      </w:r>
    </w:p>
    <w:p w:rsidR="00000000" w:rsidRDefault="00000000">
      <w:pPr>
        <w:autoSpaceDE w:val="0"/>
        <w:autoSpaceDN w:val="0"/>
        <w:adjustRightInd w:val="0"/>
        <w:spacing w:after="240"/>
      </w:pPr>
      <w:r>
        <w:t>81.</w:t>
      </w:r>
      <w:r>
        <w:tab/>
        <w:t>Por lo que respecta a la prisión preventiva, en virtud de lo dispuesto en el artículo 213, el juez procede oficiosamente, cada tres meses, a reexaminar su fundamento y decidir si debe mantenerse, sustituirse o revocarse a los fines de pronunciarse sobre la sustitución, revocación o mantenimiento de la detención preventiva, el juez, de oficio o a instancias del ministerio público o del acusado, puede pedir la redacción de un informe social o información a los servicios de reinserción social, siempre y cuando el detenido acepte esta reinserción.</w:t>
      </w:r>
    </w:p>
    <w:p w:rsidR="00000000" w:rsidRDefault="00000000">
      <w:pPr>
        <w:autoSpaceDE w:val="0"/>
        <w:autoSpaceDN w:val="0"/>
        <w:adjustRightInd w:val="0"/>
        <w:spacing w:after="240"/>
      </w:pPr>
      <w:r>
        <w:t>82.</w:t>
      </w:r>
      <w:r>
        <w:tab/>
        <w:t>Las medidas coercitivas cesan inmediatamente:</w:t>
      </w:r>
    </w:p>
    <w:p w:rsidR="00000000" w:rsidRDefault="00000000">
      <w:pPr>
        <w:autoSpaceDE w:val="0"/>
        <w:autoSpaceDN w:val="0"/>
        <w:adjustRightInd w:val="0"/>
        <w:spacing w:after="240"/>
        <w:ind w:left="1134" w:hanging="567"/>
      </w:pPr>
      <w:r>
        <w:t>a)</w:t>
      </w:r>
      <w:r>
        <w:tab/>
        <w:t>Cuando se cierra la encuesta, sin que se solicite instrucción;</w:t>
      </w:r>
    </w:p>
    <w:p w:rsidR="00000000" w:rsidRDefault="00000000">
      <w:pPr>
        <w:autoSpaceDE w:val="0"/>
        <w:autoSpaceDN w:val="0"/>
        <w:adjustRightInd w:val="0"/>
        <w:spacing w:after="240"/>
        <w:ind w:left="1134" w:hanging="567"/>
      </w:pPr>
      <w:r>
        <w:t>b)</w:t>
      </w:r>
      <w:r>
        <w:tab/>
        <w:t>Cuando la ordenanza por la que no se admite el caso para su enjuiciamiento (</w:t>
      </w:r>
      <w:r>
        <w:rPr>
          <w:i/>
        </w:rPr>
        <w:t>despacho de não pronúncia</w:t>
      </w:r>
      <w:r>
        <w:t>) adquiere valor de cosa juzgada;</w:t>
      </w:r>
    </w:p>
    <w:p w:rsidR="00000000" w:rsidRDefault="00000000">
      <w:pPr>
        <w:autoSpaceDE w:val="0"/>
        <w:autoSpaceDN w:val="0"/>
        <w:adjustRightInd w:val="0"/>
        <w:spacing w:after="240"/>
        <w:ind w:left="1134" w:hanging="567"/>
      </w:pPr>
      <w:r>
        <w:t>c)</w:t>
      </w:r>
      <w:r>
        <w:tab/>
        <w:t xml:space="preserve">Cuando la ordenanza por la que no se admite la acusación con arreglo a lo dispuesto en el párrafo 2 del artículo 311 del Código de Procedimiento Penal (acusación manifiestamente infundada) adquiere valor de cosa juzgada;  </w:t>
      </w:r>
    </w:p>
    <w:p w:rsidR="00000000" w:rsidRDefault="00000000">
      <w:pPr>
        <w:autoSpaceDE w:val="0"/>
        <w:autoSpaceDN w:val="0"/>
        <w:adjustRightInd w:val="0"/>
        <w:spacing w:after="240"/>
        <w:ind w:left="1134" w:hanging="567"/>
      </w:pPr>
      <w:r>
        <w:t>d)</w:t>
      </w:r>
      <w:r>
        <w:tab/>
        <w:t>Cuando se adopte una decisión absolutoria, incluso aunque se haya interpuesto un recurso; o</w:t>
      </w:r>
    </w:p>
    <w:p w:rsidR="00000000" w:rsidRDefault="00000000">
      <w:pPr>
        <w:autoSpaceDE w:val="0"/>
        <w:autoSpaceDN w:val="0"/>
        <w:adjustRightInd w:val="0"/>
        <w:spacing w:after="240"/>
        <w:ind w:left="1134" w:hanging="567"/>
      </w:pPr>
      <w:r>
        <w:t>e)</w:t>
      </w:r>
      <w:r>
        <w:tab/>
        <w:t>Cuando la decisión condenatoria adquiera valor de cosa juzgada.</w:t>
      </w:r>
    </w:p>
    <w:p w:rsidR="00000000" w:rsidRDefault="00000000">
      <w:pPr>
        <w:autoSpaceDE w:val="0"/>
        <w:autoSpaceDN w:val="0"/>
        <w:adjustRightInd w:val="0"/>
        <w:spacing w:after="240"/>
      </w:pPr>
      <w:r>
        <w:t>83.</w:t>
      </w:r>
      <w:r>
        <w:tab/>
        <w:t>Asimismo, la medida de prisión preventiva se extingue inmediatamente cuando se ha adoptado una decisión condenatoria, aunque se haya interpuesto un recurso, y la pena aplicada no sea superior a la prisión que ya se ha cumplido.  Los plazos de duración máxima de la prisión preventiva están previstos en el artículo 215 del Código de Procedimiento Penal, cuyo párrafo 1 reza:</w:t>
      </w:r>
    </w:p>
    <w:p w:rsidR="00000000" w:rsidRDefault="00000000">
      <w:pPr>
        <w:autoSpaceDE w:val="0"/>
        <w:autoSpaceDN w:val="0"/>
        <w:adjustRightInd w:val="0"/>
        <w:spacing w:after="240"/>
        <w:ind w:left="567"/>
      </w:pPr>
      <w:r>
        <w:tab/>
        <w:t>"1.</w:t>
      </w:r>
      <w:r>
        <w:tab/>
        <w:t>La prisión preventiva cesa cuando, contando desde su comienzo,</w:t>
      </w:r>
    </w:p>
    <w:p w:rsidR="00000000" w:rsidRDefault="00000000">
      <w:pPr>
        <w:autoSpaceDE w:val="0"/>
        <w:autoSpaceDN w:val="0"/>
        <w:adjustRightInd w:val="0"/>
        <w:spacing w:after="240"/>
        <w:ind w:left="567"/>
      </w:pPr>
      <w:r>
        <w:tab/>
        <w:t>a)</w:t>
      </w:r>
      <w:r>
        <w:tab/>
        <w:t>Hayan transcurrido seis meses sin que se haya precisado la acusación;</w:t>
      </w:r>
    </w:p>
    <w:p w:rsidR="00000000" w:rsidRDefault="00000000">
      <w:pPr>
        <w:autoSpaceDE w:val="0"/>
        <w:autoSpaceDN w:val="0"/>
        <w:adjustRightInd w:val="0"/>
        <w:spacing w:after="240"/>
        <w:ind w:left="567"/>
      </w:pPr>
      <w:r>
        <w:tab/>
        <w:t>b)</w:t>
      </w:r>
      <w:r>
        <w:tab/>
        <w:t>Hayan transcurrido diez meses sin que, tras haberse llevado a cabo la instrucción, se haya adoptado una decisión en la materia;</w:t>
      </w:r>
    </w:p>
    <w:p w:rsidR="00000000" w:rsidRDefault="00000000">
      <w:pPr>
        <w:autoSpaceDE w:val="0"/>
        <w:autoSpaceDN w:val="0"/>
        <w:adjustRightInd w:val="0"/>
        <w:spacing w:after="240"/>
        <w:ind w:left="567"/>
      </w:pPr>
      <w:r>
        <w:tab/>
        <w:t>c)</w:t>
      </w:r>
      <w:r>
        <w:tab/>
        <w:t>Hayan transcurrido 18 meses sin que se haya pronunciado una condena en primera instancia;</w:t>
      </w:r>
    </w:p>
    <w:p w:rsidR="00000000" w:rsidRDefault="00000000">
      <w:pPr>
        <w:autoSpaceDE w:val="0"/>
        <w:autoSpaceDN w:val="0"/>
        <w:adjustRightInd w:val="0"/>
        <w:spacing w:after="240"/>
        <w:ind w:left="567"/>
      </w:pPr>
      <w:r>
        <w:tab/>
        <w:t>d)</w:t>
      </w:r>
      <w:r>
        <w:tab/>
        <w:t>Hayan transcurrido dos años sin que haya habido condena con valor de cosa juzgada."</w:t>
      </w:r>
    </w:p>
    <w:p w:rsidR="00000000" w:rsidRDefault="00000000">
      <w:pPr>
        <w:autoSpaceDE w:val="0"/>
        <w:autoSpaceDN w:val="0"/>
        <w:adjustRightInd w:val="0"/>
        <w:spacing w:after="240"/>
      </w:pPr>
      <w:r>
        <w:t>84.</w:t>
      </w:r>
      <w:r>
        <w:tab/>
        <w:t>Estos plazos, previstos en el párrafo 1 del artículo 215 antes citado, se convierten en 8 meses, 1 año, 2 años y 30 meses respectivamente en los casos de terrorismo, delito violento o sumamente organizado, o delito castigado con penas de prisión de una duración máxima superior a 8 años, o también cuando se trata de uno de los delitos enunciados en el párrafo 2, que se resume a continuación, junto con la indicación del artículo pertinente del Código Penal:</w:t>
      </w:r>
    </w:p>
    <w:p w:rsidR="00000000" w:rsidRDefault="00000000">
      <w:pPr>
        <w:autoSpaceDE w:val="0"/>
        <w:autoSpaceDN w:val="0"/>
        <w:adjustRightInd w:val="0"/>
        <w:spacing w:after="240"/>
        <w:ind w:left="1134" w:hanging="567"/>
      </w:pPr>
      <w:r>
        <w:t>a)</w:t>
      </w:r>
      <w:r>
        <w:tab/>
        <w:t>Asociación delictiva (art. 299); inteligencia con un gobierno extranjero, con objeto de obligar a Portugal o de comprometer su integridad (art. 312); sabotaje contra la defensa nacional (art. 315); destrucción de un medio de prueba de interés nacional (párrafo 1 del artículo 318); traición diplomática (art. 319); incitación a la guerra o a la alteración violenta del estado de derecho (art. 326); contactos con el extranjero dirigidos a subvertir el estado de derecho (art. 331); uso de coerción contra los órganos constitucionales (art. 333);</w:t>
      </w:r>
    </w:p>
    <w:p w:rsidR="00000000" w:rsidRDefault="00000000">
      <w:pPr>
        <w:autoSpaceDE w:val="0"/>
        <w:autoSpaceDN w:val="0"/>
        <w:adjustRightInd w:val="0"/>
        <w:spacing w:after="240"/>
        <w:ind w:left="1134" w:hanging="567"/>
      </w:pPr>
      <w:r>
        <w:t>b)</w:t>
      </w:r>
      <w:r>
        <w:tab/>
        <w:t>Robo de vehículos o falsificación de documentos relacionados con vehículos, así como de documentos que los identifiquen;</w:t>
      </w:r>
    </w:p>
    <w:p w:rsidR="00000000" w:rsidRDefault="00000000">
      <w:pPr>
        <w:autoSpaceDE w:val="0"/>
        <w:autoSpaceDN w:val="0"/>
        <w:adjustRightInd w:val="0"/>
        <w:spacing w:after="240"/>
        <w:ind w:left="1134" w:hanging="567"/>
      </w:pPr>
      <w:r>
        <w:t>c)</w:t>
      </w:r>
      <w:r>
        <w:tab/>
        <w:t>Falsificación de monedas, títulos de crédito, valores fiscales, timbres y sellos;</w:t>
      </w:r>
    </w:p>
    <w:p w:rsidR="00000000" w:rsidRDefault="00000000">
      <w:pPr>
        <w:autoSpaceDE w:val="0"/>
        <w:autoSpaceDN w:val="0"/>
        <w:adjustRightInd w:val="0"/>
        <w:spacing w:after="240"/>
        <w:ind w:left="1134" w:hanging="567"/>
      </w:pPr>
      <w:r>
        <w:t>d)</w:t>
      </w:r>
      <w:r>
        <w:tab/>
        <w:t>Estafa, insolvencia dolosa, administración perjudicial del sector público o cooperativo, falsificación, corrupción, participación económica en negocios ilícitos;</w:t>
      </w:r>
    </w:p>
    <w:p w:rsidR="00000000" w:rsidRDefault="00000000">
      <w:pPr>
        <w:autoSpaceDE w:val="0"/>
        <w:autoSpaceDN w:val="0"/>
        <w:adjustRightInd w:val="0"/>
        <w:spacing w:after="240"/>
        <w:ind w:left="1134" w:hanging="567"/>
      </w:pPr>
      <w:r>
        <w:t>e)</w:t>
      </w:r>
      <w:r>
        <w:tab/>
        <w:t>Blanqueo de dinero, bienes o productos procedentes del delito;</w:t>
      </w:r>
    </w:p>
    <w:p w:rsidR="00000000" w:rsidRDefault="00000000">
      <w:pPr>
        <w:autoSpaceDE w:val="0"/>
        <w:autoSpaceDN w:val="0"/>
        <w:adjustRightInd w:val="0"/>
        <w:spacing w:after="240"/>
        <w:ind w:left="1134" w:hanging="567"/>
      </w:pPr>
      <w:r>
        <w:t>f)</w:t>
      </w:r>
      <w:r>
        <w:tab/>
        <w:t>Fraude en la obtención de un subsidio, subvención o crédito;</w:t>
      </w:r>
    </w:p>
    <w:p w:rsidR="00000000" w:rsidRDefault="00000000">
      <w:pPr>
        <w:autoSpaceDE w:val="0"/>
        <w:autoSpaceDN w:val="0"/>
        <w:adjustRightInd w:val="0"/>
        <w:spacing w:after="240"/>
        <w:ind w:left="1134" w:hanging="567"/>
      </w:pPr>
      <w:r>
        <w:t>g)</w:t>
      </w:r>
      <w:r>
        <w:tab/>
        <w:t>Todos los delitos comprendidos en los convenios sobre la seguridad de la navegación aérea o marítima.</w:t>
      </w:r>
    </w:p>
    <w:p w:rsidR="00000000" w:rsidRDefault="00000000">
      <w:pPr>
        <w:autoSpaceDE w:val="0"/>
        <w:autoSpaceDN w:val="0"/>
        <w:adjustRightInd w:val="0"/>
        <w:spacing w:after="240"/>
      </w:pPr>
      <w:r>
        <w:t>85.</w:t>
      </w:r>
      <w:r>
        <w:tab/>
        <w:t>Por último, los párrafos 3 y 4 del Código de Procedimiento Penal rezan lo siguiente:</w:t>
      </w:r>
    </w:p>
    <w:p w:rsidR="00000000" w:rsidRDefault="00000000">
      <w:pPr>
        <w:autoSpaceDE w:val="0"/>
        <w:autoSpaceDN w:val="0"/>
        <w:adjustRightInd w:val="0"/>
        <w:spacing w:after="240"/>
        <w:ind w:left="567"/>
      </w:pPr>
      <w:r>
        <w:tab/>
        <w:t>"3.</w:t>
      </w:r>
      <w:r>
        <w:tab/>
        <w:t>Los plazos previstos en el párrafo 1 pueden aumentarse, respectivamente, a 12 meses, 16 meses, 3 años y 4 años cuando se desarrolla su procedimiento con respecto a uno de los delitos mencionados en el párrafo 2, que se manifiesta de complejidad excepcional, debido, entre otras cosas, al número de detenidos o víctimas, o al carácter sumamente organizado del delito.</w:t>
      </w:r>
    </w:p>
    <w:p w:rsidR="00000000" w:rsidRDefault="00000000">
      <w:pPr>
        <w:autoSpaceDE w:val="0"/>
        <w:autoSpaceDN w:val="0"/>
        <w:adjustRightInd w:val="0"/>
        <w:spacing w:after="240"/>
        <w:ind w:left="567"/>
      </w:pPr>
      <w:r>
        <w:tab/>
        <w:t>4.</w:t>
      </w:r>
      <w:r>
        <w:tab/>
        <w:t>Por último, los plazos mencionados en los incisos c) y d) del párrafo 1, así como los mencionados en los párrafos 2 y 3, aumentan de seis meses en caso de recurso ante el Tribunal Constitucional o en caso de suspensión del procedimiento penal a efectos de que otro tribunal se pronuncie acerca de una cuestión prejudicial."</w:t>
      </w:r>
    </w:p>
    <w:p w:rsidR="00000000" w:rsidRDefault="00000000">
      <w:pPr>
        <w:autoSpaceDE w:val="0"/>
        <w:autoSpaceDN w:val="0"/>
        <w:adjustRightInd w:val="0"/>
        <w:spacing w:after="240"/>
      </w:pPr>
      <w:r>
        <w:t>86.</w:t>
      </w:r>
      <w:r>
        <w:tab/>
        <w:t>Hay otro motivo de prolongación del plazo de prisión preventiva, previsto en el artículo 216 del Código de Procedimiento Penal, que se cita a continuación:</w:t>
      </w:r>
    </w:p>
    <w:p w:rsidR="00000000" w:rsidRDefault="00000000">
      <w:pPr>
        <w:autoSpaceDE w:val="0"/>
        <w:autoSpaceDN w:val="0"/>
        <w:adjustRightInd w:val="0"/>
        <w:spacing w:after="240"/>
        <w:ind w:left="567"/>
      </w:pPr>
      <w:r>
        <w:tab/>
        <w:t>"1.</w:t>
      </w:r>
      <w:r>
        <w:tab/>
        <w:t>El transcurso de estos plazos se suspende (al cesar el cómputo del tiempo, que se reanuda más tarde al final de la suspensión):</w:t>
      </w:r>
    </w:p>
    <w:p w:rsidR="00000000" w:rsidRDefault="00000000">
      <w:pPr>
        <w:autoSpaceDE w:val="0"/>
        <w:autoSpaceDN w:val="0"/>
        <w:adjustRightInd w:val="0"/>
        <w:spacing w:after="240"/>
        <w:ind w:left="567"/>
      </w:pPr>
      <w:r>
        <w:tab/>
        <w:t>a)</w:t>
      </w:r>
      <w:r>
        <w:tab/>
        <w:t>Cuando se ha ordenado un examen cuyo resultado puede ser determinante para la decisión de acusación, la orden de introducción del fallo (</w:t>
      </w:r>
      <w:r>
        <w:rPr>
          <w:i/>
        </w:rPr>
        <w:t>pronúncia</w:t>
      </w:r>
      <w:r>
        <w:t>) o la decisión final, desde la orden de realización del examen hasta el momento de la presentación del informe;</w:t>
      </w:r>
    </w:p>
    <w:p w:rsidR="00000000" w:rsidRDefault="00000000">
      <w:pPr>
        <w:autoSpaceDE w:val="0"/>
        <w:autoSpaceDN w:val="0"/>
        <w:adjustRightInd w:val="0"/>
        <w:spacing w:after="240"/>
        <w:ind w:left="567"/>
      </w:pPr>
      <w:r>
        <w:t>o bien</w:t>
      </w:r>
    </w:p>
    <w:p w:rsidR="00000000" w:rsidRDefault="00000000">
      <w:pPr>
        <w:autoSpaceDE w:val="0"/>
        <w:autoSpaceDN w:val="0"/>
        <w:adjustRightInd w:val="0"/>
        <w:spacing w:after="240"/>
        <w:ind w:left="567"/>
      </w:pPr>
      <w:r>
        <w:tab/>
        <w:t>b)</w:t>
      </w:r>
      <w:r>
        <w:tab/>
        <w:t>en caso de enfermedad del acusado que imponga su internamiento en un hospital, si su presencia es indispensable para que prosigan las investigaciones.</w:t>
      </w:r>
    </w:p>
    <w:p w:rsidR="00000000" w:rsidRDefault="00000000">
      <w:pPr>
        <w:autoSpaceDE w:val="0"/>
        <w:autoSpaceDN w:val="0"/>
        <w:adjustRightInd w:val="0"/>
        <w:spacing w:after="240"/>
        <w:ind w:left="567"/>
      </w:pPr>
      <w:r>
        <w:tab/>
        <w:t>2.</w:t>
      </w:r>
      <w:r>
        <w:tab/>
        <w:t>La suspensión del inciso a) del primer párrafo no puede en ningún caso ser superior a tres meses."</w:t>
      </w:r>
    </w:p>
    <w:p w:rsidR="00000000" w:rsidRDefault="00000000">
      <w:pPr>
        <w:autoSpaceDE w:val="0"/>
        <w:autoSpaceDN w:val="0"/>
        <w:adjustRightInd w:val="0"/>
        <w:spacing w:after="240"/>
      </w:pPr>
      <w:r>
        <w:t>87.</w:t>
      </w:r>
      <w:r>
        <w:tab/>
        <w:t>En virtud de lo dispuesto en el artículo 217, el acusado sometido a prisión preventiva será puesto en libertad en el momento en que la medida se extinga, salvo si debe ser mantenido en prisión por otro proceso.</w:t>
      </w:r>
    </w:p>
    <w:p w:rsidR="00000000" w:rsidRDefault="00000000">
      <w:pPr>
        <w:autoSpaceDE w:val="0"/>
        <w:autoSpaceDN w:val="0"/>
        <w:adjustRightInd w:val="0"/>
        <w:spacing w:after="240"/>
      </w:pPr>
      <w:r>
        <w:t>88.</w:t>
      </w:r>
      <w:r>
        <w:tab/>
        <w:t>Este sistema de prisión preventiva es criticado, sobre todo por la lentitud del procedimiento que supone y la duración del período de prisión preventiva.  Asimismo, es posible que se recurra con demasiada frecuencia a la prisión preventiva:  en efecto, se calcula que un 25% del conjunto de la población carcelaria está formado por personas en detención preventiva.</w:t>
      </w:r>
    </w:p>
    <w:p w:rsidR="00000000" w:rsidRDefault="00000000">
      <w:pPr>
        <w:autoSpaceDE w:val="0"/>
        <w:autoSpaceDN w:val="0"/>
        <w:adjustRightInd w:val="0"/>
        <w:spacing w:after="240"/>
      </w:pPr>
      <w:r>
        <w:t>89.</w:t>
      </w:r>
      <w:r>
        <w:tab/>
        <w:t>Como estos dos elementos problemáticos se superponen, se puede temer legítimamente que los acusados pasen el período de la pena que les sería aplicada en detención preventiva, y sean puestos en libertad el día de su condena, por haber transcurrido el tiempo de la pena, sin haberse beneficiado de las condiciones generales de que gozan los demás detenidos.</w:t>
      </w:r>
    </w:p>
    <w:p w:rsidR="00000000" w:rsidRDefault="00000000">
      <w:pPr>
        <w:autoSpaceDE w:val="0"/>
        <w:autoSpaceDN w:val="0"/>
        <w:adjustRightInd w:val="0"/>
        <w:spacing w:after="240"/>
      </w:pPr>
      <w:r>
        <w:t>90.</w:t>
      </w:r>
      <w:r>
        <w:tab/>
        <w:t>Cabe señalar, sin embargo, que a veces los jueces se encuentran ante situaciones en las que al parecer existen pocas soluciones de sustitución a la prisión preventiva, pues el peligro de fuga o de reincidencia les parece grave, como en el caso de los delitos relacionados con la droga, su tráfico y su consumo.</w:t>
      </w:r>
    </w:p>
    <w:p w:rsidR="00000000" w:rsidRDefault="00000000">
      <w:pPr>
        <w:autoSpaceDE w:val="0"/>
        <w:autoSpaceDN w:val="0"/>
        <w:adjustRightInd w:val="0"/>
        <w:spacing w:after="240"/>
      </w:pPr>
      <w:r>
        <w:t>91.</w:t>
      </w:r>
      <w:r>
        <w:tab/>
        <w:t>Por otra parte, la concepción del Código de Procedimiento Penal subyacente a la cuestión de la prisión preventiva es que esta detención es preventiva hasta que la decisión que se adopte en el caso sea definitiva, lo que refuerza el principio de la presunción de inocencia:  si la prisión preventiva terminase en la primera condena, incluso si se ha interpuesto recurso, descendería el número de detenidos preventivos, disminuiría la duración de la detención preventiva y los acusados gozarían de las mismas garantías que los demás detenidos, en la medida en que su proceso siga en curso.  Esto significa que -sin que esto se resuma a un simple juego de palabras- el problema de la detención preventiva podría resolverse, al menos parcialmente, y también en lo referente a los plazos, si se modificase su calificación.  Esto, evidentemente, no resuelve totalmente la cuestión, pero Portugal confía en que el Comité contra la Tortura comprenda su situación en lo referente a este problema en concreto.</w:t>
      </w:r>
    </w:p>
    <w:p w:rsidR="00000000" w:rsidRDefault="00000000">
      <w:pPr>
        <w:autoSpaceDE w:val="0"/>
        <w:autoSpaceDN w:val="0"/>
        <w:adjustRightInd w:val="0"/>
        <w:spacing w:after="240"/>
      </w:pPr>
      <w:r>
        <w:t>92.</w:t>
      </w:r>
      <w:r>
        <w:tab/>
        <w:t>El siguiente cuadro puede ser útil para comprender mejor la situación de las cárceles en Portugal.</w:t>
      </w:r>
    </w:p>
    <w:p w:rsidR="00000000" w:rsidRDefault="00000000">
      <w:pPr>
        <w:keepNext/>
        <w:keepLines/>
        <w:autoSpaceDE w:val="0"/>
        <w:autoSpaceDN w:val="0"/>
        <w:adjustRightInd w:val="0"/>
        <w:spacing w:after="240"/>
        <w:jc w:val="center"/>
        <w:rPr>
          <w:b/>
          <w:sz w:val="22"/>
        </w:rPr>
      </w:pPr>
      <w:r>
        <w:rPr>
          <w:b/>
          <w:sz w:val="22"/>
        </w:rPr>
        <w:t>Cuadro 1</w:t>
      </w:r>
    </w:p>
    <w:p w:rsidR="00000000" w:rsidRDefault="00000000">
      <w:pPr>
        <w:keepNext/>
        <w:keepLines/>
        <w:autoSpaceDE w:val="0"/>
        <w:autoSpaceDN w:val="0"/>
        <w:adjustRightInd w:val="0"/>
        <w:spacing w:after="240"/>
        <w:jc w:val="center"/>
        <w:rPr>
          <w:b/>
          <w:sz w:val="22"/>
        </w:rPr>
      </w:pPr>
      <w:r>
        <w:rPr>
          <w:b/>
          <w:sz w:val="22"/>
        </w:rPr>
        <w:t>Población de las cárceles</w:t>
      </w:r>
    </w:p>
    <w:tbl>
      <w:tblPr>
        <w:tblW w:w="9300"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605"/>
        <w:gridCol w:w="740"/>
        <w:gridCol w:w="570"/>
        <w:gridCol w:w="718"/>
        <w:gridCol w:w="575"/>
        <w:gridCol w:w="718"/>
        <w:gridCol w:w="575"/>
        <w:gridCol w:w="718"/>
        <w:gridCol w:w="575"/>
        <w:gridCol w:w="718"/>
        <w:gridCol w:w="575"/>
        <w:gridCol w:w="737"/>
        <w:gridCol w:w="476"/>
      </w:tblGrid>
      <w:tr w:rsidR="00000000">
        <w:trPr>
          <w:jc w:val="center"/>
        </w:trPr>
        <w:tc>
          <w:tcPr>
            <w:tcW w:w="1605" w:type="dxa"/>
            <w:vAlign w:val="center"/>
          </w:tcPr>
          <w:p w:rsidR="00000000" w:rsidRDefault="00000000">
            <w:pPr>
              <w:keepNext/>
              <w:keepLines/>
              <w:jc w:val="center"/>
              <w:rPr>
                <w:sz w:val="22"/>
              </w:rPr>
            </w:pPr>
            <w:r>
              <w:rPr>
                <w:sz w:val="22"/>
              </w:rPr>
              <w:t>Años</w:t>
            </w:r>
          </w:p>
        </w:tc>
        <w:tc>
          <w:tcPr>
            <w:tcW w:w="740" w:type="dxa"/>
            <w:vAlign w:val="center"/>
          </w:tcPr>
          <w:p w:rsidR="00000000" w:rsidRDefault="00000000">
            <w:pPr>
              <w:keepNext/>
              <w:keepLines/>
              <w:jc w:val="center"/>
              <w:rPr>
                <w:sz w:val="22"/>
              </w:rPr>
            </w:pPr>
            <w:r>
              <w:rPr>
                <w:sz w:val="22"/>
              </w:rPr>
              <w:t>1999</w:t>
            </w:r>
            <w:r>
              <w:rPr>
                <w:b/>
                <w:bCs/>
                <w:iCs/>
                <w:sz w:val="22"/>
                <w:vertAlign w:val="superscript"/>
              </w:rPr>
              <w:t>a</w:t>
            </w:r>
          </w:p>
        </w:tc>
        <w:tc>
          <w:tcPr>
            <w:tcW w:w="570" w:type="dxa"/>
            <w:vAlign w:val="center"/>
          </w:tcPr>
          <w:p w:rsidR="00000000" w:rsidRDefault="00000000">
            <w:pPr>
              <w:keepNext/>
              <w:keepLines/>
              <w:jc w:val="center"/>
              <w:rPr>
                <w:sz w:val="22"/>
              </w:rPr>
            </w:pPr>
            <w:r>
              <w:rPr>
                <w:sz w:val="22"/>
              </w:rPr>
              <w:t>%</w:t>
            </w:r>
          </w:p>
        </w:tc>
        <w:tc>
          <w:tcPr>
            <w:tcW w:w="718" w:type="dxa"/>
            <w:vAlign w:val="center"/>
          </w:tcPr>
          <w:p w:rsidR="00000000" w:rsidRDefault="00000000">
            <w:pPr>
              <w:keepNext/>
              <w:keepLines/>
              <w:jc w:val="center"/>
              <w:rPr>
                <w:sz w:val="22"/>
              </w:rPr>
            </w:pPr>
            <w:r>
              <w:rPr>
                <w:sz w:val="22"/>
              </w:rPr>
              <w:t>2000</w:t>
            </w:r>
          </w:p>
        </w:tc>
        <w:tc>
          <w:tcPr>
            <w:tcW w:w="575" w:type="dxa"/>
            <w:vAlign w:val="center"/>
          </w:tcPr>
          <w:p w:rsidR="00000000" w:rsidRDefault="00000000">
            <w:pPr>
              <w:keepNext/>
              <w:keepLines/>
              <w:jc w:val="center"/>
              <w:rPr>
                <w:sz w:val="22"/>
              </w:rPr>
            </w:pPr>
            <w:r>
              <w:rPr>
                <w:sz w:val="22"/>
              </w:rPr>
              <w:t>%</w:t>
            </w:r>
          </w:p>
        </w:tc>
        <w:tc>
          <w:tcPr>
            <w:tcW w:w="718" w:type="dxa"/>
            <w:vAlign w:val="center"/>
          </w:tcPr>
          <w:p w:rsidR="00000000" w:rsidRDefault="00000000">
            <w:pPr>
              <w:keepNext/>
              <w:keepLines/>
              <w:jc w:val="center"/>
              <w:rPr>
                <w:sz w:val="22"/>
              </w:rPr>
            </w:pPr>
            <w:r>
              <w:rPr>
                <w:sz w:val="22"/>
              </w:rPr>
              <w:t>2001</w:t>
            </w:r>
          </w:p>
        </w:tc>
        <w:tc>
          <w:tcPr>
            <w:tcW w:w="575" w:type="dxa"/>
            <w:vAlign w:val="center"/>
          </w:tcPr>
          <w:p w:rsidR="00000000" w:rsidRDefault="00000000">
            <w:pPr>
              <w:keepNext/>
              <w:keepLines/>
              <w:jc w:val="center"/>
              <w:rPr>
                <w:sz w:val="22"/>
              </w:rPr>
            </w:pPr>
            <w:r>
              <w:rPr>
                <w:sz w:val="22"/>
              </w:rPr>
              <w:t>%</w:t>
            </w:r>
          </w:p>
        </w:tc>
        <w:tc>
          <w:tcPr>
            <w:tcW w:w="718" w:type="dxa"/>
            <w:vAlign w:val="center"/>
          </w:tcPr>
          <w:p w:rsidR="00000000" w:rsidRDefault="00000000">
            <w:pPr>
              <w:keepNext/>
              <w:keepLines/>
              <w:jc w:val="center"/>
              <w:rPr>
                <w:sz w:val="22"/>
              </w:rPr>
            </w:pPr>
            <w:r>
              <w:rPr>
                <w:sz w:val="22"/>
              </w:rPr>
              <w:t>2002</w:t>
            </w:r>
          </w:p>
        </w:tc>
        <w:tc>
          <w:tcPr>
            <w:tcW w:w="575" w:type="dxa"/>
            <w:vAlign w:val="center"/>
          </w:tcPr>
          <w:p w:rsidR="00000000" w:rsidRDefault="00000000">
            <w:pPr>
              <w:keepNext/>
              <w:keepLines/>
              <w:jc w:val="center"/>
              <w:rPr>
                <w:sz w:val="22"/>
              </w:rPr>
            </w:pPr>
            <w:r>
              <w:rPr>
                <w:sz w:val="22"/>
              </w:rPr>
              <w:t>%</w:t>
            </w:r>
          </w:p>
        </w:tc>
        <w:tc>
          <w:tcPr>
            <w:tcW w:w="718" w:type="dxa"/>
            <w:vAlign w:val="center"/>
          </w:tcPr>
          <w:p w:rsidR="00000000" w:rsidRDefault="00000000">
            <w:pPr>
              <w:keepNext/>
              <w:keepLines/>
              <w:jc w:val="center"/>
              <w:rPr>
                <w:sz w:val="22"/>
              </w:rPr>
            </w:pPr>
            <w:r>
              <w:rPr>
                <w:sz w:val="22"/>
              </w:rPr>
              <w:t>2003</w:t>
            </w:r>
          </w:p>
        </w:tc>
        <w:tc>
          <w:tcPr>
            <w:tcW w:w="575" w:type="dxa"/>
            <w:vAlign w:val="center"/>
          </w:tcPr>
          <w:p w:rsidR="00000000" w:rsidRDefault="00000000">
            <w:pPr>
              <w:keepNext/>
              <w:keepLines/>
              <w:jc w:val="center"/>
              <w:rPr>
                <w:sz w:val="22"/>
              </w:rPr>
            </w:pPr>
            <w:r>
              <w:rPr>
                <w:sz w:val="22"/>
              </w:rPr>
              <w:t>%</w:t>
            </w:r>
          </w:p>
        </w:tc>
        <w:tc>
          <w:tcPr>
            <w:tcW w:w="737" w:type="dxa"/>
            <w:vAlign w:val="center"/>
          </w:tcPr>
          <w:p w:rsidR="00000000" w:rsidRDefault="00000000">
            <w:pPr>
              <w:keepNext/>
              <w:keepLines/>
              <w:jc w:val="center"/>
              <w:rPr>
                <w:sz w:val="22"/>
              </w:rPr>
            </w:pPr>
            <w:r>
              <w:rPr>
                <w:sz w:val="22"/>
              </w:rPr>
              <w:t>2004</w:t>
            </w:r>
            <w:r>
              <w:rPr>
                <w:b/>
                <w:bCs/>
                <w:iCs/>
                <w:sz w:val="22"/>
                <w:vertAlign w:val="superscript"/>
              </w:rPr>
              <w:t>b</w:t>
            </w:r>
          </w:p>
        </w:tc>
        <w:tc>
          <w:tcPr>
            <w:tcW w:w="476" w:type="dxa"/>
            <w:vAlign w:val="center"/>
          </w:tcPr>
          <w:p w:rsidR="00000000" w:rsidRDefault="00000000">
            <w:pPr>
              <w:keepNext/>
              <w:keepLines/>
              <w:jc w:val="center"/>
              <w:rPr>
                <w:sz w:val="22"/>
              </w:rPr>
            </w:pPr>
            <w:r>
              <w:rPr>
                <w:sz w:val="22"/>
              </w:rPr>
              <w:t>%</w:t>
            </w:r>
          </w:p>
        </w:tc>
      </w:tr>
      <w:tr w:rsidR="00000000">
        <w:trPr>
          <w:jc w:val="center"/>
        </w:trPr>
        <w:tc>
          <w:tcPr>
            <w:tcW w:w="1605" w:type="dxa"/>
          </w:tcPr>
          <w:p w:rsidR="00000000" w:rsidRDefault="00000000">
            <w:pPr>
              <w:keepNext/>
              <w:keepLines/>
              <w:rPr>
                <w:bCs/>
                <w:sz w:val="22"/>
              </w:rPr>
            </w:pPr>
            <w:r>
              <w:rPr>
                <w:bCs/>
                <w:sz w:val="22"/>
              </w:rPr>
              <w:t>Preventivos</w:t>
            </w:r>
          </w:p>
        </w:tc>
        <w:tc>
          <w:tcPr>
            <w:tcW w:w="740" w:type="dxa"/>
          </w:tcPr>
          <w:p w:rsidR="00000000" w:rsidRDefault="00000000">
            <w:pPr>
              <w:keepNext/>
              <w:keepLines/>
              <w:jc w:val="right"/>
              <w:rPr>
                <w:sz w:val="22"/>
              </w:rPr>
            </w:pPr>
            <w:r>
              <w:rPr>
                <w:sz w:val="22"/>
              </w:rPr>
              <w:t>4.052</w:t>
            </w:r>
          </w:p>
        </w:tc>
        <w:tc>
          <w:tcPr>
            <w:tcW w:w="570" w:type="dxa"/>
          </w:tcPr>
          <w:p w:rsidR="00000000" w:rsidRDefault="00000000">
            <w:pPr>
              <w:keepNext/>
              <w:keepLines/>
              <w:jc w:val="right"/>
              <w:rPr>
                <w:sz w:val="22"/>
              </w:rPr>
            </w:pPr>
            <w:r>
              <w:rPr>
                <w:sz w:val="22"/>
              </w:rPr>
              <w:t>31,4</w:t>
            </w:r>
          </w:p>
        </w:tc>
        <w:tc>
          <w:tcPr>
            <w:tcW w:w="718" w:type="dxa"/>
          </w:tcPr>
          <w:p w:rsidR="00000000" w:rsidRDefault="00000000">
            <w:pPr>
              <w:keepNext/>
              <w:keepLines/>
              <w:jc w:val="right"/>
              <w:rPr>
                <w:sz w:val="22"/>
              </w:rPr>
            </w:pPr>
            <w:r>
              <w:rPr>
                <w:sz w:val="22"/>
              </w:rPr>
              <w:t>3.854</w:t>
            </w:r>
          </w:p>
        </w:tc>
        <w:tc>
          <w:tcPr>
            <w:tcW w:w="575" w:type="dxa"/>
          </w:tcPr>
          <w:p w:rsidR="00000000" w:rsidRDefault="00000000">
            <w:pPr>
              <w:keepNext/>
              <w:keepLines/>
              <w:jc w:val="right"/>
              <w:rPr>
                <w:sz w:val="22"/>
              </w:rPr>
            </w:pPr>
            <w:r>
              <w:rPr>
                <w:sz w:val="22"/>
              </w:rPr>
              <w:t>30,2</w:t>
            </w:r>
          </w:p>
        </w:tc>
        <w:tc>
          <w:tcPr>
            <w:tcW w:w="718" w:type="dxa"/>
          </w:tcPr>
          <w:p w:rsidR="00000000" w:rsidRDefault="00000000">
            <w:pPr>
              <w:keepNext/>
              <w:keepLines/>
              <w:jc w:val="right"/>
              <w:rPr>
                <w:sz w:val="22"/>
              </w:rPr>
            </w:pPr>
            <w:r>
              <w:rPr>
                <w:sz w:val="22"/>
              </w:rPr>
              <w:t>3.690</w:t>
            </w:r>
          </w:p>
        </w:tc>
        <w:tc>
          <w:tcPr>
            <w:tcW w:w="575" w:type="dxa"/>
          </w:tcPr>
          <w:p w:rsidR="00000000" w:rsidRDefault="00000000">
            <w:pPr>
              <w:keepNext/>
              <w:keepLines/>
              <w:jc w:val="right"/>
              <w:rPr>
                <w:sz w:val="22"/>
              </w:rPr>
            </w:pPr>
            <w:r>
              <w:rPr>
                <w:sz w:val="22"/>
              </w:rPr>
              <w:t>28,1</w:t>
            </w:r>
          </w:p>
        </w:tc>
        <w:tc>
          <w:tcPr>
            <w:tcW w:w="718" w:type="dxa"/>
          </w:tcPr>
          <w:p w:rsidR="00000000" w:rsidRDefault="00000000">
            <w:pPr>
              <w:keepNext/>
              <w:keepLines/>
              <w:jc w:val="right"/>
              <w:rPr>
                <w:sz w:val="22"/>
              </w:rPr>
            </w:pPr>
            <w:r>
              <w:rPr>
                <w:sz w:val="22"/>
              </w:rPr>
              <w:t>4.219</w:t>
            </w:r>
          </w:p>
        </w:tc>
        <w:tc>
          <w:tcPr>
            <w:tcW w:w="575" w:type="dxa"/>
          </w:tcPr>
          <w:p w:rsidR="00000000" w:rsidRDefault="00000000">
            <w:pPr>
              <w:keepNext/>
              <w:keepLines/>
              <w:jc w:val="right"/>
              <w:rPr>
                <w:sz w:val="22"/>
              </w:rPr>
            </w:pPr>
            <w:r>
              <w:rPr>
                <w:sz w:val="22"/>
              </w:rPr>
              <w:t>30,6</w:t>
            </w:r>
          </w:p>
        </w:tc>
        <w:tc>
          <w:tcPr>
            <w:tcW w:w="718" w:type="dxa"/>
          </w:tcPr>
          <w:p w:rsidR="00000000" w:rsidRDefault="00000000">
            <w:pPr>
              <w:keepNext/>
              <w:keepLines/>
              <w:jc w:val="right"/>
              <w:rPr>
                <w:sz w:val="22"/>
              </w:rPr>
            </w:pPr>
            <w:r>
              <w:rPr>
                <w:sz w:val="22"/>
              </w:rPr>
              <w:t>3.492</w:t>
            </w:r>
          </w:p>
        </w:tc>
        <w:tc>
          <w:tcPr>
            <w:tcW w:w="575" w:type="dxa"/>
          </w:tcPr>
          <w:p w:rsidR="00000000" w:rsidRDefault="00000000">
            <w:pPr>
              <w:keepNext/>
              <w:keepLines/>
              <w:jc w:val="right"/>
              <w:rPr>
                <w:sz w:val="22"/>
              </w:rPr>
            </w:pPr>
            <w:r>
              <w:rPr>
                <w:sz w:val="22"/>
              </w:rPr>
              <w:t>25,6</w:t>
            </w:r>
          </w:p>
        </w:tc>
        <w:tc>
          <w:tcPr>
            <w:tcW w:w="737" w:type="dxa"/>
          </w:tcPr>
          <w:p w:rsidR="00000000" w:rsidRDefault="00000000">
            <w:pPr>
              <w:keepNext/>
              <w:keepLines/>
              <w:jc w:val="right"/>
              <w:rPr>
                <w:sz w:val="22"/>
              </w:rPr>
            </w:pPr>
            <w:r>
              <w:rPr>
                <w:sz w:val="22"/>
              </w:rPr>
              <w:t>3.497</w:t>
            </w:r>
          </w:p>
        </w:tc>
        <w:tc>
          <w:tcPr>
            <w:tcW w:w="476" w:type="dxa"/>
          </w:tcPr>
          <w:p w:rsidR="00000000" w:rsidRDefault="00000000">
            <w:pPr>
              <w:keepNext/>
              <w:keepLines/>
              <w:jc w:val="right"/>
              <w:rPr>
                <w:sz w:val="22"/>
              </w:rPr>
            </w:pPr>
            <w:r>
              <w:rPr>
                <w:sz w:val="22"/>
              </w:rPr>
              <w:t>25,7</w:t>
            </w:r>
          </w:p>
        </w:tc>
      </w:tr>
      <w:tr w:rsidR="00000000">
        <w:trPr>
          <w:jc w:val="center"/>
        </w:trPr>
        <w:tc>
          <w:tcPr>
            <w:tcW w:w="1605" w:type="dxa"/>
          </w:tcPr>
          <w:p w:rsidR="00000000" w:rsidRDefault="00000000">
            <w:pPr>
              <w:keepNext/>
              <w:keepLines/>
              <w:rPr>
                <w:bCs/>
                <w:sz w:val="22"/>
              </w:rPr>
            </w:pPr>
            <w:r>
              <w:rPr>
                <w:bCs/>
                <w:sz w:val="22"/>
              </w:rPr>
              <w:t>Condenados</w:t>
            </w:r>
          </w:p>
        </w:tc>
        <w:tc>
          <w:tcPr>
            <w:tcW w:w="740" w:type="dxa"/>
          </w:tcPr>
          <w:p w:rsidR="00000000" w:rsidRDefault="00000000">
            <w:pPr>
              <w:keepNext/>
              <w:keepLines/>
              <w:jc w:val="right"/>
              <w:rPr>
                <w:sz w:val="22"/>
              </w:rPr>
            </w:pPr>
            <w:r>
              <w:rPr>
                <w:sz w:val="22"/>
              </w:rPr>
              <w:t>8.855</w:t>
            </w:r>
          </w:p>
        </w:tc>
        <w:tc>
          <w:tcPr>
            <w:tcW w:w="570" w:type="dxa"/>
          </w:tcPr>
          <w:p w:rsidR="00000000" w:rsidRDefault="00000000">
            <w:pPr>
              <w:keepNext/>
              <w:keepLines/>
              <w:jc w:val="right"/>
              <w:rPr>
                <w:sz w:val="22"/>
              </w:rPr>
            </w:pPr>
            <w:r>
              <w:rPr>
                <w:sz w:val="22"/>
              </w:rPr>
              <w:t>68,6</w:t>
            </w:r>
          </w:p>
        </w:tc>
        <w:tc>
          <w:tcPr>
            <w:tcW w:w="718" w:type="dxa"/>
          </w:tcPr>
          <w:p w:rsidR="00000000" w:rsidRDefault="00000000">
            <w:pPr>
              <w:keepNext/>
              <w:keepLines/>
              <w:jc w:val="right"/>
              <w:rPr>
                <w:sz w:val="22"/>
              </w:rPr>
            </w:pPr>
            <w:r>
              <w:rPr>
                <w:sz w:val="22"/>
              </w:rPr>
              <w:t>8.917</w:t>
            </w:r>
          </w:p>
        </w:tc>
        <w:tc>
          <w:tcPr>
            <w:tcW w:w="575" w:type="dxa"/>
          </w:tcPr>
          <w:p w:rsidR="00000000" w:rsidRDefault="00000000">
            <w:pPr>
              <w:keepNext/>
              <w:keepLines/>
              <w:jc w:val="right"/>
              <w:rPr>
                <w:sz w:val="22"/>
              </w:rPr>
            </w:pPr>
            <w:r>
              <w:rPr>
                <w:sz w:val="22"/>
              </w:rPr>
              <w:t>69,8</w:t>
            </w:r>
          </w:p>
        </w:tc>
        <w:tc>
          <w:tcPr>
            <w:tcW w:w="718" w:type="dxa"/>
          </w:tcPr>
          <w:p w:rsidR="00000000" w:rsidRDefault="00000000">
            <w:pPr>
              <w:keepNext/>
              <w:keepLines/>
              <w:jc w:val="right"/>
              <w:rPr>
                <w:sz w:val="22"/>
              </w:rPr>
            </w:pPr>
            <w:r>
              <w:rPr>
                <w:sz w:val="22"/>
              </w:rPr>
              <w:t>9.422</w:t>
            </w:r>
          </w:p>
        </w:tc>
        <w:tc>
          <w:tcPr>
            <w:tcW w:w="575" w:type="dxa"/>
          </w:tcPr>
          <w:p w:rsidR="00000000" w:rsidRDefault="00000000">
            <w:pPr>
              <w:keepNext/>
              <w:keepLines/>
              <w:jc w:val="right"/>
              <w:rPr>
                <w:sz w:val="22"/>
              </w:rPr>
            </w:pPr>
            <w:r>
              <w:rPr>
                <w:sz w:val="22"/>
              </w:rPr>
              <w:t>71,9</w:t>
            </w:r>
          </w:p>
        </w:tc>
        <w:tc>
          <w:tcPr>
            <w:tcW w:w="718" w:type="dxa"/>
          </w:tcPr>
          <w:p w:rsidR="00000000" w:rsidRDefault="00000000">
            <w:pPr>
              <w:keepNext/>
              <w:keepLines/>
              <w:jc w:val="right"/>
              <w:rPr>
                <w:sz w:val="22"/>
              </w:rPr>
            </w:pPr>
            <w:r>
              <w:rPr>
                <w:sz w:val="22"/>
              </w:rPr>
              <w:t>9.553</w:t>
            </w:r>
          </w:p>
        </w:tc>
        <w:tc>
          <w:tcPr>
            <w:tcW w:w="575" w:type="dxa"/>
          </w:tcPr>
          <w:p w:rsidR="00000000" w:rsidRDefault="00000000">
            <w:pPr>
              <w:keepNext/>
              <w:keepLines/>
              <w:jc w:val="right"/>
              <w:rPr>
                <w:sz w:val="22"/>
              </w:rPr>
            </w:pPr>
            <w:r>
              <w:rPr>
                <w:sz w:val="22"/>
              </w:rPr>
              <w:t>69,4</w:t>
            </w:r>
          </w:p>
        </w:tc>
        <w:tc>
          <w:tcPr>
            <w:tcW w:w="718" w:type="dxa"/>
          </w:tcPr>
          <w:p w:rsidR="00000000" w:rsidRDefault="00000000">
            <w:pPr>
              <w:keepNext/>
              <w:keepLines/>
              <w:jc w:val="right"/>
              <w:rPr>
                <w:sz w:val="22"/>
              </w:rPr>
            </w:pPr>
            <w:r>
              <w:rPr>
                <w:sz w:val="22"/>
              </w:rPr>
              <w:t>10.143</w:t>
            </w:r>
          </w:p>
        </w:tc>
        <w:tc>
          <w:tcPr>
            <w:tcW w:w="575" w:type="dxa"/>
          </w:tcPr>
          <w:p w:rsidR="00000000" w:rsidRDefault="00000000">
            <w:pPr>
              <w:keepNext/>
              <w:keepLines/>
              <w:jc w:val="right"/>
              <w:rPr>
                <w:sz w:val="22"/>
              </w:rPr>
            </w:pPr>
            <w:r>
              <w:rPr>
                <w:sz w:val="22"/>
              </w:rPr>
              <w:t>74,4</w:t>
            </w:r>
          </w:p>
        </w:tc>
        <w:tc>
          <w:tcPr>
            <w:tcW w:w="737" w:type="dxa"/>
          </w:tcPr>
          <w:p w:rsidR="00000000" w:rsidRDefault="00000000">
            <w:pPr>
              <w:keepNext/>
              <w:keepLines/>
              <w:jc w:val="right"/>
              <w:rPr>
                <w:sz w:val="22"/>
              </w:rPr>
            </w:pPr>
            <w:r>
              <w:rPr>
                <w:sz w:val="22"/>
              </w:rPr>
              <w:t>10.123</w:t>
            </w:r>
          </w:p>
        </w:tc>
        <w:tc>
          <w:tcPr>
            <w:tcW w:w="476" w:type="dxa"/>
          </w:tcPr>
          <w:p w:rsidR="00000000" w:rsidRDefault="00000000">
            <w:pPr>
              <w:keepNext/>
              <w:keepLines/>
              <w:jc w:val="right"/>
              <w:rPr>
                <w:sz w:val="22"/>
              </w:rPr>
            </w:pPr>
            <w:r>
              <w:rPr>
                <w:sz w:val="22"/>
              </w:rPr>
              <w:t>74,3</w:t>
            </w:r>
          </w:p>
        </w:tc>
      </w:tr>
      <w:tr w:rsidR="00000000">
        <w:trPr>
          <w:jc w:val="center"/>
        </w:trPr>
        <w:tc>
          <w:tcPr>
            <w:tcW w:w="1605" w:type="dxa"/>
          </w:tcPr>
          <w:p w:rsidR="00000000" w:rsidRDefault="00000000">
            <w:pPr>
              <w:keepNext/>
              <w:keepLines/>
              <w:rPr>
                <w:sz w:val="22"/>
              </w:rPr>
            </w:pPr>
            <w:r>
              <w:rPr>
                <w:sz w:val="22"/>
              </w:rPr>
              <w:tab/>
              <w:t>Total</w:t>
            </w:r>
          </w:p>
        </w:tc>
        <w:tc>
          <w:tcPr>
            <w:tcW w:w="740" w:type="dxa"/>
          </w:tcPr>
          <w:p w:rsidR="00000000" w:rsidRDefault="00000000">
            <w:pPr>
              <w:keepNext/>
              <w:keepLines/>
              <w:jc w:val="right"/>
              <w:rPr>
                <w:sz w:val="22"/>
              </w:rPr>
            </w:pPr>
            <w:r>
              <w:rPr>
                <w:sz w:val="22"/>
              </w:rPr>
              <w:t>12.907</w:t>
            </w:r>
          </w:p>
        </w:tc>
        <w:tc>
          <w:tcPr>
            <w:tcW w:w="570" w:type="dxa"/>
          </w:tcPr>
          <w:p w:rsidR="00000000" w:rsidRDefault="00000000">
            <w:pPr>
              <w:keepNext/>
              <w:keepLines/>
              <w:jc w:val="right"/>
              <w:rPr>
                <w:sz w:val="22"/>
              </w:rPr>
            </w:pPr>
            <w:r>
              <w:rPr>
                <w:sz w:val="22"/>
              </w:rPr>
              <w:t>100</w:t>
            </w:r>
          </w:p>
        </w:tc>
        <w:tc>
          <w:tcPr>
            <w:tcW w:w="718" w:type="dxa"/>
          </w:tcPr>
          <w:p w:rsidR="00000000" w:rsidRDefault="00000000">
            <w:pPr>
              <w:keepNext/>
              <w:keepLines/>
              <w:jc w:val="right"/>
              <w:rPr>
                <w:sz w:val="22"/>
              </w:rPr>
            </w:pPr>
            <w:r>
              <w:rPr>
                <w:sz w:val="22"/>
              </w:rPr>
              <w:t>12.771</w:t>
            </w:r>
          </w:p>
        </w:tc>
        <w:tc>
          <w:tcPr>
            <w:tcW w:w="575" w:type="dxa"/>
          </w:tcPr>
          <w:p w:rsidR="00000000" w:rsidRDefault="00000000">
            <w:pPr>
              <w:keepNext/>
              <w:keepLines/>
              <w:jc w:val="right"/>
              <w:rPr>
                <w:sz w:val="22"/>
              </w:rPr>
            </w:pPr>
            <w:r>
              <w:rPr>
                <w:sz w:val="22"/>
              </w:rPr>
              <w:t>100</w:t>
            </w:r>
          </w:p>
        </w:tc>
        <w:tc>
          <w:tcPr>
            <w:tcW w:w="718" w:type="dxa"/>
          </w:tcPr>
          <w:p w:rsidR="00000000" w:rsidRDefault="00000000">
            <w:pPr>
              <w:keepNext/>
              <w:keepLines/>
              <w:jc w:val="right"/>
              <w:rPr>
                <w:sz w:val="22"/>
              </w:rPr>
            </w:pPr>
            <w:r>
              <w:rPr>
                <w:sz w:val="22"/>
              </w:rPr>
              <w:t>13.112</w:t>
            </w:r>
          </w:p>
        </w:tc>
        <w:tc>
          <w:tcPr>
            <w:tcW w:w="575" w:type="dxa"/>
          </w:tcPr>
          <w:p w:rsidR="00000000" w:rsidRDefault="00000000">
            <w:pPr>
              <w:keepNext/>
              <w:keepLines/>
              <w:jc w:val="right"/>
              <w:rPr>
                <w:sz w:val="22"/>
              </w:rPr>
            </w:pPr>
            <w:r>
              <w:rPr>
                <w:sz w:val="22"/>
              </w:rPr>
              <w:t>100</w:t>
            </w:r>
          </w:p>
        </w:tc>
        <w:tc>
          <w:tcPr>
            <w:tcW w:w="718" w:type="dxa"/>
          </w:tcPr>
          <w:p w:rsidR="00000000" w:rsidRDefault="00000000">
            <w:pPr>
              <w:keepNext/>
              <w:keepLines/>
              <w:jc w:val="right"/>
              <w:rPr>
                <w:sz w:val="22"/>
              </w:rPr>
            </w:pPr>
            <w:r>
              <w:rPr>
                <w:sz w:val="22"/>
              </w:rPr>
              <w:t>13.772</w:t>
            </w:r>
          </w:p>
        </w:tc>
        <w:tc>
          <w:tcPr>
            <w:tcW w:w="575" w:type="dxa"/>
          </w:tcPr>
          <w:p w:rsidR="00000000" w:rsidRDefault="00000000">
            <w:pPr>
              <w:keepNext/>
              <w:keepLines/>
              <w:jc w:val="right"/>
              <w:rPr>
                <w:sz w:val="22"/>
              </w:rPr>
            </w:pPr>
            <w:r>
              <w:rPr>
                <w:sz w:val="22"/>
              </w:rPr>
              <w:t>100</w:t>
            </w:r>
          </w:p>
        </w:tc>
        <w:tc>
          <w:tcPr>
            <w:tcW w:w="718" w:type="dxa"/>
          </w:tcPr>
          <w:p w:rsidR="00000000" w:rsidRDefault="00000000">
            <w:pPr>
              <w:keepNext/>
              <w:keepLines/>
              <w:jc w:val="right"/>
              <w:rPr>
                <w:sz w:val="22"/>
              </w:rPr>
            </w:pPr>
            <w:r>
              <w:rPr>
                <w:sz w:val="22"/>
              </w:rPr>
              <w:t>13.635</w:t>
            </w:r>
          </w:p>
        </w:tc>
        <w:tc>
          <w:tcPr>
            <w:tcW w:w="575" w:type="dxa"/>
          </w:tcPr>
          <w:p w:rsidR="00000000" w:rsidRDefault="00000000">
            <w:pPr>
              <w:keepNext/>
              <w:keepLines/>
              <w:jc w:val="right"/>
              <w:rPr>
                <w:sz w:val="22"/>
              </w:rPr>
            </w:pPr>
            <w:r>
              <w:rPr>
                <w:sz w:val="22"/>
              </w:rPr>
              <w:t>100</w:t>
            </w:r>
          </w:p>
        </w:tc>
        <w:tc>
          <w:tcPr>
            <w:tcW w:w="737" w:type="dxa"/>
          </w:tcPr>
          <w:p w:rsidR="00000000" w:rsidRDefault="00000000">
            <w:pPr>
              <w:keepNext/>
              <w:keepLines/>
              <w:jc w:val="right"/>
              <w:rPr>
                <w:sz w:val="22"/>
              </w:rPr>
            </w:pPr>
            <w:r>
              <w:rPr>
                <w:sz w:val="22"/>
              </w:rPr>
              <w:t>13.620</w:t>
            </w:r>
          </w:p>
        </w:tc>
        <w:tc>
          <w:tcPr>
            <w:tcW w:w="476" w:type="dxa"/>
          </w:tcPr>
          <w:p w:rsidR="00000000" w:rsidRDefault="00000000">
            <w:pPr>
              <w:keepNext/>
              <w:keepLines/>
              <w:jc w:val="right"/>
              <w:rPr>
                <w:sz w:val="22"/>
              </w:rPr>
            </w:pPr>
            <w:r>
              <w:rPr>
                <w:sz w:val="22"/>
              </w:rPr>
              <w:t>100</w:t>
            </w:r>
          </w:p>
        </w:tc>
      </w:tr>
    </w:tbl>
    <w:p w:rsidR="00000000" w:rsidRDefault="00000000">
      <w:pPr>
        <w:spacing w:before="240" w:after="220"/>
        <w:rPr>
          <w:sz w:val="22"/>
        </w:rPr>
      </w:pPr>
      <w:r>
        <w:rPr>
          <w:i/>
          <w:sz w:val="22"/>
        </w:rPr>
        <w:t>Fuente</w:t>
      </w:r>
      <w:r>
        <w:rPr>
          <w:sz w:val="22"/>
        </w:rPr>
        <w:t>:  Dirección General de Servicios Penitenciarios, Dirección de servicios de planificación, documentación, estudios e informes internacionales.</w:t>
      </w:r>
    </w:p>
    <w:p w:rsidR="00000000" w:rsidRDefault="00000000">
      <w:pPr>
        <w:keepNext/>
        <w:keepLines/>
        <w:spacing w:after="220"/>
        <w:rPr>
          <w:sz w:val="22"/>
        </w:rPr>
      </w:pPr>
      <w:r>
        <w:rPr>
          <w:b/>
          <w:iCs/>
          <w:sz w:val="22"/>
          <w:vertAlign w:val="superscript"/>
        </w:rPr>
        <w:t>a</w:t>
      </w:r>
      <w:r>
        <w:rPr>
          <w:sz w:val="22"/>
        </w:rPr>
        <w:t xml:space="preserve"> En 1999 hubo una amnistía.</w:t>
      </w:r>
    </w:p>
    <w:p w:rsidR="00000000" w:rsidRDefault="00000000">
      <w:pPr>
        <w:keepNext/>
        <w:keepLines/>
        <w:spacing w:after="480"/>
      </w:pPr>
      <w:r>
        <w:rPr>
          <w:b/>
          <w:iCs/>
          <w:sz w:val="22"/>
          <w:vertAlign w:val="superscript"/>
        </w:rPr>
        <w:t>b</w:t>
      </w:r>
      <w:r>
        <w:rPr>
          <w:sz w:val="22"/>
        </w:rPr>
        <w:t xml:space="preserve"> Los datos para 2004 abarcan hasta el 15 de junio.</w:t>
      </w:r>
    </w:p>
    <w:p w:rsidR="00000000" w:rsidRDefault="00000000">
      <w:pPr>
        <w:autoSpaceDE w:val="0"/>
        <w:autoSpaceDN w:val="0"/>
        <w:adjustRightInd w:val="0"/>
        <w:spacing w:after="240"/>
        <w:jc w:val="center"/>
        <w:rPr>
          <w:b/>
        </w:rPr>
      </w:pPr>
      <w:r>
        <w:rPr>
          <w:b/>
        </w:rPr>
        <w:t>C.  La vigilancia electrónica</w:t>
      </w:r>
    </w:p>
    <w:p w:rsidR="00000000" w:rsidRDefault="00000000">
      <w:pPr>
        <w:autoSpaceDE w:val="0"/>
        <w:autoSpaceDN w:val="0"/>
        <w:adjustRightInd w:val="0"/>
        <w:spacing w:after="240"/>
      </w:pPr>
      <w:r>
        <w:t>93.</w:t>
      </w:r>
      <w:r>
        <w:tab/>
        <w:t xml:space="preserve">No se puede dejar de mencionar la vigilancia electrónica, por cuanto se trata de una medida que ofrece muchas posibilidades en la búsqueda de soluciones alternativas a la prisión preventiva.  Se aplica a las personas que están sometidas al deber de permanecer en su domicilio, en términos del artículo 201 del Código de Procedimiento Penal.  Prevista por la Ley Nº 122/99, de 20 de agosto, esta modalidad está supeditada al consentimiento del acusado y de las personas que residen con él o que pueden verse afectadas por este confinamiento domiciliario.  El acusado debe dar su consentimiento por escrito, salvo si es el propio detenido el que solicita la aplicación de esta medida; este consentimiento se podrá revocar en cualquier momento.  </w:t>
      </w:r>
    </w:p>
    <w:p w:rsidR="00000000" w:rsidRDefault="00000000">
      <w:pPr>
        <w:autoSpaceDE w:val="0"/>
        <w:autoSpaceDN w:val="0"/>
        <w:adjustRightInd w:val="0"/>
        <w:spacing w:after="240"/>
      </w:pPr>
      <w:r>
        <w:t>94.</w:t>
      </w:r>
      <w:r>
        <w:tab/>
        <w:t>En la fase de la indagación, la vigilancia electrónica se decide por orden del juez, a petición del fiscal; tras la indagación, puede decidirla oficiosamente el juez.</w:t>
      </w:r>
    </w:p>
    <w:p w:rsidR="00000000" w:rsidRDefault="00000000">
      <w:pPr>
        <w:autoSpaceDE w:val="0"/>
        <w:autoSpaceDN w:val="0"/>
        <w:adjustRightInd w:val="0"/>
        <w:spacing w:after="240"/>
      </w:pPr>
      <w:r>
        <w:t>95.</w:t>
      </w:r>
      <w:r>
        <w:tab/>
        <w:t>Con arreglo a lo dispuesto en el artículo 4, la vigilancia electrónica se lleva a cabo por medios técnicos que permiten, respetando siempre la dignidad del acusado, detectar a distancia su presencia o ausencia en un determinado lugar, durante los lapsos fijados por el juez.  La aplicación de la vigilancia electrónica incumbe al Instituto de Reinserción Social, que gestiona la aplicación de la medida y mantiene a las autoridades judiciales informadas de los medios que existen para aplicarla.</w:t>
      </w:r>
    </w:p>
    <w:p w:rsidR="00000000" w:rsidRDefault="00000000">
      <w:pPr>
        <w:autoSpaceDE w:val="0"/>
        <w:autoSpaceDN w:val="0"/>
        <w:adjustRightInd w:val="0"/>
        <w:spacing w:after="240"/>
      </w:pPr>
      <w:r>
        <w:t>96.</w:t>
      </w:r>
      <w:r>
        <w:tab/>
        <w:t>Cada tres meses el juez procede a examinar nuevamente las condiciones en que se decidió aplicar la vigilancia electrónica y a evaluar su aplicación, para mantener, modificar o revocar esa decisión (art. 7).</w:t>
      </w:r>
    </w:p>
    <w:p w:rsidR="00000000" w:rsidRDefault="00000000">
      <w:pPr>
        <w:autoSpaceDE w:val="0"/>
        <w:autoSpaceDN w:val="0"/>
        <w:adjustRightInd w:val="0"/>
        <w:spacing w:after="240"/>
      </w:pPr>
      <w:r>
        <w:t>97.</w:t>
      </w:r>
      <w:r>
        <w:tab/>
        <w:t>En 2002 se procedió a aplicar 44 medidas de vigilancia electrónica;  en 2003, el Instituto de Reinserción Social aplicó la vigilancia electrónica en 142 casos, y hasta abril de 2004 se está aplicando en 202 casos.</w:t>
      </w:r>
    </w:p>
    <w:p w:rsidR="00000000" w:rsidRDefault="00000000">
      <w:pPr>
        <w:keepNext/>
        <w:keepLines/>
        <w:autoSpaceDE w:val="0"/>
        <w:autoSpaceDN w:val="0"/>
        <w:adjustRightInd w:val="0"/>
        <w:spacing w:after="240"/>
        <w:jc w:val="center"/>
        <w:rPr>
          <w:b/>
          <w:bCs/>
        </w:rPr>
      </w:pPr>
      <w:r>
        <w:rPr>
          <w:b/>
          <w:bCs/>
        </w:rPr>
        <w:t>D.  Control sobre las autoridades encargadas de la detención</w:t>
      </w:r>
    </w:p>
    <w:p w:rsidR="00000000" w:rsidRDefault="00000000">
      <w:pPr>
        <w:autoSpaceDE w:val="0"/>
        <w:autoSpaceDN w:val="0"/>
        <w:adjustRightInd w:val="0"/>
        <w:spacing w:after="240"/>
      </w:pPr>
      <w:r>
        <w:t>98.</w:t>
      </w:r>
      <w:r>
        <w:tab/>
        <w:t>Para abordar este tema es preciso ante todo estudiar la legislación relativa a la policía, y luego la referente a la autoridad de control de los servicios de policía, a saber, la Inspección General de la Administración del Interior (IGAI).</w:t>
      </w:r>
    </w:p>
    <w:p w:rsidR="00000000" w:rsidRDefault="00000000">
      <w:pPr>
        <w:autoSpaceDE w:val="0"/>
        <w:autoSpaceDN w:val="0"/>
        <w:adjustRightInd w:val="0"/>
        <w:spacing w:after="240"/>
      </w:pPr>
      <w:r>
        <w:t>99.</w:t>
      </w:r>
      <w:r>
        <w:tab/>
        <w:t>La Ley Nº 21/2000, de 10 de agosto, relativa a la organización de las investigaciones penales, define los principios de la distribución de competencias entre la magistratura y la policía durante la indagación.  De este modo, la investigación penal comprende el conjunto de diligencias que, con arreglo a la legislación de procedimiento penal, tienen por objeto verificar la existencia de un delito, determinar quiénes son sus autores y su responsabilidad y descubrir y reunir las pruebas en el marco del procedimiento (art. 1).  La dirección de la investigación incumbe a la autoridad judicial competente en cada una de las fases del proceso (art. 2).  En la investigación la autoridad judicial recibe la asistencia de los órganos de policía criminal; estos últimos (párrafo 3 del artículo 2) comunican los hechos (cuando tienen conocimiento de un delito) al ministerio público, en el plazo más breve posible, y al mismo tiempo inician inmediatamente la investigación y adoptan, en todos los casos, las medidas cautelares necesarias y urgentes para resguardar los medios de prueba (párrafo 4 del artículo 270 del Código de Procedimiento Penal).</w:t>
      </w:r>
    </w:p>
    <w:p w:rsidR="00000000" w:rsidRDefault="00000000">
      <w:pPr>
        <w:autoSpaceDE w:val="0"/>
        <w:autoSpaceDN w:val="0"/>
        <w:adjustRightInd w:val="0"/>
        <w:spacing w:after="240"/>
      </w:pPr>
      <w:r>
        <w:t>100.</w:t>
      </w:r>
      <w:r>
        <w:tab/>
        <w:t>Los órganos de la policía criminal actúan en el proceso bajo la dirección de la autoridad judicial competente, de la que tienen una dependencia funcional, sin perjuicio de su jerarquía propia.  En virtud de lo dispuesto en el párrafo 7, los órganos de la policía criminal impulsan las diligencias legalmente admisibles, y la autoridad judicial puede en todo momento hacerse cargo del proceso, controlar su desarrollo y su legalidad y determinar cualquier tipo de acto.  Hay una primera medida, de carácter judicial, que pone de manifiesto este control sistemático:  la magistratura es competente para examinar el proceso, del que es responsable y, por ello, controla muy de cerca la actividad de la policía.</w:t>
      </w:r>
    </w:p>
    <w:p w:rsidR="00000000" w:rsidRDefault="00000000">
      <w:pPr>
        <w:autoSpaceDE w:val="0"/>
        <w:autoSpaceDN w:val="0"/>
        <w:adjustRightInd w:val="0"/>
        <w:spacing w:after="240"/>
      </w:pPr>
      <w:r>
        <w:t>101.</w:t>
      </w:r>
      <w:r>
        <w:tab/>
        <w:t>Los órganos de la policía criminal son -en términos de competencia general- la Policía Judicial, la Guardia Nacional Republicana y la Policía de Seguridad Pública.  Son órganos específicos de policía criminal todos los órganos a los que la ley confiere esta condición.</w:t>
      </w:r>
    </w:p>
    <w:p w:rsidR="00000000" w:rsidRDefault="00000000">
      <w:pPr>
        <w:autoSpaceDE w:val="0"/>
        <w:autoSpaceDN w:val="0"/>
        <w:adjustRightInd w:val="0"/>
        <w:spacing w:after="240"/>
        <w:rPr>
          <w:b/>
          <w:bCs/>
        </w:rPr>
      </w:pPr>
      <w:r>
        <w:rPr>
          <w:b/>
          <w:bCs/>
          <w:iCs/>
        </w:rPr>
        <w:t>1.</w:t>
      </w:r>
      <w:r>
        <w:rPr>
          <w:b/>
          <w:bCs/>
          <w:iCs/>
        </w:rPr>
        <w:tab/>
        <w:t>La Policía Judicial</w:t>
      </w:r>
    </w:p>
    <w:p w:rsidR="00000000" w:rsidRDefault="00000000">
      <w:pPr>
        <w:autoSpaceDE w:val="0"/>
        <w:autoSpaceDN w:val="0"/>
        <w:adjustRightInd w:val="0"/>
        <w:spacing w:after="240"/>
      </w:pPr>
      <w:r>
        <w:t>102.</w:t>
      </w:r>
      <w:r>
        <w:tab/>
        <w:t>En virtud de lo dispuesto en el artículo 4, la Policía Judicial tiene una competencia reservada a investigar los siguientes delitos:</w:t>
      </w:r>
    </w:p>
    <w:p w:rsidR="00000000" w:rsidRDefault="00000000">
      <w:pPr>
        <w:autoSpaceDE w:val="0"/>
        <w:autoSpaceDN w:val="0"/>
        <w:adjustRightInd w:val="0"/>
        <w:spacing w:after="240"/>
        <w:ind w:left="1134" w:hanging="567"/>
      </w:pPr>
      <w:r>
        <w:t>a)</w:t>
      </w:r>
      <w:r>
        <w:tab/>
        <w:t>El homicidio voluntario, cuando no se conoce el autor;</w:t>
      </w:r>
    </w:p>
    <w:p w:rsidR="00000000" w:rsidRDefault="00000000">
      <w:pPr>
        <w:autoSpaceDE w:val="0"/>
        <w:autoSpaceDN w:val="0"/>
        <w:adjustRightInd w:val="0"/>
        <w:spacing w:after="240"/>
        <w:ind w:left="1134" w:hanging="567"/>
      </w:pPr>
      <w:r>
        <w:t>b)</w:t>
      </w:r>
      <w:r>
        <w:tab/>
        <w:t>Los delitos contra la libertad y la libre determinación sexual, a los que corresponde una pena máxima de cinco años;</w:t>
      </w:r>
    </w:p>
    <w:p w:rsidR="00000000" w:rsidRDefault="00000000">
      <w:pPr>
        <w:autoSpaceDE w:val="0"/>
        <w:autoSpaceDN w:val="0"/>
        <w:adjustRightInd w:val="0"/>
        <w:spacing w:after="240"/>
        <w:ind w:left="1134" w:hanging="567"/>
      </w:pPr>
      <w:r>
        <w:t>c)</w:t>
      </w:r>
      <w:r>
        <w:tab/>
        <w:t>El incendio, la explosión, la exposición de personas a sustancias radiactivas y la liberación de gases tóxicos o asfixiantes;</w:t>
      </w:r>
    </w:p>
    <w:p w:rsidR="00000000" w:rsidRDefault="00000000">
      <w:pPr>
        <w:autoSpaceDE w:val="0"/>
        <w:autoSpaceDN w:val="0"/>
        <w:adjustRightInd w:val="0"/>
        <w:spacing w:after="240"/>
        <w:ind w:left="1134" w:hanging="567"/>
      </w:pPr>
      <w:r>
        <w:t>d)</w:t>
      </w:r>
      <w:r>
        <w:tab/>
        <w:t>La contaminación que crea un riesgo común;</w:t>
      </w:r>
    </w:p>
    <w:p w:rsidR="00000000" w:rsidRDefault="00000000">
      <w:pPr>
        <w:autoSpaceDE w:val="0"/>
        <w:autoSpaceDN w:val="0"/>
        <w:adjustRightInd w:val="0"/>
        <w:spacing w:after="240"/>
        <w:ind w:left="1134" w:hanging="567"/>
      </w:pPr>
      <w:r>
        <w:t>e)</w:t>
      </w:r>
      <w:r>
        <w:tab/>
        <w:t>El robo, los daños, la falsificación u ocultación de bienes muebles de valor científico, artístico o histórico o para el patrimonio cultural;</w:t>
      </w:r>
    </w:p>
    <w:p w:rsidR="00000000" w:rsidRDefault="00000000">
      <w:pPr>
        <w:autoSpaceDE w:val="0"/>
        <w:autoSpaceDN w:val="0"/>
        <w:adjustRightInd w:val="0"/>
        <w:spacing w:after="240"/>
        <w:ind w:left="1134" w:hanging="567"/>
      </w:pPr>
      <w:r>
        <w:t>f)</w:t>
      </w:r>
      <w:r>
        <w:tab/>
        <w:t>La falsificación de permisos de conducir y de documentos de propiedad de vehículos;</w:t>
      </w:r>
    </w:p>
    <w:p w:rsidR="00000000" w:rsidRDefault="00000000">
      <w:pPr>
        <w:autoSpaceDE w:val="0"/>
        <w:autoSpaceDN w:val="0"/>
        <w:adjustRightInd w:val="0"/>
        <w:spacing w:after="240"/>
        <w:ind w:left="1134" w:hanging="567"/>
      </w:pPr>
      <w:r>
        <w:t>g)</w:t>
      </w:r>
      <w:r>
        <w:tab/>
        <w:t>El tráfico y alteración de vehículos robados;</w:t>
      </w:r>
    </w:p>
    <w:p w:rsidR="00000000" w:rsidRDefault="00000000">
      <w:pPr>
        <w:autoSpaceDE w:val="0"/>
        <w:autoSpaceDN w:val="0"/>
        <w:adjustRightInd w:val="0"/>
        <w:spacing w:after="240"/>
        <w:ind w:left="1134" w:hanging="567"/>
      </w:pPr>
      <w:r>
        <w:t>h)</w:t>
      </w:r>
      <w:r>
        <w:tab/>
        <w:t>Los crímenes contra la paz y de lesa humanidad;</w:t>
      </w:r>
    </w:p>
    <w:p w:rsidR="00000000" w:rsidRDefault="00000000">
      <w:pPr>
        <w:autoSpaceDE w:val="0"/>
        <w:autoSpaceDN w:val="0"/>
        <w:adjustRightInd w:val="0"/>
        <w:spacing w:after="240"/>
        <w:ind w:left="1134" w:hanging="567"/>
      </w:pPr>
      <w:r>
        <w:t>i)</w:t>
      </w:r>
      <w:r>
        <w:tab/>
        <w:t>La esclavitud, el secuestro y el rapto o toma de rehenes;</w:t>
      </w:r>
    </w:p>
    <w:p w:rsidR="00000000" w:rsidRDefault="00000000">
      <w:pPr>
        <w:autoSpaceDE w:val="0"/>
        <w:autoSpaceDN w:val="0"/>
        <w:adjustRightInd w:val="0"/>
        <w:spacing w:after="240"/>
        <w:ind w:left="1134" w:hanging="567"/>
      </w:pPr>
      <w:r>
        <w:t>j)</w:t>
      </w:r>
      <w:r>
        <w:tab/>
        <w:t>El terrorismo y la participación en organizaciones terroristas;</w:t>
      </w:r>
    </w:p>
    <w:p w:rsidR="00000000" w:rsidRDefault="00000000">
      <w:pPr>
        <w:autoSpaceDE w:val="0"/>
        <w:autoSpaceDN w:val="0"/>
        <w:adjustRightInd w:val="0"/>
        <w:spacing w:after="240"/>
        <w:ind w:left="1134" w:hanging="567"/>
      </w:pPr>
      <w:r>
        <w:t>k)</w:t>
      </w:r>
      <w:r>
        <w:tab/>
        <w:t>Los delitos contra la seguridad del Estado, con excepción de los delitos relativos al proceso electoral;</w:t>
      </w:r>
    </w:p>
    <w:p w:rsidR="00000000" w:rsidRDefault="00000000">
      <w:pPr>
        <w:autoSpaceDE w:val="0"/>
        <w:autoSpaceDN w:val="0"/>
        <w:adjustRightInd w:val="0"/>
        <w:spacing w:after="240"/>
        <w:ind w:left="1134" w:hanging="567"/>
      </w:pPr>
      <w:r>
        <w:t>l)</w:t>
      </w:r>
      <w:r>
        <w:tab/>
        <w:t>La participación en un motín armado;</w:t>
      </w:r>
    </w:p>
    <w:p w:rsidR="00000000" w:rsidRDefault="00000000">
      <w:pPr>
        <w:autoSpaceDE w:val="0"/>
        <w:autoSpaceDN w:val="0"/>
        <w:adjustRightInd w:val="0"/>
        <w:spacing w:after="240"/>
        <w:ind w:left="1134" w:hanging="567"/>
      </w:pPr>
      <w:r>
        <w:t>m)</w:t>
      </w:r>
      <w:r>
        <w:tab/>
        <w:t>La captura o atentado a la seguridad de un transporte por aire, agua, ferrocarril o carretera al que corresponda, de manera abstracta, una pena igual o superior a ocho años de prisión;</w:t>
      </w:r>
    </w:p>
    <w:p w:rsidR="00000000" w:rsidRDefault="00000000">
      <w:pPr>
        <w:autoSpaceDE w:val="0"/>
        <w:autoSpaceDN w:val="0"/>
        <w:adjustRightInd w:val="0"/>
        <w:spacing w:after="240"/>
        <w:ind w:left="1134" w:hanging="567"/>
      </w:pPr>
      <w:r>
        <w:t>n)</w:t>
      </w:r>
      <w:r>
        <w:tab/>
        <w:t>Los delitos cometidos con bombas, granadas, materiales o dispositivos explosivos, armas de fuego y bombas trampa, armas nucleares, químicas o radiactivas;</w:t>
      </w:r>
    </w:p>
    <w:p w:rsidR="00000000" w:rsidRDefault="00000000">
      <w:pPr>
        <w:autoSpaceDE w:val="0"/>
        <w:autoSpaceDN w:val="0"/>
        <w:adjustRightInd w:val="0"/>
        <w:spacing w:after="240"/>
        <w:ind w:left="1134" w:hanging="567"/>
      </w:pPr>
      <w:r>
        <w:t>o)</w:t>
      </w:r>
      <w:r>
        <w:tab/>
        <w:t>El robo en las instituciones de crédito, oficinas de hacienda y correos;</w:t>
      </w:r>
    </w:p>
    <w:p w:rsidR="00000000" w:rsidRDefault="00000000">
      <w:pPr>
        <w:autoSpaceDE w:val="0"/>
        <w:autoSpaceDN w:val="0"/>
        <w:adjustRightInd w:val="0"/>
        <w:spacing w:after="240"/>
        <w:ind w:left="1134" w:hanging="567"/>
      </w:pPr>
      <w:r>
        <w:t>p)</w:t>
      </w:r>
      <w:r>
        <w:tab/>
        <w:t>La participación en asociaciones delictivas;</w:t>
      </w:r>
    </w:p>
    <w:p w:rsidR="00000000" w:rsidRDefault="00000000">
      <w:pPr>
        <w:autoSpaceDE w:val="0"/>
        <w:autoSpaceDN w:val="0"/>
        <w:adjustRightInd w:val="0"/>
        <w:spacing w:after="240"/>
        <w:ind w:left="1134" w:hanging="567"/>
      </w:pPr>
      <w:r>
        <w:t>q)</w:t>
      </w:r>
      <w:r>
        <w:tab/>
        <w:t>Los delitos relacionados con el tráfico de estupefacientes y de sustancias psicotrópicas, estipulados en los artículos 21, 22, 23, 27 y 28 del Decreto-ley Nº 15/93, de 22 de enero, así como todos los delitos previstos en este texto legislativo de que tenga conocimiento la Policía Judicial;</w:t>
      </w:r>
    </w:p>
    <w:p w:rsidR="00000000" w:rsidRDefault="00000000">
      <w:pPr>
        <w:autoSpaceDE w:val="0"/>
        <w:autoSpaceDN w:val="0"/>
        <w:adjustRightInd w:val="0"/>
        <w:spacing w:after="240"/>
        <w:ind w:left="1134" w:hanging="567"/>
      </w:pPr>
      <w:r>
        <w:t>r)</w:t>
      </w:r>
      <w:r>
        <w:tab/>
        <w:t>El blanqueo de dinero y de otros bienes o productos;</w:t>
      </w:r>
    </w:p>
    <w:p w:rsidR="00000000" w:rsidRDefault="00000000">
      <w:pPr>
        <w:autoSpaceDE w:val="0"/>
        <w:autoSpaceDN w:val="0"/>
        <w:adjustRightInd w:val="0"/>
        <w:spacing w:after="240"/>
        <w:ind w:left="1134" w:hanging="567"/>
      </w:pPr>
      <w:r>
        <w:t>s)</w:t>
      </w:r>
      <w:r>
        <w:tab/>
        <w:t>La corrupción, el abuso de poder, la participación económica en un negocio ilegal y el tráfico de influencias;</w:t>
      </w:r>
    </w:p>
    <w:p w:rsidR="00000000" w:rsidRDefault="00000000">
      <w:pPr>
        <w:autoSpaceDE w:val="0"/>
        <w:autoSpaceDN w:val="0"/>
        <w:adjustRightInd w:val="0"/>
        <w:spacing w:after="240"/>
        <w:ind w:left="1134" w:hanging="567"/>
      </w:pPr>
      <w:r>
        <w:t>t)</w:t>
      </w:r>
      <w:r>
        <w:tab/>
        <w:t>La malversación de fondos en una unidad del sector público y cooperativo;</w:t>
      </w:r>
    </w:p>
    <w:p w:rsidR="00000000" w:rsidRDefault="00000000">
      <w:pPr>
        <w:autoSpaceDE w:val="0"/>
        <w:autoSpaceDN w:val="0"/>
        <w:adjustRightInd w:val="0"/>
        <w:spacing w:after="240"/>
        <w:ind w:left="1134" w:hanging="567"/>
      </w:pPr>
      <w:r>
        <w:t>u)</w:t>
      </w:r>
      <w:r>
        <w:tab/>
        <w:t>El fraude en la obtención de una subvención o su utilización abusiva, así como el fraude en la obtención de créditos en condiciones favorables;</w:t>
      </w:r>
    </w:p>
    <w:p w:rsidR="00000000" w:rsidRDefault="00000000">
      <w:pPr>
        <w:autoSpaceDE w:val="0"/>
        <w:autoSpaceDN w:val="0"/>
        <w:adjustRightInd w:val="0"/>
        <w:spacing w:after="240"/>
        <w:ind w:left="1134" w:hanging="567"/>
      </w:pPr>
      <w:r>
        <w:t>v)</w:t>
      </w:r>
      <w:r>
        <w:tab/>
        <w:t>Las infracciones economicofinancieras cometidas de forma organizada o con ayuda de la tecnología informática;</w:t>
      </w:r>
    </w:p>
    <w:p w:rsidR="00000000" w:rsidRDefault="00000000">
      <w:pPr>
        <w:autoSpaceDE w:val="0"/>
        <w:autoSpaceDN w:val="0"/>
        <w:adjustRightInd w:val="0"/>
        <w:spacing w:after="240"/>
        <w:ind w:left="1134" w:hanging="567"/>
      </w:pPr>
      <w:r>
        <w:t>w)</w:t>
      </w:r>
      <w:r>
        <w:tab/>
        <w:t>Las infracciones economicofinancieras de dimensión internacional o transnacional;</w:t>
      </w:r>
    </w:p>
    <w:p w:rsidR="00000000" w:rsidRDefault="00000000">
      <w:pPr>
        <w:autoSpaceDE w:val="0"/>
        <w:autoSpaceDN w:val="0"/>
        <w:adjustRightInd w:val="0"/>
        <w:spacing w:after="240"/>
        <w:ind w:left="1134" w:hanging="567"/>
      </w:pPr>
      <w:r>
        <w:t>x)</w:t>
      </w:r>
      <w:r>
        <w:tab/>
        <w:t xml:space="preserve">Los delitos informáticos; </w:t>
      </w:r>
    </w:p>
    <w:p w:rsidR="00000000" w:rsidRDefault="00000000">
      <w:pPr>
        <w:autoSpaceDE w:val="0"/>
        <w:autoSpaceDN w:val="0"/>
        <w:adjustRightInd w:val="0"/>
        <w:spacing w:after="240"/>
        <w:ind w:left="1134" w:hanging="567"/>
      </w:pPr>
      <w:r>
        <w:t>y)</w:t>
      </w:r>
      <w:r>
        <w:tab/>
        <w:t>La falsificación de moneda, títulos de crédito, valores fiscales, sellos y valores correspondientes, o su emisión;</w:t>
      </w:r>
    </w:p>
    <w:p w:rsidR="00000000" w:rsidRDefault="00000000">
      <w:pPr>
        <w:autoSpaceDE w:val="0"/>
        <w:autoSpaceDN w:val="0"/>
        <w:adjustRightInd w:val="0"/>
        <w:spacing w:after="240"/>
        <w:ind w:left="1134" w:hanging="567"/>
      </w:pPr>
      <w:r>
        <w:t>z)</w:t>
      </w:r>
      <w:r>
        <w:tab/>
        <w:t>Los delitos sobre el mercado de valores mobiliarios;</w:t>
      </w:r>
    </w:p>
    <w:p w:rsidR="00000000" w:rsidRDefault="00000000">
      <w:pPr>
        <w:autoSpaceDE w:val="0"/>
        <w:autoSpaceDN w:val="0"/>
        <w:adjustRightInd w:val="0"/>
        <w:spacing w:after="240"/>
        <w:ind w:left="1134" w:hanging="567"/>
      </w:pPr>
      <w:r>
        <w:t>aa)</w:t>
      </w:r>
      <w:r>
        <w:tab/>
        <w:t>La insolvencia dolosa;</w:t>
      </w:r>
    </w:p>
    <w:p w:rsidR="00000000" w:rsidRDefault="00000000">
      <w:pPr>
        <w:autoSpaceDE w:val="0"/>
        <w:autoSpaceDN w:val="0"/>
        <w:adjustRightInd w:val="0"/>
        <w:spacing w:after="240"/>
        <w:ind w:left="1134" w:hanging="567"/>
      </w:pPr>
      <w:r>
        <w:t>bb)</w:t>
      </w:r>
      <w:r>
        <w:tab/>
        <w:t>El abuso de la libertad de prensa, cometido a través de los medios de difusión nacional;</w:t>
      </w:r>
    </w:p>
    <w:p w:rsidR="00000000" w:rsidRDefault="00000000">
      <w:pPr>
        <w:autoSpaceDE w:val="0"/>
        <w:autoSpaceDN w:val="0"/>
        <w:adjustRightInd w:val="0"/>
        <w:spacing w:after="240"/>
        <w:ind w:left="1134" w:hanging="567"/>
      </w:pPr>
      <w:r>
        <w:t>cc)</w:t>
      </w:r>
      <w:r>
        <w:tab/>
        <w:t>La complicidad en los delitos mencionados en los incisos s) a z).</w:t>
      </w:r>
    </w:p>
    <w:p w:rsidR="00000000" w:rsidRDefault="00000000">
      <w:pPr>
        <w:autoSpaceDE w:val="0"/>
        <w:autoSpaceDN w:val="0"/>
        <w:adjustRightInd w:val="0"/>
        <w:spacing w:after="240"/>
        <w:ind w:left="1134" w:hanging="567"/>
      </w:pPr>
      <w:r>
        <w:t>dd)</w:t>
      </w:r>
      <w:r>
        <w:tab/>
        <w:t>Las ofensas, en sus funciones o con motivo de su ejercicio, al Presidente de la República, al Presidente del Parlamento, al Primer Ministro, a los presidentes de los tribunales superiores y al Fiscal General de la República.</w:t>
      </w:r>
    </w:p>
    <w:p w:rsidR="00000000" w:rsidRDefault="00000000">
      <w:pPr>
        <w:autoSpaceDE w:val="0"/>
        <w:autoSpaceDN w:val="0"/>
        <w:adjustRightInd w:val="0"/>
        <w:spacing w:after="240"/>
      </w:pPr>
      <w:r>
        <w:t>103.</w:t>
      </w:r>
      <w:r>
        <w:tab/>
        <w:t>En virtud de lo dispuesto en el artículo 5 de la Ley Nº 21/2000, el Fiscal General de la República, a petición del Director Nacional de la Policía Judicial, del Comandante General de la Guardia Nacional Republicana o del Director Nacional de la Policía de Seguridad Pública, puede encargar a una de estas secciones de la policía la investigación de los delitos expuestos en los incisos b) a g) y aa) del artículo 4.  En los casos importantes, el Fiscal General puede remitir a la Policía Judicial los delitos no previstos en el artículo 4 que, por su importancia, merezcan la investigación de la Policía Judicial.</w:t>
      </w:r>
    </w:p>
    <w:p w:rsidR="00000000" w:rsidRDefault="00000000">
      <w:pPr>
        <w:autoSpaceDE w:val="0"/>
        <w:autoSpaceDN w:val="0"/>
        <w:adjustRightInd w:val="0"/>
        <w:spacing w:after="240"/>
      </w:pPr>
      <w:r>
        <w:t>104.</w:t>
      </w:r>
      <w:r>
        <w:tab/>
        <w:t>Existe una articulación entre las policías que tiene como elemento central al Fiscal General de la República:  puede decidirse que intervengan las policías no judiciales (en los casos reservados normalmente a la policía judicial) cuando la proximidad del caso o su simplicidad permiten esta intervención.  En los casos complejos, pero que no corresponden necesariamente a la Policía Judicial, se la puede llamar para que resuelva las cuestiones que se planteen.</w:t>
      </w:r>
    </w:p>
    <w:p w:rsidR="00000000" w:rsidRDefault="00000000">
      <w:pPr>
        <w:autoSpaceDE w:val="0"/>
        <w:autoSpaceDN w:val="0"/>
        <w:adjustRightInd w:val="0"/>
        <w:spacing w:after="240"/>
      </w:pPr>
      <w:r>
        <w:t>105.</w:t>
      </w:r>
      <w:r>
        <w:tab/>
        <w:t>En virtud de lo dispuesto en el artículo 7, la coordinación de las distintas policías corresponde a un consejo coordinador, compuesto por los Ministros de Justicia y del Interior, el Director Nacional de la Policía Judicial, el Comandante General de la Guardia Nacional Republicana y el Director Nacional de la Policía de Seguridad Pública.  El Presidente del Consejo Superior de la Magistratura y el Procurador General de la República pueden participar en las reuniones todas las veces que lo juzguen conveniente.</w:t>
      </w:r>
    </w:p>
    <w:p w:rsidR="00000000" w:rsidRDefault="00000000">
      <w:pPr>
        <w:autoSpaceDE w:val="0"/>
        <w:autoSpaceDN w:val="0"/>
        <w:adjustRightInd w:val="0"/>
        <w:spacing w:after="240"/>
      </w:pPr>
      <w:r>
        <w:t>106.</w:t>
      </w:r>
      <w:r>
        <w:tab/>
        <w:t>Con el Decreto-ley Nº 275-A/2000, de 9 de noviembre, se aprueba la ley orgánica de la policía judicial:  ésta es un cuerpo superior de policía criminal, auxiliar de la administración de la justicia, organizado de forma jerárquica como dependencia del Ministerio de Justicia y controlado con arreglo a lo dispuesto en la ley.  La Policía Judicial actúa en el proceso bajo la dirección de las autoridades judiciales, con las que tiene una dependencia funcional, sin perjuicio de su propia organización jerárquica.</w:t>
      </w:r>
    </w:p>
    <w:p w:rsidR="00000000" w:rsidRDefault="00000000">
      <w:pPr>
        <w:autoSpaceDE w:val="0"/>
        <w:autoSpaceDN w:val="0"/>
        <w:adjustRightInd w:val="0"/>
        <w:spacing w:after="240"/>
      </w:pPr>
      <w:r>
        <w:t>107.</w:t>
      </w:r>
      <w:r>
        <w:tab/>
        <w:t>La Policía Judicial tiene una doble función:  cooperar con las autoridades judiciales en la investigación y desarrollar y promover los actos de prevención e investigación de su competencia, o que le sean asignados por las autoridades judiciales competentes.  La función de prevención supone entre otras la vigilancia de todos los lugares y establecimientos expuestos a la comisión de delitos, como la trata de personas, el blanqueo de dinero y los delitos que preceden a dicho blanqueo, el tráfico de obras de arte, de cuya investigación se encarga cuando se cometen (en el artículo 4 se proporciona una lista).  En cuanto a la función de investigación, se refiere a los delitos ya cometidos (en el artículo 5 se proporciona una lista similar a la que se proporciona en la Ley de investigación penal antes mencionada) así como los delitos que las autoridades judiciales le solicita que investigue.</w:t>
      </w:r>
    </w:p>
    <w:p w:rsidR="00000000" w:rsidRDefault="00000000">
      <w:pPr>
        <w:autoSpaceDE w:val="0"/>
        <w:autoSpaceDN w:val="0"/>
        <w:adjustRightInd w:val="0"/>
        <w:spacing w:after="240"/>
      </w:pPr>
      <w:r>
        <w:t>108.</w:t>
      </w:r>
      <w:r>
        <w:tab/>
        <w:t>La Policía Judicial garantiza asimismo la coordinación entre los órganos y autoridades de policía criminal de Portugal con las organizaciones internacionales de cooperación de la policía criminal, sobre todo Interpol y Europol.  Por último, debe garantizar los recursos para centralizar, elaborar, analizar y difundir a escala nacional la información relativa a los delincuentes conocidos, los conocimientos científicos técnicos y la formación específica adecuada para las funciones de prevención y de investigación criminal necesarias para su actividad, y en apoyo de la acción de los demás órganos de policía criminal.</w:t>
      </w:r>
    </w:p>
    <w:p w:rsidR="00000000" w:rsidRDefault="00000000">
      <w:pPr>
        <w:autoSpaceDE w:val="0"/>
        <w:autoSpaceDN w:val="0"/>
        <w:adjustRightInd w:val="0"/>
        <w:spacing w:after="240"/>
      </w:pPr>
      <w:r>
        <w:t>109.</w:t>
      </w:r>
      <w:r>
        <w:tab/>
        <w:t>La Policía Judicial está asimismo sujeta a un deber de cooperación con todos los organismos con los que trabaja en coordinación.  Tiene el derecho a exigir la cooperación de todos los organismos o autoridades públicos si motiva esta solicitud (art. 6).  Este deber queda muy bien definido cuando se trata de la colaboración de personas y organismos que ejercen funciones de vigilancia, protección y seguridad de las personas, los bienes y las instalaciones públicas o privadas, que tienen el deber particular de colaborar con la Policía Judicial.</w:t>
      </w:r>
    </w:p>
    <w:p w:rsidR="00000000" w:rsidRDefault="00000000">
      <w:pPr>
        <w:autoSpaceDE w:val="0"/>
        <w:autoSpaceDN w:val="0"/>
        <w:adjustRightInd w:val="0"/>
        <w:spacing w:after="240"/>
      </w:pPr>
      <w:r>
        <w:t>110.</w:t>
      </w:r>
      <w:r>
        <w:tab/>
        <w:t>La Policía Judicial dispone de un sistema integrado de información penal; tiene derecho a acceder directamente a la información civil y penal que figura en los archivos magnéticos de identificación civil y penal.  Presta directamente su colaboración al Instituto de Tecnologías de Información de la Justicia en el análisis de las solicitudes de tratamiento automático de la información que revista interés para la prevención y la investigación penal.  La Policía Judicial puede, en virtud de lo dispuesto en las normas y procedimientos aplicables, tener acceso a la información penal de interés que figura en los archivos de otros organismos nacionales e internacionales.  El artículo 10 de la Ley orgánica prevé el deber de todas las personas de comparecer ante los órganos de la Policía Judicial cuando se les notifique debidamente.</w:t>
      </w:r>
    </w:p>
    <w:p w:rsidR="00000000" w:rsidRDefault="00000000">
      <w:pPr>
        <w:autoSpaceDE w:val="0"/>
        <w:autoSpaceDN w:val="0"/>
        <w:adjustRightInd w:val="0"/>
        <w:spacing w:after="240"/>
        <w:ind w:left="567" w:hanging="567"/>
        <w:rPr>
          <w:b/>
          <w:bCs/>
          <w:iCs/>
        </w:rPr>
      </w:pPr>
      <w:r>
        <w:rPr>
          <w:b/>
          <w:bCs/>
        </w:rPr>
        <w:t>2.</w:t>
      </w:r>
      <w:r>
        <w:rPr>
          <w:b/>
          <w:bCs/>
        </w:rPr>
        <w:tab/>
      </w:r>
      <w:r>
        <w:rPr>
          <w:b/>
          <w:bCs/>
          <w:iCs/>
        </w:rPr>
        <w:t>Código Deontológico de la Guardia Nacional Republicana y de la Policía de Seguridad Pública</w:t>
      </w:r>
    </w:p>
    <w:p w:rsidR="00000000" w:rsidRDefault="00000000">
      <w:pPr>
        <w:autoSpaceDE w:val="0"/>
        <w:autoSpaceDN w:val="0"/>
        <w:adjustRightInd w:val="0"/>
        <w:spacing w:after="240"/>
      </w:pPr>
      <w:r>
        <w:t>111.</w:t>
      </w:r>
      <w:r>
        <w:tab/>
        <w:t>El Código Deontológico es una medida de autorregulación importante en el marco de la Convención contra la Tortura.  En efecto, este Código, cuyo origen fue la propia iniciativa de la policía -en este caso concreto, de la Guardia Nacional Republicana y de la Policía de Seguridad Pública-, supone un categórico gesto de autocontrol de la propia policía en el uso de la fuerza.</w:t>
      </w:r>
    </w:p>
    <w:p w:rsidR="00000000" w:rsidRDefault="00000000">
      <w:pPr>
        <w:autoSpaceDE w:val="0"/>
        <w:autoSpaceDN w:val="0"/>
        <w:adjustRightInd w:val="0"/>
        <w:spacing w:after="240"/>
      </w:pPr>
      <w:r>
        <w:t>112.</w:t>
      </w:r>
      <w:r>
        <w:tab/>
        <w:t xml:space="preserve">El Código Deontológico fue publicado en el </w:t>
      </w:r>
      <w:r>
        <w:rPr>
          <w:i/>
          <w:iCs/>
        </w:rPr>
        <w:t>Boletín Oficial</w:t>
      </w:r>
      <w:r>
        <w:t>, por Resolución Nº 37/2002 del Consejo de Ministros, de 28 de febrero; en esta resolución se toma nota del Código Deontológico, se encarga al Ministerio del Interior que proceda a una amplia difusión del mismo y se determina que los cursos de capacitación de los miembros de las fuerzas de policía deben incluir elementos de deontología.  El Código consagra principios de ética profesional y de comportamiento que son comunes a todos los miembros de las fuerzas de seguridad, y constituyen la condición indispensable para que el ejercicio de las funciones de los servicios de policía sea creíble y eficaz.</w:t>
      </w:r>
    </w:p>
    <w:p w:rsidR="00000000" w:rsidRDefault="00000000">
      <w:pPr>
        <w:autoSpaceDE w:val="0"/>
        <w:autoSpaceDN w:val="0"/>
        <w:adjustRightInd w:val="0"/>
        <w:spacing w:after="240"/>
      </w:pPr>
      <w:r>
        <w:t>113.</w:t>
      </w:r>
      <w:r>
        <w:tab/>
        <w:t>El artículo 2 de este Código, que lleva por título "Principios fundamentales", reza:</w:t>
      </w:r>
    </w:p>
    <w:p w:rsidR="00000000" w:rsidRDefault="00000000">
      <w:pPr>
        <w:autoSpaceDE w:val="0"/>
        <w:autoSpaceDN w:val="0"/>
        <w:adjustRightInd w:val="0"/>
        <w:spacing w:after="240"/>
        <w:ind w:left="567"/>
      </w:pPr>
      <w:r>
        <w:tab/>
        <w:t>"1.</w:t>
      </w:r>
      <w:r>
        <w:tab/>
        <w:t>Los miembros de las fuerzas de seguridad ejercen los deberes que la ley les impone, sirven al interés público, defienden a las instituciones democráticas, protegen a todas las personas contra los actos ilícitos y respetan los derechos humanos.</w:t>
      </w:r>
    </w:p>
    <w:p w:rsidR="00000000" w:rsidRDefault="00000000">
      <w:pPr>
        <w:autoSpaceDE w:val="0"/>
        <w:autoSpaceDN w:val="0"/>
        <w:adjustRightInd w:val="0"/>
        <w:spacing w:after="240"/>
        <w:ind w:left="567"/>
      </w:pPr>
      <w:r>
        <w:tab/>
        <w:t>2.</w:t>
      </w:r>
      <w:r>
        <w:tab/>
        <w:t>Como funcionarios diligentes en la aplicación de la ley, los miembros de las fuerzas de seguridad cultivan y promueven los valores del humanismo, la justicia, la integridad, el honor, la dignidad, la imparcialidad, la exención, la probidad y la solidaridad.</w:t>
      </w:r>
    </w:p>
    <w:p w:rsidR="00000000" w:rsidRDefault="00000000">
      <w:pPr>
        <w:autoSpaceDE w:val="0"/>
        <w:autoSpaceDN w:val="0"/>
        <w:adjustRightInd w:val="0"/>
        <w:spacing w:after="240"/>
        <w:ind w:left="567"/>
      </w:pPr>
      <w:r>
        <w:tab/>
        <w:t>3.</w:t>
      </w:r>
      <w:r>
        <w:tab/>
        <w:t>En su actuación, los miembros de las fuerzas de seguridad deben un respeto absoluto a la Constitución de la República de Portugal, a la Declaración Universal de Derechos Humanos, al Convenio Europeo de Derechos Humanos, a la legislación comunitaria, a los convenios internacionales, a la ley y al presente Código.</w:t>
      </w:r>
    </w:p>
    <w:p w:rsidR="00000000" w:rsidRDefault="00000000">
      <w:pPr>
        <w:autoSpaceDE w:val="0"/>
        <w:autoSpaceDN w:val="0"/>
        <w:adjustRightInd w:val="0"/>
        <w:spacing w:after="240"/>
        <w:ind w:left="567"/>
      </w:pPr>
      <w:r>
        <w:tab/>
        <w:t>4.</w:t>
      </w:r>
      <w:r>
        <w:tab/>
        <w:t>Los miembros de las fuerzas de seguridad que actúan de acuerdo con las disposiciones del presente Código tienen derecho al apoyo activo de la comunidad a la que sirven y a su reconocimiento por el Estado."</w:t>
      </w:r>
    </w:p>
    <w:p w:rsidR="00000000" w:rsidRDefault="00000000">
      <w:pPr>
        <w:autoSpaceDE w:val="0"/>
        <w:autoSpaceDN w:val="0"/>
        <w:adjustRightInd w:val="0"/>
        <w:spacing w:after="240"/>
      </w:pPr>
      <w:r>
        <w:t>114.</w:t>
      </w:r>
      <w:r>
        <w:tab/>
        <w:t>En el artículo 3 del Código se afirma el respeto de los derechos fundamentales de la persona:</w:t>
      </w:r>
    </w:p>
    <w:p w:rsidR="00000000" w:rsidRDefault="00000000">
      <w:pPr>
        <w:autoSpaceDE w:val="0"/>
        <w:autoSpaceDN w:val="0"/>
        <w:adjustRightInd w:val="0"/>
        <w:spacing w:after="240"/>
        <w:ind w:left="567"/>
      </w:pPr>
      <w:r>
        <w:tab/>
        <w:t>"1.</w:t>
      </w:r>
      <w:r>
        <w:tab/>
        <w:t>En el cumplimiento de su deber, los miembros de las fuerzas de seguridad promueven, respetan y protegen la dignidad humana, el derecho a la vida, a la libertad, a la seguridad y todos los derechos fundamentales de la persona, con independencia de su nacionalidad o su origen, su posición social o sus convicciones políticas, religiosas o filosóficas.</w:t>
      </w:r>
    </w:p>
    <w:p w:rsidR="00000000" w:rsidRDefault="00000000">
      <w:pPr>
        <w:autoSpaceDE w:val="0"/>
        <w:autoSpaceDN w:val="0"/>
        <w:adjustRightInd w:val="0"/>
        <w:spacing w:after="240"/>
        <w:ind w:left="567"/>
      </w:pPr>
      <w:r>
        <w:tab/>
        <w:t>2.</w:t>
      </w:r>
      <w:r>
        <w:tab/>
        <w:t>En particular, tienen el deber de no infligir, provocar o tolerar actos crueles, inhumanos o degradantes, en ninguna circunstancia."</w:t>
      </w:r>
    </w:p>
    <w:p w:rsidR="00000000" w:rsidRDefault="00000000">
      <w:pPr>
        <w:autoSpaceDE w:val="0"/>
        <w:autoSpaceDN w:val="0"/>
        <w:adjustRightInd w:val="0"/>
        <w:spacing w:after="240"/>
      </w:pPr>
      <w:r>
        <w:t>115.</w:t>
      </w:r>
      <w:r>
        <w:tab/>
        <w:t>El artículo 4 plantea el principio del respeto a los derechos fundamentales del detenido:</w:t>
      </w:r>
    </w:p>
    <w:p w:rsidR="00000000" w:rsidRDefault="00000000">
      <w:pPr>
        <w:autoSpaceDE w:val="0"/>
        <w:autoSpaceDN w:val="0"/>
        <w:adjustRightInd w:val="0"/>
        <w:spacing w:after="240"/>
        <w:ind w:left="567"/>
      </w:pPr>
      <w:r>
        <w:tab/>
        <w:t>"1.</w:t>
      </w:r>
      <w:r>
        <w:tab/>
        <w:t>Los miembros de las fuerzas de seguridad tienen el deber especial de garantizar el respeto a la vida, la integridad física y psíquica, el honor y la dignidad de las personas sujetas a su custodia o bajo sus órdenes.</w:t>
      </w:r>
    </w:p>
    <w:p w:rsidR="00000000" w:rsidRDefault="00000000">
      <w:pPr>
        <w:autoSpaceDE w:val="0"/>
        <w:autoSpaceDN w:val="0"/>
        <w:adjustRightInd w:val="0"/>
        <w:spacing w:after="240"/>
        <w:ind w:left="567"/>
      </w:pPr>
      <w:r>
        <w:tab/>
        <w:t>2.</w:t>
      </w:r>
      <w:r>
        <w:tab/>
        <w:t>Los miembros de las fuerzas de seguridad deben velar por la salud de las personas que se encuentran bajo su custodia y adoptar, inmediatamente, todas las medidas oportunas para garantizar la prestación de la atención médica necesaria."</w:t>
      </w:r>
    </w:p>
    <w:p w:rsidR="00000000" w:rsidRDefault="00000000">
      <w:pPr>
        <w:autoSpaceDE w:val="0"/>
        <w:autoSpaceDN w:val="0"/>
        <w:adjustRightInd w:val="0"/>
        <w:spacing w:after="240"/>
      </w:pPr>
      <w:r>
        <w:t>116.</w:t>
      </w:r>
      <w:r>
        <w:tab/>
        <w:t>En el artículo 7 se plantea el principio de la actuación correcta:</w:t>
      </w:r>
    </w:p>
    <w:p w:rsidR="00000000" w:rsidRDefault="00000000">
      <w:pPr>
        <w:autoSpaceDE w:val="0"/>
        <w:autoSpaceDN w:val="0"/>
        <w:adjustRightInd w:val="0"/>
        <w:spacing w:after="240"/>
        <w:ind w:left="567"/>
      </w:pPr>
      <w:r>
        <w:tab/>
        <w:t>"1.</w:t>
      </w:r>
      <w:r>
        <w:tab/>
        <w:t>Los miembros de las fuerzas de seguridad deben actuar con determinación, prudencia, tolerancia, serenidad, sentido común y autocontrol en la solución de las situaciones que se les plantean durante su actuación profesional.</w:t>
      </w:r>
    </w:p>
    <w:p w:rsidR="00000000" w:rsidRDefault="00000000">
      <w:pPr>
        <w:autoSpaceDE w:val="0"/>
        <w:autoSpaceDN w:val="0"/>
        <w:adjustRightInd w:val="0"/>
        <w:spacing w:after="240"/>
        <w:ind w:left="567"/>
      </w:pPr>
      <w:r>
        <w:tab/>
        <w:t>2.</w:t>
      </w:r>
      <w:r>
        <w:tab/>
        <w:t>Los miembros de las fuerzas de seguridad deben comportarse de modo que se preserve la confianza, la consideración y el prestigio inherentes a la función de la policía, tratando con cortesía a todos los ciudadanos, nacionales, extranjeros o apátridas, promoviendo el buen entendimiento y facilitando cualquier ayuda, información y explicaciones que se les solicite en el ámbito de sus competencias.</w:t>
      </w:r>
    </w:p>
    <w:p w:rsidR="00000000" w:rsidRDefault="00000000">
      <w:pPr>
        <w:autoSpaceDE w:val="0"/>
        <w:autoSpaceDN w:val="0"/>
        <w:adjustRightInd w:val="0"/>
        <w:spacing w:after="240"/>
        <w:ind w:left="567"/>
      </w:pPr>
      <w:r>
        <w:tab/>
        <w:t>3.</w:t>
      </w:r>
      <w:r>
        <w:tab/>
        <w:t>Los miembros de las fuerzas de seguridad ejercen su actividad con arreglo a criterios de justicia, objetividad, transparencia y rigor y actúan y deciden rápidamente, para evitar así daños al bien o interés jurídico que ha de salvaguardar."</w:t>
      </w:r>
    </w:p>
    <w:p w:rsidR="00000000" w:rsidRDefault="00000000">
      <w:pPr>
        <w:autoSpaceDE w:val="0"/>
        <w:autoSpaceDN w:val="0"/>
        <w:adjustRightInd w:val="0"/>
        <w:spacing w:after="240"/>
      </w:pPr>
      <w:r>
        <w:t>117.</w:t>
      </w:r>
      <w:r>
        <w:tab/>
        <w:t>Por su parte, el artículo 8 plantea el principio de la adecuación, necesidad y proporcionalidad en el uso de la fuerza:</w:t>
      </w:r>
    </w:p>
    <w:p w:rsidR="00000000" w:rsidRDefault="00000000">
      <w:pPr>
        <w:autoSpaceDE w:val="0"/>
        <w:autoSpaceDN w:val="0"/>
        <w:adjustRightInd w:val="0"/>
        <w:spacing w:after="240"/>
        <w:ind w:left="567"/>
      </w:pPr>
      <w:r>
        <w:tab/>
        <w:t>"1.</w:t>
      </w:r>
      <w:r>
        <w:tab/>
        <w:t>Los miembros de las fuerzas de seguridad utilizarán los medios coercitivos adecuados para que se respeten la legalidad y el orden, la seguridad y la tranquilidad públicas únicamente cuando estos medios sean indispensables, necesarios y suficientes para el ejercicio de sus funciones, y se hayan agotado los medios de persuasión y diálogo.</w:t>
      </w:r>
    </w:p>
    <w:p w:rsidR="00000000" w:rsidRDefault="00000000">
      <w:pPr>
        <w:autoSpaceDE w:val="0"/>
        <w:autoSpaceDN w:val="0"/>
        <w:adjustRightInd w:val="0"/>
        <w:spacing w:after="240"/>
        <w:ind w:left="567"/>
      </w:pPr>
      <w:r>
        <w:tab/>
        <w:t>2.</w:t>
      </w:r>
      <w:r>
        <w:tab/>
        <w:t>Los miembros de las fuerzas de seguridad evitarán recurrir a la fuerza, con excepción de los casos previstos expresamente por la ley, y cuando este uso parezca legítimo, estrictamente necesario, adecuado y proporcionado al objetivo que se pretende.</w:t>
      </w:r>
    </w:p>
    <w:p w:rsidR="00000000" w:rsidRDefault="00000000">
      <w:pPr>
        <w:autoSpaceDE w:val="0"/>
        <w:autoSpaceDN w:val="0"/>
        <w:adjustRightInd w:val="0"/>
        <w:spacing w:after="240"/>
        <w:ind w:left="567"/>
      </w:pPr>
      <w:r>
        <w:tab/>
        <w:t>3.</w:t>
      </w:r>
      <w:r>
        <w:tab/>
        <w:t>En particular, los miembros de las fuerzas de seguridad sólo deberán recurrir al uso de armas de fuego, como medida extrema, cuando se pone de manifiesto que este uso es absolutamente necesario, adecuado, o cuando exista efectivamente peligro para su vida, o la de un tercero, y en todos los casos estrictamente enumerados en la ley."</w:t>
      </w:r>
    </w:p>
    <w:p w:rsidR="00000000" w:rsidRDefault="00000000">
      <w:pPr>
        <w:autoSpaceDE w:val="0"/>
        <w:autoSpaceDN w:val="0"/>
        <w:adjustRightInd w:val="0"/>
        <w:spacing w:after="240"/>
      </w:pPr>
      <w:r>
        <w:t>118.</w:t>
      </w:r>
      <w:r>
        <w:tab/>
        <w:t>También está previsto el deber de obediencia:</w:t>
      </w:r>
    </w:p>
    <w:p w:rsidR="00000000" w:rsidRDefault="00000000">
      <w:pPr>
        <w:autoSpaceDE w:val="0"/>
        <w:autoSpaceDN w:val="0"/>
        <w:adjustRightInd w:val="0"/>
        <w:spacing w:after="240"/>
        <w:ind w:left="567"/>
      </w:pPr>
      <w:r>
        <w:tab/>
        <w:t>"1.</w:t>
      </w:r>
      <w:r>
        <w:tab/>
        <w:t>Los miembros de las fuerzas de seguridad ejecutarán con prontitud las órdenes legítimas y legales de sus superiores jerárquicos.</w:t>
      </w:r>
    </w:p>
    <w:p w:rsidR="00000000" w:rsidRDefault="00000000">
      <w:pPr>
        <w:autoSpaceDE w:val="0"/>
        <w:autoSpaceDN w:val="0"/>
        <w:adjustRightInd w:val="0"/>
        <w:spacing w:after="240"/>
        <w:ind w:left="567"/>
      </w:pPr>
      <w:r>
        <w:tab/>
        <w:t>2.</w:t>
      </w:r>
      <w:r>
        <w:tab/>
        <w:t>La obediencia que los miembros de las fuerzas de seguridad deben a sus superiores no los exime de la responsabilidad por la ejecución de las órdenes que constituyan, manifiestamente violaciones de la ley.</w:t>
      </w:r>
    </w:p>
    <w:p w:rsidR="00000000" w:rsidRDefault="00000000">
      <w:pPr>
        <w:autoSpaceDE w:val="0"/>
        <w:autoSpaceDN w:val="0"/>
        <w:adjustRightInd w:val="0"/>
        <w:spacing w:after="240"/>
        <w:ind w:left="567"/>
      </w:pPr>
      <w:r>
        <w:tab/>
        <w:t>3.</w:t>
      </w:r>
      <w:r>
        <w:tab/>
        <w:t>No podrá aplicarse ninguna sanción disciplinaria a los miembros de las fuerzas de seguridad que se hayan negado ejecutar una orden ilegal e ilegítima."</w:t>
      </w:r>
    </w:p>
    <w:p w:rsidR="00000000" w:rsidRDefault="00000000">
      <w:pPr>
        <w:autoSpaceDE w:val="0"/>
        <w:autoSpaceDN w:val="0"/>
        <w:adjustRightInd w:val="0"/>
        <w:spacing w:after="240"/>
      </w:pPr>
      <w:r>
        <w:t>119.</w:t>
      </w:r>
      <w:r>
        <w:tab/>
        <w:t>El Código expone de este modo los principios por los cuales la propia policía trata de limitar su actuación y evitar la perpetración de actos de tortura.</w:t>
      </w:r>
    </w:p>
    <w:p w:rsidR="00000000" w:rsidRDefault="00000000">
      <w:pPr>
        <w:autoSpaceDE w:val="0"/>
        <w:autoSpaceDN w:val="0"/>
        <w:adjustRightInd w:val="0"/>
        <w:spacing w:after="240"/>
        <w:rPr>
          <w:b/>
          <w:bCs/>
        </w:rPr>
      </w:pPr>
      <w:r>
        <w:rPr>
          <w:b/>
          <w:bCs/>
          <w:iCs/>
        </w:rPr>
        <w:t>3.</w:t>
      </w:r>
      <w:r>
        <w:rPr>
          <w:b/>
          <w:bCs/>
          <w:iCs/>
        </w:rPr>
        <w:tab/>
      </w:r>
      <w:r>
        <w:rPr>
          <w:b/>
          <w:bCs/>
        </w:rPr>
        <w:t xml:space="preserve">Inspección General de la Administración Interna </w:t>
      </w:r>
    </w:p>
    <w:p w:rsidR="00000000" w:rsidRDefault="00000000">
      <w:pPr>
        <w:autoSpaceDE w:val="0"/>
        <w:autoSpaceDN w:val="0"/>
        <w:adjustRightInd w:val="0"/>
        <w:spacing w:after="240"/>
      </w:pPr>
      <w:r>
        <w:t>120.</w:t>
      </w:r>
      <w:r>
        <w:tab/>
        <w:t xml:space="preserve">Todo lo anterior demuestra que existe un control sistemático interno de las fuerzas y autoridades encargadas de la aplicación de la ley y del mecanismo judicial.  Para completar esta reseña, se expondrá el control externo de estas autoridades, ejercido por la Inspección General de la Administración Interna (IGAI).  Además de lo expuesto </w:t>
      </w:r>
      <w:r>
        <w:rPr>
          <w:i/>
          <w:iCs/>
        </w:rPr>
        <w:t>infra</w:t>
      </w:r>
      <w:r>
        <w:t xml:space="preserve">, se remite al sitio en Internet </w:t>
      </w:r>
      <w:r>
        <w:rPr>
          <w:u w:val="single"/>
        </w:rPr>
        <w:t>http://www.igai.pt</w:t>
      </w:r>
      <w:r>
        <w:t>.  Creada en 1995 mediante el Decreto-ley Nº 227/95, de 11 de septiembre, con las modificaciones introducidas por los Decretos-ley Nos. 154/96 de 31 de agosto y 3/99 de 4 de enero, la IGAI depende directamente del Ministro de Administración Interior (art. 1).  Esto se debe a que, desde 1987, en virtud de la Ley Nº 20/87, de 12 de junio, los servicios y fuerzas del orden están bajo la dirección de ese Ministro.  Esta dirección vela por que se supervisen todas las actividades de seguridad interna, con objeto de evitar que se cometan excesos.</w:t>
      </w:r>
    </w:p>
    <w:p w:rsidR="00000000" w:rsidRDefault="00000000">
      <w:pPr>
        <w:autoSpaceDE w:val="0"/>
        <w:autoSpaceDN w:val="0"/>
        <w:adjustRightInd w:val="0"/>
        <w:spacing w:after="240"/>
        <w:ind w:left="567"/>
        <w:rPr>
          <w:b/>
          <w:bCs/>
        </w:rPr>
      </w:pPr>
      <w:r>
        <w:rPr>
          <w:b/>
          <w:bCs/>
        </w:rPr>
        <w:t>a)</w:t>
      </w:r>
      <w:r>
        <w:rPr>
          <w:b/>
          <w:bCs/>
        </w:rPr>
        <w:tab/>
        <w:t>Las competencias de la Inspección General</w:t>
      </w:r>
    </w:p>
    <w:p w:rsidR="00000000" w:rsidRDefault="00000000">
      <w:pPr>
        <w:autoSpaceDE w:val="0"/>
        <w:autoSpaceDN w:val="0"/>
        <w:adjustRightInd w:val="0"/>
        <w:spacing w:after="240"/>
      </w:pPr>
      <w:r>
        <w:t>121.</w:t>
      </w:r>
      <w:r>
        <w:tab/>
        <w:t>En virtud de lo dispuesto en el artículo 2 del decreto-ley, la Inspección tiene su sede en Lisboa y desarrolla sus actividades de inspección en todo el territorio nacional.  Su actuación abarca todos los servicios que dependen directamente o indirectamente del Ministro de Administración Interior, las prefecturas (</w:t>
      </w:r>
      <w:r>
        <w:rPr>
          <w:i/>
        </w:rPr>
        <w:t>Governos Civis</w:t>
      </w:r>
      <w:r>
        <w:t>), las fuerzas de policía (la Guardia Nacional Republicana -GNR-, la Policía de Seguridad Pública -PSP- y el Servicio de Extranjeros y Fronteras -SEF-), así como los organismos privados que ejercen actividades de seguridad.  Su mandato abarca también, en coordinación con los servicios competentes del Ministerio de Relaciones Exteriores, la actividad de los servicios dependientes del Ministro de Administración Interior que, en virtud de lo dispuesto en los tratados, convenios o protocolos de auxilio, se desarrolla fuera del territorio nacional.</w:t>
      </w:r>
    </w:p>
    <w:p w:rsidR="00000000" w:rsidRDefault="00000000">
      <w:pPr>
        <w:autoSpaceDE w:val="0"/>
        <w:autoSpaceDN w:val="0"/>
        <w:adjustRightInd w:val="0"/>
        <w:spacing w:after="240"/>
      </w:pPr>
      <w:r>
        <w:t>122.</w:t>
      </w:r>
      <w:r>
        <w:tab/>
        <w:t>En virtud de lo dispuesto en el artículo 3, la Inspección  vela por la aplicación de las leyes y reglamentos, teniendo en cuenta el buen funcionamiento de los servicios que dependen del Ministro, la defensa de los intereses legítimos de los ciudadanos, la salvaguardia del interés público y el restablecimiento del orden jurídico violado.  En particular, la Inspección examina las quejas presentadas por posibles violaciones de la legalidad o por el funcionamiento irregular o deficiente en los servicios;  lleva a cabo las investigaciones y estudios determinados por el Ministro de Administración Interior, inicia los procedimientos administrativos, propone la instrucción de procesos disciplinarios, comunica a los órganos competentes para la investigación penal los hechos que tengan pertinencia jurídica y penal de que tenga conocimiento y colabora con estos organismos en la obtención de las pruebas cuando se lo solicitan (incisos d) a h) del párrafo 2 del artículo 3).</w:t>
      </w:r>
    </w:p>
    <w:p w:rsidR="00000000" w:rsidRDefault="00000000">
      <w:pPr>
        <w:autoSpaceDE w:val="0"/>
        <w:autoSpaceDN w:val="0"/>
        <w:adjustRightInd w:val="0"/>
        <w:spacing w:after="240"/>
      </w:pPr>
      <w:r>
        <w:t>123.</w:t>
      </w:r>
      <w:r>
        <w:tab/>
        <w:t>De este modo, en el marco de su actividad de inspección, vigilancia e investigación, corresponde a la Inspección, en particular:</w:t>
      </w:r>
    </w:p>
    <w:p w:rsidR="00000000" w:rsidRDefault="00000000">
      <w:pPr>
        <w:autoSpaceDE w:val="0"/>
        <w:autoSpaceDN w:val="0"/>
        <w:adjustRightInd w:val="0"/>
        <w:spacing w:after="240"/>
        <w:ind w:left="1134" w:hanging="567"/>
      </w:pPr>
      <w:r>
        <w:t>a)</w:t>
      </w:r>
      <w:r>
        <w:tab/>
        <w:t>Realizar inspecciones ordinarias y utilizar métodos de auditoría con el fin de evaluar periódicamente la eficiencia y eficacia de los servicios dependientes del Ministro, con arreglo al plan de actividades adecuado;</w:t>
      </w:r>
    </w:p>
    <w:p w:rsidR="00000000" w:rsidRDefault="00000000">
      <w:pPr>
        <w:autoSpaceDE w:val="0"/>
        <w:autoSpaceDN w:val="0"/>
        <w:adjustRightInd w:val="0"/>
        <w:spacing w:after="240"/>
        <w:ind w:left="1134" w:hanging="567"/>
      </w:pPr>
      <w:r>
        <w:t>b)</w:t>
      </w:r>
      <w:r>
        <w:tab/>
        <w:t>Realizar las inspecciones extraordinarias determinadas por orden superior, con los mismos objetivos;</w:t>
      </w:r>
    </w:p>
    <w:p w:rsidR="00000000" w:rsidRDefault="00000000">
      <w:pPr>
        <w:autoSpaceDE w:val="0"/>
        <w:autoSpaceDN w:val="0"/>
        <w:adjustRightInd w:val="0"/>
        <w:spacing w:after="240"/>
        <w:ind w:left="1134" w:hanging="567"/>
      </w:pPr>
      <w:r>
        <w:t>c)</w:t>
      </w:r>
      <w:r>
        <w:tab/>
        <w:t>Controlar, sin perjuicio de las competencias del Consejo de Seguridad Privada, el funcionamiento de las organizaciones privadas que desarrollan actividades de seguridad, en caso de duda fundada sobre la legalidad de su actuación;</w:t>
      </w:r>
    </w:p>
    <w:p w:rsidR="00000000" w:rsidRDefault="00000000">
      <w:pPr>
        <w:autoSpaceDE w:val="0"/>
        <w:autoSpaceDN w:val="0"/>
        <w:adjustRightInd w:val="0"/>
        <w:spacing w:after="240"/>
        <w:ind w:left="1134" w:hanging="567"/>
      </w:pPr>
      <w:r>
        <w:t>d)</w:t>
      </w:r>
      <w:r>
        <w:tab/>
        <w:t>Examinar las quejas, reclamaciones y denuncias presentadas por posibles violaciones de la legalidad y, en general, las dudas relativas al funcionamiento irregular o deficiente de los servicios;</w:t>
      </w:r>
    </w:p>
    <w:p w:rsidR="00000000" w:rsidRDefault="00000000">
      <w:pPr>
        <w:autoSpaceDE w:val="0"/>
        <w:autoSpaceDN w:val="0"/>
        <w:adjustRightInd w:val="0"/>
        <w:spacing w:after="240"/>
        <w:ind w:left="1134" w:hanging="567"/>
      </w:pPr>
      <w:r>
        <w:t>e)</w:t>
      </w:r>
      <w:r>
        <w:tab/>
        <w:t>Realizar las investigaciones y estudios determinados por las instancias superiores, necesarias para la puesta en práctica de las funciones de los distintos servicios;</w:t>
      </w:r>
    </w:p>
    <w:p w:rsidR="00000000" w:rsidRDefault="00000000">
      <w:pPr>
        <w:autoSpaceDE w:val="0"/>
        <w:autoSpaceDN w:val="0"/>
        <w:adjustRightInd w:val="0"/>
        <w:spacing w:after="240"/>
        <w:ind w:left="1134" w:hanging="567"/>
      </w:pPr>
      <w:r>
        <w:t>f)</w:t>
      </w:r>
      <w:r>
        <w:tab/>
        <w:t>Proponer la instrucción de procesos disciplinarios e instruir los que están determinados por el Ministro del Interior;</w:t>
      </w:r>
    </w:p>
    <w:p w:rsidR="00000000" w:rsidRDefault="00000000">
      <w:pPr>
        <w:autoSpaceDE w:val="0"/>
        <w:autoSpaceDN w:val="0"/>
        <w:adjustRightInd w:val="0"/>
        <w:spacing w:after="240"/>
        <w:ind w:left="1134" w:hanging="567"/>
      </w:pPr>
      <w:r>
        <w:t>g)</w:t>
      </w:r>
      <w:r>
        <w:tab/>
        <w:t>Comunicar a los órganos competentes para la investigación penal los hechos que tengan pertinencia juridicopenal y colaborar con estos órganos en la obtención de las pruebas cada vez que lo solicitan;</w:t>
      </w:r>
    </w:p>
    <w:p w:rsidR="00000000" w:rsidRDefault="00000000">
      <w:pPr>
        <w:autoSpaceDE w:val="0"/>
        <w:autoSpaceDN w:val="0"/>
        <w:adjustRightInd w:val="0"/>
        <w:spacing w:after="240"/>
        <w:ind w:left="1134" w:hanging="567"/>
      </w:pPr>
      <w:r>
        <w:t>h)</w:t>
      </w:r>
      <w:r>
        <w:tab/>
        <w:t>Ejercer las demás funciones previstas en la ley o determinadas por las instancias superiores, en el marco de sus atribuciones.</w:t>
      </w:r>
    </w:p>
    <w:p w:rsidR="00000000" w:rsidRDefault="00000000">
      <w:pPr>
        <w:autoSpaceDE w:val="0"/>
        <w:autoSpaceDN w:val="0"/>
        <w:adjustRightInd w:val="0"/>
        <w:spacing w:after="240"/>
      </w:pPr>
      <w:r>
        <w:t>124.</w:t>
      </w:r>
      <w:r>
        <w:tab/>
        <w:t>En virtud de lo dispuesto en el párrafo 3 del artículo 3 del Decreto-ley Nº 277/95, entre otras cosas la IGAI se encarga, por una parte, de recoger, analizar e interpretar los elementos necesarios para la preparación de las respuestas a las solicitudes de explicación formuladas por las organizaciones nacionales e internacionales de defensa y protección de los derechos humanos, y por otra, de realizar estudios y emitir opiniones sobre todas los asuntos relativos a sus atribuciones.</w:t>
      </w:r>
    </w:p>
    <w:p w:rsidR="00000000" w:rsidRDefault="00000000">
      <w:pPr>
        <w:autoSpaceDE w:val="0"/>
        <w:autoSpaceDN w:val="0"/>
        <w:adjustRightInd w:val="0"/>
        <w:spacing w:after="240"/>
      </w:pPr>
      <w:r>
        <w:t>125.</w:t>
      </w:r>
      <w:r>
        <w:tab/>
        <w:t>En virtud de lo dispuesto en el artículo 4, los principios fundamentales que regulan la actividad de la IGAI son:</w:t>
      </w:r>
    </w:p>
    <w:p w:rsidR="00000000" w:rsidRDefault="00000000">
      <w:pPr>
        <w:autoSpaceDE w:val="0"/>
        <w:autoSpaceDN w:val="0"/>
        <w:adjustRightInd w:val="0"/>
        <w:spacing w:after="240"/>
        <w:ind w:left="1134" w:hanging="567"/>
      </w:pPr>
      <w:r>
        <w:t>a)</w:t>
      </w:r>
      <w:r>
        <w:tab/>
        <w:t>El ejercicio de sus funciones se ajusta a lo dispuesto en la ley y la Constitución en defensa de la legalidad democrática y en el respeto riguroso de los derechos fundamentales de los ciudadanos;</w:t>
      </w:r>
    </w:p>
    <w:p w:rsidR="00000000" w:rsidRDefault="00000000">
      <w:pPr>
        <w:autoSpaceDE w:val="0"/>
        <w:autoSpaceDN w:val="0"/>
        <w:adjustRightInd w:val="0"/>
        <w:spacing w:after="240"/>
        <w:ind w:left="1134" w:hanging="567"/>
      </w:pPr>
      <w:r>
        <w:t>b)</w:t>
      </w:r>
      <w:r>
        <w:tab/>
        <w:t>En el ejercicio de las funciones de investigación, sobre todo la instrucción de los procesos de queja, de investigación y disciplinarios, su actuación se basa en el principio de la legalidad, y se rige por rigurosos criterios de objetividad;</w:t>
      </w:r>
    </w:p>
    <w:p w:rsidR="00000000" w:rsidRDefault="00000000">
      <w:pPr>
        <w:autoSpaceDE w:val="0"/>
        <w:autoSpaceDN w:val="0"/>
        <w:adjustRightInd w:val="0"/>
        <w:spacing w:after="240"/>
        <w:ind w:left="1134" w:hanging="567"/>
      </w:pPr>
      <w:r>
        <w:t>c)</w:t>
      </w:r>
      <w:r>
        <w:tab/>
        <w:t>La IGAI no puede inmiscuirse en las actividades operacionales de las fuerzas y servicios de seguridad, pero debe verificar el modo en que se llevan a cabo estas actividades, así como las consecuencias correspondientes cada vez que se considere conveniente.</w:t>
      </w:r>
    </w:p>
    <w:p w:rsidR="00000000" w:rsidRDefault="00000000">
      <w:pPr>
        <w:autoSpaceDE w:val="0"/>
        <w:autoSpaceDN w:val="0"/>
        <w:adjustRightInd w:val="0"/>
        <w:spacing w:after="240"/>
      </w:pPr>
      <w:r>
        <w:t>126.</w:t>
      </w:r>
      <w:r>
        <w:tab/>
        <w:t>La IGAI está formada por el Inspector General, que la dirige el Servicio de Inspección y Control (que se encarga sobre todo de las inspecciones y procedimientos disciplinarios e incluye asimismo una sección de apoyo técnico, que orienta su actuación y desarrolla material de trabajo, especialmente en el ámbito de la capacitación y de la redacción de leyes), el Departamento de Asuntos Internos (que tiene, entre otras funciones, la de verificar el buen funcionamiento del servicio y recibir las quejas que se presenten por posibles abusos cometidos por funcionarios de la IGAI) y la Sección de Administración y Apoyo General.</w:t>
      </w:r>
    </w:p>
    <w:p w:rsidR="00000000" w:rsidRDefault="00000000">
      <w:pPr>
        <w:autoSpaceDE w:val="0"/>
        <w:autoSpaceDN w:val="0"/>
        <w:adjustRightInd w:val="0"/>
        <w:spacing w:after="240"/>
      </w:pPr>
      <w:r>
        <w:t>127.</w:t>
      </w:r>
      <w:r>
        <w:tab/>
        <w:t>Puede ser inspectores los candidatos con la preparación necesaria para el ejercicio de funciones en la IGAI.  Para los cargos superiores de la carrera pueden presentarse como candidatos magistrados y fiscales, siempre que posean un determinado número de años de experiencia, para fortalecer la calidad de los servicios de la Inspección (art. 21).  La función de inspector no es una carrera, sino un cargo, y como el Inspector General elige a las personas (art. 19) ello significa que el cargo es temporal y los inspectores conservan o no su puesto con arreglo a la calidad de su actuación.  Lo mismo se aplica al Inspector General, y los que ocupan los cargos superiores de la jerarquía de la Inspección son magistrados.  Estos criterios aplicables a la elección del personal de inspección fortalecen la calidad de la actuación de este órgano y contribuyen a una mejor actuación en el marco de la defensa de los derechos fundamentales.</w:t>
      </w:r>
    </w:p>
    <w:p w:rsidR="00000000" w:rsidRDefault="00000000">
      <w:pPr>
        <w:autoSpaceDE w:val="0"/>
        <w:autoSpaceDN w:val="0"/>
        <w:adjustRightInd w:val="0"/>
        <w:spacing w:after="240"/>
        <w:ind w:left="1134" w:hanging="567"/>
        <w:rPr>
          <w:b/>
          <w:bCs/>
        </w:rPr>
      </w:pPr>
      <w:r>
        <w:rPr>
          <w:b/>
          <w:bCs/>
        </w:rPr>
        <w:t>b)</w:t>
      </w:r>
      <w:r>
        <w:rPr>
          <w:b/>
          <w:bCs/>
        </w:rPr>
        <w:tab/>
        <w:t>Abusos de las fuerzas de policía:  actuación de las distintas instituciones, entre ellas la IGAI</w:t>
      </w:r>
    </w:p>
    <w:p w:rsidR="00000000" w:rsidRDefault="00000000">
      <w:pPr>
        <w:autoSpaceDE w:val="0"/>
        <w:autoSpaceDN w:val="0"/>
        <w:adjustRightInd w:val="0"/>
        <w:spacing w:after="240"/>
      </w:pPr>
      <w:r>
        <w:t>128.</w:t>
      </w:r>
      <w:r>
        <w:tab/>
        <w:t xml:space="preserve">La actividad de la IGAI puede verificarse en los informes utilizados para este texto que abarcan los años 1998, 1999, 2000, 2001, 2002 y 2003.  De este modo, la actividad de la IGAI llevó, en 1999, a la aprobación del reglamento de las condiciones materiales de detención en los establecimientos de policía, publicado en el </w:t>
      </w:r>
      <w:r>
        <w:rPr>
          <w:i/>
          <w:iCs/>
        </w:rPr>
        <w:t>Boletín Oficial</w:t>
      </w:r>
      <w:r>
        <w:t>, 2ª serie, Nº 102, de 3 de mayo de 1999.  Este reglamento introducido gracias a las actividades de la IGAI es el resultado de la intervención del Ministerio del Interior y tiene por objeto regular las condiciones de detención en los locales de las fuerzas que dependen de este Ministerio.  A los efectos de ese reglamento, se entiende por detención toda privación de libertad por un período inferior a 48 horas, así como la situación de toda persona sometida al proceso de identificación obligatoria.</w:t>
      </w:r>
    </w:p>
    <w:p w:rsidR="00000000" w:rsidRDefault="00000000">
      <w:pPr>
        <w:autoSpaceDE w:val="0"/>
        <w:autoSpaceDN w:val="0"/>
        <w:adjustRightInd w:val="0"/>
        <w:spacing w:after="240"/>
      </w:pPr>
      <w:r>
        <w:t>129.</w:t>
      </w:r>
      <w:r>
        <w:tab/>
        <w:t>Los locales de detención deben tener buenas condiciones de habitabilidad, luz, aislamiento contra el frío y el calor excesivos, ventilación y buenas condiciones de seguridad.  Las celdas deben situarse preferentemente en la planta baja, cerca de las zonas en que trabajan los funcionarios de policía.  Por último, los locales de detención deben estar próximos a la sede del tribunal de la circunscripción judicial (</w:t>
      </w:r>
      <w:r>
        <w:rPr>
          <w:i/>
        </w:rPr>
        <w:t>comarca</w:t>
      </w:r>
      <w:r>
        <w:t>).</w:t>
      </w:r>
    </w:p>
    <w:p w:rsidR="00000000" w:rsidRDefault="00000000">
      <w:pPr>
        <w:autoSpaceDE w:val="0"/>
        <w:autoSpaceDN w:val="0"/>
        <w:adjustRightInd w:val="0"/>
        <w:spacing w:after="240"/>
      </w:pPr>
      <w:r>
        <w:t>130.</w:t>
      </w:r>
      <w:r>
        <w:tab/>
        <w:t>El principio que inspira este reglamento es que la persona detenida se encuentra bajo la responsabilidad de la policía.</w:t>
      </w:r>
    </w:p>
    <w:p w:rsidR="00000000" w:rsidRDefault="00000000">
      <w:pPr>
        <w:autoSpaceDE w:val="0"/>
        <w:autoSpaceDN w:val="0"/>
        <w:adjustRightInd w:val="0"/>
        <w:spacing w:after="240"/>
      </w:pPr>
      <w:r>
        <w:t>131.</w:t>
      </w:r>
      <w:r>
        <w:tab/>
        <w:t>Las personas sometidas al proceso de identificación no pueden ser alojadas en una celda.</w:t>
      </w:r>
    </w:p>
    <w:p w:rsidR="00000000" w:rsidRDefault="00000000">
      <w:pPr>
        <w:autoSpaceDE w:val="0"/>
        <w:autoSpaceDN w:val="0"/>
        <w:adjustRightInd w:val="0"/>
        <w:spacing w:after="240"/>
      </w:pPr>
      <w:r>
        <w:t>132.</w:t>
      </w:r>
      <w:r>
        <w:tab/>
        <w:t>Toda persona detenida debe recibir un folleto que contenga el enunciado de sus derechos ante a la situación en que se encuentra.  Se levantará un acta de la detención y en todas las comisarías se lleva un libro de registro de los detenidos y una ficha individual de detención.  En el registro se anota la identidad del detenido, el día y la hora de la detención y de la presentación ante la autoridad judicial, el lugar de detención, la identidad de los funcionarios que hayan procedido a la misma y la naturaleza del hecho que motivó la detención, así como las circunstancias que la fundamentan  jurídicamente.</w:t>
      </w:r>
    </w:p>
    <w:p w:rsidR="00000000" w:rsidRDefault="00000000">
      <w:pPr>
        <w:autoSpaceDE w:val="0"/>
        <w:autoSpaceDN w:val="0"/>
        <w:adjustRightInd w:val="0"/>
        <w:spacing w:after="240"/>
      </w:pPr>
      <w:r>
        <w:t>133.</w:t>
      </w:r>
      <w:r>
        <w:tab/>
        <w:t>La ficha individual del detenido contiene la descripción de todas las circunstancias y medidas relativas a esa persona, especialmente el momento y la causa de privación de la libertad, el momento de la información sobre sus derechos, las marcas de heridas, los contactos con los miembros de la familia, los amigos o el abogado, los incidentes sucedidos en la detención, el momento de la presentación ante las autoridades judiciales y el momento de puesta en libertad del detenido.  Este boletín es firmado por los agentes que intervienen y por el detenido.</w:t>
      </w:r>
    </w:p>
    <w:p w:rsidR="00000000" w:rsidRDefault="00000000">
      <w:pPr>
        <w:autoSpaceDE w:val="0"/>
        <w:autoSpaceDN w:val="0"/>
        <w:adjustRightInd w:val="0"/>
        <w:spacing w:after="240"/>
      </w:pPr>
      <w:r>
        <w:t>134.</w:t>
      </w:r>
      <w:r>
        <w:tab/>
        <w:t>Además de este reglamento, cabe mencionar la importante decisión del Ministro de Administración Interior Nº 8/MAI/98, de 17 de enero, que se reproduce a continuación:</w:t>
      </w:r>
    </w:p>
    <w:p w:rsidR="00000000" w:rsidRDefault="00000000">
      <w:pPr>
        <w:pStyle w:val="BodyTextIndent"/>
        <w:spacing w:after="240" w:line="240" w:lineRule="auto"/>
        <w:ind w:left="567"/>
      </w:pPr>
      <w:r>
        <w:tab/>
        <w:t>"Según informaciones que han llegado a conocimiento del Ministerio y han verificado oficinas de la GNR y comisarías de la PSP, algunos agentes de la autoridad se niegan a recibir las quejas presentadas por ciudadanos bajo pretextos muy variados, desde alegar que no son competentes, a afirmar que la queja no producirá ningún efecto, u otras excusas.</w:t>
      </w:r>
    </w:p>
    <w:p w:rsidR="00000000" w:rsidRDefault="00000000">
      <w:pPr>
        <w:autoSpaceDE w:val="0"/>
        <w:autoSpaceDN w:val="0"/>
        <w:adjustRightInd w:val="0"/>
        <w:spacing w:after="240"/>
        <w:ind w:left="567"/>
      </w:pPr>
      <w:r>
        <w:tab/>
        <w:t>Un comportamiento de este tipo afecta negativamente la imagen de las fuerzas de seguridad y no tiene sustento legal.  Por tanto, determino lo siguiente:</w:t>
      </w:r>
    </w:p>
    <w:p w:rsidR="00000000" w:rsidRDefault="00000000">
      <w:pPr>
        <w:autoSpaceDE w:val="0"/>
        <w:autoSpaceDN w:val="0"/>
        <w:adjustRightInd w:val="0"/>
        <w:spacing w:after="240"/>
        <w:ind w:left="1134"/>
      </w:pPr>
      <w:r>
        <w:tab/>
        <w:t>1.</w:t>
      </w:r>
      <w:r>
        <w:tab/>
        <w:t>Que, en el marco de la GNR y de la PSP, se deben admitir siempre y con prontitud las quejas de los ciudadanos, en las oficinas y comisarías respectivas, independientemente de su carácter (penal o no) y de la competencia de la autoridad para examinarlas.</w:t>
      </w:r>
    </w:p>
    <w:p w:rsidR="00000000" w:rsidRDefault="00000000">
      <w:pPr>
        <w:autoSpaceDE w:val="0"/>
        <w:autoSpaceDN w:val="0"/>
        <w:adjustRightInd w:val="0"/>
        <w:spacing w:after="240"/>
        <w:ind w:left="1134"/>
      </w:pPr>
      <w:r>
        <w:tab/>
        <w:t>2.</w:t>
      </w:r>
      <w:r>
        <w:tab/>
        <w:t>En los casos en que, después de recibida la queja, se verifique que es de competencia de un organismo distinto de la fuerza de policía, se la deberá remitir inmediatamente al organismo competente y ello se comunicará al demandante.</w:t>
      </w:r>
    </w:p>
    <w:p w:rsidR="00000000" w:rsidRDefault="00000000">
      <w:pPr>
        <w:autoSpaceDE w:val="0"/>
        <w:autoSpaceDN w:val="0"/>
        <w:adjustRightInd w:val="0"/>
        <w:spacing w:after="240"/>
        <w:ind w:left="567"/>
      </w:pPr>
      <w:r>
        <w:t>A los señores comandantes generales de la GNR y de la PSP.</w:t>
      </w:r>
    </w:p>
    <w:p w:rsidR="00000000" w:rsidRDefault="00000000">
      <w:pPr>
        <w:autoSpaceDE w:val="0"/>
        <w:autoSpaceDN w:val="0"/>
        <w:adjustRightInd w:val="0"/>
        <w:spacing w:after="240"/>
        <w:ind w:left="567"/>
      </w:pPr>
      <w:r>
        <w:t>Lisboa, 17 de enero de 1998.</w:t>
      </w:r>
      <w:r>
        <w:br/>
        <w:t>El Ministro de Administración Interior."</w:t>
      </w:r>
    </w:p>
    <w:p w:rsidR="00000000" w:rsidRDefault="00000000">
      <w:pPr>
        <w:autoSpaceDE w:val="0"/>
        <w:autoSpaceDN w:val="0"/>
        <w:adjustRightInd w:val="0"/>
        <w:spacing w:after="240"/>
      </w:pPr>
      <w:r>
        <w:t>135.</w:t>
      </w:r>
      <w:r>
        <w:tab/>
        <w:t>En este mismo ámbito, otro elemento importante es la Decisión Nº 10717/2000 (2ª serie), de 25 de mayo de 2000, del Ministro de Administración Interior, que se refiere a las relaciones entre los detenidos, la policía y los abogados.</w:t>
      </w:r>
    </w:p>
    <w:p w:rsidR="00000000" w:rsidRDefault="00000000">
      <w:pPr>
        <w:autoSpaceDE w:val="0"/>
        <w:autoSpaceDN w:val="0"/>
        <w:adjustRightInd w:val="0"/>
        <w:spacing w:after="240"/>
        <w:ind w:left="1134" w:hanging="567"/>
      </w:pPr>
      <w:r>
        <w:t>a)</w:t>
      </w:r>
      <w:r>
        <w:tab/>
        <w:t>El acusado que se encuentre retenido en un establecimiento de policía tiene derecho a comunicarse con su defensor, verbalmente o por escrito.  Se le debe autorizar a comunicarse por teléfono con su defensor y, para ello, a utilizar el teléfono del establecimiento de policía durante un período limitado cuando no exista un teléfono público en el puesto de policía o de la comisaría.</w:t>
      </w:r>
    </w:p>
    <w:p w:rsidR="00000000" w:rsidRDefault="00000000">
      <w:pPr>
        <w:autoSpaceDE w:val="0"/>
        <w:autoSpaceDN w:val="0"/>
        <w:adjustRightInd w:val="0"/>
        <w:spacing w:after="240"/>
        <w:ind w:left="1134" w:hanging="567"/>
      </w:pPr>
      <w:r>
        <w:t>b)</w:t>
      </w:r>
      <w:r>
        <w:tab/>
        <w:t>Las autorizaciones de visita pueden solicitarse y concederse verbalmente.</w:t>
      </w:r>
    </w:p>
    <w:p w:rsidR="00000000" w:rsidRDefault="00000000">
      <w:pPr>
        <w:autoSpaceDE w:val="0"/>
        <w:autoSpaceDN w:val="0"/>
        <w:adjustRightInd w:val="0"/>
        <w:spacing w:after="240"/>
        <w:ind w:left="1134" w:hanging="567"/>
      </w:pPr>
      <w:r>
        <w:t>c)</w:t>
      </w:r>
      <w:r>
        <w:tab/>
        <w:t>La visita del abogado debe estar autorizada por el agente de la autoridad de mayor jerarquía que se encuentre en ese momento en el puesto de policía o la comisaría y puede tener lugar a cualquier hora del día o de la noche, inmediatamente después de tramitarse las diligencias que impone el caso concreto y levantarse las actas correspondientes.</w:t>
      </w:r>
    </w:p>
    <w:p w:rsidR="00000000" w:rsidRDefault="00000000">
      <w:pPr>
        <w:autoSpaceDE w:val="0"/>
        <w:autoSpaceDN w:val="0"/>
        <w:adjustRightInd w:val="0"/>
        <w:spacing w:after="220"/>
        <w:ind w:left="1134" w:hanging="567"/>
      </w:pPr>
      <w:r>
        <w:t>d)</w:t>
      </w:r>
      <w:r>
        <w:tab/>
        <w:t>Mientras los establecimientos de policía no estén dotados de salas destinadas a este fin deben proporcionarse a los defensores todas las facilidades para entrevistarse con sus clientes, en condiciones de dignidad y seguridad.  En circunstancias excepcionales, sobre todo si el número de detenidos es elevado y si las condiciones materiales son deficientes, se deben adoptar las medidas que impone el caso concreto, sin perjuicio de las normas de seguridad y del buen orden del establecimiento de policía.</w:t>
      </w:r>
    </w:p>
    <w:p w:rsidR="00000000" w:rsidRDefault="00000000">
      <w:pPr>
        <w:autoSpaceDE w:val="0"/>
        <w:autoSpaceDN w:val="0"/>
        <w:adjustRightInd w:val="0"/>
        <w:spacing w:after="220"/>
        <w:ind w:left="1134" w:hanging="567"/>
      </w:pPr>
      <w:r>
        <w:t>e)</w:t>
      </w:r>
      <w:r>
        <w:tab/>
        <w:t>No se efectúa ningún control del contenido de los textos escritos y otros documentos que el defensor lleve consigo.</w:t>
      </w:r>
    </w:p>
    <w:p w:rsidR="00000000" w:rsidRDefault="00000000">
      <w:pPr>
        <w:autoSpaceDE w:val="0"/>
        <w:autoSpaceDN w:val="0"/>
        <w:adjustRightInd w:val="0"/>
        <w:spacing w:after="220"/>
        <w:ind w:left="1134" w:hanging="567"/>
      </w:pPr>
      <w:r>
        <w:t>f)</w:t>
      </w:r>
      <w:r>
        <w:tab/>
        <w:t>La visita del defensor tiene lugar de forma que las entrevistas no sean oídas por la persona encargada de la vigilancia.</w:t>
      </w:r>
    </w:p>
    <w:p w:rsidR="00000000" w:rsidRDefault="00000000">
      <w:pPr>
        <w:autoSpaceDE w:val="0"/>
        <w:autoSpaceDN w:val="0"/>
        <w:adjustRightInd w:val="0"/>
        <w:spacing w:after="220"/>
        <w:ind w:left="1134" w:hanging="567"/>
      </w:pPr>
      <w:r>
        <w:t>g)</w:t>
      </w:r>
      <w:r>
        <w:tab/>
        <w:t>Las visitas pueden ser interrumpidas por razones manifiestas de seguridad.</w:t>
      </w:r>
    </w:p>
    <w:p w:rsidR="00000000" w:rsidRDefault="00000000">
      <w:pPr>
        <w:autoSpaceDE w:val="0"/>
        <w:autoSpaceDN w:val="0"/>
        <w:adjustRightInd w:val="0"/>
        <w:spacing w:after="220"/>
        <w:ind w:left="1134" w:hanging="567"/>
        <w:rPr>
          <w:b/>
          <w:bCs/>
        </w:rPr>
      </w:pPr>
      <w:r>
        <w:rPr>
          <w:b/>
          <w:bCs/>
        </w:rPr>
        <w:t>c)</w:t>
      </w:r>
      <w:r>
        <w:rPr>
          <w:b/>
          <w:bCs/>
        </w:rPr>
        <w:tab/>
        <w:t>Tramitación de las quejas y verificación de las condiciones de los locales de detención</w:t>
      </w:r>
    </w:p>
    <w:p w:rsidR="00000000" w:rsidRDefault="00000000">
      <w:pPr>
        <w:autoSpaceDE w:val="0"/>
        <w:autoSpaceDN w:val="0"/>
        <w:adjustRightInd w:val="0"/>
        <w:spacing w:after="220"/>
      </w:pPr>
      <w:r>
        <w:t>136.</w:t>
      </w:r>
      <w:r>
        <w:tab/>
        <w:t>Cabe mencionar, en primer lugar, el Reglamento Nº 10/99 relativo a las medidas de inspección y control adoptado por decisión del Ministro de Administración Interior de 29 de abril de 1999.  En virtud de lo dispuesto en el artículo 1 de este reglamento, las quejas y otros actos de naturaleza análoga presentados ante la IGAI se archivan sin darles curso cuando no se identifica a sus autores o los cargos carecen de fundamento.  No obstante, si se denuncian actos de índole penal, su contenido se trasmite inmediatamente al ministerio público o a la Policía Judicial Militar.  El resultado del primer examen de una queja se trasmite inmediatamente a su autor y a los organismos directamente interesados.</w:t>
      </w:r>
    </w:p>
    <w:p w:rsidR="00000000" w:rsidRDefault="00000000">
      <w:pPr>
        <w:autoSpaceDE w:val="0"/>
        <w:autoSpaceDN w:val="0"/>
        <w:adjustRightInd w:val="0"/>
        <w:spacing w:after="240"/>
      </w:pPr>
      <w:r>
        <w:t>137.</w:t>
      </w:r>
      <w:r>
        <w:tab/>
        <w:t>En virtud de lo dispuesto en el artículo 2, cada vez que la actuación de agentes de seguridad o de cualquier servicio dependiente de la IGAI provoque la violación de bienes que tienen que ver con la personal, en especial la muerte o daño grave a la integridad física, o que existan indicios de abuso grave de autoridad o un perjuicio en valores patrimoniales elevados, las fuerzas o servicios de seguridad deben informar inmediatamente, por fax, al Ministro de Administración Interior y esperar una decisión sobre la instrucción de procesos de carácter disciplinario.</w:t>
      </w:r>
    </w:p>
    <w:p w:rsidR="00000000" w:rsidRDefault="00000000">
      <w:pPr>
        <w:autoSpaceDE w:val="0"/>
        <w:autoSpaceDN w:val="0"/>
        <w:adjustRightInd w:val="0"/>
        <w:spacing w:after="240"/>
      </w:pPr>
      <w:r>
        <w:t>138.</w:t>
      </w:r>
      <w:r>
        <w:tab/>
        <w:t>Corresponde al Inspector General de la Administración Interna (art. 3) determinar las inspecciones ordinarias, las medidas de control y la iniciación de procedimientos de verificación que considere necesarios.  Las inspecciones podrán ser generales, sectoriales o temáticas y se realizarán de acuerdo con el Plan anual de actividades o cuando las dictamina el Ministro de Administración Interior.  A este último corresponde determinar las inspecciones extraordinarias, las indagaciones y procesos disciplinarios, así como las inspecciones que abarcan todo un servicio</w:t>
      </w:r>
      <w:r>
        <w:rPr>
          <w:rStyle w:val="FootnoteReference"/>
          <w:bCs/>
        </w:rPr>
        <w:footnoteReference w:id="3"/>
      </w:r>
      <w:r>
        <w:t>.</w:t>
      </w:r>
    </w:p>
    <w:p w:rsidR="00000000" w:rsidRDefault="00000000">
      <w:pPr>
        <w:autoSpaceDE w:val="0"/>
        <w:autoSpaceDN w:val="0"/>
        <w:adjustRightInd w:val="0"/>
        <w:spacing w:after="240"/>
      </w:pPr>
      <w:r>
        <w:t>139.</w:t>
      </w:r>
      <w:r>
        <w:tab/>
        <w:t>En virtud de lo dispuesto en el artículo 5, la decisión de proceder a una inspección o verificación de un servicio se comunicará al organismo de que se trate.  Las medidas de control, en cambio, siempre se realizarán sin comunicación previa al organismo interesado.  Éste deberá prestar a los inspectores todo el apoyo necesario.</w:t>
      </w:r>
    </w:p>
    <w:p w:rsidR="00000000" w:rsidRDefault="00000000">
      <w:pPr>
        <w:autoSpaceDE w:val="0"/>
        <w:autoSpaceDN w:val="0"/>
        <w:adjustRightInd w:val="0"/>
        <w:spacing w:after="240"/>
      </w:pPr>
      <w:r>
        <w:t>140.</w:t>
      </w:r>
      <w:r>
        <w:tab/>
        <w:t>En virtud de lo dispuesto en el artículo 8, las atribuciones de los inspectores incluyen el libre acceso a los servicios, instalaciones, establecimientos y locales en que se ejercen las actividades sujetas a la inspección y control de la IGAI.  Para tener  acceso a las instalaciones y poder circular en los locales en que ejercen su actividad las fuerzas de seguridad, los inspectores deben presentarse previamente al responsable de rango jerárquico más elevado que se encuentre en el servicio y enviar lo antes posible una comunicación al jefe de la fuerza de seguridad de que se trate.  Los inspectores tienen un acceso ilimitado a toda la documentación, levantan las actas correspondientes a las infracciones que comprueban y las comunican inmediatamente al Inspector General y al jefe del servicio en caso de infracción de carácter penal.  Los inspectores deben efectuar todas las diligencias de prueba necesarias para la comprobación de los hechos y solicitar los elementos de prueba pertinentes, especialmente a los distintos organismos públicos.</w:t>
      </w:r>
    </w:p>
    <w:p w:rsidR="00000000" w:rsidRDefault="00000000">
      <w:pPr>
        <w:autoSpaceDE w:val="0"/>
        <w:autoSpaceDN w:val="0"/>
        <w:adjustRightInd w:val="0"/>
        <w:spacing w:after="240"/>
      </w:pPr>
      <w:r>
        <w:t>141.</w:t>
      </w:r>
      <w:r>
        <w:tab/>
        <w:t>En el marco de una inspección se redacta un informe que se remite asimismo al jefe del servicio afectado, el cual debe hacer sus observaciones dentro de los 20 días siguientes.  Hecho esto, el Inspector General o la persona que lo sustituye, trasmite al Ministro una opinión para que adopte una decisión al respecto.</w:t>
      </w:r>
    </w:p>
    <w:p w:rsidR="00000000" w:rsidRDefault="00000000">
      <w:pPr>
        <w:autoSpaceDE w:val="0"/>
        <w:autoSpaceDN w:val="0"/>
        <w:adjustRightInd w:val="0"/>
        <w:spacing w:after="240"/>
      </w:pPr>
      <w:r>
        <w:t>142.</w:t>
      </w:r>
      <w:r>
        <w:tab/>
        <w:t>En 1999 la IGAI llevó a cabo una verificación de procedimientos, en aplicación de este reglamento y del Reglamento sobre las condiciones materiales de detención en los establecimientos de policía, ya que este último contiene una parte relativa a las características físicas de los locales de detención (superficie, disposición, iluminación, materiales, limpieza, mantenimiento), las normas relativas al trato a los detenidos (alojamiento, alimentación, información sobre los derechos, contactos con el defensor, con los familiares, asistencia médica) y las normas relativas a los procedimientos que se deberían adoptar (registro, ficha, comunicaciones).</w:t>
      </w:r>
    </w:p>
    <w:p w:rsidR="00000000" w:rsidRDefault="00000000">
      <w:pPr>
        <w:autoSpaceDE w:val="0"/>
        <w:autoSpaceDN w:val="0"/>
        <w:adjustRightInd w:val="0"/>
        <w:spacing w:after="240"/>
      </w:pPr>
      <w:r>
        <w:t>143.</w:t>
      </w:r>
      <w:r>
        <w:tab/>
        <w:t>Esta verificación tuvo efectos pedagógicos y de divulgación de estas nuevas normas, y dio lugar a medidas de seguimiento en lo que respecta  a las decisiones y procedimientos anteriores.  Se verificaron asimismo todos los locales de detención cuya clausura se había propuesto.</w:t>
      </w:r>
    </w:p>
    <w:p w:rsidR="00000000" w:rsidRDefault="00000000">
      <w:pPr>
        <w:autoSpaceDE w:val="0"/>
        <w:autoSpaceDN w:val="0"/>
        <w:adjustRightInd w:val="0"/>
        <w:spacing w:after="240"/>
      </w:pPr>
      <w:r>
        <w:t>144.</w:t>
      </w:r>
      <w:r>
        <w:tab/>
        <w:t>Con motivo de esta medida, se realizaron visitas sin previo aviso a 70 locales (27 de la PSP y 43 de la GNR); la conclusión fue positiva en el sentido de una buena aplicación de las decisiones anteriores sobre el registro de las detenciones, un contacto efectivo del detenido con su abogado y sus familiares, la asistencia médica, en caso de necesidad, mediante el acompañamiento del detenido hacia un establecimiento hospitalario y, por último, el registro y la custodia de los objetos confiscados y objetos peligrosos.</w:t>
      </w:r>
    </w:p>
    <w:p w:rsidR="00000000" w:rsidRDefault="00000000">
      <w:pPr>
        <w:autoSpaceDE w:val="0"/>
        <w:autoSpaceDN w:val="0"/>
        <w:adjustRightInd w:val="0"/>
        <w:spacing w:after="240"/>
      </w:pPr>
      <w:r>
        <w:t>145.</w:t>
      </w:r>
      <w:r>
        <w:tab/>
        <w:t>Asimismo se verificó el respeto de las nuevas normas de procedimiento penal sobre la constitución de la condición de acusado, la designación obligatoria de un defensor por los órganos de la policía criminal (en el caso de los menores, de inimputabilidad, etc.), y la comunicación de sus derechos al detenido.  Por lo que respecta a las garantías, se observó que en los muros de carteles había carteles en que se exponía el conjunto de los derechos y deberes del acusado, así como folletos informativos sobre este tema en cuatro idiomas:  portugués, francés, español e inglés.  Por lo que respecta a las nuevas normas derivadas del Reglamento sobre las condiciones de detención, se verificó que en aquella época aún no se las conocía bien, y el equipo encargado de la verificación se dedicó sobre todo a su difusión y explicación.</w:t>
      </w:r>
    </w:p>
    <w:p w:rsidR="00000000" w:rsidRDefault="00000000">
      <w:pPr>
        <w:autoSpaceDE w:val="0"/>
        <w:autoSpaceDN w:val="0"/>
        <w:adjustRightInd w:val="0"/>
        <w:spacing w:after="240"/>
      </w:pPr>
      <w:r>
        <w:t>146.</w:t>
      </w:r>
      <w:r>
        <w:tab/>
        <w:t>Por último, en lo que respecta a los locales de detención que se había propuesto clausurar o someter a intervención urgente, debido a que no cumplían con las condiciones mínimas, se verificó que no eran satisfactorios únicamente cuatro de estos locales de detención en las comisarías de Policía de Seguridad Pública de Barcelos, Vila Nova, Famalicão y Beja, así como en el puesto territorial de la Guardia Nacional Republicana en Lourinhã.</w:t>
      </w:r>
    </w:p>
    <w:p w:rsidR="00000000" w:rsidRDefault="00000000">
      <w:pPr>
        <w:autoSpaceDE w:val="0"/>
        <w:autoSpaceDN w:val="0"/>
        <w:adjustRightInd w:val="0"/>
        <w:spacing w:after="240"/>
      </w:pPr>
      <w:r>
        <w:t>147.</w:t>
      </w:r>
      <w:r>
        <w:tab/>
        <w:t>Cabe decir que en 1999 el Comité para la Prevención de la Tortura del Consejo de Europa había visitado diversos locales de la policía, a fin de verificar los elementos referentes a los derechos humanos, y había observado una mejora en las condiciones materiales de detención y en los procedimientos de las detenciones, así como en el trato a los detenidos, en comparación con visitas anteriores (1992 y 1995); también había resaltado el importante papel desempeñado por la IGAI, con la que celebró una reunión de trabajo a petición suya.</w:t>
      </w:r>
    </w:p>
    <w:p w:rsidR="00000000" w:rsidRDefault="00000000">
      <w:pPr>
        <w:autoSpaceDE w:val="0"/>
        <w:autoSpaceDN w:val="0"/>
        <w:adjustRightInd w:val="0"/>
        <w:spacing w:after="240"/>
      </w:pPr>
      <w:r>
        <w:t>148.</w:t>
      </w:r>
      <w:r>
        <w:tab/>
        <w:t>En 2000, la IGAI procedió a la realización de inspecciones sin previo aviso en locales de las fuerzas del orden y de las fuerzas de seguridad, a cualquier hora y en todo el país.  Estas medidas tenían por objeto conocer la situación puntual, sobre todo en lo relativo a los procedimientos, las condiciones de detención, el trato a los detenidos, la acogida al público, la elaboración de las diligencias de procedimiento relativas a los hechos, el registro de presencia y la organización de las funciones de mando, en el momento de la visita.</w:t>
      </w:r>
    </w:p>
    <w:p w:rsidR="00000000" w:rsidRDefault="00000000">
      <w:pPr>
        <w:autoSpaceDE w:val="0"/>
        <w:autoSpaceDN w:val="0"/>
        <w:adjustRightInd w:val="0"/>
        <w:spacing w:after="240"/>
      </w:pPr>
      <w:r>
        <w:t>149.</w:t>
      </w:r>
      <w:r>
        <w:tab/>
        <w:t>El criterio empleado fue elegir locales situados en diversos puntos del país, incluidas las regiones autónomas (Azores y Madeira), con un número aproximadamente igual de locales por cada una de las fuerzas de seguridad, preferentemente en períodos difíciles, sobre todo los fines de semana.  De este modo en 2000 se procedió a un conjunto de 6 inspecciones, por equipos compuestos por dos inspectores, y se visitaron 62 locales, a saber, 28 comisarías de la PSP y 34 puestos de la GNR, situados en Madeira, el Algarve y los distritos de Santarém, Leiria, Coimbra, Braga, Guarda, Vila Real y Setúbal.</w:t>
      </w:r>
    </w:p>
    <w:p w:rsidR="00000000" w:rsidRDefault="00000000">
      <w:pPr>
        <w:autoSpaceDE w:val="0"/>
        <w:autoSpaceDN w:val="0"/>
        <w:adjustRightInd w:val="0"/>
        <w:spacing w:after="240"/>
      </w:pPr>
      <w:r>
        <w:t>150.</w:t>
      </w:r>
      <w:r>
        <w:tab/>
        <w:t>En estas visitas se observaron los siguientes hechos:</w:t>
      </w:r>
    </w:p>
    <w:p w:rsidR="00000000" w:rsidRDefault="00000000">
      <w:pPr>
        <w:autoSpaceDE w:val="0"/>
        <w:autoSpaceDN w:val="0"/>
        <w:adjustRightInd w:val="0"/>
        <w:spacing w:after="240"/>
        <w:ind w:left="1134" w:hanging="567"/>
      </w:pPr>
      <w:r>
        <w:t>a)</w:t>
      </w:r>
      <w:r>
        <w:tab/>
        <w:t>Los equipos fueron bien recibidos por los miembros de las fuerzas de seguridad y sus responsables presentes en los lugares visitados, a pesar del carácter inesperado de las visitas.</w:t>
      </w:r>
    </w:p>
    <w:p w:rsidR="00000000" w:rsidRDefault="00000000">
      <w:pPr>
        <w:autoSpaceDE w:val="0"/>
        <w:autoSpaceDN w:val="0"/>
        <w:adjustRightInd w:val="0"/>
        <w:spacing w:after="240"/>
        <w:ind w:left="1134" w:hanging="567"/>
      </w:pPr>
      <w:r>
        <w:t>b)</w:t>
      </w:r>
      <w:r>
        <w:tab/>
        <w:t>Se observó una preocupación por la aplicación de las normas en vigor, sobre todo las referentes a los procedimientos y condiciones de detención y de identificación, una sensibilidad manifiesta en lo referente a los derechos de los ciudadanos.  Se tomó nota de la adopción por la GNR de nuevos formularios de registro que ya contenían espacios para los diversos elementos que había que consignar, y del empleo por la PSP, en los antiguos registros, de una columna titulada "Observaciones".</w:t>
      </w:r>
    </w:p>
    <w:p w:rsidR="00000000" w:rsidRDefault="00000000">
      <w:pPr>
        <w:autoSpaceDE w:val="0"/>
        <w:autoSpaceDN w:val="0"/>
        <w:adjustRightInd w:val="0"/>
        <w:spacing w:after="240"/>
        <w:ind w:left="1134" w:hanging="567"/>
      </w:pPr>
      <w:r>
        <w:t>c)</w:t>
      </w:r>
      <w:r>
        <w:tab/>
        <w:t>Se observó una gran sensibilidad en lo referente a la acogida al público y a la búsqueda de soluciones en los casos que tenían un carácter privado; entre los locales visitados, al menos dos comisarías tenían salas privadas destinadas a apoyar a las víctimas.</w:t>
      </w:r>
    </w:p>
    <w:p w:rsidR="00000000" w:rsidRDefault="00000000">
      <w:pPr>
        <w:autoSpaceDE w:val="0"/>
        <w:autoSpaceDN w:val="0"/>
        <w:adjustRightInd w:val="0"/>
        <w:spacing w:after="240"/>
        <w:ind w:left="1134" w:hanging="567"/>
      </w:pPr>
      <w:r>
        <w:t>d)</w:t>
      </w:r>
      <w:r>
        <w:tab/>
        <w:t>A pesar de que, en algunos de los locales visitado, los equipos se reunieron con detenidos, no encontraron ninguno con marcas de malos tratos o que se quejara de haberlos recibido.</w:t>
      </w:r>
    </w:p>
    <w:p w:rsidR="00000000" w:rsidRDefault="00000000">
      <w:pPr>
        <w:autoSpaceDE w:val="0"/>
        <w:autoSpaceDN w:val="0"/>
        <w:adjustRightInd w:val="0"/>
        <w:spacing w:after="240"/>
        <w:ind w:left="1134" w:hanging="567"/>
      </w:pPr>
      <w:r>
        <w:t>e)</w:t>
      </w:r>
      <w:r>
        <w:tab/>
        <w:t>Las quejas registradas en los libros de reclamaciones que existen en todos los puestos no reflejaban una falta de interés o de respeto por las fuerzas del orden a propósito de las exigencias y los derechos de los ciudadanos; en general se referían a los litigios resultantes de medidas y actas levantadas en el marco de la regulación del tráfico de automotores.</w:t>
      </w:r>
    </w:p>
    <w:p w:rsidR="00000000" w:rsidRDefault="00000000">
      <w:pPr>
        <w:autoSpaceDE w:val="0"/>
        <w:autoSpaceDN w:val="0"/>
        <w:adjustRightInd w:val="0"/>
        <w:spacing w:after="240"/>
        <w:ind w:left="1134" w:hanging="567"/>
      </w:pPr>
      <w:r>
        <w:t>f)</w:t>
      </w:r>
      <w:r>
        <w:tab/>
        <w:t>Se observaron, sin embargo, varios casos de desorganización administrativa, inexactitudes, o tachaduras no certificadas o rubricadas en las inscripciones de los libros.</w:t>
      </w:r>
    </w:p>
    <w:p w:rsidR="00000000" w:rsidRDefault="00000000">
      <w:pPr>
        <w:autoSpaceDE w:val="0"/>
        <w:autoSpaceDN w:val="0"/>
        <w:adjustRightInd w:val="0"/>
        <w:spacing w:after="240"/>
        <w:ind w:left="1134" w:hanging="567"/>
      </w:pPr>
      <w:r>
        <w:t>g)</w:t>
      </w:r>
      <w:r>
        <w:tab/>
        <w:t>Se observaron también deficiencias de diverso tipo en el control de los procedimientos relativos al tráfico de automotores.</w:t>
      </w:r>
    </w:p>
    <w:p w:rsidR="00000000" w:rsidRDefault="00000000">
      <w:pPr>
        <w:autoSpaceDE w:val="0"/>
        <w:autoSpaceDN w:val="0"/>
        <w:adjustRightInd w:val="0"/>
        <w:spacing w:after="240"/>
        <w:ind w:left="1134" w:hanging="567"/>
      </w:pPr>
      <w:r>
        <w:t>h)</w:t>
      </w:r>
      <w:r>
        <w:tab/>
        <w:t>Se observó un progreso loable en la eliminación de las bebidas alcohólicas en los locales, y la dedicación de superiores para lograr este objetivo.</w:t>
      </w:r>
    </w:p>
    <w:p w:rsidR="00000000" w:rsidRDefault="00000000">
      <w:pPr>
        <w:autoSpaceDE w:val="0"/>
        <w:autoSpaceDN w:val="0"/>
        <w:adjustRightInd w:val="0"/>
        <w:spacing w:after="240"/>
        <w:ind w:left="1134" w:hanging="567"/>
      </w:pPr>
      <w:r>
        <w:t>i)</w:t>
      </w:r>
      <w:r>
        <w:tab/>
        <w:t>Sin embargo, varios locales tenían instalaciones poco satisfactorias, que en algunos casos se estaban arreglando o formaban parte de un proyecto de reformas.</w:t>
      </w:r>
    </w:p>
    <w:p w:rsidR="00000000" w:rsidRDefault="00000000">
      <w:pPr>
        <w:autoSpaceDE w:val="0"/>
        <w:autoSpaceDN w:val="0"/>
        <w:adjustRightInd w:val="0"/>
        <w:spacing w:after="240"/>
      </w:pPr>
      <w:r>
        <w:t>151.</w:t>
      </w:r>
      <w:r>
        <w:tab/>
        <w:t>Se comprobó que las celdas en general eran conformes a las exigencias reglamentarias, a pesar de lo cual se recomendó el cierre de una de ellas, ya que en otras dos realizaron obras urgentes.  Asimismo se verificó la instalación de redes de protección en diversos locales visitados.</w:t>
      </w:r>
    </w:p>
    <w:p w:rsidR="00000000" w:rsidRDefault="00000000">
      <w:pPr>
        <w:autoSpaceDE w:val="0"/>
        <w:autoSpaceDN w:val="0"/>
        <w:adjustRightInd w:val="0"/>
        <w:spacing w:after="240"/>
      </w:pPr>
      <w:r>
        <w:t>152.</w:t>
      </w:r>
      <w:r>
        <w:tab/>
        <w:t>A lo largo de 2001 la IGAI procedió asimismo a inspecciones sin previo aviso de los locales de las fuerzas de seguridad, a cualquier hora y en todo el país.  Estas actuaciones tenían los mismos objetivos que se han enumerado en el párrafo 148.</w:t>
      </w:r>
    </w:p>
    <w:p w:rsidR="00000000" w:rsidRDefault="00000000">
      <w:pPr>
        <w:spacing w:after="240"/>
      </w:pPr>
      <w:r>
        <w:t>153.</w:t>
      </w:r>
      <w:r>
        <w:tab/>
        <w:t>El criterio empleado fue elegir locales situados en diversos puntos del país, incluidas las regiones autónomas (Azores y Madeira), con un número aproximadamente igual de locales por cada una de las fuerzas de seguridad, preferentemente en períodos difíciles, sobre todo los fines de semana.  De este modo en el año 2001 se procedió a  un conjunto de 7 inspecciones, por equipos compuestos por 2 inspectores, y se visitaron 97 locales, a saber 32 comisarías de la PSP y 25 puestos de la GNR, situados en el continente (zonas de comando metropolitanas de Oporto y Lisboa, de los distritos de Castelo Branco, Portalegre, Viseu, Chaves y Bragança) y 28 comisarías de la PSP y 12 unidades de la Brigada Fiscal integradas en los comandos y destacamentos fiscales de Ponta-Delgada, Angra do Heroísmo y Horta.</w:t>
      </w:r>
    </w:p>
    <w:p w:rsidR="00000000" w:rsidRDefault="00000000">
      <w:pPr>
        <w:autoSpaceDE w:val="0"/>
        <w:autoSpaceDN w:val="0"/>
        <w:adjustRightInd w:val="0"/>
        <w:spacing w:after="240"/>
      </w:pPr>
      <w:r>
        <w:t>154.</w:t>
      </w:r>
      <w:r>
        <w:tab/>
        <w:t>Al igual que en 2000, se observó la buena acogida reservada a los equipos de inspección y la preocupación por respetar las normas en vigor relativas a los procedimientos y condiciones de identificación y detención, así como a los derechos de los ciudadanos.  Una vez más, los equipos no encontraron detenidos que presentasen huellas de malos tratos.</w:t>
      </w:r>
    </w:p>
    <w:p w:rsidR="00000000" w:rsidRDefault="00000000">
      <w:pPr>
        <w:autoSpaceDE w:val="0"/>
        <w:autoSpaceDN w:val="0"/>
        <w:adjustRightInd w:val="0"/>
        <w:spacing w:after="240"/>
      </w:pPr>
      <w:r>
        <w:t>155.</w:t>
      </w:r>
      <w:r>
        <w:tab/>
        <w:t>Además, en 2001, la PSP redactó una nota interna relativa a la adopción de diversos procedimientos en materia de detención que concuerdan con propuestas de la IGAI; cabe subrayar, entre otras cosas, la adopción de un nuevo modelo de registro de las detenciones, que contiene los distintos elementos previstos en el reglamento sobre las condiciones de detención en los establecimientos de policía.</w:t>
      </w:r>
    </w:p>
    <w:p w:rsidR="00000000" w:rsidRDefault="00000000">
      <w:pPr>
        <w:autoSpaceDE w:val="0"/>
        <w:autoSpaceDN w:val="0"/>
        <w:adjustRightInd w:val="0"/>
        <w:spacing w:after="240"/>
      </w:pPr>
      <w:r>
        <w:t>156.</w:t>
      </w:r>
      <w:r>
        <w:tab/>
        <w:t>En general se pudo comprobar que las condiciones de acogida al público no son satisfactorias.  Para los casos que exigen una mayor discreción, la búsqueda y utilización de un espacio reservado (en general el despacho del comandante) dependían del criterio y la sensibilidad de los agentes.</w:t>
      </w:r>
    </w:p>
    <w:p w:rsidR="00000000" w:rsidRDefault="00000000">
      <w:pPr>
        <w:autoSpaceDE w:val="0"/>
        <w:autoSpaceDN w:val="0"/>
        <w:adjustRightInd w:val="0"/>
        <w:spacing w:after="240"/>
      </w:pPr>
      <w:r>
        <w:t>157.</w:t>
      </w:r>
      <w:r>
        <w:tab/>
        <w:t>Por lo que respecta a las condiciones de las zonas de detención visitadas, se comprobó, en general, la existencia de zonas sin red de protección y la adopción de un modelo de puerta con barras metálicas no protegidas para las celdas de la PSP.  Sin embargo, la Oficina de Estudios y Planificación de las Instalaciones se ocupa específicamente de estos dos aspectos, con un seguimiento por parte de la IGAI.  Además, se observaron otras deficiencias en el empleo o fijación de materiales (grifos no encastrados, azulejos cortantes, piezas con aristas que pueden ser peligrosas).  Otra crítica es que, al estar algunas zonas de detención situadas en locales distintos de aquellos que ocupan los agentes de servicio, ello dificulta una posible petición de ayuda.  Por último, ha habido tres casos de incompatibilidad manifiesta con las restricciones impuestas, y se propone el cierre de las celdas de las comisarías de la PSP de Elvas y Olivais, así como las del puesto de la GNR en Castro d’Aire.</w:t>
      </w:r>
    </w:p>
    <w:p w:rsidR="00000000" w:rsidRDefault="00000000">
      <w:pPr>
        <w:autoSpaceDE w:val="0"/>
        <w:autoSpaceDN w:val="0"/>
        <w:adjustRightInd w:val="0"/>
        <w:spacing w:after="240"/>
      </w:pPr>
      <w:r>
        <w:t>158.</w:t>
      </w:r>
      <w:r>
        <w:tab/>
        <w:t>La cuestión de las zonas de detención centrales en una prefectura se planteó asimismo en el comando metropolitano de Lisboa.  Estas zonas se mencionan desde hace tiempo, debido a que no respetan las condiciones básicas, a pesar de las mejoras que se han efectuado en la medida de lo posible.  Los responsables consideran que la solución sería construir un nuevo local.</w:t>
      </w:r>
    </w:p>
    <w:p w:rsidR="00000000" w:rsidRDefault="00000000">
      <w:pPr>
        <w:autoSpaceDE w:val="0"/>
        <w:autoSpaceDN w:val="0"/>
        <w:adjustRightInd w:val="0"/>
        <w:spacing w:after="240"/>
      </w:pPr>
      <w:r>
        <w:t>159.</w:t>
      </w:r>
      <w:r>
        <w:tab/>
        <w:t>En 2002 se desarrollaron las mismas actividades preventivas de inspección en las mismas condiciones y en diversos puntos del país.  Tenían los mismos objetivos que se enumeran en el párrafo 148.</w:t>
      </w:r>
    </w:p>
    <w:p w:rsidR="00000000" w:rsidRDefault="00000000">
      <w:pPr>
        <w:autoSpaceDE w:val="0"/>
        <w:autoSpaceDN w:val="0"/>
        <w:adjustRightInd w:val="0"/>
        <w:spacing w:after="240"/>
      </w:pPr>
      <w:r>
        <w:t>160.</w:t>
      </w:r>
      <w:r>
        <w:tab/>
        <w:t>Esta vez, la IGAI eligió locales o unidades en las que aún no se habían hecho inspecciones sin aviso así como nuevos puestos y comisarías.  Por lo tanto, se procedió a cuatro inspecciones por equipos compuestos por dos inspectores:  se visitaron 63 locales, a saber, 23 puestos de la GNR y 40 comisarías de la PSP, situados en el continente (zonas de los destacamentos territoriales de Abrantes, Torres Novas, Matosinhos, Vila Nova de Gaia, Cantanhede, Beja, Vila Nova de Milfontes, Faro, Loulé, Albufeira y Silves; zonas del comando metropolitano de Lisboa y de las comandancias de policía de Santarém, Leiria, Setúbal y Beja).</w:t>
      </w:r>
    </w:p>
    <w:p w:rsidR="00000000" w:rsidRDefault="00000000">
      <w:pPr>
        <w:autoSpaceDE w:val="0"/>
        <w:autoSpaceDN w:val="0"/>
        <w:adjustRightInd w:val="0"/>
        <w:spacing w:after="240"/>
      </w:pPr>
      <w:r>
        <w:t>161.</w:t>
      </w:r>
      <w:r>
        <w:tab/>
        <w:t>También en estas inspecciones, los aspectos positivos fueron la buena acogida de los equipos de inspección por las fuerzas de seguridad y los responsables presentes en los lugares visitados, su conocimiento, en conjunto, de las normas en vigor acerca de los procedimientos y condiciones de detención y de identificación y la voluntad de aplicarlas, así como la sensibilidad manifestada en el respeto de los derechos de los ciudadanos.  Tampoco en 2002 ninguno de los detenidos tenía huellas de malos tratos ni se quejó de haberlos recibido.</w:t>
      </w:r>
    </w:p>
    <w:p w:rsidR="00000000" w:rsidRDefault="00000000">
      <w:pPr>
        <w:autoSpaceDE w:val="0"/>
        <w:autoSpaceDN w:val="0"/>
        <w:adjustRightInd w:val="0"/>
        <w:spacing w:after="240"/>
      </w:pPr>
      <w:r>
        <w:t>162.</w:t>
      </w:r>
      <w:r>
        <w:tab/>
        <w:t>Por lo que respecta a las zonas de detención, cabe decir que, tras haberse detectado en una inspección de la IGAI que no se cumplían las condiciones mínimas de seguridad en una zona de detención de un puesto territorial de la GNR en Quarteira, se informó a los mandos, lo que llevó a la clausura inmediata de la zona, por decisión interna.  Posteriormente se efectuaron las mejoras necesarias, y se ha alcanzado un nivel de seguridad satisfactorio.</w:t>
      </w:r>
    </w:p>
    <w:p w:rsidR="00000000" w:rsidRDefault="00000000">
      <w:pPr>
        <w:autoSpaceDE w:val="0"/>
        <w:autoSpaceDN w:val="0"/>
        <w:adjustRightInd w:val="0"/>
        <w:spacing w:after="240"/>
      </w:pPr>
      <w:r>
        <w:t>163.</w:t>
      </w:r>
      <w:r>
        <w:tab/>
        <w:t>Por último, en 2003, fecha del último informe de la IGAI, se llevaron a cabo inspecciones idénticas a las precedentes.  Huelga decir que los objetivos eran idénticos a los antes enumerado en el párrafo 148.</w:t>
      </w:r>
    </w:p>
    <w:p w:rsidR="00000000" w:rsidRDefault="00000000">
      <w:pPr>
        <w:spacing w:after="240"/>
      </w:pPr>
      <w:r>
        <w:t>164.</w:t>
      </w:r>
      <w:r>
        <w:tab/>
        <w:t>Los criterios utilizados en 2003 consistieron ciertamente en la elección de locales situados en diversos puntos del país, pero en esta ocasión algunas unidades ya habían sido objeto de inspecciones por parte de la IGAI.  De este modo, se realizaron diez inspecciones por equipos compuestos por dos inspectores y se visitaron 137 locales, a saber, 65 puestos de la GNR y 72 comisarías de la PSP, situados en el continente.  Se inspeccionaron los grupos territoriales de Sintra, Almada, Setúbal, Santarém y Évora; se visitaron 6 destacamentos territoriales:  Miranda do Douro, Mirandela, Bragança, Póvoa do Lanhoso, Moncorvo y Matosinhos.  Se inspeccionó el comando metropolitano de Oporto, así como los 11 comandos de policía de las siguientes localidades:  Leiria, Santarém, Viana do Castelo, Portalegre, Castelo Branco, Guarda, Viseu, Vila Real, Bragança, Braga, Coimbra y Aveiro.  En los archipiélagos de las Azores y Madeira, la IGAI inspeccionó los comandos de policía de Horta y Ponta Delgada y el comando regional de Madeira.</w:t>
      </w:r>
    </w:p>
    <w:p w:rsidR="00000000" w:rsidRDefault="00000000">
      <w:pPr>
        <w:autoSpaceDE w:val="0"/>
        <w:autoSpaceDN w:val="0"/>
        <w:adjustRightInd w:val="0"/>
        <w:spacing w:after="240"/>
      </w:pPr>
      <w:r>
        <w:t>165.</w:t>
      </w:r>
      <w:r>
        <w:tab/>
        <w:t>No se detectó ninguna situación de violación de los derechos fundamentales de los ciudadanos, sobre todo en lo referente a los detenidos o las personas conducidas a puestos de policía y comisarías con el fin de llevar a cabo los procedimientos legales.  En general, cabe destacar la buena acogida de los inspectores y la colaboración de los agentes, tanto en la documentación mostrada, necesaria en los controles, como en las explicaciones facilitadas.</w:t>
      </w:r>
    </w:p>
    <w:p w:rsidR="00000000" w:rsidRDefault="00000000">
      <w:pPr>
        <w:autoSpaceDE w:val="0"/>
        <w:autoSpaceDN w:val="0"/>
        <w:adjustRightInd w:val="0"/>
        <w:spacing w:after="240"/>
      </w:pPr>
      <w:r>
        <w:t>166.</w:t>
      </w:r>
      <w:r>
        <w:tab/>
        <w:t>La Dirección Nacional de la PSP entregó a la IGAI una circular que había distribuido a todas los comandos y que contenía normas relativas al desarrollo, el registro y los archivos del procedimiento, entre otros, el registro de los detenidos, los archivos de las comunicaciones enviadas por fax a la autoridad judicial, el registro de las personas conducidas a las comisarías, el libro de reclamaciones, la informatización del registro de vehículos robados, recuperados y sujetos a incautación, el registro de los talones de las pruebas de alcoholemia, la gestión de las contravenciones e infracciones administrativas, los archivos de los procedimientos relativos a las infracciones administrativas y a otros registros adoptados.  Estas normas satisfacen las prescripciones de la IGAI.</w:t>
      </w:r>
    </w:p>
    <w:p w:rsidR="00000000" w:rsidRDefault="00000000">
      <w:pPr>
        <w:autoSpaceDE w:val="0"/>
        <w:autoSpaceDN w:val="0"/>
        <w:adjustRightInd w:val="0"/>
        <w:spacing w:after="240"/>
      </w:pPr>
      <w:r>
        <w:t>167.</w:t>
      </w:r>
      <w:r>
        <w:tab/>
        <w:t>La Dirección Nacional de la PSP sometió a consideración de la IGAI un modelo de acta de identificación.  Como el procedimiento en vigor ha suscitado alguna polémica, sobre todo la redacción actual del artículo 250 del Código de Procedimiento Penal y el texto de la Ley Nº 5/95, de 21 de febrero, se emitió una opinión que actualmente se está estudiando.</w:t>
      </w:r>
    </w:p>
    <w:p w:rsidR="00000000" w:rsidRDefault="00000000">
      <w:pPr>
        <w:autoSpaceDE w:val="0"/>
        <w:autoSpaceDN w:val="0"/>
        <w:adjustRightInd w:val="0"/>
        <w:spacing w:after="240"/>
      </w:pPr>
      <w:r>
        <w:t>168.</w:t>
      </w:r>
      <w:r>
        <w:tab/>
        <w:t>También se realizó una inspección en el Destacamento Fiscal de Sines, y se adoptaron medidas en relación con los puestos de frontera conjuntos situados en el territorio nacional, que finalmente se limitaron al puesto de frontera conjunto dependiente del Servicio de Extranjeros y Fronteras de Vilar Formoso.</w:t>
      </w:r>
    </w:p>
    <w:p w:rsidR="00000000" w:rsidRDefault="00000000">
      <w:pPr>
        <w:autoSpaceDE w:val="0"/>
        <w:autoSpaceDN w:val="0"/>
        <w:adjustRightInd w:val="0"/>
        <w:spacing w:after="240"/>
        <w:ind w:left="567"/>
        <w:rPr>
          <w:b/>
          <w:bCs/>
        </w:rPr>
      </w:pPr>
      <w:r>
        <w:rPr>
          <w:b/>
          <w:bCs/>
        </w:rPr>
        <w:t>d)</w:t>
      </w:r>
      <w:r>
        <w:rPr>
          <w:b/>
          <w:bCs/>
        </w:rPr>
        <w:tab/>
        <w:t>Quejas relativas a las fuerzas del orden</w:t>
      </w:r>
    </w:p>
    <w:p w:rsidR="00000000" w:rsidRDefault="00000000">
      <w:pPr>
        <w:autoSpaceDE w:val="0"/>
        <w:autoSpaceDN w:val="0"/>
        <w:adjustRightInd w:val="0"/>
        <w:spacing w:after="240"/>
      </w:pPr>
      <w:r>
        <w:t>169.</w:t>
      </w:r>
      <w:r>
        <w:tab/>
        <w:t>La IGAI tiene asimismo por misión examinar las quejas, que se distribuyen en dos categorías, A y B (dividida a su vez en B1, B2 y B3).</w:t>
      </w:r>
    </w:p>
    <w:p w:rsidR="00000000" w:rsidRDefault="00000000">
      <w:pPr>
        <w:autoSpaceDE w:val="0"/>
        <w:autoSpaceDN w:val="0"/>
        <w:adjustRightInd w:val="0"/>
        <w:spacing w:after="240"/>
        <w:ind w:left="1134" w:hanging="567"/>
      </w:pPr>
      <w:r>
        <w:t>a)</w:t>
      </w:r>
      <w:r>
        <w:tab/>
        <w:t>La categoría A se refiere a las quejas manifiestamente con poco fundamento o infundadas, y las denuncias anónimas.  En ese caso, se decreta,</w:t>
      </w:r>
      <w:r>
        <w:rPr>
          <w:iCs/>
        </w:rPr>
        <w:t xml:space="preserve"> </w:t>
      </w:r>
      <w:r>
        <w:rPr>
          <w:i/>
        </w:rPr>
        <w:t>in limine</w:t>
      </w:r>
      <w:r>
        <w:t>, se procede a la suspensión  administrativa de la instancia, al tiempo que se informa al demandante y se efectúan las comunicaciones necesarias a los organismos judiciales (en el caso de las denuncias anónimas que tienen interés penal).</w:t>
      </w:r>
    </w:p>
    <w:p w:rsidR="00000000" w:rsidRDefault="00000000">
      <w:pPr>
        <w:autoSpaceDE w:val="0"/>
        <w:autoSpaceDN w:val="0"/>
        <w:adjustRightInd w:val="0"/>
        <w:spacing w:after="240"/>
        <w:ind w:left="1134" w:hanging="567"/>
      </w:pPr>
      <w:r>
        <w:t>b)</w:t>
      </w:r>
      <w:r>
        <w:tab/>
        <w:t xml:space="preserve">La categoría B (dividida a su vez en B1, B2 y B3) se refiere a las quejas, denuncias o comunicaciones de situaciones pertinentes y en apariencia con fundamento, de procedencia conocida.  En esos casos, la tramitación y la intervención de la IGAI dependen de la gravedad de los valores que se ha menoscabado.  En efecto, la IGAI reserva su intervención directa en términos de investigación e instrucción a los casos de una gravedad y pertinencia particulares, determinadas en general en el artículo 2 del Reglamento de actuaciones de inspección y de control, aprobado por decisión ministerial de 21 de diciembre de 1998, publicado en el </w:t>
      </w:r>
      <w:r>
        <w:rPr>
          <w:i/>
          <w:iCs/>
        </w:rPr>
        <w:t>Boletín Oficial</w:t>
      </w:r>
      <w:r>
        <w:t xml:space="preserve">, 2ª serie, Nº 106, de 7 de mayo de 1999, es decir, cada vez que de la actuación de los agentes de seguridad y de los demás servicios [...] resulte para alguien la violación de bienes personales, entre otros la muerte o daño grave a la integridad física, o existan indicios de un grave abuso de la autoridad o un perjuicio en valores patrimoniales elevados.  En los casos más graves (subcategoría B1), la IGAI procede a realizar un control directo por medio de la iniciación e instrucción de procedimientos formales con comprobaciones, investigaciones o medidas disciplinarias.  La subcategoría B2 se refiere a los casos de gravedad media o los casos muy graves, pero externos al servicio; la IGAI procede entonces a un control indirecto por medio de la iniciación de un procedimiento oficioso (el procedimiento administrativo), que acompaña los procedimientos oficiales instaurados por los comandos y las direcciones afectadas, así como los procedimientos de carácter penal que hayan podido entablarse.  Por último, en los casos de poca gravedad, la IGAI se limita a enviar las comunicaciones recibidas al responsable más elevado del servicio afectado y a informar de esta medida al autor de la queja. </w:t>
      </w:r>
    </w:p>
    <w:p w:rsidR="00000000" w:rsidRDefault="00000000">
      <w:pPr>
        <w:autoSpaceDE w:val="0"/>
        <w:autoSpaceDN w:val="0"/>
        <w:adjustRightInd w:val="0"/>
        <w:spacing w:after="240"/>
      </w:pPr>
      <w:r>
        <w:t>170.</w:t>
      </w:r>
      <w:r>
        <w:tab/>
        <w:t>La IGAI presenta los datos relativos a estas quejas en cuadros adjuntos en el anexo, y que pueden consultarse en la secretaría del Comité contra la Tortura.</w:t>
      </w:r>
    </w:p>
    <w:p w:rsidR="00000000" w:rsidRDefault="00000000">
      <w:pPr>
        <w:autoSpaceDE w:val="0"/>
        <w:autoSpaceDN w:val="0"/>
        <w:adjustRightInd w:val="0"/>
        <w:spacing w:after="240"/>
      </w:pPr>
      <w:r>
        <w:t>171.</w:t>
      </w:r>
      <w:r>
        <w:tab/>
        <w:t>Una gran parte de los hechos llega a conocimiento de la IGAI por medio de una comunicación efectuada por el ministerio público, en términos de lo dispuesto en la circular Nº 4/98 de la Fiscalía General de la República, de 4 de mayo.</w:t>
      </w:r>
    </w:p>
    <w:p w:rsidR="00000000" w:rsidRDefault="00000000">
      <w:pPr>
        <w:keepNext/>
        <w:keepLines/>
        <w:autoSpaceDE w:val="0"/>
        <w:autoSpaceDN w:val="0"/>
        <w:adjustRightInd w:val="0"/>
        <w:spacing w:after="240"/>
        <w:ind w:left="567"/>
        <w:rPr>
          <w:b/>
          <w:bCs/>
        </w:rPr>
      </w:pPr>
      <w:r>
        <w:rPr>
          <w:b/>
          <w:bCs/>
        </w:rPr>
        <w:t>e)</w:t>
      </w:r>
      <w:r>
        <w:rPr>
          <w:b/>
          <w:bCs/>
        </w:rPr>
        <w:tab/>
        <w:t>Reglamentación del uso de armas de fuego por la policía</w:t>
      </w:r>
    </w:p>
    <w:p w:rsidR="00000000" w:rsidRDefault="00000000">
      <w:pPr>
        <w:autoSpaceDE w:val="0"/>
        <w:autoSpaceDN w:val="0"/>
        <w:adjustRightInd w:val="0"/>
        <w:spacing w:after="240"/>
      </w:pPr>
      <w:r>
        <w:t>172.</w:t>
      </w:r>
      <w:r>
        <w:tab/>
        <w:t>El texto más importante es el Decreto-ley Nº 457/99, de 5 de noviembre, que se aplica a los casos en que la policía recurre a las armas de fuego.  Se entiende por "agentes de policía" a todos las entidades y personas definidos por el Código de Procedimiento Penal como órganos y autoridades de la policía criminal, que están autorizados a utilizar un arma de fuego de acuerdo con su condición legal.</w:t>
      </w:r>
    </w:p>
    <w:p w:rsidR="00000000" w:rsidRDefault="00000000">
      <w:pPr>
        <w:autoSpaceDE w:val="0"/>
        <w:autoSpaceDN w:val="0"/>
        <w:adjustRightInd w:val="0"/>
        <w:spacing w:after="240"/>
      </w:pPr>
      <w:r>
        <w:t>173.</w:t>
      </w:r>
      <w:r>
        <w:tab/>
        <w:t>El artículo 2 del decreto-ley establece los principios de la necesidad y de la proporcionalidad.  De este modo, el párrafo 1 estipula que el recurso a un arma de fuego sólo se permite en caso de necesidad absoluta, como medida extrema, cuando otros medios menos peligrosos han sido ineficaces, y siempre que el uso del arma de fuego sea proporcionado a las circunstancias.  En el párrafo 2 puede leerse que "en esos casos el agente debe esforzarse por reducir al mínimo las lesiones y los daños y por respetar y preservar la vida humana."</w:t>
      </w:r>
    </w:p>
    <w:p w:rsidR="00000000" w:rsidRDefault="00000000">
      <w:pPr>
        <w:spacing w:after="240"/>
      </w:pPr>
      <w:r>
        <w:t>174.</w:t>
      </w:r>
      <w:r>
        <w:tab/>
        <w:t xml:space="preserve">Este decreto-ley sigue expresamente los textos internacionales que rigen esta  cuestión, en particular el Código de Conducta para funcionarios encargados de hacer cumplir la ley, aprobado por la Asamblea General de las Naciones Unidas en su resolución 34/169, de 17 de diciembre de 1979.  El artículo 3 del Código de Conducta dispone que los funcionarios encargados de hacer cumplir la ley podrán usar la fuerza sólo cuando sea estrictamente necesario y en la medida que lo requiera el desempeño de sus tareas.  </w:t>
      </w:r>
    </w:p>
    <w:p w:rsidR="00000000" w:rsidRDefault="00000000">
      <w:pPr>
        <w:autoSpaceDE w:val="0"/>
        <w:autoSpaceDN w:val="0"/>
        <w:adjustRightInd w:val="0"/>
        <w:spacing w:after="240"/>
      </w:pPr>
      <w:r>
        <w:t>175.</w:t>
      </w:r>
      <w:r>
        <w:tab/>
        <w:t>En virtud de lo dispuesto en el artículo 3 del decreto-ley, el uso de un arma de fuego -en el marco de los principios planteados en el artículo 2 antes citados- únicamente está autorizado para:</w:t>
      </w:r>
    </w:p>
    <w:p w:rsidR="00000000" w:rsidRDefault="00000000">
      <w:pPr>
        <w:autoSpaceDE w:val="0"/>
        <w:autoSpaceDN w:val="0"/>
        <w:adjustRightInd w:val="0"/>
        <w:spacing w:after="240"/>
        <w:ind w:left="1134" w:hanging="567"/>
      </w:pPr>
      <w:r>
        <w:t>a)</w:t>
      </w:r>
      <w:r>
        <w:tab/>
        <w:t>Evitar una agresión actual e ilícita dirigida contra el agente de la autoridad o contra terceros;</w:t>
      </w:r>
    </w:p>
    <w:p w:rsidR="00000000" w:rsidRDefault="00000000">
      <w:pPr>
        <w:autoSpaceDE w:val="0"/>
        <w:autoSpaceDN w:val="0"/>
        <w:adjustRightInd w:val="0"/>
        <w:spacing w:after="240"/>
        <w:ind w:left="1134" w:hanging="567"/>
      </w:pPr>
      <w:r>
        <w:t>b)</w:t>
      </w:r>
      <w:r>
        <w:tab/>
        <w:t>Capturar a una persona sospechosa de haber cometido un delito castigado con pena de prisión superior a tres años, o que haga uso o disponga de armas de fuego, de armas blancas o de dispositivos o sustancias explosivas, radioactivas o adecuadas para la fabricación de gases tóxicos o asfixiantes, o impedir su fuga;</w:t>
      </w:r>
    </w:p>
    <w:p w:rsidR="00000000" w:rsidRDefault="00000000">
      <w:pPr>
        <w:autoSpaceDE w:val="0"/>
        <w:autoSpaceDN w:val="0"/>
        <w:adjustRightInd w:val="0"/>
        <w:spacing w:after="240"/>
        <w:ind w:left="1134" w:hanging="567"/>
      </w:pPr>
      <w:r>
        <w:t>c)</w:t>
      </w:r>
      <w:r>
        <w:tab/>
        <w:t>Detener a una persona evadida o sujeta a una orden de detención o impedir la fuga de una persona que ya está detenida;</w:t>
      </w:r>
    </w:p>
    <w:p w:rsidR="00000000" w:rsidRDefault="00000000">
      <w:pPr>
        <w:autoSpaceDE w:val="0"/>
        <w:autoSpaceDN w:val="0"/>
        <w:adjustRightInd w:val="0"/>
        <w:spacing w:after="240"/>
        <w:ind w:left="1134" w:hanging="567"/>
      </w:pPr>
      <w:r>
        <w:t>d)</w:t>
      </w:r>
      <w:r>
        <w:tab/>
        <w:t>Liberar a rehenes o personas raptadas o secuestradas;</w:t>
      </w:r>
    </w:p>
    <w:p w:rsidR="00000000" w:rsidRDefault="00000000">
      <w:pPr>
        <w:autoSpaceDE w:val="0"/>
        <w:autoSpaceDN w:val="0"/>
        <w:adjustRightInd w:val="0"/>
        <w:spacing w:after="240"/>
        <w:ind w:left="1134" w:hanging="567"/>
      </w:pPr>
      <w:r>
        <w:t>e)</w:t>
      </w:r>
      <w:r>
        <w:tab/>
        <w:t>Evitar o impedir un grave atentado contra instalaciones del Estado o de utilidad pública o social o contra una aeronave, buque, tren, vehículo de transporte común de pasajeros o vehículo de transporte de mercancías peligrosas;</w:t>
      </w:r>
    </w:p>
    <w:p w:rsidR="00000000" w:rsidRDefault="00000000">
      <w:pPr>
        <w:autoSpaceDE w:val="0"/>
        <w:autoSpaceDN w:val="0"/>
        <w:adjustRightInd w:val="0"/>
        <w:spacing w:after="240"/>
        <w:ind w:left="1134" w:hanging="567"/>
      </w:pPr>
      <w:r>
        <w:t>f)</w:t>
      </w:r>
      <w:r>
        <w:tab/>
        <w:t>Vencer la resistencia violenta a la ejecución de un servicio en el ejercicio de sus funciones, y mantener la autoridad tras haber dirigido a las personas que se resisten una exhortación unívoca a obedecer, y tras haber agotado todos los demás medios posibles para hacerlo;</w:t>
      </w:r>
    </w:p>
    <w:p w:rsidR="00000000" w:rsidRDefault="00000000">
      <w:pPr>
        <w:autoSpaceDE w:val="0"/>
        <w:autoSpaceDN w:val="0"/>
        <w:adjustRightInd w:val="0"/>
        <w:spacing w:after="240"/>
        <w:ind w:left="1134" w:hanging="567"/>
      </w:pPr>
      <w:r>
        <w:t>g)</w:t>
      </w:r>
      <w:r>
        <w:tab/>
        <w:t>Abatir animales que pongan en peligro a personas o bienes o que, estando gravemente heridos, no puedan ser asistidos con éxito;</w:t>
      </w:r>
    </w:p>
    <w:p w:rsidR="00000000" w:rsidRDefault="00000000">
      <w:pPr>
        <w:autoSpaceDE w:val="0"/>
        <w:autoSpaceDN w:val="0"/>
        <w:adjustRightInd w:val="0"/>
        <w:spacing w:after="240"/>
        <w:ind w:left="1134" w:hanging="567"/>
      </w:pPr>
      <w:r>
        <w:t>h)</w:t>
      </w:r>
      <w:r>
        <w:tab/>
        <w:t>Como medio de alarma o petición de socorro, en una situación de urgencia, cuando no puedan utilizarse otros medios con la misma finalidad;</w:t>
      </w:r>
    </w:p>
    <w:p w:rsidR="00000000" w:rsidRDefault="00000000">
      <w:pPr>
        <w:autoSpaceDE w:val="0"/>
        <w:autoSpaceDN w:val="0"/>
        <w:adjustRightInd w:val="0"/>
        <w:spacing w:after="240"/>
        <w:ind w:left="1134" w:hanging="567"/>
      </w:pPr>
      <w:r>
        <w:t>i)</w:t>
      </w:r>
      <w:r>
        <w:tab/>
        <w:t>Cuando el mantenimiento del orden público lo exija, o lo determinen los superiores del agente, con la misma finalidad.</w:t>
      </w:r>
    </w:p>
    <w:p w:rsidR="00000000" w:rsidRDefault="00000000">
      <w:pPr>
        <w:autoSpaceDE w:val="0"/>
        <w:autoSpaceDN w:val="0"/>
        <w:adjustRightInd w:val="0"/>
        <w:spacing w:after="240"/>
      </w:pPr>
      <w:r>
        <w:t>176.</w:t>
      </w:r>
      <w:r>
        <w:tab/>
        <w:t>En virtud de lo dispuesto en el párrafo 2 del artículo 3 del decreto-ley, el empleo de armas de fuego contra personas únicamente está autorizado cuando, acumulativamente, la finalidad respectiva sólo puede lograrse mediante el uso de un arma de fuego, de conformidad con lo dispuesto en el párrafo 1, y se da obligatoriamente alguna de las circunstancias siguientes:</w:t>
      </w:r>
    </w:p>
    <w:p w:rsidR="00000000" w:rsidRDefault="00000000">
      <w:pPr>
        <w:autoSpaceDE w:val="0"/>
        <w:autoSpaceDN w:val="0"/>
        <w:adjustRightInd w:val="0"/>
        <w:spacing w:after="240"/>
        <w:ind w:left="1134" w:hanging="567"/>
      </w:pPr>
      <w:r>
        <w:t>a)</w:t>
      </w:r>
      <w:r>
        <w:tab/>
        <w:t>Para evitar la agresión actual e ilícita dirigida contra el agente o terceros, si existe peligro inminente de muerte o de daño grave a la integridad física;</w:t>
      </w:r>
    </w:p>
    <w:p w:rsidR="00000000" w:rsidRDefault="00000000">
      <w:pPr>
        <w:autoSpaceDE w:val="0"/>
        <w:autoSpaceDN w:val="0"/>
        <w:adjustRightInd w:val="0"/>
        <w:spacing w:after="240"/>
        <w:ind w:left="1134" w:hanging="567"/>
      </w:pPr>
      <w:r>
        <w:t>b)</w:t>
      </w:r>
      <w:r>
        <w:tab/>
        <w:t>Para prevenir la perpetración de un delito especialmente grave que amenace vidas humanas;</w:t>
      </w:r>
    </w:p>
    <w:p w:rsidR="00000000" w:rsidRDefault="00000000">
      <w:pPr>
        <w:autoSpaceDE w:val="0"/>
        <w:autoSpaceDN w:val="0"/>
        <w:adjustRightInd w:val="0"/>
        <w:spacing w:after="240"/>
        <w:ind w:left="1134" w:hanging="567"/>
      </w:pPr>
      <w:r>
        <w:t>c)</w:t>
      </w:r>
      <w:r>
        <w:tab/>
        <w:t>Para proceder a la detención de una persona que represente esta amenaza y que se resista a la autoridad, o para impedir su fuga.</w:t>
      </w:r>
    </w:p>
    <w:p w:rsidR="00000000" w:rsidRDefault="00000000">
      <w:pPr>
        <w:autoSpaceDE w:val="0"/>
        <w:autoSpaceDN w:val="0"/>
        <w:adjustRightInd w:val="0"/>
        <w:spacing w:after="240"/>
      </w:pPr>
      <w:r>
        <w:t>177.</w:t>
      </w:r>
      <w:r>
        <w:tab/>
        <w:t>En virtud de lo dispuesto en el párrafo 3, cuando no está autorizado el uso de armas de fuego, no se puede intimidar a nadie por medio de una de estas armas.  Asimismo, en virtud de lo dispuesto en el párrafo 4, el recurso a un arma de fuego únicamente está autorizado si es improbable que el arma cause daños a otra persona distinta de aquella o aquellas a las que se apunta.</w:t>
      </w:r>
    </w:p>
    <w:p w:rsidR="00000000" w:rsidRDefault="00000000">
      <w:pPr>
        <w:autoSpaceDE w:val="0"/>
        <w:autoSpaceDN w:val="0"/>
        <w:adjustRightInd w:val="0"/>
        <w:spacing w:after="240"/>
      </w:pPr>
      <w:r>
        <w:t>178.</w:t>
      </w:r>
      <w:r>
        <w:tab/>
        <w:t>El artículo 4 prevé el aviso en estos términos:</w:t>
      </w:r>
    </w:p>
    <w:p w:rsidR="00000000" w:rsidRDefault="00000000">
      <w:pPr>
        <w:autoSpaceDE w:val="0"/>
        <w:autoSpaceDN w:val="0"/>
        <w:adjustRightInd w:val="0"/>
        <w:spacing w:after="240"/>
        <w:ind w:left="567"/>
      </w:pPr>
      <w:r>
        <w:tab/>
        <w:t>"1.</w:t>
      </w:r>
      <w:r>
        <w:tab/>
        <w:t>El empleo de un arma de fuego deberá estar precedido de un aviso claramente perceptible, siempre que la naturaleza del servicio o las circunstancias lo permitan.</w:t>
      </w:r>
    </w:p>
    <w:p w:rsidR="00000000" w:rsidRDefault="00000000">
      <w:pPr>
        <w:autoSpaceDE w:val="0"/>
        <w:autoSpaceDN w:val="0"/>
        <w:adjustRightInd w:val="0"/>
        <w:spacing w:after="240"/>
        <w:ind w:left="567"/>
      </w:pPr>
      <w:r>
        <w:tab/>
        <w:t>2.</w:t>
      </w:r>
      <w:r>
        <w:tab/>
        <w:t>El aviso podrá consistir en un disparo al aire, siempre que se pueda suponer que nadie resultará herido y que un aviso o advertencia realizado de otro modo no sea claro e inmediatamente perceptible.</w:t>
      </w:r>
    </w:p>
    <w:p w:rsidR="00000000" w:rsidRDefault="00000000">
      <w:pPr>
        <w:autoSpaceDE w:val="0"/>
        <w:autoSpaceDN w:val="0"/>
        <w:adjustRightInd w:val="0"/>
        <w:spacing w:after="240"/>
        <w:ind w:left="567"/>
      </w:pPr>
      <w:r>
        <w:tab/>
        <w:t>3.</w:t>
      </w:r>
      <w:r>
        <w:tab/>
        <w:t>En los casos en que se trate de una reunión de personas, el aviso deberá ser repetido."</w:t>
      </w:r>
    </w:p>
    <w:p w:rsidR="00000000" w:rsidRDefault="00000000">
      <w:pPr>
        <w:autoSpaceDE w:val="0"/>
        <w:autoSpaceDN w:val="0"/>
        <w:adjustRightInd w:val="0"/>
        <w:spacing w:after="240"/>
      </w:pPr>
      <w:r>
        <w:t>179.</w:t>
      </w:r>
      <w:r>
        <w:tab/>
        <w:t>En virtud de lo dispuesto en el artículo 5, el empleo de un arma de fuego se ajustará a las instrucciones del comandante de la fuerza, salvo si el agente está aislado o ante circunstancias que le impiden absolutamente esperar instrucciones.  El artículo 6 impone el deber de socorro:  el agente que ha utilizado el arma de fuego está obligado a socorrer a los heridos en cuanto le sea posible.</w:t>
      </w:r>
    </w:p>
    <w:p w:rsidR="00000000" w:rsidRDefault="00000000">
      <w:pPr>
        <w:autoSpaceDE w:val="0"/>
        <w:autoSpaceDN w:val="0"/>
        <w:adjustRightInd w:val="0"/>
        <w:spacing w:after="240"/>
      </w:pPr>
      <w:r>
        <w:t>180.</w:t>
      </w:r>
      <w:r>
        <w:tab/>
        <w:t>El artículo 7 impone el deber de presentar un informe.  El uso de un arma de fuego se comunicará inmediatamente a los superiores jerárquicos, seguido de un informe escrito.  En caso de daños personales o patrimoniales, el superior jerárquico informará al ministerio público, el cual determinará si es necesario adoptar una medida, y cuál.  El superior consignará su postura sobre la cuestión y remitirá todo, por escrito, al ministerio público.  El agente o la fuerza de policía implicados deberán preservar el entorno en que se efectuaron los disparos con objeto de impedir que se borren los indicios, y proceder a examinarlo de inmediato si teme que las condiciones se modifiquen o desaparezcan.</w:t>
      </w:r>
    </w:p>
    <w:p w:rsidR="00000000" w:rsidRDefault="00000000">
      <w:pPr>
        <w:autoSpaceDE w:val="0"/>
        <w:autoSpaceDN w:val="0"/>
        <w:adjustRightInd w:val="0"/>
        <w:spacing w:after="240"/>
      </w:pPr>
      <w:r>
        <w:t>181.</w:t>
      </w:r>
      <w:r>
        <w:tab/>
        <w:t>Cuando el uso de un arma de fuego constituye el elemento de un delito, se aplican a todas las normas de la autoridad y a los órganos de policía criminal las normas del Código de Procedimiento Penal relativas a los medios de obtención de prueba y a las medidas de precaución y de policía.</w:t>
      </w:r>
    </w:p>
    <w:p w:rsidR="00000000" w:rsidRDefault="00000000">
      <w:pPr>
        <w:autoSpaceDE w:val="0"/>
        <w:autoSpaceDN w:val="0"/>
        <w:adjustRightInd w:val="0"/>
        <w:spacing w:after="240"/>
      </w:pPr>
      <w:r>
        <w:t>182.</w:t>
      </w:r>
      <w:r>
        <w:tab/>
        <w:t>Estas normas, en virtud de lo dispuesto en el artículo 8, se aplican, con las adaptaciones necesarias, a los explosivos.</w:t>
      </w:r>
    </w:p>
    <w:p w:rsidR="00000000" w:rsidRDefault="00000000">
      <w:pPr>
        <w:pStyle w:val="Heading5"/>
        <w:spacing w:before="0" w:after="240"/>
        <w:rPr>
          <w:b w:val="0"/>
          <w:bCs w:val="0"/>
          <w:i w:val="0"/>
          <w:iCs w:val="0"/>
          <w:sz w:val="24"/>
        </w:rPr>
      </w:pPr>
      <w:r>
        <w:rPr>
          <w:b w:val="0"/>
          <w:bCs w:val="0"/>
          <w:i w:val="0"/>
          <w:iCs w:val="0"/>
          <w:sz w:val="24"/>
        </w:rPr>
        <w:t>183.</w:t>
      </w:r>
      <w:r>
        <w:rPr>
          <w:b w:val="0"/>
          <w:bCs w:val="0"/>
          <w:i w:val="0"/>
          <w:iCs w:val="0"/>
          <w:sz w:val="24"/>
        </w:rPr>
        <w:tab/>
        <w:t>Cabe señalar, y se ha tenido presente en los trabajos de preparación de este decreto-ley</w:t>
      </w:r>
      <w:r>
        <w:rPr>
          <w:rStyle w:val="FootnoteReference"/>
          <w:b/>
          <w:bCs w:val="0"/>
          <w:i w:val="0"/>
          <w:iCs w:val="0"/>
          <w:szCs w:val="24"/>
        </w:rPr>
        <w:footnoteReference w:id="4"/>
      </w:r>
      <w:r>
        <w:rPr>
          <w:b w:val="0"/>
          <w:bCs w:val="0"/>
          <w:i w:val="0"/>
          <w:iCs w:val="0"/>
          <w:sz w:val="24"/>
        </w:rPr>
        <w:t>, que el Gobierno de Portugal ha seguido fielmente las recomendaciones que figuran en los textos internacionales, entre otros el Código de Conducta antes mencionado, los Principios rectores con miras a una aplicación eficaz del Código de Conducta para funcionarios encargados de hacer cumplir la ley y en particular los Principios Básicos sobre el Empleo de la Fuerza y de Armas de Fuego por los Funcionarios Encargados de Hacer Cumplir la Ley, adoptados por el Octavo Congreso de las Naciones Unidas sobre Prevención del Delito y Tratamiento del Delincuente (1990).</w:t>
      </w:r>
    </w:p>
    <w:p w:rsidR="00000000" w:rsidRDefault="00000000">
      <w:pPr>
        <w:autoSpaceDE w:val="0"/>
        <w:autoSpaceDN w:val="0"/>
        <w:adjustRightInd w:val="0"/>
        <w:spacing w:after="240"/>
      </w:pPr>
      <w:r>
        <w:t>184.</w:t>
      </w:r>
      <w:r>
        <w:tab/>
        <w:t>Hay que decir que tanto la GNR como la PSP tienen sus reglamentos internos que regulan el uso de los medios coercitivos, en particular de las armas de fuego, por los agentes de policía.</w:t>
      </w:r>
    </w:p>
    <w:p w:rsidR="00000000" w:rsidRDefault="00000000">
      <w:pPr>
        <w:autoSpaceDE w:val="0"/>
        <w:autoSpaceDN w:val="0"/>
        <w:adjustRightInd w:val="0"/>
        <w:spacing w:after="240"/>
      </w:pPr>
      <w:r>
        <w:t>185.</w:t>
      </w:r>
      <w:r>
        <w:tab/>
        <w:t>Conviene añadir también que es obligatorio redactar un informe y realizar sistemáticamente una indagación cuando el uso de un arma de fuego por un agente de la policía ha tenido como consecuencia la muerte o una lesión corporal en una persona.  A todas horas del día y de la noche se procede a inspecciones sistemáticas, sin previo aviso, en los puestos de policía de todo el territorio continental y de las islas con el objeto, entre otras cosas, de verificar la correcta aplicación de la ley en lo que respecta a los detenidos (registro, comunicaciones al ministerio público, condiciones sanitarias, asistencia médica, etc.) así como los locales de detención, como se ha descrito (se trata de las visitas organizadas por la IGAI).  Asimismo, en los lugares visibles de todos los puestos de policía se colocan carteles en diversos idiomas, en que se enumeran los derechos y deberes de todos los detenidos; se verifica también la aplicación de las disposiciones que garantizan al detenido el derecho a recibir la asistencia de un abogado en privado, a recibir atención médica y disponer de un intérprete.  Por último, respetando siempre las disposiciones legales en materia de protección de los datos personales, se están instalando progresivamente dispositivos de vigilancia audiovisual, tanto en el interior como en el exterior de los puestos de policía, y el material grabado se analiza ulteriormente.</w:t>
      </w:r>
    </w:p>
    <w:p w:rsidR="00000000" w:rsidRDefault="00000000">
      <w:pPr>
        <w:autoSpaceDE w:val="0"/>
        <w:autoSpaceDN w:val="0"/>
        <w:adjustRightInd w:val="0"/>
        <w:spacing w:after="240"/>
      </w:pPr>
      <w:r>
        <w:t>186.</w:t>
      </w:r>
      <w:r>
        <w:tab/>
        <w:t>Las autoridades fomentan sistemáticamente las mejores prácticas en lo referente al respeto los derechos humanos y la eliminación de los malos tratos por la policía, por medio de los instrumentos y materiales disponibles (formación inicial y permanente, teórica y práctica;  organización de seminarios, difusión de diversos textos y manuales provenientes de organizaciones internacionales que tratan por ejemplo de la formación en la esfera de los derechos humanos y de los derechos humanos y la aplicación de la ley).</w:t>
      </w:r>
    </w:p>
    <w:p w:rsidR="00000000" w:rsidRDefault="00000000">
      <w:pPr>
        <w:autoSpaceDE w:val="0"/>
        <w:autoSpaceDN w:val="0"/>
        <w:adjustRightInd w:val="0"/>
        <w:spacing w:after="240"/>
      </w:pPr>
      <w:r>
        <w:t>187.</w:t>
      </w:r>
      <w:r>
        <w:tab/>
        <w:t>Todas las instituciones de adiestramiento de las fuerzas de policía prevén, en sus programas, una formación sobre los derechos humanos, en que se insiste categóricamente en la moderación en el uso de las armas de fuego.  La formación se administra a todos los niveles:  para el acceso y la promoción; a los oficiales y los agentes; capacitación inicial y permanente, teórica y práctica, con hincapié en el aspecto jurídico, sociológico o político.  El período de formación obligatoria varía entre 15 y 30 horas.</w:t>
      </w:r>
    </w:p>
    <w:p w:rsidR="00000000" w:rsidRDefault="00000000">
      <w:pPr>
        <w:autoSpaceDE w:val="0"/>
        <w:autoSpaceDN w:val="0"/>
        <w:adjustRightInd w:val="0"/>
        <w:spacing w:after="240"/>
      </w:pPr>
      <w:r>
        <w:t>188.</w:t>
      </w:r>
      <w:r>
        <w:tab/>
        <w:t>El Servicio de Extranjeros y Fronteras, tanto en el marco de la formación inicial (un curso de diez horas de antropología cultural, destinado a proporcionar elementos de comprensión de la diferencia cultural y a prevenir las actitudes racistas y xenófobas), como de la formación permanente (participación en seminarios), ha abordado la prohibición de la tortura, los malos tratos y la discriminación racial.</w:t>
      </w:r>
    </w:p>
    <w:p w:rsidR="00000000" w:rsidRDefault="00000000">
      <w:pPr>
        <w:autoSpaceDE w:val="0"/>
        <w:autoSpaceDN w:val="0"/>
        <w:adjustRightInd w:val="0"/>
        <w:spacing w:after="240"/>
      </w:pPr>
      <w:r>
        <w:t>189.</w:t>
      </w:r>
      <w:r>
        <w:tab/>
        <w:t>El Consejo Consultivo para la Formación de las Fuerzas y Servicios de Seguridad, creado por resolución Nº 78/98 del Consejo de Ministros, de 7 de junio, es un órgano de apoyo y consulta del Ministro de Administración Interior, al que corresponde pronunciarse sobre todas las cuestiones relacionadas con la formación de las fuerzas y servicios de seguridad.  Entre sus logros, se ha impartido formación directa y a distancia en las siguiente esferas:  armas de fuego, prohibición de la tortura, malos tratos y discriminación racial, inmigración y minorías étnicas.  El Consejo Consultivo, en colaboración con el Alto Comisionado para la Inmigración y las Minorías Étnicas, ha organizado unos encuentros sobre la mediación policial en las minorías étnicas, en los que ya han participado 400 miembros de la Policía de Seguridad Pública y de la Guardia Nacional Republicana.</w:t>
      </w:r>
    </w:p>
    <w:p w:rsidR="00000000" w:rsidRDefault="00000000">
      <w:pPr>
        <w:autoSpaceDE w:val="0"/>
        <w:autoSpaceDN w:val="0"/>
        <w:adjustRightInd w:val="0"/>
        <w:spacing w:after="240"/>
      </w:pPr>
      <w:r>
        <w:t>190.</w:t>
      </w:r>
      <w:r>
        <w:tab/>
        <w:t>La Policía de Seguridad Pública, en el marco de su programa de formación continua, lanzó en 2003 una nueva modalidad de formación permanente, a saber, un curso de una duración aproximada de 70 horas, al que asistieron aproximadamente 7.000 policías y agentes, y en que se imparte formación sobre manejo de armas de fuego, técnicas de intervención policial y empleo de medios no letales.  Este curso trata asimismo de las circunstancias en que pueden emplearse los distintos medios coercitivos.</w:t>
      </w:r>
    </w:p>
    <w:p w:rsidR="00000000" w:rsidRDefault="00000000">
      <w:pPr>
        <w:autoSpaceDE w:val="0"/>
        <w:autoSpaceDN w:val="0"/>
        <w:adjustRightInd w:val="0"/>
        <w:spacing w:after="240"/>
      </w:pPr>
      <w:r>
        <w:t>191.</w:t>
      </w:r>
      <w:r>
        <w:tab/>
        <w:t>La Guardia Nacional Republicana, por su parte, en el marco de la formación continua, trata de la ética profesional (en particular, el módulo sobre los derechos fundamentales) y el entorno social (en particular, el módulo sobre los inmigrantes y a las minorías étnicas).</w:t>
      </w:r>
    </w:p>
    <w:p w:rsidR="00000000" w:rsidRDefault="00000000">
      <w:pPr>
        <w:autoSpaceDE w:val="0"/>
        <w:autoSpaceDN w:val="0"/>
        <w:adjustRightInd w:val="0"/>
        <w:spacing w:after="240"/>
        <w:ind w:left="360" w:hanging="360"/>
        <w:jc w:val="center"/>
        <w:rPr>
          <w:b/>
        </w:rPr>
      </w:pPr>
      <w:r>
        <w:rPr>
          <w:b/>
        </w:rPr>
        <w:t>E.  Los abusos cometidos por las fuerzas del orden:  datos del Fiscal</w:t>
      </w:r>
      <w:r>
        <w:rPr>
          <w:b/>
        </w:rPr>
        <w:br/>
        <w:t>General de la República</w:t>
      </w:r>
    </w:p>
    <w:p w:rsidR="00000000" w:rsidRDefault="00000000">
      <w:pPr>
        <w:autoSpaceDE w:val="0"/>
        <w:autoSpaceDN w:val="0"/>
        <w:adjustRightInd w:val="0"/>
        <w:spacing w:after="240"/>
      </w:pPr>
      <w:r>
        <w:t>192.</w:t>
      </w:r>
      <w:r>
        <w:tab/>
        <w:t>Acaban de presentarse los datos acerca de la IGAI (párr. 132, pág. 50).  Estos datos se encuentran en los informes de la IGAI para los años 1999, 2000, 2001, 2002 y  2003.  En los anexos al presente informe</w:t>
      </w:r>
      <w:r>
        <w:rPr>
          <w:rStyle w:val="FootnoteReference"/>
          <w:bCs/>
        </w:rPr>
        <w:footnoteReference w:customMarkFollows="1" w:id="5"/>
        <w:t>*</w:t>
      </w:r>
      <w:r>
        <w:t xml:space="preserve"> figuran cifras detalladas acerca de las quejas presentadas ante la IGAI entre 1998 y 2003, inclusive.  Conviene también mencionar, en aras de una mayor exhaustividad, las cifras de la Fiscalía General de la República.</w:t>
      </w:r>
    </w:p>
    <w:p w:rsidR="00000000" w:rsidRDefault="00000000">
      <w:pPr>
        <w:autoSpaceDE w:val="0"/>
        <w:autoSpaceDN w:val="0"/>
        <w:adjustRightInd w:val="0"/>
        <w:spacing w:after="240"/>
      </w:pPr>
      <w:r>
        <w:t>193.</w:t>
      </w:r>
      <w:r>
        <w:tab/>
        <w:t>No obstante, en la mayoría de los casos los datos de ambas instituciones no coinciden:  las cifras de la IGAI se refieren a las fuerzas del orden que dependen del Ministerio del Interior, mientras que las de la Fiscalía General de la República se refieren eventualmente a las fuerzas del orden que están fuera del ámbito de intervención del Ministerio del Interior.  Además, los casos de violencia familiar no aparecen en los cuadros que figuran en el anexo</w:t>
      </w:r>
      <w:r>
        <w:rPr>
          <w:b/>
          <w:bCs/>
          <w:vertAlign w:val="superscript"/>
        </w:rPr>
        <w:t>*</w:t>
      </w:r>
      <w:r>
        <w:t>:  en efecto, se ha considerado que la violencia doméstica no forma parte de los delitos cometidos en ejercicio de la autoridad.  Por último, en lo que respecta a la fuente de información de estos hechos, los datos provienen, en la mayor parte de los casos, de comunicaciones individuales de los magistrados que tienen conocimiento de ellos en la Fiscalía General de la República.  La IGAI, por su parte, utiliza diversas fuentes distintas (una de ellas es la fiscalía, según lo dispuesto en la circular Nº 4/98 antes mencionada) que superan el ámbito de la fiscalía.  Asimismo, los posibles retrasos en las comunicaciones pueden suponer un cambio eventual de la realidad de los hechos para cada uno de los años considerados, y los datos de los años pasados son más fiables porque están consolidados en el tiempo.  De todas maneras, como ofrecen una perspectiva interesante, conviene presentarlas, sin muchos comentarios, para permitir un mejor análisis por parte del Comité.</w:t>
      </w:r>
    </w:p>
    <w:p w:rsidR="00000000" w:rsidRDefault="00000000">
      <w:pPr>
        <w:autoSpaceDE w:val="0"/>
        <w:autoSpaceDN w:val="0"/>
        <w:adjustRightInd w:val="0"/>
        <w:spacing w:after="240"/>
        <w:jc w:val="center"/>
        <w:rPr>
          <w:b/>
        </w:rPr>
      </w:pPr>
      <w:r>
        <w:rPr>
          <w:b/>
        </w:rPr>
        <w:t>F.  Derecho a presentar una queja</w:t>
      </w:r>
    </w:p>
    <w:p w:rsidR="00000000" w:rsidRDefault="00000000">
      <w:pPr>
        <w:autoSpaceDE w:val="0"/>
        <w:autoSpaceDN w:val="0"/>
        <w:adjustRightInd w:val="0"/>
        <w:spacing w:after="240"/>
      </w:pPr>
      <w:r>
        <w:t>194.</w:t>
      </w:r>
      <w:r>
        <w:tab/>
        <w:t xml:space="preserve">El derecho a presentar una queja deriva naturalmente de todo lo dicho (véanse las secciones referentes a la vigilancia de las condiciones de detención y las quejas y denuncias tratadas por la IGAI, así como las cifras de la Fiscalía General de la República presentadas en el anexo).  Se puede presentar una queja sobre cualquier servicio encargado de la seguridad interna; este derecho deriva, en particular, de lo dispuesto en el párrafo </w:t>
      </w:r>
      <w:r>
        <w:rPr>
          <w:iCs/>
        </w:rPr>
        <w:t>d)</w:t>
      </w:r>
      <w:r>
        <w:t xml:space="preserve"> del artículo 3 del Decreto-ley Nº 227/95, de 11 de septiembre, por el que se crea la Inspección General de la Administración del Interior; en él se precisa que incumbe a la IGAI examinar las quejas, reclamaciones y denuncias presentadas por posibles violaciones de la legalidad y, en general, por posibles dudas en relación con un funcionamiento irregular o deficiente de los servicios (véase también el inciso D.3 a) de este informe).  Cualquier ciudadano puede presentar una queja ante la IGAI, y ésta iniciará el proceso de inspección que se ha descrito.</w:t>
      </w:r>
    </w:p>
    <w:p w:rsidR="00000000" w:rsidRDefault="00000000">
      <w:pPr>
        <w:autoSpaceDE w:val="0"/>
        <w:autoSpaceDN w:val="0"/>
        <w:adjustRightInd w:val="0"/>
        <w:spacing w:after="240"/>
      </w:pPr>
      <w:r>
        <w:t>195.</w:t>
      </w:r>
      <w:r>
        <w:tab/>
        <w:t>También existe, naturalmente, el derecho a presentar una queja al ministerio público, al Fiscal General de la República y al Mediador.  De hecho, en virtud de esta queja, éstos pueden iniciar también obtener una intervención de la IGAI.  Con arreglo a lo dispuesto en la circular Nº 4/98, que ordena a todos los magistrados de la fiscalía que comuniquen los hechos que impliquen la posible responsabilidad de las fuerzas del orden, el fiscal somete a la IGAI cada uno de estos hechos.  El Mediador también puede remitir recomendaciones a la administración pública.  La fiscalía puede asimismo iniciar la acción penal.</w:t>
      </w:r>
    </w:p>
    <w:p w:rsidR="00000000" w:rsidRDefault="00000000">
      <w:pPr>
        <w:autoSpaceDE w:val="0"/>
        <w:autoSpaceDN w:val="0"/>
        <w:adjustRightInd w:val="0"/>
        <w:spacing w:after="240"/>
      </w:pPr>
      <w:r>
        <w:t>196.</w:t>
      </w:r>
      <w:r>
        <w:tab/>
        <w:t>No conviene olvidar tampoco la posibilidad de plantear una queja ante las organizaciones internacionales, como el Comité de Derechos Humanos, en el marco del mecanismo de presentación de quejas del Protocolo Facultativo del Pacto Internacional de Derechos Civiles y Políticos, del Comité para la Prevención de la Tortura del Consejo de Europa o de la Corte Europea de Derechos Humanos.</w:t>
      </w:r>
    </w:p>
    <w:p w:rsidR="00000000" w:rsidRDefault="00000000">
      <w:pPr>
        <w:autoSpaceDE w:val="0"/>
        <w:autoSpaceDN w:val="0"/>
        <w:adjustRightInd w:val="0"/>
        <w:spacing w:after="480"/>
      </w:pPr>
      <w:r>
        <w:t>197.</w:t>
      </w:r>
      <w:r>
        <w:tab/>
        <w:t>Por lo que respecta a las cifras relativas a las quejas y a los posibles abusos cometidos por las fuerzas de policía, remitimos a las secciones anteriores de este informe, en que se han presentado estas cifras, así como a los diversos anexos estadísticos disponibles en la secretaría del Comité contra la Tortura.</w:t>
      </w:r>
    </w:p>
    <w:p w:rsidR="00000000" w:rsidRDefault="00000000">
      <w:pPr>
        <w:autoSpaceDE w:val="0"/>
        <w:autoSpaceDN w:val="0"/>
        <w:adjustRightInd w:val="0"/>
        <w:spacing w:after="240"/>
        <w:jc w:val="center"/>
        <w:rPr>
          <w:b/>
        </w:rPr>
      </w:pPr>
      <w:r>
        <w:rPr>
          <w:b/>
        </w:rPr>
        <w:t>IV.  EL SISTEMA PENITENCIARIO DE PORTUGAL</w:t>
      </w:r>
    </w:p>
    <w:p w:rsidR="00000000" w:rsidRDefault="00000000">
      <w:pPr>
        <w:autoSpaceDE w:val="0"/>
        <w:autoSpaceDN w:val="0"/>
        <w:adjustRightInd w:val="0"/>
        <w:spacing w:after="240"/>
      </w:pPr>
      <w:r>
        <w:t>198.</w:t>
      </w:r>
      <w:r>
        <w:tab/>
        <w:t>En el capítulo IV se abordará el sistema penitenciario de Portugal, pues se trata de presentar la articulación entre el sistema basado en la actividad del Instituto de Reinserción Social y el sistema penitenciario tradicional.  El sistema penitenciario se compone del Instituto de Reinserción Social y de los servicios encargados de aplicar las medidas de privación de libertad.</w:t>
      </w:r>
    </w:p>
    <w:p w:rsidR="00000000" w:rsidRDefault="00000000">
      <w:pPr>
        <w:autoSpaceDE w:val="0"/>
        <w:autoSpaceDN w:val="0"/>
        <w:adjustRightInd w:val="0"/>
        <w:spacing w:after="240"/>
        <w:jc w:val="center"/>
        <w:rPr>
          <w:b/>
        </w:rPr>
      </w:pPr>
      <w:r>
        <w:rPr>
          <w:b/>
        </w:rPr>
        <w:t>A.  Instituto de Reinserción Social y los centros educativos</w:t>
      </w:r>
    </w:p>
    <w:p w:rsidR="00000000" w:rsidRDefault="00000000">
      <w:pPr>
        <w:autoSpaceDE w:val="0"/>
        <w:autoSpaceDN w:val="0"/>
        <w:adjustRightInd w:val="0"/>
        <w:spacing w:after="240"/>
      </w:pPr>
      <w:r>
        <w:t>199.</w:t>
      </w:r>
      <w:r>
        <w:tab/>
        <w:t>El principal objetivo del Instituto es introducir en el sistema penitenciario medidas sustitutivas de la privación de libertad.  El Instituto existe desde hace tiempo, y su ley orgánica más reciente data de 2001 y fue introducida por el Decreto-ley Nº 204-A/2001, de 26 de julio.  En virtud de lo dispuesto en el artículo 2 de esta ley, el Instituto es el órgano auxiliar de la administración de justicia responsable de las políticas de prevención del delito y de reinserción social, sobre todo en las esferas de la prevención de la delincuencia juvenil, las medidas tutelares educativas y de la promoción de medidas penales sustitutivas de la prisión.</w:t>
      </w:r>
    </w:p>
    <w:p w:rsidR="00000000" w:rsidRDefault="00000000">
      <w:pPr>
        <w:autoSpaceDE w:val="0"/>
        <w:autoSpaceDN w:val="0"/>
        <w:adjustRightInd w:val="0"/>
        <w:spacing w:after="240"/>
      </w:pPr>
      <w:r>
        <w:t>200.</w:t>
      </w:r>
      <w:r>
        <w:tab/>
        <w:t>Las medidas de prevención criminal en que participa el Instituto apuntan a limitar la posibilidad de comisión de delitos, al contribuir de manera simultánea al desarrollo social.  Otro objetivo del Instituto es garantizar el apoyo técnico a los tribunales en el marco de la jurisdicción de la familia.</w:t>
      </w:r>
    </w:p>
    <w:p w:rsidR="00000000" w:rsidRDefault="00000000">
      <w:pPr>
        <w:autoSpaceDE w:val="0"/>
        <w:autoSpaceDN w:val="0"/>
        <w:adjustRightInd w:val="0"/>
        <w:spacing w:after="240"/>
      </w:pPr>
      <w:r>
        <w:t>201.</w:t>
      </w:r>
      <w:r>
        <w:tab/>
        <w:t>Las atribuciones del Instituto de Reinserción Social son las siguientes:</w:t>
      </w:r>
    </w:p>
    <w:p w:rsidR="00000000" w:rsidRDefault="00000000">
      <w:pPr>
        <w:autoSpaceDE w:val="0"/>
        <w:autoSpaceDN w:val="0"/>
        <w:adjustRightInd w:val="0"/>
        <w:spacing w:after="240"/>
        <w:ind w:left="1134" w:hanging="567"/>
      </w:pPr>
      <w:r>
        <w:t>a)</w:t>
      </w:r>
      <w:r>
        <w:tab/>
        <w:t>Contribuir a definir la política penal, en particular en los ámbitos de la reintegración social de los jóvenes y los adultos, y prevenir la delincuencia;</w:t>
      </w:r>
    </w:p>
    <w:p w:rsidR="00000000" w:rsidRDefault="00000000">
      <w:pPr>
        <w:autoSpaceDE w:val="0"/>
        <w:autoSpaceDN w:val="0"/>
        <w:adjustRightInd w:val="0"/>
        <w:spacing w:after="240"/>
        <w:ind w:left="1134" w:hanging="567"/>
      </w:pPr>
      <w:r>
        <w:t>b)</w:t>
      </w:r>
      <w:r>
        <w:tab/>
        <w:t>Garantizar, en virtud de lo dispuesto en la ley, el apoyo técnico a los tribunales en la adopción de decisiones, en el marco de los procesos penales y tutelares educativos, y de los procesos tutelares civiles;</w:t>
      </w:r>
    </w:p>
    <w:p w:rsidR="00000000" w:rsidRDefault="00000000">
      <w:pPr>
        <w:autoSpaceDE w:val="0"/>
        <w:autoSpaceDN w:val="0"/>
        <w:adjustRightInd w:val="0"/>
        <w:spacing w:after="240"/>
        <w:ind w:left="1134" w:hanging="567"/>
      </w:pPr>
      <w:r>
        <w:t>c)</w:t>
      </w:r>
      <w:r>
        <w:tab/>
        <w:t>Garantizar, en virtud de lo dispuesto en la ley, la aplicación de las penas y medidas sustitutivas de la pena de prisión, incluidas la libertad condicional y la libertad por la prueba;</w:t>
      </w:r>
    </w:p>
    <w:p w:rsidR="00000000" w:rsidRDefault="00000000">
      <w:pPr>
        <w:autoSpaceDE w:val="0"/>
        <w:autoSpaceDN w:val="0"/>
        <w:adjustRightInd w:val="0"/>
        <w:spacing w:after="240"/>
        <w:ind w:left="1134" w:hanging="567"/>
      </w:pPr>
      <w:r>
        <w:t>e)</w:t>
      </w:r>
      <w:r>
        <w:tab/>
        <w:t>Participar en programas y actividades de prevención del delito, en particular en el ámbito de la delincuencia juvenil;</w:t>
      </w:r>
    </w:p>
    <w:p w:rsidR="00000000" w:rsidRDefault="00000000">
      <w:pPr>
        <w:autoSpaceDE w:val="0"/>
        <w:autoSpaceDN w:val="0"/>
        <w:adjustRightInd w:val="0"/>
        <w:spacing w:after="240"/>
        <w:ind w:left="1134" w:hanging="567"/>
      </w:pPr>
      <w:r>
        <w:t>f)</w:t>
      </w:r>
      <w:r>
        <w:tab/>
        <w:t>Garantizar la gestión de los centros educativos de menores y de otros servicios y programas de apoyo a la reintegración social de los jóvenes y adultos;</w:t>
      </w:r>
    </w:p>
    <w:p w:rsidR="00000000" w:rsidRDefault="00000000">
      <w:pPr>
        <w:autoSpaceDE w:val="0"/>
        <w:autoSpaceDN w:val="0"/>
        <w:adjustRightInd w:val="0"/>
        <w:spacing w:after="240"/>
        <w:ind w:left="1134" w:hanging="567"/>
      </w:pPr>
      <w:r>
        <w:t>g)</w:t>
      </w:r>
      <w:r>
        <w:tab/>
        <w:t>Promover la formación especializada de sus funcionarios;</w:t>
      </w:r>
    </w:p>
    <w:p w:rsidR="00000000" w:rsidRDefault="00000000">
      <w:pPr>
        <w:autoSpaceDE w:val="0"/>
        <w:autoSpaceDN w:val="0"/>
        <w:adjustRightInd w:val="0"/>
        <w:spacing w:after="240"/>
        <w:ind w:left="1134" w:hanging="567"/>
      </w:pPr>
      <w:r>
        <w:t>h)</w:t>
      </w:r>
      <w:r>
        <w:tab/>
        <w:t>Asegurar las relaciones con organismos similares en el extranjero y con las organizaciones internacionales que tengan objetivos específicamente relacionados con sus funciones, sin perjuicio de la coordinación con la Oficina para las Relaciones Internacionales, Europeas y de Cooperación del Ministerio de Justicia;</w:t>
      </w:r>
    </w:p>
    <w:p w:rsidR="00000000" w:rsidRDefault="00000000">
      <w:pPr>
        <w:autoSpaceDE w:val="0"/>
        <w:autoSpaceDN w:val="0"/>
        <w:adjustRightInd w:val="0"/>
        <w:spacing w:after="240"/>
        <w:ind w:left="1134" w:hanging="567"/>
      </w:pPr>
      <w:r>
        <w:t>i)</w:t>
      </w:r>
      <w:r>
        <w:tab/>
        <w:t>Contribuir, en el marco de sus objetivos y atribuciones, a la redacción de instrumentos de cooperación judicial internacional y garantizar los procedimientos resultantes de las convenciones en que el Instituto es autoridad central;</w:t>
      </w:r>
    </w:p>
    <w:p w:rsidR="00000000" w:rsidRDefault="00000000">
      <w:pPr>
        <w:autoSpaceDE w:val="0"/>
        <w:autoSpaceDN w:val="0"/>
        <w:adjustRightInd w:val="0"/>
        <w:spacing w:after="240"/>
        <w:ind w:left="1134" w:hanging="567"/>
      </w:pPr>
      <w:r>
        <w:t>j)</w:t>
      </w:r>
      <w:r>
        <w:tab/>
        <w:t>Contribuir a una mayor participación de la comunidad en la administración de la justicia penal y tutelar educativa, sobre todo por la cooperación con las demás instituciones públicas y privadas y con los ciudadanos y grupos de voluntarios que persiguen objetivos de prevención criminal y de reinserción social de los jóvenes y de los adultos;</w:t>
      </w:r>
    </w:p>
    <w:p w:rsidR="00000000" w:rsidRDefault="00000000">
      <w:pPr>
        <w:autoSpaceDE w:val="0"/>
        <w:autoSpaceDN w:val="0"/>
        <w:adjustRightInd w:val="0"/>
        <w:spacing w:after="240"/>
        <w:ind w:left="1134" w:hanging="567"/>
      </w:pPr>
      <w:r>
        <w:t>k)</w:t>
      </w:r>
      <w:r>
        <w:tab/>
        <w:t>Llevar a la práctica otras atribuciones que le confiere la ley.</w:t>
      </w:r>
    </w:p>
    <w:p w:rsidR="00000000" w:rsidRDefault="00000000">
      <w:pPr>
        <w:autoSpaceDE w:val="0"/>
        <w:autoSpaceDN w:val="0"/>
        <w:adjustRightInd w:val="0"/>
        <w:spacing w:after="240"/>
      </w:pPr>
      <w:r>
        <w:t>202.</w:t>
      </w:r>
      <w:r>
        <w:tab/>
        <w:t>Entre otros órganos, el Instituto consta de un consejo superior de reinserción social que tiene por objeto velar por que, en el marco de la ley y las atribuciones de supervisión y tutela del Ministerio de Justicia, los servicios del Instituto den una respuesta adecuada a las necesidades de los demás organismos de los sistemas penal y tutelar educativo (art. 9).  Las atribuciones del Consejo son las siguientes:</w:t>
      </w:r>
    </w:p>
    <w:p w:rsidR="00000000" w:rsidRDefault="00000000">
      <w:pPr>
        <w:autoSpaceDE w:val="0"/>
        <w:autoSpaceDN w:val="0"/>
        <w:adjustRightInd w:val="0"/>
        <w:spacing w:after="240"/>
        <w:ind w:left="1134" w:hanging="567"/>
      </w:pPr>
      <w:r>
        <w:t>a)</w:t>
      </w:r>
      <w:r>
        <w:tab/>
        <w:t>Completar la actividad del Instituto, sobre todo mediante la evaluación de los instrumentos de gestión provisional y de las medidas iniciadas;</w:t>
      </w:r>
    </w:p>
    <w:p w:rsidR="00000000" w:rsidRDefault="00000000">
      <w:pPr>
        <w:autoSpaceDE w:val="0"/>
        <w:autoSpaceDN w:val="0"/>
        <w:adjustRightInd w:val="0"/>
        <w:spacing w:after="240"/>
        <w:ind w:left="1134" w:hanging="567"/>
      </w:pPr>
      <w:r>
        <w:t>b)</w:t>
      </w:r>
      <w:r>
        <w:tab/>
        <w:t>Presentar propuestas que tengan por objeto mejorar la respuesta de los servicios del Instituto a las necesidades de los tribunales, del ministerio público y de los demás organismos que participan en el sistema penal y tutelar;</w:t>
      </w:r>
    </w:p>
    <w:p w:rsidR="00000000" w:rsidRDefault="00000000">
      <w:pPr>
        <w:autoSpaceDE w:val="0"/>
        <w:autoSpaceDN w:val="0"/>
        <w:adjustRightInd w:val="0"/>
        <w:spacing w:after="240"/>
        <w:ind w:left="1134" w:hanging="567"/>
      </w:pPr>
      <w:r>
        <w:t>c)</w:t>
      </w:r>
      <w:r>
        <w:tab/>
        <w:t>Presentar propuestas relativas a la actividad desarrollada por los servicios del Instituto en el marco de las medidas tutelares civiles;</w:t>
      </w:r>
    </w:p>
    <w:p w:rsidR="00000000" w:rsidRDefault="00000000">
      <w:pPr>
        <w:autoSpaceDE w:val="0"/>
        <w:autoSpaceDN w:val="0"/>
        <w:adjustRightInd w:val="0"/>
        <w:spacing w:after="240"/>
        <w:ind w:left="1134" w:hanging="567"/>
      </w:pPr>
      <w:r>
        <w:t>d)</w:t>
      </w:r>
      <w:r>
        <w:tab/>
        <w:t>Pronunciarse sobre cualquier otro tema que, en el marco de sus atribuciones, le presente el Presidente.</w:t>
      </w:r>
    </w:p>
    <w:p w:rsidR="00000000" w:rsidRDefault="00000000">
      <w:pPr>
        <w:autoSpaceDE w:val="0"/>
        <w:autoSpaceDN w:val="0"/>
        <w:adjustRightInd w:val="0"/>
        <w:spacing w:after="240"/>
      </w:pPr>
      <w:r>
        <w:t>203.</w:t>
      </w:r>
      <w:r>
        <w:tab/>
        <w:t>La composición del Consejo es la siguiente:</w:t>
      </w:r>
    </w:p>
    <w:p w:rsidR="00000000" w:rsidRDefault="00000000">
      <w:pPr>
        <w:autoSpaceDE w:val="0"/>
        <w:autoSpaceDN w:val="0"/>
        <w:adjustRightInd w:val="0"/>
        <w:spacing w:after="240"/>
        <w:ind w:left="1134" w:hanging="567"/>
      </w:pPr>
      <w:r>
        <w:t>a)</w:t>
      </w:r>
      <w:r>
        <w:tab/>
        <w:t>Un representante del Ministerio de Justicia, que preside;</w:t>
      </w:r>
    </w:p>
    <w:p w:rsidR="00000000" w:rsidRDefault="00000000">
      <w:pPr>
        <w:autoSpaceDE w:val="0"/>
        <w:autoSpaceDN w:val="0"/>
        <w:adjustRightInd w:val="0"/>
        <w:spacing w:after="240"/>
        <w:ind w:left="1134" w:hanging="567"/>
      </w:pPr>
      <w:r>
        <w:t>b)</w:t>
      </w:r>
      <w:r>
        <w:tab/>
        <w:t>Un magistrado, designado por el Consejo Superior de la Magistratura;</w:t>
      </w:r>
    </w:p>
    <w:p w:rsidR="00000000" w:rsidRDefault="00000000">
      <w:pPr>
        <w:autoSpaceDE w:val="0"/>
        <w:autoSpaceDN w:val="0"/>
        <w:adjustRightInd w:val="0"/>
        <w:spacing w:after="240"/>
        <w:ind w:left="1134" w:hanging="567"/>
      </w:pPr>
      <w:r>
        <w:t>c)</w:t>
      </w:r>
      <w:r>
        <w:tab/>
        <w:t>Un magistrado del ministerio público, designado por el Consejo Superior del Ministerio Público;</w:t>
      </w:r>
    </w:p>
    <w:p w:rsidR="00000000" w:rsidRDefault="00000000">
      <w:pPr>
        <w:autoSpaceDE w:val="0"/>
        <w:autoSpaceDN w:val="0"/>
        <w:adjustRightInd w:val="0"/>
        <w:spacing w:after="240"/>
        <w:ind w:left="1134" w:hanging="567"/>
      </w:pPr>
      <w:r>
        <w:t>d)</w:t>
      </w:r>
      <w:r>
        <w:tab/>
        <w:t>Un abogado, designado por el colegio de abogados;</w:t>
      </w:r>
    </w:p>
    <w:p w:rsidR="00000000" w:rsidRDefault="00000000">
      <w:pPr>
        <w:autoSpaceDE w:val="0"/>
        <w:autoSpaceDN w:val="0"/>
        <w:adjustRightInd w:val="0"/>
        <w:spacing w:after="240"/>
        <w:ind w:left="1134" w:hanging="567"/>
      </w:pPr>
      <w:r>
        <w:t>e)</w:t>
      </w:r>
      <w:r>
        <w:tab/>
        <w:t>Un representante de la policía judicial, como mínimo, de nivel de Director General Adjunto;</w:t>
      </w:r>
    </w:p>
    <w:p w:rsidR="00000000" w:rsidRDefault="00000000">
      <w:pPr>
        <w:autoSpaceDE w:val="0"/>
        <w:autoSpaceDN w:val="0"/>
        <w:adjustRightInd w:val="0"/>
        <w:spacing w:after="240"/>
        <w:ind w:left="1134" w:hanging="567"/>
      </w:pPr>
      <w:r>
        <w:t>f)</w:t>
      </w:r>
      <w:r>
        <w:tab/>
        <w:t>Un representante de la Policía de Seguridad Pública, como mínimo, de nivel de superintendente jefe;</w:t>
      </w:r>
    </w:p>
    <w:p w:rsidR="00000000" w:rsidRDefault="00000000">
      <w:pPr>
        <w:autoSpaceDE w:val="0"/>
        <w:autoSpaceDN w:val="0"/>
        <w:adjustRightInd w:val="0"/>
        <w:spacing w:after="240"/>
        <w:ind w:left="1134" w:hanging="567"/>
      </w:pPr>
      <w:r>
        <w:t>g)</w:t>
      </w:r>
      <w:r>
        <w:tab/>
        <w:t>Un representante de la Guardia Nacional Republicana, como mínimo, de nivel de coronel;</w:t>
      </w:r>
    </w:p>
    <w:p w:rsidR="00000000" w:rsidRDefault="00000000">
      <w:pPr>
        <w:autoSpaceDE w:val="0"/>
        <w:autoSpaceDN w:val="0"/>
        <w:adjustRightInd w:val="0"/>
        <w:spacing w:after="240"/>
        <w:ind w:left="1134" w:hanging="567"/>
      </w:pPr>
      <w:r>
        <w:t>h)</w:t>
      </w:r>
      <w:r>
        <w:tab/>
        <w:t>Un representante de la Dirección General de Servicios Penitenciarios, como mínimo, de nivel de Subdirector General;</w:t>
      </w:r>
    </w:p>
    <w:p w:rsidR="00000000" w:rsidRDefault="00000000">
      <w:pPr>
        <w:autoSpaceDE w:val="0"/>
        <w:autoSpaceDN w:val="0"/>
        <w:adjustRightInd w:val="0"/>
        <w:spacing w:after="240"/>
        <w:ind w:left="1134" w:hanging="567"/>
      </w:pPr>
      <w:r>
        <w:t>i)</w:t>
      </w:r>
      <w:r>
        <w:tab/>
        <w:t>Un representante del miembro del Gobierno encargado de la droga y la toxicomanía;</w:t>
      </w:r>
    </w:p>
    <w:p w:rsidR="00000000" w:rsidRDefault="00000000">
      <w:pPr>
        <w:autoSpaceDE w:val="0"/>
        <w:autoSpaceDN w:val="0"/>
        <w:adjustRightInd w:val="0"/>
        <w:spacing w:after="240"/>
        <w:ind w:left="1134" w:hanging="567"/>
      </w:pPr>
      <w:r>
        <w:t>j)</w:t>
      </w:r>
      <w:r>
        <w:tab/>
        <w:t>El Presidente del Instituto;</w:t>
      </w:r>
    </w:p>
    <w:p w:rsidR="00000000" w:rsidRDefault="00000000">
      <w:pPr>
        <w:autoSpaceDE w:val="0"/>
        <w:autoSpaceDN w:val="0"/>
        <w:adjustRightInd w:val="0"/>
        <w:spacing w:after="240"/>
        <w:ind w:left="1134" w:hanging="567"/>
      </w:pPr>
      <w:r>
        <w:t>k)</w:t>
      </w:r>
      <w:r>
        <w:tab/>
        <w:t>Entre dos y cuatro dirigentes del Instituto, que designará el Presidente.</w:t>
      </w:r>
    </w:p>
    <w:p w:rsidR="00000000" w:rsidRDefault="00000000">
      <w:pPr>
        <w:autoSpaceDE w:val="0"/>
        <w:autoSpaceDN w:val="0"/>
        <w:adjustRightInd w:val="0"/>
        <w:spacing w:after="240"/>
        <w:rPr>
          <w:b/>
        </w:rPr>
      </w:pPr>
      <w:r>
        <w:rPr>
          <w:b/>
        </w:rPr>
        <w:t>Los centros educativos</w:t>
      </w:r>
    </w:p>
    <w:p w:rsidR="00000000" w:rsidRDefault="00000000">
      <w:pPr>
        <w:autoSpaceDE w:val="0"/>
        <w:autoSpaceDN w:val="0"/>
        <w:adjustRightInd w:val="0"/>
        <w:spacing w:after="240"/>
      </w:pPr>
      <w:r>
        <w:t>204.</w:t>
      </w:r>
      <w:r>
        <w:tab/>
        <w:t>Los servicios del Instituto de Reinserción Social en que se envía a los jóvenes que han cometido una infracción penal se llaman centros educativos.  Al 30 de abril de 2004, su ocupación era la siguiente.</w:t>
      </w:r>
    </w:p>
    <w:p w:rsidR="00000000" w:rsidRDefault="00000000">
      <w:pPr>
        <w:autoSpaceDE w:val="0"/>
        <w:autoSpaceDN w:val="0"/>
        <w:adjustRightInd w:val="0"/>
        <w:spacing w:after="240"/>
        <w:jc w:val="center"/>
        <w:rPr>
          <w:b/>
        </w:rPr>
      </w:pPr>
      <w:r>
        <w:rPr>
          <w:b/>
        </w:rPr>
        <w:t>Cuadro 2</w:t>
      </w:r>
    </w:p>
    <w:p w:rsidR="00000000" w:rsidRDefault="00000000">
      <w:pPr>
        <w:autoSpaceDE w:val="0"/>
        <w:autoSpaceDN w:val="0"/>
        <w:adjustRightInd w:val="0"/>
        <w:spacing w:after="240"/>
        <w:jc w:val="center"/>
        <w:rPr>
          <w:b/>
        </w:rPr>
      </w:pPr>
      <w:r>
        <w:rPr>
          <w:b/>
        </w:rPr>
        <w:t>Ocupación de los centros educativos (número de plazas por régimen)</w:t>
      </w:r>
    </w:p>
    <w:tbl>
      <w:tblPr>
        <w:tblW w:w="9360" w:type="dxa"/>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323"/>
        <w:gridCol w:w="1259"/>
        <w:gridCol w:w="1259"/>
        <w:gridCol w:w="1259"/>
        <w:gridCol w:w="1260"/>
      </w:tblGrid>
      <w:tr w:rsidR="00000000">
        <w:trPr>
          <w:tblHeader/>
          <w:jc w:val="center"/>
        </w:trPr>
        <w:tc>
          <w:tcPr>
            <w:tcW w:w="4323" w:type="dxa"/>
            <w:vAlign w:val="center"/>
          </w:tcPr>
          <w:p w:rsidR="00000000" w:rsidRDefault="00000000">
            <w:pPr>
              <w:jc w:val="center"/>
            </w:pPr>
            <w:r>
              <w:rPr>
                <w:bCs/>
              </w:rPr>
              <w:t>Centro educativo</w:t>
            </w:r>
          </w:p>
        </w:tc>
        <w:tc>
          <w:tcPr>
            <w:tcW w:w="1259" w:type="dxa"/>
            <w:vAlign w:val="center"/>
          </w:tcPr>
          <w:p w:rsidR="00000000" w:rsidRDefault="00000000">
            <w:pPr>
              <w:jc w:val="center"/>
            </w:pPr>
            <w:r>
              <w:t>Total</w:t>
            </w:r>
          </w:p>
        </w:tc>
        <w:tc>
          <w:tcPr>
            <w:tcW w:w="1259" w:type="dxa"/>
            <w:vAlign w:val="center"/>
          </w:tcPr>
          <w:p w:rsidR="00000000" w:rsidRDefault="00000000">
            <w:pPr>
              <w:jc w:val="center"/>
            </w:pPr>
            <w:r>
              <w:t>Régimen abierto</w:t>
            </w:r>
          </w:p>
        </w:tc>
        <w:tc>
          <w:tcPr>
            <w:tcW w:w="1259" w:type="dxa"/>
            <w:vAlign w:val="center"/>
          </w:tcPr>
          <w:p w:rsidR="00000000" w:rsidRDefault="00000000">
            <w:pPr>
              <w:jc w:val="center"/>
            </w:pPr>
            <w:r>
              <w:t>Régimen semiabierto</w:t>
            </w:r>
          </w:p>
        </w:tc>
        <w:tc>
          <w:tcPr>
            <w:tcW w:w="1260" w:type="dxa"/>
            <w:vAlign w:val="center"/>
          </w:tcPr>
          <w:p w:rsidR="00000000" w:rsidRDefault="00000000">
            <w:pPr>
              <w:jc w:val="center"/>
            </w:pPr>
            <w:r>
              <w:t>Régimen cerrado</w:t>
            </w:r>
          </w:p>
        </w:tc>
      </w:tr>
      <w:tr w:rsidR="00000000">
        <w:trPr>
          <w:jc w:val="center"/>
        </w:trPr>
        <w:tc>
          <w:tcPr>
            <w:tcW w:w="4323" w:type="dxa"/>
          </w:tcPr>
          <w:p w:rsidR="00000000" w:rsidRDefault="00000000">
            <w:r>
              <w:t>Navarro de Paiva</w:t>
            </w:r>
          </w:p>
        </w:tc>
        <w:tc>
          <w:tcPr>
            <w:tcW w:w="1259" w:type="dxa"/>
            <w:vAlign w:val="bottom"/>
          </w:tcPr>
          <w:p w:rsidR="00000000" w:rsidRDefault="00000000">
            <w:pPr>
              <w:tabs>
                <w:tab w:val="decimal" w:pos="748"/>
              </w:tabs>
            </w:pPr>
            <w:r>
              <w:t>24</w:t>
            </w:r>
          </w:p>
        </w:tc>
        <w:tc>
          <w:tcPr>
            <w:tcW w:w="1259" w:type="dxa"/>
            <w:vAlign w:val="bottom"/>
          </w:tcPr>
          <w:p w:rsidR="00000000" w:rsidRDefault="00000000">
            <w:pPr>
              <w:tabs>
                <w:tab w:val="decimal" w:pos="748"/>
              </w:tabs>
            </w:pPr>
          </w:p>
        </w:tc>
        <w:tc>
          <w:tcPr>
            <w:tcW w:w="1259" w:type="dxa"/>
            <w:vAlign w:val="bottom"/>
          </w:tcPr>
          <w:p w:rsidR="00000000" w:rsidRDefault="00000000">
            <w:pPr>
              <w:tabs>
                <w:tab w:val="decimal" w:pos="748"/>
              </w:tabs>
            </w:pPr>
            <w:r>
              <w:t>24</w:t>
            </w:r>
          </w:p>
        </w:tc>
        <w:tc>
          <w:tcPr>
            <w:tcW w:w="1260" w:type="dxa"/>
            <w:vAlign w:val="bottom"/>
          </w:tcPr>
          <w:p w:rsidR="00000000" w:rsidRDefault="00000000">
            <w:pPr>
              <w:tabs>
                <w:tab w:val="decimal" w:pos="748"/>
              </w:tabs>
            </w:pPr>
          </w:p>
        </w:tc>
      </w:tr>
      <w:tr w:rsidR="00000000">
        <w:trPr>
          <w:jc w:val="center"/>
        </w:trPr>
        <w:tc>
          <w:tcPr>
            <w:tcW w:w="4323" w:type="dxa"/>
          </w:tcPr>
          <w:p w:rsidR="00000000" w:rsidRDefault="00000000">
            <w:r>
              <w:t>Vila Fernando</w:t>
            </w:r>
          </w:p>
        </w:tc>
        <w:tc>
          <w:tcPr>
            <w:tcW w:w="1259" w:type="dxa"/>
            <w:vAlign w:val="bottom"/>
          </w:tcPr>
          <w:p w:rsidR="00000000" w:rsidRDefault="00000000">
            <w:pPr>
              <w:tabs>
                <w:tab w:val="decimal" w:pos="748"/>
              </w:tabs>
            </w:pPr>
            <w:r>
              <w:t>34</w:t>
            </w:r>
          </w:p>
        </w:tc>
        <w:tc>
          <w:tcPr>
            <w:tcW w:w="1259" w:type="dxa"/>
            <w:vAlign w:val="bottom"/>
          </w:tcPr>
          <w:p w:rsidR="00000000" w:rsidRDefault="00000000">
            <w:pPr>
              <w:tabs>
                <w:tab w:val="decimal" w:pos="748"/>
              </w:tabs>
            </w:pPr>
          </w:p>
        </w:tc>
        <w:tc>
          <w:tcPr>
            <w:tcW w:w="1259" w:type="dxa"/>
            <w:vAlign w:val="bottom"/>
          </w:tcPr>
          <w:p w:rsidR="00000000" w:rsidRDefault="00000000">
            <w:pPr>
              <w:tabs>
                <w:tab w:val="decimal" w:pos="748"/>
              </w:tabs>
            </w:pPr>
            <w:r>
              <w:t>24</w:t>
            </w:r>
          </w:p>
        </w:tc>
        <w:tc>
          <w:tcPr>
            <w:tcW w:w="1260" w:type="dxa"/>
            <w:vAlign w:val="bottom"/>
          </w:tcPr>
          <w:p w:rsidR="00000000" w:rsidRDefault="00000000">
            <w:pPr>
              <w:tabs>
                <w:tab w:val="decimal" w:pos="748"/>
              </w:tabs>
            </w:pPr>
            <w:r>
              <w:t>10</w:t>
            </w:r>
          </w:p>
        </w:tc>
      </w:tr>
      <w:tr w:rsidR="00000000">
        <w:trPr>
          <w:jc w:val="center"/>
        </w:trPr>
        <w:tc>
          <w:tcPr>
            <w:tcW w:w="4323" w:type="dxa"/>
          </w:tcPr>
          <w:p w:rsidR="00000000" w:rsidRDefault="00000000">
            <w:r>
              <w:t>Padre António de Oliveira</w:t>
            </w:r>
          </w:p>
        </w:tc>
        <w:tc>
          <w:tcPr>
            <w:tcW w:w="1259" w:type="dxa"/>
            <w:vAlign w:val="bottom"/>
          </w:tcPr>
          <w:p w:rsidR="00000000" w:rsidRDefault="00000000">
            <w:pPr>
              <w:tabs>
                <w:tab w:val="decimal" w:pos="748"/>
              </w:tabs>
            </w:pPr>
            <w:r>
              <w:t>22</w:t>
            </w:r>
          </w:p>
        </w:tc>
        <w:tc>
          <w:tcPr>
            <w:tcW w:w="1259" w:type="dxa"/>
            <w:vAlign w:val="bottom"/>
          </w:tcPr>
          <w:p w:rsidR="00000000" w:rsidRDefault="00000000">
            <w:pPr>
              <w:tabs>
                <w:tab w:val="decimal" w:pos="748"/>
              </w:tabs>
            </w:pPr>
          </w:p>
        </w:tc>
        <w:tc>
          <w:tcPr>
            <w:tcW w:w="1259" w:type="dxa"/>
            <w:vAlign w:val="bottom"/>
          </w:tcPr>
          <w:p w:rsidR="00000000" w:rsidRDefault="00000000">
            <w:pPr>
              <w:tabs>
                <w:tab w:val="decimal" w:pos="748"/>
              </w:tabs>
            </w:pPr>
            <w:r>
              <w:t>12</w:t>
            </w:r>
          </w:p>
        </w:tc>
        <w:tc>
          <w:tcPr>
            <w:tcW w:w="1260" w:type="dxa"/>
            <w:vAlign w:val="bottom"/>
          </w:tcPr>
          <w:p w:rsidR="00000000" w:rsidRDefault="00000000">
            <w:pPr>
              <w:tabs>
                <w:tab w:val="decimal" w:pos="748"/>
              </w:tabs>
            </w:pPr>
            <w:r>
              <w:t>10</w:t>
            </w:r>
          </w:p>
        </w:tc>
      </w:tr>
      <w:tr w:rsidR="00000000">
        <w:trPr>
          <w:jc w:val="center"/>
        </w:trPr>
        <w:tc>
          <w:tcPr>
            <w:tcW w:w="4323" w:type="dxa"/>
          </w:tcPr>
          <w:p w:rsidR="00000000" w:rsidRDefault="00000000">
            <w:r>
              <w:t>Bela Vista</w:t>
            </w:r>
          </w:p>
        </w:tc>
        <w:tc>
          <w:tcPr>
            <w:tcW w:w="1259" w:type="dxa"/>
            <w:vAlign w:val="bottom"/>
          </w:tcPr>
          <w:p w:rsidR="00000000" w:rsidRDefault="00000000">
            <w:pPr>
              <w:tabs>
                <w:tab w:val="decimal" w:pos="748"/>
              </w:tabs>
            </w:pPr>
            <w:r>
              <w:t>38</w:t>
            </w:r>
          </w:p>
        </w:tc>
        <w:tc>
          <w:tcPr>
            <w:tcW w:w="1259" w:type="dxa"/>
            <w:vAlign w:val="bottom"/>
          </w:tcPr>
          <w:p w:rsidR="00000000" w:rsidRDefault="00000000">
            <w:pPr>
              <w:tabs>
                <w:tab w:val="decimal" w:pos="748"/>
              </w:tabs>
            </w:pPr>
            <w:r>
              <w:t>14</w:t>
            </w:r>
          </w:p>
        </w:tc>
        <w:tc>
          <w:tcPr>
            <w:tcW w:w="1259" w:type="dxa"/>
            <w:vAlign w:val="bottom"/>
          </w:tcPr>
          <w:p w:rsidR="00000000" w:rsidRDefault="00000000">
            <w:pPr>
              <w:tabs>
                <w:tab w:val="decimal" w:pos="748"/>
              </w:tabs>
            </w:pPr>
            <w:r>
              <w:t>24</w:t>
            </w:r>
          </w:p>
        </w:tc>
        <w:tc>
          <w:tcPr>
            <w:tcW w:w="1260" w:type="dxa"/>
            <w:vAlign w:val="bottom"/>
          </w:tcPr>
          <w:p w:rsidR="00000000" w:rsidRDefault="00000000">
            <w:pPr>
              <w:tabs>
                <w:tab w:val="decimal" w:pos="748"/>
              </w:tabs>
            </w:pPr>
          </w:p>
        </w:tc>
      </w:tr>
      <w:tr w:rsidR="00000000">
        <w:trPr>
          <w:jc w:val="center"/>
        </w:trPr>
        <w:tc>
          <w:tcPr>
            <w:tcW w:w="4323" w:type="dxa"/>
          </w:tcPr>
          <w:p w:rsidR="00000000" w:rsidRDefault="00000000">
            <w:r>
              <w:t>Olivais</w:t>
            </w:r>
          </w:p>
        </w:tc>
        <w:tc>
          <w:tcPr>
            <w:tcW w:w="1259" w:type="dxa"/>
            <w:vAlign w:val="bottom"/>
          </w:tcPr>
          <w:p w:rsidR="00000000" w:rsidRDefault="00000000">
            <w:pPr>
              <w:tabs>
                <w:tab w:val="decimal" w:pos="748"/>
              </w:tabs>
              <w:rPr>
                <w:lang w:val="en-GB"/>
              </w:rPr>
            </w:pPr>
            <w:r>
              <w:rPr>
                <w:lang w:val="en-GB"/>
              </w:rPr>
              <w:t>32</w:t>
            </w:r>
          </w:p>
        </w:tc>
        <w:tc>
          <w:tcPr>
            <w:tcW w:w="1259" w:type="dxa"/>
            <w:vAlign w:val="bottom"/>
          </w:tcPr>
          <w:p w:rsidR="00000000" w:rsidRDefault="00000000">
            <w:pPr>
              <w:tabs>
                <w:tab w:val="decimal" w:pos="748"/>
              </w:tabs>
              <w:rPr>
                <w:lang w:val="en-GB"/>
              </w:rPr>
            </w:pPr>
          </w:p>
        </w:tc>
        <w:tc>
          <w:tcPr>
            <w:tcW w:w="1259" w:type="dxa"/>
            <w:vAlign w:val="bottom"/>
          </w:tcPr>
          <w:p w:rsidR="00000000" w:rsidRDefault="00000000">
            <w:pPr>
              <w:tabs>
                <w:tab w:val="decimal" w:pos="748"/>
              </w:tabs>
              <w:rPr>
                <w:lang w:val="en-GB"/>
              </w:rPr>
            </w:pPr>
            <w:r>
              <w:rPr>
                <w:lang w:val="en-GB"/>
              </w:rPr>
              <w:t>24</w:t>
            </w:r>
          </w:p>
        </w:tc>
        <w:tc>
          <w:tcPr>
            <w:tcW w:w="1260" w:type="dxa"/>
            <w:vAlign w:val="bottom"/>
          </w:tcPr>
          <w:p w:rsidR="00000000" w:rsidRDefault="00000000">
            <w:pPr>
              <w:tabs>
                <w:tab w:val="decimal" w:pos="748"/>
              </w:tabs>
              <w:rPr>
                <w:lang w:val="en-GB"/>
              </w:rPr>
            </w:pPr>
            <w:r>
              <w:rPr>
                <w:lang w:val="en-GB"/>
              </w:rPr>
              <w:t>8</w:t>
            </w:r>
          </w:p>
        </w:tc>
      </w:tr>
      <w:tr w:rsidR="00000000">
        <w:trPr>
          <w:jc w:val="center"/>
        </w:trPr>
        <w:tc>
          <w:tcPr>
            <w:tcW w:w="4323" w:type="dxa"/>
          </w:tcPr>
          <w:p w:rsidR="00000000" w:rsidRDefault="00000000">
            <w:pPr>
              <w:rPr>
                <w:lang w:val="en-GB"/>
              </w:rPr>
            </w:pPr>
            <w:r>
              <w:rPr>
                <w:lang w:val="en-GB"/>
              </w:rPr>
              <w:t>Mondego</w:t>
            </w:r>
          </w:p>
        </w:tc>
        <w:tc>
          <w:tcPr>
            <w:tcW w:w="1259" w:type="dxa"/>
            <w:vAlign w:val="bottom"/>
          </w:tcPr>
          <w:p w:rsidR="00000000" w:rsidRDefault="00000000">
            <w:pPr>
              <w:tabs>
                <w:tab w:val="decimal" w:pos="748"/>
              </w:tabs>
              <w:rPr>
                <w:lang w:val="en-GB"/>
              </w:rPr>
            </w:pPr>
            <w:r>
              <w:rPr>
                <w:lang w:val="en-GB"/>
              </w:rPr>
              <w:t>28</w:t>
            </w:r>
          </w:p>
        </w:tc>
        <w:tc>
          <w:tcPr>
            <w:tcW w:w="1259" w:type="dxa"/>
            <w:vAlign w:val="bottom"/>
          </w:tcPr>
          <w:p w:rsidR="00000000" w:rsidRDefault="00000000">
            <w:pPr>
              <w:tabs>
                <w:tab w:val="decimal" w:pos="748"/>
              </w:tabs>
              <w:rPr>
                <w:lang w:val="en-GB"/>
              </w:rPr>
            </w:pPr>
          </w:p>
        </w:tc>
        <w:tc>
          <w:tcPr>
            <w:tcW w:w="1259" w:type="dxa"/>
            <w:vAlign w:val="bottom"/>
          </w:tcPr>
          <w:p w:rsidR="00000000" w:rsidRDefault="00000000">
            <w:pPr>
              <w:tabs>
                <w:tab w:val="decimal" w:pos="748"/>
              </w:tabs>
              <w:rPr>
                <w:lang w:val="en-GB"/>
              </w:rPr>
            </w:pPr>
            <w:r>
              <w:rPr>
                <w:lang w:val="en-GB"/>
              </w:rPr>
              <w:t>22</w:t>
            </w:r>
          </w:p>
        </w:tc>
        <w:tc>
          <w:tcPr>
            <w:tcW w:w="1260" w:type="dxa"/>
            <w:vAlign w:val="bottom"/>
          </w:tcPr>
          <w:p w:rsidR="00000000" w:rsidRDefault="00000000">
            <w:pPr>
              <w:tabs>
                <w:tab w:val="decimal" w:pos="748"/>
              </w:tabs>
              <w:rPr>
                <w:lang w:val="en-GB"/>
              </w:rPr>
            </w:pPr>
            <w:r>
              <w:rPr>
                <w:lang w:val="en-GB"/>
              </w:rPr>
              <w:t>6</w:t>
            </w:r>
          </w:p>
        </w:tc>
      </w:tr>
      <w:tr w:rsidR="00000000">
        <w:trPr>
          <w:jc w:val="center"/>
        </w:trPr>
        <w:tc>
          <w:tcPr>
            <w:tcW w:w="4323" w:type="dxa"/>
          </w:tcPr>
          <w:p w:rsidR="00000000" w:rsidRDefault="00000000">
            <w:pPr>
              <w:rPr>
                <w:lang w:val="en-GB"/>
              </w:rPr>
            </w:pPr>
            <w:r>
              <w:rPr>
                <w:lang w:val="en-GB"/>
              </w:rPr>
              <w:t>S.  Fiel</w:t>
            </w:r>
          </w:p>
        </w:tc>
        <w:tc>
          <w:tcPr>
            <w:tcW w:w="1259" w:type="dxa"/>
            <w:vAlign w:val="bottom"/>
          </w:tcPr>
          <w:p w:rsidR="00000000" w:rsidRDefault="00000000">
            <w:pPr>
              <w:tabs>
                <w:tab w:val="decimal" w:pos="748"/>
              </w:tabs>
            </w:pPr>
            <w:r>
              <w:t>22</w:t>
            </w:r>
          </w:p>
        </w:tc>
        <w:tc>
          <w:tcPr>
            <w:tcW w:w="1259" w:type="dxa"/>
            <w:vAlign w:val="bottom"/>
          </w:tcPr>
          <w:p w:rsidR="00000000" w:rsidRDefault="00000000">
            <w:pPr>
              <w:tabs>
                <w:tab w:val="decimal" w:pos="748"/>
              </w:tabs>
            </w:pPr>
          </w:p>
        </w:tc>
        <w:tc>
          <w:tcPr>
            <w:tcW w:w="1259" w:type="dxa"/>
            <w:vAlign w:val="bottom"/>
          </w:tcPr>
          <w:p w:rsidR="00000000" w:rsidRDefault="00000000">
            <w:pPr>
              <w:tabs>
                <w:tab w:val="decimal" w:pos="748"/>
              </w:tabs>
            </w:pPr>
            <w:r>
              <w:t>22</w:t>
            </w:r>
          </w:p>
        </w:tc>
        <w:tc>
          <w:tcPr>
            <w:tcW w:w="1260" w:type="dxa"/>
            <w:vAlign w:val="bottom"/>
          </w:tcPr>
          <w:p w:rsidR="00000000" w:rsidRDefault="00000000">
            <w:pPr>
              <w:tabs>
                <w:tab w:val="decimal" w:pos="748"/>
              </w:tabs>
            </w:pPr>
          </w:p>
        </w:tc>
      </w:tr>
      <w:tr w:rsidR="00000000">
        <w:trPr>
          <w:jc w:val="center"/>
        </w:trPr>
        <w:tc>
          <w:tcPr>
            <w:tcW w:w="4323" w:type="dxa"/>
          </w:tcPr>
          <w:p w:rsidR="00000000" w:rsidRDefault="00000000">
            <w:r>
              <w:t>Alberto Souto</w:t>
            </w:r>
          </w:p>
        </w:tc>
        <w:tc>
          <w:tcPr>
            <w:tcW w:w="1259" w:type="dxa"/>
            <w:vAlign w:val="bottom"/>
          </w:tcPr>
          <w:p w:rsidR="00000000" w:rsidRDefault="00000000">
            <w:pPr>
              <w:tabs>
                <w:tab w:val="decimal" w:pos="748"/>
              </w:tabs>
            </w:pPr>
            <w:r>
              <w:t>26</w:t>
            </w:r>
          </w:p>
        </w:tc>
        <w:tc>
          <w:tcPr>
            <w:tcW w:w="1259" w:type="dxa"/>
            <w:vAlign w:val="bottom"/>
          </w:tcPr>
          <w:p w:rsidR="00000000" w:rsidRDefault="00000000">
            <w:pPr>
              <w:tabs>
                <w:tab w:val="decimal" w:pos="748"/>
              </w:tabs>
            </w:pPr>
            <w:r>
              <w:t>14</w:t>
            </w:r>
          </w:p>
        </w:tc>
        <w:tc>
          <w:tcPr>
            <w:tcW w:w="1259" w:type="dxa"/>
            <w:vAlign w:val="bottom"/>
          </w:tcPr>
          <w:p w:rsidR="00000000" w:rsidRDefault="00000000">
            <w:pPr>
              <w:tabs>
                <w:tab w:val="decimal" w:pos="748"/>
              </w:tabs>
            </w:pPr>
            <w:r>
              <w:t>12</w:t>
            </w:r>
          </w:p>
        </w:tc>
        <w:tc>
          <w:tcPr>
            <w:tcW w:w="1260" w:type="dxa"/>
            <w:vAlign w:val="bottom"/>
          </w:tcPr>
          <w:p w:rsidR="00000000" w:rsidRDefault="00000000">
            <w:pPr>
              <w:tabs>
                <w:tab w:val="decimal" w:pos="748"/>
              </w:tabs>
            </w:pPr>
          </w:p>
        </w:tc>
      </w:tr>
      <w:tr w:rsidR="00000000">
        <w:trPr>
          <w:jc w:val="center"/>
        </w:trPr>
        <w:tc>
          <w:tcPr>
            <w:tcW w:w="4323" w:type="dxa"/>
          </w:tcPr>
          <w:p w:rsidR="00000000" w:rsidRDefault="00000000">
            <w:r>
              <w:t>Santo António</w:t>
            </w:r>
          </w:p>
        </w:tc>
        <w:tc>
          <w:tcPr>
            <w:tcW w:w="1259" w:type="dxa"/>
            <w:vAlign w:val="bottom"/>
          </w:tcPr>
          <w:p w:rsidR="00000000" w:rsidRDefault="00000000">
            <w:pPr>
              <w:tabs>
                <w:tab w:val="decimal" w:pos="748"/>
              </w:tabs>
            </w:pPr>
            <w:r>
              <w:t>34</w:t>
            </w:r>
          </w:p>
        </w:tc>
        <w:tc>
          <w:tcPr>
            <w:tcW w:w="1259" w:type="dxa"/>
            <w:vAlign w:val="bottom"/>
          </w:tcPr>
          <w:p w:rsidR="00000000" w:rsidRDefault="00000000">
            <w:pPr>
              <w:tabs>
                <w:tab w:val="decimal" w:pos="748"/>
              </w:tabs>
            </w:pPr>
          </w:p>
        </w:tc>
        <w:tc>
          <w:tcPr>
            <w:tcW w:w="1259" w:type="dxa"/>
            <w:vAlign w:val="bottom"/>
          </w:tcPr>
          <w:p w:rsidR="00000000" w:rsidRDefault="00000000">
            <w:pPr>
              <w:tabs>
                <w:tab w:val="decimal" w:pos="748"/>
              </w:tabs>
            </w:pPr>
            <w:r>
              <w:t>24</w:t>
            </w:r>
          </w:p>
        </w:tc>
        <w:tc>
          <w:tcPr>
            <w:tcW w:w="1260" w:type="dxa"/>
            <w:vAlign w:val="bottom"/>
          </w:tcPr>
          <w:p w:rsidR="00000000" w:rsidRDefault="00000000">
            <w:pPr>
              <w:tabs>
                <w:tab w:val="decimal" w:pos="748"/>
              </w:tabs>
            </w:pPr>
            <w:r>
              <w:t>10</w:t>
            </w:r>
          </w:p>
        </w:tc>
      </w:tr>
      <w:tr w:rsidR="00000000">
        <w:trPr>
          <w:jc w:val="center"/>
        </w:trPr>
        <w:tc>
          <w:tcPr>
            <w:tcW w:w="4323" w:type="dxa"/>
            <w:tcBorders>
              <w:bottom w:val="single" w:sz="4" w:space="0" w:color="auto"/>
            </w:tcBorders>
          </w:tcPr>
          <w:p w:rsidR="00000000" w:rsidRDefault="00000000">
            <w:r>
              <w:t>Santa Clara</w:t>
            </w:r>
          </w:p>
        </w:tc>
        <w:tc>
          <w:tcPr>
            <w:tcW w:w="1259" w:type="dxa"/>
            <w:tcBorders>
              <w:bottom w:val="single" w:sz="4" w:space="0" w:color="auto"/>
            </w:tcBorders>
            <w:vAlign w:val="bottom"/>
          </w:tcPr>
          <w:p w:rsidR="00000000" w:rsidRDefault="00000000">
            <w:pPr>
              <w:tabs>
                <w:tab w:val="decimal" w:pos="748"/>
              </w:tabs>
            </w:pPr>
            <w:r>
              <w:t>38</w:t>
            </w:r>
          </w:p>
        </w:tc>
        <w:tc>
          <w:tcPr>
            <w:tcW w:w="1259" w:type="dxa"/>
            <w:tcBorders>
              <w:bottom w:val="single" w:sz="4" w:space="0" w:color="auto"/>
            </w:tcBorders>
            <w:vAlign w:val="bottom"/>
          </w:tcPr>
          <w:p w:rsidR="00000000" w:rsidRDefault="00000000">
            <w:pPr>
              <w:tabs>
                <w:tab w:val="decimal" w:pos="748"/>
              </w:tabs>
            </w:pPr>
            <w:r>
              <w:t>14</w:t>
            </w:r>
          </w:p>
        </w:tc>
        <w:tc>
          <w:tcPr>
            <w:tcW w:w="1259" w:type="dxa"/>
            <w:tcBorders>
              <w:bottom w:val="single" w:sz="4" w:space="0" w:color="auto"/>
            </w:tcBorders>
            <w:vAlign w:val="bottom"/>
          </w:tcPr>
          <w:p w:rsidR="00000000" w:rsidRDefault="00000000">
            <w:pPr>
              <w:tabs>
                <w:tab w:val="decimal" w:pos="748"/>
              </w:tabs>
            </w:pPr>
            <w:r>
              <w:t>24</w:t>
            </w:r>
          </w:p>
        </w:tc>
        <w:tc>
          <w:tcPr>
            <w:tcW w:w="1260" w:type="dxa"/>
            <w:tcBorders>
              <w:bottom w:val="single" w:sz="4" w:space="0" w:color="auto"/>
            </w:tcBorders>
            <w:vAlign w:val="bottom"/>
          </w:tcPr>
          <w:p w:rsidR="00000000" w:rsidRDefault="00000000">
            <w:pPr>
              <w:tabs>
                <w:tab w:val="decimal" w:pos="748"/>
              </w:tabs>
            </w:pPr>
          </w:p>
        </w:tc>
      </w:tr>
      <w:tr w:rsidR="00000000">
        <w:trPr>
          <w:jc w:val="center"/>
        </w:trPr>
        <w:tc>
          <w:tcPr>
            <w:tcW w:w="4323" w:type="dxa"/>
          </w:tcPr>
          <w:p w:rsidR="00000000" w:rsidRDefault="00000000">
            <w:r>
              <w:t>Número de personas de sexo masculino</w:t>
            </w:r>
          </w:p>
        </w:tc>
        <w:tc>
          <w:tcPr>
            <w:tcW w:w="1259" w:type="dxa"/>
            <w:vAlign w:val="bottom"/>
          </w:tcPr>
          <w:p w:rsidR="00000000" w:rsidRDefault="00000000">
            <w:pPr>
              <w:tabs>
                <w:tab w:val="decimal" w:pos="748"/>
              </w:tabs>
            </w:pPr>
            <w:r>
              <w:t>298</w:t>
            </w:r>
          </w:p>
        </w:tc>
        <w:tc>
          <w:tcPr>
            <w:tcW w:w="1259" w:type="dxa"/>
            <w:vAlign w:val="bottom"/>
          </w:tcPr>
          <w:p w:rsidR="00000000" w:rsidRDefault="00000000">
            <w:pPr>
              <w:tabs>
                <w:tab w:val="decimal" w:pos="748"/>
              </w:tabs>
            </w:pPr>
            <w:r>
              <w:t>42</w:t>
            </w:r>
          </w:p>
        </w:tc>
        <w:tc>
          <w:tcPr>
            <w:tcW w:w="1259" w:type="dxa"/>
            <w:vAlign w:val="bottom"/>
          </w:tcPr>
          <w:p w:rsidR="00000000" w:rsidRDefault="00000000">
            <w:pPr>
              <w:tabs>
                <w:tab w:val="decimal" w:pos="748"/>
              </w:tabs>
            </w:pPr>
            <w:r>
              <w:t>212</w:t>
            </w:r>
          </w:p>
        </w:tc>
        <w:tc>
          <w:tcPr>
            <w:tcW w:w="1260" w:type="dxa"/>
            <w:vAlign w:val="bottom"/>
          </w:tcPr>
          <w:p w:rsidR="00000000" w:rsidRDefault="00000000">
            <w:pPr>
              <w:tabs>
                <w:tab w:val="decimal" w:pos="748"/>
              </w:tabs>
            </w:pPr>
            <w:r>
              <w:t>44</w:t>
            </w:r>
          </w:p>
        </w:tc>
      </w:tr>
      <w:tr w:rsidR="00000000">
        <w:trPr>
          <w:jc w:val="center"/>
        </w:trPr>
        <w:tc>
          <w:tcPr>
            <w:tcW w:w="4323" w:type="dxa"/>
          </w:tcPr>
          <w:p w:rsidR="00000000" w:rsidRDefault="00000000">
            <w:r>
              <w:t>S. Bernardino</w:t>
            </w:r>
          </w:p>
        </w:tc>
        <w:tc>
          <w:tcPr>
            <w:tcW w:w="1259" w:type="dxa"/>
            <w:vAlign w:val="bottom"/>
          </w:tcPr>
          <w:p w:rsidR="00000000" w:rsidRDefault="00000000">
            <w:pPr>
              <w:tabs>
                <w:tab w:val="decimal" w:pos="748"/>
              </w:tabs>
            </w:pPr>
            <w:r>
              <w:t>15</w:t>
            </w:r>
          </w:p>
        </w:tc>
        <w:tc>
          <w:tcPr>
            <w:tcW w:w="1259" w:type="dxa"/>
            <w:vAlign w:val="bottom"/>
          </w:tcPr>
          <w:p w:rsidR="00000000" w:rsidRDefault="00000000">
            <w:pPr>
              <w:tabs>
                <w:tab w:val="decimal" w:pos="748"/>
              </w:tabs>
            </w:pPr>
            <w:r>
              <w:t>3</w:t>
            </w:r>
          </w:p>
        </w:tc>
        <w:tc>
          <w:tcPr>
            <w:tcW w:w="1259" w:type="dxa"/>
            <w:vAlign w:val="bottom"/>
          </w:tcPr>
          <w:p w:rsidR="00000000" w:rsidRDefault="00000000">
            <w:pPr>
              <w:tabs>
                <w:tab w:val="decimal" w:pos="748"/>
              </w:tabs>
            </w:pPr>
            <w:r>
              <w:t>10</w:t>
            </w:r>
          </w:p>
        </w:tc>
        <w:tc>
          <w:tcPr>
            <w:tcW w:w="1260" w:type="dxa"/>
            <w:vAlign w:val="bottom"/>
          </w:tcPr>
          <w:p w:rsidR="00000000" w:rsidRDefault="00000000">
            <w:pPr>
              <w:tabs>
                <w:tab w:val="decimal" w:pos="748"/>
              </w:tabs>
            </w:pPr>
            <w:r>
              <w:t>2</w:t>
            </w:r>
          </w:p>
        </w:tc>
      </w:tr>
      <w:tr w:rsidR="00000000">
        <w:trPr>
          <w:jc w:val="center"/>
        </w:trPr>
        <w:tc>
          <w:tcPr>
            <w:tcW w:w="4323" w:type="dxa"/>
            <w:tcBorders>
              <w:bottom w:val="single" w:sz="4" w:space="0" w:color="auto"/>
            </w:tcBorders>
          </w:tcPr>
          <w:p w:rsidR="00000000" w:rsidRDefault="00000000">
            <w:r>
              <w:t>S. José</w:t>
            </w:r>
          </w:p>
        </w:tc>
        <w:tc>
          <w:tcPr>
            <w:tcW w:w="1259" w:type="dxa"/>
            <w:tcBorders>
              <w:bottom w:val="single" w:sz="4" w:space="0" w:color="auto"/>
            </w:tcBorders>
            <w:vAlign w:val="bottom"/>
          </w:tcPr>
          <w:p w:rsidR="00000000" w:rsidRDefault="00000000">
            <w:pPr>
              <w:tabs>
                <w:tab w:val="decimal" w:pos="748"/>
              </w:tabs>
            </w:pPr>
            <w:r>
              <w:t>15</w:t>
            </w:r>
          </w:p>
        </w:tc>
        <w:tc>
          <w:tcPr>
            <w:tcW w:w="1259" w:type="dxa"/>
            <w:tcBorders>
              <w:bottom w:val="single" w:sz="4" w:space="0" w:color="auto"/>
            </w:tcBorders>
            <w:vAlign w:val="bottom"/>
          </w:tcPr>
          <w:p w:rsidR="00000000" w:rsidRDefault="00000000">
            <w:pPr>
              <w:tabs>
                <w:tab w:val="decimal" w:pos="748"/>
              </w:tabs>
            </w:pPr>
            <w:r>
              <w:t>5</w:t>
            </w:r>
          </w:p>
        </w:tc>
        <w:tc>
          <w:tcPr>
            <w:tcW w:w="1259" w:type="dxa"/>
            <w:tcBorders>
              <w:bottom w:val="single" w:sz="4" w:space="0" w:color="auto"/>
            </w:tcBorders>
            <w:vAlign w:val="bottom"/>
          </w:tcPr>
          <w:p w:rsidR="00000000" w:rsidRDefault="00000000">
            <w:pPr>
              <w:tabs>
                <w:tab w:val="decimal" w:pos="748"/>
              </w:tabs>
            </w:pPr>
            <w:r>
              <w:t>10</w:t>
            </w:r>
          </w:p>
        </w:tc>
        <w:tc>
          <w:tcPr>
            <w:tcW w:w="1260" w:type="dxa"/>
            <w:tcBorders>
              <w:bottom w:val="single" w:sz="4" w:space="0" w:color="auto"/>
            </w:tcBorders>
            <w:vAlign w:val="bottom"/>
          </w:tcPr>
          <w:p w:rsidR="00000000" w:rsidRDefault="00000000">
            <w:pPr>
              <w:tabs>
                <w:tab w:val="decimal" w:pos="748"/>
              </w:tabs>
            </w:pPr>
          </w:p>
        </w:tc>
      </w:tr>
      <w:tr w:rsidR="00000000">
        <w:trPr>
          <w:jc w:val="center"/>
        </w:trPr>
        <w:tc>
          <w:tcPr>
            <w:tcW w:w="4323" w:type="dxa"/>
            <w:tcBorders>
              <w:bottom w:val="single" w:sz="4" w:space="0" w:color="auto"/>
            </w:tcBorders>
          </w:tcPr>
          <w:p w:rsidR="00000000" w:rsidRDefault="00000000">
            <w:r>
              <w:t>Número de personas de sexo femenino</w:t>
            </w:r>
          </w:p>
        </w:tc>
        <w:tc>
          <w:tcPr>
            <w:tcW w:w="1259" w:type="dxa"/>
            <w:tcBorders>
              <w:bottom w:val="single" w:sz="4" w:space="0" w:color="auto"/>
            </w:tcBorders>
            <w:vAlign w:val="bottom"/>
          </w:tcPr>
          <w:p w:rsidR="00000000" w:rsidRDefault="00000000">
            <w:pPr>
              <w:tabs>
                <w:tab w:val="decimal" w:pos="748"/>
              </w:tabs>
            </w:pPr>
            <w:r>
              <w:t>30</w:t>
            </w:r>
          </w:p>
        </w:tc>
        <w:tc>
          <w:tcPr>
            <w:tcW w:w="1259" w:type="dxa"/>
            <w:tcBorders>
              <w:bottom w:val="single" w:sz="4" w:space="0" w:color="auto"/>
            </w:tcBorders>
            <w:vAlign w:val="bottom"/>
          </w:tcPr>
          <w:p w:rsidR="00000000" w:rsidRDefault="00000000">
            <w:pPr>
              <w:tabs>
                <w:tab w:val="decimal" w:pos="748"/>
              </w:tabs>
            </w:pPr>
            <w:r>
              <w:t>8</w:t>
            </w:r>
          </w:p>
        </w:tc>
        <w:tc>
          <w:tcPr>
            <w:tcW w:w="1259" w:type="dxa"/>
            <w:tcBorders>
              <w:bottom w:val="single" w:sz="4" w:space="0" w:color="auto"/>
            </w:tcBorders>
            <w:vAlign w:val="bottom"/>
          </w:tcPr>
          <w:p w:rsidR="00000000" w:rsidRDefault="00000000">
            <w:pPr>
              <w:tabs>
                <w:tab w:val="decimal" w:pos="748"/>
              </w:tabs>
            </w:pPr>
            <w:r>
              <w:t>20</w:t>
            </w:r>
          </w:p>
        </w:tc>
        <w:tc>
          <w:tcPr>
            <w:tcW w:w="1260" w:type="dxa"/>
            <w:tcBorders>
              <w:bottom w:val="single" w:sz="4" w:space="0" w:color="auto"/>
            </w:tcBorders>
            <w:vAlign w:val="bottom"/>
          </w:tcPr>
          <w:p w:rsidR="00000000" w:rsidRDefault="00000000">
            <w:pPr>
              <w:tabs>
                <w:tab w:val="decimal" w:pos="748"/>
              </w:tabs>
            </w:pPr>
            <w:r>
              <w:t>2</w:t>
            </w:r>
          </w:p>
        </w:tc>
      </w:tr>
      <w:tr w:rsidR="00000000">
        <w:trPr>
          <w:jc w:val="center"/>
        </w:trPr>
        <w:tc>
          <w:tcPr>
            <w:tcW w:w="4323" w:type="dxa"/>
          </w:tcPr>
          <w:p w:rsidR="00000000" w:rsidRDefault="00000000">
            <w:r>
              <w:tab/>
              <w:t>Total</w:t>
            </w:r>
          </w:p>
        </w:tc>
        <w:tc>
          <w:tcPr>
            <w:tcW w:w="1259" w:type="dxa"/>
            <w:vAlign w:val="bottom"/>
          </w:tcPr>
          <w:p w:rsidR="00000000" w:rsidRDefault="00000000">
            <w:pPr>
              <w:tabs>
                <w:tab w:val="decimal" w:pos="748"/>
              </w:tabs>
            </w:pPr>
            <w:r>
              <w:t>328</w:t>
            </w:r>
          </w:p>
        </w:tc>
        <w:tc>
          <w:tcPr>
            <w:tcW w:w="1259" w:type="dxa"/>
            <w:vAlign w:val="bottom"/>
          </w:tcPr>
          <w:p w:rsidR="00000000" w:rsidRDefault="00000000">
            <w:pPr>
              <w:tabs>
                <w:tab w:val="decimal" w:pos="748"/>
              </w:tabs>
            </w:pPr>
            <w:r>
              <w:t>50</w:t>
            </w:r>
          </w:p>
        </w:tc>
        <w:tc>
          <w:tcPr>
            <w:tcW w:w="1259" w:type="dxa"/>
            <w:vAlign w:val="bottom"/>
          </w:tcPr>
          <w:p w:rsidR="00000000" w:rsidRDefault="00000000">
            <w:pPr>
              <w:tabs>
                <w:tab w:val="decimal" w:pos="748"/>
              </w:tabs>
            </w:pPr>
            <w:r>
              <w:t>232</w:t>
            </w:r>
          </w:p>
        </w:tc>
        <w:tc>
          <w:tcPr>
            <w:tcW w:w="1260" w:type="dxa"/>
            <w:vAlign w:val="bottom"/>
          </w:tcPr>
          <w:p w:rsidR="00000000" w:rsidRDefault="00000000">
            <w:pPr>
              <w:tabs>
                <w:tab w:val="decimal" w:pos="748"/>
              </w:tabs>
            </w:pPr>
            <w:r>
              <w:t>46</w:t>
            </w:r>
          </w:p>
        </w:tc>
      </w:tr>
    </w:tbl>
    <w:p w:rsidR="00000000" w:rsidRDefault="00000000">
      <w:pPr>
        <w:autoSpaceDE w:val="0"/>
        <w:autoSpaceDN w:val="0"/>
        <w:adjustRightInd w:val="0"/>
        <w:spacing w:after="240"/>
        <w:rPr>
          <w:bCs/>
        </w:rPr>
      </w:pPr>
    </w:p>
    <w:p w:rsidR="00000000" w:rsidRDefault="00000000">
      <w:pPr>
        <w:autoSpaceDE w:val="0"/>
        <w:autoSpaceDN w:val="0"/>
        <w:adjustRightInd w:val="0"/>
        <w:spacing w:after="240"/>
      </w:pPr>
      <w:r>
        <w:t>205.</w:t>
      </w:r>
      <w:r>
        <w:tab/>
        <w:t>En los centros educativos todas las plazas existentes están ocupadas; en algunos casos concretos ha habido una mayor ocupación de la debida.  El Instituto de Reinserción Social gestiona lo mejor posible las plazas existentes, pues a veces sucede que no se conduce inmediatamente a los centros mencionados a algunos jóvenes, en espera de una decisión de internamiento.  Por lo tanto, esta ocupación excesiva puede preverse a corto plazo.</w:t>
      </w:r>
    </w:p>
    <w:p w:rsidR="00000000" w:rsidRDefault="00000000">
      <w:pPr>
        <w:autoSpaceDE w:val="0"/>
        <w:autoSpaceDN w:val="0"/>
        <w:adjustRightInd w:val="0"/>
        <w:spacing w:after="180"/>
        <w:jc w:val="center"/>
        <w:rPr>
          <w:b/>
          <w:sz w:val="22"/>
        </w:rPr>
      </w:pPr>
      <w:r>
        <w:rPr>
          <w:b/>
          <w:sz w:val="22"/>
        </w:rPr>
        <w:t>Cuadro 3</w:t>
      </w:r>
    </w:p>
    <w:p w:rsidR="00000000" w:rsidRDefault="00000000">
      <w:pPr>
        <w:autoSpaceDE w:val="0"/>
        <w:autoSpaceDN w:val="0"/>
        <w:adjustRightInd w:val="0"/>
        <w:spacing w:after="180"/>
        <w:jc w:val="center"/>
        <w:rPr>
          <w:b/>
          <w:sz w:val="22"/>
        </w:rPr>
      </w:pPr>
      <w:r>
        <w:rPr>
          <w:b/>
          <w:sz w:val="22"/>
        </w:rPr>
        <w:t>Menores o jóvenes internados en un centro de acogida para la educación y</w:t>
      </w:r>
      <w:r>
        <w:rPr>
          <w:b/>
          <w:sz w:val="22"/>
        </w:rPr>
        <w:br/>
        <w:t>formación y en una unidad residencial autónoma</w:t>
      </w:r>
      <w:r>
        <w:rPr>
          <w:b/>
          <w:sz w:val="22"/>
          <w:vertAlign w:val="superscript"/>
        </w:rPr>
        <w:t>a</w:t>
      </w:r>
      <w:r>
        <w:rPr>
          <w:b/>
          <w:sz w:val="22"/>
        </w:rPr>
        <w:t>, por situación jurídica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2"/>
        <w:gridCol w:w="2400"/>
        <w:gridCol w:w="2400"/>
      </w:tblGrid>
      <w:tr w:rsidR="00000000">
        <w:trPr>
          <w:jc w:val="center"/>
        </w:trPr>
        <w:tc>
          <w:tcPr>
            <w:tcW w:w="4632" w:type="dxa"/>
            <w:vAlign w:val="center"/>
          </w:tcPr>
          <w:p w:rsidR="00000000" w:rsidRDefault="00000000">
            <w:pPr>
              <w:jc w:val="center"/>
              <w:rPr>
                <w:sz w:val="22"/>
              </w:rPr>
            </w:pPr>
            <w:r>
              <w:rPr>
                <w:sz w:val="22"/>
              </w:rPr>
              <w:t>Decisión de internamiento</w:t>
            </w:r>
          </w:p>
        </w:tc>
        <w:tc>
          <w:tcPr>
            <w:tcW w:w="2400" w:type="dxa"/>
            <w:vAlign w:val="center"/>
          </w:tcPr>
          <w:p w:rsidR="00000000" w:rsidRDefault="00000000">
            <w:pPr>
              <w:jc w:val="center"/>
              <w:rPr>
                <w:sz w:val="22"/>
              </w:rPr>
            </w:pPr>
            <w:r>
              <w:rPr>
                <w:sz w:val="22"/>
              </w:rPr>
              <w:t>31 de diciembre de 1999</w:t>
            </w:r>
          </w:p>
        </w:tc>
        <w:tc>
          <w:tcPr>
            <w:tcW w:w="2400" w:type="dxa"/>
            <w:vAlign w:val="center"/>
          </w:tcPr>
          <w:p w:rsidR="00000000" w:rsidRDefault="00000000">
            <w:pPr>
              <w:jc w:val="center"/>
              <w:rPr>
                <w:sz w:val="22"/>
              </w:rPr>
            </w:pPr>
            <w:r>
              <w:rPr>
                <w:sz w:val="22"/>
              </w:rPr>
              <w:t>31 de diciembre de 2000</w:t>
            </w:r>
          </w:p>
        </w:tc>
      </w:tr>
      <w:tr w:rsidR="00000000">
        <w:trPr>
          <w:jc w:val="center"/>
        </w:trPr>
        <w:tc>
          <w:tcPr>
            <w:tcW w:w="4632" w:type="dxa"/>
            <w:vAlign w:val="center"/>
          </w:tcPr>
          <w:p w:rsidR="00000000" w:rsidRDefault="00000000">
            <w:pPr>
              <w:rPr>
                <w:sz w:val="22"/>
              </w:rPr>
            </w:pPr>
            <w:r>
              <w:rPr>
                <w:sz w:val="22"/>
              </w:rPr>
              <w:t>Entrega a la custodia de un colegio</w:t>
            </w:r>
          </w:p>
        </w:tc>
        <w:tc>
          <w:tcPr>
            <w:tcW w:w="2400" w:type="dxa"/>
            <w:vAlign w:val="center"/>
          </w:tcPr>
          <w:p w:rsidR="00000000" w:rsidRDefault="00000000">
            <w:pPr>
              <w:tabs>
                <w:tab w:val="decimal" w:pos="1179"/>
              </w:tabs>
              <w:rPr>
                <w:sz w:val="22"/>
              </w:rPr>
            </w:pPr>
            <w:r>
              <w:rPr>
                <w:sz w:val="22"/>
              </w:rPr>
              <w:t>5</w:t>
            </w:r>
          </w:p>
        </w:tc>
        <w:tc>
          <w:tcPr>
            <w:tcW w:w="2400" w:type="dxa"/>
            <w:vAlign w:val="center"/>
          </w:tcPr>
          <w:p w:rsidR="00000000" w:rsidRDefault="00000000">
            <w:pPr>
              <w:tabs>
                <w:tab w:val="decimal" w:pos="1179"/>
              </w:tabs>
              <w:rPr>
                <w:sz w:val="22"/>
              </w:rPr>
            </w:pPr>
            <w:r>
              <w:rPr>
                <w:sz w:val="22"/>
              </w:rPr>
              <w:t>2</w:t>
            </w:r>
          </w:p>
        </w:tc>
      </w:tr>
      <w:tr w:rsidR="00000000">
        <w:trPr>
          <w:jc w:val="center"/>
        </w:trPr>
        <w:tc>
          <w:tcPr>
            <w:tcW w:w="4632" w:type="dxa"/>
            <w:vAlign w:val="center"/>
          </w:tcPr>
          <w:p w:rsidR="00000000" w:rsidRDefault="00000000">
            <w:pPr>
              <w:rPr>
                <w:sz w:val="22"/>
              </w:rPr>
            </w:pPr>
            <w:r>
              <w:rPr>
                <w:sz w:val="22"/>
              </w:rPr>
              <w:t>Internamiento para observación</w:t>
            </w:r>
          </w:p>
        </w:tc>
        <w:tc>
          <w:tcPr>
            <w:tcW w:w="2400" w:type="dxa"/>
            <w:vAlign w:val="center"/>
          </w:tcPr>
          <w:p w:rsidR="00000000" w:rsidRDefault="00000000">
            <w:pPr>
              <w:tabs>
                <w:tab w:val="decimal" w:pos="1179"/>
              </w:tabs>
              <w:rPr>
                <w:sz w:val="22"/>
              </w:rPr>
            </w:pPr>
            <w:r>
              <w:rPr>
                <w:sz w:val="22"/>
              </w:rPr>
              <w:t>155</w:t>
            </w:r>
          </w:p>
        </w:tc>
        <w:tc>
          <w:tcPr>
            <w:tcW w:w="2400" w:type="dxa"/>
            <w:vAlign w:val="center"/>
          </w:tcPr>
          <w:p w:rsidR="00000000" w:rsidRDefault="00000000">
            <w:pPr>
              <w:tabs>
                <w:tab w:val="decimal" w:pos="1179"/>
              </w:tabs>
              <w:rPr>
                <w:sz w:val="22"/>
              </w:rPr>
            </w:pPr>
            <w:r>
              <w:rPr>
                <w:sz w:val="22"/>
              </w:rPr>
              <w:t>81</w:t>
            </w:r>
          </w:p>
        </w:tc>
      </w:tr>
      <w:tr w:rsidR="00000000">
        <w:trPr>
          <w:jc w:val="center"/>
        </w:trPr>
        <w:tc>
          <w:tcPr>
            <w:tcW w:w="4632" w:type="dxa"/>
            <w:vAlign w:val="center"/>
          </w:tcPr>
          <w:p w:rsidR="00000000" w:rsidRDefault="00000000">
            <w:pPr>
              <w:rPr>
                <w:sz w:val="22"/>
              </w:rPr>
            </w:pPr>
            <w:r>
              <w:rPr>
                <w:sz w:val="22"/>
              </w:rPr>
              <w:t>Observación concluida -en espera de la decisión</w:t>
            </w:r>
          </w:p>
        </w:tc>
        <w:tc>
          <w:tcPr>
            <w:tcW w:w="2400" w:type="dxa"/>
            <w:vAlign w:val="center"/>
          </w:tcPr>
          <w:p w:rsidR="00000000" w:rsidRDefault="00000000">
            <w:pPr>
              <w:tabs>
                <w:tab w:val="decimal" w:pos="1179"/>
              </w:tabs>
              <w:rPr>
                <w:sz w:val="22"/>
              </w:rPr>
            </w:pPr>
            <w:r>
              <w:rPr>
                <w:sz w:val="22"/>
              </w:rPr>
              <w:t>129</w:t>
            </w:r>
          </w:p>
        </w:tc>
        <w:tc>
          <w:tcPr>
            <w:tcW w:w="2400" w:type="dxa"/>
            <w:vAlign w:val="center"/>
          </w:tcPr>
          <w:p w:rsidR="00000000" w:rsidRDefault="00000000">
            <w:pPr>
              <w:tabs>
                <w:tab w:val="decimal" w:pos="1179"/>
              </w:tabs>
              <w:rPr>
                <w:sz w:val="22"/>
              </w:rPr>
            </w:pPr>
            <w:r>
              <w:rPr>
                <w:sz w:val="22"/>
              </w:rPr>
              <w:t>211</w:t>
            </w:r>
          </w:p>
        </w:tc>
      </w:tr>
      <w:tr w:rsidR="00000000">
        <w:trPr>
          <w:jc w:val="center"/>
        </w:trPr>
        <w:tc>
          <w:tcPr>
            <w:tcW w:w="4632" w:type="dxa"/>
            <w:vAlign w:val="center"/>
          </w:tcPr>
          <w:p w:rsidR="00000000" w:rsidRDefault="00000000">
            <w:pPr>
              <w:rPr>
                <w:sz w:val="22"/>
              </w:rPr>
            </w:pPr>
            <w:r>
              <w:rPr>
                <w:sz w:val="22"/>
              </w:rPr>
              <w:t>Aplicación de la medida tutelar de internamiento</w:t>
            </w:r>
          </w:p>
        </w:tc>
        <w:tc>
          <w:tcPr>
            <w:tcW w:w="2400" w:type="dxa"/>
            <w:vAlign w:val="center"/>
          </w:tcPr>
          <w:p w:rsidR="00000000" w:rsidRDefault="00000000">
            <w:pPr>
              <w:tabs>
                <w:tab w:val="decimal" w:pos="1179"/>
              </w:tabs>
              <w:rPr>
                <w:sz w:val="22"/>
              </w:rPr>
            </w:pPr>
            <w:r>
              <w:rPr>
                <w:sz w:val="22"/>
              </w:rPr>
              <w:t>397</w:t>
            </w:r>
          </w:p>
        </w:tc>
        <w:tc>
          <w:tcPr>
            <w:tcW w:w="2400" w:type="dxa"/>
            <w:vAlign w:val="center"/>
          </w:tcPr>
          <w:p w:rsidR="00000000" w:rsidRDefault="00000000">
            <w:pPr>
              <w:tabs>
                <w:tab w:val="decimal" w:pos="1179"/>
              </w:tabs>
              <w:rPr>
                <w:sz w:val="22"/>
              </w:rPr>
            </w:pPr>
            <w:r>
              <w:rPr>
                <w:sz w:val="22"/>
              </w:rPr>
              <w:t>296</w:t>
            </w:r>
          </w:p>
        </w:tc>
      </w:tr>
      <w:tr w:rsidR="00000000">
        <w:trPr>
          <w:jc w:val="center"/>
        </w:trPr>
        <w:tc>
          <w:tcPr>
            <w:tcW w:w="4632" w:type="dxa"/>
            <w:vAlign w:val="center"/>
          </w:tcPr>
          <w:p w:rsidR="00000000" w:rsidRDefault="00000000">
            <w:pPr>
              <w:rPr>
                <w:sz w:val="22"/>
              </w:rPr>
            </w:pPr>
            <w:r>
              <w:rPr>
                <w:sz w:val="22"/>
              </w:rPr>
              <w:t>Otras medidas tutelares</w:t>
            </w:r>
          </w:p>
        </w:tc>
        <w:tc>
          <w:tcPr>
            <w:tcW w:w="2400" w:type="dxa"/>
            <w:vAlign w:val="center"/>
          </w:tcPr>
          <w:p w:rsidR="00000000" w:rsidRDefault="00000000">
            <w:pPr>
              <w:tabs>
                <w:tab w:val="decimal" w:pos="1179"/>
              </w:tabs>
              <w:rPr>
                <w:sz w:val="22"/>
              </w:rPr>
            </w:pPr>
            <w:r>
              <w:rPr>
                <w:sz w:val="22"/>
              </w:rPr>
              <w:t>40</w:t>
            </w:r>
          </w:p>
        </w:tc>
        <w:tc>
          <w:tcPr>
            <w:tcW w:w="2400" w:type="dxa"/>
            <w:vAlign w:val="center"/>
          </w:tcPr>
          <w:p w:rsidR="00000000" w:rsidRDefault="00000000">
            <w:pPr>
              <w:tabs>
                <w:tab w:val="decimal" w:pos="1179"/>
              </w:tabs>
              <w:rPr>
                <w:sz w:val="22"/>
              </w:rPr>
            </w:pPr>
            <w:r>
              <w:rPr>
                <w:sz w:val="22"/>
              </w:rPr>
              <w:t>25</w:t>
            </w:r>
          </w:p>
        </w:tc>
      </w:tr>
      <w:tr w:rsidR="00000000">
        <w:trPr>
          <w:jc w:val="center"/>
        </w:trPr>
        <w:tc>
          <w:tcPr>
            <w:tcW w:w="4632" w:type="dxa"/>
            <w:tcBorders>
              <w:bottom w:val="single" w:sz="4" w:space="0" w:color="auto"/>
            </w:tcBorders>
            <w:vAlign w:val="center"/>
          </w:tcPr>
          <w:p w:rsidR="00000000" w:rsidRDefault="00000000">
            <w:pPr>
              <w:rPr>
                <w:sz w:val="22"/>
              </w:rPr>
            </w:pPr>
            <w:r>
              <w:rPr>
                <w:sz w:val="22"/>
              </w:rPr>
              <w:t>Autorización administrativa de confianza</w:t>
            </w:r>
          </w:p>
        </w:tc>
        <w:tc>
          <w:tcPr>
            <w:tcW w:w="2400" w:type="dxa"/>
            <w:tcBorders>
              <w:bottom w:val="single" w:sz="4" w:space="0" w:color="auto"/>
            </w:tcBorders>
            <w:vAlign w:val="center"/>
          </w:tcPr>
          <w:p w:rsidR="00000000" w:rsidRDefault="00000000">
            <w:pPr>
              <w:tabs>
                <w:tab w:val="decimal" w:pos="1179"/>
              </w:tabs>
              <w:rPr>
                <w:sz w:val="22"/>
              </w:rPr>
            </w:pPr>
            <w:r>
              <w:rPr>
                <w:sz w:val="22"/>
              </w:rPr>
              <w:t>28</w:t>
            </w:r>
          </w:p>
        </w:tc>
        <w:tc>
          <w:tcPr>
            <w:tcW w:w="2400" w:type="dxa"/>
            <w:tcBorders>
              <w:bottom w:val="single" w:sz="4" w:space="0" w:color="auto"/>
            </w:tcBorders>
            <w:vAlign w:val="center"/>
          </w:tcPr>
          <w:p w:rsidR="00000000" w:rsidRDefault="00000000">
            <w:pPr>
              <w:tabs>
                <w:tab w:val="decimal" w:pos="1179"/>
              </w:tabs>
              <w:rPr>
                <w:sz w:val="22"/>
              </w:rPr>
            </w:pPr>
            <w:r>
              <w:rPr>
                <w:sz w:val="22"/>
              </w:rPr>
              <w:t>19</w:t>
            </w:r>
          </w:p>
        </w:tc>
      </w:tr>
      <w:tr w:rsidR="00000000">
        <w:trPr>
          <w:jc w:val="center"/>
        </w:trPr>
        <w:tc>
          <w:tcPr>
            <w:tcW w:w="4632" w:type="dxa"/>
            <w:tcBorders>
              <w:bottom w:val="single" w:sz="4" w:space="0" w:color="auto"/>
            </w:tcBorders>
            <w:vAlign w:val="center"/>
          </w:tcPr>
          <w:p w:rsidR="00000000" w:rsidRDefault="00000000">
            <w:pPr>
              <w:rPr>
                <w:sz w:val="22"/>
              </w:rPr>
            </w:pPr>
            <w:r>
              <w:rPr>
                <w:sz w:val="22"/>
              </w:rPr>
              <w:tab/>
              <w:t>Total</w:t>
            </w:r>
          </w:p>
        </w:tc>
        <w:tc>
          <w:tcPr>
            <w:tcW w:w="2400" w:type="dxa"/>
            <w:tcBorders>
              <w:bottom w:val="single" w:sz="4" w:space="0" w:color="auto"/>
            </w:tcBorders>
            <w:vAlign w:val="center"/>
          </w:tcPr>
          <w:p w:rsidR="00000000" w:rsidRDefault="00000000">
            <w:pPr>
              <w:tabs>
                <w:tab w:val="decimal" w:pos="1179"/>
              </w:tabs>
              <w:rPr>
                <w:sz w:val="22"/>
              </w:rPr>
            </w:pPr>
            <w:r>
              <w:rPr>
                <w:sz w:val="22"/>
              </w:rPr>
              <w:t>754</w:t>
            </w:r>
          </w:p>
        </w:tc>
        <w:tc>
          <w:tcPr>
            <w:tcW w:w="2400" w:type="dxa"/>
            <w:tcBorders>
              <w:bottom w:val="single" w:sz="4" w:space="0" w:color="auto"/>
            </w:tcBorders>
            <w:vAlign w:val="center"/>
          </w:tcPr>
          <w:p w:rsidR="00000000" w:rsidRDefault="00000000">
            <w:pPr>
              <w:tabs>
                <w:tab w:val="decimal" w:pos="1179"/>
              </w:tabs>
              <w:rPr>
                <w:sz w:val="22"/>
              </w:rPr>
            </w:pPr>
            <w:r>
              <w:rPr>
                <w:sz w:val="22"/>
              </w:rPr>
              <w:t>634</w:t>
            </w:r>
          </w:p>
        </w:tc>
      </w:tr>
    </w:tbl>
    <w:p w:rsidR="00000000" w:rsidRDefault="00000000">
      <w:pPr>
        <w:autoSpaceDE w:val="0"/>
        <w:autoSpaceDN w:val="0"/>
        <w:adjustRightInd w:val="0"/>
        <w:spacing w:before="240" w:after="360"/>
        <w:rPr>
          <w:sz w:val="22"/>
        </w:rPr>
      </w:pPr>
      <w:r>
        <w:rPr>
          <w:b/>
          <w:bCs/>
          <w:sz w:val="22"/>
          <w:vertAlign w:val="superscript"/>
        </w:rPr>
        <w:t xml:space="preserve">a </w:t>
      </w:r>
      <w:r>
        <w:rPr>
          <w:sz w:val="22"/>
        </w:rPr>
        <w:t>Designación de los centros educativos actuales antes de la entrada en vigor de la actual Ley sobre tutela educativa, a partir del 1º de enero de 2001.  Por tanto los datos de este cuadro se refieren a los años 1999 y 2000.</w:t>
      </w:r>
    </w:p>
    <w:p w:rsidR="00000000" w:rsidRDefault="00000000">
      <w:pPr>
        <w:autoSpaceDE w:val="0"/>
        <w:autoSpaceDN w:val="0"/>
        <w:adjustRightInd w:val="0"/>
        <w:spacing w:after="180"/>
        <w:jc w:val="center"/>
        <w:rPr>
          <w:b/>
          <w:sz w:val="19"/>
        </w:rPr>
      </w:pPr>
      <w:r>
        <w:rPr>
          <w:b/>
          <w:sz w:val="19"/>
        </w:rPr>
        <w:t>Cuadro 4</w:t>
      </w:r>
    </w:p>
    <w:p w:rsidR="00000000" w:rsidRDefault="00000000">
      <w:pPr>
        <w:autoSpaceDE w:val="0"/>
        <w:autoSpaceDN w:val="0"/>
        <w:adjustRightInd w:val="0"/>
        <w:spacing w:after="200"/>
        <w:jc w:val="center"/>
        <w:rPr>
          <w:b/>
          <w:sz w:val="19"/>
        </w:rPr>
      </w:pPr>
      <w:r>
        <w:rPr>
          <w:b/>
          <w:sz w:val="19"/>
        </w:rPr>
        <w:t>Menores internados en centros educativos por situación jurídica</w:t>
      </w: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449"/>
        <w:gridCol w:w="1320"/>
        <w:gridCol w:w="1320"/>
        <w:gridCol w:w="1320"/>
        <w:gridCol w:w="963"/>
      </w:tblGrid>
      <w:tr w:rsidR="00000000">
        <w:trPr>
          <w:jc w:val="center"/>
        </w:trPr>
        <w:tc>
          <w:tcPr>
            <w:tcW w:w="4449" w:type="dxa"/>
            <w:vAlign w:val="center"/>
          </w:tcPr>
          <w:p w:rsidR="00000000" w:rsidRDefault="00000000">
            <w:pPr>
              <w:jc w:val="center"/>
              <w:rPr>
                <w:sz w:val="19"/>
              </w:rPr>
            </w:pPr>
            <w:r>
              <w:rPr>
                <w:sz w:val="19"/>
              </w:rPr>
              <w:t>Decisión de internamiento</w:t>
            </w:r>
          </w:p>
        </w:tc>
        <w:tc>
          <w:tcPr>
            <w:tcW w:w="1320" w:type="dxa"/>
            <w:vAlign w:val="center"/>
          </w:tcPr>
          <w:p w:rsidR="00000000" w:rsidRDefault="00000000">
            <w:pPr>
              <w:jc w:val="center"/>
              <w:rPr>
                <w:sz w:val="19"/>
              </w:rPr>
            </w:pPr>
            <w:r>
              <w:rPr>
                <w:sz w:val="19"/>
              </w:rPr>
              <w:t>31 de diciembre de 2001</w:t>
            </w:r>
          </w:p>
        </w:tc>
        <w:tc>
          <w:tcPr>
            <w:tcW w:w="1320" w:type="dxa"/>
            <w:vAlign w:val="center"/>
          </w:tcPr>
          <w:p w:rsidR="00000000" w:rsidRDefault="00000000">
            <w:pPr>
              <w:jc w:val="center"/>
              <w:rPr>
                <w:sz w:val="19"/>
              </w:rPr>
            </w:pPr>
            <w:r>
              <w:rPr>
                <w:sz w:val="19"/>
              </w:rPr>
              <w:t>31 de diciembre de 2002</w:t>
            </w:r>
          </w:p>
        </w:tc>
        <w:tc>
          <w:tcPr>
            <w:tcW w:w="1320" w:type="dxa"/>
            <w:vAlign w:val="center"/>
          </w:tcPr>
          <w:p w:rsidR="00000000" w:rsidRDefault="00000000">
            <w:pPr>
              <w:jc w:val="center"/>
              <w:rPr>
                <w:sz w:val="19"/>
              </w:rPr>
            </w:pPr>
            <w:r>
              <w:rPr>
                <w:sz w:val="19"/>
              </w:rPr>
              <w:t>31 de diciembre de 2003</w:t>
            </w:r>
          </w:p>
        </w:tc>
        <w:tc>
          <w:tcPr>
            <w:tcW w:w="963" w:type="dxa"/>
            <w:vAlign w:val="center"/>
          </w:tcPr>
          <w:p w:rsidR="00000000" w:rsidRDefault="00000000">
            <w:pPr>
              <w:jc w:val="center"/>
              <w:rPr>
                <w:sz w:val="19"/>
              </w:rPr>
            </w:pPr>
            <w:r>
              <w:rPr>
                <w:sz w:val="19"/>
              </w:rPr>
              <w:t>30 de abril de 2004</w:t>
            </w:r>
          </w:p>
        </w:tc>
      </w:tr>
      <w:tr w:rsidR="00000000">
        <w:trPr>
          <w:jc w:val="center"/>
        </w:trPr>
        <w:tc>
          <w:tcPr>
            <w:tcW w:w="4449" w:type="dxa"/>
            <w:vAlign w:val="center"/>
          </w:tcPr>
          <w:p w:rsidR="00000000" w:rsidRDefault="00000000">
            <w:pPr>
              <w:rPr>
                <w:sz w:val="19"/>
              </w:rPr>
            </w:pPr>
            <w:r>
              <w:rPr>
                <w:sz w:val="19"/>
              </w:rPr>
              <w:t>Internamiento para un estudio de personalidad/régimen semiabierto</w:t>
            </w:r>
          </w:p>
        </w:tc>
        <w:tc>
          <w:tcPr>
            <w:tcW w:w="1320" w:type="dxa"/>
            <w:vAlign w:val="bottom"/>
          </w:tcPr>
          <w:p w:rsidR="00000000" w:rsidRDefault="00000000">
            <w:pPr>
              <w:tabs>
                <w:tab w:val="decimal" w:pos="812"/>
              </w:tabs>
              <w:rPr>
                <w:sz w:val="19"/>
              </w:rPr>
            </w:pPr>
            <w:r>
              <w:rPr>
                <w:sz w:val="19"/>
              </w:rPr>
              <w:t>2</w:t>
            </w:r>
          </w:p>
        </w:tc>
        <w:tc>
          <w:tcPr>
            <w:tcW w:w="1320" w:type="dxa"/>
            <w:vAlign w:val="bottom"/>
          </w:tcPr>
          <w:p w:rsidR="00000000" w:rsidRDefault="00000000">
            <w:pPr>
              <w:tabs>
                <w:tab w:val="decimal" w:pos="812"/>
              </w:tabs>
              <w:rPr>
                <w:sz w:val="19"/>
              </w:rPr>
            </w:pPr>
            <w:r>
              <w:rPr>
                <w:sz w:val="19"/>
              </w:rPr>
              <w:t>4</w:t>
            </w:r>
          </w:p>
        </w:tc>
        <w:tc>
          <w:tcPr>
            <w:tcW w:w="1320" w:type="dxa"/>
            <w:vAlign w:val="bottom"/>
          </w:tcPr>
          <w:p w:rsidR="00000000" w:rsidRDefault="00000000">
            <w:pPr>
              <w:tabs>
                <w:tab w:val="decimal" w:pos="812"/>
              </w:tabs>
              <w:rPr>
                <w:sz w:val="19"/>
              </w:rPr>
            </w:pPr>
            <w:r>
              <w:rPr>
                <w:sz w:val="19"/>
              </w:rPr>
              <w:t>2</w:t>
            </w:r>
          </w:p>
        </w:tc>
        <w:tc>
          <w:tcPr>
            <w:tcW w:w="963" w:type="dxa"/>
            <w:vAlign w:val="bottom"/>
          </w:tcPr>
          <w:p w:rsidR="00000000" w:rsidRDefault="00000000">
            <w:pPr>
              <w:tabs>
                <w:tab w:val="decimal" w:pos="572"/>
              </w:tabs>
              <w:rPr>
                <w:sz w:val="19"/>
              </w:rPr>
            </w:pPr>
            <w:r>
              <w:rPr>
                <w:sz w:val="19"/>
              </w:rPr>
              <w:t>1</w:t>
            </w:r>
          </w:p>
        </w:tc>
      </w:tr>
      <w:tr w:rsidR="00000000">
        <w:trPr>
          <w:jc w:val="center"/>
        </w:trPr>
        <w:tc>
          <w:tcPr>
            <w:tcW w:w="4449" w:type="dxa"/>
            <w:vAlign w:val="center"/>
          </w:tcPr>
          <w:p w:rsidR="00000000" w:rsidRDefault="00000000">
            <w:pPr>
              <w:rPr>
                <w:sz w:val="19"/>
              </w:rPr>
            </w:pPr>
            <w:r>
              <w:rPr>
                <w:sz w:val="19"/>
              </w:rPr>
              <w:t>Internamiento para un estudio de personalidad/régimen cerrado</w:t>
            </w:r>
          </w:p>
        </w:tc>
        <w:tc>
          <w:tcPr>
            <w:tcW w:w="1320" w:type="dxa"/>
            <w:vAlign w:val="bottom"/>
          </w:tcPr>
          <w:p w:rsidR="00000000" w:rsidRDefault="00000000">
            <w:pPr>
              <w:tabs>
                <w:tab w:val="decimal" w:pos="812"/>
              </w:tabs>
              <w:rPr>
                <w:sz w:val="19"/>
              </w:rPr>
            </w:pPr>
            <w:r>
              <w:rPr>
                <w:sz w:val="19"/>
              </w:rPr>
              <w:t>2</w:t>
            </w:r>
          </w:p>
        </w:tc>
        <w:tc>
          <w:tcPr>
            <w:tcW w:w="1320" w:type="dxa"/>
            <w:vAlign w:val="bottom"/>
          </w:tcPr>
          <w:p w:rsidR="00000000" w:rsidRDefault="00000000">
            <w:pPr>
              <w:tabs>
                <w:tab w:val="decimal" w:pos="812"/>
              </w:tabs>
              <w:rPr>
                <w:sz w:val="19"/>
              </w:rPr>
            </w:pPr>
            <w:r>
              <w:rPr>
                <w:sz w:val="19"/>
              </w:rPr>
              <w:t>1</w:t>
            </w:r>
          </w:p>
        </w:tc>
        <w:tc>
          <w:tcPr>
            <w:tcW w:w="1320" w:type="dxa"/>
            <w:vAlign w:val="bottom"/>
          </w:tcPr>
          <w:p w:rsidR="00000000" w:rsidRDefault="00000000">
            <w:pPr>
              <w:tabs>
                <w:tab w:val="decimal" w:pos="812"/>
              </w:tabs>
              <w:rPr>
                <w:sz w:val="19"/>
              </w:rPr>
            </w:pPr>
          </w:p>
        </w:tc>
        <w:tc>
          <w:tcPr>
            <w:tcW w:w="963" w:type="dxa"/>
            <w:vAlign w:val="bottom"/>
          </w:tcPr>
          <w:p w:rsidR="00000000" w:rsidRDefault="00000000">
            <w:pPr>
              <w:tabs>
                <w:tab w:val="decimal" w:pos="572"/>
              </w:tabs>
              <w:rPr>
                <w:sz w:val="19"/>
              </w:rPr>
            </w:pPr>
          </w:p>
        </w:tc>
      </w:tr>
      <w:tr w:rsidR="00000000">
        <w:trPr>
          <w:jc w:val="center"/>
        </w:trPr>
        <w:tc>
          <w:tcPr>
            <w:tcW w:w="4449" w:type="dxa"/>
            <w:vAlign w:val="center"/>
          </w:tcPr>
          <w:p w:rsidR="00000000" w:rsidRDefault="00000000">
            <w:pPr>
              <w:rPr>
                <w:sz w:val="19"/>
              </w:rPr>
            </w:pPr>
            <w:r>
              <w:rPr>
                <w:sz w:val="19"/>
              </w:rPr>
              <w:t>Medida de precaución de custodia/régimen semiabierto</w:t>
            </w:r>
          </w:p>
        </w:tc>
        <w:tc>
          <w:tcPr>
            <w:tcW w:w="1320" w:type="dxa"/>
            <w:vAlign w:val="bottom"/>
          </w:tcPr>
          <w:p w:rsidR="00000000" w:rsidRDefault="00000000">
            <w:pPr>
              <w:tabs>
                <w:tab w:val="decimal" w:pos="812"/>
              </w:tabs>
              <w:rPr>
                <w:sz w:val="19"/>
              </w:rPr>
            </w:pPr>
            <w:r>
              <w:rPr>
                <w:sz w:val="19"/>
              </w:rPr>
              <w:t>9</w:t>
            </w:r>
          </w:p>
        </w:tc>
        <w:tc>
          <w:tcPr>
            <w:tcW w:w="1320" w:type="dxa"/>
            <w:vAlign w:val="bottom"/>
          </w:tcPr>
          <w:p w:rsidR="00000000" w:rsidRDefault="00000000">
            <w:pPr>
              <w:tabs>
                <w:tab w:val="decimal" w:pos="812"/>
              </w:tabs>
              <w:rPr>
                <w:sz w:val="19"/>
              </w:rPr>
            </w:pPr>
            <w:r>
              <w:rPr>
                <w:sz w:val="19"/>
              </w:rPr>
              <w:t>27</w:t>
            </w:r>
          </w:p>
        </w:tc>
        <w:tc>
          <w:tcPr>
            <w:tcW w:w="1320" w:type="dxa"/>
            <w:vAlign w:val="bottom"/>
          </w:tcPr>
          <w:p w:rsidR="00000000" w:rsidRDefault="00000000">
            <w:pPr>
              <w:tabs>
                <w:tab w:val="decimal" w:pos="812"/>
              </w:tabs>
              <w:rPr>
                <w:sz w:val="19"/>
              </w:rPr>
            </w:pPr>
            <w:r>
              <w:rPr>
                <w:sz w:val="19"/>
              </w:rPr>
              <w:t>36</w:t>
            </w:r>
          </w:p>
        </w:tc>
        <w:tc>
          <w:tcPr>
            <w:tcW w:w="963" w:type="dxa"/>
            <w:vAlign w:val="bottom"/>
          </w:tcPr>
          <w:p w:rsidR="00000000" w:rsidRDefault="00000000">
            <w:pPr>
              <w:tabs>
                <w:tab w:val="decimal" w:pos="572"/>
              </w:tabs>
              <w:rPr>
                <w:sz w:val="19"/>
              </w:rPr>
            </w:pPr>
            <w:r>
              <w:rPr>
                <w:sz w:val="19"/>
              </w:rPr>
              <w:t>28</w:t>
            </w:r>
          </w:p>
        </w:tc>
      </w:tr>
      <w:tr w:rsidR="00000000">
        <w:trPr>
          <w:jc w:val="center"/>
        </w:trPr>
        <w:tc>
          <w:tcPr>
            <w:tcW w:w="4449" w:type="dxa"/>
            <w:vAlign w:val="center"/>
          </w:tcPr>
          <w:p w:rsidR="00000000" w:rsidRDefault="00000000">
            <w:pPr>
              <w:rPr>
                <w:sz w:val="19"/>
              </w:rPr>
            </w:pPr>
            <w:r>
              <w:rPr>
                <w:sz w:val="19"/>
              </w:rPr>
              <w:t>Medida de precaución de custodia/régimen cerrado</w:t>
            </w:r>
          </w:p>
        </w:tc>
        <w:tc>
          <w:tcPr>
            <w:tcW w:w="1320" w:type="dxa"/>
            <w:vAlign w:val="bottom"/>
          </w:tcPr>
          <w:p w:rsidR="00000000" w:rsidRDefault="00000000">
            <w:pPr>
              <w:tabs>
                <w:tab w:val="decimal" w:pos="812"/>
              </w:tabs>
              <w:rPr>
                <w:sz w:val="19"/>
              </w:rPr>
            </w:pPr>
            <w:r>
              <w:rPr>
                <w:sz w:val="19"/>
              </w:rPr>
              <w:t>17</w:t>
            </w:r>
          </w:p>
        </w:tc>
        <w:tc>
          <w:tcPr>
            <w:tcW w:w="1320" w:type="dxa"/>
            <w:vAlign w:val="bottom"/>
          </w:tcPr>
          <w:p w:rsidR="00000000" w:rsidRDefault="00000000">
            <w:pPr>
              <w:tabs>
                <w:tab w:val="decimal" w:pos="812"/>
              </w:tabs>
              <w:rPr>
                <w:sz w:val="19"/>
              </w:rPr>
            </w:pPr>
            <w:r>
              <w:rPr>
                <w:sz w:val="19"/>
              </w:rPr>
              <w:t>17</w:t>
            </w:r>
          </w:p>
        </w:tc>
        <w:tc>
          <w:tcPr>
            <w:tcW w:w="1320" w:type="dxa"/>
            <w:vAlign w:val="bottom"/>
          </w:tcPr>
          <w:p w:rsidR="00000000" w:rsidRDefault="00000000">
            <w:pPr>
              <w:tabs>
                <w:tab w:val="decimal" w:pos="812"/>
              </w:tabs>
              <w:rPr>
                <w:sz w:val="19"/>
              </w:rPr>
            </w:pPr>
            <w:r>
              <w:rPr>
                <w:sz w:val="19"/>
              </w:rPr>
              <w:t>5</w:t>
            </w:r>
          </w:p>
        </w:tc>
        <w:tc>
          <w:tcPr>
            <w:tcW w:w="963" w:type="dxa"/>
            <w:vAlign w:val="bottom"/>
          </w:tcPr>
          <w:p w:rsidR="00000000" w:rsidRDefault="00000000">
            <w:pPr>
              <w:tabs>
                <w:tab w:val="decimal" w:pos="572"/>
              </w:tabs>
              <w:rPr>
                <w:sz w:val="19"/>
              </w:rPr>
            </w:pPr>
            <w:r>
              <w:rPr>
                <w:sz w:val="19"/>
              </w:rPr>
              <w:t>10</w:t>
            </w:r>
          </w:p>
        </w:tc>
      </w:tr>
      <w:tr w:rsidR="00000000">
        <w:trPr>
          <w:jc w:val="center"/>
        </w:trPr>
        <w:tc>
          <w:tcPr>
            <w:tcW w:w="4449" w:type="dxa"/>
            <w:vAlign w:val="center"/>
          </w:tcPr>
          <w:p w:rsidR="00000000" w:rsidRDefault="00000000">
            <w:pPr>
              <w:rPr>
                <w:sz w:val="19"/>
              </w:rPr>
            </w:pPr>
            <w:r>
              <w:rPr>
                <w:sz w:val="19"/>
              </w:rPr>
              <w:t>Medida tutelar de internamiento/régimen abierto</w:t>
            </w:r>
          </w:p>
        </w:tc>
        <w:tc>
          <w:tcPr>
            <w:tcW w:w="1320" w:type="dxa"/>
            <w:vAlign w:val="bottom"/>
          </w:tcPr>
          <w:p w:rsidR="00000000" w:rsidRDefault="00000000">
            <w:pPr>
              <w:tabs>
                <w:tab w:val="decimal" w:pos="812"/>
              </w:tabs>
              <w:rPr>
                <w:sz w:val="19"/>
              </w:rPr>
            </w:pPr>
            <w:r>
              <w:rPr>
                <w:sz w:val="19"/>
              </w:rPr>
              <w:t>22</w:t>
            </w:r>
          </w:p>
        </w:tc>
        <w:tc>
          <w:tcPr>
            <w:tcW w:w="1320" w:type="dxa"/>
            <w:vAlign w:val="bottom"/>
          </w:tcPr>
          <w:p w:rsidR="00000000" w:rsidRDefault="00000000">
            <w:pPr>
              <w:tabs>
                <w:tab w:val="decimal" w:pos="812"/>
              </w:tabs>
              <w:rPr>
                <w:sz w:val="19"/>
              </w:rPr>
            </w:pPr>
            <w:r>
              <w:rPr>
                <w:sz w:val="19"/>
              </w:rPr>
              <w:t>26</w:t>
            </w:r>
          </w:p>
        </w:tc>
        <w:tc>
          <w:tcPr>
            <w:tcW w:w="1320" w:type="dxa"/>
            <w:vAlign w:val="bottom"/>
          </w:tcPr>
          <w:p w:rsidR="00000000" w:rsidRDefault="00000000">
            <w:pPr>
              <w:tabs>
                <w:tab w:val="decimal" w:pos="812"/>
              </w:tabs>
              <w:rPr>
                <w:sz w:val="19"/>
              </w:rPr>
            </w:pPr>
            <w:r>
              <w:rPr>
                <w:sz w:val="19"/>
              </w:rPr>
              <w:t>32</w:t>
            </w:r>
          </w:p>
        </w:tc>
        <w:tc>
          <w:tcPr>
            <w:tcW w:w="963" w:type="dxa"/>
            <w:vAlign w:val="bottom"/>
          </w:tcPr>
          <w:p w:rsidR="00000000" w:rsidRDefault="00000000">
            <w:pPr>
              <w:tabs>
                <w:tab w:val="decimal" w:pos="572"/>
              </w:tabs>
              <w:rPr>
                <w:sz w:val="19"/>
              </w:rPr>
            </w:pPr>
            <w:r>
              <w:rPr>
                <w:sz w:val="19"/>
              </w:rPr>
              <w:t>42</w:t>
            </w:r>
          </w:p>
        </w:tc>
      </w:tr>
      <w:tr w:rsidR="00000000">
        <w:trPr>
          <w:jc w:val="center"/>
        </w:trPr>
        <w:tc>
          <w:tcPr>
            <w:tcW w:w="4449" w:type="dxa"/>
            <w:vAlign w:val="center"/>
          </w:tcPr>
          <w:p w:rsidR="00000000" w:rsidRDefault="00000000">
            <w:pPr>
              <w:rPr>
                <w:sz w:val="19"/>
              </w:rPr>
            </w:pPr>
            <w:r>
              <w:rPr>
                <w:sz w:val="19"/>
              </w:rPr>
              <w:t>Medida tutelar de internamiento/régimen semiabierto</w:t>
            </w:r>
          </w:p>
        </w:tc>
        <w:tc>
          <w:tcPr>
            <w:tcW w:w="1320" w:type="dxa"/>
            <w:vAlign w:val="bottom"/>
          </w:tcPr>
          <w:p w:rsidR="00000000" w:rsidRDefault="00000000">
            <w:pPr>
              <w:tabs>
                <w:tab w:val="decimal" w:pos="812"/>
              </w:tabs>
              <w:rPr>
                <w:sz w:val="19"/>
              </w:rPr>
            </w:pPr>
            <w:r>
              <w:rPr>
                <w:sz w:val="19"/>
              </w:rPr>
              <w:t>127</w:t>
            </w:r>
          </w:p>
        </w:tc>
        <w:tc>
          <w:tcPr>
            <w:tcW w:w="1320" w:type="dxa"/>
            <w:vAlign w:val="bottom"/>
          </w:tcPr>
          <w:p w:rsidR="00000000" w:rsidRDefault="00000000">
            <w:pPr>
              <w:tabs>
                <w:tab w:val="decimal" w:pos="812"/>
              </w:tabs>
              <w:rPr>
                <w:sz w:val="19"/>
              </w:rPr>
            </w:pPr>
            <w:r>
              <w:rPr>
                <w:sz w:val="19"/>
              </w:rPr>
              <w:t>112</w:t>
            </w:r>
          </w:p>
        </w:tc>
        <w:tc>
          <w:tcPr>
            <w:tcW w:w="1320" w:type="dxa"/>
            <w:vAlign w:val="bottom"/>
          </w:tcPr>
          <w:p w:rsidR="00000000" w:rsidRDefault="00000000">
            <w:pPr>
              <w:tabs>
                <w:tab w:val="decimal" w:pos="812"/>
              </w:tabs>
              <w:rPr>
                <w:sz w:val="19"/>
              </w:rPr>
            </w:pPr>
            <w:r>
              <w:rPr>
                <w:sz w:val="19"/>
              </w:rPr>
              <w:t>172</w:t>
            </w:r>
          </w:p>
        </w:tc>
        <w:tc>
          <w:tcPr>
            <w:tcW w:w="963" w:type="dxa"/>
            <w:vAlign w:val="bottom"/>
          </w:tcPr>
          <w:p w:rsidR="00000000" w:rsidRDefault="00000000">
            <w:pPr>
              <w:tabs>
                <w:tab w:val="decimal" w:pos="572"/>
              </w:tabs>
              <w:rPr>
                <w:sz w:val="19"/>
              </w:rPr>
            </w:pPr>
            <w:r>
              <w:rPr>
                <w:sz w:val="19"/>
              </w:rPr>
              <w:t>188</w:t>
            </w:r>
          </w:p>
        </w:tc>
      </w:tr>
      <w:tr w:rsidR="00000000">
        <w:trPr>
          <w:jc w:val="center"/>
        </w:trPr>
        <w:tc>
          <w:tcPr>
            <w:tcW w:w="4449" w:type="dxa"/>
            <w:vAlign w:val="center"/>
          </w:tcPr>
          <w:p w:rsidR="00000000" w:rsidRDefault="00000000">
            <w:pPr>
              <w:rPr>
                <w:sz w:val="19"/>
              </w:rPr>
            </w:pPr>
            <w:r>
              <w:rPr>
                <w:sz w:val="19"/>
              </w:rPr>
              <w:t>Medida tutelar de internamiento/régimen cerrado</w:t>
            </w:r>
          </w:p>
        </w:tc>
        <w:tc>
          <w:tcPr>
            <w:tcW w:w="1320" w:type="dxa"/>
            <w:vAlign w:val="bottom"/>
          </w:tcPr>
          <w:p w:rsidR="00000000" w:rsidRDefault="00000000">
            <w:pPr>
              <w:tabs>
                <w:tab w:val="decimal" w:pos="812"/>
              </w:tabs>
              <w:rPr>
                <w:sz w:val="19"/>
              </w:rPr>
            </w:pPr>
            <w:r>
              <w:rPr>
                <w:sz w:val="19"/>
              </w:rPr>
              <w:t>14</w:t>
            </w:r>
          </w:p>
        </w:tc>
        <w:tc>
          <w:tcPr>
            <w:tcW w:w="1320" w:type="dxa"/>
            <w:vAlign w:val="bottom"/>
          </w:tcPr>
          <w:p w:rsidR="00000000" w:rsidRDefault="00000000">
            <w:pPr>
              <w:tabs>
                <w:tab w:val="decimal" w:pos="812"/>
              </w:tabs>
              <w:rPr>
                <w:sz w:val="19"/>
              </w:rPr>
            </w:pPr>
            <w:r>
              <w:rPr>
                <w:sz w:val="19"/>
              </w:rPr>
              <w:t>33</w:t>
            </w:r>
          </w:p>
        </w:tc>
        <w:tc>
          <w:tcPr>
            <w:tcW w:w="1320" w:type="dxa"/>
            <w:vAlign w:val="bottom"/>
          </w:tcPr>
          <w:p w:rsidR="00000000" w:rsidRDefault="00000000">
            <w:pPr>
              <w:tabs>
                <w:tab w:val="decimal" w:pos="812"/>
              </w:tabs>
              <w:rPr>
                <w:sz w:val="19"/>
              </w:rPr>
            </w:pPr>
            <w:r>
              <w:rPr>
                <w:sz w:val="19"/>
              </w:rPr>
              <w:t>36</w:t>
            </w:r>
          </w:p>
        </w:tc>
        <w:tc>
          <w:tcPr>
            <w:tcW w:w="963" w:type="dxa"/>
            <w:vAlign w:val="bottom"/>
          </w:tcPr>
          <w:p w:rsidR="00000000" w:rsidRDefault="00000000">
            <w:pPr>
              <w:tabs>
                <w:tab w:val="decimal" w:pos="572"/>
              </w:tabs>
              <w:rPr>
                <w:sz w:val="19"/>
              </w:rPr>
            </w:pPr>
            <w:r>
              <w:rPr>
                <w:sz w:val="19"/>
              </w:rPr>
              <w:t>36</w:t>
            </w:r>
          </w:p>
        </w:tc>
      </w:tr>
      <w:tr w:rsidR="00000000">
        <w:trPr>
          <w:jc w:val="center"/>
        </w:trPr>
        <w:tc>
          <w:tcPr>
            <w:tcW w:w="4449" w:type="dxa"/>
            <w:vAlign w:val="center"/>
          </w:tcPr>
          <w:p w:rsidR="00000000" w:rsidRDefault="00000000">
            <w:pPr>
              <w:rPr>
                <w:sz w:val="19"/>
              </w:rPr>
            </w:pPr>
            <w:r>
              <w:rPr>
                <w:sz w:val="19"/>
              </w:rPr>
              <w:t>Internamiento de fin de semana</w:t>
            </w:r>
          </w:p>
        </w:tc>
        <w:tc>
          <w:tcPr>
            <w:tcW w:w="1320" w:type="dxa"/>
            <w:vAlign w:val="bottom"/>
          </w:tcPr>
          <w:p w:rsidR="00000000" w:rsidRDefault="00000000">
            <w:pPr>
              <w:tabs>
                <w:tab w:val="decimal" w:pos="812"/>
              </w:tabs>
              <w:rPr>
                <w:sz w:val="19"/>
              </w:rPr>
            </w:pPr>
          </w:p>
        </w:tc>
        <w:tc>
          <w:tcPr>
            <w:tcW w:w="1320" w:type="dxa"/>
            <w:vAlign w:val="bottom"/>
          </w:tcPr>
          <w:p w:rsidR="00000000" w:rsidRDefault="00000000">
            <w:pPr>
              <w:tabs>
                <w:tab w:val="decimal" w:pos="812"/>
              </w:tabs>
              <w:rPr>
                <w:sz w:val="19"/>
              </w:rPr>
            </w:pPr>
            <w:r>
              <w:rPr>
                <w:sz w:val="19"/>
              </w:rPr>
              <w:t>2</w:t>
            </w:r>
          </w:p>
        </w:tc>
        <w:tc>
          <w:tcPr>
            <w:tcW w:w="1320" w:type="dxa"/>
            <w:vAlign w:val="bottom"/>
          </w:tcPr>
          <w:p w:rsidR="00000000" w:rsidRDefault="00000000">
            <w:pPr>
              <w:tabs>
                <w:tab w:val="decimal" w:pos="812"/>
              </w:tabs>
              <w:rPr>
                <w:sz w:val="19"/>
              </w:rPr>
            </w:pPr>
            <w:r>
              <w:rPr>
                <w:sz w:val="19"/>
              </w:rPr>
              <w:t>9</w:t>
            </w:r>
          </w:p>
        </w:tc>
        <w:tc>
          <w:tcPr>
            <w:tcW w:w="963" w:type="dxa"/>
            <w:vAlign w:val="bottom"/>
          </w:tcPr>
          <w:p w:rsidR="00000000" w:rsidRDefault="00000000">
            <w:pPr>
              <w:tabs>
                <w:tab w:val="decimal" w:pos="572"/>
              </w:tabs>
              <w:rPr>
                <w:sz w:val="19"/>
              </w:rPr>
            </w:pPr>
            <w:r>
              <w:rPr>
                <w:sz w:val="19"/>
              </w:rPr>
              <w:t>7</w:t>
            </w:r>
          </w:p>
        </w:tc>
      </w:tr>
      <w:tr w:rsidR="00000000">
        <w:trPr>
          <w:jc w:val="center"/>
        </w:trPr>
        <w:tc>
          <w:tcPr>
            <w:tcW w:w="4449" w:type="dxa"/>
            <w:vAlign w:val="center"/>
          </w:tcPr>
          <w:p w:rsidR="00000000" w:rsidRDefault="00000000">
            <w:pPr>
              <w:rPr>
                <w:sz w:val="19"/>
              </w:rPr>
            </w:pPr>
            <w:r>
              <w:rPr>
                <w:sz w:val="19"/>
              </w:rPr>
              <w:t>En espera de su colocación en una institución privada de solidaridad social</w:t>
            </w:r>
          </w:p>
        </w:tc>
        <w:tc>
          <w:tcPr>
            <w:tcW w:w="1320" w:type="dxa"/>
            <w:vAlign w:val="bottom"/>
          </w:tcPr>
          <w:p w:rsidR="00000000" w:rsidRDefault="00000000">
            <w:pPr>
              <w:tabs>
                <w:tab w:val="decimal" w:pos="812"/>
              </w:tabs>
              <w:rPr>
                <w:sz w:val="19"/>
              </w:rPr>
            </w:pPr>
            <w:r>
              <w:rPr>
                <w:sz w:val="19"/>
              </w:rPr>
              <w:t>26</w:t>
            </w:r>
          </w:p>
        </w:tc>
        <w:tc>
          <w:tcPr>
            <w:tcW w:w="1320" w:type="dxa"/>
            <w:vAlign w:val="bottom"/>
          </w:tcPr>
          <w:p w:rsidR="00000000" w:rsidRDefault="00000000">
            <w:pPr>
              <w:tabs>
                <w:tab w:val="decimal" w:pos="812"/>
              </w:tabs>
              <w:rPr>
                <w:sz w:val="19"/>
              </w:rPr>
            </w:pPr>
            <w:r>
              <w:rPr>
                <w:sz w:val="19"/>
              </w:rPr>
              <w:t>4</w:t>
            </w:r>
          </w:p>
        </w:tc>
        <w:tc>
          <w:tcPr>
            <w:tcW w:w="1320" w:type="dxa"/>
            <w:vAlign w:val="bottom"/>
          </w:tcPr>
          <w:p w:rsidR="00000000" w:rsidRDefault="00000000">
            <w:pPr>
              <w:tabs>
                <w:tab w:val="decimal" w:pos="812"/>
              </w:tabs>
              <w:rPr>
                <w:sz w:val="19"/>
              </w:rPr>
            </w:pPr>
            <w:r>
              <w:rPr>
                <w:sz w:val="19"/>
              </w:rPr>
              <w:t>2</w:t>
            </w:r>
          </w:p>
        </w:tc>
        <w:tc>
          <w:tcPr>
            <w:tcW w:w="963" w:type="dxa"/>
            <w:vAlign w:val="bottom"/>
          </w:tcPr>
          <w:p w:rsidR="00000000" w:rsidRDefault="00000000">
            <w:pPr>
              <w:tabs>
                <w:tab w:val="decimal" w:pos="572"/>
              </w:tabs>
              <w:rPr>
                <w:sz w:val="19"/>
              </w:rPr>
            </w:pPr>
            <w:r>
              <w:rPr>
                <w:sz w:val="19"/>
              </w:rPr>
              <w:t>1</w:t>
            </w:r>
          </w:p>
        </w:tc>
      </w:tr>
      <w:tr w:rsidR="00000000">
        <w:trPr>
          <w:jc w:val="center"/>
        </w:trPr>
        <w:tc>
          <w:tcPr>
            <w:tcW w:w="4449" w:type="dxa"/>
            <w:vAlign w:val="center"/>
          </w:tcPr>
          <w:p w:rsidR="00000000" w:rsidRDefault="00000000">
            <w:pPr>
              <w:rPr>
                <w:sz w:val="19"/>
              </w:rPr>
            </w:pPr>
            <w:r>
              <w:rPr>
                <w:sz w:val="19"/>
              </w:rPr>
              <w:tab/>
              <w:t>Total</w:t>
            </w:r>
          </w:p>
        </w:tc>
        <w:tc>
          <w:tcPr>
            <w:tcW w:w="1320" w:type="dxa"/>
            <w:vAlign w:val="bottom"/>
          </w:tcPr>
          <w:p w:rsidR="00000000" w:rsidRDefault="00000000">
            <w:pPr>
              <w:tabs>
                <w:tab w:val="decimal" w:pos="812"/>
              </w:tabs>
              <w:rPr>
                <w:sz w:val="19"/>
              </w:rPr>
            </w:pPr>
            <w:r>
              <w:rPr>
                <w:sz w:val="19"/>
              </w:rPr>
              <w:t>219</w:t>
            </w:r>
          </w:p>
        </w:tc>
        <w:tc>
          <w:tcPr>
            <w:tcW w:w="1320" w:type="dxa"/>
            <w:vAlign w:val="bottom"/>
          </w:tcPr>
          <w:p w:rsidR="00000000" w:rsidRDefault="00000000">
            <w:pPr>
              <w:tabs>
                <w:tab w:val="decimal" w:pos="812"/>
              </w:tabs>
              <w:rPr>
                <w:sz w:val="19"/>
              </w:rPr>
            </w:pPr>
            <w:r>
              <w:rPr>
                <w:sz w:val="19"/>
              </w:rPr>
              <w:t>226</w:t>
            </w:r>
          </w:p>
        </w:tc>
        <w:tc>
          <w:tcPr>
            <w:tcW w:w="1320" w:type="dxa"/>
            <w:vAlign w:val="bottom"/>
          </w:tcPr>
          <w:p w:rsidR="00000000" w:rsidRDefault="00000000">
            <w:pPr>
              <w:tabs>
                <w:tab w:val="decimal" w:pos="812"/>
              </w:tabs>
              <w:rPr>
                <w:sz w:val="19"/>
              </w:rPr>
            </w:pPr>
            <w:r>
              <w:rPr>
                <w:sz w:val="19"/>
              </w:rPr>
              <w:t>294</w:t>
            </w:r>
          </w:p>
        </w:tc>
        <w:tc>
          <w:tcPr>
            <w:tcW w:w="963" w:type="dxa"/>
            <w:vAlign w:val="bottom"/>
          </w:tcPr>
          <w:p w:rsidR="00000000" w:rsidRDefault="00000000">
            <w:pPr>
              <w:tabs>
                <w:tab w:val="decimal" w:pos="572"/>
              </w:tabs>
              <w:rPr>
                <w:sz w:val="19"/>
              </w:rPr>
            </w:pPr>
            <w:r>
              <w:rPr>
                <w:sz w:val="19"/>
              </w:rPr>
              <w:t>313</w:t>
            </w:r>
          </w:p>
        </w:tc>
      </w:tr>
    </w:tbl>
    <w:p w:rsidR="00000000" w:rsidRDefault="00000000">
      <w:pPr>
        <w:autoSpaceDE w:val="0"/>
        <w:autoSpaceDN w:val="0"/>
        <w:adjustRightInd w:val="0"/>
        <w:spacing w:before="360" w:after="240"/>
        <w:jc w:val="center"/>
        <w:rPr>
          <w:b/>
        </w:rPr>
      </w:pPr>
      <w:r>
        <w:rPr>
          <w:b/>
        </w:rPr>
        <w:t>B.  Servicios encargados de aplicar las medidas de privación de libertad</w:t>
      </w:r>
    </w:p>
    <w:p w:rsidR="00000000" w:rsidRDefault="00000000">
      <w:pPr>
        <w:autoSpaceDE w:val="0"/>
        <w:autoSpaceDN w:val="0"/>
        <w:adjustRightInd w:val="0"/>
        <w:spacing w:after="240"/>
      </w:pPr>
      <w:r>
        <w:t>206.</w:t>
      </w:r>
      <w:r>
        <w:tab/>
        <w:t>Estos servicios están regidos por el Decreto-ley Nº 265/79, de 1º de agosto, en el que se indica inmediatamente que la finalidad de la ejecución de las penas es la necesidad de orientar a los detenidos para reintegrarlos en la sociedad, preparándolos para que, en el futuro, vivan de manera socialmente responsable, sin cometer delitos (art. 2).  La ejecución de las medidas de privación de libertad sirve asimismo para defender a la sociedad, al prevenir la perpetración de otros hechos criminales (art. 2).</w:t>
      </w:r>
    </w:p>
    <w:p w:rsidR="00000000" w:rsidRDefault="00000000">
      <w:pPr>
        <w:autoSpaceDE w:val="0"/>
        <w:autoSpaceDN w:val="0"/>
        <w:adjustRightInd w:val="0"/>
        <w:spacing w:after="220"/>
      </w:pPr>
      <w:r>
        <w:t>207.</w:t>
      </w:r>
      <w:r>
        <w:tab/>
        <w:t>En virtud de lo dispuesto en el artículo 4, el detenido conserva el disfrute de sus derechos fundamentales, con excepción de los límites resultantes de la condena, así como los impuestos en aras del orden y la seguridad del establecimiento.  Tiene derecho a un trabajo remunerado, a las prestaciones de la seguridad social, así como al acceso a la cultura y al desarrollo integral de su personalidad.</w:t>
      </w:r>
    </w:p>
    <w:p w:rsidR="00000000" w:rsidRDefault="00000000">
      <w:pPr>
        <w:autoSpaceDE w:val="0"/>
        <w:autoSpaceDN w:val="0"/>
        <w:adjustRightInd w:val="0"/>
        <w:spacing w:after="220"/>
      </w:pPr>
      <w:r>
        <w:t>208.</w:t>
      </w:r>
      <w:r>
        <w:tab/>
        <w:t>El artículo 5 plantea el principio de la responsabilidad compartida de los detenidos en los asuntos de interés general que, por sus características específicas y particularidades -o teniendo en cuenta los objetivos de la ejecución de la pena- puedan suscitar una colaboración adecuada.</w:t>
      </w:r>
    </w:p>
    <w:p w:rsidR="00000000" w:rsidRDefault="00000000">
      <w:pPr>
        <w:autoSpaceDE w:val="0"/>
        <w:autoSpaceDN w:val="0"/>
        <w:adjustRightInd w:val="0"/>
        <w:spacing w:after="220"/>
      </w:pPr>
      <w:r>
        <w:t>209.</w:t>
      </w:r>
      <w:r>
        <w:tab/>
        <w:t>En cada establecimiento existe una ficha de registro, siguiendo el modelo es aprobado por la Dirección General de Servicios Penitenciarios, que contiene, para cada detenido con arreglo a su orden de ingreso:</w:t>
      </w:r>
    </w:p>
    <w:p w:rsidR="00000000" w:rsidRDefault="00000000">
      <w:pPr>
        <w:autoSpaceDE w:val="0"/>
        <w:autoSpaceDN w:val="0"/>
        <w:adjustRightInd w:val="0"/>
        <w:spacing w:after="220"/>
        <w:ind w:left="1134" w:hanging="567"/>
      </w:pPr>
      <w:r>
        <w:t>a)</w:t>
      </w:r>
      <w:r>
        <w:tab/>
        <w:t>El nombre completo, filiación, lugar y fecha de nacimiento, estado civil, domicilio, calificaciones, profesión y cualquier otro elemento ligado a su identificación;</w:t>
      </w:r>
    </w:p>
    <w:p w:rsidR="00000000" w:rsidRDefault="00000000">
      <w:pPr>
        <w:autoSpaceDE w:val="0"/>
        <w:autoSpaceDN w:val="0"/>
        <w:adjustRightInd w:val="0"/>
        <w:spacing w:after="220"/>
        <w:ind w:left="1134" w:hanging="567"/>
      </w:pPr>
      <w:r>
        <w:t>b)</w:t>
      </w:r>
      <w:r>
        <w:tab/>
        <w:t>El día y hora de ingreso;</w:t>
      </w:r>
    </w:p>
    <w:p w:rsidR="00000000" w:rsidRDefault="00000000">
      <w:pPr>
        <w:autoSpaceDE w:val="0"/>
        <w:autoSpaceDN w:val="0"/>
        <w:adjustRightInd w:val="0"/>
        <w:spacing w:after="220"/>
        <w:ind w:left="1134" w:hanging="567"/>
      </w:pPr>
      <w:r>
        <w:t>c)</w:t>
      </w:r>
      <w:r>
        <w:tab/>
        <w:t>El organismo que ha ordenado el internamiento;</w:t>
      </w:r>
    </w:p>
    <w:p w:rsidR="00000000" w:rsidRDefault="00000000">
      <w:pPr>
        <w:autoSpaceDE w:val="0"/>
        <w:autoSpaceDN w:val="0"/>
        <w:adjustRightInd w:val="0"/>
        <w:spacing w:after="220"/>
        <w:ind w:left="1134" w:hanging="567"/>
      </w:pPr>
      <w:r>
        <w:t>d)</w:t>
      </w:r>
      <w:r>
        <w:tab/>
        <w:t>El motivo del internamiento;</w:t>
      </w:r>
    </w:p>
    <w:p w:rsidR="00000000" w:rsidRDefault="00000000">
      <w:pPr>
        <w:autoSpaceDE w:val="0"/>
        <w:autoSpaceDN w:val="0"/>
        <w:adjustRightInd w:val="0"/>
        <w:spacing w:after="220"/>
        <w:ind w:left="1134" w:hanging="567"/>
      </w:pPr>
      <w:r>
        <w:t>e)</w:t>
      </w:r>
      <w:r>
        <w:tab/>
        <w:t>El nombre de la persona que lo ha acompañado;</w:t>
      </w:r>
    </w:p>
    <w:p w:rsidR="00000000" w:rsidRDefault="00000000">
      <w:pPr>
        <w:autoSpaceDE w:val="0"/>
        <w:autoSpaceDN w:val="0"/>
        <w:adjustRightInd w:val="0"/>
        <w:spacing w:after="220"/>
        <w:ind w:left="1134" w:hanging="567"/>
      </w:pPr>
      <w:r>
        <w:t>f)</w:t>
      </w:r>
      <w:r>
        <w:tab/>
        <w:t>Una lista detallada de los objetos incautados o retirados.</w:t>
      </w:r>
    </w:p>
    <w:p w:rsidR="00000000" w:rsidRDefault="00000000">
      <w:pPr>
        <w:autoSpaceDE w:val="0"/>
        <w:autoSpaceDN w:val="0"/>
        <w:adjustRightInd w:val="0"/>
        <w:spacing w:after="220"/>
      </w:pPr>
      <w:r>
        <w:t>210.</w:t>
      </w:r>
      <w:r>
        <w:tab/>
        <w:t>Sólo puede procederse al internamiento de un detenido con arreglo a las siguientes normas y en los siguientes casos:</w:t>
      </w:r>
    </w:p>
    <w:p w:rsidR="00000000" w:rsidRDefault="00000000">
      <w:pPr>
        <w:autoSpaceDE w:val="0"/>
        <w:autoSpaceDN w:val="0"/>
        <w:adjustRightInd w:val="0"/>
        <w:spacing w:after="220"/>
        <w:ind w:left="1134" w:hanging="567"/>
      </w:pPr>
      <w:r>
        <w:t>a)</w:t>
      </w:r>
      <w:r>
        <w:tab/>
        <w:t>Decisión escrita del juez, el fiscal o las autoridades de Policía Judicial, en virtud de lo dispuesto en la ley de procedimiento;</w:t>
      </w:r>
    </w:p>
    <w:p w:rsidR="00000000" w:rsidRDefault="00000000">
      <w:pPr>
        <w:autoSpaceDE w:val="0"/>
        <w:autoSpaceDN w:val="0"/>
        <w:adjustRightInd w:val="0"/>
        <w:spacing w:after="220"/>
        <w:ind w:left="1134" w:hanging="567"/>
      </w:pPr>
      <w:r>
        <w:t>b)</w:t>
      </w:r>
      <w:r>
        <w:tab/>
        <w:t>Presentación voluntaria;</w:t>
      </w:r>
    </w:p>
    <w:p w:rsidR="00000000" w:rsidRDefault="00000000">
      <w:pPr>
        <w:autoSpaceDE w:val="0"/>
        <w:autoSpaceDN w:val="0"/>
        <w:adjustRightInd w:val="0"/>
        <w:spacing w:after="220"/>
        <w:ind w:left="1134" w:hanging="567"/>
      </w:pPr>
      <w:r>
        <w:t>c)</w:t>
      </w:r>
      <w:r>
        <w:tab/>
        <w:t>Traslado ordenado por la Dirección General de Servicios Penitenciarios;</w:t>
      </w:r>
    </w:p>
    <w:p w:rsidR="00000000" w:rsidRDefault="00000000">
      <w:pPr>
        <w:autoSpaceDE w:val="0"/>
        <w:autoSpaceDN w:val="0"/>
        <w:adjustRightInd w:val="0"/>
        <w:spacing w:after="220"/>
        <w:ind w:left="1134" w:hanging="567"/>
      </w:pPr>
      <w:r>
        <w:t>d)</w:t>
      </w:r>
      <w:r>
        <w:tab/>
        <w:t>Traslado hacia otro establecimiento;</w:t>
      </w:r>
    </w:p>
    <w:p w:rsidR="00000000" w:rsidRDefault="00000000">
      <w:pPr>
        <w:autoSpaceDE w:val="0"/>
        <w:autoSpaceDN w:val="0"/>
        <w:adjustRightInd w:val="0"/>
        <w:spacing w:after="220"/>
        <w:ind w:left="1134" w:hanging="567"/>
      </w:pPr>
      <w:r>
        <w:t>e)</w:t>
      </w:r>
      <w:r>
        <w:tab/>
        <w:t>Nueva captura.</w:t>
      </w:r>
    </w:p>
    <w:p w:rsidR="00000000" w:rsidRDefault="00000000">
      <w:pPr>
        <w:autoSpaceDE w:val="0"/>
        <w:autoSpaceDN w:val="0"/>
        <w:adjustRightInd w:val="0"/>
        <w:spacing w:after="220"/>
      </w:pPr>
      <w:r>
        <w:t>Las órdenes de detención a que se refiere el apartado</w:t>
      </w:r>
      <w:r>
        <w:rPr>
          <w:iCs/>
        </w:rPr>
        <w:t xml:space="preserve"> a)</w:t>
      </w:r>
      <w:r>
        <w:t xml:space="preserve"> se emiten en tres ejemplares (uno de ellos para el establecimiento), fechados y firmados por las autoridades competentes, y deben contener la identidad de la persona detenida y los motivos de su ingreso en prisión.</w:t>
      </w:r>
    </w:p>
    <w:p w:rsidR="00000000" w:rsidRDefault="00000000">
      <w:pPr>
        <w:autoSpaceDE w:val="0"/>
        <w:autoSpaceDN w:val="0"/>
        <w:adjustRightInd w:val="0"/>
        <w:spacing w:after="240"/>
      </w:pPr>
      <w:r>
        <w:t>211.</w:t>
      </w:r>
      <w:r>
        <w:tab/>
        <w:t>Cuando el internamiento se hace por orden de detención del ministerio público y de organismos de la Policía Judicial, y la autoridad que ordenó la detención no presenta al detenido ante un juez en el plazo que dicta la ley por, el director del establecimiento ordenará que se ponga en libertad al detenido e informará de ello al Fiscal de la República ante el tribunal de apelación competente y la Dirección General de Servicios Penitenciarios.</w:t>
      </w:r>
    </w:p>
    <w:p w:rsidR="00000000" w:rsidRDefault="00000000">
      <w:pPr>
        <w:autoSpaceDE w:val="0"/>
        <w:autoSpaceDN w:val="0"/>
        <w:adjustRightInd w:val="0"/>
        <w:spacing w:after="240"/>
      </w:pPr>
      <w:r>
        <w:t>212.</w:t>
      </w:r>
      <w:r>
        <w:tab/>
        <w:t>Cuando alguien que declara haber cometido un delito se presenta, o se detiene a alguien contra quien existe una orden de detención, se levantará un  acta de la detención, en presencia de dos testigos.  Si se trata de un acusado, se lo presenta ante la autoridad judicial en un plazo de 24 horas; si se trata de un condenado, se informa inmediatamente de ello a la Dirección General de Servicios Penitenciarios, y el director del establecimiento debe aclarar la situación penal del detenido.  Los internamientos por traslado se realizan sobre la base de un documento en doble ejemplar, debidamente autentificado.</w:t>
      </w:r>
    </w:p>
    <w:p w:rsidR="00000000" w:rsidRDefault="00000000">
      <w:pPr>
        <w:autoSpaceDE w:val="0"/>
        <w:autoSpaceDN w:val="0"/>
        <w:adjustRightInd w:val="0"/>
        <w:spacing w:after="240"/>
      </w:pPr>
      <w:r>
        <w:t>213.</w:t>
      </w:r>
      <w:r>
        <w:tab/>
        <w:t>Tras el ingreso en prisión, cuando la pena de privación de libertad es superior a seis meses, o en caso de una pena relativamente indeterminada, se procederá a una observación de la personalidad y el medio social, económico y familiar del detenido.  Esa observación tiene por objeto verificar todas las circunstancias y los elementos necesarios para planificar el tratamiento, durante la aplicación de la medida de privación de libertad, y la reinserción social del detenido, tras su puesta en libertad (art. 8).  A partir de esa observación, se elabora un plan individual de readaptación.  Mientras este plan no se haya definido, los detenidos se distribuyen provisionalmente según los establecimientos, teniendo en cuenta sobre todo su sexo, edad, estado de salud física y mental, su vida anterior y su situación (art. 10).  Cuando el detenido no ha sido declarado irresponsable, pero por la anomalía que sufre se considera que el régimen de los establecimientos comunes sería perjudicial para él, o perturbaría gravemente este régimen, el tribunal puede ordenar su internamiento en un establecimiento destinado a personas irresponsables, durante el tiempo que corresponda a la duración de la pena.  Este internamiento únicamente puede tener lugar con el consentimiento del detenido.</w:t>
      </w:r>
    </w:p>
    <w:p w:rsidR="00000000" w:rsidRDefault="00000000">
      <w:pPr>
        <w:autoSpaceDE w:val="0"/>
        <w:autoSpaceDN w:val="0"/>
        <w:adjustRightInd w:val="0"/>
        <w:spacing w:after="240"/>
      </w:pPr>
      <w:r>
        <w:t>214.</w:t>
      </w:r>
      <w:r>
        <w:tab/>
        <w:t>En el artículo 11 se plantean los criterios de asignación a un establecimiento.  Al hacer esta asignación hay que tener en cuenta el sexo, la edad, la situación jurídica (acusado, condenado, delincuente por primera vez, reincidente), la duración de la pena aplicable, su estado de salud física y mental, las necesidades particulares de su tratamiento, la proximidad de la residencia de la familia, así como razones de seguridad y de carácter académico y profesional que pueden ser pertinentes para su reinserción social.  En la asignación de un detenido a un establecimiento hay que tener en cuenta también las posibilidades de llevar a cabo un programa de tratamiento común y la necesidad de evitar las influencias perniciosas.</w:t>
      </w:r>
    </w:p>
    <w:p w:rsidR="00000000" w:rsidRDefault="00000000">
      <w:pPr>
        <w:autoSpaceDE w:val="0"/>
        <w:autoSpaceDN w:val="0"/>
        <w:adjustRightInd w:val="0"/>
        <w:spacing w:after="240"/>
      </w:pPr>
      <w:r>
        <w:t>215.</w:t>
      </w:r>
      <w:r>
        <w:tab/>
        <w:t>En virtud de lo dispuesto en el artículo 12 se garantiza la separación completa de los detenidos, en función del sexo, la edad y la situación jurídica, en distintos establecimientos o, cuando ello no sea posible, en secciones separadas en el interior del establecimiento.  Hay que promover la separación entre los que están detenidos por primera vez y los reincidentes.  Se considera reincidentes, a estos efectos, a los detenidos que ya han sido objeto de una medida de privación de libertad.  Se admiten excepciones a estas disposiciones, con el fin de posibilitar la participación del detenido en medidas de tratamiento consideradas indispensables para su reinserción social, en otro establecimiento u otra sección.</w:t>
      </w:r>
    </w:p>
    <w:p w:rsidR="00000000" w:rsidRDefault="00000000">
      <w:pPr>
        <w:autoSpaceDE w:val="0"/>
        <w:autoSpaceDN w:val="0"/>
        <w:adjustRightInd w:val="0"/>
        <w:spacing w:after="240"/>
      </w:pPr>
      <w:r>
        <w:t>216.</w:t>
      </w:r>
      <w:r>
        <w:tab/>
        <w:t>En virtud de lo dispuesto en el artículo 13, el detenido puede ser trasladado a otro establecimiento distinto del que se ha previsto en el plan individual de readaptación, cuando se favorece de este modo su tratamiento o su reinserción social, la organización de la aplicación de la pena así lo exige, o lo determinan motivos importantes.  Corresponde a la Dirección General de Servicios Penitenciarios ordenar estos traslados.</w:t>
      </w:r>
    </w:p>
    <w:p w:rsidR="00000000" w:rsidRDefault="00000000">
      <w:pPr>
        <w:autoSpaceDE w:val="0"/>
        <w:autoSpaceDN w:val="0"/>
        <w:adjustRightInd w:val="0"/>
        <w:spacing w:after="240"/>
      </w:pPr>
      <w:r>
        <w:t>217.</w:t>
      </w:r>
      <w:r>
        <w:tab/>
        <w:t>El artículo 14 prevé la existencia de establecimientos abiertos y cerrados.  El detenido puede ser internado, con su consentimiento, en un establecimiento o una sección de régimen abierto cuando no haya motivos para temer que se sustraiga a la ejecución de la pena o que aproveche las posibilidades que este régimen ofrece para cometer hechos delictivos.  El detenido puede ser internado en un establecimiento de régimen cerrado, o regresar a él, cuando ello se muestra necesario para su tratamiento o cada vez que, por su comportamiento, demuestre que no satisface las exigencias del régimen abierto.</w:t>
      </w:r>
    </w:p>
    <w:p w:rsidR="00000000" w:rsidRDefault="00000000">
      <w:pPr>
        <w:autoSpaceDE w:val="0"/>
        <w:autoSpaceDN w:val="0"/>
        <w:adjustRightInd w:val="0"/>
        <w:spacing w:after="240"/>
      </w:pPr>
      <w:r>
        <w:t>218.</w:t>
      </w:r>
      <w:r>
        <w:tab/>
        <w:t>En los artículos 15 y 16 se prevén las medidas de preparación y el momento de la puesta en libertad.  Por otra parte, la ley no se restringe a ello, pues concreta ampliamente las medidas que se han descrito.</w:t>
      </w:r>
    </w:p>
    <w:p w:rsidR="00000000" w:rsidRDefault="00000000">
      <w:pPr>
        <w:autoSpaceDE w:val="0"/>
        <w:autoSpaceDN w:val="0"/>
        <w:adjustRightInd w:val="0"/>
        <w:spacing w:after="240"/>
      </w:pPr>
      <w:r>
        <w:t>219.</w:t>
      </w:r>
      <w:r>
        <w:tab/>
        <w:t>Es importante mencionar la Ley Nº 170/99, de 18 de septiembre, en la que se adoptan medidas de lucha contra la propagación de enfermedades infecciosas en los entornos penitenciarios.  Los detenidos conservan su condición de beneficiarios del Servicio Nacional de Salud, a cuyos efectos debe establecerse una coordinación adecuada entre los servicios penitenciarios y el Servicio Nacional de Salud.  En virtud de lo dispuesto en el artículo 2, los establecimientos penitenciarios garantizan a todos los detenidos, de manera sistemática, la realización gratuita de las pruebas periódicas de detección  de enfermedades infecciosas, tanto a su ingreso en el establecimiento como durante su estancia en prisión.  Los resultados de las pruebas son confidenciales y son comunicados al detenido por personal médico, con objeto de posibilitar un acompañamiento especializado y adecuado.  La información relativa a la situación clínica de los detenidos no puede, en ninguna circunstancia, poner en peligro el deber de confidencialidad y debe limitarse a las situaciones en que la seguridad y la salud de terceros puedan estar en peligro (art. 3).</w:t>
      </w:r>
    </w:p>
    <w:p w:rsidR="00000000" w:rsidRDefault="00000000">
      <w:pPr>
        <w:autoSpaceDE w:val="0"/>
        <w:autoSpaceDN w:val="0"/>
        <w:adjustRightInd w:val="0"/>
        <w:spacing w:after="240"/>
      </w:pPr>
      <w:r>
        <w:t>220.</w:t>
      </w:r>
      <w:r>
        <w:tab/>
        <w:t>En virtud de lo dispuesto en el artículo 4, los detenidos infectados tienen acceso a todas las formas de tratamiento, asistencia constante y asesoramiento que se ofrecen a los ciudadanos en general, con la posibilidad de consultar a servicios de salud especializados, con arreglo a los procedimientos establecidos y previstos entre los servicios penitenciarios y las respectivas administraciones regionales de salud, una vez que se han tomado todas las medidas de seguridad.  Los detenidos enfermos deben asimismo recibir asistencia psicológica y psiquiátrica.</w:t>
      </w:r>
    </w:p>
    <w:p w:rsidR="00000000" w:rsidRDefault="00000000">
      <w:pPr>
        <w:autoSpaceDE w:val="0"/>
        <w:autoSpaceDN w:val="0"/>
        <w:adjustRightInd w:val="0"/>
        <w:spacing w:after="240"/>
      </w:pPr>
      <w:r>
        <w:t>221.</w:t>
      </w:r>
      <w:r>
        <w:tab/>
        <w:t>Por último, los establecimientos penitenciarios deben adoptar todas las medidas de prevención general con respecto a los detenidos y al personal penitenciario, sobre todo las normas de higiene, seguridad y salud en el trabajo.  Entre estas medidas figuran programas gratuitos de vacunación, así como distribución gratuita de preservativos.</w:t>
      </w:r>
    </w:p>
    <w:p w:rsidR="00000000" w:rsidRDefault="00000000">
      <w:pPr>
        <w:autoSpaceDE w:val="0"/>
        <w:autoSpaceDN w:val="0"/>
        <w:adjustRightInd w:val="0"/>
        <w:spacing w:after="240"/>
      </w:pPr>
      <w:r>
        <w:t>222.</w:t>
      </w:r>
      <w:r>
        <w:tab/>
        <w:t>En virtud de lo dispuesto en el artículo 6, no se permite ninguna forma de segregación o discriminación de los detenidos infectados.  Cuando es necesaria la adopción de medidas restrictivas para proteger la salud de los demás detenidos y del personal penitenciario, siempre con el debido fundamento médico, prevalecerá el internamiento en el hospital, en detrimento del tratamiento en el establecimiento penitenciario, una vez que se hayan tomado todas las medidas de seguridad.</w:t>
      </w:r>
    </w:p>
    <w:p w:rsidR="00000000" w:rsidRDefault="00000000">
      <w:pPr>
        <w:keepNext/>
        <w:keepLines/>
        <w:autoSpaceDE w:val="0"/>
        <w:autoSpaceDN w:val="0"/>
        <w:adjustRightInd w:val="0"/>
        <w:spacing w:after="200"/>
        <w:jc w:val="center"/>
        <w:rPr>
          <w:b/>
        </w:rPr>
      </w:pPr>
      <w:r>
        <w:rPr>
          <w:b/>
        </w:rPr>
        <w:t>C.  Datos estadísticos</w:t>
      </w:r>
    </w:p>
    <w:p w:rsidR="00000000" w:rsidRDefault="00000000">
      <w:pPr>
        <w:autoSpaceDE w:val="0"/>
        <w:autoSpaceDN w:val="0"/>
        <w:adjustRightInd w:val="0"/>
        <w:spacing w:after="200"/>
      </w:pPr>
      <w:r>
        <w:t>223.</w:t>
      </w:r>
      <w:r>
        <w:tab/>
        <w:t>A continuación figuran unos cuadros con cifras relativas a los servicios penitenciarios, la población carcelaria por establecimiento, la tasa de ocupación de estos establecimientos, el número de detenidos, los suicidios en las prisiones, los casos de enfermedades infecciosas contagiosas y el consumo de estupefacientes (así como a su tratamiento).  Estas cifras provienen de la Dirección del Servicio de Planificación, Documentación, Estudios e Informes Internacionales de la Dirección General de Servicios Penitenciarios.</w:t>
      </w:r>
    </w:p>
    <w:p w:rsidR="00000000" w:rsidRDefault="00000000">
      <w:pPr>
        <w:autoSpaceDE w:val="0"/>
        <w:autoSpaceDN w:val="0"/>
        <w:adjustRightInd w:val="0"/>
        <w:spacing w:after="180"/>
        <w:jc w:val="center"/>
        <w:rPr>
          <w:b/>
          <w:sz w:val="22"/>
        </w:rPr>
      </w:pPr>
      <w:r>
        <w:rPr>
          <w:b/>
          <w:sz w:val="22"/>
        </w:rPr>
        <w:t>Cuadro 5-A</w:t>
      </w:r>
    </w:p>
    <w:p w:rsidR="00000000" w:rsidRDefault="00000000">
      <w:pPr>
        <w:autoSpaceDE w:val="0"/>
        <w:autoSpaceDN w:val="0"/>
        <w:adjustRightInd w:val="0"/>
        <w:spacing w:after="180"/>
        <w:jc w:val="center"/>
        <w:rPr>
          <w:b/>
          <w:sz w:val="22"/>
        </w:rPr>
      </w:pPr>
      <w:r>
        <w:rPr>
          <w:b/>
          <w:sz w:val="22"/>
        </w:rPr>
        <w:t xml:space="preserve">Población carcelaria, por establecimiento, ocupación y tasa de ocupación, </w:t>
      </w:r>
      <w:r>
        <w:rPr>
          <w:b/>
          <w:sz w:val="22"/>
        </w:rPr>
        <w:br/>
        <w:t>(al 31 de diciembre de 1999 y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608"/>
        <w:gridCol w:w="1072"/>
        <w:gridCol w:w="1096"/>
        <w:gridCol w:w="1080"/>
        <w:gridCol w:w="1072"/>
        <w:gridCol w:w="1096"/>
        <w:gridCol w:w="1267"/>
      </w:tblGrid>
      <w:tr w:rsidR="00000000">
        <w:trPr>
          <w:cantSplit/>
          <w:jc w:val="center"/>
        </w:trPr>
        <w:tc>
          <w:tcPr>
            <w:tcW w:w="2608" w:type="dxa"/>
            <w:vMerge w:val="restart"/>
            <w:vAlign w:val="center"/>
          </w:tcPr>
          <w:p w:rsidR="00000000" w:rsidRDefault="00000000">
            <w:pPr>
              <w:jc w:val="center"/>
              <w:rPr>
                <w:sz w:val="22"/>
              </w:rPr>
            </w:pPr>
            <w:r>
              <w:rPr>
                <w:bCs/>
                <w:sz w:val="22"/>
              </w:rPr>
              <w:t>Establecimientos</w:t>
            </w:r>
          </w:p>
        </w:tc>
        <w:tc>
          <w:tcPr>
            <w:tcW w:w="3248" w:type="dxa"/>
            <w:gridSpan w:val="3"/>
            <w:vAlign w:val="center"/>
          </w:tcPr>
          <w:p w:rsidR="00000000" w:rsidRDefault="00000000">
            <w:pPr>
              <w:jc w:val="center"/>
              <w:rPr>
                <w:sz w:val="22"/>
              </w:rPr>
            </w:pPr>
            <w:r>
              <w:rPr>
                <w:sz w:val="22"/>
              </w:rPr>
              <w:t>1999</w:t>
            </w:r>
          </w:p>
        </w:tc>
        <w:tc>
          <w:tcPr>
            <w:tcW w:w="3435" w:type="dxa"/>
            <w:gridSpan w:val="3"/>
            <w:vAlign w:val="center"/>
          </w:tcPr>
          <w:p w:rsidR="00000000" w:rsidRDefault="00000000">
            <w:pPr>
              <w:jc w:val="center"/>
              <w:rPr>
                <w:sz w:val="22"/>
              </w:rPr>
            </w:pPr>
            <w:r>
              <w:rPr>
                <w:sz w:val="22"/>
              </w:rPr>
              <w:t>2000</w:t>
            </w:r>
          </w:p>
        </w:tc>
      </w:tr>
      <w:tr w:rsidR="00000000">
        <w:trPr>
          <w:cantSplit/>
          <w:jc w:val="center"/>
        </w:trPr>
        <w:tc>
          <w:tcPr>
            <w:tcW w:w="2608" w:type="dxa"/>
            <w:vMerge/>
            <w:vAlign w:val="center"/>
          </w:tcPr>
          <w:p w:rsidR="00000000" w:rsidRDefault="00000000">
            <w:pPr>
              <w:jc w:val="center"/>
              <w:rPr>
                <w:sz w:val="22"/>
              </w:rPr>
            </w:pPr>
          </w:p>
        </w:tc>
        <w:tc>
          <w:tcPr>
            <w:tcW w:w="1072" w:type="dxa"/>
            <w:vAlign w:val="center"/>
          </w:tcPr>
          <w:p w:rsidR="00000000" w:rsidRDefault="00000000">
            <w:pPr>
              <w:jc w:val="center"/>
              <w:rPr>
                <w:sz w:val="22"/>
              </w:rPr>
            </w:pPr>
            <w:r>
              <w:rPr>
                <w:bCs/>
                <w:sz w:val="22"/>
              </w:rPr>
              <w:t>Número de detenidos</w:t>
            </w:r>
          </w:p>
        </w:tc>
        <w:tc>
          <w:tcPr>
            <w:tcW w:w="1096" w:type="dxa"/>
            <w:vAlign w:val="center"/>
          </w:tcPr>
          <w:p w:rsidR="00000000" w:rsidRDefault="00000000">
            <w:pPr>
              <w:jc w:val="center"/>
              <w:rPr>
                <w:sz w:val="22"/>
              </w:rPr>
            </w:pPr>
            <w:r>
              <w:rPr>
                <w:sz w:val="22"/>
              </w:rPr>
              <w:t>Ocupación</w:t>
            </w:r>
          </w:p>
        </w:tc>
        <w:tc>
          <w:tcPr>
            <w:tcW w:w="1080" w:type="dxa"/>
            <w:vAlign w:val="center"/>
          </w:tcPr>
          <w:p w:rsidR="00000000" w:rsidRDefault="00000000">
            <w:pPr>
              <w:jc w:val="center"/>
              <w:rPr>
                <w:sz w:val="22"/>
              </w:rPr>
            </w:pPr>
            <w:r>
              <w:rPr>
                <w:sz w:val="22"/>
              </w:rPr>
              <w:t>Tasa de ocupación en %</w:t>
            </w:r>
          </w:p>
        </w:tc>
        <w:tc>
          <w:tcPr>
            <w:tcW w:w="1072" w:type="dxa"/>
            <w:vAlign w:val="center"/>
          </w:tcPr>
          <w:p w:rsidR="00000000" w:rsidRDefault="00000000">
            <w:pPr>
              <w:jc w:val="center"/>
              <w:rPr>
                <w:sz w:val="22"/>
              </w:rPr>
            </w:pPr>
            <w:r>
              <w:rPr>
                <w:bCs/>
                <w:sz w:val="22"/>
              </w:rPr>
              <w:t>Número de detenidos</w:t>
            </w:r>
          </w:p>
        </w:tc>
        <w:tc>
          <w:tcPr>
            <w:tcW w:w="1096" w:type="dxa"/>
            <w:vAlign w:val="center"/>
          </w:tcPr>
          <w:p w:rsidR="00000000" w:rsidRDefault="00000000">
            <w:pPr>
              <w:jc w:val="center"/>
              <w:rPr>
                <w:sz w:val="22"/>
              </w:rPr>
            </w:pPr>
            <w:r>
              <w:rPr>
                <w:sz w:val="22"/>
              </w:rPr>
              <w:t>Ocupación</w:t>
            </w:r>
          </w:p>
        </w:tc>
        <w:tc>
          <w:tcPr>
            <w:tcW w:w="1267" w:type="dxa"/>
            <w:vAlign w:val="center"/>
          </w:tcPr>
          <w:p w:rsidR="00000000" w:rsidRDefault="00000000">
            <w:pPr>
              <w:jc w:val="center"/>
              <w:rPr>
                <w:sz w:val="22"/>
              </w:rPr>
            </w:pPr>
            <w:r>
              <w:rPr>
                <w:sz w:val="22"/>
              </w:rPr>
              <w:t>Tasa de ocupación en %</w:t>
            </w:r>
          </w:p>
        </w:tc>
      </w:tr>
      <w:tr w:rsidR="00000000">
        <w:trPr>
          <w:jc w:val="center"/>
        </w:trPr>
        <w:tc>
          <w:tcPr>
            <w:tcW w:w="2608" w:type="dxa"/>
            <w:vAlign w:val="center"/>
          </w:tcPr>
          <w:p w:rsidR="00000000" w:rsidRDefault="00000000">
            <w:pPr>
              <w:rPr>
                <w:bCs/>
                <w:sz w:val="22"/>
              </w:rPr>
            </w:pPr>
            <w:r>
              <w:rPr>
                <w:bCs/>
                <w:sz w:val="22"/>
              </w:rPr>
              <w:t>Establecimientos centrales</w:t>
            </w:r>
          </w:p>
        </w:tc>
        <w:tc>
          <w:tcPr>
            <w:tcW w:w="1072" w:type="dxa"/>
            <w:vAlign w:val="bottom"/>
          </w:tcPr>
          <w:p w:rsidR="00000000" w:rsidRDefault="00000000">
            <w:pPr>
              <w:tabs>
                <w:tab w:val="decimal" w:pos="692"/>
              </w:tabs>
              <w:jc w:val="both"/>
              <w:rPr>
                <w:sz w:val="22"/>
              </w:rPr>
            </w:pPr>
          </w:p>
        </w:tc>
        <w:tc>
          <w:tcPr>
            <w:tcW w:w="1096" w:type="dxa"/>
            <w:vAlign w:val="bottom"/>
          </w:tcPr>
          <w:p w:rsidR="00000000" w:rsidRDefault="00000000">
            <w:pPr>
              <w:tabs>
                <w:tab w:val="decimal" w:pos="692"/>
              </w:tabs>
              <w:jc w:val="both"/>
              <w:rPr>
                <w:sz w:val="22"/>
              </w:rPr>
            </w:pPr>
          </w:p>
        </w:tc>
        <w:tc>
          <w:tcPr>
            <w:tcW w:w="1080" w:type="dxa"/>
            <w:vAlign w:val="bottom"/>
          </w:tcPr>
          <w:p w:rsidR="00000000" w:rsidRDefault="00000000">
            <w:pPr>
              <w:tabs>
                <w:tab w:val="decimal" w:pos="692"/>
              </w:tabs>
              <w:jc w:val="both"/>
              <w:rPr>
                <w:sz w:val="22"/>
              </w:rPr>
            </w:pPr>
          </w:p>
        </w:tc>
        <w:tc>
          <w:tcPr>
            <w:tcW w:w="1072" w:type="dxa"/>
            <w:vAlign w:val="bottom"/>
          </w:tcPr>
          <w:p w:rsidR="00000000" w:rsidRDefault="00000000">
            <w:pPr>
              <w:tabs>
                <w:tab w:val="decimal" w:pos="692"/>
              </w:tabs>
              <w:jc w:val="both"/>
              <w:rPr>
                <w:sz w:val="22"/>
              </w:rPr>
            </w:pPr>
          </w:p>
        </w:tc>
        <w:tc>
          <w:tcPr>
            <w:tcW w:w="1096" w:type="dxa"/>
            <w:vAlign w:val="bottom"/>
          </w:tcPr>
          <w:p w:rsidR="00000000" w:rsidRDefault="00000000">
            <w:pPr>
              <w:tabs>
                <w:tab w:val="decimal" w:pos="692"/>
              </w:tabs>
              <w:jc w:val="both"/>
              <w:rPr>
                <w:sz w:val="22"/>
              </w:rPr>
            </w:pPr>
          </w:p>
        </w:tc>
        <w:tc>
          <w:tcPr>
            <w:tcW w:w="1267" w:type="dxa"/>
            <w:vAlign w:val="bottom"/>
          </w:tcPr>
          <w:p w:rsidR="00000000" w:rsidRDefault="00000000">
            <w:pPr>
              <w:tabs>
                <w:tab w:val="decimal" w:pos="692"/>
              </w:tabs>
              <w:jc w:val="both"/>
              <w:rPr>
                <w:sz w:val="22"/>
              </w:rPr>
            </w:pPr>
          </w:p>
        </w:tc>
      </w:tr>
      <w:tr w:rsidR="00000000">
        <w:trPr>
          <w:jc w:val="center"/>
        </w:trPr>
        <w:tc>
          <w:tcPr>
            <w:tcW w:w="2608" w:type="dxa"/>
            <w:vAlign w:val="center"/>
          </w:tcPr>
          <w:p w:rsidR="00000000" w:rsidRDefault="00000000">
            <w:pPr>
              <w:rPr>
                <w:sz w:val="22"/>
              </w:rPr>
            </w:pPr>
            <w:r>
              <w:rPr>
                <w:sz w:val="22"/>
              </w:rPr>
              <w:t>Alcoentre</w:t>
            </w:r>
          </w:p>
        </w:tc>
        <w:tc>
          <w:tcPr>
            <w:tcW w:w="1072" w:type="dxa"/>
            <w:vAlign w:val="bottom"/>
          </w:tcPr>
          <w:p w:rsidR="00000000" w:rsidRDefault="00000000">
            <w:pPr>
              <w:tabs>
                <w:tab w:val="decimal" w:pos="762"/>
              </w:tabs>
              <w:jc w:val="both"/>
              <w:rPr>
                <w:sz w:val="22"/>
              </w:rPr>
            </w:pPr>
            <w:r>
              <w:rPr>
                <w:sz w:val="22"/>
              </w:rPr>
              <w:t>704</w:t>
            </w:r>
          </w:p>
        </w:tc>
        <w:tc>
          <w:tcPr>
            <w:tcW w:w="1096" w:type="dxa"/>
            <w:vAlign w:val="bottom"/>
          </w:tcPr>
          <w:p w:rsidR="00000000" w:rsidRDefault="00000000">
            <w:pPr>
              <w:tabs>
                <w:tab w:val="decimal" w:pos="796"/>
              </w:tabs>
              <w:jc w:val="both"/>
              <w:rPr>
                <w:sz w:val="22"/>
              </w:rPr>
            </w:pPr>
            <w:r>
              <w:rPr>
                <w:sz w:val="22"/>
              </w:rPr>
              <w:t>663</w:t>
            </w:r>
          </w:p>
        </w:tc>
        <w:tc>
          <w:tcPr>
            <w:tcW w:w="1080" w:type="dxa"/>
            <w:vAlign w:val="bottom"/>
          </w:tcPr>
          <w:p w:rsidR="00000000" w:rsidRDefault="00000000">
            <w:pPr>
              <w:tabs>
                <w:tab w:val="decimal" w:pos="568"/>
              </w:tabs>
              <w:jc w:val="both"/>
              <w:rPr>
                <w:sz w:val="22"/>
              </w:rPr>
            </w:pPr>
            <w:r>
              <w:rPr>
                <w:sz w:val="22"/>
              </w:rPr>
              <w:t>106,2</w:t>
            </w:r>
          </w:p>
        </w:tc>
        <w:tc>
          <w:tcPr>
            <w:tcW w:w="1072" w:type="dxa"/>
            <w:vAlign w:val="bottom"/>
          </w:tcPr>
          <w:p w:rsidR="00000000" w:rsidRDefault="00000000">
            <w:pPr>
              <w:tabs>
                <w:tab w:val="decimal" w:pos="796"/>
              </w:tabs>
              <w:jc w:val="both"/>
              <w:rPr>
                <w:sz w:val="22"/>
              </w:rPr>
            </w:pPr>
            <w:r>
              <w:rPr>
                <w:sz w:val="22"/>
              </w:rPr>
              <w:t>717</w:t>
            </w:r>
          </w:p>
        </w:tc>
        <w:tc>
          <w:tcPr>
            <w:tcW w:w="1096" w:type="dxa"/>
            <w:vAlign w:val="bottom"/>
          </w:tcPr>
          <w:p w:rsidR="00000000" w:rsidRDefault="00000000">
            <w:pPr>
              <w:tabs>
                <w:tab w:val="decimal" w:pos="796"/>
              </w:tabs>
              <w:jc w:val="both"/>
              <w:rPr>
                <w:sz w:val="22"/>
              </w:rPr>
            </w:pPr>
            <w:r>
              <w:rPr>
                <w:sz w:val="22"/>
              </w:rPr>
              <w:t>663</w:t>
            </w:r>
          </w:p>
        </w:tc>
        <w:tc>
          <w:tcPr>
            <w:tcW w:w="1267" w:type="dxa"/>
            <w:vAlign w:val="bottom"/>
          </w:tcPr>
          <w:p w:rsidR="00000000" w:rsidRDefault="00000000">
            <w:pPr>
              <w:tabs>
                <w:tab w:val="decimal" w:pos="679"/>
              </w:tabs>
              <w:jc w:val="both"/>
              <w:rPr>
                <w:sz w:val="22"/>
              </w:rPr>
            </w:pPr>
            <w:r>
              <w:rPr>
                <w:sz w:val="22"/>
              </w:rPr>
              <w:t>108,1</w:t>
            </w:r>
          </w:p>
        </w:tc>
      </w:tr>
      <w:tr w:rsidR="00000000">
        <w:trPr>
          <w:jc w:val="center"/>
        </w:trPr>
        <w:tc>
          <w:tcPr>
            <w:tcW w:w="2608" w:type="dxa"/>
            <w:vAlign w:val="center"/>
          </w:tcPr>
          <w:p w:rsidR="00000000" w:rsidRDefault="00000000">
            <w:pPr>
              <w:rPr>
                <w:sz w:val="22"/>
                <w:lang w:val="es-ES_tradnl"/>
              </w:rPr>
            </w:pPr>
            <w:r>
              <w:rPr>
                <w:sz w:val="22"/>
                <w:lang w:val="es-ES_tradnl"/>
              </w:rPr>
              <w:t>Carregueira</w:t>
            </w:r>
            <w:r>
              <w:rPr>
                <w:b/>
                <w:sz w:val="22"/>
                <w:vertAlign w:val="superscript"/>
                <w:lang w:val="es-ES_tradnl"/>
              </w:rPr>
              <w:t>a</w:t>
            </w:r>
          </w:p>
        </w:tc>
        <w:tc>
          <w:tcPr>
            <w:tcW w:w="1072" w:type="dxa"/>
            <w:vAlign w:val="bottom"/>
          </w:tcPr>
          <w:p w:rsidR="00000000" w:rsidRDefault="00000000">
            <w:pPr>
              <w:tabs>
                <w:tab w:val="decimal" w:pos="762"/>
              </w:tabs>
              <w:jc w:val="both"/>
              <w:rPr>
                <w:sz w:val="22"/>
                <w:lang w:val="es-ES_tradnl"/>
              </w:rPr>
            </w:pPr>
            <w:r>
              <w:rPr>
                <w:sz w:val="22"/>
                <w:lang w:val="es-ES_tradnl"/>
              </w:rPr>
              <w:t>-</w:t>
            </w:r>
          </w:p>
        </w:tc>
        <w:tc>
          <w:tcPr>
            <w:tcW w:w="1096" w:type="dxa"/>
            <w:vAlign w:val="bottom"/>
          </w:tcPr>
          <w:p w:rsidR="00000000" w:rsidRDefault="00000000">
            <w:pPr>
              <w:tabs>
                <w:tab w:val="decimal" w:pos="796"/>
              </w:tabs>
              <w:jc w:val="both"/>
              <w:rPr>
                <w:sz w:val="22"/>
                <w:lang w:val="es-ES_tradnl"/>
              </w:rPr>
            </w:pPr>
            <w:r>
              <w:rPr>
                <w:sz w:val="22"/>
                <w:lang w:val="es-ES_tradnl"/>
              </w:rPr>
              <w:t>-</w:t>
            </w:r>
          </w:p>
        </w:tc>
        <w:tc>
          <w:tcPr>
            <w:tcW w:w="1080" w:type="dxa"/>
            <w:vAlign w:val="bottom"/>
          </w:tcPr>
          <w:p w:rsidR="00000000" w:rsidRDefault="00000000">
            <w:pPr>
              <w:tabs>
                <w:tab w:val="decimal" w:pos="568"/>
              </w:tabs>
              <w:jc w:val="both"/>
              <w:rPr>
                <w:sz w:val="22"/>
                <w:lang w:val="es-ES_tradnl"/>
              </w:rPr>
            </w:pPr>
            <w:r>
              <w:rPr>
                <w:sz w:val="22"/>
                <w:lang w:val="es-ES_tradnl"/>
              </w:rPr>
              <w:t>-</w:t>
            </w:r>
          </w:p>
        </w:tc>
        <w:tc>
          <w:tcPr>
            <w:tcW w:w="1072" w:type="dxa"/>
            <w:vAlign w:val="bottom"/>
          </w:tcPr>
          <w:p w:rsidR="00000000" w:rsidRDefault="00000000">
            <w:pPr>
              <w:tabs>
                <w:tab w:val="decimal" w:pos="796"/>
              </w:tabs>
              <w:jc w:val="both"/>
              <w:rPr>
                <w:sz w:val="22"/>
              </w:rPr>
            </w:pPr>
            <w:r>
              <w:rPr>
                <w:sz w:val="22"/>
              </w:rPr>
              <w:t>-</w:t>
            </w:r>
          </w:p>
        </w:tc>
        <w:tc>
          <w:tcPr>
            <w:tcW w:w="1096" w:type="dxa"/>
            <w:vAlign w:val="bottom"/>
          </w:tcPr>
          <w:p w:rsidR="00000000" w:rsidRDefault="00000000">
            <w:pPr>
              <w:tabs>
                <w:tab w:val="decimal" w:pos="796"/>
              </w:tabs>
              <w:jc w:val="both"/>
              <w:rPr>
                <w:sz w:val="22"/>
              </w:rPr>
            </w:pPr>
            <w:r>
              <w:rPr>
                <w:sz w:val="22"/>
              </w:rPr>
              <w:t>-</w:t>
            </w:r>
          </w:p>
        </w:tc>
        <w:tc>
          <w:tcPr>
            <w:tcW w:w="1267" w:type="dxa"/>
            <w:vAlign w:val="bottom"/>
          </w:tcPr>
          <w:p w:rsidR="00000000" w:rsidRDefault="00000000">
            <w:pPr>
              <w:tabs>
                <w:tab w:val="decimal" w:pos="679"/>
              </w:tabs>
              <w:jc w:val="both"/>
              <w:rPr>
                <w:sz w:val="22"/>
              </w:rPr>
            </w:pPr>
            <w:r>
              <w:rPr>
                <w:sz w:val="22"/>
              </w:rPr>
              <w:t>-</w:t>
            </w:r>
          </w:p>
        </w:tc>
      </w:tr>
      <w:tr w:rsidR="00000000">
        <w:trPr>
          <w:jc w:val="center"/>
        </w:trPr>
        <w:tc>
          <w:tcPr>
            <w:tcW w:w="2608" w:type="dxa"/>
            <w:vAlign w:val="center"/>
          </w:tcPr>
          <w:p w:rsidR="00000000" w:rsidRDefault="00000000">
            <w:pPr>
              <w:rPr>
                <w:sz w:val="22"/>
                <w:lang w:val="es-ES_tradnl"/>
              </w:rPr>
            </w:pPr>
            <w:r>
              <w:rPr>
                <w:sz w:val="22"/>
                <w:lang w:val="es-ES_tradnl"/>
              </w:rPr>
              <w:t>Castelo Branco</w:t>
            </w:r>
          </w:p>
        </w:tc>
        <w:tc>
          <w:tcPr>
            <w:tcW w:w="1072" w:type="dxa"/>
            <w:vAlign w:val="bottom"/>
          </w:tcPr>
          <w:p w:rsidR="00000000" w:rsidRDefault="00000000">
            <w:pPr>
              <w:tabs>
                <w:tab w:val="decimal" w:pos="762"/>
              </w:tabs>
              <w:jc w:val="both"/>
              <w:rPr>
                <w:sz w:val="22"/>
              </w:rPr>
            </w:pPr>
            <w:r>
              <w:rPr>
                <w:sz w:val="22"/>
              </w:rPr>
              <w:t>98</w:t>
            </w:r>
          </w:p>
        </w:tc>
        <w:tc>
          <w:tcPr>
            <w:tcW w:w="1096" w:type="dxa"/>
            <w:vAlign w:val="bottom"/>
          </w:tcPr>
          <w:p w:rsidR="00000000" w:rsidRDefault="00000000">
            <w:pPr>
              <w:tabs>
                <w:tab w:val="decimal" w:pos="796"/>
              </w:tabs>
              <w:jc w:val="both"/>
              <w:rPr>
                <w:sz w:val="22"/>
              </w:rPr>
            </w:pPr>
            <w:r>
              <w:rPr>
                <w:sz w:val="22"/>
              </w:rPr>
              <w:t>164</w:t>
            </w:r>
          </w:p>
        </w:tc>
        <w:tc>
          <w:tcPr>
            <w:tcW w:w="1080" w:type="dxa"/>
            <w:vAlign w:val="bottom"/>
          </w:tcPr>
          <w:p w:rsidR="00000000" w:rsidRDefault="00000000">
            <w:pPr>
              <w:tabs>
                <w:tab w:val="decimal" w:pos="568"/>
              </w:tabs>
              <w:jc w:val="both"/>
              <w:rPr>
                <w:sz w:val="22"/>
              </w:rPr>
            </w:pPr>
            <w:r>
              <w:rPr>
                <w:sz w:val="22"/>
              </w:rPr>
              <w:t>59,8</w:t>
            </w:r>
          </w:p>
        </w:tc>
        <w:tc>
          <w:tcPr>
            <w:tcW w:w="1072" w:type="dxa"/>
            <w:vAlign w:val="bottom"/>
          </w:tcPr>
          <w:p w:rsidR="00000000" w:rsidRDefault="00000000">
            <w:pPr>
              <w:tabs>
                <w:tab w:val="decimal" w:pos="796"/>
              </w:tabs>
              <w:jc w:val="both"/>
              <w:rPr>
                <w:sz w:val="22"/>
              </w:rPr>
            </w:pPr>
            <w:r>
              <w:rPr>
                <w:sz w:val="22"/>
              </w:rPr>
              <w:t>105</w:t>
            </w:r>
          </w:p>
        </w:tc>
        <w:tc>
          <w:tcPr>
            <w:tcW w:w="1096" w:type="dxa"/>
            <w:vAlign w:val="bottom"/>
          </w:tcPr>
          <w:p w:rsidR="00000000" w:rsidRDefault="00000000">
            <w:pPr>
              <w:tabs>
                <w:tab w:val="decimal" w:pos="796"/>
              </w:tabs>
              <w:jc w:val="both"/>
              <w:rPr>
                <w:sz w:val="22"/>
              </w:rPr>
            </w:pPr>
            <w:r>
              <w:rPr>
                <w:sz w:val="22"/>
              </w:rPr>
              <w:t>168</w:t>
            </w:r>
          </w:p>
        </w:tc>
        <w:tc>
          <w:tcPr>
            <w:tcW w:w="1267" w:type="dxa"/>
            <w:vAlign w:val="bottom"/>
          </w:tcPr>
          <w:p w:rsidR="00000000" w:rsidRDefault="00000000">
            <w:pPr>
              <w:tabs>
                <w:tab w:val="decimal" w:pos="679"/>
              </w:tabs>
              <w:jc w:val="both"/>
              <w:rPr>
                <w:sz w:val="22"/>
              </w:rPr>
            </w:pPr>
            <w:r>
              <w:rPr>
                <w:sz w:val="22"/>
              </w:rPr>
              <w:t>62,5</w:t>
            </w:r>
          </w:p>
        </w:tc>
      </w:tr>
      <w:tr w:rsidR="00000000">
        <w:trPr>
          <w:jc w:val="center"/>
        </w:trPr>
        <w:tc>
          <w:tcPr>
            <w:tcW w:w="2608" w:type="dxa"/>
            <w:vAlign w:val="center"/>
          </w:tcPr>
          <w:p w:rsidR="00000000" w:rsidRDefault="00000000">
            <w:pPr>
              <w:rPr>
                <w:sz w:val="22"/>
              </w:rPr>
            </w:pPr>
            <w:r>
              <w:rPr>
                <w:sz w:val="22"/>
              </w:rPr>
              <w:t>Caxias</w:t>
            </w:r>
          </w:p>
        </w:tc>
        <w:tc>
          <w:tcPr>
            <w:tcW w:w="1072" w:type="dxa"/>
            <w:vAlign w:val="bottom"/>
          </w:tcPr>
          <w:p w:rsidR="00000000" w:rsidRDefault="00000000">
            <w:pPr>
              <w:tabs>
                <w:tab w:val="decimal" w:pos="762"/>
              </w:tabs>
              <w:jc w:val="both"/>
              <w:rPr>
                <w:sz w:val="22"/>
              </w:rPr>
            </w:pPr>
            <w:r>
              <w:rPr>
                <w:sz w:val="22"/>
              </w:rPr>
              <w:t>741</w:t>
            </w:r>
          </w:p>
        </w:tc>
        <w:tc>
          <w:tcPr>
            <w:tcW w:w="1096" w:type="dxa"/>
            <w:vAlign w:val="bottom"/>
          </w:tcPr>
          <w:p w:rsidR="00000000" w:rsidRDefault="00000000">
            <w:pPr>
              <w:tabs>
                <w:tab w:val="decimal" w:pos="796"/>
              </w:tabs>
              <w:jc w:val="both"/>
              <w:rPr>
                <w:sz w:val="22"/>
              </w:rPr>
            </w:pPr>
            <w:r>
              <w:rPr>
                <w:sz w:val="22"/>
              </w:rPr>
              <w:t>474</w:t>
            </w:r>
          </w:p>
        </w:tc>
        <w:tc>
          <w:tcPr>
            <w:tcW w:w="1080" w:type="dxa"/>
            <w:vAlign w:val="bottom"/>
          </w:tcPr>
          <w:p w:rsidR="00000000" w:rsidRDefault="00000000">
            <w:pPr>
              <w:tabs>
                <w:tab w:val="decimal" w:pos="568"/>
              </w:tabs>
              <w:jc w:val="both"/>
              <w:rPr>
                <w:sz w:val="22"/>
              </w:rPr>
            </w:pPr>
            <w:r>
              <w:rPr>
                <w:sz w:val="22"/>
              </w:rPr>
              <w:t>156,3</w:t>
            </w:r>
          </w:p>
        </w:tc>
        <w:tc>
          <w:tcPr>
            <w:tcW w:w="1072" w:type="dxa"/>
            <w:vAlign w:val="bottom"/>
          </w:tcPr>
          <w:p w:rsidR="00000000" w:rsidRDefault="00000000">
            <w:pPr>
              <w:tabs>
                <w:tab w:val="decimal" w:pos="796"/>
              </w:tabs>
              <w:jc w:val="both"/>
              <w:rPr>
                <w:sz w:val="22"/>
              </w:rPr>
            </w:pPr>
            <w:r>
              <w:rPr>
                <w:sz w:val="22"/>
              </w:rPr>
              <w:t>658</w:t>
            </w:r>
          </w:p>
        </w:tc>
        <w:tc>
          <w:tcPr>
            <w:tcW w:w="1096" w:type="dxa"/>
            <w:vAlign w:val="bottom"/>
          </w:tcPr>
          <w:p w:rsidR="00000000" w:rsidRDefault="00000000">
            <w:pPr>
              <w:tabs>
                <w:tab w:val="decimal" w:pos="796"/>
              </w:tabs>
              <w:jc w:val="both"/>
              <w:rPr>
                <w:sz w:val="22"/>
              </w:rPr>
            </w:pPr>
            <w:r>
              <w:rPr>
                <w:sz w:val="22"/>
              </w:rPr>
              <w:t>474</w:t>
            </w:r>
          </w:p>
        </w:tc>
        <w:tc>
          <w:tcPr>
            <w:tcW w:w="1267" w:type="dxa"/>
            <w:vAlign w:val="bottom"/>
          </w:tcPr>
          <w:p w:rsidR="00000000" w:rsidRDefault="00000000">
            <w:pPr>
              <w:tabs>
                <w:tab w:val="decimal" w:pos="679"/>
              </w:tabs>
              <w:jc w:val="both"/>
              <w:rPr>
                <w:sz w:val="22"/>
              </w:rPr>
            </w:pPr>
            <w:r>
              <w:rPr>
                <w:sz w:val="22"/>
              </w:rPr>
              <w:t>138,8</w:t>
            </w:r>
          </w:p>
        </w:tc>
      </w:tr>
      <w:tr w:rsidR="00000000">
        <w:trPr>
          <w:jc w:val="center"/>
        </w:trPr>
        <w:tc>
          <w:tcPr>
            <w:tcW w:w="2608" w:type="dxa"/>
            <w:vAlign w:val="center"/>
          </w:tcPr>
          <w:p w:rsidR="00000000" w:rsidRDefault="00000000">
            <w:pPr>
              <w:rPr>
                <w:sz w:val="22"/>
              </w:rPr>
            </w:pPr>
            <w:r>
              <w:rPr>
                <w:sz w:val="22"/>
              </w:rPr>
              <w:t>Coimbra</w:t>
            </w:r>
          </w:p>
        </w:tc>
        <w:tc>
          <w:tcPr>
            <w:tcW w:w="1072" w:type="dxa"/>
            <w:vAlign w:val="bottom"/>
          </w:tcPr>
          <w:p w:rsidR="00000000" w:rsidRDefault="00000000">
            <w:pPr>
              <w:tabs>
                <w:tab w:val="decimal" w:pos="762"/>
              </w:tabs>
              <w:jc w:val="both"/>
              <w:rPr>
                <w:sz w:val="22"/>
              </w:rPr>
            </w:pPr>
            <w:r>
              <w:rPr>
                <w:sz w:val="22"/>
              </w:rPr>
              <w:t>450</w:t>
            </w:r>
          </w:p>
        </w:tc>
        <w:tc>
          <w:tcPr>
            <w:tcW w:w="1096" w:type="dxa"/>
            <w:vAlign w:val="bottom"/>
          </w:tcPr>
          <w:p w:rsidR="00000000" w:rsidRDefault="00000000">
            <w:pPr>
              <w:tabs>
                <w:tab w:val="decimal" w:pos="796"/>
              </w:tabs>
              <w:jc w:val="both"/>
              <w:rPr>
                <w:sz w:val="22"/>
              </w:rPr>
            </w:pPr>
            <w:r>
              <w:rPr>
                <w:sz w:val="22"/>
              </w:rPr>
              <w:t>421</w:t>
            </w:r>
          </w:p>
        </w:tc>
        <w:tc>
          <w:tcPr>
            <w:tcW w:w="1080" w:type="dxa"/>
            <w:vAlign w:val="bottom"/>
          </w:tcPr>
          <w:p w:rsidR="00000000" w:rsidRDefault="00000000">
            <w:pPr>
              <w:tabs>
                <w:tab w:val="decimal" w:pos="568"/>
              </w:tabs>
              <w:jc w:val="both"/>
              <w:rPr>
                <w:sz w:val="22"/>
              </w:rPr>
            </w:pPr>
            <w:r>
              <w:rPr>
                <w:sz w:val="22"/>
              </w:rPr>
              <w:t>106,9</w:t>
            </w:r>
          </w:p>
        </w:tc>
        <w:tc>
          <w:tcPr>
            <w:tcW w:w="1072" w:type="dxa"/>
            <w:vAlign w:val="bottom"/>
          </w:tcPr>
          <w:p w:rsidR="00000000" w:rsidRDefault="00000000">
            <w:pPr>
              <w:tabs>
                <w:tab w:val="decimal" w:pos="796"/>
              </w:tabs>
              <w:jc w:val="both"/>
              <w:rPr>
                <w:sz w:val="22"/>
              </w:rPr>
            </w:pPr>
            <w:r>
              <w:rPr>
                <w:sz w:val="22"/>
              </w:rPr>
              <w:t>461</w:t>
            </w:r>
          </w:p>
        </w:tc>
        <w:tc>
          <w:tcPr>
            <w:tcW w:w="1096" w:type="dxa"/>
            <w:vAlign w:val="bottom"/>
          </w:tcPr>
          <w:p w:rsidR="00000000" w:rsidRDefault="00000000">
            <w:pPr>
              <w:tabs>
                <w:tab w:val="decimal" w:pos="796"/>
              </w:tabs>
              <w:jc w:val="both"/>
              <w:rPr>
                <w:sz w:val="22"/>
              </w:rPr>
            </w:pPr>
            <w:r>
              <w:rPr>
                <w:sz w:val="22"/>
              </w:rPr>
              <w:t>421</w:t>
            </w:r>
          </w:p>
        </w:tc>
        <w:tc>
          <w:tcPr>
            <w:tcW w:w="1267" w:type="dxa"/>
            <w:vAlign w:val="bottom"/>
          </w:tcPr>
          <w:p w:rsidR="00000000" w:rsidRDefault="00000000">
            <w:pPr>
              <w:tabs>
                <w:tab w:val="decimal" w:pos="679"/>
              </w:tabs>
              <w:jc w:val="both"/>
              <w:rPr>
                <w:sz w:val="22"/>
              </w:rPr>
            </w:pPr>
            <w:r>
              <w:rPr>
                <w:sz w:val="22"/>
              </w:rPr>
              <w:t>109,5</w:t>
            </w:r>
          </w:p>
        </w:tc>
      </w:tr>
      <w:tr w:rsidR="00000000">
        <w:trPr>
          <w:jc w:val="center"/>
        </w:trPr>
        <w:tc>
          <w:tcPr>
            <w:tcW w:w="2608" w:type="dxa"/>
            <w:vAlign w:val="center"/>
          </w:tcPr>
          <w:p w:rsidR="00000000" w:rsidRDefault="00000000">
            <w:pPr>
              <w:rPr>
                <w:sz w:val="22"/>
              </w:rPr>
            </w:pPr>
            <w:r>
              <w:rPr>
                <w:sz w:val="22"/>
              </w:rPr>
              <w:t>Funchal</w:t>
            </w:r>
          </w:p>
        </w:tc>
        <w:tc>
          <w:tcPr>
            <w:tcW w:w="1072" w:type="dxa"/>
            <w:vAlign w:val="bottom"/>
          </w:tcPr>
          <w:p w:rsidR="00000000" w:rsidRDefault="00000000">
            <w:pPr>
              <w:tabs>
                <w:tab w:val="decimal" w:pos="762"/>
              </w:tabs>
              <w:jc w:val="both"/>
              <w:rPr>
                <w:sz w:val="22"/>
              </w:rPr>
            </w:pPr>
            <w:r>
              <w:rPr>
                <w:sz w:val="22"/>
              </w:rPr>
              <w:t>280</w:t>
            </w:r>
          </w:p>
        </w:tc>
        <w:tc>
          <w:tcPr>
            <w:tcW w:w="1096" w:type="dxa"/>
            <w:vAlign w:val="bottom"/>
          </w:tcPr>
          <w:p w:rsidR="00000000" w:rsidRDefault="00000000">
            <w:pPr>
              <w:tabs>
                <w:tab w:val="decimal" w:pos="796"/>
              </w:tabs>
              <w:jc w:val="both"/>
              <w:rPr>
                <w:sz w:val="22"/>
              </w:rPr>
            </w:pPr>
            <w:r>
              <w:rPr>
                <w:sz w:val="22"/>
              </w:rPr>
              <w:t>349</w:t>
            </w:r>
          </w:p>
        </w:tc>
        <w:tc>
          <w:tcPr>
            <w:tcW w:w="1080" w:type="dxa"/>
            <w:vAlign w:val="bottom"/>
          </w:tcPr>
          <w:p w:rsidR="00000000" w:rsidRDefault="00000000">
            <w:pPr>
              <w:tabs>
                <w:tab w:val="decimal" w:pos="568"/>
              </w:tabs>
              <w:jc w:val="both"/>
              <w:rPr>
                <w:sz w:val="22"/>
              </w:rPr>
            </w:pPr>
            <w:r>
              <w:rPr>
                <w:sz w:val="22"/>
              </w:rPr>
              <w:t>80,2</w:t>
            </w:r>
          </w:p>
        </w:tc>
        <w:tc>
          <w:tcPr>
            <w:tcW w:w="1072" w:type="dxa"/>
            <w:vAlign w:val="bottom"/>
          </w:tcPr>
          <w:p w:rsidR="00000000" w:rsidRDefault="00000000">
            <w:pPr>
              <w:tabs>
                <w:tab w:val="decimal" w:pos="796"/>
              </w:tabs>
              <w:jc w:val="both"/>
              <w:rPr>
                <w:sz w:val="22"/>
              </w:rPr>
            </w:pPr>
            <w:r>
              <w:rPr>
                <w:sz w:val="22"/>
              </w:rPr>
              <w:t>317</w:t>
            </w:r>
          </w:p>
        </w:tc>
        <w:tc>
          <w:tcPr>
            <w:tcW w:w="1096" w:type="dxa"/>
            <w:vAlign w:val="bottom"/>
          </w:tcPr>
          <w:p w:rsidR="00000000" w:rsidRDefault="00000000">
            <w:pPr>
              <w:tabs>
                <w:tab w:val="decimal" w:pos="796"/>
              </w:tabs>
              <w:jc w:val="both"/>
              <w:rPr>
                <w:sz w:val="22"/>
              </w:rPr>
            </w:pPr>
            <w:r>
              <w:rPr>
                <w:sz w:val="22"/>
              </w:rPr>
              <w:t>349</w:t>
            </w:r>
          </w:p>
        </w:tc>
        <w:tc>
          <w:tcPr>
            <w:tcW w:w="1267" w:type="dxa"/>
            <w:vAlign w:val="bottom"/>
          </w:tcPr>
          <w:p w:rsidR="00000000" w:rsidRDefault="00000000">
            <w:pPr>
              <w:tabs>
                <w:tab w:val="decimal" w:pos="679"/>
              </w:tabs>
              <w:jc w:val="both"/>
              <w:rPr>
                <w:sz w:val="22"/>
              </w:rPr>
            </w:pPr>
            <w:r>
              <w:rPr>
                <w:sz w:val="22"/>
              </w:rPr>
              <w:t>90,8</w:t>
            </w:r>
          </w:p>
        </w:tc>
      </w:tr>
      <w:tr w:rsidR="00000000">
        <w:trPr>
          <w:jc w:val="center"/>
        </w:trPr>
        <w:tc>
          <w:tcPr>
            <w:tcW w:w="2608" w:type="dxa"/>
            <w:vAlign w:val="center"/>
          </w:tcPr>
          <w:p w:rsidR="00000000" w:rsidRDefault="00000000">
            <w:pPr>
              <w:rPr>
                <w:sz w:val="22"/>
              </w:rPr>
            </w:pPr>
            <w:r>
              <w:rPr>
                <w:sz w:val="22"/>
              </w:rPr>
              <w:t>Izeda</w:t>
            </w:r>
          </w:p>
        </w:tc>
        <w:tc>
          <w:tcPr>
            <w:tcW w:w="1072" w:type="dxa"/>
            <w:vAlign w:val="bottom"/>
          </w:tcPr>
          <w:p w:rsidR="00000000" w:rsidRDefault="00000000">
            <w:pPr>
              <w:tabs>
                <w:tab w:val="decimal" w:pos="762"/>
              </w:tabs>
              <w:jc w:val="both"/>
              <w:rPr>
                <w:sz w:val="22"/>
              </w:rPr>
            </w:pPr>
            <w:r>
              <w:rPr>
                <w:sz w:val="22"/>
              </w:rPr>
              <w:t>280</w:t>
            </w:r>
          </w:p>
        </w:tc>
        <w:tc>
          <w:tcPr>
            <w:tcW w:w="1096" w:type="dxa"/>
            <w:vAlign w:val="bottom"/>
          </w:tcPr>
          <w:p w:rsidR="00000000" w:rsidRDefault="00000000">
            <w:pPr>
              <w:tabs>
                <w:tab w:val="decimal" w:pos="796"/>
              </w:tabs>
              <w:jc w:val="both"/>
              <w:rPr>
                <w:sz w:val="22"/>
              </w:rPr>
            </w:pPr>
            <w:r>
              <w:rPr>
                <w:sz w:val="22"/>
              </w:rPr>
              <w:t>289</w:t>
            </w:r>
          </w:p>
        </w:tc>
        <w:tc>
          <w:tcPr>
            <w:tcW w:w="1080" w:type="dxa"/>
            <w:vAlign w:val="bottom"/>
          </w:tcPr>
          <w:p w:rsidR="00000000" w:rsidRDefault="00000000">
            <w:pPr>
              <w:tabs>
                <w:tab w:val="decimal" w:pos="568"/>
              </w:tabs>
              <w:jc w:val="both"/>
              <w:rPr>
                <w:sz w:val="22"/>
              </w:rPr>
            </w:pPr>
            <w:r>
              <w:rPr>
                <w:sz w:val="22"/>
              </w:rPr>
              <w:t>96,9</w:t>
            </w:r>
          </w:p>
        </w:tc>
        <w:tc>
          <w:tcPr>
            <w:tcW w:w="1072" w:type="dxa"/>
            <w:vAlign w:val="bottom"/>
          </w:tcPr>
          <w:p w:rsidR="00000000" w:rsidRDefault="00000000">
            <w:pPr>
              <w:tabs>
                <w:tab w:val="decimal" w:pos="796"/>
              </w:tabs>
              <w:jc w:val="both"/>
              <w:rPr>
                <w:sz w:val="22"/>
              </w:rPr>
            </w:pPr>
            <w:r>
              <w:rPr>
                <w:sz w:val="22"/>
              </w:rPr>
              <w:t>296</w:t>
            </w:r>
          </w:p>
        </w:tc>
        <w:tc>
          <w:tcPr>
            <w:tcW w:w="1096" w:type="dxa"/>
            <w:vAlign w:val="bottom"/>
          </w:tcPr>
          <w:p w:rsidR="00000000" w:rsidRDefault="00000000">
            <w:pPr>
              <w:tabs>
                <w:tab w:val="decimal" w:pos="796"/>
              </w:tabs>
              <w:jc w:val="both"/>
              <w:rPr>
                <w:sz w:val="22"/>
              </w:rPr>
            </w:pPr>
            <w:r>
              <w:rPr>
                <w:sz w:val="22"/>
              </w:rPr>
              <w:t>289</w:t>
            </w:r>
          </w:p>
        </w:tc>
        <w:tc>
          <w:tcPr>
            <w:tcW w:w="1267" w:type="dxa"/>
            <w:vAlign w:val="bottom"/>
          </w:tcPr>
          <w:p w:rsidR="00000000" w:rsidRDefault="00000000">
            <w:pPr>
              <w:tabs>
                <w:tab w:val="decimal" w:pos="679"/>
              </w:tabs>
              <w:jc w:val="both"/>
              <w:rPr>
                <w:sz w:val="22"/>
              </w:rPr>
            </w:pPr>
            <w:r>
              <w:rPr>
                <w:sz w:val="22"/>
              </w:rPr>
              <w:t>102,4</w:t>
            </w:r>
          </w:p>
        </w:tc>
      </w:tr>
      <w:tr w:rsidR="00000000">
        <w:trPr>
          <w:jc w:val="center"/>
        </w:trPr>
        <w:tc>
          <w:tcPr>
            <w:tcW w:w="2608" w:type="dxa"/>
            <w:vAlign w:val="center"/>
          </w:tcPr>
          <w:p w:rsidR="00000000" w:rsidRDefault="00000000">
            <w:pPr>
              <w:rPr>
                <w:sz w:val="22"/>
              </w:rPr>
            </w:pPr>
            <w:r>
              <w:rPr>
                <w:sz w:val="22"/>
              </w:rPr>
              <w:t>Linhó</w:t>
            </w:r>
          </w:p>
        </w:tc>
        <w:tc>
          <w:tcPr>
            <w:tcW w:w="1072" w:type="dxa"/>
            <w:vAlign w:val="bottom"/>
          </w:tcPr>
          <w:p w:rsidR="00000000" w:rsidRDefault="00000000">
            <w:pPr>
              <w:tabs>
                <w:tab w:val="decimal" w:pos="762"/>
              </w:tabs>
              <w:jc w:val="both"/>
              <w:rPr>
                <w:sz w:val="22"/>
              </w:rPr>
            </w:pPr>
            <w:r>
              <w:rPr>
                <w:sz w:val="22"/>
              </w:rPr>
              <w:t>626</w:t>
            </w:r>
          </w:p>
        </w:tc>
        <w:tc>
          <w:tcPr>
            <w:tcW w:w="1096" w:type="dxa"/>
            <w:vAlign w:val="bottom"/>
          </w:tcPr>
          <w:p w:rsidR="00000000" w:rsidRDefault="00000000">
            <w:pPr>
              <w:tabs>
                <w:tab w:val="decimal" w:pos="796"/>
              </w:tabs>
              <w:jc w:val="both"/>
              <w:rPr>
                <w:sz w:val="22"/>
              </w:rPr>
            </w:pPr>
            <w:r>
              <w:rPr>
                <w:sz w:val="22"/>
              </w:rPr>
              <w:t>568</w:t>
            </w:r>
          </w:p>
        </w:tc>
        <w:tc>
          <w:tcPr>
            <w:tcW w:w="1080" w:type="dxa"/>
            <w:vAlign w:val="bottom"/>
          </w:tcPr>
          <w:p w:rsidR="00000000" w:rsidRDefault="00000000">
            <w:pPr>
              <w:tabs>
                <w:tab w:val="decimal" w:pos="568"/>
              </w:tabs>
              <w:jc w:val="both"/>
              <w:rPr>
                <w:sz w:val="22"/>
              </w:rPr>
            </w:pPr>
            <w:r>
              <w:rPr>
                <w:sz w:val="22"/>
              </w:rPr>
              <w:t>110,2</w:t>
            </w:r>
          </w:p>
        </w:tc>
        <w:tc>
          <w:tcPr>
            <w:tcW w:w="1072" w:type="dxa"/>
            <w:vAlign w:val="bottom"/>
          </w:tcPr>
          <w:p w:rsidR="00000000" w:rsidRDefault="00000000">
            <w:pPr>
              <w:tabs>
                <w:tab w:val="decimal" w:pos="796"/>
              </w:tabs>
              <w:jc w:val="both"/>
              <w:rPr>
                <w:sz w:val="22"/>
              </w:rPr>
            </w:pPr>
            <w:r>
              <w:rPr>
                <w:sz w:val="22"/>
              </w:rPr>
              <w:t>585</w:t>
            </w:r>
          </w:p>
        </w:tc>
        <w:tc>
          <w:tcPr>
            <w:tcW w:w="1096" w:type="dxa"/>
            <w:vAlign w:val="bottom"/>
          </w:tcPr>
          <w:p w:rsidR="00000000" w:rsidRDefault="00000000">
            <w:pPr>
              <w:tabs>
                <w:tab w:val="decimal" w:pos="796"/>
              </w:tabs>
              <w:jc w:val="both"/>
              <w:rPr>
                <w:sz w:val="22"/>
              </w:rPr>
            </w:pPr>
            <w:r>
              <w:rPr>
                <w:sz w:val="22"/>
              </w:rPr>
              <w:t>584</w:t>
            </w:r>
          </w:p>
        </w:tc>
        <w:tc>
          <w:tcPr>
            <w:tcW w:w="1267" w:type="dxa"/>
            <w:vAlign w:val="bottom"/>
          </w:tcPr>
          <w:p w:rsidR="00000000" w:rsidRDefault="00000000">
            <w:pPr>
              <w:tabs>
                <w:tab w:val="decimal" w:pos="679"/>
              </w:tabs>
              <w:jc w:val="both"/>
              <w:rPr>
                <w:sz w:val="22"/>
              </w:rPr>
            </w:pPr>
            <w:r>
              <w:rPr>
                <w:sz w:val="22"/>
              </w:rPr>
              <w:t>100,2</w:t>
            </w:r>
          </w:p>
        </w:tc>
      </w:tr>
      <w:tr w:rsidR="00000000">
        <w:trPr>
          <w:jc w:val="center"/>
        </w:trPr>
        <w:tc>
          <w:tcPr>
            <w:tcW w:w="2608" w:type="dxa"/>
            <w:vAlign w:val="center"/>
          </w:tcPr>
          <w:p w:rsidR="00000000" w:rsidRDefault="00000000">
            <w:pPr>
              <w:rPr>
                <w:sz w:val="22"/>
              </w:rPr>
            </w:pPr>
            <w:r>
              <w:rPr>
                <w:sz w:val="22"/>
              </w:rPr>
              <w:t>Lisboa</w:t>
            </w:r>
          </w:p>
        </w:tc>
        <w:tc>
          <w:tcPr>
            <w:tcW w:w="1072" w:type="dxa"/>
            <w:vAlign w:val="bottom"/>
          </w:tcPr>
          <w:p w:rsidR="00000000" w:rsidRDefault="00000000">
            <w:pPr>
              <w:tabs>
                <w:tab w:val="decimal" w:pos="762"/>
              </w:tabs>
              <w:jc w:val="both"/>
              <w:rPr>
                <w:sz w:val="22"/>
              </w:rPr>
            </w:pPr>
            <w:r>
              <w:rPr>
                <w:sz w:val="22"/>
              </w:rPr>
              <w:t>883</w:t>
            </w:r>
          </w:p>
        </w:tc>
        <w:tc>
          <w:tcPr>
            <w:tcW w:w="1096" w:type="dxa"/>
            <w:vAlign w:val="bottom"/>
          </w:tcPr>
          <w:p w:rsidR="00000000" w:rsidRDefault="00000000">
            <w:pPr>
              <w:tabs>
                <w:tab w:val="decimal" w:pos="796"/>
              </w:tabs>
              <w:jc w:val="both"/>
              <w:rPr>
                <w:sz w:val="22"/>
              </w:rPr>
            </w:pPr>
            <w:r>
              <w:rPr>
                <w:sz w:val="22"/>
              </w:rPr>
              <w:t>852</w:t>
            </w:r>
          </w:p>
        </w:tc>
        <w:tc>
          <w:tcPr>
            <w:tcW w:w="1080" w:type="dxa"/>
            <w:vAlign w:val="bottom"/>
          </w:tcPr>
          <w:p w:rsidR="00000000" w:rsidRDefault="00000000">
            <w:pPr>
              <w:tabs>
                <w:tab w:val="decimal" w:pos="568"/>
              </w:tabs>
              <w:jc w:val="both"/>
              <w:rPr>
                <w:sz w:val="22"/>
              </w:rPr>
            </w:pPr>
            <w:r>
              <w:rPr>
                <w:sz w:val="22"/>
              </w:rPr>
              <w:t>103,6</w:t>
            </w:r>
          </w:p>
        </w:tc>
        <w:tc>
          <w:tcPr>
            <w:tcW w:w="1072" w:type="dxa"/>
            <w:vAlign w:val="bottom"/>
          </w:tcPr>
          <w:p w:rsidR="00000000" w:rsidRDefault="00000000">
            <w:pPr>
              <w:tabs>
                <w:tab w:val="decimal" w:pos="796"/>
              </w:tabs>
              <w:jc w:val="both"/>
              <w:rPr>
                <w:sz w:val="22"/>
              </w:rPr>
            </w:pPr>
            <w:r>
              <w:rPr>
                <w:sz w:val="22"/>
              </w:rPr>
              <w:t>1.054</w:t>
            </w:r>
          </w:p>
        </w:tc>
        <w:tc>
          <w:tcPr>
            <w:tcW w:w="1096" w:type="dxa"/>
            <w:vAlign w:val="bottom"/>
          </w:tcPr>
          <w:p w:rsidR="00000000" w:rsidRDefault="00000000">
            <w:pPr>
              <w:tabs>
                <w:tab w:val="decimal" w:pos="796"/>
              </w:tabs>
              <w:jc w:val="both"/>
              <w:rPr>
                <w:sz w:val="22"/>
              </w:rPr>
            </w:pPr>
            <w:r>
              <w:rPr>
                <w:sz w:val="22"/>
              </w:rPr>
              <w:t>887</w:t>
            </w:r>
          </w:p>
        </w:tc>
        <w:tc>
          <w:tcPr>
            <w:tcW w:w="1267" w:type="dxa"/>
            <w:vAlign w:val="bottom"/>
          </w:tcPr>
          <w:p w:rsidR="00000000" w:rsidRDefault="00000000">
            <w:pPr>
              <w:tabs>
                <w:tab w:val="decimal" w:pos="679"/>
              </w:tabs>
              <w:jc w:val="both"/>
              <w:rPr>
                <w:sz w:val="22"/>
              </w:rPr>
            </w:pPr>
            <w:r>
              <w:rPr>
                <w:sz w:val="22"/>
              </w:rPr>
              <w:t>118,8</w:t>
            </w:r>
          </w:p>
        </w:tc>
      </w:tr>
      <w:tr w:rsidR="00000000">
        <w:trPr>
          <w:jc w:val="center"/>
        </w:trPr>
        <w:tc>
          <w:tcPr>
            <w:tcW w:w="2608" w:type="dxa"/>
            <w:vAlign w:val="center"/>
          </w:tcPr>
          <w:p w:rsidR="00000000" w:rsidRDefault="00000000">
            <w:pPr>
              <w:rPr>
                <w:sz w:val="22"/>
              </w:rPr>
            </w:pPr>
            <w:r>
              <w:rPr>
                <w:sz w:val="22"/>
              </w:rPr>
              <w:t>Monsanto</w:t>
            </w:r>
          </w:p>
        </w:tc>
        <w:tc>
          <w:tcPr>
            <w:tcW w:w="1072" w:type="dxa"/>
            <w:vAlign w:val="bottom"/>
          </w:tcPr>
          <w:p w:rsidR="00000000" w:rsidRDefault="00000000">
            <w:pPr>
              <w:tabs>
                <w:tab w:val="decimal" w:pos="762"/>
              </w:tabs>
              <w:jc w:val="both"/>
              <w:rPr>
                <w:sz w:val="22"/>
              </w:rPr>
            </w:pPr>
            <w:r>
              <w:rPr>
                <w:sz w:val="22"/>
              </w:rPr>
              <w:t>85</w:t>
            </w:r>
          </w:p>
        </w:tc>
        <w:tc>
          <w:tcPr>
            <w:tcW w:w="1096" w:type="dxa"/>
            <w:vAlign w:val="bottom"/>
          </w:tcPr>
          <w:p w:rsidR="00000000" w:rsidRDefault="00000000">
            <w:pPr>
              <w:tabs>
                <w:tab w:val="decimal" w:pos="796"/>
              </w:tabs>
              <w:jc w:val="both"/>
              <w:rPr>
                <w:sz w:val="22"/>
              </w:rPr>
            </w:pPr>
            <w:r>
              <w:rPr>
                <w:sz w:val="22"/>
              </w:rPr>
              <w:t>166</w:t>
            </w:r>
          </w:p>
        </w:tc>
        <w:tc>
          <w:tcPr>
            <w:tcW w:w="1080" w:type="dxa"/>
            <w:vAlign w:val="bottom"/>
          </w:tcPr>
          <w:p w:rsidR="00000000" w:rsidRDefault="00000000">
            <w:pPr>
              <w:tabs>
                <w:tab w:val="decimal" w:pos="568"/>
              </w:tabs>
              <w:jc w:val="both"/>
              <w:rPr>
                <w:sz w:val="22"/>
              </w:rPr>
            </w:pPr>
            <w:r>
              <w:rPr>
                <w:sz w:val="22"/>
              </w:rPr>
              <w:t>51,2</w:t>
            </w:r>
          </w:p>
        </w:tc>
        <w:tc>
          <w:tcPr>
            <w:tcW w:w="1072" w:type="dxa"/>
            <w:vAlign w:val="bottom"/>
          </w:tcPr>
          <w:p w:rsidR="00000000" w:rsidRDefault="00000000">
            <w:pPr>
              <w:tabs>
                <w:tab w:val="decimal" w:pos="796"/>
              </w:tabs>
              <w:jc w:val="both"/>
              <w:rPr>
                <w:sz w:val="22"/>
              </w:rPr>
            </w:pPr>
            <w:r>
              <w:rPr>
                <w:sz w:val="22"/>
              </w:rPr>
              <w:t>175</w:t>
            </w:r>
          </w:p>
        </w:tc>
        <w:tc>
          <w:tcPr>
            <w:tcW w:w="1096" w:type="dxa"/>
            <w:vAlign w:val="bottom"/>
          </w:tcPr>
          <w:p w:rsidR="00000000" w:rsidRDefault="00000000">
            <w:pPr>
              <w:tabs>
                <w:tab w:val="decimal" w:pos="796"/>
              </w:tabs>
              <w:jc w:val="both"/>
              <w:rPr>
                <w:sz w:val="22"/>
              </w:rPr>
            </w:pPr>
            <w:r>
              <w:rPr>
                <w:sz w:val="22"/>
              </w:rPr>
              <w:t>166</w:t>
            </w:r>
          </w:p>
        </w:tc>
        <w:tc>
          <w:tcPr>
            <w:tcW w:w="1267" w:type="dxa"/>
            <w:vAlign w:val="bottom"/>
          </w:tcPr>
          <w:p w:rsidR="00000000" w:rsidRDefault="00000000">
            <w:pPr>
              <w:tabs>
                <w:tab w:val="decimal" w:pos="679"/>
              </w:tabs>
              <w:jc w:val="both"/>
              <w:rPr>
                <w:sz w:val="22"/>
              </w:rPr>
            </w:pPr>
            <w:r>
              <w:rPr>
                <w:sz w:val="22"/>
              </w:rPr>
              <w:t>105,4</w:t>
            </w:r>
          </w:p>
        </w:tc>
      </w:tr>
      <w:tr w:rsidR="00000000">
        <w:trPr>
          <w:jc w:val="center"/>
        </w:trPr>
        <w:tc>
          <w:tcPr>
            <w:tcW w:w="2608" w:type="dxa"/>
            <w:vAlign w:val="center"/>
          </w:tcPr>
          <w:p w:rsidR="00000000" w:rsidRDefault="00000000">
            <w:pPr>
              <w:rPr>
                <w:sz w:val="22"/>
              </w:rPr>
            </w:pPr>
            <w:r>
              <w:rPr>
                <w:sz w:val="22"/>
              </w:rPr>
              <w:t>P. Ferreira</w:t>
            </w:r>
          </w:p>
        </w:tc>
        <w:tc>
          <w:tcPr>
            <w:tcW w:w="1072" w:type="dxa"/>
            <w:vAlign w:val="bottom"/>
          </w:tcPr>
          <w:p w:rsidR="00000000" w:rsidRDefault="00000000">
            <w:pPr>
              <w:tabs>
                <w:tab w:val="decimal" w:pos="762"/>
              </w:tabs>
              <w:jc w:val="both"/>
              <w:rPr>
                <w:sz w:val="22"/>
              </w:rPr>
            </w:pPr>
            <w:r>
              <w:rPr>
                <w:sz w:val="22"/>
              </w:rPr>
              <w:t>684</w:t>
            </w:r>
          </w:p>
        </w:tc>
        <w:tc>
          <w:tcPr>
            <w:tcW w:w="1096" w:type="dxa"/>
            <w:vAlign w:val="bottom"/>
          </w:tcPr>
          <w:p w:rsidR="00000000" w:rsidRDefault="00000000">
            <w:pPr>
              <w:tabs>
                <w:tab w:val="decimal" w:pos="796"/>
              </w:tabs>
              <w:jc w:val="both"/>
              <w:rPr>
                <w:sz w:val="22"/>
              </w:rPr>
            </w:pPr>
            <w:r>
              <w:rPr>
                <w:sz w:val="22"/>
              </w:rPr>
              <w:t>570</w:t>
            </w:r>
          </w:p>
        </w:tc>
        <w:tc>
          <w:tcPr>
            <w:tcW w:w="1080" w:type="dxa"/>
            <w:vAlign w:val="bottom"/>
          </w:tcPr>
          <w:p w:rsidR="00000000" w:rsidRDefault="00000000">
            <w:pPr>
              <w:tabs>
                <w:tab w:val="decimal" w:pos="568"/>
              </w:tabs>
              <w:jc w:val="both"/>
              <w:rPr>
                <w:sz w:val="22"/>
              </w:rPr>
            </w:pPr>
            <w:r>
              <w:rPr>
                <w:sz w:val="22"/>
              </w:rPr>
              <w:t>120,0</w:t>
            </w:r>
          </w:p>
        </w:tc>
        <w:tc>
          <w:tcPr>
            <w:tcW w:w="1072" w:type="dxa"/>
            <w:vAlign w:val="bottom"/>
          </w:tcPr>
          <w:p w:rsidR="00000000" w:rsidRDefault="00000000">
            <w:pPr>
              <w:tabs>
                <w:tab w:val="decimal" w:pos="796"/>
              </w:tabs>
              <w:jc w:val="both"/>
              <w:rPr>
                <w:sz w:val="22"/>
              </w:rPr>
            </w:pPr>
            <w:r>
              <w:rPr>
                <w:sz w:val="22"/>
              </w:rPr>
              <w:t>669</w:t>
            </w:r>
          </w:p>
        </w:tc>
        <w:tc>
          <w:tcPr>
            <w:tcW w:w="1096" w:type="dxa"/>
            <w:vAlign w:val="bottom"/>
          </w:tcPr>
          <w:p w:rsidR="00000000" w:rsidRDefault="00000000">
            <w:pPr>
              <w:tabs>
                <w:tab w:val="decimal" w:pos="796"/>
              </w:tabs>
              <w:jc w:val="both"/>
              <w:rPr>
                <w:sz w:val="22"/>
              </w:rPr>
            </w:pPr>
            <w:r>
              <w:rPr>
                <w:sz w:val="22"/>
              </w:rPr>
              <w:t>570</w:t>
            </w:r>
          </w:p>
        </w:tc>
        <w:tc>
          <w:tcPr>
            <w:tcW w:w="1267" w:type="dxa"/>
            <w:vAlign w:val="bottom"/>
          </w:tcPr>
          <w:p w:rsidR="00000000" w:rsidRDefault="00000000">
            <w:pPr>
              <w:tabs>
                <w:tab w:val="decimal" w:pos="679"/>
              </w:tabs>
              <w:jc w:val="both"/>
              <w:rPr>
                <w:sz w:val="22"/>
              </w:rPr>
            </w:pPr>
            <w:r>
              <w:rPr>
                <w:sz w:val="22"/>
              </w:rPr>
              <w:t>117,4</w:t>
            </w:r>
          </w:p>
        </w:tc>
      </w:tr>
      <w:tr w:rsidR="00000000">
        <w:trPr>
          <w:jc w:val="center"/>
        </w:trPr>
        <w:tc>
          <w:tcPr>
            <w:tcW w:w="2608" w:type="dxa"/>
            <w:vAlign w:val="center"/>
          </w:tcPr>
          <w:p w:rsidR="00000000" w:rsidRDefault="00000000">
            <w:pPr>
              <w:rPr>
                <w:sz w:val="22"/>
              </w:rPr>
            </w:pPr>
            <w:r>
              <w:rPr>
                <w:sz w:val="22"/>
              </w:rPr>
              <w:t>P. da Cruz</w:t>
            </w:r>
          </w:p>
        </w:tc>
        <w:tc>
          <w:tcPr>
            <w:tcW w:w="1072" w:type="dxa"/>
            <w:vAlign w:val="bottom"/>
          </w:tcPr>
          <w:p w:rsidR="00000000" w:rsidRDefault="00000000">
            <w:pPr>
              <w:tabs>
                <w:tab w:val="decimal" w:pos="762"/>
              </w:tabs>
              <w:jc w:val="both"/>
              <w:rPr>
                <w:sz w:val="22"/>
              </w:rPr>
            </w:pPr>
            <w:r>
              <w:rPr>
                <w:sz w:val="22"/>
              </w:rPr>
              <w:t>792</w:t>
            </w:r>
          </w:p>
        </w:tc>
        <w:tc>
          <w:tcPr>
            <w:tcW w:w="1096" w:type="dxa"/>
            <w:vAlign w:val="bottom"/>
          </w:tcPr>
          <w:p w:rsidR="00000000" w:rsidRDefault="00000000">
            <w:pPr>
              <w:tabs>
                <w:tab w:val="decimal" w:pos="796"/>
              </w:tabs>
              <w:jc w:val="both"/>
              <w:rPr>
                <w:sz w:val="22"/>
              </w:rPr>
            </w:pPr>
            <w:r>
              <w:rPr>
                <w:sz w:val="22"/>
              </w:rPr>
              <w:t>737</w:t>
            </w:r>
          </w:p>
        </w:tc>
        <w:tc>
          <w:tcPr>
            <w:tcW w:w="1080" w:type="dxa"/>
            <w:vAlign w:val="bottom"/>
          </w:tcPr>
          <w:p w:rsidR="00000000" w:rsidRDefault="00000000">
            <w:pPr>
              <w:tabs>
                <w:tab w:val="decimal" w:pos="568"/>
              </w:tabs>
              <w:jc w:val="both"/>
              <w:rPr>
                <w:sz w:val="22"/>
              </w:rPr>
            </w:pPr>
            <w:r>
              <w:rPr>
                <w:sz w:val="22"/>
              </w:rPr>
              <w:t>107,5</w:t>
            </w:r>
          </w:p>
        </w:tc>
        <w:tc>
          <w:tcPr>
            <w:tcW w:w="1072" w:type="dxa"/>
            <w:vAlign w:val="bottom"/>
          </w:tcPr>
          <w:p w:rsidR="00000000" w:rsidRDefault="00000000">
            <w:pPr>
              <w:tabs>
                <w:tab w:val="decimal" w:pos="796"/>
              </w:tabs>
              <w:jc w:val="both"/>
              <w:rPr>
                <w:sz w:val="22"/>
              </w:rPr>
            </w:pPr>
            <w:r>
              <w:rPr>
                <w:sz w:val="22"/>
              </w:rPr>
              <w:t>744</w:t>
            </w:r>
          </w:p>
        </w:tc>
        <w:tc>
          <w:tcPr>
            <w:tcW w:w="1096" w:type="dxa"/>
            <w:vAlign w:val="bottom"/>
          </w:tcPr>
          <w:p w:rsidR="00000000" w:rsidRDefault="00000000">
            <w:pPr>
              <w:tabs>
                <w:tab w:val="decimal" w:pos="796"/>
              </w:tabs>
              <w:jc w:val="both"/>
              <w:rPr>
                <w:sz w:val="22"/>
              </w:rPr>
            </w:pPr>
            <w:r>
              <w:rPr>
                <w:sz w:val="22"/>
              </w:rPr>
              <w:t>737</w:t>
            </w:r>
          </w:p>
        </w:tc>
        <w:tc>
          <w:tcPr>
            <w:tcW w:w="1267" w:type="dxa"/>
            <w:vAlign w:val="bottom"/>
          </w:tcPr>
          <w:p w:rsidR="00000000" w:rsidRDefault="00000000">
            <w:pPr>
              <w:tabs>
                <w:tab w:val="decimal" w:pos="679"/>
              </w:tabs>
              <w:jc w:val="both"/>
              <w:rPr>
                <w:sz w:val="22"/>
              </w:rPr>
            </w:pPr>
            <w:r>
              <w:rPr>
                <w:sz w:val="22"/>
              </w:rPr>
              <w:t>100,9</w:t>
            </w:r>
          </w:p>
        </w:tc>
      </w:tr>
      <w:tr w:rsidR="00000000">
        <w:trPr>
          <w:jc w:val="center"/>
        </w:trPr>
        <w:tc>
          <w:tcPr>
            <w:tcW w:w="2608" w:type="dxa"/>
            <w:vAlign w:val="center"/>
          </w:tcPr>
          <w:p w:rsidR="00000000" w:rsidRDefault="00000000">
            <w:pPr>
              <w:rPr>
                <w:sz w:val="22"/>
              </w:rPr>
            </w:pPr>
            <w:r>
              <w:rPr>
                <w:sz w:val="22"/>
              </w:rPr>
              <w:t>Porto</w:t>
            </w:r>
          </w:p>
        </w:tc>
        <w:tc>
          <w:tcPr>
            <w:tcW w:w="1072" w:type="dxa"/>
            <w:vAlign w:val="bottom"/>
          </w:tcPr>
          <w:p w:rsidR="00000000" w:rsidRDefault="00000000">
            <w:pPr>
              <w:tabs>
                <w:tab w:val="decimal" w:pos="762"/>
              </w:tabs>
              <w:jc w:val="both"/>
              <w:rPr>
                <w:sz w:val="22"/>
              </w:rPr>
            </w:pPr>
            <w:r>
              <w:rPr>
                <w:sz w:val="22"/>
              </w:rPr>
              <w:t>1.035</w:t>
            </w:r>
          </w:p>
        </w:tc>
        <w:tc>
          <w:tcPr>
            <w:tcW w:w="1096" w:type="dxa"/>
            <w:vAlign w:val="bottom"/>
          </w:tcPr>
          <w:p w:rsidR="00000000" w:rsidRDefault="00000000">
            <w:pPr>
              <w:tabs>
                <w:tab w:val="decimal" w:pos="796"/>
              </w:tabs>
              <w:jc w:val="both"/>
              <w:rPr>
                <w:sz w:val="22"/>
              </w:rPr>
            </w:pPr>
            <w:r>
              <w:rPr>
                <w:sz w:val="22"/>
              </w:rPr>
              <w:t>720</w:t>
            </w:r>
          </w:p>
        </w:tc>
        <w:tc>
          <w:tcPr>
            <w:tcW w:w="1080" w:type="dxa"/>
            <w:vAlign w:val="bottom"/>
          </w:tcPr>
          <w:p w:rsidR="00000000" w:rsidRDefault="00000000">
            <w:pPr>
              <w:tabs>
                <w:tab w:val="decimal" w:pos="568"/>
              </w:tabs>
              <w:jc w:val="both"/>
              <w:rPr>
                <w:sz w:val="22"/>
              </w:rPr>
            </w:pPr>
            <w:r>
              <w:rPr>
                <w:sz w:val="22"/>
              </w:rPr>
              <w:t>143,8</w:t>
            </w:r>
          </w:p>
        </w:tc>
        <w:tc>
          <w:tcPr>
            <w:tcW w:w="1072" w:type="dxa"/>
            <w:vAlign w:val="bottom"/>
          </w:tcPr>
          <w:p w:rsidR="00000000" w:rsidRDefault="00000000">
            <w:pPr>
              <w:tabs>
                <w:tab w:val="decimal" w:pos="796"/>
              </w:tabs>
              <w:jc w:val="both"/>
              <w:rPr>
                <w:sz w:val="22"/>
              </w:rPr>
            </w:pPr>
            <w:r>
              <w:rPr>
                <w:sz w:val="22"/>
              </w:rPr>
              <w:t>1.036</w:t>
            </w:r>
          </w:p>
        </w:tc>
        <w:tc>
          <w:tcPr>
            <w:tcW w:w="1096" w:type="dxa"/>
            <w:vAlign w:val="bottom"/>
          </w:tcPr>
          <w:p w:rsidR="00000000" w:rsidRDefault="00000000">
            <w:pPr>
              <w:tabs>
                <w:tab w:val="decimal" w:pos="796"/>
              </w:tabs>
              <w:jc w:val="both"/>
              <w:rPr>
                <w:sz w:val="22"/>
              </w:rPr>
            </w:pPr>
            <w:r>
              <w:rPr>
                <w:sz w:val="22"/>
              </w:rPr>
              <w:t>720</w:t>
            </w:r>
          </w:p>
        </w:tc>
        <w:tc>
          <w:tcPr>
            <w:tcW w:w="1267" w:type="dxa"/>
            <w:vAlign w:val="bottom"/>
          </w:tcPr>
          <w:p w:rsidR="00000000" w:rsidRDefault="00000000">
            <w:pPr>
              <w:tabs>
                <w:tab w:val="decimal" w:pos="679"/>
              </w:tabs>
              <w:jc w:val="both"/>
              <w:rPr>
                <w:sz w:val="22"/>
              </w:rPr>
            </w:pPr>
            <w:r>
              <w:rPr>
                <w:sz w:val="22"/>
              </w:rPr>
              <w:t>143,9</w:t>
            </w:r>
          </w:p>
        </w:tc>
      </w:tr>
      <w:tr w:rsidR="00000000">
        <w:trPr>
          <w:jc w:val="center"/>
        </w:trPr>
        <w:tc>
          <w:tcPr>
            <w:tcW w:w="2608" w:type="dxa"/>
            <w:vAlign w:val="center"/>
          </w:tcPr>
          <w:p w:rsidR="00000000" w:rsidRDefault="00000000">
            <w:pPr>
              <w:rPr>
                <w:sz w:val="22"/>
              </w:rPr>
            </w:pPr>
            <w:r>
              <w:rPr>
                <w:sz w:val="22"/>
              </w:rPr>
              <w:t>Santarém</w:t>
            </w:r>
            <w:r>
              <w:rPr>
                <w:bCs/>
                <w:sz w:val="22"/>
                <w:vertAlign w:val="superscript"/>
              </w:rPr>
              <w:t>a</w:t>
            </w:r>
          </w:p>
        </w:tc>
        <w:tc>
          <w:tcPr>
            <w:tcW w:w="1072" w:type="dxa"/>
            <w:vAlign w:val="bottom"/>
          </w:tcPr>
          <w:p w:rsidR="00000000" w:rsidRDefault="00000000">
            <w:pPr>
              <w:tabs>
                <w:tab w:val="decimal" w:pos="762"/>
              </w:tabs>
              <w:jc w:val="both"/>
              <w:rPr>
                <w:sz w:val="22"/>
              </w:rPr>
            </w:pPr>
            <w:r>
              <w:rPr>
                <w:sz w:val="22"/>
              </w:rPr>
              <w:t>-</w:t>
            </w:r>
          </w:p>
        </w:tc>
        <w:tc>
          <w:tcPr>
            <w:tcW w:w="1096" w:type="dxa"/>
            <w:vAlign w:val="bottom"/>
          </w:tcPr>
          <w:p w:rsidR="00000000" w:rsidRDefault="00000000">
            <w:pPr>
              <w:tabs>
                <w:tab w:val="decimal" w:pos="796"/>
              </w:tabs>
              <w:jc w:val="both"/>
              <w:rPr>
                <w:sz w:val="22"/>
              </w:rPr>
            </w:pPr>
            <w:r>
              <w:rPr>
                <w:sz w:val="22"/>
              </w:rPr>
              <w:t>-</w:t>
            </w:r>
          </w:p>
        </w:tc>
        <w:tc>
          <w:tcPr>
            <w:tcW w:w="1080" w:type="dxa"/>
            <w:vAlign w:val="bottom"/>
          </w:tcPr>
          <w:p w:rsidR="00000000" w:rsidRDefault="00000000">
            <w:pPr>
              <w:tabs>
                <w:tab w:val="decimal" w:pos="568"/>
              </w:tabs>
              <w:jc w:val="both"/>
              <w:rPr>
                <w:sz w:val="22"/>
              </w:rPr>
            </w:pPr>
            <w:r>
              <w:rPr>
                <w:sz w:val="22"/>
              </w:rPr>
              <w:t>-</w:t>
            </w:r>
          </w:p>
        </w:tc>
        <w:tc>
          <w:tcPr>
            <w:tcW w:w="1072" w:type="dxa"/>
            <w:vAlign w:val="bottom"/>
          </w:tcPr>
          <w:p w:rsidR="00000000" w:rsidRDefault="00000000">
            <w:pPr>
              <w:tabs>
                <w:tab w:val="decimal" w:pos="796"/>
              </w:tabs>
              <w:jc w:val="both"/>
              <w:rPr>
                <w:sz w:val="22"/>
              </w:rPr>
            </w:pPr>
            <w:r>
              <w:rPr>
                <w:sz w:val="22"/>
              </w:rPr>
              <w:t>22</w:t>
            </w:r>
          </w:p>
        </w:tc>
        <w:tc>
          <w:tcPr>
            <w:tcW w:w="1096" w:type="dxa"/>
            <w:vAlign w:val="bottom"/>
          </w:tcPr>
          <w:p w:rsidR="00000000" w:rsidRDefault="00000000">
            <w:pPr>
              <w:tabs>
                <w:tab w:val="decimal" w:pos="796"/>
              </w:tabs>
              <w:jc w:val="both"/>
              <w:rPr>
                <w:sz w:val="22"/>
              </w:rPr>
            </w:pPr>
            <w:r>
              <w:rPr>
                <w:sz w:val="22"/>
              </w:rPr>
              <w:t>36</w:t>
            </w:r>
          </w:p>
        </w:tc>
        <w:tc>
          <w:tcPr>
            <w:tcW w:w="1267" w:type="dxa"/>
            <w:vAlign w:val="bottom"/>
          </w:tcPr>
          <w:p w:rsidR="00000000" w:rsidRDefault="00000000">
            <w:pPr>
              <w:tabs>
                <w:tab w:val="decimal" w:pos="679"/>
              </w:tabs>
              <w:jc w:val="both"/>
              <w:rPr>
                <w:sz w:val="22"/>
              </w:rPr>
            </w:pPr>
            <w:r>
              <w:rPr>
                <w:sz w:val="22"/>
              </w:rPr>
              <w:t>61,1</w:t>
            </w:r>
          </w:p>
        </w:tc>
      </w:tr>
      <w:tr w:rsidR="00000000">
        <w:trPr>
          <w:jc w:val="center"/>
        </w:trPr>
        <w:tc>
          <w:tcPr>
            <w:tcW w:w="2608" w:type="dxa"/>
            <w:vAlign w:val="center"/>
          </w:tcPr>
          <w:p w:rsidR="00000000" w:rsidRDefault="00000000">
            <w:pPr>
              <w:rPr>
                <w:sz w:val="22"/>
                <w:lang w:val="es-ES_tradnl"/>
              </w:rPr>
            </w:pPr>
            <w:r>
              <w:rPr>
                <w:sz w:val="22"/>
                <w:lang w:val="es-ES_tradnl"/>
              </w:rPr>
              <w:t>S. C. do Bispo</w:t>
            </w:r>
          </w:p>
        </w:tc>
        <w:tc>
          <w:tcPr>
            <w:tcW w:w="1072" w:type="dxa"/>
            <w:vAlign w:val="bottom"/>
          </w:tcPr>
          <w:p w:rsidR="00000000" w:rsidRDefault="00000000">
            <w:pPr>
              <w:tabs>
                <w:tab w:val="decimal" w:pos="762"/>
              </w:tabs>
              <w:jc w:val="both"/>
              <w:rPr>
                <w:sz w:val="22"/>
              </w:rPr>
            </w:pPr>
            <w:r>
              <w:rPr>
                <w:sz w:val="22"/>
              </w:rPr>
              <w:t>399</w:t>
            </w:r>
          </w:p>
        </w:tc>
        <w:tc>
          <w:tcPr>
            <w:tcW w:w="1096" w:type="dxa"/>
            <w:vAlign w:val="bottom"/>
          </w:tcPr>
          <w:p w:rsidR="00000000" w:rsidRDefault="00000000">
            <w:pPr>
              <w:tabs>
                <w:tab w:val="decimal" w:pos="796"/>
              </w:tabs>
              <w:jc w:val="both"/>
              <w:rPr>
                <w:sz w:val="22"/>
              </w:rPr>
            </w:pPr>
            <w:r>
              <w:rPr>
                <w:sz w:val="22"/>
              </w:rPr>
              <w:t>342</w:t>
            </w:r>
          </w:p>
        </w:tc>
        <w:tc>
          <w:tcPr>
            <w:tcW w:w="1080" w:type="dxa"/>
            <w:vAlign w:val="bottom"/>
          </w:tcPr>
          <w:p w:rsidR="00000000" w:rsidRDefault="00000000">
            <w:pPr>
              <w:tabs>
                <w:tab w:val="decimal" w:pos="568"/>
              </w:tabs>
              <w:jc w:val="both"/>
              <w:rPr>
                <w:sz w:val="22"/>
              </w:rPr>
            </w:pPr>
            <w:r>
              <w:rPr>
                <w:sz w:val="22"/>
              </w:rPr>
              <w:t>116,7</w:t>
            </w:r>
          </w:p>
        </w:tc>
        <w:tc>
          <w:tcPr>
            <w:tcW w:w="1072" w:type="dxa"/>
            <w:vAlign w:val="bottom"/>
          </w:tcPr>
          <w:p w:rsidR="00000000" w:rsidRDefault="00000000">
            <w:pPr>
              <w:tabs>
                <w:tab w:val="decimal" w:pos="796"/>
              </w:tabs>
              <w:jc w:val="both"/>
              <w:rPr>
                <w:sz w:val="22"/>
              </w:rPr>
            </w:pPr>
            <w:r>
              <w:rPr>
                <w:sz w:val="22"/>
              </w:rPr>
              <w:t>384</w:t>
            </w:r>
          </w:p>
        </w:tc>
        <w:tc>
          <w:tcPr>
            <w:tcW w:w="1096" w:type="dxa"/>
            <w:vAlign w:val="bottom"/>
          </w:tcPr>
          <w:p w:rsidR="00000000" w:rsidRDefault="00000000">
            <w:pPr>
              <w:tabs>
                <w:tab w:val="decimal" w:pos="796"/>
              </w:tabs>
              <w:jc w:val="both"/>
              <w:rPr>
                <w:sz w:val="22"/>
              </w:rPr>
            </w:pPr>
            <w:r>
              <w:rPr>
                <w:sz w:val="22"/>
              </w:rPr>
              <w:t>342</w:t>
            </w:r>
          </w:p>
        </w:tc>
        <w:tc>
          <w:tcPr>
            <w:tcW w:w="1267" w:type="dxa"/>
            <w:vAlign w:val="bottom"/>
          </w:tcPr>
          <w:p w:rsidR="00000000" w:rsidRDefault="00000000">
            <w:pPr>
              <w:tabs>
                <w:tab w:val="decimal" w:pos="679"/>
              </w:tabs>
              <w:jc w:val="both"/>
              <w:rPr>
                <w:sz w:val="22"/>
              </w:rPr>
            </w:pPr>
            <w:r>
              <w:rPr>
                <w:sz w:val="22"/>
              </w:rPr>
              <w:t>112,3</w:t>
            </w:r>
          </w:p>
        </w:tc>
      </w:tr>
      <w:tr w:rsidR="00000000">
        <w:trPr>
          <w:jc w:val="center"/>
        </w:trPr>
        <w:tc>
          <w:tcPr>
            <w:tcW w:w="2608" w:type="dxa"/>
            <w:vAlign w:val="center"/>
          </w:tcPr>
          <w:p w:rsidR="00000000" w:rsidRDefault="00000000">
            <w:pPr>
              <w:rPr>
                <w:sz w:val="22"/>
              </w:rPr>
            </w:pPr>
            <w:r>
              <w:rPr>
                <w:sz w:val="22"/>
              </w:rPr>
              <w:t>Sintra</w:t>
            </w:r>
          </w:p>
        </w:tc>
        <w:tc>
          <w:tcPr>
            <w:tcW w:w="1072" w:type="dxa"/>
            <w:vAlign w:val="bottom"/>
          </w:tcPr>
          <w:p w:rsidR="00000000" w:rsidRDefault="00000000">
            <w:pPr>
              <w:tabs>
                <w:tab w:val="decimal" w:pos="762"/>
              </w:tabs>
              <w:jc w:val="both"/>
              <w:rPr>
                <w:sz w:val="22"/>
              </w:rPr>
            </w:pPr>
            <w:r>
              <w:rPr>
                <w:sz w:val="22"/>
              </w:rPr>
              <w:t>586</w:t>
            </w:r>
          </w:p>
        </w:tc>
        <w:tc>
          <w:tcPr>
            <w:tcW w:w="1096" w:type="dxa"/>
            <w:vAlign w:val="bottom"/>
          </w:tcPr>
          <w:p w:rsidR="00000000" w:rsidRDefault="00000000">
            <w:pPr>
              <w:tabs>
                <w:tab w:val="decimal" w:pos="796"/>
              </w:tabs>
              <w:jc w:val="both"/>
              <w:rPr>
                <w:sz w:val="22"/>
              </w:rPr>
            </w:pPr>
            <w:r>
              <w:rPr>
                <w:sz w:val="22"/>
              </w:rPr>
              <w:t>669</w:t>
            </w:r>
          </w:p>
        </w:tc>
        <w:tc>
          <w:tcPr>
            <w:tcW w:w="1080" w:type="dxa"/>
            <w:vAlign w:val="bottom"/>
          </w:tcPr>
          <w:p w:rsidR="00000000" w:rsidRDefault="00000000">
            <w:pPr>
              <w:tabs>
                <w:tab w:val="decimal" w:pos="568"/>
              </w:tabs>
              <w:jc w:val="both"/>
              <w:rPr>
                <w:sz w:val="22"/>
              </w:rPr>
            </w:pPr>
            <w:r>
              <w:rPr>
                <w:sz w:val="22"/>
              </w:rPr>
              <w:t>87,6</w:t>
            </w:r>
          </w:p>
        </w:tc>
        <w:tc>
          <w:tcPr>
            <w:tcW w:w="1072" w:type="dxa"/>
            <w:vAlign w:val="bottom"/>
          </w:tcPr>
          <w:p w:rsidR="00000000" w:rsidRDefault="00000000">
            <w:pPr>
              <w:tabs>
                <w:tab w:val="decimal" w:pos="796"/>
              </w:tabs>
              <w:jc w:val="both"/>
              <w:rPr>
                <w:sz w:val="22"/>
              </w:rPr>
            </w:pPr>
            <w:r>
              <w:rPr>
                <w:sz w:val="22"/>
              </w:rPr>
              <w:t>612</w:t>
            </w:r>
          </w:p>
        </w:tc>
        <w:tc>
          <w:tcPr>
            <w:tcW w:w="1096" w:type="dxa"/>
            <w:vAlign w:val="bottom"/>
          </w:tcPr>
          <w:p w:rsidR="00000000" w:rsidRDefault="00000000">
            <w:pPr>
              <w:tabs>
                <w:tab w:val="decimal" w:pos="796"/>
              </w:tabs>
              <w:jc w:val="both"/>
              <w:rPr>
                <w:sz w:val="22"/>
              </w:rPr>
            </w:pPr>
            <w:r>
              <w:rPr>
                <w:sz w:val="22"/>
              </w:rPr>
              <w:t>729</w:t>
            </w:r>
          </w:p>
        </w:tc>
        <w:tc>
          <w:tcPr>
            <w:tcW w:w="1267" w:type="dxa"/>
            <w:vAlign w:val="bottom"/>
          </w:tcPr>
          <w:p w:rsidR="00000000" w:rsidRDefault="00000000">
            <w:pPr>
              <w:tabs>
                <w:tab w:val="decimal" w:pos="679"/>
              </w:tabs>
              <w:jc w:val="both"/>
              <w:rPr>
                <w:sz w:val="22"/>
              </w:rPr>
            </w:pPr>
            <w:r>
              <w:rPr>
                <w:sz w:val="22"/>
              </w:rPr>
              <w:t>84,0</w:t>
            </w:r>
          </w:p>
        </w:tc>
      </w:tr>
      <w:tr w:rsidR="00000000">
        <w:trPr>
          <w:jc w:val="center"/>
        </w:trPr>
        <w:tc>
          <w:tcPr>
            <w:tcW w:w="2608" w:type="dxa"/>
            <w:vAlign w:val="center"/>
          </w:tcPr>
          <w:p w:rsidR="00000000" w:rsidRDefault="00000000">
            <w:pPr>
              <w:rPr>
                <w:sz w:val="22"/>
              </w:rPr>
            </w:pPr>
            <w:r>
              <w:rPr>
                <w:sz w:val="22"/>
              </w:rPr>
              <w:t>Vale de Judeus</w:t>
            </w:r>
          </w:p>
        </w:tc>
        <w:tc>
          <w:tcPr>
            <w:tcW w:w="1072" w:type="dxa"/>
            <w:vAlign w:val="bottom"/>
          </w:tcPr>
          <w:p w:rsidR="00000000" w:rsidRDefault="00000000">
            <w:pPr>
              <w:tabs>
                <w:tab w:val="decimal" w:pos="762"/>
              </w:tabs>
              <w:jc w:val="both"/>
              <w:rPr>
                <w:sz w:val="22"/>
              </w:rPr>
            </w:pPr>
            <w:r>
              <w:rPr>
                <w:sz w:val="22"/>
              </w:rPr>
              <w:t>512</w:t>
            </w:r>
          </w:p>
        </w:tc>
        <w:tc>
          <w:tcPr>
            <w:tcW w:w="1096" w:type="dxa"/>
            <w:vAlign w:val="bottom"/>
          </w:tcPr>
          <w:p w:rsidR="00000000" w:rsidRDefault="00000000">
            <w:pPr>
              <w:tabs>
                <w:tab w:val="decimal" w:pos="796"/>
              </w:tabs>
              <w:jc w:val="both"/>
              <w:rPr>
                <w:sz w:val="22"/>
              </w:rPr>
            </w:pPr>
            <w:r>
              <w:rPr>
                <w:sz w:val="22"/>
              </w:rPr>
              <w:t>538</w:t>
            </w:r>
          </w:p>
        </w:tc>
        <w:tc>
          <w:tcPr>
            <w:tcW w:w="1080" w:type="dxa"/>
            <w:vAlign w:val="bottom"/>
          </w:tcPr>
          <w:p w:rsidR="00000000" w:rsidRDefault="00000000">
            <w:pPr>
              <w:tabs>
                <w:tab w:val="decimal" w:pos="568"/>
              </w:tabs>
              <w:jc w:val="both"/>
              <w:rPr>
                <w:sz w:val="22"/>
              </w:rPr>
            </w:pPr>
            <w:r>
              <w:rPr>
                <w:sz w:val="22"/>
              </w:rPr>
              <w:t>95,2</w:t>
            </w:r>
          </w:p>
        </w:tc>
        <w:tc>
          <w:tcPr>
            <w:tcW w:w="1072" w:type="dxa"/>
            <w:vAlign w:val="bottom"/>
          </w:tcPr>
          <w:p w:rsidR="00000000" w:rsidRDefault="00000000">
            <w:pPr>
              <w:tabs>
                <w:tab w:val="decimal" w:pos="796"/>
              </w:tabs>
              <w:jc w:val="both"/>
              <w:rPr>
                <w:sz w:val="22"/>
              </w:rPr>
            </w:pPr>
            <w:r>
              <w:rPr>
                <w:sz w:val="22"/>
              </w:rPr>
              <w:t>526</w:t>
            </w:r>
          </w:p>
        </w:tc>
        <w:tc>
          <w:tcPr>
            <w:tcW w:w="1096" w:type="dxa"/>
            <w:vAlign w:val="bottom"/>
          </w:tcPr>
          <w:p w:rsidR="00000000" w:rsidRDefault="00000000">
            <w:pPr>
              <w:tabs>
                <w:tab w:val="decimal" w:pos="796"/>
              </w:tabs>
              <w:jc w:val="both"/>
              <w:rPr>
                <w:sz w:val="22"/>
              </w:rPr>
            </w:pPr>
            <w:r>
              <w:rPr>
                <w:sz w:val="22"/>
              </w:rPr>
              <w:t>504</w:t>
            </w:r>
          </w:p>
        </w:tc>
        <w:tc>
          <w:tcPr>
            <w:tcW w:w="1267" w:type="dxa"/>
            <w:vAlign w:val="bottom"/>
          </w:tcPr>
          <w:p w:rsidR="00000000" w:rsidRDefault="00000000">
            <w:pPr>
              <w:tabs>
                <w:tab w:val="decimal" w:pos="679"/>
              </w:tabs>
              <w:jc w:val="both"/>
              <w:rPr>
                <w:sz w:val="22"/>
              </w:rPr>
            </w:pPr>
            <w:r>
              <w:rPr>
                <w:sz w:val="22"/>
              </w:rPr>
              <w:t>104,4</w:t>
            </w:r>
          </w:p>
        </w:tc>
      </w:tr>
      <w:tr w:rsidR="00000000">
        <w:trPr>
          <w:jc w:val="center"/>
        </w:trPr>
        <w:tc>
          <w:tcPr>
            <w:tcW w:w="2608" w:type="dxa"/>
            <w:vAlign w:val="center"/>
          </w:tcPr>
          <w:p w:rsidR="00000000" w:rsidRDefault="00000000">
            <w:pPr>
              <w:rPr>
                <w:sz w:val="22"/>
              </w:rPr>
            </w:pPr>
            <w:r>
              <w:rPr>
                <w:sz w:val="22"/>
              </w:rPr>
              <w:t>Total parcial</w:t>
            </w:r>
          </w:p>
        </w:tc>
        <w:tc>
          <w:tcPr>
            <w:tcW w:w="1072" w:type="dxa"/>
            <w:vAlign w:val="bottom"/>
          </w:tcPr>
          <w:p w:rsidR="00000000" w:rsidRDefault="00000000">
            <w:pPr>
              <w:tabs>
                <w:tab w:val="decimal" w:pos="762"/>
              </w:tabs>
              <w:jc w:val="both"/>
              <w:rPr>
                <w:sz w:val="22"/>
              </w:rPr>
            </w:pPr>
            <w:r>
              <w:rPr>
                <w:sz w:val="22"/>
              </w:rPr>
              <w:t>8.155</w:t>
            </w:r>
          </w:p>
        </w:tc>
        <w:tc>
          <w:tcPr>
            <w:tcW w:w="1096" w:type="dxa"/>
            <w:vAlign w:val="bottom"/>
          </w:tcPr>
          <w:p w:rsidR="00000000" w:rsidRDefault="00000000">
            <w:pPr>
              <w:tabs>
                <w:tab w:val="decimal" w:pos="796"/>
              </w:tabs>
              <w:jc w:val="both"/>
              <w:rPr>
                <w:sz w:val="22"/>
              </w:rPr>
            </w:pPr>
            <w:r>
              <w:rPr>
                <w:sz w:val="22"/>
              </w:rPr>
              <w:t>7.522</w:t>
            </w:r>
          </w:p>
        </w:tc>
        <w:tc>
          <w:tcPr>
            <w:tcW w:w="1080" w:type="dxa"/>
            <w:vAlign w:val="bottom"/>
          </w:tcPr>
          <w:p w:rsidR="00000000" w:rsidRDefault="00000000">
            <w:pPr>
              <w:tabs>
                <w:tab w:val="decimal" w:pos="568"/>
              </w:tabs>
              <w:jc w:val="both"/>
              <w:rPr>
                <w:sz w:val="22"/>
              </w:rPr>
            </w:pPr>
            <w:r>
              <w:rPr>
                <w:sz w:val="22"/>
              </w:rPr>
              <w:t>108,4</w:t>
            </w:r>
          </w:p>
        </w:tc>
        <w:tc>
          <w:tcPr>
            <w:tcW w:w="1072" w:type="dxa"/>
            <w:vAlign w:val="bottom"/>
          </w:tcPr>
          <w:p w:rsidR="00000000" w:rsidRDefault="00000000">
            <w:pPr>
              <w:tabs>
                <w:tab w:val="decimal" w:pos="796"/>
              </w:tabs>
              <w:jc w:val="both"/>
              <w:rPr>
                <w:sz w:val="22"/>
              </w:rPr>
            </w:pPr>
            <w:r>
              <w:rPr>
                <w:sz w:val="22"/>
              </w:rPr>
              <w:t>8.361</w:t>
            </w:r>
          </w:p>
        </w:tc>
        <w:tc>
          <w:tcPr>
            <w:tcW w:w="1096" w:type="dxa"/>
            <w:vAlign w:val="bottom"/>
          </w:tcPr>
          <w:p w:rsidR="00000000" w:rsidRDefault="00000000">
            <w:pPr>
              <w:tabs>
                <w:tab w:val="decimal" w:pos="796"/>
              </w:tabs>
              <w:jc w:val="both"/>
              <w:rPr>
                <w:sz w:val="22"/>
              </w:rPr>
            </w:pPr>
            <w:r>
              <w:rPr>
                <w:sz w:val="22"/>
              </w:rPr>
              <w:t>7.639</w:t>
            </w:r>
          </w:p>
        </w:tc>
        <w:tc>
          <w:tcPr>
            <w:tcW w:w="1267" w:type="dxa"/>
            <w:vAlign w:val="bottom"/>
          </w:tcPr>
          <w:p w:rsidR="00000000" w:rsidRDefault="00000000">
            <w:pPr>
              <w:tabs>
                <w:tab w:val="decimal" w:pos="679"/>
              </w:tabs>
              <w:jc w:val="both"/>
              <w:rPr>
                <w:sz w:val="22"/>
              </w:rPr>
            </w:pPr>
            <w:r>
              <w:rPr>
                <w:sz w:val="22"/>
              </w:rPr>
              <w:t>109,5</w:t>
            </w:r>
          </w:p>
        </w:tc>
      </w:tr>
      <w:tr w:rsidR="00000000">
        <w:trPr>
          <w:jc w:val="center"/>
        </w:trPr>
        <w:tc>
          <w:tcPr>
            <w:tcW w:w="2608" w:type="dxa"/>
            <w:vAlign w:val="center"/>
          </w:tcPr>
          <w:p w:rsidR="00000000" w:rsidRDefault="00000000">
            <w:pPr>
              <w:rPr>
                <w:bCs/>
                <w:sz w:val="22"/>
              </w:rPr>
            </w:pPr>
            <w:r>
              <w:rPr>
                <w:bCs/>
                <w:sz w:val="22"/>
              </w:rPr>
              <w:t>Establecimientos especiales</w:t>
            </w:r>
            <w:r>
              <w:rPr>
                <w:b/>
                <w:sz w:val="22"/>
                <w:vertAlign w:val="superscript"/>
              </w:rPr>
              <w:t>b</w:t>
            </w:r>
            <w:r>
              <w:rPr>
                <w:bCs/>
                <w:sz w:val="22"/>
              </w:rPr>
              <w:t xml:space="preserve"> </w:t>
            </w:r>
          </w:p>
        </w:tc>
        <w:tc>
          <w:tcPr>
            <w:tcW w:w="1072" w:type="dxa"/>
            <w:vAlign w:val="bottom"/>
          </w:tcPr>
          <w:p w:rsidR="00000000" w:rsidRDefault="00000000">
            <w:pPr>
              <w:tabs>
                <w:tab w:val="decimal" w:pos="762"/>
              </w:tabs>
              <w:jc w:val="both"/>
              <w:rPr>
                <w:sz w:val="22"/>
              </w:rPr>
            </w:pPr>
          </w:p>
        </w:tc>
        <w:tc>
          <w:tcPr>
            <w:tcW w:w="1096" w:type="dxa"/>
            <w:vAlign w:val="bottom"/>
          </w:tcPr>
          <w:p w:rsidR="00000000" w:rsidRDefault="00000000">
            <w:pPr>
              <w:tabs>
                <w:tab w:val="decimal" w:pos="796"/>
              </w:tabs>
              <w:jc w:val="both"/>
              <w:rPr>
                <w:sz w:val="22"/>
              </w:rPr>
            </w:pPr>
          </w:p>
        </w:tc>
        <w:tc>
          <w:tcPr>
            <w:tcW w:w="1080" w:type="dxa"/>
            <w:vAlign w:val="bottom"/>
          </w:tcPr>
          <w:p w:rsidR="00000000" w:rsidRDefault="00000000">
            <w:pPr>
              <w:tabs>
                <w:tab w:val="decimal" w:pos="568"/>
              </w:tabs>
              <w:jc w:val="both"/>
              <w:rPr>
                <w:sz w:val="22"/>
              </w:rPr>
            </w:pPr>
          </w:p>
        </w:tc>
        <w:tc>
          <w:tcPr>
            <w:tcW w:w="1072" w:type="dxa"/>
            <w:vAlign w:val="bottom"/>
          </w:tcPr>
          <w:p w:rsidR="00000000" w:rsidRDefault="00000000">
            <w:pPr>
              <w:tabs>
                <w:tab w:val="decimal" w:pos="796"/>
              </w:tabs>
              <w:jc w:val="both"/>
              <w:rPr>
                <w:sz w:val="22"/>
              </w:rPr>
            </w:pPr>
          </w:p>
        </w:tc>
        <w:tc>
          <w:tcPr>
            <w:tcW w:w="1096" w:type="dxa"/>
            <w:vAlign w:val="bottom"/>
          </w:tcPr>
          <w:p w:rsidR="00000000" w:rsidRDefault="00000000">
            <w:pPr>
              <w:tabs>
                <w:tab w:val="decimal" w:pos="796"/>
              </w:tabs>
              <w:jc w:val="both"/>
              <w:rPr>
                <w:sz w:val="22"/>
              </w:rPr>
            </w:pPr>
          </w:p>
        </w:tc>
        <w:tc>
          <w:tcPr>
            <w:tcW w:w="1267" w:type="dxa"/>
            <w:vAlign w:val="bottom"/>
          </w:tcPr>
          <w:p w:rsidR="00000000" w:rsidRDefault="00000000">
            <w:pPr>
              <w:tabs>
                <w:tab w:val="decimal" w:pos="679"/>
              </w:tabs>
              <w:jc w:val="both"/>
              <w:rPr>
                <w:sz w:val="22"/>
              </w:rPr>
            </w:pPr>
          </w:p>
        </w:tc>
      </w:tr>
      <w:tr w:rsidR="00000000">
        <w:trPr>
          <w:jc w:val="center"/>
        </w:trPr>
        <w:tc>
          <w:tcPr>
            <w:tcW w:w="2608" w:type="dxa"/>
            <w:vAlign w:val="center"/>
          </w:tcPr>
          <w:p w:rsidR="00000000" w:rsidRDefault="00000000">
            <w:pPr>
              <w:rPr>
                <w:sz w:val="22"/>
                <w:lang w:val="en-GB"/>
              </w:rPr>
            </w:pPr>
            <w:r>
              <w:rPr>
                <w:sz w:val="22"/>
                <w:lang w:val="en-GB"/>
              </w:rPr>
              <w:t>Leiria</w:t>
            </w:r>
          </w:p>
        </w:tc>
        <w:tc>
          <w:tcPr>
            <w:tcW w:w="1072" w:type="dxa"/>
            <w:vAlign w:val="bottom"/>
          </w:tcPr>
          <w:p w:rsidR="00000000" w:rsidRDefault="00000000">
            <w:pPr>
              <w:tabs>
                <w:tab w:val="decimal" w:pos="762"/>
              </w:tabs>
              <w:jc w:val="both"/>
              <w:rPr>
                <w:sz w:val="22"/>
                <w:lang w:val="en-GB"/>
              </w:rPr>
            </w:pPr>
            <w:r>
              <w:rPr>
                <w:sz w:val="22"/>
                <w:lang w:val="en-GB"/>
              </w:rPr>
              <w:t>246</w:t>
            </w:r>
          </w:p>
        </w:tc>
        <w:tc>
          <w:tcPr>
            <w:tcW w:w="1096" w:type="dxa"/>
            <w:vAlign w:val="bottom"/>
          </w:tcPr>
          <w:p w:rsidR="00000000" w:rsidRDefault="00000000">
            <w:pPr>
              <w:tabs>
                <w:tab w:val="decimal" w:pos="796"/>
              </w:tabs>
              <w:jc w:val="both"/>
              <w:rPr>
                <w:sz w:val="22"/>
                <w:lang w:val="en-GB"/>
              </w:rPr>
            </w:pPr>
            <w:r>
              <w:rPr>
                <w:sz w:val="22"/>
                <w:lang w:val="en-GB"/>
              </w:rPr>
              <w:t>347</w:t>
            </w:r>
          </w:p>
        </w:tc>
        <w:tc>
          <w:tcPr>
            <w:tcW w:w="1080" w:type="dxa"/>
            <w:vAlign w:val="bottom"/>
          </w:tcPr>
          <w:p w:rsidR="00000000" w:rsidRDefault="00000000">
            <w:pPr>
              <w:tabs>
                <w:tab w:val="decimal" w:pos="568"/>
              </w:tabs>
              <w:jc w:val="both"/>
              <w:rPr>
                <w:sz w:val="22"/>
                <w:lang w:val="en-GB"/>
              </w:rPr>
            </w:pPr>
            <w:r>
              <w:rPr>
                <w:sz w:val="22"/>
                <w:lang w:val="en-GB"/>
              </w:rPr>
              <w:t>70,9</w:t>
            </w:r>
          </w:p>
        </w:tc>
        <w:tc>
          <w:tcPr>
            <w:tcW w:w="1072" w:type="dxa"/>
            <w:vAlign w:val="bottom"/>
          </w:tcPr>
          <w:p w:rsidR="00000000" w:rsidRDefault="00000000">
            <w:pPr>
              <w:tabs>
                <w:tab w:val="decimal" w:pos="796"/>
              </w:tabs>
              <w:jc w:val="both"/>
              <w:rPr>
                <w:sz w:val="22"/>
              </w:rPr>
            </w:pPr>
            <w:r>
              <w:rPr>
                <w:sz w:val="22"/>
              </w:rPr>
              <w:t>308</w:t>
            </w:r>
          </w:p>
        </w:tc>
        <w:tc>
          <w:tcPr>
            <w:tcW w:w="1096" w:type="dxa"/>
            <w:vAlign w:val="bottom"/>
          </w:tcPr>
          <w:p w:rsidR="00000000" w:rsidRDefault="00000000">
            <w:pPr>
              <w:tabs>
                <w:tab w:val="decimal" w:pos="796"/>
              </w:tabs>
              <w:jc w:val="both"/>
              <w:rPr>
                <w:sz w:val="22"/>
              </w:rPr>
            </w:pPr>
            <w:r>
              <w:rPr>
                <w:sz w:val="22"/>
              </w:rPr>
              <w:t>347</w:t>
            </w:r>
          </w:p>
        </w:tc>
        <w:tc>
          <w:tcPr>
            <w:tcW w:w="1267" w:type="dxa"/>
            <w:vAlign w:val="bottom"/>
          </w:tcPr>
          <w:p w:rsidR="00000000" w:rsidRDefault="00000000">
            <w:pPr>
              <w:tabs>
                <w:tab w:val="decimal" w:pos="679"/>
              </w:tabs>
              <w:jc w:val="both"/>
              <w:rPr>
                <w:sz w:val="22"/>
              </w:rPr>
            </w:pPr>
            <w:r>
              <w:rPr>
                <w:sz w:val="22"/>
              </w:rPr>
              <w:t>88,8</w:t>
            </w:r>
          </w:p>
        </w:tc>
      </w:tr>
      <w:tr w:rsidR="00000000">
        <w:trPr>
          <w:jc w:val="center"/>
        </w:trPr>
        <w:tc>
          <w:tcPr>
            <w:tcW w:w="2608" w:type="dxa"/>
            <w:vAlign w:val="center"/>
          </w:tcPr>
          <w:p w:rsidR="00000000" w:rsidRDefault="00000000">
            <w:pPr>
              <w:rPr>
                <w:sz w:val="22"/>
                <w:lang w:val="en-GB"/>
              </w:rPr>
            </w:pPr>
            <w:r>
              <w:rPr>
                <w:sz w:val="22"/>
                <w:lang w:val="en-GB"/>
              </w:rPr>
              <w:t>Tires</w:t>
            </w:r>
          </w:p>
        </w:tc>
        <w:tc>
          <w:tcPr>
            <w:tcW w:w="1072" w:type="dxa"/>
            <w:vAlign w:val="bottom"/>
          </w:tcPr>
          <w:p w:rsidR="00000000" w:rsidRDefault="00000000">
            <w:pPr>
              <w:tabs>
                <w:tab w:val="decimal" w:pos="762"/>
              </w:tabs>
              <w:jc w:val="both"/>
              <w:rPr>
                <w:sz w:val="22"/>
                <w:lang w:val="en-GB"/>
              </w:rPr>
            </w:pPr>
            <w:r>
              <w:rPr>
                <w:sz w:val="22"/>
                <w:lang w:val="en-GB"/>
              </w:rPr>
              <w:t>794</w:t>
            </w:r>
          </w:p>
        </w:tc>
        <w:tc>
          <w:tcPr>
            <w:tcW w:w="1096" w:type="dxa"/>
            <w:vAlign w:val="bottom"/>
          </w:tcPr>
          <w:p w:rsidR="00000000" w:rsidRDefault="00000000">
            <w:pPr>
              <w:tabs>
                <w:tab w:val="decimal" w:pos="796"/>
              </w:tabs>
              <w:jc w:val="both"/>
              <w:rPr>
                <w:sz w:val="22"/>
                <w:lang w:val="en-GB"/>
              </w:rPr>
            </w:pPr>
            <w:r>
              <w:rPr>
                <w:sz w:val="22"/>
                <w:lang w:val="en-GB"/>
              </w:rPr>
              <w:t>569</w:t>
            </w:r>
          </w:p>
        </w:tc>
        <w:tc>
          <w:tcPr>
            <w:tcW w:w="1080" w:type="dxa"/>
            <w:vAlign w:val="bottom"/>
          </w:tcPr>
          <w:p w:rsidR="00000000" w:rsidRDefault="00000000">
            <w:pPr>
              <w:tabs>
                <w:tab w:val="decimal" w:pos="568"/>
              </w:tabs>
              <w:jc w:val="both"/>
              <w:rPr>
                <w:sz w:val="22"/>
                <w:lang w:val="en-GB"/>
              </w:rPr>
            </w:pPr>
            <w:r>
              <w:rPr>
                <w:sz w:val="22"/>
                <w:lang w:val="en-GB"/>
              </w:rPr>
              <w:t>139,5</w:t>
            </w:r>
          </w:p>
        </w:tc>
        <w:tc>
          <w:tcPr>
            <w:tcW w:w="1072" w:type="dxa"/>
            <w:vAlign w:val="bottom"/>
          </w:tcPr>
          <w:p w:rsidR="00000000" w:rsidRDefault="00000000">
            <w:pPr>
              <w:tabs>
                <w:tab w:val="decimal" w:pos="796"/>
              </w:tabs>
              <w:jc w:val="both"/>
              <w:rPr>
                <w:sz w:val="22"/>
              </w:rPr>
            </w:pPr>
            <w:r>
              <w:rPr>
                <w:sz w:val="22"/>
              </w:rPr>
              <w:t>696</w:t>
            </w:r>
          </w:p>
        </w:tc>
        <w:tc>
          <w:tcPr>
            <w:tcW w:w="1096" w:type="dxa"/>
            <w:vAlign w:val="bottom"/>
          </w:tcPr>
          <w:p w:rsidR="00000000" w:rsidRDefault="00000000">
            <w:pPr>
              <w:tabs>
                <w:tab w:val="decimal" w:pos="796"/>
              </w:tabs>
              <w:jc w:val="both"/>
              <w:rPr>
                <w:sz w:val="22"/>
              </w:rPr>
            </w:pPr>
            <w:r>
              <w:rPr>
                <w:sz w:val="22"/>
              </w:rPr>
              <w:t>633</w:t>
            </w:r>
          </w:p>
        </w:tc>
        <w:tc>
          <w:tcPr>
            <w:tcW w:w="1267" w:type="dxa"/>
            <w:vAlign w:val="bottom"/>
          </w:tcPr>
          <w:p w:rsidR="00000000" w:rsidRDefault="00000000">
            <w:pPr>
              <w:tabs>
                <w:tab w:val="decimal" w:pos="679"/>
              </w:tabs>
              <w:jc w:val="both"/>
              <w:rPr>
                <w:sz w:val="22"/>
              </w:rPr>
            </w:pPr>
            <w:r>
              <w:rPr>
                <w:sz w:val="22"/>
              </w:rPr>
              <w:t>110,0</w:t>
            </w:r>
          </w:p>
        </w:tc>
      </w:tr>
      <w:tr w:rsidR="00000000">
        <w:trPr>
          <w:jc w:val="center"/>
        </w:trPr>
        <w:tc>
          <w:tcPr>
            <w:tcW w:w="2608" w:type="dxa"/>
            <w:vAlign w:val="center"/>
          </w:tcPr>
          <w:p w:rsidR="00000000" w:rsidRDefault="00000000">
            <w:pPr>
              <w:rPr>
                <w:sz w:val="22"/>
                <w:lang w:val="nl-NL"/>
              </w:rPr>
            </w:pPr>
            <w:r>
              <w:rPr>
                <w:sz w:val="22"/>
                <w:lang w:val="nl-NL"/>
              </w:rPr>
              <w:t>Hôpital S.  João de Deus</w:t>
            </w:r>
            <w:r>
              <w:rPr>
                <w:b/>
                <w:sz w:val="22"/>
                <w:vertAlign w:val="superscript"/>
                <w:lang w:val="nl-NL"/>
              </w:rPr>
              <w:t>c</w:t>
            </w:r>
          </w:p>
        </w:tc>
        <w:tc>
          <w:tcPr>
            <w:tcW w:w="1072" w:type="dxa"/>
            <w:vAlign w:val="bottom"/>
          </w:tcPr>
          <w:p w:rsidR="00000000" w:rsidRDefault="00000000">
            <w:pPr>
              <w:tabs>
                <w:tab w:val="decimal" w:pos="762"/>
              </w:tabs>
              <w:jc w:val="both"/>
              <w:rPr>
                <w:sz w:val="22"/>
              </w:rPr>
            </w:pPr>
            <w:r>
              <w:rPr>
                <w:sz w:val="22"/>
              </w:rPr>
              <w:t>33</w:t>
            </w:r>
          </w:p>
        </w:tc>
        <w:tc>
          <w:tcPr>
            <w:tcW w:w="1096" w:type="dxa"/>
            <w:vAlign w:val="bottom"/>
          </w:tcPr>
          <w:p w:rsidR="00000000" w:rsidRDefault="00000000">
            <w:pPr>
              <w:tabs>
                <w:tab w:val="decimal" w:pos="796"/>
              </w:tabs>
              <w:jc w:val="both"/>
              <w:rPr>
                <w:sz w:val="22"/>
              </w:rPr>
            </w:pPr>
            <w:r>
              <w:rPr>
                <w:sz w:val="22"/>
              </w:rPr>
              <w:t>199</w:t>
            </w:r>
          </w:p>
        </w:tc>
        <w:tc>
          <w:tcPr>
            <w:tcW w:w="1080" w:type="dxa"/>
            <w:vAlign w:val="bottom"/>
          </w:tcPr>
          <w:p w:rsidR="00000000" w:rsidRDefault="00000000">
            <w:pPr>
              <w:tabs>
                <w:tab w:val="decimal" w:pos="568"/>
              </w:tabs>
              <w:jc w:val="both"/>
              <w:rPr>
                <w:sz w:val="22"/>
              </w:rPr>
            </w:pPr>
            <w:r>
              <w:rPr>
                <w:sz w:val="22"/>
              </w:rPr>
              <w:t>16,6</w:t>
            </w:r>
          </w:p>
        </w:tc>
        <w:tc>
          <w:tcPr>
            <w:tcW w:w="1072" w:type="dxa"/>
            <w:vAlign w:val="bottom"/>
          </w:tcPr>
          <w:p w:rsidR="00000000" w:rsidRDefault="00000000">
            <w:pPr>
              <w:tabs>
                <w:tab w:val="decimal" w:pos="796"/>
              </w:tabs>
              <w:jc w:val="both"/>
              <w:rPr>
                <w:sz w:val="22"/>
              </w:rPr>
            </w:pPr>
            <w:r>
              <w:rPr>
                <w:sz w:val="22"/>
              </w:rPr>
              <w:t>26</w:t>
            </w:r>
          </w:p>
        </w:tc>
        <w:tc>
          <w:tcPr>
            <w:tcW w:w="1096" w:type="dxa"/>
            <w:vAlign w:val="bottom"/>
          </w:tcPr>
          <w:p w:rsidR="00000000" w:rsidRDefault="00000000">
            <w:pPr>
              <w:tabs>
                <w:tab w:val="decimal" w:pos="796"/>
              </w:tabs>
              <w:jc w:val="both"/>
              <w:rPr>
                <w:sz w:val="22"/>
              </w:rPr>
            </w:pPr>
            <w:r>
              <w:rPr>
                <w:sz w:val="22"/>
              </w:rPr>
              <w:t>195</w:t>
            </w:r>
          </w:p>
        </w:tc>
        <w:tc>
          <w:tcPr>
            <w:tcW w:w="1267" w:type="dxa"/>
            <w:vAlign w:val="bottom"/>
          </w:tcPr>
          <w:p w:rsidR="00000000" w:rsidRDefault="00000000">
            <w:pPr>
              <w:tabs>
                <w:tab w:val="decimal" w:pos="679"/>
              </w:tabs>
              <w:jc w:val="both"/>
              <w:rPr>
                <w:sz w:val="22"/>
              </w:rPr>
            </w:pPr>
            <w:r>
              <w:rPr>
                <w:sz w:val="22"/>
              </w:rPr>
              <w:t>13,3</w:t>
            </w:r>
          </w:p>
        </w:tc>
      </w:tr>
      <w:tr w:rsidR="00000000">
        <w:trPr>
          <w:jc w:val="center"/>
        </w:trPr>
        <w:tc>
          <w:tcPr>
            <w:tcW w:w="2608" w:type="dxa"/>
            <w:vAlign w:val="center"/>
          </w:tcPr>
          <w:p w:rsidR="00000000" w:rsidRDefault="00000000">
            <w:pPr>
              <w:rPr>
                <w:sz w:val="22"/>
              </w:rPr>
            </w:pPr>
            <w:r>
              <w:rPr>
                <w:sz w:val="22"/>
              </w:rPr>
              <w:t>Total parcial</w:t>
            </w:r>
          </w:p>
        </w:tc>
        <w:tc>
          <w:tcPr>
            <w:tcW w:w="1072" w:type="dxa"/>
            <w:vAlign w:val="bottom"/>
          </w:tcPr>
          <w:p w:rsidR="00000000" w:rsidRDefault="00000000">
            <w:pPr>
              <w:tabs>
                <w:tab w:val="decimal" w:pos="762"/>
              </w:tabs>
              <w:jc w:val="both"/>
              <w:rPr>
                <w:sz w:val="22"/>
              </w:rPr>
            </w:pPr>
            <w:r>
              <w:rPr>
                <w:sz w:val="22"/>
              </w:rPr>
              <w:t>9.228</w:t>
            </w:r>
          </w:p>
        </w:tc>
        <w:tc>
          <w:tcPr>
            <w:tcW w:w="1096" w:type="dxa"/>
            <w:vAlign w:val="bottom"/>
          </w:tcPr>
          <w:p w:rsidR="00000000" w:rsidRDefault="00000000">
            <w:pPr>
              <w:tabs>
                <w:tab w:val="decimal" w:pos="796"/>
              </w:tabs>
              <w:jc w:val="both"/>
              <w:rPr>
                <w:sz w:val="22"/>
              </w:rPr>
            </w:pPr>
            <w:r>
              <w:rPr>
                <w:sz w:val="22"/>
              </w:rPr>
              <w:t>8.637</w:t>
            </w:r>
          </w:p>
        </w:tc>
        <w:tc>
          <w:tcPr>
            <w:tcW w:w="1080" w:type="dxa"/>
            <w:vAlign w:val="bottom"/>
          </w:tcPr>
          <w:p w:rsidR="00000000" w:rsidRDefault="00000000">
            <w:pPr>
              <w:tabs>
                <w:tab w:val="decimal" w:pos="568"/>
              </w:tabs>
              <w:jc w:val="both"/>
              <w:rPr>
                <w:sz w:val="22"/>
              </w:rPr>
            </w:pPr>
            <w:r>
              <w:rPr>
                <w:sz w:val="22"/>
              </w:rPr>
              <w:t>106,8</w:t>
            </w:r>
          </w:p>
        </w:tc>
        <w:tc>
          <w:tcPr>
            <w:tcW w:w="1072" w:type="dxa"/>
            <w:vAlign w:val="bottom"/>
          </w:tcPr>
          <w:p w:rsidR="00000000" w:rsidRDefault="00000000">
            <w:pPr>
              <w:tabs>
                <w:tab w:val="decimal" w:pos="796"/>
              </w:tabs>
              <w:jc w:val="both"/>
              <w:rPr>
                <w:sz w:val="22"/>
              </w:rPr>
            </w:pPr>
            <w:r>
              <w:rPr>
                <w:sz w:val="22"/>
              </w:rPr>
              <w:t>9.391</w:t>
            </w:r>
          </w:p>
        </w:tc>
        <w:tc>
          <w:tcPr>
            <w:tcW w:w="1096" w:type="dxa"/>
            <w:vAlign w:val="bottom"/>
          </w:tcPr>
          <w:p w:rsidR="00000000" w:rsidRDefault="00000000">
            <w:pPr>
              <w:tabs>
                <w:tab w:val="decimal" w:pos="796"/>
              </w:tabs>
              <w:jc w:val="both"/>
              <w:rPr>
                <w:sz w:val="22"/>
              </w:rPr>
            </w:pPr>
            <w:r>
              <w:rPr>
                <w:sz w:val="22"/>
              </w:rPr>
              <w:t>8.814</w:t>
            </w:r>
          </w:p>
        </w:tc>
        <w:tc>
          <w:tcPr>
            <w:tcW w:w="1267" w:type="dxa"/>
            <w:vAlign w:val="bottom"/>
          </w:tcPr>
          <w:p w:rsidR="00000000" w:rsidRDefault="00000000">
            <w:pPr>
              <w:tabs>
                <w:tab w:val="decimal" w:pos="679"/>
              </w:tabs>
              <w:jc w:val="both"/>
              <w:rPr>
                <w:sz w:val="22"/>
              </w:rPr>
            </w:pPr>
            <w:r>
              <w:rPr>
                <w:sz w:val="22"/>
              </w:rPr>
              <w:t>106,5</w:t>
            </w:r>
          </w:p>
        </w:tc>
      </w:tr>
      <w:tr w:rsidR="00000000">
        <w:trPr>
          <w:jc w:val="center"/>
        </w:trPr>
        <w:tc>
          <w:tcPr>
            <w:tcW w:w="2608" w:type="dxa"/>
            <w:vAlign w:val="center"/>
          </w:tcPr>
          <w:p w:rsidR="00000000" w:rsidRDefault="00000000">
            <w:pPr>
              <w:rPr>
                <w:bCs/>
                <w:sz w:val="22"/>
              </w:rPr>
            </w:pPr>
            <w:r>
              <w:rPr>
                <w:bCs/>
                <w:sz w:val="22"/>
              </w:rPr>
              <w:t>Establecimientos regionales</w:t>
            </w:r>
            <w:r>
              <w:rPr>
                <w:b/>
                <w:sz w:val="22"/>
                <w:vertAlign w:val="superscript"/>
              </w:rPr>
              <w:t>d</w:t>
            </w:r>
          </w:p>
        </w:tc>
        <w:tc>
          <w:tcPr>
            <w:tcW w:w="1072" w:type="dxa"/>
            <w:vAlign w:val="bottom"/>
          </w:tcPr>
          <w:p w:rsidR="00000000" w:rsidRDefault="00000000">
            <w:pPr>
              <w:tabs>
                <w:tab w:val="decimal" w:pos="762"/>
              </w:tabs>
              <w:jc w:val="both"/>
              <w:rPr>
                <w:sz w:val="22"/>
              </w:rPr>
            </w:pPr>
            <w:r>
              <w:rPr>
                <w:sz w:val="22"/>
              </w:rPr>
              <w:t>3.679</w:t>
            </w:r>
          </w:p>
        </w:tc>
        <w:tc>
          <w:tcPr>
            <w:tcW w:w="1096" w:type="dxa"/>
            <w:vAlign w:val="bottom"/>
          </w:tcPr>
          <w:p w:rsidR="00000000" w:rsidRDefault="00000000">
            <w:pPr>
              <w:tabs>
                <w:tab w:val="decimal" w:pos="796"/>
              </w:tabs>
              <w:jc w:val="both"/>
              <w:rPr>
                <w:sz w:val="22"/>
              </w:rPr>
            </w:pPr>
            <w:r>
              <w:rPr>
                <w:sz w:val="22"/>
              </w:rPr>
              <w:t>2.548</w:t>
            </w:r>
          </w:p>
        </w:tc>
        <w:tc>
          <w:tcPr>
            <w:tcW w:w="1080" w:type="dxa"/>
            <w:vAlign w:val="bottom"/>
          </w:tcPr>
          <w:p w:rsidR="00000000" w:rsidRDefault="00000000">
            <w:pPr>
              <w:tabs>
                <w:tab w:val="decimal" w:pos="568"/>
              </w:tabs>
              <w:jc w:val="both"/>
              <w:rPr>
                <w:sz w:val="22"/>
              </w:rPr>
            </w:pPr>
            <w:r>
              <w:rPr>
                <w:sz w:val="22"/>
              </w:rPr>
              <w:t>144,4</w:t>
            </w:r>
          </w:p>
        </w:tc>
        <w:tc>
          <w:tcPr>
            <w:tcW w:w="1072" w:type="dxa"/>
            <w:vAlign w:val="bottom"/>
          </w:tcPr>
          <w:p w:rsidR="00000000" w:rsidRDefault="00000000">
            <w:pPr>
              <w:tabs>
                <w:tab w:val="decimal" w:pos="796"/>
              </w:tabs>
              <w:jc w:val="both"/>
              <w:rPr>
                <w:sz w:val="22"/>
              </w:rPr>
            </w:pPr>
            <w:r>
              <w:rPr>
                <w:sz w:val="22"/>
              </w:rPr>
              <w:t>3380</w:t>
            </w:r>
          </w:p>
        </w:tc>
        <w:tc>
          <w:tcPr>
            <w:tcW w:w="1096" w:type="dxa"/>
            <w:vAlign w:val="bottom"/>
          </w:tcPr>
          <w:p w:rsidR="00000000" w:rsidRDefault="00000000">
            <w:pPr>
              <w:tabs>
                <w:tab w:val="decimal" w:pos="796"/>
              </w:tabs>
              <w:jc w:val="both"/>
              <w:rPr>
                <w:sz w:val="22"/>
              </w:rPr>
            </w:pPr>
            <w:r>
              <w:rPr>
                <w:sz w:val="22"/>
              </w:rPr>
              <w:t>2557</w:t>
            </w:r>
          </w:p>
        </w:tc>
        <w:tc>
          <w:tcPr>
            <w:tcW w:w="1267" w:type="dxa"/>
            <w:vAlign w:val="bottom"/>
          </w:tcPr>
          <w:p w:rsidR="00000000" w:rsidRDefault="00000000">
            <w:pPr>
              <w:tabs>
                <w:tab w:val="decimal" w:pos="679"/>
              </w:tabs>
              <w:jc w:val="both"/>
              <w:rPr>
                <w:sz w:val="22"/>
              </w:rPr>
            </w:pPr>
            <w:r>
              <w:rPr>
                <w:sz w:val="22"/>
              </w:rPr>
              <w:t>132,2</w:t>
            </w:r>
          </w:p>
        </w:tc>
      </w:tr>
      <w:tr w:rsidR="00000000">
        <w:trPr>
          <w:jc w:val="center"/>
        </w:trPr>
        <w:tc>
          <w:tcPr>
            <w:tcW w:w="2608" w:type="dxa"/>
            <w:vAlign w:val="center"/>
          </w:tcPr>
          <w:p w:rsidR="00000000" w:rsidRDefault="00000000">
            <w:pPr>
              <w:rPr>
                <w:sz w:val="22"/>
              </w:rPr>
            </w:pPr>
            <w:r>
              <w:rPr>
                <w:sz w:val="22"/>
              </w:rPr>
              <w:tab/>
              <w:t>Total</w:t>
            </w:r>
          </w:p>
        </w:tc>
        <w:tc>
          <w:tcPr>
            <w:tcW w:w="1072" w:type="dxa"/>
            <w:vAlign w:val="bottom"/>
          </w:tcPr>
          <w:p w:rsidR="00000000" w:rsidRDefault="00000000">
            <w:pPr>
              <w:tabs>
                <w:tab w:val="decimal" w:pos="762"/>
              </w:tabs>
              <w:jc w:val="both"/>
              <w:rPr>
                <w:sz w:val="22"/>
              </w:rPr>
            </w:pPr>
            <w:r>
              <w:rPr>
                <w:sz w:val="22"/>
              </w:rPr>
              <w:t>12.907</w:t>
            </w:r>
          </w:p>
        </w:tc>
        <w:tc>
          <w:tcPr>
            <w:tcW w:w="1096" w:type="dxa"/>
            <w:vAlign w:val="bottom"/>
          </w:tcPr>
          <w:p w:rsidR="00000000" w:rsidRDefault="00000000">
            <w:pPr>
              <w:tabs>
                <w:tab w:val="decimal" w:pos="796"/>
              </w:tabs>
              <w:jc w:val="both"/>
              <w:rPr>
                <w:sz w:val="22"/>
              </w:rPr>
            </w:pPr>
            <w:r>
              <w:rPr>
                <w:sz w:val="22"/>
              </w:rPr>
              <w:t>11.185</w:t>
            </w:r>
          </w:p>
        </w:tc>
        <w:tc>
          <w:tcPr>
            <w:tcW w:w="1080" w:type="dxa"/>
            <w:vAlign w:val="bottom"/>
          </w:tcPr>
          <w:p w:rsidR="00000000" w:rsidRDefault="00000000">
            <w:pPr>
              <w:tabs>
                <w:tab w:val="decimal" w:pos="568"/>
              </w:tabs>
              <w:jc w:val="both"/>
              <w:rPr>
                <w:sz w:val="22"/>
              </w:rPr>
            </w:pPr>
            <w:r>
              <w:rPr>
                <w:sz w:val="22"/>
              </w:rPr>
              <w:t>115,4</w:t>
            </w:r>
          </w:p>
        </w:tc>
        <w:tc>
          <w:tcPr>
            <w:tcW w:w="1072" w:type="dxa"/>
            <w:vAlign w:val="bottom"/>
          </w:tcPr>
          <w:p w:rsidR="00000000" w:rsidRDefault="00000000">
            <w:pPr>
              <w:tabs>
                <w:tab w:val="decimal" w:pos="796"/>
              </w:tabs>
              <w:jc w:val="both"/>
              <w:rPr>
                <w:sz w:val="22"/>
              </w:rPr>
            </w:pPr>
            <w:r>
              <w:rPr>
                <w:sz w:val="22"/>
              </w:rPr>
              <w:t>12.771</w:t>
            </w:r>
          </w:p>
        </w:tc>
        <w:tc>
          <w:tcPr>
            <w:tcW w:w="1096" w:type="dxa"/>
            <w:vAlign w:val="bottom"/>
          </w:tcPr>
          <w:p w:rsidR="00000000" w:rsidRDefault="00000000">
            <w:pPr>
              <w:tabs>
                <w:tab w:val="decimal" w:pos="796"/>
              </w:tabs>
              <w:jc w:val="both"/>
              <w:rPr>
                <w:sz w:val="22"/>
              </w:rPr>
            </w:pPr>
            <w:r>
              <w:rPr>
                <w:sz w:val="22"/>
              </w:rPr>
              <w:t>11.371</w:t>
            </w:r>
          </w:p>
        </w:tc>
        <w:tc>
          <w:tcPr>
            <w:tcW w:w="1267" w:type="dxa"/>
            <w:vAlign w:val="bottom"/>
          </w:tcPr>
          <w:p w:rsidR="00000000" w:rsidRDefault="00000000">
            <w:pPr>
              <w:tabs>
                <w:tab w:val="decimal" w:pos="679"/>
              </w:tabs>
              <w:jc w:val="both"/>
              <w:rPr>
                <w:sz w:val="22"/>
              </w:rPr>
            </w:pPr>
            <w:r>
              <w:rPr>
                <w:sz w:val="22"/>
              </w:rPr>
              <w:t>112,3</w:t>
            </w:r>
          </w:p>
        </w:tc>
      </w:tr>
    </w:tbl>
    <w:p w:rsidR="00000000" w:rsidRDefault="00000000">
      <w:pPr>
        <w:spacing w:before="200" w:after="200" w:line="192" w:lineRule="auto"/>
        <w:rPr>
          <w:sz w:val="22"/>
        </w:rPr>
      </w:pPr>
      <w:r>
        <w:rPr>
          <w:b/>
          <w:sz w:val="22"/>
          <w:vertAlign w:val="superscript"/>
        </w:rPr>
        <w:t>a</w:t>
      </w:r>
      <w:r>
        <w:rPr>
          <w:sz w:val="22"/>
        </w:rPr>
        <w:t xml:space="preserve"> El establecimiento de Carregueira empezó a funcionar en 2002; el de Santarém, en 2000.  </w:t>
      </w:r>
    </w:p>
    <w:p w:rsidR="00000000" w:rsidRDefault="00000000">
      <w:pPr>
        <w:spacing w:after="200" w:line="192" w:lineRule="auto"/>
        <w:rPr>
          <w:sz w:val="22"/>
        </w:rPr>
      </w:pPr>
      <w:r>
        <w:rPr>
          <w:b/>
          <w:sz w:val="22"/>
          <w:vertAlign w:val="superscript"/>
        </w:rPr>
        <w:t>b</w:t>
      </w:r>
      <w:r>
        <w:rPr>
          <w:sz w:val="22"/>
        </w:rPr>
        <w:t xml:space="preserve"> Los establecimientos especiales reciben a detenidos con necesidades especiales:  las mujeres (Tires), los jóvenes (Leiria, 16 a 25 años) y la salud (Hospital São João de Deus).</w:t>
      </w:r>
    </w:p>
    <w:p w:rsidR="00000000" w:rsidRDefault="00000000">
      <w:pPr>
        <w:spacing w:after="200" w:line="192" w:lineRule="auto"/>
        <w:rPr>
          <w:sz w:val="22"/>
        </w:rPr>
      </w:pPr>
      <w:r>
        <w:rPr>
          <w:b/>
          <w:sz w:val="22"/>
          <w:vertAlign w:val="superscript"/>
        </w:rPr>
        <w:t>c</w:t>
      </w:r>
      <w:r>
        <w:rPr>
          <w:sz w:val="22"/>
        </w:rPr>
        <w:t xml:space="preserve"> Para el Hospital São João de Deus únicamente se contabilizan los detenidos que le están asignados.</w:t>
      </w:r>
    </w:p>
    <w:p w:rsidR="00000000" w:rsidRDefault="00000000">
      <w:pPr>
        <w:spacing w:line="192" w:lineRule="auto"/>
        <w:rPr>
          <w:sz w:val="22"/>
        </w:rPr>
      </w:pPr>
      <w:r>
        <w:rPr>
          <w:b/>
          <w:sz w:val="22"/>
          <w:vertAlign w:val="superscript"/>
        </w:rPr>
        <w:t>d</w:t>
      </w:r>
      <w:r>
        <w:rPr>
          <w:sz w:val="22"/>
        </w:rPr>
        <w:t xml:space="preserve"> Las cifras de los establecimientos regionales se han tomado del cuadro 5-B.</w:t>
      </w:r>
    </w:p>
    <w:p w:rsidR="00000000" w:rsidRDefault="00000000">
      <w:pPr>
        <w:spacing w:after="200"/>
        <w:jc w:val="center"/>
        <w:rPr>
          <w:b/>
          <w:bCs/>
          <w:sz w:val="22"/>
        </w:rPr>
      </w:pPr>
      <w:r>
        <w:rPr>
          <w:b/>
          <w:bCs/>
          <w:sz w:val="22"/>
        </w:rPr>
        <w:t>Cuadro 5-B</w:t>
      </w:r>
    </w:p>
    <w:p w:rsidR="00000000" w:rsidRDefault="00000000">
      <w:pPr>
        <w:spacing w:after="200"/>
        <w:jc w:val="center"/>
        <w:rPr>
          <w:b/>
          <w:bCs/>
          <w:sz w:val="22"/>
        </w:rPr>
      </w:pPr>
      <w:r>
        <w:rPr>
          <w:b/>
          <w:bCs/>
          <w:sz w:val="22"/>
        </w:rPr>
        <w:t>Población carcelaria por establecimiento, ocupación y tasa de ocupación</w:t>
      </w:r>
      <w:r>
        <w:rPr>
          <w:b/>
          <w:bCs/>
          <w:sz w:val="22"/>
        </w:rPr>
        <w:br/>
        <w:t>(al 31 de diciembre de 1999 y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95"/>
        <w:gridCol w:w="1080"/>
        <w:gridCol w:w="1082"/>
        <w:gridCol w:w="1091"/>
        <w:gridCol w:w="1078"/>
        <w:gridCol w:w="1084"/>
        <w:gridCol w:w="1313"/>
      </w:tblGrid>
      <w:tr w:rsidR="00000000">
        <w:trPr>
          <w:cantSplit/>
          <w:tblHeader/>
          <w:jc w:val="center"/>
        </w:trPr>
        <w:tc>
          <w:tcPr>
            <w:tcW w:w="2595" w:type="dxa"/>
            <w:vMerge w:val="restart"/>
            <w:vAlign w:val="center"/>
          </w:tcPr>
          <w:p w:rsidR="00000000" w:rsidRDefault="00000000">
            <w:pPr>
              <w:jc w:val="center"/>
              <w:rPr>
                <w:sz w:val="22"/>
              </w:rPr>
            </w:pPr>
            <w:r>
              <w:rPr>
                <w:bCs/>
                <w:sz w:val="22"/>
              </w:rPr>
              <w:t>Establecimientos</w:t>
            </w:r>
          </w:p>
        </w:tc>
        <w:tc>
          <w:tcPr>
            <w:tcW w:w="3253" w:type="dxa"/>
            <w:gridSpan w:val="3"/>
            <w:vAlign w:val="center"/>
          </w:tcPr>
          <w:p w:rsidR="00000000" w:rsidRDefault="00000000">
            <w:pPr>
              <w:jc w:val="center"/>
              <w:rPr>
                <w:sz w:val="22"/>
              </w:rPr>
            </w:pPr>
            <w:r>
              <w:rPr>
                <w:sz w:val="22"/>
              </w:rPr>
              <w:t>1999</w:t>
            </w:r>
          </w:p>
        </w:tc>
        <w:tc>
          <w:tcPr>
            <w:tcW w:w="3475" w:type="dxa"/>
            <w:gridSpan w:val="3"/>
            <w:vAlign w:val="center"/>
          </w:tcPr>
          <w:p w:rsidR="00000000" w:rsidRDefault="00000000">
            <w:pPr>
              <w:jc w:val="center"/>
              <w:rPr>
                <w:sz w:val="22"/>
              </w:rPr>
            </w:pPr>
            <w:r>
              <w:rPr>
                <w:sz w:val="22"/>
              </w:rPr>
              <w:t>2000</w:t>
            </w:r>
          </w:p>
        </w:tc>
      </w:tr>
      <w:tr w:rsidR="00000000">
        <w:trPr>
          <w:cantSplit/>
          <w:tblHeader/>
          <w:jc w:val="center"/>
        </w:trPr>
        <w:tc>
          <w:tcPr>
            <w:tcW w:w="2595" w:type="dxa"/>
            <w:vMerge/>
            <w:vAlign w:val="center"/>
          </w:tcPr>
          <w:p w:rsidR="00000000" w:rsidRDefault="00000000">
            <w:pPr>
              <w:jc w:val="center"/>
              <w:rPr>
                <w:sz w:val="22"/>
              </w:rPr>
            </w:pPr>
          </w:p>
        </w:tc>
        <w:tc>
          <w:tcPr>
            <w:tcW w:w="1080" w:type="dxa"/>
            <w:vAlign w:val="center"/>
          </w:tcPr>
          <w:p w:rsidR="00000000" w:rsidRDefault="00000000">
            <w:pPr>
              <w:jc w:val="center"/>
              <w:rPr>
                <w:sz w:val="22"/>
              </w:rPr>
            </w:pPr>
            <w:r>
              <w:rPr>
                <w:bCs/>
                <w:sz w:val="22"/>
              </w:rPr>
              <w:t>Número de detenidos</w:t>
            </w:r>
          </w:p>
        </w:tc>
        <w:tc>
          <w:tcPr>
            <w:tcW w:w="1082" w:type="dxa"/>
            <w:vAlign w:val="center"/>
          </w:tcPr>
          <w:p w:rsidR="00000000" w:rsidRDefault="00000000">
            <w:pPr>
              <w:jc w:val="center"/>
              <w:rPr>
                <w:sz w:val="22"/>
              </w:rPr>
            </w:pPr>
            <w:r>
              <w:rPr>
                <w:sz w:val="22"/>
              </w:rPr>
              <w:t>Ocupación</w:t>
            </w:r>
          </w:p>
        </w:tc>
        <w:tc>
          <w:tcPr>
            <w:tcW w:w="1091" w:type="dxa"/>
            <w:vAlign w:val="center"/>
          </w:tcPr>
          <w:p w:rsidR="00000000" w:rsidRDefault="00000000">
            <w:pPr>
              <w:jc w:val="center"/>
              <w:rPr>
                <w:sz w:val="22"/>
              </w:rPr>
            </w:pPr>
            <w:r>
              <w:rPr>
                <w:sz w:val="22"/>
              </w:rPr>
              <w:t>Tasa de ocupación en %</w:t>
            </w:r>
          </w:p>
        </w:tc>
        <w:tc>
          <w:tcPr>
            <w:tcW w:w="1078" w:type="dxa"/>
            <w:vAlign w:val="center"/>
          </w:tcPr>
          <w:p w:rsidR="00000000" w:rsidRDefault="00000000">
            <w:pPr>
              <w:jc w:val="center"/>
              <w:rPr>
                <w:sz w:val="22"/>
              </w:rPr>
            </w:pPr>
            <w:r>
              <w:rPr>
                <w:bCs/>
                <w:sz w:val="22"/>
              </w:rPr>
              <w:t>Número de detenidos</w:t>
            </w:r>
          </w:p>
        </w:tc>
        <w:tc>
          <w:tcPr>
            <w:tcW w:w="1084" w:type="dxa"/>
            <w:vAlign w:val="center"/>
          </w:tcPr>
          <w:p w:rsidR="00000000" w:rsidRDefault="00000000">
            <w:pPr>
              <w:jc w:val="center"/>
              <w:rPr>
                <w:sz w:val="22"/>
              </w:rPr>
            </w:pPr>
            <w:r>
              <w:rPr>
                <w:sz w:val="22"/>
              </w:rPr>
              <w:t>Ocupación</w:t>
            </w:r>
          </w:p>
        </w:tc>
        <w:tc>
          <w:tcPr>
            <w:tcW w:w="1313" w:type="dxa"/>
            <w:vAlign w:val="center"/>
          </w:tcPr>
          <w:p w:rsidR="00000000" w:rsidRDefault="00000000">
            <w:pPr>
              <w:jc w:val="center"/>
              <w:rPr>
                <w:sz w:val="22"/>
              </w:rPr>
            </w:pPr>
            <w:r>
              <w:rPr>
                <w:sz w:val="22"/>
              </w:rPr>
              <w:t>Tasa de ocupación en %</w:t>
            </w:r>
          </w:p>
        </w:tc>
      </w:tr>
      <w:tr w:rsidR="00000000">
        <w:trPr>
          <w:tblHeader/>
          <w:jc w:val="center"/>
        </w:trPr>
        <w:tc>
          <w:tcPr>
            <w:tcW w:w="2595" w:type="dxa"/>
            <w:vAlign w:val="center"/>
          </w:tcPr>
          <w:p w:rsidR="00000000" w:rsidRDefault="00000000">
            <w:pPr>
              <w:rPr>
                <w:bCs/>
                <w:sz w:val="22"/>
              </w:rPr>
            </w:pPr>
            <w:r>
              <w:rPr>
                <w:bCs/>
                <w:sz w:val="22"/>
              </w:rPr>
              <w:t>Establecimientos regionales</w:t>
            </w:r>
          </w:p>
        </w:tc>
        <w:tc>
          <w:tcPr>
            <w:tcW w:w="1080" w:type="dxa"/>
            <w:vAlign w:val="bottom"/>
          </w:tcPr>
          <w:p w:rsidR="00000000" w:rsidRDefault="00000000">
            <w:pPr>
              <w:rPr>
                <w:sz w:val="22"/>
              </w:rPr>
            </w:pPr>
          </w:p>
        </w:tc>
        <w:tc>
          <w:tcPr>
            <w:tcW w:w="1082" w:type="dxa"/>
            <w:vAlign w:val="bottom"/>
          </w:tcPr>
          <w:p w:rsidR="00000000" w:rsidRDefault="00000000">
            <w:pPr>
              <w:rPr>
                <w:sz w:val="22"/>
              </w:rPr>
            </w:pPr>
          </w:p>
        </w:tc>
        <w:tc>
          <w:tcPr>
            <w:tcW w:w="1091" w:type="dxa"/>
            <w:vAlign w:val="bottom"/>
          </w:tcPr>
          <w:p w:rsidR="00000000" w:rsidRDefault="00000000">
            <w:pPr>
              <w:rPr>
                <w:sz w:val="22"/>
              </w:rPr>
            </w:pPr>
          </w:p>
        </w:tc>
        <w:tc>
          <w:tcPr>
            <w:tcW w:w="1078" w:type="dxa"/>
            <w:vAlign w:val="bottom"/>
          </w:tcPr>
          <w:p w:rsidR="00000000" w:rsidRDefault="00000000">
            <w:pPr>
              <w:rPr>
                <w:sz w:val="22"/>
              </w:rPr>
            </w:pPr>
          </w:p>
        </w:tc>
        <w:tc>
          <w:tcPr>
            <w:tcW w:w="1084" w:type="dxa"/>
            <w:vAlign w:val="bottom"/>
          </w:tcPr>
          <w:p w:rsidR="00000000" w:rsidRDefault="00000000">
            <w:pPr>
              <w:rPr>
                <w:sz w:val="22"/>
              </w:rPr>
            </w:pPr>
          </w:p>
        </w:tc>
        <w:tc>
          <w:tcPr>
            <w:tcW w:w="1313" w:type="dxa"/>
            <w:vAlign w:val="bottom"/>
          </w:tcPr>
          <w:p w:rsidR="00000000" w:rsidRDefault="00000000">
            <w:pPr>
              <w:rPr>
                <w:sz w:val="22"/>
              </w:rPr>
            </w:pPr>
          </w:p>
        </w:tc>
      </w:tr>
      <w:tr w:rsidR="00000000">
        <w:trPr>
          <w:jc w:val="center"/>
        </w:trPr>
        <w:tc>
          <w:tcPr>
            <w:tcW w:w="2595" w:type="dxa"/>
            <w:vAlign w:val="center"/>
          </w:tcPr>
          <w:p w:rsidR="00000000" w:rsidRDefault="00000000">
            <w:pPr>
              <w:rPr>
                <w:sz w:val="22"/>
              </w:rPr>
            </w:pPr>
            <w:r>
              <w:rPr>
                <w:sz w:val="22"/>
              </w:rPr>
              <w:t>Angra do Heroísmo</w:t>
            </w:r>
          </w:p>
        </w:tc>
        <w:tc>
          <w:tcPr>
            <w:tcW w:w="1080" w:type="dxa"/>
            <w:vAlign w:val="bottom"/>
          </w:tcPr>
          <w:p w:rsidR="00000000" w:rsidRDefault="00000000">
            <w:pPr>
              <w:tabs>
                <w:tab w:val="decimal" w:pos="692"/>
              </w:tabs>
              <w:jc w:val="both"/>
              <w:rPr>
                <w:sz w:val="22"/>
              </w:rPr>
            </w:pPr>
            <w:r>
              <w:rPr>
                <w:sz w:val="22"/>
              </w:rPr>
              <w:t>67</w:t>
            </w:r>
          </w:p>
        </w:tc>
        <w:tc>
          <w:tcPr>
            <w:tcW w:w="1082" w:type="dxa"/>
            <w:vAlign w:val="bottom"/>
          </w:tcPr>
          <w:p w:rsidR="00000000" w:rsidRDefault="00000000">
            <w:pPr>
              <w:tabs>
                <w:tab w:val="decimal" w:pos="692"/>
              </w:tabs>
              <w:jc w:val="both"/>
              <w:rPr>
                <w:sz w:val="22"/>
              </w:rPr>
            </w:pPr>
            <w:r>
              <w:rPr>
                <w:sz w:val="22"/>
              </w:rPr>
              <w:t>39</w:t>
            </w:r>
          </w:p>
        </w:tc>
        <w:tc>
          <w:tcPr>
            <w:tcW w:w="1091" w:type="dxa"/>
            <w:vAlign w:val="bottom"/>
          </w:tcPr>
          <w:p w:rsidR="00000000" w:rsidRDefault="00000000">
            <w:pPr>
              <w:tabs>
                <w:tab w:val="decimal" w:pos="692"/>
              </w:tabs>
              <w:jc w:val="both"/>
              <w:rPr>
                <w:sz w:val="22"/>
              </w:rPr>
            </w:pPr>
            <w:r>
              <w:rPr>
                <w:sz w:val="22"/>
              </w:rPr>
              <w:t>171,8</w:t>
            </w:r>
          </w:p>
        </w:tc>
        <w:tc>
          <w:tcPr>
            <w:tcW w:w="1078" w:type="dxa"/>
            <w:vAlign w:val="bottom"/>
          </w:tcPr>
          <w:p w:rsidR="00000000" w:rsidRDefault="00000000">
            <w:pPr>
              <w:tabs>
                <w:tab w:val="decimal" w:pos="692"/>
              </w:tabs>
              <w:jc w:val="both"/>
              <w:rPr>
                <w:sz w:val="22"/>
              </w:rPr>
            </w:pPr>
            <w:r>
              <w:rPr>
                <w:sz w:val="22"/>
              </w:rPr>
              <w:t>80</w:t>
            </w:r>
          </w:p>
        </w:tc>
        <w:tc>
          <w:tcPr>
            <w:tcW w:w="1084" w:type="dxa"/>
            <w:vAlign w:val="bottom"/>
          </w:tcPr>
          <w:p w:rsidR="00000000" w:rsidRDefault="00000000">
            <w:pPr>
              <w:tabs>
                <w:tab w:val="decimal" w:pos="692"/>
              </w:tabs>
              <w:jc w:val="both"/>
              <w:rPr>
                <w:sz w:val="22"/>
              </w:rPr>
            </w:pPr>
            <w:r>
              <w:rPr>
                <w:sz w:val="22"/>
              </w:rPr>
              <w:t>39</w:t>
            </w:r>
          </w:p>
        </w:tc>
        <w:tc>
          <w:tcPr>
            <w:tcW w:w="1313" w:type="dxa"/>
            <w:vAlign w:val="bottom"/>
          </w:tcPr>
          <w:p w:rsidR="00000000" w:rsidRDefault="00000000">
            <w:pPr>
              <w:tabs>
                <w:tab w:val="decimal" w:pos="692"/>
              </w:tabs>
              <w:jc w:val="both"/>
              <w:rPr>
                <w:sz w:val="22"/>
              </w:rPr>
            </w:pPr>
            <w:r>
              <w:rPr>
                <w:sz w:val="22"/>
              </w:rPr>
              <w:t>205,1</w:t>
            </w:r>
          </w:p>
        </w:tc>
      </w:tr>
      <w:tr w:rsidR="00000000">
        <w:trPr>
          <w:jc w:val="center"/>
        </w:trPr>
        <w:tc>
          <w:tcPr>
            <w:tcW w:w="2595" w:type="dxa"/>
            <w:vAlign w:val="center"/>
          </w:tcPr>
          <w:p w:rsidR="00000000" w:rsidRDefault="00000000">
            <w:pPr>
              <w:rPr>
                <w:sz w:val="22"/>
              </w:rPr>
            </w:pPr>
            <w:r>
              <w:rPr>
                <w:sz w:val="22"/>
              </w:rPr>
              <w:t>Prisión de apoyo de Horta</w:t>
            </w:r>
          </w:p>
        </w:tc>
        <w:tc>
          <w:tcPr>
            <w:tcW w:w="1080" w:type="dxa"/>
            <w:vAlign w:val="bottom"/>
          </w:tcPr>
          <w:p w:rsidR="00000000" w:rsidRDefault="00000000">
            <w:pPr>
              <w:tabs>
                <w:tab w:val="decimal" w:pos="692"/>
              </w:tabs>
              <w:jc w:val="both"/>
              <w:rPr>
                <w:sz w:val="22"/>
              </w:rPr>
            </w:pPr>
            <w:r>
              <w:rPr>
                <w:sz w:val="22"/>
              </w:rPr>
              <w:t>20</w:t>
            </w:r>
          </w:p>
        </w:tc>
        <w:tc>
          <w:tcPr>
            <w:tcW w:w="1082" w:type="dxa"/>
            <w:vAlign w:val="bottom"/>
          </w:tcPr>
          <w:p w:rsidR="00000000" w:rsidRDefault="00000000">
            <w:pPr>
              <w:tabs>
                <w:tab w:val="decimal" w:pos="692"/>
              </w:tabs>
              <w:jc w:val="both"/>
              <w:rPr>
                <w:sz w:val="22"/>
              </w:rPr>
            </w:pPr>
            <w:r>
              <w:rPr>
                <w:sz w:val="22"/>
              </w:rPr>
              <w:t>17</w:t>
            </w:r>
          </w:p>
        </w:tc>
        <w:tc>
          <w:tcPr>
            <w:tcW w:w="1091" w:type="dxa"/>
            <w:vAlign w:val="bottom"/>
          </w:tcPr>
          <w:p w:rsidR="00000000" w:rsidRDefault="00000000">
            <w:pPr>
              <w:tabs>
                <w:tab w:val="decimal" w:pos="692"/>
              </w:tabs>
              <w:jc w:val="both"/>
              <w:rPr>
                <w:sz w:val="22"/>
              </w:rPr>
            </w:pPr>
            <w:r>
              <w:rPr>
                <w:sz w:val="22"/>
              </w:rPr>
              <w:t>117,6</w:t>
            </w:r>
          </w:p>
        </w:tc>
        <w:tc>
          <w:tcPr>
            <w:tcW w:w="1078" w:type="dxa"/>
            <w:vAlign w:val="bottom"/>
          </w:tcPr>
          <w:p w:rsidR="00000000" w:rsidRDefault="00000000">
            <w:pPr>
              <w:tabs>
                <w:tab w:val="decimal" w:pos="692"/>
              </w:tabs>
              <w:jc w:val="both"/>
              <w:rPr>
                <w:sz w:val="22"/>
              </w:rPr>
            </w:pPr>
            <w:r>
              <w:rPr>
                <w:sz w:val="22"/>
              </w:rPr>
              <w:t>25</w:t>
            </w:r>
          </w:p>
        </w:tc>
        <w:tc>
          <w:tcPr>
            <w:tcW w:w="1084" w:type="dxa"/>
            <w:vAlign w:val="bottom"/>
          </w:tcPr>
          <w:p w:rsidR="00000000" w:rsidRDefault="00000000">
            <w:pPr>
              <w:tabs>
                <w:tab w:val="decimal" w:pos="692"/>
              </w:tabs>
              <w:jc w:val="both"/>
              <w:rPr>
                <w:sz w:val="22"/>
              </w:rPr>
            </w:pPr>
            <w:r>
              <w:rPr>
                <w:sz w:val="22"/>
              </w:rPr>
              <w:t>17</w:t>
            </w:r>
          </w:p>
        </w:tc>
        <w:tc>
          <w:tcPr>
            <w:tcW w:w="1313" w:type="dxa"/>
            <w:vAlign w:val="bottom"/>
          </w:tcPr>
          <w:p w:rsidR="00000000" w:rsidRDefault="00000000">
            <w:pPr>
              <w:tabs>
                <w:tab w:val="decimal" w:pos="692"/>
              </w:tabs>
              <w:jc w:val="both"/>
              <w:rPr>
                <w:sz w:val="22"/>
              </w:rPr>
            </w:pPr>
            <w:r>
              <w:rPr>
                <w:sz w:val="22"/>
              </w:rPr>
              <w:t>147,1</w:t>
            </w:r>
          </w:p>
        </w:tc>
      </w:tr>
      <w:tr w:rsidR="00000000">
        <w:trPr>
          <w:jc w:val="center"/>
        </w:trPr>
        <w:tc>
          <w:tcPr>
            <w:tcW w:w="2595" w:type="dxa"/>
            <w:vAlign w:val="center"/>
          </w:tcPr>
          <w:p w:rsidR="00000000" w:rsidRDefault="00000000">
            <w:pPr>
              <w:rPr>
                <w:sz w:val="22"/>
              </w:rPr>
            </w:pPr>
            <w:r>
              <w:rPr>
                <w:sz w:val="22"/>
              </w:rPr>
              <w:t>Aveiro</w:t>
            </w:r>
          </w:p>
        </w:tc>
        <w:tc>
          <w:tcPr>
            <w:tcW w:w="1080" w:type="dxa"/>
            <w:vAlign w:val="bottom"/>
          </w:tcPr>
          <w:p w:rsidR="00000000" w:rsidRDefault="00000000">
            <w:pPr>
              <w:tabs>
                <w:tab w:val="decimal" w:pos="692"/>
              </w:tabs>
              <w:jc w:val="both"/>
              <w:rPr>
                <w:sz w:val="22"/>
              </w:rPr>
            </w:pPr>
            <w:r>
              <w:rPr>
                <w:sz w:val="22"/>
              </w:rPr>
              <w:t>139</w:t>
            </w:r>
          </w:p>
        </w:tc>
        <w:tc>
          <w:tcPr>
            <w:tcW w:w="1082" w:type="dxa"/>
            <w:vAlign w:val="bottom"/>
          </w:tcPr>
          <w:p w:rsidR="00000000" w:rsidRDefault="00000000">
            <w:pPr>
              <w:tabs>
                <w:tab w:val="decimal" w:pos="692"/>
              </w:tabs>
              <w:jc w:val="both"/>
              <w:rPr>
                <w:sz w:val="22"/>
              </w:rPr>
            </w:pPr>
            <w:r>
              <w:rPr>
                <w:sz w:val="22"/>
              </w:rPr>
              <w:t>88</w:t>
            </w:r>
          </w:p>
        </w:tc>
        <w:tc>
          <w:tcPr>
            <w:tcW w:w="1091" w:type="dxa"/>
            <w:vAlign w:val="bottom"/>
          </w:tcPr>
          <w:p w:rsidR="00000000" w:rsidRDefault="00000000">
            <w:pPr>
              <w:tabs>
                <w:tab w:val="decimal" w:pos="692"/>
              </w:tabs>
              <w:jc w:val="both"/>
              <w:rPr>
                <w:sz w:val="22"/>
              </w:rPr>
            </w:pPr>
            <w:r>
              <w:rPr>
                <w:sz w:val="22"/>
              </w:rPr>
              <w:t>158,0</w:t>
            </w:r>
          </w:p>
        </w:tc>
        <w:tc>
          <w:tcPr>
            <w:tcW w:w="1078" w:type="dxa"/>
            <w:vAlign w:val="bottom"/>
          </w:tcPr>
          <w:p w:rsidR="00000000" w:rsidRDefault="00000000">
            <w:pPr>
              <w:tabs>
                <w:tab w:val="decimal" w:pos="692"/>
              </w:tabs>
              <w:jc w:val="both"/>
              <w:rPr>
                <w:sz w:val="22"/>
              </w:rPr>
            </w:pPr>
            <w:r>
              <w:rPr>
                <w:sz w:val="22"/>
              </w:rPr>
              <w:t>136</w:t>
            </w:r>
          </w:p>
        </w:tc>
        <w:tc>
          <w:tcPr>
            <w:tcW w:w="1084" w:type="dxa"/>
            <w:vAlign w:val="bottom"/>
          </w:tcPr>
          <w:p w:rsidR="00000000" w:rsidRDefault="00000000">
            <w:pPr>
              <w:tabs>
                <w:tab w:val="decimal" w:pos="692"/>
              </w:tabs>
              <w:jc w:val="both"/>
              <w:rPr>
                <w:sz w:val="22"/>
              </w:rPr>
            </w:pPr>
            <w:r>
              <w:rPr>
                <w:sz w:val="22"/>
              </w:rPr>
              <w:t>88</w:t>
            </w:r>
          </w:p>
        </w:tc>
        <w:tc>
          <w:tcPr>
            <w:tcW w:w="1313" w:type="dxa"/>
            <w:vAlign w:val="bottom"/>
          </w:tcPr>
          <w:p w:rsidR="00000000" w:rsidRDefault="00000000">
            <w:pPr>
              <w:tabs>
                <w:tab w:val="decimal" w:pos="692"/>
              </w:tabs>
              <w:jc w:val="both"/>
              <w:rPr>
                <w:sz w:val="22"/>
              </w:rPr>
            </w:pPr>
            <w:r>
              <w:rPr>
                <w:sz w:val="22"/>
              </w:rPr>
              <w:t>154,5</w:t>
            </w:r>
          </w:p>
        </w:tc>
      </w:tr>
      <w:tr w:rsidR="00000000">
        <w:trPr>
          <w:jc w:val="center"/>
        </w:trPr>
        <w:tc>
          <w:tcPr>
            <w:tcW w:w="2595" w:type="dxa"/>
            <w:vAlign w:val="center"/>
          </w:tcPr>
          <w:p w:rsidR="00000000" w:rsidRDefault="00000000">
            <w:pPr>
              <w:rPr>
                <w:sz w:val="22"/>
              </w:rPr>
            </w:pPr>
            <w:r>
              <w:rPr>
                <w:sz w:val="22"/>
              </w:rPr>
              <w:t>Beja</w:t>
            </w:r>
          </w:p>
        </w:tc>
        <w:tc>
          <w:tcPr>
            <w:tcW w:w="1080" w:type="dxa"/>
            <w:vAlign w:val="bottom"/>
          </w:tcPr>
          <w:p w:rsidR="00000000" w:rsidRDefault="00000000">
            <w:pPr>
              <w:tabs>
                <w:tab w:val="decimal" w:pos="692"/>
              </w:tabs>
              <w:jc w:val="both"/>
              <w:rPr>
                <w:sz w:val="22"/>
              </w:rPr>
            </w:pPr>
            <w:r>
              <w:rPr>
                <w:sz w:val="22"/>
              </w:rPr>
              <w:t>95</w:t>
            </w:r>
          </w:p>
        </w:tc>
        <w:tc>
          <w:tcPr>
            <w:tcW w:w="1082" w:type="dxa"/>
            <w:vAlign w:val="bottom"/>
          </w:tcPr>
          <w:p w:rsidR="00000000" w:rsidRDefault="00000000">
            <w:pPr>
              <w:tabs>
                <w:tab w:val="decimal" w:pos="692"/>
              </w:tabs>
              <w:jc w:val="both"/>
              <w:rPr>
                <w:sz w:val="22"/>
              </w:rPr>
            </w:pPr>
            <w:r>
              <w:rPr>
                <w:sz w:val="22"/>
              </w:rPr>
              <w:t>48</w:t>
            </w:r>
          </w:p>
        </w:tc>
        <w:tc>
          <w:tcPr>
            <w:tcW w:w="1091" w:type="dxa"/>
            <w:vAlign w:val="bottom"/>
          </w:tcPr>
          <w:p w:rsidR="00000000" w:rsidRDefault="00000000">
            <w:pPr>
              <w:tabs>
                <w:tab w:val="decimal" w:pos="692"/>
              </w:tabs>
              <w:jc w:val="both"/>
              <w:rPr>
                <w:sz w:val="22"/>
              </w:rPr>
            </w:pPr>
            <w:r>
              <w:rPr>
                <w:sz w:val="22"/>
              </w:rPr>
              <w:t>197,9</w:t>
            </w:r>
          </w:p>
        </w:tc>
        <w:tc>
          <w:tcPr>
            <w:tcW w:w="1078" w:type="dxa"/>
            <w:vAlign w:val="bottom"/>
          </w:tcPr>
          <w:p w:rsidR="00000000" w:rsidRDefault="00000000">
            <w:pPr>
              <w:tabs>
                <w:tab w:val="decimal" w:pos="692"/>
              </w:tabs>
              <w:jc w:val="both"/>
              <w:rPr>
                <w:sz w:val="22"/>
              </w:rPr>
            </w:pPr>
            <w:r>
              <w:rPr>
                <w:sz w:val="22"/>
              </w:rPr>
              <w:t>82</w:t>
            </w:r>
          </w:p>
        </w:tc>
        <w:tc>
          <w:tcPr>
            <w:tcW w:w="1084" w:type="dxa"/>
            <w:vAlign w:val="bottom"/>
          </w:tcPr>
          <w:p w:rsidR="00000000" w:rsidRDefault="00000000">
            <w:pPr>
              <w:tabs>
                <w:tab w:val="decimal" w:pos="692"/>
              </w:tabs>
              <w:jc w:val="both"/>
              <w:rPr>
                <w:sz w:val="22"/>
              </w:rPr>
            </w:pPr>
            <w:r>
              <w:rPr>
                <w:sz w:val="22"/>
              </w:rPr>
              <w:t>48</w:t>
            </w:r>
          </w:p>
        </w:tc>
        <w:tc>
          <w:tcPr>
            <w:tcW w:w="1313" w:type="dxa"/>
            <w:vAlign w:val="bottom"/>
          </w:tcPr>
          <w:p w:rsidR="00000000" w:rsidRDefault="00000000">
            <w:pPr>
              <w:tabs>
                <w:tab w:val="decimal" w:pos="692"/>
              </w:tabs>
              <w:jc w:val="both"/>
              <w:rPr>
                <w:sz w:val="22"/>
              </w:rPr>
            </w:pPr>
            <w:r>
              <w:rPr>
                <w:sz w:val="22"/>
              </w:rPr>
              <w:t>170,8</w:t>
            </w:r>
          </w:p>
        </w:tc>
      </w:tr>
      <w:tr w:rsidR="00000000">
        <w:trPr>
          <w:jc w:val="center"/>
        </w:trPr>
        <w:tc>
          <w:tcPr>
            <w:tcW w:w="2595" w:type="dxa"/>
            <w:vAlign w:val="center"/>
          </w:tcPr>
          <w:p w:rsidR="00000000" w:rsidRDefault="00000000">
            <w:pPr>
              <w:rPr>
                <w:sz w:val="22"/>
              </w:rPr>
            </w:pPr>
            <w:r>
              <w:rPr>
                <w:sz w:val="22"/>
              </w:rPr>
              <w:t>Braga</w:t>
            </w:r>
          </w:p>
        </w:tc>
        <w:tc>
          <w:tcPr>
            <w:tcW w:w="1080" w:type="dxa"/>
            <w:vAlign w:val="bottom"/>
          </w:tcPr>
          <w:p w:rsidR="00000000" w:rsidRDefault="00000000">
            <w:pPr>
              <w:tabs>
                <w:tab w:val="decimal" w:pos="692"/>
              </w:tabs>
              <w:jc w:val="both"/>
              <w:rPr>
                <w:sz w:val="22"/>
              </w:rPr>
            </w:pPr>
            <w:r>
              <w:rPr>
                <w:sz w:val="22"/>
              </w:rPr>
              <w:t>143</w:t>
            </w:r>
          </w:p>
        </w:tc>
        <w:tc>
          <w:tcPr>
            <w:tcW w:w="1082" w:type="dxa"/>
            <w:vAlign w:val="bottom"/>
          </w:tcPr>
          <w:p w:rsidR="00000000" w:rsidRDefault="00000000">
            <w:pPr>
              <w:tabs>
                <w:tab w:val="decimal" w:pos="692"/>
              </w:tabs>
              <w:jc w:val="both"/>
              <w:rPr>
                <w:sz w:val="22"/>
              </w:rPr>
            </w:pPr>
            <w:r>
              <w:rPr>
                <w:sz w:val="22"/>
              </w:rPr>
              <w:t>72</w:t>
            </w:r>
          </w:p>
        </w:tc>
        <w:tc>
          <w:tcPr>
            <w:tcW w:w="1091" w:type="dxa"/>
            <w:vAlign w:val="bottom"/>
          </w:tcPr>
          <w:p w:rsidR="00000000" w:rsidRDefault="00000000">
            <w:pPr>
              <w:tabs>
                <w:tab w:val="decimal" w:pos="692"/>
              </w:tabs>
              <w:jc w:val="both"/>
              <w:rPr>
                <w:sz w:val="22"/>
              </w:rPr>
            </w:pPr>
            <w:r>
              <w:rPr>
                <w:sz w:val="22"/>
              </w:rPr>
              <w:t>198,6</w:t>
            </w:r>
          </w:p>
        </w:tc>
        <w:tc>
          <w:tcPr>
            <w:tcW w:w="1078" w:type="dxa"/>
            <w:vAlign w:val="bottom"/>
          </w:tcPr>
          <w:p w:rsidR="00000000" w:rsidRDefault="00000000">
            <w:pPr>
              <w:tabs>
                <w:tab w:val="decimal" w:pos="692"/>
              </w:tabs>
              <w:jc w:val="both"/>
              <w:rPr>
                <w:sz w:val="22"/>
              </w:rPr>
            </w:pPr>
            <w:r>
              <w:rPr>
                <w:sz w:val="22"/>
              </w:rPr>
              <w:t>127</w:t>
            </w:r>
          </w:p>
        </w:tc>
        <w:tc>
          <w:tcPr>
            <w:tcW w:w="1084" w:type="dxa"/>
            <w:vAlign w:val="bottom"/>
          </w:tcPr>
          <w:p w:rsidR="00000000" w:rsidRDefault="00000000">
            <w:pPr>
              <w:tabs>
                <w:tab w:val="decimal" w:pos="692"/>
              </w:tabs>
              <w:jc w:val="both"/>
              <w:rPr>
                <w:sz w:val="22"/>
              </w:rPr>
            </w:pPr>
            <w:r>
              <w:rPr>
                <w:sz w:val="22"/>
              </w:rPr>
              <w:t>72</w:t>
            </w:r>
          </w:p>
        </w:tc>
        <w:tc>
          <w:tcPr>
            <w:tcW w:w="1313" w:type="dxa"/>
            <w:vAlign w:val="bottom"/>
          </w:tcPr>
          <w:p w:rsidR="00000000" w:rsidRDefault="00000000">
            <w:pPr>
              <w:tabs>
                <w:tab w:val="decimal" w:pos="692"/>
              </w:tabs>
              <w:jc w:val="both"/>
              <w:rPr>
                <w:sz w:val="22"/>
              </w:rPr>
            </w:pPr>
            <w:r>
              <w:rPr>
                <w:sz w:val="22"/>
              </w:rPr>
              <w:t>176,4</w:t>
            </w:r>
          </w:p>
        </w:tc>
      </w:tr>
      <w:tr w:rsidR="00000000">
        <w:trPr>
          <w:jc w:val="center"/>
        </w:trPr>
        <w:tc>
          <w:tcPr>
            <w:tcW w:w="2595" w:type="dxa"/>
            <w:vAlign w:val="center"/>
          </w:tcPr>
          <w:p w:rsidR="00000000" w:rsidRDefault="00000000">
            <w:pPr>
              <w:rPr>
                <w:sz w:val="22"/>
              </w:rPr>
            </w:pPr>
            <w:r>
              <w:rPr>
                <w:sz w:val="22"/>
              </w:rPr>
              <w:t>Bragança</w:t>
            </w:r>
          </w:p>
        </w:tc>
        <w:tc>
          <w:tcPr>
            <w:tcW w:w="1080" w:type="dxa"/>
            <w:vAlign w:val="bottom"/>
          </w:tcPr>
          <w:p w:rsidR="00000000" w:rsidRDefault="00000000">
            <w:pPr>
              <w:tabs>
                <w:tab w:val="decimal" w:pos="692"/>
              </w:tabs>
              <w:jc w:val="both"/>
              <w:rPr>
                <w:sz w:val="22"/>
              </w:rPr>
            </w:pPr>
            <w:r>
              <w:rPr>
                <w:sz w:val="22"/>
              </w:rPr>
              <w:t>63</w:t>
            </w:r>
          </w:p>
        </w:tc>
        <w:tc>
          <w:tcPr>
            <w:tcW w:w="1082" w:type="dxa"/>
            <w:vAlign w:val="bottom"/>
          </w:tcPr>
          <w:p w:rsidR="00000000" w:rsidRDefault="00000000">
            <w:pPr>
              <w:tabs>
                <w:tab w:val="decimal" w:pos="692"/>
              </w:tabs>
              <w:jc w:val="both"/>
              <w:rPr>
                <w:sz w:val="22"/>
              </w:rPr>
            </w:pPr>
            <w:r>
              <w:rPr>
                <w:sz w:val="22"/>
              </w:rPr>
              <w:t>75</w:t>
            </w:r>
          </w:p>
        </w:tc>
        <w:tc>
          <w:tcPr>
            <w:tcW w:w="1091" w:type="dxa"/>
            <w:vAlign w:val="bottom"/>
          </w:tcPr>
          <w:p w:rsidR="00000000" w:rsidRDefault="00000000">
            <w:pPr>
              <w:tabs>
                <w:tab w:val="decimal" w:pos="692"/>
              </w:tabs>
              <w:jc w:val="both"/>
              <w:rPr>
                <w:sz w:val="22"/>
              </w:rPr>
            </w:pPr>
            <w:r>
              <w:rPr>
                <w:sz w:val="22"/>
              </w:rPr>
              <w:t>84,0</w:t>
            </w:r>
          </w:p>
        </w:tc>
        <w:tc>
          <w:tcPr>
            <w:tcW w:w="1078" w:type="dxa"/>
            <w:vAlign w:val="bottom"/>
          </w:tcPr>
          <w:p w:rsidR="00000000" w:rsidRDefault="00000000">
            <w:pPr>
              <w:tabs>
                <w:tab w:val="decimal" w:pos="692"/>
              </w:tabs>
              <w:jc w:val="both"/>
              <w:rPr>
                <w:sz w:val="22"/>
              </w:rPr>
            </w:pPr>
            <w:r>
              <w:rPr>
                <w:sz w:val="22"/>
              </w:rPr>
              <w:t>71</w:t>
            </w:r>
          </w:p>
        </w:tc>
        <w:tc>
          <w:tcPr>
            <w:tcW w:w="1084" w:type="dxa"/>
            <w:vAlign w:val="bottom"/>
          </w:tcPr>
          <w:p w:rsidR="00000000" w:rsidRDefault="00000000">
            <w:pPr>
              <w:tabs>
                <w:tab w:val="decimal" w:pos="692"/>
              </w:tabs>
              <w:jc w:val="both"/>
              <w:rPr>
                <w:sz w:val="22"/>
              </w:rPr>
            </w:pPr>
            <w:r>
              <w:rPr>
                <w:sz w:val="22"/>
              </w:rPr>
              <w:t>75</w:t>
            </w:r>
          </w:p>
        </w:tc>
        <w:tc>
          <w:tcPr>
            <w:tcW w:w="1313" w:type="dxa"/>
            <w:vAlign w:val="bottom"/>
          </w:tcPr>
          <w:p w:rsidR="00000000" w:rsidRDefault="00000000">
            <w:pPr>
              <w:tabs>
                <w:tab w:val="decimal" w:pos="692"/>
              </w:tabs>
              <w:jc w:val="both"/>
              <w:rPr>
                <w:sz w:val="22"/>
              </w:rPr>
            </w:pPr>
            <w:r>
              <w:rPr>
                <w:sz w:val="22"/>
              </w:rPr>
              <w:t>94,7</w:t>
            </w:r>
          </w:p>
        </w:tc>
      </w:tr>
      <w:tr w:rsidR="00000000">
        <w:trPr>
          <w:jc w:val="center"/>
        </w:trPr>
        <w:tc>
          <w:tcPr>
            <w:tcW w:w="2595" w:type="dxa"/>
            <w:vAlign w:val="center"/>
          </w:tcPr>
          <w:p w:rsidR="00000000" w:rsidRDefault="00000000">
            <w:pPr>
              <w:rPr>
                <w:sz w:val="22"/>
              </w:rPr>
            </w:pPr>
            <w:r>
              <w:rPr>
                <w:sz w:val="22"/>
              </w:rPr>
              <w:t>Caldas da Raínha</w:t>
            </w:r>
          </w:p>
        </w:tc>
        <w:tc>
          <w:tcPr>
            <w:tcW w:w="1080" w:type="dxa"/>
            <w:vAlign w:val="bottom"/>
          </w:tcPr>
          <w:p w:rsidR="00000000" w:rsidRDefault="00000000">
            <w:pPr>
              <w:tabs>
                <w:tab w:val="decimal" w:pos="692"/>
              </w:tabs>
              <w:jc w:val="both"/>
              <w:rPr>
                <w:sz w:val="22"/>
              </w:rPr>
            </w:pPr>
            <w:r>
              <w:rPr>
                <w:sz w:val="22"/>
              </w:rPr>
              <w:t>156</w:t>
            </w:r>
          </w:p>
        </w:tc>
        <w:tc>
          <w:tcPr>
            <w:tcW w:w="1082" w:type="dxa"/>
            <w:vAlign w:val="bottom"/>
          </w:tcPr>
          <w:p w:rsidR="00000000" w:rsidRDefault="00000000">
            <w:pPr>
              <w:tabs>
                <w:tab w:val="decimal" w:pos="692"/>
              </w:tabs>
              <w:jc w:val="both"/>
              <w:rPr>
                <w:sz w:val="22"/>
              </w:rPr>
            </w:pPr>
            <w:r>
              <w:rPr>
                <w:sz w:val="22"/>
              </w:rPr>
              <w:t>104</w:t>
            </w:r>
          </w:p>
        </w:tc>
        <w:tc>
          <w:tcPr>
            <w:tcW w:w="1091" w:type="dxa"/>
            <w:vAlign w:val="bottom"/>
          </w:tcPr>
          <w:p w:rsidR="00000000" w:rsidRDefault="00000000">
            <w:pPr>
              <w:tabs>
                <w:tab w:val="decimal" w:pos="692"/>
              </w:tabs>
              <w:jc w:val="both"/>
              <w:rPr>
                <w:sz w:val="22"/>
              </w:rPr>
            </w:pPr>
            <w:r>
              <w:rPr>
                <w:sz w:val="22"/>
              </w:rPr>
              <w:t>150,0</w:t>
            </w:r>
          </w:p>
        </w:tc>
        <w:tc>
          <w:tcPr>
            <w:tcW w:w="1078" w:type="dxa"/>
            <w:vAlign w:val="bottom"/>
          </w:tcPr>
          <w:p w:rsidR="00000000" w:rsidRDefault="00000000">
            <w:pPr>
              <w:tabs>
                <w:tab w:val="decimal" w:pos="692"/>
              </w:tabs>
              <w:jc w:val="both"/>
              <w:rPr>
                <w:sz w:val="22"/>
              </w:rPr>
            </w:pPr>
            <w:r>
              <w:rPr>
                <w:sz w:val="22"/>
              </w:rPr>
              <w:t>125</w:t>
            </w:r>
          </w:p>
        </w:tc>
        <w:tc>
          <w:tcPr>
            <w:tcW w:w="1084" w:type="dxa"/>
            <w:vAlign w:val="bottom"/>
          </w:tcPr>
          <w:p w:rsidR="00000000" w:rsidRDefault="00000000">
            <w:pPr>
              <w:tabs>
                <w:tab w:val="decimal" w:pos="692"/>
              </w:tabs>
              <w:jc w:val="both"/>
              <w:rPr>
                <w:sz w:val="22"/>
              </w:rPr>
            </w:pPr>
            <w:r>
              <w:rPr>
                <w:sz w:val="22"/>
              </w:rPr>
              <w:t>104</w:t>
            </w:r>
          </w:p>
        </w:tc>
        <w:tc>
          <w:tcPr>
            <w:tcW w:w="1313" w:type="dxa"/>
            <w:vAlign w:val="bottom"/>
          </w:tcPr>
          <w:p w:rsidR="00000000" w:rsidRDefault="00000000">
            <w:pPr>
              <w:tabs>
                <w:tab w:val="decimal" w:pos="692"/>
              </w:tabs>
              <w:jc w:val="both"/>
              <w:rPr>
                <w:sz w:val="22"/>
              </w:rPr>
            </w:pPr>
            <w:r>
              <w:rPr>
                <w:sz w:val="22"/>
              </w:rPr>
              <w:t>120,2</w:t>
            </w:r>
          </w:p>
        </w:tc>
      </w:tr>
      <w:tr w:rsidR="00000000">
        <w:trPr>
          <w:jc w:val="center"/>
        </w:trPr>
        <w:tc>
          <w:tcPr>
            <w:tcW w:w="2595" w:type="dxa"/>
            <w:vAlign w:val="center"/>
          </w:tcPr>
          <w:p w:rsidR="00000000" w:rsidRDefault="00000000">
            <w:pPr>
              <w:rPr>
                <w:sz w:val="22"/>
              </w:rPr>
            </w:pPr>
            <w:r>
              <w:rPr>
                <w:sz w:val="22"/>
              </w:rPr>
              <w:t>Castelo Branco</w:t>
            </w:r>
          </w:p>
        </w:tc>
        <w:tc>
          <w:tcPr>
            <w:tcW w:w="1080" w:type="dxa"/>
            <w:vAlign w:val="bottom"/>
          </w:tcPr>
          <w:p w:rsidR="00000000" w:rsidRDefault="00000000">
            <w:pPr>
              <w:tabs>
                <w:tab w:val="decimal" w:pos="692"/>
              </w:tabs>
              <w:jc w:val="both"/>
              <w:rPr>
                <w:sz w:val="22"/>
              </w:rPr>
            </w:pPr>
            <w:r>
              <w:rPr>
                <w:sz w:val="22"/>
              </w:rPr>
              <w:t>71</w:t>
            </w:r>
          </w:p>
        </w:tc>
        <w:tc>
          <w:tcPr>
            <w:tcW w:w="1082" w:type="dxa"/>
            <w:vAlign w:val="bottom"/>
          </w:tcPr>
          <w:p w:rsidR="00000000" w:rsidRDefault="00000000">
            <w:pPr>
              <w:tabs>
                <w:tab w:val="decimal" w:pos="692"/>
              </w:tabs>
              <w:jc w:val="both"/>
              <w:rPr>
                <w:sz w:val="22"/>
              </w:rPr>
            </w:pPr>
            <w:r>
              <w:rPr>
                <w:sz w:val="22"/>
              </w:rPr>
              <w:t>31</w:t>
            </w:r>
          </w:p>
        </w:tc>
        <w:tc>
          <w:tcPr>
            <w:tcW w:w="1091" w:type="dxa"/>
            <w:vAlign w:val="bottom"/>
          </w:tcPr>
          <w:p w:rsidR="00000000" w:rsidRDefault="00000000">
            <w:pPr>
              <w:tabs>
                <w:tab w:val="decimal" w:pos="692"/>
              </w:tabs>
              <w:jc w:val="both"/>
              <w:rPr>
                <w:sz w:val="22"/>
              </w:rPr>
            </w:pPr>
            <w:r>
              <w:rPr>
                <w:sz w:val="22"/>
              </w:rPr>
              <w:t>229,0</w:t>
            </w:r>
          </w:p>
        </w:tc>
        <w:tc>
          <w:tcPr>
            <w:tcW w:w="1078" w:type="dxa"/>
            <w:vAlign w:val="bottom"/>
          </w:tcPr>
          <w:p w:rsidR="00000000" w:rsidRDefault="00000000">
            <w:pPr>
              <w:tabs>
                <w:tab w:val="decimal" w:pos="692"/>
              </w:tabs>
              <w:jc w:val="both"/>
              <w:rPr>
                <w:sz w:val="22"/>
              </w:rPr>
            </w:pPr>
            <w:r>
              <w:rPr>
                <w:sz w:val="22"/>
              </w:rPr>
              <w:t>63</w:t>
            </w:r>
          </w:p>
        </w:tc>
        <w:tc>
          <w:tcPr>
            <w:tcW w:w="1084" w:type="dxa"/>
            <w:vAlign w:val="bottom"/>
          </w:tcPr>
          <w:p w:rsidR="00000000" w:rsidRDefault="00000000">
            <w:pPr>
              <w:tabs>
                <w:tab w:val="decimal" w:pos="692"/>
              </w:tabs>
              <w:jc w:val="both"/>
              <w:rPr>
                <w:sz w:val="22"/>
              </w:rPr>
            </w:pPr>
            <w:r>
              <w:rPr>
                <w:sz w:val="22"/>
              </w:rPr>
              <w:t>31</w:t>
            </w:r>
          </w:p>
        </w:tc>
        <w:tc>
          <w:tcPr>
            <w:tcW w:w="1313" w:type="dxa"/>
            <w:vAlign w:val="bottom"/>
          </w:tcPr>
          <w:p w:rsidR="00000000" w:rsidRDefault="00000000">
            <w:pPr>
              <w:tabs>
                <w:tab w:val="decimal" w:pos="692"/>
              </w:tabs>
              <w:jc w:val="both"/>
              <w:rPr>
                <w:sz w:val="22"/>
              </w:rPr>
            </w:pPr>
            <w:r>
              <w:rPr>
                <w:sz w:val="22"/>
              </w:rPr>
              <w:t>203,2</w:t>
            </w:r>
          </w:p>
        </w:tc>
      </w:tr>
      <w:tr w:rsidR="00000000">
        <w:trPr>
          <w:jc w:val="center"/>
        </w:trPr>
        <w:tc>
          <w:tcPr>
            <w:tcW w:w="2595" w:type="dxa"/>
            <w:vAlign w:val="center"/>
          </w:tcPr>
          <w:p w:rsidR="00000000" w:rsidRDefault="00000000">
            <w:pPr>
              <w:rPr>
                <w:sz w:val="22"/>
              </w:rPr>
            </w:pPr>
            <w:r>
              <w:rPr>
                <w:sz w:val="22"/>
              </w:rPr>
              <w:t>Chaves</w:t>
            </w:r>
          </w:p>
        </w:tc>
        <w:tc>
          <w:tcPr>
            <w:tcW w:w="1080" w:type="dxa"/>
            <w:vAlign w:val="bottom"/>
          </w:tcPr>
          <w:p w:rsidR="00000000" w:rsidRDefault="00000000">
            <w:pPr>
              <w:tabs>
                <w:tab w:val="decimal" w:pos="692"/>
              </w:tabs>
              <w:jc w:val="both"/>
              <w:rPr>
                <w:sz w:val="22"/>
              </w:rPr>
            </w:pPr>
            <w:r>
              <w:rPr>
                <w:sz w:val="22"/>
              </w:rPr>
              <w:t>64</w:t>
            </w:r>
          </w:p>
        </w:tc>
        <w:tc>
          <w:tcPr>
            <w:tcW w:w="1082" w:type="dxa"/>
            <w:vAlign w:val="bottom"/>
          </w:tcPr>
          <w:p w:rsidR="00000000" w:rsidRDefault="00000000">
            <w:pPr>
              <w:tabs>
                <w:tab w:val="decimal" w:pos="692"/>
              </w:tabs>
              <w:jc w:val="both"/>
              <w:rPr>
                <w:sz w:val="22"/>
              </w:rPr>
            </w:pPr>
            <w:r>
              <w:rPr>
                <w:sz w:val="22"/>
              </w:rPr>
              <w:t>71</w:t>
            </w:r>
          </w:p>
        </w:tc>
        <w:tc>
          <w:tcPr>
            <w:tcW w:w="1091" w:type="dxa"/>
            <w:vAlign w:val="bottom"/>
          </w:tcPr>
          <w:p w:rsidR="00000000" w:rsidRDefault="00000000">
            <w:pPr>
              <w:tabs>
                <w:tab w:val="decimal" w:pos="692"/>
              </w:tabs>
              <w:jc w:val="both"/>
              <w:rPr>
                <w:sz w:val="22"/>
              </w:rPr>
            </w:pPr>
            <w:r>
              <w:rPr>
                <w:sz w:val="22"/>
              </w:rPr>
              <w:t>90,1</w:t>
            </w:r>
          </w:p>
        </w:tc>
        <w:tc>
          <w:tcPr>
            <w:tcW w:w="1078" w:type="dxa"/>
            <w:vAlign w:val="bottom"/>
          </w:tcPr>
          <w:p w:rsidR="00000000" w:rsidRDefault="00000000">
            <w:pPr>
              <w:tabs>
                <w:tab w:val="decimal" w:pos="692"/>
              </w:tabs>
              <w:jc w:val="both"/>
              <w:rPr>
                <w:sz w:val="22"/>
              </w:rPr>
            </w:pPr>
            <w:r>
              <w:rPr>
                <w:sz w:val="22"/>
              </w:rPr>
              <w:t>67</w:t>
            </w:r>
          </w:p>
        </w:tc>
        <w:tc>
          <w:tcPr>
            <w:tcW w:w="1084" w:type="dxa"/>
            <w:vAlign w:val="bottom"/>
          </w:tcPr>
          <w:p w:rsidR="00000000" w:rsidRDefault="00000000">
            <w:pPr>
              <w:tabs>
                <w:tab w:val="decimal" w:pos="692"/>
              </w:tabs>
              <w:jc w:val="both"/>
              <w:rPr>
                <w:sz w:val="22"/>
              </w:rPr>
            </w:pPr>
            <w:r>
              <w:rPr>
                <w:sz w:val="22"/>
              </w:rPr>
              <w:t>71</w:t>
            </w:r>
          </w:p>
        </w:tc>
        <w:tc>
          <w:tcPr>
            <w:tcW w:w="1313" w:type="dxa"/>
            <w:vAlign w:val="bottom"/>
          </w:tcPr>
          <w:p w:rsidR="00000000" w:rsidRDefault="00000000">
            <w:pPr>
              <w:tabs>
                <w:tab w:val="decimal" w:pos="692"/>
              </w:tabs>
              <w:jc w:val="both"/>
              <w:rPr>
                <w:sz w:val="22"/>
              </w:rPr>
            </w:pPr>
            <w:r>
              <w:rPr>
                <w:sz w:val="22"/>
              </w:rPr>
              <w:t>94,4</w:t>
            </w:r>
          </w:p>
        </w:tc>
      </w:tr>
      <w:tr w:rsidR="00000000">
        <w:trPr>
          <w:jc w:val="center"/>
        </w:trPr>
        <w:tc>
          <w:tcPr>
            <w:tcW w:w="2595" w:type="dxa"/>
            <w:vAlign w:val="center"/>
          </w:tcPr>
          <w:p w:rsidR="00000000" w:rsidRDefault="00000000">
            <w:pPr>
              <w:rPr>
                <w:sz w:val="22"/>
              </w:rPr>
            </w:pPr>
            <w:r>
              <w:rPr>
                <w:sz w:val="22"/>
              </w:rPr>
              <w:t>Coimbra</w:t>
            </w:r>
          </w:p>
        </w:tc>
        <w:tc>
          <w:tcPr>
            <w:tcW w:w="1080" w:type="dxa"/>
            <w:vAlign w:val="bottom"/>
          </w:tcPr>
          <w:p w:rsidR="00000000" w:rsidRDefault="00000000">
            <w:pPr>
              <w:tabs>
                <w:tab w:val="decimal" w:pos="692"/>
              </w:tabs>
              <w:jc w:val="both"/>
              <w:rPr>
                <w:sz w:val="22"/>
              </w:rPr>
            </w:pPr>
            <w:r>
              <w:rPr>
                <w:sz w:val="22"/>
              </w:rPr>
              <w:t>180</w:t>
            </w:r>
          </w:p>
        </w:tc>
        <w:tc>
          <w:tcPr>
            <w:tcW w:w="1082" w:type="dxa"/>
            <w:vAlign w:val="bottom"/>
          </w:tcPr>
          <w:p w:rsidR="00000000" w:rsidRDefault="00000000">
            <w:pPr>
              <w:tabs>
                <w:tab w:val="decimal" w:pos="692"/>
              </w:tabs>
              <w:jc w:val="both"/>
              <w:rPr>
                <w:sz w:val="22"/>
              </w:rPr>
            </w:pPr>
            <w:r>
              <w:rPr>
                <w:sz w:val="22"/>
              </w:rPr>
              <w:t>243</w:t>
            </w:r>
          </w:p>
        </w:tc>
        <w:tc>
          <w:tcPr>
            <w:tcW w:w="1091" w:type="dxa"/>
            <w:vAlign w:val="bottom"/>
          </w:tcPr>
          <w:p w:rsidR="00000000" w:rsidRDefault="00000000">
            <w:pPr>
              <w:tabs>
                <w:tab w:val="decimal" w:pos="692"/>
              </w:tabs>
              <w:jc w:val="both"/>
              <w:rPr>
                <w:sz w:val="22"/>
              </w:rPr>
            </w:pPr>
            <w:r>
              <w:rPr>
                <w:sz w:val="22"/>
              </w:rPr>
              <w:t>74,1</w:t>
            </w:r>
          </w:p>
        </w:tc>
        <w:tc>
          <w:tcPr>
            <w:tcW w:w="1078" w:type="dxa"/>
            <w:vAlign w:val="bottom"/>
          </w:tcPr>
          <w:p w:rsidR="00000000" w:rsidRDefault="00000000">
            <w:pPr>
              <w:tabs>
                <w:tab w:val="decimal" w:pos="692"/>
              </w:tabs>
              <w:jc w:val="both"/>
              <w:rPr>
                <w:sz w:val="22"/>
              </w:rPr>
            </w:pPr>
            <w:r>
              <w:rPr>
                <w:sz w:val="22"/>
              </w:rPr>
              <w:t>220</w:t>
            </w:r>
          </w:p>
        </w:tc>
        <w:tc>
          <w:tcPr>
            <w:tcW w:w="1084" w:type="dxa"/>
            <w:vAlign w:val="bottom"/>
          </w:tcPr>
          <w:p w:rsidR="00000000" w:rsidRDefault="00000000">
            <w:pPr>
              <w:tabs>
                <w:tab w:val="decimal" w:pos="692"/>
              </w:tabs>
              <w:jc w:val="both"/>
              <w:rPr>
                <w:sz w:val="22"/>
              </w:rPr>
            </w:pPr>
            <w:r>
              <w:rPr>
                <w:sz w:val="22"/>
              </w:rPr>
              <w:t>243</w:t>
            </w:r>
          </w:p>
        </w:tc>
        <w:tc>
          <w:tcPr>
            <w:tcW w:w="1313" w:type="dxa"/>
            <w:vAlign w:val="bottom"/>
          </w:tcPr>
          <w:p w:rsidR="00000000" w:rsidRDefault="00000000">
            <w:pPr>
              <w:tabs>
                <w:tab w:val="decimal" w:pos="692"/>
              </w:tabs>
              <w:jc w:val="both"/>
              <w:rPr>
                <w:sz w:val="22"/>
              </w:rPr>
            </w:pPr>
            <w:r>
              <w:rPr>
                <w:sz w:val="22"/>
              </w:rPr>
              <w:t>90,5</w:t>
            </w:r>
          </w:p>
        </w:tc>
      </w:tr>
      <w:tr w:rsidR="00000000">
        <w:trPr>
          <w:jc w:val="center"/>
        </w:trPr>
        <w:tc>
          <w:tcPr>
            <w:tcW w:w="2595" w:type="dxa"/>
            <w:vAlign w:val="center"/>
          </w:tcPr>
          <w:p w:rsidR="00000000" w:rsidRDefault="00000000">
            <w:pPr>
              <w:rPr>
                <w:sz w:val="22"/>
              </w:rPr>
            </w:pPr>
            <w:r>
              <w:rPr>
                <w:sz w:val="22"/>
              </w:rPr>
              <w:t>Covilhã</w:t>
            </w:r>
          </w:p>
        </w:tc>
        <w:tc>
          <w:tcPr>
            <w:tcW w:w="1080" w:type="dxa"/>
            <w:vAlign w:val="bottom"/>
          </w:tcPr>
          <w:p w:rsidR="00000000" w:rsidRDefault="00000000">
            <w:pPr>
              <w:tabs>
                <w:tab w:val="decimal" w:pos="692"/>
              </w:tabs>
              <w:jc w:val="both"/>
              <w:rPr>
                <w:sz w:val="22"/>
              </w:rPr>
            </w:pPr>
            <w:r>
              <w:rPr>
                <w:sz w:val="22"/>
              </w:rPr>
              <w:t>99</w:t>
            </w:r>
          </w:p>
        </w:tc>
        <w:tc>
          <w:tcPr>
            <w:tcW w:w="1082" w:type="dxa"/>
            <w:vAlign w:val="bottom"/>
          </w:tcPr>
          <w:p w:rsidR="00000000" w:rsidRDefault="00000000">
            <w:pPr>
              <w:tabs>
                <w:tab w:val="decimal" w:pos="692"/>
              </w:tabs>
              <w:jc w:val="both"/>
              <w:rPr>
                <w:sz w:val="22"/>
              </w:rPr>
            </w:pPr>
            <w:r>
              <w:rPr>
                <w:sz w:val="22"/>
              </w:rPr>
              <w:t>105</w:t>
            </w:r>
          </w:p>
        </w:tc>
        <w:tc>
          <w:tcPr>
            <w:tcW w:w="1091" w:type="dxa"/>
            <w:vAlign w:val="bottom"/>
          </w:tcPr>
          <w:p w:rsidR="00000000" w:rsidRDefault="00000000">
            <w:pPr>
              <w:tabs>
                <w:tab w:val="decimal" w:pos="692"/>
              </w:tabs>
              <w:jc w:val="both"/>
              <w:rPr>
                <w:sz w:val="22"/>
              </w:rPr>
            </w:pPr>
            <w:r>
              <w:rPr>
                <w:sz w:val="22"/>
              </w:rPr>
              <w:t>94,3</w:t>
            </w:r>
          </w:p>
        </w:tc>
        <w:tc>
          <w:tcPr>
            <w:tcW w:w="1078" w:type="dxa"/>
            <w:vAlign w:val="bottom"/>
          </w:tcPr>
          <w:p w:rsidR="00000000" w:rsidRDefault="00000000">
            <w:pPr>
              <w:tabs>
                <w:tab w:val="decimal" w:pos="692"/>
              </w:tabs>
              <w:jc w:val="both"/>
              <w:rPr>
                <w:sz w:val="22"/>
              </w:rPr>
            </w:pPr>
            <w:r>
              <w:rPr>
                <w:sz w:val="22"/>
              </w:rPr>
              <w:t>91</w:t>
            </w:r>
          </w:p>
        </w:tc>
        <w:tc>
          <w:tcPr>
            <w:tcW w:w="1084" w:type="dxa"/>
            <w:vAlign w:val="bottom"/>
          </w:tcPr>
          <w:p w:rsidR="00000000" w:rsidRDefault="00000000">
            <w:pPr>
              <w:tabs>
                <w:tab w:val="decimal" w:pos="692"/>
              </w:tabs>
              <w:jc w:val="both"/>
              <w:rPr>
                <w:sz w:val="22"/>
              </w:rPr>
            </w:pPr>
            <w:r>
              <w:rPr>
                <w:sz w:val="22"/>
              </w:rPr>
              <w:t>105</w:t>
            </w:r>
          </w:p>
        </w:tc>
        <w:tc>
          <w:tcPr>
            <w:tcW w:w="1313" w:type="dxa"/>
            <w:vAlign w:val="bottom"/>
          </w:tcPr>
          <w:p w:rsidR="00000000" w:rsidRDefault="00000000">
            <w:pPr>
              <w:tabs>
                <w:tab w:val="decimal" w:pos="692"/>
              </w:tabs>
              <w:jc w:val="both"/>
              <w:rPr>
                <w:sz w:val="22"/>
              </w:rPr>
            </w:pPr>
            <w:r>
              <w:rPr>
                <w:sz w:val="22"/>
              </w:rPr>
              <w:t>86,7</w:t>
            </w:r>
          </w:p>
        </w:tc>
      </w:tr>
      <w:tr w:rsidR="00000000">
        <w:trPr>
          <w:jc w:val="center"/>
        </w:trPr>
        <w:tc>
          <w:tcPr>
            <w:tcW w:w="2595" w:type="dxa"/>
            <w:vAlign w:val="center"/>
          </w:tcPr>
          <w:p w:rsidR="00000000" w:rsidRDefault="00000000">
            <w:pPr>
              <w:rPr>
                <w:sz w:val="22"/>
              </w:rPr>
            </w:pPr>
            <w:r>
              <w:rPr>
                <w:sz w:val="22"/>
              </w:rPr>
              <w:t>Elvas</w:t>
            </w:r>
          </w:p>
        </w:tc>
        <w:tc>
          <w:tcPr>
            <w:tcW w:w="1080" w:type="dxa"/>
            <w:vAlign w:val="bottom"/>
          </w:tcPr>
          <w:p w:rsidR="00000000" w:rsidRDefault="00000000">
            <w:pPr>
              <w:tabs>
                <w:tab w:val="decimal" w:pos="692"/>
              </w:tabs>
              <w:jc w:val="both"/>
              <w:rPr>
                <w:sz w:val="22"/>
              </w:rPr>
            </w:pPr>
            <w:r>
              <w:rPr>
                <w:sz w:val="22"/>
              </w:rPr>
              <w:t>51</w:t>
            </w:r>
          </w:p>
        </w:tc>
        <w:tc>
          <w:tcPr>
            <w:tcW w:w="1082" w:type="dxa"/>
            <w:vAlign w:val="bottom"/>
          </w:tcPr>
          <w:p w:rsidR="00000000" w:rsidRDefault="00000000">
            <w:pPr>
              <w:tabs>
                <w:tab w:val="decimal" w:pos="692"/>
              </w:tabs>
              <w:jc w:val="both"/>
              <w:rPr>
                <w:sz w:val="22"/>
              </w:rPr>
            </w:pPr>
            <w:r>
              <w:rPr>
                <w:sz w:val="22"/>
              </w:rPr>
              <w:t>29</w:t>
            </w:r>
          </w:p>
        </w:tc>
        <w:tc>
          <w:tcPr>
            <w:tcW w:w="1091" w:type="dxa"/>
            <w:vAlign w:val="bottom"/>
          </w:tcPr>
          <w:p w:rsidR="00000000" w:rsidRDefault="00000000">
            <w:pPr>
              <w:tabs>
                <w:tab w:val="decimal" w:pos="692"/>
              </w:tabs>
              <w:jc w:val="both"/>
              <w:rPr>
                <w:sz w:val="22"/>
              </w:rPr>
            </w:pPr>
            <w:r>
              <w:rPr>
                <w:sz w:val="22"/>
              </w:rPr>
              <w:t>175,9</w:t>
            </w:r>
          </w:p>
        </w:tc>
        <w:tc>
          <w:tcPr>
            <w:tcW w:w="1078" w:type="dxa"/>
            <w:vAlign w:val="bottom"/>
          </w:tcPr>
          <w:p w:rsidR="00000000" w:rsidRDefault="00000000">
            <w:pPr>
              <w:tabs>
                <w:tab w:val="decimal" w:pos="692"/>
              </w:tabs>
              <w:jc w:val="both"/>
              <w:rPr>
                <w:sz w:val="22"/>
              </w:rPr>
            </w:pPr>
            <w:r>
              <w:rPr>
                <w:sz w:val="22"/>
              </w:rPr>
              <w:t>61</w:t>
            </w:r>
          </w:p>
        </w:tc>
        <w:tc>
          <w:tcPr>
            <w:tcW w:w="1084" w:type="dxa"/>
            <w:vAlign w:val="bottom"/>
          </w:tcPr>
          <w:p w:rsidR="00000000" w:rsidRDefault="00000000">
            <w:pPr>
              <w:tabs>
                <w:tab w:val="decimal" w:pos="692"/>
              </w:tabs>
              <w:jc w:val="both"/>
              <w:rPr>
                <w:sz w:val="22"/>
              </w:rPr>
            </w:pPr>
            <w:r>
              <w:rPr>
                <w:sz w:val="22"/>
              </w:rPr>
              <w:t>29</w:t>
            </w:r>
          </w:p>
        </w:tc>
        <w:tc>
          <w:tcPr>
            <w:tcW w:w="1313" w:type="dxa"/>
            <w:vAlign w:val="bottom"/>
          </w:tcPr>
          <w:p w:rsidR="00000000" w:rsidRDefault="00000000">
            <w:pPr>
              <w:tabs>
                <w:tab w:val="decimal" w:pos="692"/>
              </w:tabs>
              <w:jc w:val="both"/>
              <w:rPr>
                <w:sz w:val="22"/>
              </w:rPr>
            </w:pPr>
            <w:r>
              <w:rPr>
                <w:sz w:val="22"/>
              </w:rPr>
              <w:t>210,3</w:t>
            </w:r>
          </w:p>
        </w:tc>
      </w:tr>
      <w:tr w:rsidR="00000000">
        <w:trPr>
          <w:jc w:val="center"/>
        </w:trPr>
        <w:tc>
          <w:tcPr>
            <w:tcW w:w="2595" w:type="dxa"/>
            <w:vAlign w:val="center"/>
          </w:tcPr>
          <w:p w:rsidR="00000000" w:rsidRDefault="00000000">
            <w:pPr>
              <w:rPr>
                <w:sz w:val="22"/>
              </w:rPr>
            </w:pPr>
            <w:r>
              <w:rPr>
                <w:sz w:val="22"/>
              </w:rPr>
              <w:t>Évora</w:t>
            </w:r>
          </w:p>
        </w:tc>
        <w:tc>
          <w:tcPr>
            <w:tcW w:w="1080" w:type="dxa"/>
            <w:vAlign w:val="bottom"/>
          </w:tcPr>
          <w:p w:rsidR="00000000" w:rsidRDefault="00000000">
            <w:pPr>
              <w:tabs>
                <w:tab w:val="decimal" w:pos="692"/>
              </w:tabs>
              <w:jc w:val="both"/>
              <w:rPr>
                <w:sz w:val="22"/>
              </w:rPr>
            </w:pPr>
            <w:r>
              <w:rPr>
                <w:sz w:val="22"/>
              </w:rPr>
              <w:t>71</w:t>
            </w:r>
          </w:p>
        </w:tc>
        <w:tc>
          <w:tcPr>
            <w:tcW w:w="1082" w:type="dxa"/>
            <w:vAlign w:val="bottom"/>
          </w:tcPr>
          <w:p w:rsidR="00000000" w:rsidRDefault="00000000">
            <w:pPr>
              <w:tabs>
                <w:tab w:val="decimal" w:pos="692"/>
              </w:tabs>
              <w:jc w:val="both"/>
              <w:rPr>
                <w:sz w:val="22"/>
              </w:rPr>
            </w:pPr>
            <w:r>
              <w:rPr>
                <w:sz w:val="22"/>
              </w:rPr>
              <w:t>46</w:t>
            </w:r>
          </w:p>
        </w:tc>
        <w:tc>
          <w:tcPr>
            <w:tcW w:w="1091" w:type="dxa"/>
            <w:vAlign w:val="bottom"/>
          </w:tcPr>
          <w:p w:rsidR="00000000" w:rsidRDefault="00000000">
            <w:pPr>
              <w:tabs>
                <w:tab w:val="decimal" w:pos="692"/>
              </w:tabs>
              <w:jc w:val="both"/>
              <w:rPr>
                <w:sz w:val="22"/>
              </w:rPr>
            </w:pPr>
            <w:r>
              <w:rPr>
                <w:sz w:val="22"/>
              </w:rPr>
              <w:t>154,3</w:t>
            </w:r>
          </w:p>
        </w:tc>
        <w:tc>
          <w:tcPr>
            <w:tcW w:w="1078" w:type="dxa"/>
            <w:vAlign w:val="bottom"/>
          </w:tcPr>
          <w:p w:rsidR="00000000" w:rsidRDefault="00000000">
            <w:pPr>
              <w:tabs>
                <w:tab w:val="decimal" w:pos="692"/>
              </w:tabs>
              <w:jc w:val="both"/>
              <w:rPr>
                <w:sz w:val="22"/>
              </w:rPr>
            </w:pPr>
            <w:r>
              <w:rPr>
                <w:sz w:val="22"/>
              </w:rPr>
              <w:t>56</w:t>
            </w:r>
          </w:p>
        </w:tc>
        <w:tc>
          <w:tcPr>
            <w:tcW w:w="1084" w:type="dxa"/>
            <w:vAlign w:val="bottom"/>
          </w:tcPr>
          <w:p w:rsidR="00000000" w:rsidRDefault="00000000">
            <w:pPr>
              <w:tabs>
                <w:tab w:val="decimal" w:pos="692"/>
              </w:tabs>
              <w:jc w:val="both"/>
              <w:rPr>
                <w:sz w:val="22"/>
              </w:rPr>
            </w:pPr>
            <w:r>
              <w:rPr>
                <w:sz w:val="22"/>
              </w:rPr>
              <w:t>46</w:t>
            </w:r>
          </w:p>
        </w:tc>
        <w:tc>
          <w:tcPr>
            <w:tcW w:w="1313" w:type="dxa"/>
            <w:vAlign w:val="bottom"/>
          </w:tcPr>
          <w:p w:rsidR="00000000" w:rsidRDefault="00000000">
            <w:pPr>
              <w:tabs>
                <w:tab w:val="decimal" w:pos="692"/>
              </w:tabs>
              <w:jc w:val="both"/>
              <w:rPr>
                <w:sz w:val="22"/>
              </w:rPr>
            </w:pPr>
            <w:r>
              <w:rPr>
                <w:sz w:val="22"/>
              </w:rPr>
              <w:t>121,7</w:t>
            </w:r>
          </w:p>
        </w:tc>
      </w:tr>
      <w:tr w:rsidR="00000000">
        <w:trPr>
          <w:jc w:val="center"/>
        </w:trPr>
        <w:tc>
          <w:tcPr>
            <w:tcW w:w="2595" w:type="dxa"/>
            <w:vAlign w:val="center"/>
          </w:tcPr>
          <w:p w:rsidR="00000000" w:rsidRDefault="00000000">
            <w:pPr>
              <w:rPr>
                <w:sz w:val="22"/>
              </w:rPr>
            </w:pPr>
            <w:r>
              <w:rPr>
                <w:sz w:val="22"/>
              </w:rPr>
              <w:t>Faro</w:t>
            </w:r>
          </w:p>
        </w:tc>
        <w:tc>
          <w:tcPr>
            <w:tcW w:w="1080" w:type="dxa"/>
            <w:vAlign w:val="bottom"/>
          </w:tcPr>
          <w:p w:rsidR="00000000" w:rsidRDefault="00000000">
            <w:pPr>
              <w:tabs>
                <w:tab w:val="decimal" w:pos="692"/>
              </w:tabs>
              <w:jc w:val="both"/>
              <w:rPr>
                <w:sz w:val="22"/>
              </w:rPr>
            </w:pPr>
            <w:r>
              <w:rPr>
                <w:sz w:val="22"/>
              </w:rPr>
              <w:t>148</w:t>
            </w:r>
          </w:p>
        </w:tc>
        <w:tc>
          <w:tcPr>
            <w:tcW w:w="1082" w:type="dxa"/>
            <w:vAlign w:val="bottom"/>
          </w:tcPr>
          <w:p w:rsidR="00000000" w:rsidRDefault="00000000">
            <w:pPr>
              <w:tabs>
                <w:tab w:val="decimal" w:pos="692"/>
              </w:tabs>
              <w:jc w:val="both"/>
              <w:rPr>
                <w:sz w:val="22"/>
              </w:rPr>
            </w:pPr>
            <w:r>
              <w:rPr>
                <w:sz w:val="22"/>
              </w:rPr>
              <w:t>120</w:t>
            </w:r>
          </w:p>
        </w:tc>
        <w:tc>
          <w:tcPr>
            <w:tcW w:w="1091" w:type="dxa"/>
            <w:vAlign w:val="bottom"/>
          </w:tcPr>
          <w:p w:rsidR="00000000" w:rsidRDefault="00000000">
            <w:pPr>
              <w:tabs>
                <w:tab w:val="decimal" w:pos="692"/>
              </w:tabs>
              <w:jc w:val="both"/>
              <w:rPr>
                <w:sz w:val="22"/>
              </w:rPr>
            </w:pPr>
            <w:r>
              <w:rPr>
                <w:sz w:val="22"/>
              </w:rPr>
              <w:t>123,3</w:t>
            </w:r>
          </w:p>
        </w:tc>
        <w:tc>
          <w:tcPr>
            <w:tcW w:w="1078" w:type="dxa"/>
            <w:vAlign w:val="bottom"/>
          </w:tcPr>
          <w:p w:rsidR="00000000" w:rsidRDefault="00000000">
            <w:pPr>
              <w:tabs>
                <w:tab w:val="decimal" w:pos="692"/>
              </w:tabs>
              <w:jc w:val="both"/>
              <w:rPr>
                <w:sz w:val="22"/>
              </w:rPr>
            </w:pPr>
            <w:r>
              <w:rPr>
                <w:sz w:val="22"/>
              </w:rPr>
              <w:t>176</w:t>
            </w:r>
          </w:p>
        </w:tc>
        <w:tc>
          <w:tcPr>
            <w:tcW w:w="1084" w:type="dxa"/>
            <w:vAlign w:val="bottom"/>
          </w:tcPr>
          <w:p w:rsidR="00000000" w:rsidRDefault="00000000">
            <w:pPr>
              <w:tabs>
                <w:tab w:val="decimal" w:pos="692"/>
              </w:tabs>
              <w:jc w:val="both"/>
              <w:rPr>
                <w:sz w:val="22"/>
              </w:rPr>
            </w:pPr>
            <w:r>
              <w:rPr>
                <w:sz w:val="22"/>
              </w:rPr>
              <w:t>120</w:t>
            </w:r>
          </w:p>
        </w:tc>
        <w:tc>
          <w:tcPr>
            <w:tcW w:w="1313" w:type="dxa"/>
            <w:vAlign w:val="bottom"/>
          </w:tcPr>
          <w:p w:rsidR="00000000" w:rsidRDefault="00000000">
            <w:pPr>
              <w:tabs>
                <w:tab w:val="decimal" w:pos="692"/>
              </w:tabs>
              <w:jc w:val="both"/>
              <w:rPr>
                <w:sz w:val="22"/>
              </w:rPr>
            </w:pPr>
            <w:r>
              <w:rPr>
                <w:sz w:val="22"/>
              </w:rPr>
              <w:t>146,7</w:t>
            </w:r>
          </w:p>
        </w:tc>
      </w:tr>
      <w:tr w:rsidR="00000000">
        <w:trPr>
          <w:jc w:val="center"/>
        </w:trPr>
        <w:tc>
          <w:tcPr>
            <w:tcW w:w="2595" w:type="dxa"/>
            <w:vAlign w:val="center"/>
          </w:tcPr>
          <w:p w:rsidR="00000000" w:rsidRDefault="00000000">
            <w:pPr>
              <w:rPr>
                <w:sz w:val="22"/>
              </w:rPr>
            </w:pPr>
            <w:r>
              <w:rPr>
                <w:sz w:val="22"/>
              </w:rPr>
              <w:t>Felgueiras</w:t>
            </w:r>
          </w:p>
        </w:tc>
        <w:tc>
          <w:tcPr>
            <w:tcW w:w="1080" w:type="dxa"/>
            <w:vAlign w:val="bottom"/>
          </w:tcPr>
          <w:p w:rsidR="00000000" w:rsidRDefault="00000000">
            <w:pPr>
              <w:tabs>
                <w:tab w:val="decimal" w:pos="692"/>
              </w:tabs>
              <w:jc w:val="both"/>
              <w:rPr>
                <w:sz w:val="22"/>
              </w:rPr>
            </w:pPr>
            <w:r>
              <w:rPr>
                <w:sz w:val="22"/>
              </w:rPr>
              <w:t>59</w:t>
            </w:r>
          </w:p>
        </w:tc>
        <w:tc>
          <w:tcPr>
            <w:tcW w:w="1082" w:type="dxa"/>
            <w:vAlign w:val="bottom"/>
          </w:tcPr>
          <w:p w:rsidR="00000000" w:rsidRDefault="00000000">
            <w:pPr>
              <w:tabs>
                <w:tab w:val="decimal" w:pos="692"/>
              </w:tabs>
              <w:jc w:val="both"/>
              <w:rPr>
                <w:sz w:val="22"/>
              </w:rPr>
            </w:pPr>
            <w:r>
              <w:rPr>
                <w:sz w:val="22"/>
              </w:rPr>
              <w:t>33</w:t>
            </w:r>
          </w:p>
        </w:tc>
        <w:tc>
          <w:tcPr>
            <w:tcW w:w="1091" w:type="dxa"/>
            <w:vAlign w:val="bottom"/>
          </w:tcPr>
          <w:p w:rsidR="00000000" w:rsidRDefault="00000000">
            <w:pPr>
              <w:tabs>
                <w:tab w:val="decimal" w:pos="692"/>
              </w:tabs>
              <w:jc w:val="both"/>
              <w:rPr>
                <w:sz w:val="22"/>
              </w:rPr>
            </w:pPr>
            <w:r>
              <w:rPr>
                <w:sz w:val="22"/>
              </w:rPr>
              <w:t>178,8</w:t>
            </w:r>
          </w:p>
        </w:tc>
        <w:tc>
          <w:tcPr>
            <w:tcW w:w="1078" w:type="dxa"/>
            <w:vAlign w:val="bottom"/>
          </w:tcPr>
          <w:p w:rsidR="00000000" w:rsidRDefault="00000000">
            <w:pPr>
              <w:tabs>
                <w:tab w:val="decimal" w:pos="692"/>
              </w:tabs>
              <w:jc w:val="both"/>
              <w:rPr>
                <w:sz w:val="22"/>
              </w:rPr>
            </w:pPr>
            <w:r>
              <w:rPr>
                <w:sz w:val="22"/>
              </w:rPr>
              <w:t>51</w:t>
            </w:r>
          </w:p>
        </w:tc>
        <w:tc>
          <w:tcPr>
            <w:tcW w:w="1084" w:type="dxa"/>
            <w:vAlign w:val="bottom"/>
          </w:tcPr>
          <w:p w:rsidR="00000000" w:rsidRDefault="00000000">
            <w:pPr>
              <w:tabs>
                <w:tab w:val="decimal" w:pos="692"/>
              </w:tabs>
              <w:jc w:val="both"/>
              <w:rPr>
                <w:sz w:val="22"/>
              </w:rPr>
            </w:pPr>
            <w:r>
              <w:rPr>
                <w:sz w:val="22"/>
              </w:rPr>
              <w:t>33</w:t>
            </w:r>
          </w:p>
        </w:tc>
        <w:tc>
          <w:tcPr>
            <w:tcW w:w="1313" w:type="dxa"/>
            <w:vAlign w:val="bottom"/>
          </w:tcPr>
          <w:p w:rsidR="00000000" w:rsidRDefault="00000000">
            <w:pPr>
              <w:tabs>
                <w:tab w:val="decimal" w:pos="692"/>
              </w:tabs>
              <w:jc w:val="both"/>
              <w:rPr>
                <w:sz w:val="22"/>
              </w:rPr>
            </w:pPr>
            <w:r>
              <w:rPr>
                <w:sz w:val="22"/>
              </w:rPr>
              <w:t>154,5</w:t>
            </w:r>
          </w:p>
        </w:tc>
      </w:tr>
      <w:tr w:rsidR="00000000">
        <w:trPr>
          <w:jc w:val="center"/>
        </w:trPr>
        <w:tc>
          <w:tcPr>
            <w:tcW w:w="2595" w:type="dxa"/>
            <w:vAlign w:val="center"/>
          </w:tcPr>
          <w:p w:rsidR="00000000" w:rsidRDefault="00000000">
            <w:pPr>
              <w:rPr>
                <w:sz w:val="22"/>
              </w:rPr>
            </w:pPr>
            <w:r>
              <w:rPr>
                <w:sz w:val="22"/>
              </w:rPr>
              <w:t>Funchal</w:t>
            </w:r>
          </w:p>
        </w:tc>
        <w:tc>
          <w:tcPr>
            <w:tcW w:w="1080" w:type="dxa"/>
            <w:vAlign w:val="bottom"/>
          </w:tcPr>
          <w:p w:rsidR="00000000" w:rsidRDefault="00000000">
            <w:pPr>
              <w:tabs>
                <w:tab w:val="decimal" w:pos="692"/>
              </w:tabs>
              <w:jc w:val="both"/>
              <w:rPr>
                <w:sz w:val="22"/>
              </w:rPr>
            </w:pPr>
            <w:r>
              <w:rPr>
                <w:sz w:val="22"/>
              </w:rPr>
              <w:t>69</w:t>
            </w:r>
          </w:p>
        </w:tc>
        <w:tc>
          <w:tcPr>
            <w:tcW w:w="1082" w:type="dxa"/>
            <w:vAlign w:val="bottom"/>
          </w:tcPr>
          <w:p w:rsidR="00000000" w:rsidRDefault="00000000">
            <w:pPr>
              <w:tabs>
                <w:tab w:val="decimal" w:pos="692"/>
              </w:tabs>
              <w:jc w:val="both"/>
              <w:rPr>
                <w:sz w:val="22"/>
              </w:rPr>
            </w:pPr>
            <w:r>
              <w:rPr>
                <w:sz w:val="22"/>
              </w:rPr>
              <w:t>100</w:t>
            </w:r>
          </w:p>
        </w:tc>
        <w:tc>
          <w:tcPr>
            <w:tcW w:w="1091" w:type="dxa"/>
            <w:vAlign w:val="bottom"/>
          </w:tcPr>
          <w:p w:rsidR="00000000" w:rsidRDefault="00000000">
            <w:pPr>
              <w:tabs>
                <w:tab w:val="decimal" w:pos="692"/>
              </w:tabs>
              <w:jc w:val="both"/>
              <w:rPr>
                <w:sz w:val="22"/>
              </w:rPr>
            </w:pPr>
            <w:r>
              <w:rPr>
                <w:sz w:val="22"/>
              </w:rPr>
              <w:t>69,0</w:t>
            </w:r>
          </w:p>
        </w:tc>
        <w:tc>
          <w:tcPr>
            <w:tcW w:w="1078" w:type="dxa"/>
            <w:vAlign w:val="bottom"/>
          </w:tcPr>
          <w:p w:rsidR="00000000" w:rsidRDefault="00000000">
            <w:pPr>
              <w:tabs>
                <w:tab w:val="decimal" w:pos="692"/>
              </w:tabs>
              <w:jc w:val="both"/>
              <w:rPr>
                <w:sz w:val="22"/>
              </w:rPr>
            </w:pPr>
            <w:r>
              <w:rPr>
                <w:sz w:val="22"/>
              </w:rPr>
              <w:t>38</w:t>
            </w:r>
          </w:p>
        </w:tc>
        <w:tc>
          <w:tcPr>
            <w:tcW w:w="1084" w:type="dxa"/>
            <w:vAlign w:val="bottom"/>
          </w:tcPr>
          <w:p w:rsidR="00000000" w:rsidRDefault="00000000">
            <w:pPr>
              <w:tabs>
                <w:tab w:val="decimal" w:pos="692"/>
              </w:tabs>
              <w:jc w:val="both"/>
              <w:rPr>
                <w:sz w:val="22"/>
              </w:rPr>
            </w:pPr>
            <w:r>
              <w:rPr>
                <w:sz w:val="22"/>
              </w:rPr>
              <w:t>100</w:t>
            </w:r>
          </w:p>
        </w:tc>
        <w:tc>
          <w:tcPr>
            <w:tcW w:w="1313" w:type="dxa"/>
            <w:vAlign w:val="bottom"/>
          </w:tcPr>
          <w:p w:rsidR="00000000" w:rsidRDefault="00000000">
            <w:pPr>
              <w:tabs>
                <w:tab w:val="decimal" w:pos="692"/>
              </w:tabs>
              <w:jc w:val="both"/>
              <w:rPr>
                <w:sz w:val="22"/>
              </w:rPr>
            </w:pPr>
            <w:r>
              <w:rPr>
                <w:sz w:val="22"/>
              </w:rPr>
              <w:t>38,0</w:t>
            </w:r>
          </w:p>
        </w:tc>
      </w:tr>
      <w:tr w:rsidR="00000000">
        <w:trPr>
          <w:jc w:val="center"/>
        </w:trPr>
        <w:tc>
          <w:tcPr>
            <w:tcW w:w="2595" w:type="dxa"/>
            <w:vAlign w:val="center"/>
          </w:tcPr>
          <w:p w:rsidR="00000000" w:rsidRDefault="00000000">
            <w:pPr>
              <w:rPr>
                <w:sz w:val="22"/>
              </w:rPr>
            </w:pPr>
            <w:r>
              <w:rPr>
                <w:sz w:val="22"/>
              </w:rPr>
              <w:t>Guarda</w:t>
            </w:r>
          </w:p>
        </w:tc>
        <w:tc>
          <w:tcPr>
            <w:tcW w:w="1080" w:type="dxa"/>
            <w:vAlign w:val="bottom"/>
          </w:tcPr>
          <w:p w:rsidR="00000000" w:rsidRDefault="00000000">
            <w:pPr>
              <w:tabs>
                <w:tab w:val="decimal" w:pos="692"/>
              </w:tabs>
              <w:jc w:val="both"/>
              <w:rPr>
                <w:sz w:val="22"/>
              </w:rPr>
            </w:pPr>
            <w:r>
              <w:rPr>
                <w:sz w:val="22"/>
              </w:rPr>
              <w:t>172</w:t>
            </w:r>
          </w:p>
        </w:tc>
        <w:tc>
          <w:tcPr>
            <w:tcW w:w="1082" w:type="dxa"/>
            <w:vAlign w:val="bottom"/>
          </w:tcPr>
          <w:p w:rsidR="00000000" w:rsidRDefault="00000000">
            <w:pPr>
              <w:tabs>
                <w:tab w:val="decimal" w:pos="692"/>
              </w:tabs>
              <w:jc w:val="both"/>
              <w:rPr>
                <w:sz w:val="22"/>
              </w:rPr>
            </w:pPr>
            <w:r>
              <w:rPr>
                <w:sz w:val="22"/>
              </w:rPr>
              <w:t>171</w:t>
            </w:r>
          </w:p>
        </w:tc>
        <w:tc>
          <w:tcPr>
            <w:tcW w:w="1091" w:type="dxa"/>
            <w:vAlign w:val="bottom"/>
          </w:tcPr>
          <w:p w:rsidR="00000000" w:rsidRDefault="00000000">
            <w:pPr>
              <w:tabs>
                <w:tab w:val="decimal" w:pos="692"/>
              </w:tabs>
              <w:jc w:val="both"/>
              <w:rPr>
                <w:sz w:val="22"/>
              </w:rPr>
            </w:pPr>
            <w:r>
              <w:rPr>
                <w:sz w:val="22"/>
              </w:rPr>
              <w:t>100,6</w:t>
            </w:r>
          </w:p>
        </w:tc>
        <w:tc>
          <w:tcPr>
            <w:tcW w:w="1078" w:type="dxa"/>
            <w:vAlign w:val="bottom"/>
          </w:tcPr>
          <w:p w:rsidR="00000000" w:rsidRDefault="00000000">
            <w:pPr>
              <w:tabs>
                <w:tab w:val="decimal" w:pos="692"/>
              </w:tabs>
              <w:jc w:val="both"/>
              <w:rPr>
                <w:sz w:val="22"/>
              </w:rPr>
            </w:pPr>
            <w:r>
              <w:rPr>
                <w:sz w:val="22"/>
              </w:rPr>
              <w:t>163</w:t>
            </w:r>
          </w:p>
        </w:tc>
        <w:tc>
          <w:tcPr>
            <w:tcW w:w="1084" w:type="dxa"/>
            <w:vAlign w:val="bottom"/>
          </w:tcPr>
          <w:p w:rsidR="00000000" w:rsidRDefault="00000000">
            <w:pPr>
              <w:tabs>
                <w:tab w:val="decimal" w:pos="692"/>
              </w:tabs>
              <w:jc w:val="both"/>
              <w:rPr>
                <w:sz w:val="22"/>
              </w:rPr>
            </w:pPr>
            <w:r>
              <w:rPr>
                <w:sz w:val="22"/>
              </w:rPr>
              <w:t>171</w:t>
            </w:r>
          </w:p>
        </w:tc>
        <w:tc>
          <w:tcPr>
            <w:tcW w:w="1313" w:type="dxa"/>
            <w:vAlign w:val="bottom"/>
          </w:tcPr>
          <w:p w:rsidR="00000000" w:rsidRDefault="00000000">
            <w:pPr>
              <w:tabs>
                <w:tab w:val="decimal" w:pos="692"/>
              </w:tabs>
              <w:jc w:val="both"/>
              <w:rPr>
                <w:sz w:val="22"/>
              </w:rPr>
            </w:pPr>
            <w:r>
              <w:rPr>
                <w:sz w:val="22"/>
              </w:rPr>
              <w:t>95,3</w:t>
            </w:r>
          </w:p>
        </w:tc>
      </w:tr>
      <w:tr w:rsidR="00000000">
        <w:trPr>
          <w:jc w:val="center"/>
        </w:trPr>
        <w:tc>
          <w:tcPr>
            <w:tcW w:w="2595" w:type="dxa"/>
            <w:vAlign w:val="center"/>
          </w:tcPr>
          <w:p w:rsidR="00000000" w:rsidRDefault="00000000">
            <w:pPr>
              <w:rPr>
                <w:sz w:val="22"/>
              </w:rPr>
            </w:pPr>
            <w:r>
              <w:rPr>
                <w:sz w:val="22"/>
              </w:rPr>
              <w:t>Guimarães</w:t>
            </w:r>
          </w:p>
        </w:tc>
        <w:tc>
          <w:tcPr>
            <w:tcW w:w="1080" w:type="dxa"/>
            <w:vAlign w:val="bottom"/>
          </w:tcPr>
          <w:p w:rsidR="00000000" w:rsidRDefault="00000000">
            <w:pPr>
              <w:tabs>
                <w:tab w:val="decimal" w:pos="692"/>
              </w:tabs>
              <w:jc w:val="both"/>
              <w:rPr>
                <w:sz w:val="22"/>
              </w:rPr>
            </w:pPr>
            <w:r>
              <w:rPr>
                <w:sz w:val="22"/>
              </w:rPr>
              <w:t>121</w:t>
            </w:r>
          </w:p>
        </w:tc>
        <w:tc>
          <w:tcPr>
            <w:tcW w:w="1082" w:type="dxa"/>
            <w:vAlign w:val="bottom"/>
          </w:tcPr>
          <w:p w:rsidR="00000000" w:rsidRDefault="00000000">
            <w:pPr>
              <w:tabs>
                <w:tab w:val="decimal" w:pos="692"/>
              </w:tabs>
              <w:jc w:val="both"/>
              <w:rPr>
                <w:sz w:val="22"/>
              </w:rPr>
            </w:pPr>
            <w:r>
              <w:rPr>
                <w:sz w:val="22"/>
              </w:rPr>
              <w:t>48</w:t>
            </w:r>
          </w:p>
        </w:tc>
        <w:tc>
          <w:tcPr>
            <w:tcW w:w="1091" w:type="dxa"/>
            <w:vAlign w:val="bottom"/>
          </w:tcPr>
          <w:p w:rsidR="00000000" w:rsidRDefault="00000000">
            <w:pPr>
              <w:tabs>
                <w:tab w:val="decimal" w:pos="692"/>
              </w:tabs>
              <w:jc w:val="both"/>
              <w:rPr>
                <w:sz w:val="22"/>
              </w:rPr>
            </w:pPr>
            <w:r>
              <w:rPr>
                <w:sz w:val="22"/>
              </w:rPr>
              <w:t>252,1</w:t>
            </w:r>
          </w:p>
        </w:tc>
        <w:tc>
          <w:tcPr>
            <w:tcW w:w="1078" w:type="dxa"/>
            <w:vAlign w:val="bottom"/>
          </w:tcPr>
          <w:p w:rsidR="00000000" w:rsidRDefault="00000000">
            <w:pPr>
              <w:tabs>
                <w:tab w:val="decimal" w:pos="692"/>
              </w:tabs>
              <w:jc w:val="both"/>
              <w:rPr>
                <w:sz w:val="22"/>
              </w:rPr>
            </w:pPr>
            <w:r>
              <w:rPr>
                <w:sz w:val="22"/>
              </w:rPr>
              <w:t>103</w:t>
            </w:r>
          </w:p>
        </w:tc>
        <w:tc>
          <w:tcPr>
            <w:tcW w:w="1084" w:type="dxa"/>
            <w:vAlign w:val="bottom"/>
          </w:tcPr>
          <w:p w:rsidR="00000000" w:rsidRDefault="00000000">
            <w:pPr>
              <w:tabs>
                <w:tab w:val="decimal" w:pos="692"/>
              </w:tabs>
              <w:jc w:val="both"/>
              <w:rPr>
                <w:sz w:val="22"/>
              </w:rPr>
            </w:pPr>
            <w:r>
              <w:rPr>
                <w:sz w:val="22"/>
              </w:rPr>
              <w:t>48</w:t>
            </w:r>
          </w:p>
        </w:tc>
        <w:tc>
          <w:tcPr>
            <w:tcW w:w="1313" w:type="dxa"/>
            <w:vAlign w:val="bottom"/>
          </w:tcPr>
          <w:p w:rsidR="00000000" w:rsidRDefault="00000000">
            <w:pPr>
              <w:tabs>
                <w:tab w:val="decimal" w:pos="692"/>
              </w:tabs>
              <w:jc w:val="both"/>
              <w:rPr>
                <w:sz w:val="22"/>
              </w:rPr>
            </w:pPr>
            <w:r>
              <w:rPr>
                <w:sz w:val="22"/>
              </w:rPr>
              <w:t>214,6</w:t>
            </w:r>
          </w:p>
        </w:tc>
      </w:tr>
      <w:tr w:rsidR="00000000">
        <w:trPr>
          <w:jc w:val="center"/>
        </w:trPr>
        <w:tc>
          <w:tcPr>
            <w:tcW w:w="2595" w:type="dxa"/>
            <w:vAlign w:val="center"/>
          </w:tcPr>
          <w:p w:rsidR="00000000" w:rsidRDefault="00000000">
            <w:pPr>
              <w:rPr>
                <w:sz w:val="22"/>
              </w:rPr>
            </w:pPr>
            <w:r>
              <w:rPr>
                <w:sz w:val="22"/>
              </w:rPr>
              <w:t>Lamego</w:t>
            </w:r>
          </w:p>
        </w:tc>
        <w:tc>
          <w:tcPr>
            <w:tcW w:w="1080" w:type="dxa"/>
            <w:vAlign w:val="bottom"/>
          </w:tcPr>
          <w:p w:rsidR="00000000" w:rsidRDefault="00000000">
            <w:pPr>
              <w:tabs>
                <w:tab w:val="decimal" w:pos="692"/>
              </w:tabs>
              <w:jc w:val="both"/>
              <w:rPr>
                <w:sz w:val="22"/>
              </w:rPr>
            </w:pPr>
            <w:r>
              <w:rPr>
                <w:sz w:val="22"/>
              </w:rPr>
              <w:t>81</w:t>
            </w:r>
          </w:p>
        </w:tc>
        <w:tc>
          <w:tcPr>
            <w:tcW w:w="1082" w:type="dxa"/>
            <w:vAlign w:val="bottom"/>
          </w:tcPr>
          <w:p w:rsidR="00000000" w:rsidRDefault="00000000">
            <w:pPr>
              <w:tabs>
                <w:tab w:val="decimal" w:pos="692"/>
              </w:tabs>
              <w:jc w:val="both"/>
              <w:rPr>
                <w:sz w:val="22"/>
              </w:rPr>
            </w:pPr>
            <w:r>
              <w:rPr>
                <w:sz w:val="22"/>
              </w:rPr>
              <w:t>67</w:t>
            </w:r>
          </w:p>
        </w:tc>
        <w:tc>
          <w:tcPr>
            <w:tcW w:w="1091" w:type="dxa"/>
            <w:vAlign w:val="bottom"/>
          </w:tcPr>
          <w:p w:rsidR="00000000" w:rsidRDefault="00000000">
            <w:pPr>
              <w:tabs>
                <w:tab w:val="decimal" w:pos="692"/>
              </w:tabs>
              <w:jc w:val="both"/>
              <w:rPr>
                <w:sz w:val="22"/>
              </w:rPr>
            </w:pPr>
            <w:r>
              <w:rPr>
                <w:sz w:val="22"/>
              </w:rPr>
              <w:t>120,9</w:t>
            </w:r>
          </w:p>
        </w:tc>
        <w:tc>
          <w:tcPr>
            <w:tcW w:w="1078" w:type="dxa"/>
            <w:vAlign w:val="bottom"/>
          </w:tcPr>
          <w:p w:rsidR="00000000" w:rsidRDefault="00000000">
            <w:pPr>
              <w:tabs>
                <w:tab w:val="decimal" w:pos="692"/>
              </w:tabs>
              <w:jc w:val="both"/>
              <w:rPr>
                <w:sz w:val="22"/>
              </w:rPr>
            </w:pPr>
            <w:r>
              <w:rPr>
                <w:sz w:val="22"/>
              </w:rPr>
              <w:t>67</w:t>
            </w:r>
          </w:p>
        </w:tc>
        <w:tc>
          <w:tcPr>
            <w:tcW w:w="1084" w:type="dxa"/>
            <w:vAlign w:val="bottom"/>
          </w:tcPr>
          <w:p w:rsidR="00000000" w:rsidRDefault="00000000">
            <w:pPr>
              <w:tabs>
                <w:tab w:val="decimal" w:pos="692"/>
              </w:tabs>
              <w:jc w:val="both"/>
              <w:rPr>
                <w:sz w:val="22"/>
              </w:rPr>
            </w:pPr>
            <w:r>
              <w:rPr>
                <w:sz w:val="22"/>
              </w:rPr>
              <w:t>67</w:t>
            </w:r>
          </w:p>
        </w:tc>
        <w:tc>
          <w:tcPr>
            <w:tcW w:w="1313" w:type="dxa"/>
            <w:vAlign w:val="bottom"/>
          </w:tcPr>
          <w:p w:rsidR="00000000" w:rsidRDefault="00000000">
            <w:pPr>
              <w:tabs>
                <w:tab w:val="decimal" w:pos="692"/>
              </w:tabs>
              <w:jc w:val="both"/>
              <w:rPr>
                <w:sz w:val="22"/>
              </w:rPr>
            </w:pPr>
            <w:r>
              <w:rPr>
                <w:sz w:val="22"/>
              </w:rPr>
              <w:t>100,0</w:t>
            </w:r>
          </w:p>
        </w:tc>
      </w:tr>
      <w:tr w:rsidR="00000000">
        <w:trPr>
          <w:jc w:val="center"/>
        </w:trPr>
        <w:tc>
          <w:tcPr>
            <w:tcW w:w="2595" w:type="dxa"/>
            <w:vAlign w:val="center"/>
          </w:tcPr>
          <w:p w:rsidR="00000000" w:rsidRDefault="00000000">
            <w:pPr>
              <w:rPr>
                <w:sz w:val="22"/>
              </w:rPr>
            </w:pPr>
            <w:r>
              <w:rPr>
                <w:sz w:val="22"/>
              </w:rPr>
              <w:t>Leiria</w:t>
            </w:r>
          </w:p>
        </w:tc>
        <w:tc>
          <w:tcPr>
            <w:tcW w:w="1080" w:type="dxa"/>
            <w:vAlign w:val="bottom"/>
          </w:tcPr>
          <w:p w:rsidR="00000000" w:rsidRDefault="00000000">
            <w:pPr>
              <w:tabs>
                <w:tab w:val="decimal" w:pos="692"/>
              </w:tabs>
              <w:jc w:val="both"/>
              <w:rPr>
                <w:sz w:val="22"/>
              </w:rPr>
            </w:pPr>
            <w:r>
              <w:rPr>
                <w:sz w:val="22"/>
              </w:rPr>
              <w:t>198</w:t>
            </w:r>
          </w:p>
        </w:tc>
        <w:tc>
          <w:tcPr>
            <w:tcW w:w="1082" w:type="dxa"/>
            <w:vAlign w:val="bottom"/>
          </w:tcPr>
          <w:p w:rsidR="00000000" w:rsidRDefault="00000000">
            <w:pPr>
              <w:tabs>
                <w:tab w:val="decimal" w:pos="692"/>
              </w:tabs>
              <w:jc w:val="both"/>
              <w:rPr>
                <w:sz w:val="22"/>
              </w:rPr>
            </w:pPr>
            <w:r>
              <w:rPr>
                <w:sz w:val="22"/>
              </w:rPr>
              <w:t>110</w:t>
            </w:r>
          </w:p>
        </w:tc>
        <w:tc>
          <w:tcPr>
            <w:tcW w:w="1091" w:type="dxa"/>
            <w:vAlign w:val="bottom"/>
          </w:tcPr>
          <w:p w:rsidR="00000000" w:rsidRDefault="00000000">
            <w:pPr>
              <w:tabs>
                <w:tab w:val="decimal" w:pos="692"/>
              </w:tabs>
              <w:jc w:val="both"/>
              <w:rPr>
                <w:sz w:val="22"/>
              </w:rPr>
            </w:pPr>
            <w:r>
              <w:rPr>
                <w:sz w:val="22"/>
              </w:rPr>
              <w:t>180,0</w:t>
            </w:r>
          </w:p>
        </w:tc>
        <w:tc>
          <w:tcPr>
            <w:tcW w:w="1078" w:type="dxa"/>
            <w:vAlign w:val="bottom"/>
          </w:tcPr>
          <w:p w:rsidR="00000000" w:rsidRDefault="00000000">
            <w:pPr>
              <w:tabs>
                <w:tab w:val="decimal" w:pos="692"/>
              </w:tabs>
              <w:jc w:val="both"/>
              <w:rPr>
                <w:sz w:val="22"/>
              </w:rPr>
            </w:pPr>
            <w:r>
              <w:rPr>
                <w:sz w:val="22"/>
              </w:rPr>
              <w:t>162</w:t>
            </w:r>
          </w:p>
        </w:tc>
        <w:tc>
          <w:tcPr>
            <w:tcW w:w="1084" w:type="dxa"/>
            <w:vAlign w:val="bottom"/>
          </w:tcPr>
          <w:p w:rsidR="00000000" w:rsidRDefault="00000000">
            <w:pPr>
              <w:tabs>
                <w:tab w:val="decimal" w:pos="692"/>
              </w:tabs>
              <w:jc w:val="both"/>
              <w:rPr>
                <w:sz w:val="22"/>
              </w:rPr>
            </w:pPr>
            <w:r>
              <w:rPr>
                <w:sz w:val="22"/>
              </w:rPr>
              <w:t>110</w:t>
            </w:r>
          </w:p>
        </w:tc>
        <w:tc>
          <w:tcPr>
            <w:tcW w:w="1313" w:type="dxa"/>
            <w:vAlign w:val="bottom"/>
          </w:tcPr>
          <w:p w:rsidR="00000000" w:rsidRDefault="00000000">
            <w:pPr>
              <w:tabs>
                <w:tab w:val="decimal" w:pos="692"/>
              </w:tabs>
              <w:jc w:val="both"/>
              <w:rPr>
                <w:sz w:val="22"/>
              </w:rPr>
            </w:pPr>
            <w:r>
              <w:rPr>
                <w:sz w:val="22"/>
              </w:rPr>
              <w:t>147,3</w:t>
            </w:r>
          </w:p>
        </w:tc>
      </w:tr>
      <w:tr w:rsidR="00000000">
        <w:trPr>
          <w:jc w:val="center"/>
        </w:trPr>
        <w:tc>
          <w:tcPr>
            <w:tcW w:w="2595" w:type="dxa"/>
            <w:vAlign w:val="center"/>
          </w:tcPr>
          <w:p w:rsidR="00000000" w:rsidRDefault="00000000">
            <w:pPr>
              <w:rPr>
                <w:sz w:val="22"/>
              </w:rPr>
            </w:pPr>
            <w:r>
              <w:rPr>
                <w:sz w:val="22"/>
              </w:rPr>
              <w:t>Monção</w:t>
            </w:r>
          </w:p>
        </w:tc>
        <w:tc>
          <w:tcPr>
            <w:tcW w:w="1080" w:type="dxa"/>
            <w:vAlign w:val="bottom"/>
          </w:tcPr>
          <w:p w:rsidR="00000000" w:rsidRDefault="00000000">
            <w:pPr>
              <w:tabs>
                <w:tab w:val="decimal" w:pos="692"/>
              </w:tabs>
              <w:jc w:val="both"/>
              <w:rPr>
                <w:sz w:val="22"/>
              </w:rPr>
            </w:pPr>
            <w:r>
              <w:rPr>
                <w:sz w:val="22"/>
              </w:rPr>
              <w:t>43</w:t>
            </w:r>
          </w:p>
        </w:tc>
        <w:tc>
          <w:tcPr>
            <w:tcW w:w="1082" w:type="dxa"/>
            <w:vAlign w:val="bottom"/>
          </w:tcPr>
          <w:p w:rsidR="00000000" w:rsidRDefault="00000000">
            <w:pPr>
              <w:tabs>
                <w:tab w:val="decimal" w:pos="692"/>
              </w:tabs>
              <w:jc w:val="both"/>
              <w:rPr>
                <w:sz w:val="22"/>
              </w:rPr>
            </w:pPr>
            <w:r>
              <w:rPr>
                <w:sz w:val="22"/>
              </w:rPr>
              <w:t>34</w:t>
            </w:r>
          </w:p>
        </w:tc>
        <w:tc>
          <w:tcPr>
            <w:tcW w:w="1091" w:type="dxa"/>
            <w:vAlign w:val="bottom"/>
          </w:tcPr>
          <w:p w:rsidR="00000000" w:rsidRDefault="00000000">
            <w:pPr>
              <w:tabs>
                <w:tab w:val="decimal" w:pos="692"/>
              </w:tabs>
              <w:jc w:val="both"/>
              <w:rPr>
                <w:sz w:val="22"/>
              </w:rPr>
            </w:pPr>
            <w:r>
              <w:rPr>
                <w:sz w:val="22"/>
              </w:rPr>
              <w:t>126,5</w:t>
            </w:r>
          </w:p>
        </w:tc>
        <w:tc>
          <w:tcPr>
            <w:tcW w:w="1078" w:type="dxa"/>
            <w:vAlign w:val="bottom"/>
          </w:tcPr>
          <w:p w:rsidR="00000000" w:rsidRDefault="00000000">
            <w:pPr>
              <w:tabs>
                <w:tab w:val="decimal" w:pos="692"/>
              </w:tabs>
              <w:jc w:val="both"/>
              <w:rPr>
                <w:sz w:val="22"/>
              </w:rPr>
            </w:pPr>
            <w:r>
              <w:rPr>
                <w:sz w:val="22"/>
              </w:rPr>
              <w:t>29</w:t>
            </w:r>
          </w:p>
        </w:tc>
        <w:tc>
          <w:tcPr>
            <w:tcW w:w="1084" w:type="dxa"/>
            <w:vAlign w:val="bottom"/>
          </w:tcPr>
          <w:p w:rsidR="00000000" w:rsidRDefault="00000000">
            <w:pPr>
              <w:tabs>
                <w:tab w:val="decimal" w:pos="692"/>
              </w:tabs>
              <w:jc w:val="both"/>
              <w:rPr>
                <w:sz w:val="22"/>
              </w:rPr>
            </w:pPr>
            <w:r>
              <w:rPr>
                <w:sz w:val="22"/>
              </w:rPr>
              <w:t>34</w:t>
            </w:r>
          </w:p>
        </w:tc>
        <w:tc>
          <w:tcPr>
            <w:tcW w:w="1313" w:type="dxa"/>
            <w:vAlign w:val="bottom"/>
          </w:tcPr>
          <w:p w:rsidR="00000000" w:rsidRDefault="00000000">
            <w:pPr>
              <w:tabs>
                <w:tab w:val="decimal" w:pos="692"/>
              </w:tabs>
              <w:jc w:val="both"/>
              <w:rPr>
                <w:sz w:val="22"/>
              </w:rPr>
            </w:pPr>
            <w:r>
              <w:rPr>
                <w:sz w:val="22"/>
              </w:rPr>
              <w:t>85,3</w:t>
            </w:r>
          </w:p>
        </w:tc>
      </w:tr>
      <w:tr w:rsidR="00000000">
        <w:trPr>
          <w:jc w:val="center"/>
        </w:trPr>
        <w:tc>
          <w:tcPr>
            <w:tcW w:w="2595" w:type="dxa"/>
            <w:vAlign w:val="center"/>
          </w:tcPr>
          <w:p w:rsidR="00000000" w:rsidRDefault="00000000">
            <w:pPr>
              <w:rPr>
                <w:sz w:val="22"/>
              </w:rPr>
            </w:pPr>
            <w:r>
              <w:rPr>
                <w:sz w:val="22"/>
              </w:rPr>
              <w:t>Montijo</w:t>
            </w:r>
          </w:p>
        </w:tc>
        <w:tc>
          <w:tcPr>
            <w:tcW w:w="1080" w:type="dxa"/>
            <w:vAlign w:val="bottom"/>
          </w:tcPr>
          <w:p w:rsidR="00000000" w:rsidRDefault="00000000">
            <w:pPr>
              <w:tabs>
                <w:tab w:val="decimal" w:pos="692"/>
              </w:tabs>
              <w:jc w:val="both"/>
              <w:rPr>
                <w:sz w:val="22"/>
              </w:rPr>
            </w:pPr>
            <w:r>
              <w:rPr>
                <w:sz w:val="22"/>
              </w:rPr>
              <w:t>206</w:t>
            </w:r>
          </w:p>
        </w:tc>
        <w:tc>
          <w:tcPr>
            <w:tcW w:w="1082" w:type="dxa"/>
            <w:vAlign w:val="bottom"/>
          </w:tcPr>
          <w:p w:rsidR="00000000" w:rsidRDefault="00000000">
            <w:pPr>
              <w:tabs>
                <w:tab w:val="decimal" w:pos="692"/>
              </w:tabs>
              <w:jc w:val="both"/>
              <w:rPr>
                <w:sz w:val="22"/>
              </w:rPr>
            </w:pPr>
            <w:r>
              <w:rPr>
                <w:sz w:val="22"/>
              </w:rPr>
              <w:t>105</w:t>
            </w:r>
          </w:p>
        </w:tc>
        <w:tc>
          <w:tcPr>
            <w:tcW w:w="1091" w:type="dxa"/>
            <w:vAlign w:val="bottom"/>
          </w:tcPr>
          <w:p w:rsidR="00000000" w:rsidRDefault="00000000">
            <w:pPr>
              <w:tabs>
                <w:tab w:val="decimal" w:pos="692"/>
              </w:tabs>
              <w:jc w:val="both"/>
              <w:rPr>
                <w:sz w:val="22"/>
              </w:rPr>
            </w:pPr>
            <w:r>
              <w:rPr>
                <w:sz w:val="22"/>
              </w:rPr>
              <w:t>196,2</w:t>
            </w:r>
          </w:p>
        </w:tc>
        <w:tc>
          <w:tcPr>
            <w:tcW w:w="1078" w:type="dxa"/>
            <w:vAlign w:val="bottom"/>
          </w:tcPr>
          <w:p w:rsidR="00000000" w:rsidRDefault="00000000">
            <w:pPr>
              <w:tabs>
                <w:tab w:val="decimal" w:pos="692"/>
              </w:tabs>
              <w:jc w:val="both"/>
              <w:rPr>
                <w:sz w:val="22"/>
              </w:rPr>
            </w:pPr>
            <w:r>
              <w:rPr>
                <w:sz w:val="22"/>
              </w:rPr>
              <w:t>213</w:t>
            </w:r>
          </w:p>
        </w:tc>
        <w:tc>
          <w:tcPr>
            <w:tcW w:w="1084" w:type="dxa"/>
            <w:vAlign w:val="bottom"/>
          </w:tcPr>
          <w:p w:rsidR="00000000" w:rsidRDefault="00000000">
            <w:pPr>
              <w:tabs>
                <w:tab w:val="decimal" w:pos="692"/>
              </w:tabs>
              <w:jc w:val="both"/>
              <w:rPr>
                <w:sz w:val="22"/>
              </w:rPr>
            </w:pPr>
            <w:r>
              <w:rPr>
                <w:sz w:val="22"/>
              </w:rPr>
              <w:t>105</w:t>
            </w:r>
          </w:p>
        </w:tc>
        <w:tc>
          <w:tcPr>
            <w:tcW w:w="1313" w:type="dxa"/>
            <w:vAlign w:val="bottom"/>
          </w:tcPr>
          <w:p w:rsidR="00000000" w:rsidRDefault="00000000">
            <w:pPr>
              <w:tabs>
                <w:tab w:val="decimal" w:pos="692"/>
              </w:tabs>
              <w:jc w:val="both"/>
              <w:rPr>
                <w:sz w:val="22"/>
              </w:rPr>
            </w:pPr>
            <w:r>
              <w:rPr>
                <w:sz w:val="22"/>
              </w:rPr>
              <w:t>202,9</w:t>
            </w:r>
          </w:p>
        </w:tc>
      </w:tr>
      <w:tr w:rsidR="00000000">
        <w:trPr>
          <w:jc w:val="center"/>
        </w:trPr>
        <w:tc>
          <w:tcPr>
            <w:tcW w:w="2595" w:type="dxa"/>
            <w:vAlign w:val="center"/>
          </w:tcPr>
          <w:p w:rsidR="00000000" w:rsidRDefault="00000000">
            <w:pPr>
              <w:rPr>
                <w:sz w:val="22"/>
              </w:rPr>
            </w:pPr>
            <w:r>
              <w:rPr>
                <w:sz w:val="22"/>
              </w:rPr>
              <w:t>Odemira</w:t>
            </w:r>
          </w:p>
        </w:tc>
        <w:tc>
          <w:tcPr>
            <w:tcW w:w="1080" w:type="dxa"/>
            <w:vAlign w:val="bottom"/>
          </w:tcPr>
          <w:p w:rsidR="00000000" w:rsidRDefault="00000000">
            <w:pPr>
              <w:tabs>
                <w:tab w:val="decimal" w:pos="692"/>
              </w:tabs>
              <w:jc w:val="both"/>
              <w:rPr>
                <w:sz w:val="22"/>
              </w:rPr>
            </w:pPr>
            <w:r>
              <w:rPr>
                <w:sz w:val="22"/>
              </w:rPr>
              <w:t>115</w:t>
            </w:r>
          </w:p>
        </w:tc>
        <w:tc>
          <w:tcPr>
            <w:tcW w:w="1082" w:type="dxa"/>
            <w:vAlign w:val="bottom"/>
          </w:tcPr>
          <w:p w:rsidR="00000000" w:rsidRDefault="00000000">
            <w:pPr>
              <w:tabs>
                <w:tab w:val="decimal" w:pos="692"/>
              </w:tabs>
              <w:jc w:val="both"/>
              <w:rPr>
                <w:sz w:val="22"/>
              </w:rPr>
            </w:pPr>
            <w:r>
              <w:rPr>
                <w:sz w:val="22"/>
              </w:rPr>
              <w:t>56</w:t>
            </w:r>
          </w:p>
        </w:tc>
        <w:tc>
          <w:tcPr>
            <w:tcW w:w="1091" w:type="dxa"/>
            <w:vAlign w:val="bottom"/>
          </w:tcPr>
          <w:p w:rsidR="00000000" w:rsidRDefault="00000000">
            <w:pPr>
              <w:tabs>
                <w:tab w:val="decimal" w:pos="692"/>
              </w:tabs>
              <w:jc w:val="both"/>
              <w:rPr>
                <w:sz w:val="22"/>
              </w:rPr>
            </w:pPr>
            <w:r>
              <w:rPr>
                <w:sz w:val="22"/>
              </w:rPr>
              <w:t>205,4</w:t>
            </w:r>
          </w:p>
        </w:tc>
        <w:tc>
          <w:tcPr>
            <w:tcW w:w="1078" w:type="dxa"/>
            <w:vAlign w:val="bottom"/>
          </w:tcPr>
          <w:p w:rsidR="00000000" w:rsidRDefault="00000000">
            <w:pPr>
              <w:tabs>
                <w:tab w:val="decimal" w:pos="692"/>
              </w:tabs>
              <w:jc w:val="both"/>
              <w:rPr>
                <w:sz w:val="22"/>
              </w:rPr>
            </w:pPr>
            <w:r>
              <w:rPr>
                <w:sz w:val="22"/>
              </w:rPr>
              <w:t>102</w:t>
            </w:r>
          </w:p>
        </w:tc>
        <w:tc>
          <w:tcPr>
            <w:tcW w:w="1084" w:type="dxa"/>
            <w:vAlign w:val="bottom"/>
          </w:tcPr>
          <w:p w:rsidR="00000000" w:rsidRDefault="00000000">
            <w:pPr>
              <w:tabs>
                <w:tab w:val="decimal" w:pos="692"/>
              </w:tabs>
              <w:jc w:val="both"/>
              <w:rPr>
                <w:sz w:val="22"/>
              </w:rPr>
            </w:pPr>
            <w:r>
              <w:rPr>
                <w:sz w:val="22"/>
              </w:rPr>
              <w:t>56</w:t>
            </w:r>
          </w:p>
        </w:tc>
        <w:tc>
          <w:tcPr>
            <w:tcW w:w="1313" w:type="dxa"/>
            <w:vAlign w:val="bottom"/>
          </w:tcPr>
          <w:p w:rsidR="00000000" w:rsidRDefault="00000000">
            <w:pPr>
              <w:tabs>
                <w:tab w:val="decimal" w:pos="692"/>
              </w:tabs>
              <w:jc w:val="both"/>
              <w:rPr>
                <w:sz w:val="22"/>
              </w:rPr>
            </w:pPr>
            <w:r>
              <w:rPr>
                <w:sz w:val="22"/>
              </w:rPr>
              <w:t>182,1</w:t>
            </w:r>
          </w:p>
        </w:tc>
      </w:tr>
      <w:tr w:rsidR="00000000">
        <w:trPr>
          <w:jc w:val="center"/>
        </w:trPr>
        <w:tc>
          <w:tcPr>
            <w:tcW w:w="2595" w:type="dxa"/>
            <w:vAlign w:val="center"/>
          </w:tcPr>
          <w:p w:rsidR="00000000" w:rsidRDefault="00000000">
            <w:pPr>
              <w:rPr>
                <w:sz w:val="22"/>
              </w:rPr>
            </w:pPr>
            <w:r>
              <w:rPr>
                <w:sz w:val="22"/>
              </w:rPr>
              <w:t>Prisión de apoyo de Olhão</w:t>
            </w:r>
          </w:p>
        </w:tc>
        <w:tc>
          <w:tcPr>
            <w:tcW w:w="1080" w:type="dxa"/>
            <w:vAlign w:val="bottom"/>
          </w:tcPr>
          <w:p w:rsidR="00000000" w:rsidRDefault="00000000">
            <w:pPr>
              <w:tabs>
                <w:tab w:val="decimal" w:pos="692"/>
              </w:tabs>
              <w:jc w:val="both"/>
              <w:rPr>
                <w:sz w:val="22"/>
              </w:rPr>
            </w:pPr>
            <w:r>
              <w:rPr>
                <w:sz w:val="22"/>
              </w:rPr>
              <w:t>58</w:t>
            </w:r>
          </w:p>
        </w:tc>
        <w:tc>
          <w:tcPr>
            <w:tcW w:w="1082" w:type="dxa"/>
            <w:vAlign w:val="bottom"/>
          </w:tcPr>
          <w:p w:rsidR="00000000" w:rsidRDefault="00000000">
            <w:pPr>
              <w:tabs>
                <w:tab w:val="decimal" w:pos="692"/>
              </w:tabs>
              <w:jc w:val="both"/>
              <w:rPr>
                <w:sz w:val="22"/>
              </w:rPr>
            </w:pPr>
            <w:r>
              <w:rPr>
                <w:sz w:val="22"/>
              </w:rPr>
              <w:t>37</w:t>
            </w:r>
          </w:p>
        </w:tc>
        <w:tc>
          <w:tcPr>
            <w:tcW w:w="1091" w:type="dxa"/>
            <w:vAlign w:val="bottom"/>
          </w:tcPr>
          <w:p w:rsidR="00000000" w:rsidRDefault="00000000">
            <w:pPr>
              <w:tabs>
                <w:tab w:val="decimal" w:pos="692"/>
              </w:tabs>
              <w:jc w:val="both"/>
              <w:rPr>
                <w:sz w:val="22"/>
              </w:rPr>
            </w:pPr>
            <w:r>
              <w:rPr>
                <w:sz w:val="22"/>
              </w:rPr>
              <w:t>156,8</w:t>
            </w:r>
          </w:p>
        </w:tc>
        <w:tc>
          <w:tcPr>
            <w:tcW w:w="1078" w:type="dxa"/>
            <w:vAlign w:val="bottom"/>
          </w:tcPr>
          <w:p w:rsidR="00000000" w:rsidRDefault="00000000">
            <w:pPr>
              <w:tabs>
                <w:tab w:val="decimal" w:pos="692"/>
              </w:tabs>
              <w:jc w:val="both"/>
              <w:rPr>
                <w:sz w:val="22"/>
              </w:rPr>
            </w:pPr>
            <w:r>
              <w:rPr>
                <w:sz w:val="22"/>
              </w:rPr>
              <w:t>12</w:t>
            </w:r>
          </w:p>
        </w:tc>
        <w:tc>
          <w:tcPr>
            <w:tcW w:w="1084" w:type="dxa"/>
            <w:vAlign w:val="bottom"/>
          </w:tcPr>
          <w:p w:rsidR="00000000" w:rsidRDefault="00000000">
            <w:pPr>
              <w:tabs>
                <w:tab w:val="decimal" w:pos="692"/>
              </w:tabs>
              <w:jc w:val="both"/>
              <w:rPr>
                <w:sz w:val="22"/>
              </w:rPr>
            </w:pPr>
            <w:r>
              <w:rPr>
                <w:sz w:val="22"/>
              </w:rPr>
              <w:t>42</w:t>
            </w:r>
          </w:p>
        </w:tc>
        <w:tc>
          <w:tcPr>
            <w:tcW w:w="1313" w:type="dxa"/>
            <w:vAlign w:val="bottom"/>
          </w:tcPr>
          <w:p w:rsidR="00000000" w:rsidRDefault="00000000">
            <w:pPr>
              <w:tabs>
                <w:tab w:val="decimal" w:pos="692"/>
              </w:tabs>
              <w:jc w:val="both"/>
              <w:rPr>
                <w:sz w:val="22"/>
              </w:rPr>
            </w:pPr>
            <w:r>
              <w:rPr>
                <w:sz w:val="22"/>
              </w:rPr>
              <w:t>28,6</w:t>
            </w:r>
          </w:p>
        </w:tc>
      </w:tr>
      <w:tr w:rsidR="00000000">
        <w:trPr>
          <w:jc w:val="center"/>
        </w:trPr>
        <w:tc>
          <w:tcPr>
            <w:tcW w:w="2595" w:type="dxa"/>
            <w:vAlign w:val="center"/>
          </w:tcPr>
          <w:p w:rsidR="00000000" w:rsidRDefault="00000000">
            <w:pPr>
              <w:rPr>
                <w:sz w:val="22"/>
              </w:rPr>
            </w:pPr>
            <w:r>
              <w:rPr>
                <w:sz w:val="22"/>
              </w:rPr>
              <w:t>Ponta Delgada</w:t>
            </w:r>
          </w:p>
        </w:tc>
        <w:tc>
          <w:tcPr>
            <w:tcW w:w="1080" w:type="dxa"/>
            <w:vAlign w:val="bottom"/>
          </w:tcPr>
          <w:p w:rsidR="00000000" w:rsidRDefault="00000000">
            <w:pPr>
              <w:tabs>
                <w:tab w:val="decimal" w:pos="692"/>
              </w:tabs>
              <w:jc w:val="both"/>
              <w:rPr>
                <w:sz w:val="22"/>
              </w:rPr>
            </w:pPr>
            <w:r>
              <w:rPr>
                <w:sz w:val="22"/>
              </w:rPr>
              <w:t>185</w:t>
            </w:r>
          </w:p>
        </w:tc>
        <w:tc>
          <w:tcPr>
            <w:tcW w:w="1082" w:type="dxa"/>
            <w:vAlign w:val="bottom"/>
          </w:tcPr>
          <w:p w:rsidR="00000000" w:rsidRDefault="00000000">
            <w:pPr>
              <w:tabs>
                <w:tab w:val="decimal" w:pos="692"/>
              </w:tabs>
              <w:jc w:val="both"/>
              <w:rPr>
                <w:sz w:val="22"/>
              </w:rPr>
            </w:pPr>
            <w:r>
              <w:rPr>
                <w:sz w:val="22"/>
              </w:rPr>
              <w:t>141</w:t>
            </w:r>
          </w:p>
        </w:tc>
        <w:tc>
          <w:tcPr>
            <w:tcW w:w="1091" w:type="dxa"/>
            <w:vAlign w:val="bottom"/>
          </w:tcPr>
          <w:p w:rsidR="00000000" w:rsidRDefault="00000000">
            <w:pPr>
              <w:tabs>
                <w:tab w:val="decimal" w:pos="692"/>
              </w:tabs>
              <w:jc w:val="both"/>
              <w:rPr>
                <w:sz w:val="22"/>
              </w:rPr>
            </w:pPr>
            <w:r>
              <w:rPr>
                <w:sz w:val="22"/>
              </w:rPr>
              <w:t>131,2</w:t>
            </w:r>
          </w:p>
        </w:tc>
        <w:tc>
          <w:tcPr>
            <w:tcW w:w="1078" w:type="dxa"/>
            <w:vAlign w:val="bottom"/>
          </w:tcPr>
          <w:p w:rsidR="00000000" w:rsidRDefault="00000000">
            <w:pPr>
              <w:tabs>
                <w:tab w:val="decimal" w:pos="692"/>
              </w:tabs>
              <w:jc w:val="both"/>
              <w:rPr>
                <w:sz w:val="22"/>
              </w:rPr>
            </w:pPr>
            <w:r>
              <w:rPr>
                <w:sz w:val="22"/>
              </w:rPr>
              <w:t>135</w:t>
            </w:r>
          </w:p>
        </w:tc>
        <w:tc>
          <w:tcPr>
            <w:tcW w:w="1084" w:type="dxa"/>
            <w:vAlign w:val="bottom"/>
          </w:tcPr>
          <w:p w:rsidR="00000000" w:rsidRDefault="00000000">
            <w:pPr>
              <w:tabs>
                <w:tab w:val="decimal" w:pos="692"/>
              </w:tabs>
              <w:jc w:val="both"/>
              <w:rPr>
                <w:sz w:val="22"/>
              </w:rPr>
            </w:pPr>
            <w:r>
              <w:rPr>
                <w:sz w:val="22"/>
              </w:rPr>
              <w:t>141</w:t>
            </w:r>
          </w:p>
        </w:tc>
        <w:tc>
          <w:tcPr>
            <w:tcW w:w="1313" w:type="dxa"/>
            <w:vAlign w:val="bottom"/>
          </w:tcPr>
          <w:p w:rsidR="00000000" w:rsidRDefault="00000000">
            <w:pPr>
              <w:tabs>
                <w:tab w:val="decimal" w:pos="692"/>
              </w:tabs>
              <w:jc w:val="both"/>
              <w:rPr>
                <w:sz w:val="22"/>
              </w:rPr>
            </w:pPr>
            <w:r>
              <w:rPr>
                <w:sz w:val="22"/>
              </w:rPr>
              <w:t>95,7</w:t>
            </w:r>
          </w:p>
        </w:tc>
      </w:tr>
      <w:tr w:rsidR="00000000">
        <w:trPr>
          <w:jc w:val="center"/>
        </w:trPr>
        <w:tc>
          <w:tcPr>
            <w:tcW w:w="2595" w:type="dxa"/>
            <w:vAlign w:val="center"/>
          </w:tcPr>
          <w:p w:rsidR="00000000" w:rsidRDefault="00000000">
            <w:pPr>
              <w:rPr>
                <w:sz w:val="22"/>
              </w:rPr>
            </w:pPr>
            <w:r>
              <w:rPr>
                <w:sz w:val="22"/>
              </w:rPr>
              <w:t>Portimão</w:t>
            </w:r>
          </w:p>
        </w:tc>
        <w:tc>
          <w:tcPr>
            <w:tcW w:w="1080" w:type="dxa"/>
            <w:vAlign w:val="bottom"/>
          </w:tcPr>
          <w:p w:rsidR="00000000" w:rsidRDefault="00000000">
            <w:pPr>
              <w:tabs>
                <w:tab w:val="decimal" w:pos="692"/>
              </w:tabs>
              <w:jc w:val="both"/>
              <w:rPr>
                <w:sz w:val="22"/>
              </w:rPr>
            </w:pPr>
            <w:r>
              <w:rPr>
                <w:sz w:val="22"/>
              </w:rPr>
              <w:t>84</w:t>
            </w:r>
          </w:p>
        </w:tc>
        <w:tc>
          <w:tcPr>
            <w:tcW w:w="1082" w:type="dxa"/>
            <w:vAlign w:val="bottom"/>
          </w:tcPr>
          <w:p w:rsidR="00000000" w:rsidRDefault="00000000">
            <w:pPr>
              <w:tabs>
                <w:tab w:val="decimal" w:pos="692"/>
              </w:tabs>
              <w:jc w:val="both"/>
              <w:rPr>
                <w:sz w:val="22"/>
              </w:rPr>
            </w:pPr>
            <w:r>
              <w:rPr>
                <w:sz w:val="22"/>
              </w:rPr>
              <w:t>28</w:t>
            </w:r>
          </w:p>
        </w:tc>
        <w:tc>
          <w:tcPr>
            <w:tcW w:w="1091" w:type="dxa"/>
            <w:vAlign w:val="bottom"/>
          </w:tcPr>
          <w:p w:rsidR="00000000" w:rsidRDefault="00000000">
            <w:pPr>
              <w:tabs>
                <w:tab w:val="decimal" w:pos="692"/>
              </w:tabs>
              <w:jc w:val="both"/>
              <w:rPr>
                <w:sz w:val="22"/>
              </w:rPr>
            </w:pPr>
            <w:r>
              <w:rPr>
                <w:sz w:val="22"/>
              </w:rPr>
              <w:t>300,0</w:t>
            </w:r>
          </w:p>
        </w:tc>
        <w:tc>
          <w:tcPr>
            <w:tcW w:w="1078" w:type="dxa"/>
            <w:vAlign w:val="bottom"/>
          </w:tcPr>
          <w:p w:rsidR="00000000" w:rsidRDefault="00000000">
            <w:pPr>
              <w:tabs>
                <w:tab w:val="decimal" w:pos="692"/>
              </w:tabs>
              <w:jc w:val="both"/>
              <w:rPr>
                <w:sz w:val="22"/>
              </w:rPr>
            </w:pPr>
            <w:r>
              <w:rPr>
                <w:sz w:val="22"/>
              </w:rPr>
              <w:t>71</w:t>
            </w:r>
          </w:p>
        </w:tc>
        <w:tc>
          <w:tcPr>
            <w:tcW w:w="1084" w:type="dxa"/>
            <w:vAlign w:val="bottom"/>
          </w:tcPr>
          <w:p w:rsidR="00000000" w:rsidRDefault="00000000">
            <w:pPr>
              <w:tabs>
                <w:tab w:val="decimal" w:pos="692"/>
              </w:tabs>
              <w:jc w:val="both"/>
              <w:rPr>
                <w:sz w:val="22"/>
              </w:rPr>
            </w:pPr>
            <w:r>
              <w:rPr>
                <w:sz w:val="22"/>
              </w:rPr>
              <w:t>28</w:t>
            </w:r>
          </w:p>
        </w:tc>
        <w:tc>
          <w:tcPr>
            <w:tcW w:w="1313" w:type="dxa"/>
            <w:vAlign w:val="bottom"/>
          </w:tcPr>
          <w:p w:rsidR="00000000" w:rsidRDefault="00000000">
            <w:pPr>
              <w:tabs>
                <w:tab w:val="decimal" w:pos="692"/>
              </w:tabs>
              <w:jc w:val="both"/>
              <w:rPr>
                <w:sz w:val="22"/>
              </w:rPr>
            </w:pPr>
            <w:r>
              <w:rPr>
                <w:sz w:val="22"/>
              </w:rPr>
              <w:t>253,6</w:t>
            </w:r>
          </w:p>
        </w:tc>
      </w:tr>
      <w:tr w:rsidR="00000000">
        <w:trPr>
          <w:jc w:val="center"/>
        </w:trPr>
        <w:tc>
          <w:tcPr>
            <w:tcW w:w="2595" w:type="dxa"/>
            <w:vAlign w:val="center"/>
          </w:tcPr>
          <w:p w:rsidR="00000000" w:rsidRDefault="00000000">
            <w:pPr>
              <w:rPr>
                <w:sz w:val="22"/>
              </w:rPr>
            </w:pPr>
            <w:r>
              <w:rPr>
                <w:sz w:val="22"/>
              </w:rPr>
              <w:t>Prisión de apoyo de São Pedro do Sul</w:t>
            </w:r>
          </w:p>
        </w:tc>
        <w:tc>
          <w:tcPr>
            <w:tcW w:w="1080" w:type="dxa"/>
            <w:vAlign w:val="bottom"/>
          </w:tcPr>
          <w:p w:rsidR="00000000" w:rsidRDefault="00000000">
            <w:pPr>
              <w:tabs>
                <w:tab w:val="decimal" w:pos="692"/>
              </w:tabs>
              <w:jc w:val="both"/>
              <w:rPr>
                <w:sz w:val="22"/>
              </w:rPr>
            </w:pPr>
            <w:r>
              <w:rPr>
                <w:sz w:val="22"/>
              </w:rPr>
              <w:t>50</w:t>
            </w:r>
          </w:p>
        </w:tc>
        <w:tc>
          <w:tcPr>
            <w:tcW w:w="1082" w:type="dxa"/>
            <w:vAlign w:val="bottom"/>
          </w:tcPr>
          <w:p w:rsidR="00000000" w:rsidRDefault="00000000">
            <w:pPr>
              <w:tabs>
                <w:tab w:val="decimal" w:pos="692"/>
              </w:tabs>
              <w:jc w:val="both"/>
              <w:rPr>
                <w:sz w:val="22"/>
              </w:rPr>
            </w:pPr>
            <w:r>
              <w:rPr>
                <w:sz w:val="22"/>
              </w:rPr>
              <w:t>29</w:t>
            </w:r>
          </w:p>
        </w:tc>
        <w:tc>
          <w:tcPr>
            <w:tcW w:w="1091" w:type="dxa"/>
            <w:vAlign w:val="bottom"/>
          </w:tcPr>
          <w:p w:rsidR="00000000" w:rsidRDefault="00000000">
            <w:pPr>
              <w:tabs>
                <w:tab w:val="decimal" w:pos="692"/>
              </w:tabs>
              <w:jc w:val="both"/>
              <w:rPr>
                <w:sz w:val="22"/>
              </w:rPr>
            </w:pPr>
            <w:r>
              <w:rPr>
                <w:sz w:val="22"/>
              </w:rPr>
              <w:t>172,4</w:t>
            </w:r>
          </w:p>
        </w:tc>
        <w:tc>
          <w:tcPr>
            <w:tcW w:w="1078" w:type="dxa"/>
            <w:vAlign w:val="bottom"/>
          </w:tcPr>
          <w:p w:rsidR="00000000" w:rsidRDefault="00000000">
            <w:pPr>
              <w:tabs>
                <w:tab w:val="decimal" w:pos="692"/>
              </w:tabs>
              <w:jc w:val="both"/>
              <w:rPr>
                <w:sz w:val="22"/>
              </w:rPr>
            </w:pPr>
            <w:r>
              <w:rPr>
                <w:sz w:val="22"/>
              </w:rPr>
              <w:t>54</w:t>
            </w:r>
          </w:p>
        </w:tc>
        <w:tc>
          <w:tcPr>
            <w:tcW w:w="1084" w:type="dxa"/>
            <w:vAlign w:val="bottom"/>
          </w:tcPr>
          <w:p w:rsidR="00000000" w:rsidRDefault="00000000">
            <w:pPr>
              <w:tabs>
                <w:tab w:val="decimal" w:pos="692"/>
              </w:tabs>
              <w:jc w:val="both"/>
              <w:rPr>
                <w:sz w:val="22"/>
              </w:rPr>
            </w:pPr>
            <w:r>
              <w:rPr>
                <w:sz w:val="22"/>
              </w:rPr>
              <w:t>29</w:t>
            </w:r>
          </w:p>
        </w:tc>
        <w:tc>
          <w:tcPr>
            <w:tcW w:w="1313" w:type="dxa"/>
            <w:vAlign w:val="bottom"/>
          </w:tcPr>
          <w:p w:rsidR="00000000" w:rsidRDefault="00000000">
            <w:pPr>
              <w:tabs>
                <w:tab w:val="decimal" w:pos="692"/>
              </w:tabs>
              <w:jc w:val="both"/>
              <w:rPr>
                <w:sz w:val="22"/>
              </w:rPr>
            </w:pPr>
            <w:r>
              <w:rPr>
                <w:sz w:val="22"/>
              </w:rPr>
              <w:t>186,2</w:t>
            </w:r>
          </w:p>
        </w:tc>
      </w:tr>
      <w:tr w:rsidR="00000000">
        <w:trPr>
          <w:jc w:val="center"/>
        </w:trPr>
        <w:tc>
          <w:tcPr>
            <w:tcW w:w="2595" w:type="dxa"/>
            <w:vAlign w:val="center"/>
          </w:tcPr>
          <w:p w:rsidR="00000000" w:rsidRDefault="00000000">
            <w:pPr>
              <w:rPr>
                <w:sz w:val="22"/>
              </w:rPr>
            </w:pPr>
            <w:r>
              <w:rPr>
                <w:sz w:val="22"/>
              </w:rPr>
              <w:t>Setúbal</w:t>
            </w:r>
          </w:p>
        </w:tc>
        <w:tc>
          <w:tcPr>
            <w:tcW w:w="1080" w:type="dxa"/>
            <w:vAlign w:val="bottom"/>
          </w:tcPr>
          <w:p w:rsidR="00000000" w:rsidRDefault="00000000">
            <w:pPr>
              <w:tabs>
                <w:tab w:val="decimal" w:pos="692"/>
              </w:tabs>
              <w:jc w:val="both"/>
              <w:rPr>
                <w:sz w:val="22"/>
              </w:rPr>
            </w:pPr>
            <w:r>
              <w:rPr>
                <w:sz w:val="22"/>
              </w:rPr>
              <w:t>286</w:t>
            </w:r>
          </w:p>
        </w:tc>
        <w:tc>
          <w:tcPr>
            <w:tcW w:w="1082" w:type="dxa"/>
            <w:vAlign w:val="bottom"/>
          </w:tcPr>
          <w:p w:rsidR="00000000" w:rsidRDefault="00000000">
            <w:pPr>
              <w:tabs>
                <w:tab w:val="decimal" w:pos="692"/>
              </w:tabs>
              <w:jc w:val="both"/>
              <w:rPr>
                <w:sz w:val="22"/>
              </w:rPr>
            </w:pPr>
            <w:r>
              <w:rPr>
                <w:sz w:val="22"/>
              </w:rPr>
              <w:t>131</w:t>
            </w:r>
          </w:p>
        </w:tc>
        <w:tc>
          <w:tcPr>
            <w:tcW w:w="1091" w:type="dxa"/>
            <w:vAlign w:val="bottom"/>
          </w:tcPr>
          <w:p w:rsidR="00000000" w:rsidRDefault="00000000">
            <w:pPr>
              <w:tabs>
                <w:tab w:val="decimal" w:pos="692"/>
              </w:tabs>
              <w:jc w:val="both"/>
              <w:rPr>
                <w:sz w:val="22"/>
              </w:rPr>
            </w:pPr>
            <w:r>
              <w:rPr>
                <w:sz w:val="22"/>
              </w:rPr>
              <w:t>218,3</w:t>
            </w:r>
          </w:p>
        </w:tc>
        <w:tc>
          <w:tcPr>
            <w:tcW w:w="1078" w:type="dxa"/>
            <w:vAlign w:val="bottom"/>
          </w:tcPr>
          <w:p w:rsidR="00000000" w:rsidRDefault="00000000">
            <w:pPr>
              <w:tabs>
                <w:tab w:val="decimal" w:pos="692"/>
              </w:tabs>
              <w:jc w:val="both"/>
              <w:rPr>
                <w:sz w:val="22"/>
              </w:rPr>
            </w:pPr>
            <w:r>
              <w:rPr>
                <w:sz w:val="22"/>
              </w:rPr>
              <w:t>293</w:t>
            </w:r>
          </w:p>
        </w:tc>
        <w:tc>
          <w:tcPr>
            <w:tcW w:w="1084" w:type="dxa"/>
            <w:vAlign w:val="bottom"/>
          </w:tcPr>
          <w:p w:rsidR="00000000" w:rsidRDefault="00000000">
            <w:pPr>
              <w:tabs>
                <w:tab w:val="decimal" w:pos="692"/>
              </w:tabs>
              <w:jc w:val="both"/>
              <w:rPr>
                <w:sz w:val="22"/>
              </w:rPr>
            </w:pPr>
            <w:r>
              <w:rPr>
                <w:sz w:val="22"/>
              </w:rPr>
              <w:t>131</w:t>
            </w:r>
          </w:p>
        </w:tc>
        <w:tc>
          <w:tcPr>
            <w:tcW w:w="1313" w:type="dxa"/>
            <w:vAlign w:val="bottom"/>
          </w:tcPr>
          <w:p w:rsidR="00000000" w:rsidRDefault="00000000">
            <w:pPr>
              <w:tabs>
                <w:tab w:val="decimal" w:pos="692"/>
              </w:tabs>
              <w:jc w:val="both"/>
              <w:rPr>
                <w:sz w:val="22"/>
              </w:rPr>
            </w:pPr>
            <w:r>
              <w:rPr>
                <w:sz w:val="22"/>
              </w:rPr>
              <w:t>223,7</w:t>
            </w:r>
          </w:p>
        </w:tc>
      </w:tr>
      <w:tr w:rsidR="00000000">
        <w:trPr>
          <w:jc w:val="center"/>
        </w:trPr>
        <w:tc>
          <w:tcPr>
            <w:tcW w:w="2595" w:type="dxa"/>
            <w:vAlign w:val="center"/>
          </w:tcPr>
          <w:p w:rsidR="00000000" w:rsidRDefault="00000000">
            <w:pPr>
              <w:rPr>
                <w:sz w:val="22"/>
              </w:rPr>
            </w:pPr>
            <w:r>
              <w:rPr>
                <w:sz w:val="22"/>
              </w:rPr>
              <w:t>Silves</w:t>
            </w:r>
          </w:p>
        </w:tc>
        <w:tc>
          <w:tcPr>
            <w:tcW w:w="1080" w:type="dxa"/>
            <w:vAlign w:val="bottom"/>
          </w:tcPr>
          <w:p w:rsidR="00000000" w:rsidRDefault="00000000">
            <w:pPr>
              <w:tabs>
                <w:tab w:val="decimal" w:pos="692"/>
              </w:tabs>
              <w:jc w:val="both"/>
              <w:rPr>
                <w:sz w:val="22"/>
              </w:rPr>
            </w:pPr>
            <w:r>
              <w:rPr>
                <w:sz w:val="22"/>
              </w:rPr>
              <w:t>85</w:t>
            </w:r>
          </w:p>
        </w:tc>
        <w:tc>
          <w:tcPr>
            <w:tcW w:w="1082" w:type="dxa"/>
            <w:vAlign w:val="bottom"/>
          </w:tcPr>
          <w:p w:rsidR="00000000" w:rsidRDefault="00000000">
            <w:pPr>
              <w:tabs>
                <w:tab w:val="decimal" w:pos="692"/>
              </w:tabs>
              <w:jc w:val="both"/>
              <w:rPr>
                <w:sz w:val="22"/>
              </w:rPr>
            </w:pPr>
            <w:r>
              <w:rPr>
                <w:sz w:val="22"/>
              </w:rPr>
              <w:t>58</w:t>
            </w:r>
          </w:p>
        </w:tc>
        <w:tc>
          <w:tcPr>
            <w:tcW w:w="1091" w:type="dxa"/>
            <w:vAlign w:val="bottom"/>
          </w:tcPr>
          <w:p w:rsidR="00000000" w:rsidRDefault="00000000">
            <w:pPr>
              <w:tabs>
                <w:tab w:val="decimal" w:pos="692"/>
              </w:tabs>
              <w:jc w:val="both"/>
              <w:rPr>
                <w:sz w:val="22"/>
              </w:rPr>
            </w:pPr>
            <w:r>
              <w:rPr>
                <w:sz w:val="22"/>
              </w:rPr>
              <w:t>146,6</w:t>
            </w:r>
          </w:p>
        </w:tc>
        <w:tc>
          <w:tcPr>
            <w:tcW w:w="1078" w:type="dxa"/>
            <w:vAlign w:val="bottom"/>
          </w:tcPr>
          <w:p w:rsidR="00000000" w:rsidRDefault="00000000">
            <w:pPr>
              <w:tabs>
                <w:tab w:val="decimal" w:pos="692"/>
              </w:tabs>
              <w:jc w:val="both"/>
              <w:rPr>
                <w:sz w:val="22"/>
              </w:rPr>
            </w:pPr>
            <w:r>
              <w:rPr>
                <w:sz w:val="22"/>
              </w:rPr>
              <w:t>76</w:t>
            </w:r>
          </w:p>
        </w:tc>
        <w:tc>
          <w:tcPr>
            <w:tcW w:w="1084" w:type="dxa"/>
            <w:vAlign w:val="bottom"/>
          </w:tcPr>
          <w:p w:rsidR="00000000" w:rsidRDefault="00000000">
            <w:pPr>
              <w:tabs>
                <w:tab w:val="decimal" w:pos="692"/>
              </w:tabs>
              <w:jc w:val="both"/>
              <w:rPr>
                <w:sz w:val="22"/>
              </w:rPr>
            </w:pPr>
            <w:r>
              <w:rPr>
                <w:sz w:val="22"/>
              </w:rPr>
              <w:t>58</w:t>
            </w:r>
          </w:p>
        </w:tc>
        <w:tc>
          <w:tcPr>
            <w:tcW w:w="1313" w:type="dxa"/>
            <w:vAlign w:val="bottom"/>
          </w:tcPr>
          <w:p w:rsidR="00000000" w:rsidRDefault="00000000">
            <w:pPr>
              <w:tabs>
                <w:tab w:val="decimal" w:pos="692"/>
              </w:tabs>
              <w:jc w:val="both"/>
              <w:rPr>
                <w:sz w:val="22"/>
              </w:rPr>
            </w:pPr>
            <w:r>
              <w:rPr>
                <w:sz w:val="22"/>
              </w:rPr>
              <w:t>131,0</w:t>
            </w:r>
          </w:p>
        </w:tc>
      </w:tr>
      <w:tr w:rsidR="00000000">
        <w:trPr>
          <w:jc w:val="center"/>
        </w:trPr>
        <w:tc>
          <w:tcPr>
            <w:tcW w:w="2595" w:type="dxa"/>
            <w:vAlign w:val="center"/>
          </w:tcPr>
          <w:p w:rsidR="00000000" w:rsidRDefault="00000000">
            <w:pPr>
              <w:rPr>
                <w:sz w:val="22"/>
              </w:rPr>
            </w:pPr>
            <w:r>
              <w:rPr>
                <w:sz w:val="22"/>
              </w:rPr>
              <w:t>Torres Novas</w:t>
            </w:r>
          </w:p>
        </w:tc>
        <w:tc>
          <w:tcPr>
            <w:tcW w:w="1080" w:type="dxa"/>
            <w:vAlign w:val="bottom"/>
          </w:tcPr>
          <w:p w:rsidR="00000000" w:rsidRDefault="00000000">
            <w:pPr>
              <w:tabs>
                <w:tab w:val="decimal" w:pos="692"/>
              </w:tabs>
              <w:jc w:val="both"/>
              <w:rPr>
                <w:sz w:val="22"/>
              </w:rPr>
            </w:pPr>
            <w:r>
              <w:rPr>
                <w:sz w:val="22"/>
              </w:rPr>
              <w:t>54</w:t>
            </w:r>
          </w:p>
        </w:tc>
        <w:tc>
          <w:tcPr>
            <w:tcW w:w="1082" w:type="dxa"/>
            <w:vAlign w:val="bottom"/>
          </w:tcPr>
          <w:p w:rsidR="00000000" w:rsidRDefault="00000000">
            <w:pPr>
              <w:tabs>
                <w:tab w:val="decimal" w:pos="692"/>
              </w:tabs>
              <w:jc w:val="both"/>
              <w:rPr>
                <w:sz w:val="22"/>
              </w:rPr>
            </w:pPr>
            <w:r>
              <w:rPr>
                <w:sz w:val="22"/>
              </w:rPr>
              <w:t>38</w:t>
            </w:r>
          </w:p>
        </w:tc>
        <w:tc>
          <w:tcPr>
            <w:tcW w:w="1091" w:type="dxa"/>
            <w:vAlign w:val="bottom"/>
          </w:tcPr>
          <w:p w:rsidR="00000000" w:rsidRDefault="00000000">
            <w:pPr>
              <w:tabs>
                <w:tab w:val="decimal" w:pos="692"/>
              </w:tabs>
              <w:jc w:val="both"/>
              <w:rPr>
                <w:sz w:val="22"/>
              </w:rPr>
            </w:pPr>
            <w:r>
              <w:rPr>
                <w:sz w:val="22"/>
              </w:rPr>
              <w:t>142,1</w:t>
            </w:r>
          </w:p>
        </w:tc>
        <w:tc>
          <w:tcPr>
            <w:tcW w:w="1078" w:type="dxa"/>
            <w:vAlign w:val="bottom"/>
          </w:tcPr>
          <w:p w:rsidR="00000000" w:rsidRDefault="00000000">
            <w:pPr>
              <w:tabs>
                <w:tab w:val="decimal" w:pos="692"/>
              </w:tabs>
              <w:jc w:val="both"/>
              <w:rPr>
                <w:sz w:val="22"/>
              </w:rPr>
            </w:pPr>
            <w:r>
              <w:rPr>
                <w:sz w:val="22"/>
              </w:rPr>
              <w:t>73</w:t>
            </w:r>
          </w:p>
        </w:tc>
        <w:tc>
          <w:tcPr>
            <w:tcW w:w="1084" w:type="dxa"/>
            <w:vAlign w:val="bottom"/>
          </w:tcPr>
          <w:p w:rsidR="00000000" w:rsidRDefault="00000000">
            <w:pPr>
              <w:tabs>
                <w:tab w:val="decimal" w:pos="692"/>
              </w:tabs>
              <w:jc w:val="both"/>
              <w:rPr>
                <w:sz w:val="22"/>
              </w:rPr>
            </w:pPr>
            <w:r>
              <w:rPr>
                <w:sz w:val="22"/>
              </w:rPr>
              <w:t>38</w:t>
            </w:r>
          </w:p>
        </w:tc>
        <w:tc>
          <w:tcPr>
            <w:tcW w:w="1313" w:type="dxa"/>
            <w:vAlign w:val="bottom"/>
          </w:tcPr>
          <w:p w:rsidR="00000000" w:rsidRDefault="00000000">
            <w:pPr>
              <w:tabs>
                <w:tab w:val="decimal" w:pos="692"/>
              </w:tabs>
              <w:jc w:val="both"/>
              <w:rPr>
                <w:sz w:val="22"/>
              </w:rPr>
            </w:pPr>
            <w:r>
              <w:rPr>
                <w:sz w:val="22"/>
              </w:rPr>
              <w:t>192,1</w:t>
            </w:r>
          </w:p>
        </w:tc>
      </w:tr>
      <w:tr w:rsidR="00000000">
        <w:trPr>
          <w:jc w:val="center"/>
        </w:trPr>
        <w:tc>
          <w:tcPr>
            <w:tcW w:w="2595" w:type="dxa"/>
            <w:vAlign w:val="center"/>
          </w:tcPr>
          <w:p w:rsidR="00000000" w:rsidRDefault="00000000">
            <w:pPr>
              <w:rPr>
                <w:sz w:val="22"/>
              </w:rPr>
            </w:pPr>
            <w:r>
              <w:rPr>
                <w:sz w:val="22"/>
              </w:rPr>
              <w:t>Viana do Castelo</w:t>
            </w:r>
          </w:p>
        </w:tc>
        <w:tc>
          <w:tcPr>
            <w:tcW w:w="1080" w:type="dxa"/>
            <w:vAlign w:val="bottom"/>
          </w:tcPr>
          <w:p w:rsidR="00000000" w:rsidRDefault="00000000">
            <w:pPr>
              <w:tabs>
                <w:tab w:val="decimal" w:pos="692"/>
              </w:tabs>
              <w:jc w:val="both"/>
              <w:rPr>
                <w:sz w:val="22"/>
              </w:rPr>
            </w:pPr>
            <w:r>
              <w:rPr>
                <w:sz w:val="22"/>
              </w:rPr>
              <w:t>95</w:t>
            </w:r>
          </w:p>
        </w:tc>
        <w:tc>
          <w:tcPr>
            <w:tcW w:w="1082" w:type="dxa"/>
            <w:vAlign w:val="bottom"/>
          </w:tcPr>
          <w:p w:rsidR="00000000" w:rsidRDefault="00000000">
            <w:pPr>
              <w:tabs>
                <w:tab w:val="decimal" w:pos="692"/>
              </w:tabs>
              <w:jc w:val="both"/>
              <w:rPr>
                <w:sz w:val="22"/>
              </w:rPr>
            </w:pPr>
            <w:r>
              <w:rPr>
                <w:sz w:val="22"/>
              </w:rPr>
              <w:t>44</w:t>
            </w:r>
          </w:p>
        </w:tc>
        <w:tc>
          <w:tcPr>
            <w:tcW w:w="1091" w:type="dxa"/>
            <w:vAlign w:val="bottom"/>
          </w:tcPr>
          <w:p w:rsidR="00000000" w:rsidRDefault="00000000">
            <w:pPr>
              <w:tabs>
                <w:tab w:val="decimal" w:pos="692"/>
              </w:tabs>
              <w:jc w:val="both"/>
              <w:rPr>
                <w:sz w:val="22"/>
              </w:rPr>
            </w:pPr>
            <w:r>
              <w:rPr>
                <w:sz w:val="22"/>
              </w:rPr>
              <w:t>215,9</w:t>
            </w:r>
          </w:p>
        </w:tc>
        <w:tc>
          <w:tcPr>
            <w:tcW w:w="1078" w:type="dxa"/>
            <w:vAlign w:val="bottom"/>
          </w:tcPr>
          <w:p w:rsidR="00000000" w:rsidRDefault="00000000">
            <w:pPr>
              <w:tabs>
                <w:tab w:val="decimal" w:pos="692"/>
              </w:tabs>
              <w:jc w:val="both"/>
              <w:rPr>
                <w:sz w:val="22"/>
              </w:rPr>
            </w:pPr>
            <w:r>
              <w:rPr>
                <w:sz w:val="22"/>
              </w:rPr>
              <w:t>67</w:t>
            </w:r>
          </w:p>
        </w:tc>
        <w:tc>
          <w:tcPr>
            <w:tcW w:w="1084" w:type="dxa"/>
            <w:vAlign w:val="bottom"/>
          </w:tcPr>
          <w:p w:rsidR="00000000" w:rsidRDefault="00000000">
            <w:pPr>
              <w:tabs>
                <w:tab w:val="decimal" w:pos="692"/>
              </w:tabs>
              <w:jc w:val="both"/>
              <w:rPr>
                <w:sz w:val="22"/>
              </w:rPr>
            </w:pPr>
            <w:r>
              <w:rPr>
                <w:sz w:val="22"/>
              </w:rPr>
              <w:t>44</w:t>
            </w:r>
          </w:p>
        </w:tc>
        <w:tc>
          <w:tcPr>
            <w:tcW w:w="1313" w:type="dxa"/>
            <w:vAlign w:val="bottom"/>
          </w:tcPr>
          <w:p w:rsidR="00000000" w:rsidRDefault="00000000">
            <w:pPr>
              <w:tabs>
                <w:tab w:val="decimal" w:pos="692"/>
              </w:tabs>
              <w:jc w:val="both"/>
              <w:rPr>
                <w:sz w:val="22"/>
              </w:rPr>
            </w:pPr>
            <w:r>
              <w:rPr>
                <w:sz w:val="22"/>
              </w:rPr>
              <w:t>152,3</w:t>
            </w:r>
          </w:p>
        </w:tc>
      </w:tr>
      <w:tr w:rsidR="00000000">
        <w:trPr>
          <w:jc w:val="center"/>
        </w:trPr>
        <w:tc>
          <w:tcPr>
            <w:tcW w:w="2595" w:type="dxa"/>
            <w:vAlign w:val="center"/>
          </w:tcPr>
          <w:p w:rsidR="00000000" w:rsidRDefault="00000000">
            <w:pPr>
              <w:rPr>
                <w:sz w:val="22"/>
              </w:rPr>
            </w:pPr>
            <w:r>
              <w:rPr>
                <w:sz w:val="22"/>
              </w:rPr>
              <w:t>Vila Real</w:t>
            </w:r>
          </w:p>
        </w:tc>
        <w:tc>
          <w:tcPr>
            <w:tcW w:w="1080" w:type="dxa"/>
            <w:vAlign w:val="bottom"/>
          </w:tcPr>
          <w:p w:rsidR="00000000" w:rsidRDefault="00000000">
            <w:pPr>
              <w:tabs>
                <w:tab w:val="decimal" w:pos="692"/>
              </w:tabs>
              <w:jc w:val="both"/>
              <w:rPr>
                <w:sz w:val="22"/>
              </w:rPr>
            </w:pPr>
            <w:r>
              <w:rPr>
                <w:sz w:val="22"/>
              </w:rPr>
              <w:t>98</w:t>
            </w:r>
          </w:p>
        </w:tc>
        <w:tc>
          <w:tcPr>
            <w:tcW w:w="1082" w:type="dxa"/>
            <w:vAlign w:val="bottom"/>
          </w:tcPr>
          <w:p w:rsidR="00000000" w:rsidRDefault="00000000">
            <w:pPr>
              <w:tabs>
                <w:tab w:val="decimal" w:pos="692"/>
              </w:tabs>
              <w:jc w:val="both"/>
              <w:rPr>
                <w:sz w:val="22"/>
              </w:rPr>
            </w:pPr>
            <w:r>
              <w:rPr>
                <w:sz w:val="22"/>
              </w:rPr>
              <w:t>64</w:t>
            </w:r>
          </w:p>
        </w:tc>
        <w:tc>
          <w:tcPr>
            <w:tcW w:w="1091" w:type="dxa"/>
            <w:vAlign w:val="bottom"/>
          </w:tcPr>
          <w:p w:rsidR="00000000" w:rsidRDefault="00000000">
            <w:pPr>
              <w:tabs>
                <w:tab w:val="decimal" w:pos="692"/>
              </w:tabs>
              <w:jc w:val="both"/>
              <w:rPr>
                <w:sz w:val="22"/>
              </w:rPr>
            </w:pPr>
            <w:r>
              <w:rPr>
                <w:sz w:val="22"/>
              </w:rPr>
              <w:t>153,1</w:t>
            </w:r>
          </w:p>
        </w:tc>
        <w:tc>
          <w:tcPr>
            <w:tcW w:w="1078" w:type="dxa"/>
            <w:vAlign w:val="bottom"/>
          </w:tcPr>
          <w:p w:rsidR="00000000" w:rsidRDefault="00000000">
            <w:pPr>
              <w:tabs>
                <w:tab w:val="decimal" w:pos="692"/>
              </w:tabs>
              <w:jc w:val="both"/>
              <w:rPr>
                <w:sz w:val="22"/>
              </w:rPr>
            </w:pPr>
            <w:r>
              <w:rPr>
                <w:sz w:val="22"/>
              </w:rPr>
              <w:t>91</w:t>
            </w:r>
          </w:p>
        </w:tc>
        <w:tc>
          <w:tcPr>
            <w:tcW w:w="1084" w:type="dxa"/>
            <w:vAlign w:val="bottom"/>
          </w:tcPr>
          <w:p w:rsidR="00000000" w:rsidRDefault="00000000">
            <w:pPr>
              <w:tabs>
                <w:tab w:val="decimal" w:pos="692"/>
              </w:tabs>
              <w:jc w:val="both"/>
              <w:rPr>
                <w:sz w:val="22"/>
              </w:rPr>
            </w:pPr>
            <w:r>
              <w:rPr>
                <w:sz w:val="22"/>
              </w:rPr>
              <w:t>68</w:t>
            </w:r>
          </w:p>
        </w:tc>
        <w:tc>
          <w:tcPr>
            <w:tcW w:w="1313" w:type="dxa"/>
            <w:vAlign w:val="bottom"/>
          </w:tcPr>
          <w:p w:rsidR="00000000" w:rsidRDefault="00000000">
            <w:pPr>
              <w:tabs>
                <w:tab w:val="decimal" w:pos="692"/>
              </w:tabs>
              <w:jc w:val="both"/>
              <w:rPr>
                <w:sz w:val="22"/>
              </w:rPr>
            </w:pPr>
            <w:r>
              <w:rPr>
                <w:sz w:val="22"/>
              </w:rPr>
              <w:t>133,8</w:t>
            </w:r>
          </w:p>
        </w:tc>
      </w:tr>
      <w:tr w:rsidR="00000000">
        <w:trPr>
          <w:jc w:val="center"/>
        </w:trPr>
        <w:tc>
          <w:tcPr>
            <w:tcW w:w="2595" w:type="dxa"/>
            <w:vAlign w:val="center"/>
          </w:tcPr>
          <w:p w:rsidR="00000000" w:rsidRDefault="00000000">
            <w:pPr>
              <w:rPr>
                <w:sz w:val="22"/>
              </w:rPr>
            </w:pPr>
            <w:r>
              <w:rPr>
                <w:sz w:val="22"/>
              </w:rPr>
              <w:t>Viseu</w:t>
            </w:r>
          </w:p>
        </w:tc>
        <w:tc>
          <w:tcPr>
            <w:tcW w:w="1080" w:type="dxa"/>
            <w:vAlign w:val="bottom"/>
          </w:tcPr>
          <w:p w:rsidR="00000000" w:rsidRDefault="00000000">
            <w:pPr>
              <w:tabs>
                <w:tab w:val="decimal" w:pos="692"/>
              </w:tabs>
              <w:jc w:val="both"/>
              <w:rPr>
                <w:sz w:val="22"/>
              </w:rPr>
            </w:pPr>
            <w:r>
              <w:rPr>
                <w:sz w:val="22"/>
              </w:rPr>
              <w:t>39</w:t>
            </w:r>
          </w:p>
        </w:tc>
        <w:tc>
          <w:tcPr>
            <w:tcW w:w="1082" w:type="dxa"/>
            <w:vAlign w:val="bottom"/>
          </w:tcPr>
          <w:p w:rsidR="00000000" w:rsidRDefault="00000000">
            <w:pPr>
              <w:tabs>
                <w:tab w:val="decimal" w:pos="692"/>
              </w:tabs>
              <w:jc w:val="both"/>
              <w:rPr>
                <w:sz w:val="22"/>
              </w:rPr>
            </w:pPr>
            <w:r>
              <w:rPr>
                <w:sz w:val="22"/>
              </w:rPr>
              <w:t>46</w:t>
            </w:r>
          </w:p>
        </w:tc>
        <w:tc>
          <w:tcPr>
            <w:tcW w:w="1091" w:type="dxa"/>
            <w:vAlign w:val="bottom"/>
          </w:tcPr>
          <w:p w:rsidR="00000000" w:rsidRDefault="00000000">
            <w:pPr>
              <w:tabs>
                <w:tab w:val="decimal" w:pos="692"/>
              </w:tabs>
              <w:jc w:val="both"/>
              <w:rPr>
                <w:sz w:val="22"/>
              </w:rPr>
            </w:pPr>
            <w:r>
              <w:rPr>
                <w:sz w:val="22"/>
              </w:rPr>
              <w:t>84,8</w:t>
            </w:r>
          </w:p>
        </w:tc>
        <w:tc>
          <w:tcPr>
            <w:tcW w:w="1078" w:type="dxa"/>
            <w:vAlign w:val="bottom"/>
          </w:tcPr>
          <w:p w:rsidR="00000000" w:rsidRDefault="00000000">
            <w:pPr>
              <w:tabs>
                <w:tab w:val="decimal" w:pos="692"/>
              </w:tabs>
              <w:jc w:val="both"/>
              <w:rPr>
                <w:sz w:val="22"/>
              </w:rPr>
            </w:pPr>
            <w:r>
              <w:rPr>
                <w:sz w:val="22"/>
              </w:rPr>
              <w:t>47</w:t>
            </w:r>
          </w:p>
        </w:tc>
        <w:tc>
          <w:tcPr>
            <w:tcW w:w="1084" w:type="dxa"/>
            <w:vAlign w:val="bottom"/>
          </w:tcPr>
          <w:p w:rsidR="00000000" w:rsidRDefault="00000000">
            <w:pPr>
              <w:tabs>
                <w:tab w:val="decimal" w:pos="692"/>
              </w:tabs>
              <w:jc w:val="both"/>
              <w:rPr>
                <w:sz w:val="22"/>
              </w:rPr>
            </w:pPr>
            <w:r>
              <w:rPr>
                <w:sz w:val="22"/>
              </w:rPr>
              <w:t>46</w:t>
            </w:r>
          </w:p>
        </w:tc>
        <w:tc>
          <w:tcPr>
            <w:tcW w:w="1313" w:type="dxa"/>
            <w:vAlign w:val="bottom"/>
          </w:tcPr>
          <w:p w:rsidR="00000000" w:rsidRDefault="00000000">
            <w:pPr>
              <w:tabs>
                <w:tab w:val="decimal" w:pos="692"/>
              </w:tabs>
              <w:jc w:val="both"/>
              <w:rPr>
                <w:sz w:val="22"/>
              </w:rPr>
            </w:pPr>
            <w:r>
              <w:rPr>
                <w:sz w:val="22"/>
              </w:rPr>
              <w:t>102,2</w:t>
            </w:r>
          </w:p>
        </w:tc>
      </w:tr>
      <w:tr w:rsidR="00000000">
        <w:trPr>
          <w:jc w:val="center"/>
        </w:trPr>
        <w:tc>
          <w:tcPr>
            <w:tcW w:w="2595" w:type="dxa"/>
            <w:vAlign w:val="center"/>
          </w:tcPr>
          <w:p w:rsidR="00000000" w:rsidRDefault="00000000">
            <w:pPr>
              <w:rPr>
                <w:sz w:val="22"/>
              </w:rPr>
            </w:pPr>
            <w:r>
              <w:rPr>
                <w:sz w:val="22"/>
              </w:rPr>
              <w:t>P. J. Lisboa</w:t>
            </w:r>
          </w:p>
        </w:tc>
        <w:tc>
          <w:tcPr>
            <w:tcW w:w="1080" w:type="dxa"/>
            <w:vAlign w:val="bottom"/>
          </w:tcPr>
          <w:p w:rsidR="00000000" w:rsidRDefault="00000000">
            <w:pPr>
              <w:tabs>
                <w:tab w:val="decimal" w:pos="692"/>
              </w:tabs>
              <w:jc w:val="both"/>
              <w:rPr>
                <w:sz w:val="22"/>
              </w:rPr>
            </w:pPr>
            <w:r>
              <w:rPr>
                <w:sz w:val="22"/>
              </w:rPr>
              <w:t>173</w:t>
            </w:r>
          </w:p>
        </w:tc>
        <w:tc>
          <w:tcPr>
            <w:tcW w:w="1082" w:type="dxa"/>
            <w:vAlign w:val="bottom"/>
          </w:tcPr>
          <w:p w:rsidR="00000000" w:rsidRDefault="00000000">
            <w:pPr>
              <w:tabs>
                <w:tab w:val="decimal" w:pos="692"/>
              </w:tabs>
              <w:jc w:val="both"/>
              <w:rPr>
                <w:sz w:val="22"/>
              </w:rPr>
            </w:pPr>
            <w:r>
              <w:rPr>
                <w:sz w:val="22"/>
              </w:rPr>
              <w:t>88</w:t>
            </w:r>
          </w:p>
        </w:tc>
        <w:tc>
          <w:tcPr>
            <w:tcW w:w="1091" w:type="dxa"/>
            <w:vAlign w:val="bottom"/>
          </w:tcPr>
          <w:p w:rsidR="00000000" w:rsidRDefault="00000000">
            <w:pPr>
              <w:tabs>
                <w:tab w:val="decimal" w:pos="692"/>
              </w:tabs>
              <w:jc w:val="both"/>
              <w:rPr>
                <w:sz w:val="22"/>
              </w:rPr>
            </w:pPr>
            <w:r>
              <w:rPr>
                <w:sz w:val="22"/>
              </w:rPr>
              <w:t>196,6</w:t>
            </w:r>
          </w:p>
        </w:tc>
        <w:tc>
          <w:tcPr>
            <w:tcW w:w="1078" w:type="dxa"/>
            <w:vAlign w:val="bottom"/>
          </w:tcPr>
          <w:p w:rsidR="00000000" w:rsidRDefault="00000000">
            <w:pPr>
              <w:tabs>
                <w:tab w:val="decimal" w:pos="692"/>
              </w:tabs>
              <w:jc w:val="both"/>
              <w:rPr>
                <w:sz w:val="22"/>
              </w:rPr>
            </w:pPr>
            <w:r>
              <w:rPr>
                <w:sz w:val="22"/>
              </w:rPr>
              <w:t>120</w:t>
            </w:r>
          </w:p>
        </w:tc>
        <w:tc>
          <w:tcPr>
            <w:tcW w:w="1084" w:type="dxa"/>
            <w:vAlign w:val="bottom"/>
          </w:tcPr>
          <w:p w:rsidR="00000000" w:rsidRDefault="00000000">
            <w:pPr>
              <w:tabs>
                <w:tab w:val="decimal" w:pos="692"/>
              </w:tabs>
              <w:jc w:val="both"/>
              <w:rPr>
                <w:sz w:val="22"/>
              </w:rPr>
            </w:pPr>
            <w:r>
              <w:rPr>
                <w:sz w:val="22"/>
              </w:rPr>
              <w:t>88</w:t>
            </w:r>
          </w:p>
        </w:tc>
        <w:tc>
          <w:tcPr>
            <w:tcW w:w="1313" w:type="dxa"/>
            <w:vAlign w:val="bottom"/>
          </w:tcPr>
          <w:p w:rsidR="00000000" w:rsidRDefault="00000000">
            <w:pPr>
              <w:tabs>
                <w:tab w:val="decimal" w:pos="692"/>
              </w:tabs>
              <w:jc w:val="both"/>
              <w:rPr>
                <w:sz w:val="22"/>
              </w:rPr>
            </w:pPr>
            <w:r>
              <w:rPr>
                <w:sz w:val="22"/>
              </w:rPr>
              <w:t>136,4</w:t>
            </w:r>
          </w:p>
        </w:tc>
      </w:tr>
      <w:tr w:rsidR="00000000">
        <w:trPr>
          <w:jc w:val="center"/>
        </w:trPr>
        <w:tc>
          <w:tcPr>
            <w:tcW w:w="2595" w:type="dxa"/>
            <w:vAlign w:val="center"/>
          </w:tcPr>
          <w:p w:rsidR="00000000" w:rsidRDefault="00000000">
            <w:pPr>
              <w:rPr>
                <w:sz w:val="22"/>
              </w:rPr>
            </w:pPr>
            <w:r>
              <w:rPr>
                <w:sz w:val="22"/>
              </w:rPr>
              <w:t>P. J. Porto</w:t>
            </w:r>
          </w:p>
        </w:tc>
        <w:tc>
          <w:tcPr>
            <w:tcW w:w="1080" w:type="dxa"/>
            <w:vAlign w:val="bottom"/>
          </w:tcPr>
          <w:p w:rsidR="00000000" w:rsidRDefault="00000000">
            <w:pPr>
              <w:tabs>
                <w:tab w:val="decimal" w:pos="692"/>
              </w:tabs>
              <w:jc w:val="both"/>
              <w:rPr>
                <w:sz w:val="22"/>
              </w:rPr>
            </w:pPr>
            <w:r>
              <w:rPr>
                <w:sz w:val="22"/>
              </w:rPr>
              <w:t>41</w:t>
            </w:r>
          </w:p>
        </w:tc>
        <w:tc>
          <w:tcPr>
            <w:tcW w:w="1082" w:type="dxa"/>
            <w:vAlign w:val="bottom"/>
          </w:tcPr>
          <w:p w:rsidR="00000000" w:rsidRDefault="00000000">
            <w:pPr>
              <w:tabs>
                <w:tab w:val="decimal" w:pos="692"/>
              </w:tabs>
              <w:jc w:val="both"/>
              <w:rPr>
                <w:sz w:val="22"/>
              </w:rPr>
            </w:pPr>
            <w:r>
              <w:rPr>
                <w:sz w:val="22"/>
              </w:rPr>
              <w:t>32</w:t>
            </w:r>
          </w:p>
        </w:tc>
        <w:tc>
          <w:tcPr>
            <w:tcW w:w="1091" w:type="dxa"/>
            <w:vAlign w:val="bottom"/>
          </w:tcPr>
          <w:p w:rsidR="00000000" w:rsidRDefault="00000000">
            <w:pPr>
              <w:tabs>
                <w:tab w:val="decimal" w:pos="692"/>
              </w:tabs>
              <w:jc w:val="both"/>
              <w:rPr>
                <w:sz w:val="22"/>
              </w:rPr>
            </w:pPr>
            <w:r>
              <w:rPr>
                <w:sz w:val="22"/>
              </w:rPr>
              <w:t>128,1</w:t>
            </w:r>
          </w:p>
        </w:tc>
        <w:tc>
          <w:tcPr>
            <w:tcW w:w="1078" w:type="dxa"/>
            <w:vAlign w:val="bottom"/>
          </w:tcPr>
          <w:p w:rsidR="00000000" w:rsidRDefault="00000000">
            <w:pPr>
              <w:tabs>
                <w:tab w:val="decimal" w:pos="692"/>
              </w:tabs>
              <w:jc w:val="both"/>
              <w:rPr>
                <w:sz w:val="22"/>
              </w:rPr>
            </w:pPr>
            <w:r>
              <w:rPr>
                <w:sz w:val="22"/>
              </w:rPr>
              <w:t>33</w:t>
            </w:r>
          </w:p>
        </w:tc>
        <w:tc>
          <w:tcPr>
            <w:tcW w:w="1084" w:type="dxa"/>
            <w:vAlign w:val="bottom"/>
          </w:tcPr>
          <w:p w:rsidR="00000000" w:rsidRDefault="00000000">
            <w:pPr>
              <w:tabs>
                <w:tab w:val="decimal" w:pos="692"/>
              </w:tabs>
              <w:jc w:val="both"/>
              <w:rPr>
                <w:sz w:val="22"/>
              </w:rPr>
            </w:pPr>
            <w:r>
              <w:rPr>
                <w:sz w:val="22"/>
              </w:rPr>
              <w:t>32</w:t>
            </w:r>
          </w:p>
        </w:tc>
        <w:tc>
          <w:tcPr>
            <w:tcW w:w="1313" w:type="dxa"/>
            <w:vAlign w:val="bottom"/>
          </w:tcPr>
          <w:p w:rsidR="00000000" w:rsidRDefault="00000000">
            <w:pPr>
              <w:tabs>
                <w:tab w:val="decimal" w:pos="692"/>
              </w:tabs>
              <w:jc w:val="both"/>
              <w:rPr>
                <w:sz w:val="22"/>
              </w:rPr>
            </w:pPr>
            <w:r>
              <w:rPr>
                <w:sz w:val="22"/>
              </w:rPr>
              <w:t>103,1</w:t>
            </w:r>
          </w:p>
        </w:tc>
      </w:tr>
      <w:tr w:rsidR="00000000">
        <w:trPr>
          <w:jc w:val="center"/>
        </w:trPr>
        <w:tc>
          <w:tcPr>
            <w:tcW w:w="2595" w:type="dxa"/>
            <w:vAlign w:val="center"/>
          </w:tcPr>
          <w:p w:rsidR="00000000" w:rsidRDefault="00000000">
            <w:pPr>
              <w:rPr>
                <w:sz w:val="22"/>
              </w:rPr>
            </w:pPr>
            <w:r>
              <w:rPr>
                <w:sz w:val="22"/>
              </w:rPr>
              <w:tab/>
              <w:t>Total</w:t>
            </w:r>
            <w:r>
              <w:rPr>
                <w:b/>
                <w:sz w:val="22"/>
                <w:vertAlign w:val="superscript"/>
              </w:rPr>
              <w:t>a</w:t>
            </w:r>
          </w:p>
        </w:tc>
        <w:tc>
          <w:tcPr>
            <w:tcW w:w="1080" w:type="dxa"/>
            <w:vAlign w:val="bottom"/>
          </w:tcPr>
          <w:p w:rsidR="00000000" w:rsidRDefault="00000000">
            <w:pPr>
              <w:tabs>
                <w:tab w:val="decimal" w:pos="692"/>
              </w:tabs>
              <w:jc w:val="both"/>
              <w:rPr>
                <w:sz w:val="22"/>
              </w:rPr>
            </w:pPr>
            <w:r>
              <w:rPr>
                <w:sz w:val="22"/>
              </w:rPr>
              <w:t>3.679</w:t>
            </w:r>
          </w:p>
        </w:tc>
        <w:tc>
          <w:tcPr>
            <w:tcW w:w="1082" w:type="dxa"/>
            <w:vAlign w:val="bottom"/>
          </w:tcPr>
          <w:p w:rsidR="00000000" w:rsidRDefault="00000000">
            <w:pPr>
              <w:tabs>
                <w:tab w:val="decimal" w:pos="692"/>
              </w:tabs>
              <w:jc w:val="both"/>
              <w:rPr>
                <w:sz w:val="22"/>
              </w:rPr>
            </w:pPr>
            <w:r>
              <w:rPr>
                <w:sz w:val="22"/>
              </w:rPr>
              <w:t>2.548</w:t>
            </w:r>
          </w:p>
        </w:tc>
        <w:tc>
          <w:tcPr>
            <w:tcW w:w="1091" w:type="dxa"/>
            <w:vAlign w:val="bottom"/>
          </w:tcPr>
          <w:p w:rsidR="00000000" w:rsidRDefault="00000000">
            <w:pPr>
              <w:tabs>
                <w:tab w:val="decimal" w:pos="692"/>
              </w:tabs>
              <w:jc w:val="both"/>
              <w:rPr>
                <w:sz w:val="22"/>
              </w:rPr>
            </w:pPr>
            <w:r>
              <w:rPr>
                <w:sz w:val="22"/>
              </w:rPr>
              <w:t>144,4</w:t>
            </w:r>
          </w:p>
        </w:tc>
        <w:tc>
          <w:tcPr>
            <w:tcW w:w="1078" w:type="dxa"/>
            <w:vAlign w:val="bottom"/>
          </w:tcPr>
          <w:p w:rsidR="00000000" w:rsidRDefault="00000000">
            <w:pPr>
              <w:tabs>
                <w:tab w:val="decimal" w:pos="692"/>
              </w:tabs>
              <w:jc w:val="both"/>
              <w:rPr>
                <w:sz w:val="22"/>
              </w:rPr>
            </w:pPr>
            <w:r>
              <w:rPr>
                <w:sz w:val="22"/>
              </w:rPr>
              <w:t>3.380</w:t>
            </w:r>
          </w:p>
        </w:tc>
        <w:tc>
          <w:tcPr>
            <w:tcW w:w="1084" w:type="dxa"/>
            <w:vAlign w:val="bottom"/>
          </w:tcPr>
          <w:p w:rsidR="00000000" w:rsidRDefault="00000000">
            <w:pPr>
              <w:tabs>
                <w:tab w:val="decimal" w:pos="692"/>
              </w:tabs>
              <w:jc w:val="both"/>
              <w:rPr>
                <w:sz w:val="22"/>
              </w:rPr>
            </w:pPr>
            <w:r>
              <w:rPr>
                <w:sz w:val="22"/>
              </w:rPr>
              <w:t>2.557</w:t>
            </w:r>
          </w:p>
        </w:tc>
        <w:tc>
          <w:tcPr>
            <w:tcW w:w="1313" w:type="dxa"/>
            <w:vAlign w:val="bottom"/>
          </w:tcPr>
          <w:p w:rsidR="00000000" w:rsidRDefault="00000000">
            <w:pPr>
              <w:tabs>
                <w:tab w:val="decimal" w:pos="692"/>
              </w:tabs>
              <w:jc w:val="both"/>
              <w:rPr>
                <w:sz w:val="22"/>
              </w:rPr>
            </w:pPr>
            <w:r>
              <w:rPr>
                <w:sz w:val="22"/>
              </w:rPr>
              <w:t>132,2</w:t>
            </w:r>
          </w:p>
        </w:tc>
      </w:tr>
    </w:tbl>
    <w:p w:rsidR="00000000" w:rsidRDefault="00000000">
      <w:pPr>
        <w:spacing w:before="220" w:after="480"/>
        <w:rPr>
          <w:sz w:val="22"/>
        </w:rPr>
      </w:pPr>
      <w:r>
        <w:rPr>
          <w:b/>
          <w:sz w:val="22"/>
          <w:vertAlign w:val="superscript"/>
        </w:rPr>
        <w:t>a</w:t>
      </w:r>
      <w:r>
        <w:rPr>
          <w:sz w:val="22"/>
        </w:rPr>
        <w:t xml:space="preserve"> Estos totales se remiten a la penúltima línea del cuadro 5-A.</w:t>
      </w:r>
    </w:p>
    <w:p w:rsidR="00000000" w:rsidRDefault="00000000">
      <w:pPr>
        <w:pStyle w:val="Heading5"/>
        <w:spacing w:before="0" w:after="240"/>
        <w:jc w:val="center"/>
        <w:rPr>
          <w:bCs w:val="0"/>
          <w:i w:val="0"/>
          <w:sz w:val="22"/>
          <w:szCs w:val="24"/>
        </w:rPr>
      </w:pPr>
      <w:r>
        <w:rPr>
          <w:bCs w:val="0"/>
          <w:i w:val="0"/>
          <w:sz w:val="22"/>
          <w:szCs w:val="24"/>
        </w:rPr>
        <w:t>Cuadro 6-A</w:t>
      </w:r>
    </w:p>
    <w:p w:rsidR="00000000" w:rsidRDefault="00000000">
      <w:pPr>
        <w:pStyle w:val="Heading5"/>
        <w:spacing w:before="0" w:after="240"/>
        <w:jc w:val="center"/>
        <w:rPr>
          <w:bCs w:val="0"/>
          <w:i w:val="0"/>
          <w:sz w:val="24"/>
          <w:szCs w:val="24"/>
        </w:rPr>
      </w:pPr>
      <w:r>
        <w:rPr>
          <w:bCs w:val="0"/>
          <w:i w:val="0"/>
          <w:sz w:val="22"/>
          <w:szCs w:val="24"/>
        </w:rPr>
        <w:t>Población carcelaria por establecimiento, ocupación y tasa de ocupación</w:t>
      </w:r>
      <w:r>
        <w:rPr>
          <w:bCs w:val="0"/>
          <w:i w:val="0"/>
          <w:sz w:val="22"/>
          <w:szCs w:val="24"/>
        </w:rPr>
        <w:br/>
        <w:t>(al 31 de diciembre de 2001 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95"/>
        <w:gridCol w:w="1080"/>
        <w:gridCol w:w="1082"/>
        <w:gridCol w:w="1091"/>
        <w:gridCol w:w="1078"/>
        <w:gridCol w:w="1084"/>
        <w:gridCol w:w="1313"/>
      </w:tblGrid>
      <w:tr w:rsidR="00000000">
        <w:trPr>
          <w:cantSplit/>
          <w:tblHeader/>
          <w:jc w:val="center"/>
        </w:trPr>
        <w:tc>
          <w:tcPr>
            <w:tcW w:w="2595" w:type="dxa"/>
            <w:vMerge w:val="restart"/>
            <w:vAlign w:val="center"/>
          </w:tcPr>
          <w:p w:rsidR="00000000" w:rsidRDefault="00000000">
            <w:pPr>
              <w:jc w:val="center"/>
              <w:rPr>
                <w:sz w:val="22"/>
              </w:rPr>
            </w:pPr>
            <w:r>
              <w:rPr>
                <w:bCs/>
                <w:sz w:val="22"/>
              </w:rPr>
              <w:t>Establecimientos</w:t>
            </w:r>
          </w:p>
        </w:tc>
        <w:tc>
          <w:tcPr>
            <w:tcW w:w="3253" w:type="dxa"/>
            <w:gridSpan w:val="3"/>
            <w:vAlign w:val="center"/>
          </w:tcPr>
          <w:p w:rsidR="00000000" w:rsidRDefault="00000000">
            <w:pPr>
              <w:jc w:val="center"/>
              <w:rPr>
                <w:sz w:val="22"/>
              </w:rPr>
            </w:pPr>
            <w:r>
              <w:rPr>
                <w:sz w:val="22"/>
              </w:rPr>
              <w:t>2001</w:t>
            </w:r>
          </w:p>
        </w:tc>
        <w:tc>
          <w:tcPr>
            <w:tcW w:w="3475" w:type="dxa"/>
            <w:gridSpan w:val="3"/>
            <w:vAlign w:val="center"/>
          </w:tcPr>
          <w:p w:rsidR="00000000" w:rsidRDefault="00000000">
            <w:pPr>
              <w:jc w:val="center"/>
              <w:rPr>
                <w:sz w:val="22"/>
              </w:rPr>
            </w:pPr>
            <w:r>
              <w:rPr>
                <w:sz w:val="22"/>
              </w:rPr>
              <w:t>2002</w:t>
            </w:r>
          </w:p>
        </w:tc>
      </w:tr>
      <w:tr w:rsidR="00000000">
        <w:trPr>
          <w:cantSplit/>
          <w:tblHeader/>
          <w:jc w:val="center"/>
        </w:trPr>
        <w:tc>
          <w:tcPr>
            <w:tcW w:w="2595" w:type="dxa"/>
            <w:vMerge/>
            <w:vAlign w:val="center"/>
          </w:tcPr>
          <w:p w:rsidR="00000000" w:rsidRDefault="00000000">
            <w:pPr>
              <w:jc w:val="center"/>
              <w:rPr>
                <w:sz w:val="22"/>
              </w:rPr>
            </w:pPr>
          </w:p>
        </w:tc>
        <w:tc>
          <w:tcPr>
            <w:tcW w:w="1080" w:type="dxa"/>
            <w:vAlign w:val="center"/>
          </w:tcPr>
          <w:p w:rsidR="00000000" w:rsidRDefault="00000000">
            <w:pPr>
              <w:jc w:val="center"/>
              <w:rPr>
                <w:sz w:val="22"/>
              </w:rPr>
            </w:pPr>
            <w:r>
              <w:rPr>
                <w:bCs/>
                <w:sz w:val="22"/>
              </w:rPr>
              <w:t>Número de detenidos</w:t>
            </w:r>
          </w:p>
        </w:tc>
        <w:tc>
          <w:tcPr>
            <w:tcW w:w="1082" w:type="dxa"/>
            <w:vAlign w:val="center"/>
          </w:tcPr>
          <w:p w:rsidR="00000000" w:rsidRDefault="00000000">
            <w:pPr>
              <w:jc w:val="center"/>
              <w:rPr>
                <w:sz w:val="22"/>
              </w:rPr>
            </w:pPr>
            <w:r>
              <w:rPr>
                <w:sz w:val="22"/>
              </w:rPr>
              <w:t>Ocupación</w:t>
            </w:r>
          </w:p>
        </w:tc>
        <w:tc>
          <w:tcPr>
            <w:tcW w:w="1091" w:type="dxa"/>
            <w:vAlign w:val="center"/>
          </w:tcPr>
          <w:p w:rsidR="00000000" w:rsidRDefault="00000000">
            <w:pPr>
              <w:jc w:val="center"/>
              <w:rPr>
                <w:sz w:val="22"/>
              </w:rPr>
            </w:pPr>
            <w:r>
              <w:rPr>
                <w:sz w:val="22"/>
              </w:rPr>
              <w:t>Tasa de ocupación en %</w:t>
            </w:r>
          </w:p>
        </w:tc>
        <w:tc>
          <w:tcPr>
            <w:tcW w:w="1078" w:type="dxa"/>
            <w:vAlign w:val="center"/>
          </w:tcPr>
          <w:p w:rsidR="00000000" w:rsidRDefault="00000000">
            <w:pPr>
              <w:jc w:val="center"/>
              <w:rPr>
                <w:sz w:val="22"/>
              </w:rPr>
            </w:pPr>
            <w:r>
              <w:rPr>
                <w:bCs/>
                <w:sz w:val="22"/>
              </w:rPr>
              <w:t>Número de detenidos</w:t>
            </w:r>
          </w:p>
        </w:tc>
        <w:tc>
          <w:tcPr>
            <w:tcW w:w="1084" w:type="dxa"/>
            <w:vAlign w:val="center"/>
          </w:tcPr>
          <w:p w:rsidR="00000000" w:rsidRDefault="00000000">
            <w:pPr>
              <w:jc w:val="center"/>
              <w:rPr>
                <w:sz w:val="22"/>
              </w:rPr>
            </w:pPr>
            <w:r>
              <w:rPr>
                <w:sz w:val="22"/>
              </w:rPr>
              <w:t>Ocupación</w:t>
            </w:r>
          </w:p>
        </w:tc>
        <w:tc>
          <w:tcPr>
            <w:tcW w:w="1313" w:type="dxa"/>
            <w:vAlign w:val="center"/>
          </w:tcPr>
          <w:p w:rsidR="00000000" w:rsidRDefault="00000000">
            <w:pPr>
              <w:jc w:val="center"/>
              <w:rPr>
                <w:sz w:val="22"/>
              </w:rPr>
            </w:pPr>
            <w:r>
              <w:rPr>
                <w:sz w:val="22"/>
              </w:rPr>
              <w:t>Tasa de ocupación en %</w:t>
            </w:r>
          </w:p>
        </w:tc>
      </w:tr>
      <w:tr w:rsidR="00000000">
        <w:trPr>
          <w:cantSplit/>
          <w:tblHeader/>
          <w:jc w:val="center"/>
        </w:trPr>
        <w:tc>
          <w:tcPr>
            <w:tcW w:w="2595" w:type="dxa"/>
            <w:vAlign w:val="center"/>
          </w:tcPr>
          <w:p w:rsidR="00000000" w:rsidRDefault="00000000">
            <w:pPr>
              <w:rPr>
                <w:bCs/>
                <w:sz w:val="22"/>
              </w:rPr>
            </w:pPr>
            <w:r>
              <w:rPr>
                <w:bCs/>
                <w:sz w:val="22"/>
              </w:rPr>
              <w:t>Establecimientos centrales</w:t>
            </w:r>
          </w:p>
        </w:tc>
        <w:tc>
          <w:tcPr>
            <w:tcW w:w="1080" w:type="dxa"/>
            <w:vAlign w:val="bottom"/>
          </w:tcPr>
          <w:p w:rsidR="00000000" w:rsidRDefault="00000000">
            <w:pPr>
              <w:rPr>
                <w:sz w:val="22"/>
              </w:rPr>
            </w:pPr>
          </w:p>
        </w:tc>
        <w:tc>
          <w:tcPr>
            <w:tcW w:w="1082" w:type="dxa"/>
            <w:vAlign w:val="bottom"/>
          </w:tcPr>
          <w:p w:rsidR="00000000" w:rsidRDefault="00000000">
            <w:pPr>
              <w:rPr>
                <w:sz w:val="22"/>
              </w:rPr>
            </w:pPr>
          </w:p>
        </w:tc>
        <w:tc>
          <w:tcPr>
            <w:tcW w:w="1091" w:type="dxa"/>
            <w:vAlign w:val="bottom"/>
          </w:tcPr>
          <w:p w:rsidR="00000000" w:rsidRDefault="00000000">
            <w:pPr>
              <w:rPr>
                <w:sz w:val="22"/>
              </w:rPr>
            </w:pPr>
          </w:p>
        </w:tc>
        <w:tc>
          <w:tcPr>
            <w:tcW w:w="1078" w:type="dxa"/>
            <w:vAlign w:val="bottom"/>
          </w:tcPr>
          <w:p w:rsidR="00000000" w:rsidRDefault="00000000">
            <w:pPr>
              <w:rPr>
                <w:sz w:val="22"/>
              </w:rPr>
            </w:pPr>
          </w:p>
        </w:tc>
        <w:tc>
          <w:tcPr>
            <w:tcW w:w="1084" w:type="dxa"/>
            <w:vAlign w:val="bottom"/>
          </w:tcPr>
          <w:p w:rsidR="00000000" w:rsidRDefault="00000000">
            <w:pPr>
              <w:rPr>
                <w:sz w:val="22"/>
              </w:rPr>
            </w:pPr>
          </w:p>
        </w:tc>
        <w:tc>
          <w:tcPr>
            <w:tcW w:w="1313" w:type="dxa"/>
            <w:vAlign w:val="bottom"/>
          </w:tcPr>
          <w:p w:rsidR="00000000" w:rsidRDefault="00000000">
            <w:pPr>
              <w:rPr>
                <w:sz w:val="22"/>
              </w:rPr>
            </w:pPr>
          </w:p>
        </w:tc>
      </w:tr>
      <w:tr w:rsidR="00000000">
        <w:trPr>
          <w:cantSplit/>
          <w:tblHeader/>
          <w:jc w:val="center"/>
        </w:trPr>
        <w:tc>
          <w:tcPr>
            <w:tcW w:w="2595" w:type="dxa"/>
            <w:vAlign w:val="center"/>
          </w:tcPr>
          <w:p w:rsidR="00000000" w:rsidRDefault="00000000">
            <w:pPr>
              <w:rPr>
                <w:sz w:val="22"/>
              </w:rPr>
            </w:pPr>
            <w:r>
              <w:rPr>
                <w:sz w:val="22"/>
              </w:rPr>
              <w:t>Alcoentre</w:t>
            </w:r>
          </w:p>
        </w:tc>
        <w:tc>
          <w:tcPr>
            <w:tcW w:w="1080" w:type="dxa"/>
            <w:vAlign w:val="bottom"/>
          </w:tcPr>
          <w:p w:rsidR="00000000" w:rsidRDefault="00000000">
            <w:pPr>
              <w:tabs>
                <w:tab w:val="decimal" w:pos="841"/>
              </w:tabs>
              <w:jc w:val="both"/>
              <w:rPr>
                <w:sz w:val="22"/>
              </w:rPr>
            </w:pPr>
            <w:r>
              <w:rPr>
                <w:sz w:val="22"/>
              </w:rPr>
              <w:t>724</w:t>
            </w:r>
          </w:p>
        </w:tc>
        <w:tc>
          <w:tcPr>
            <w:tcW w:w="1082" w:type="dxa"/>
            <w:vAlign w:val="bottom"/>
          </w:tcPr>
          <w:p w:rsidR="00000000" w:rsidRDefault="00000000">
            <w:pPr>
              <w:tabs>
                <w:tab w:val="decimal" w:pos="789"/>
              </w:tabs>
              <w:jc w:val="both"/>
              <w:rPr>
                <w:sz w:val="22"/>
              </w:rPr>
            </w:pPr>
            <w:r>
              <w:rPr>
                <w:sz w:val="22"/>
              </w:rPr>
              <w:t>663</w:t>
            </w:r>
          </w:p>
        </w:tc>
        <w:tc>
          <w:tcPr>
            <w:tcW w:w="1091" w:type="dxa"/>
            <w:vAlign w:val="bottom"/>
          </w:tcPr>
          <w:p w:rsidR="00000000" w:rsidRDefault="00000000">
            <w:pPr>
              <w:tabs>
                <w:tab w:val="decimal" w:pos="599"/>
              </w:tabs>
              <w:jc w:val="both"/>
              <w:rPr>
                <w:sz w:val="22"/>
              </w:rPr>
            </w:pPr>
            <w:r>
              <w:rPr>
                <w:sz w:val="22"/>
              </w:rPr>
              <w:t>109,2</w:t>
            </w:r>
          </w:p>
        </w:tc>
        <w:tc>
          <w:tcPr>
            <w:tcW w:w="1078" w:type="dxa"/>
            <w:vAlign w:val="bottom"/>
          </w:tcPr>
          <w:p w:rsidR="00000000" w:rsidRDefault="00000000">
            <w:pPr>
              <w:tabs>
                <w:tab w:val="decimal" w:pos="757"/>
              </w:tabs>
              <w:jc w:val="both"/>
              <w:rPr>
                <w:sz w:val="22"/>
              </w:rPr>
            </w:pPr>
            <w:r>
              <w:rPr>
                <w:sz w:val="22"/>
              </w:rPr>
              <w:t>718</w:t>
            </w:r>
          </w:p>
        </w:tc>
        <w:tc>
          <w:tcPr>
            <w:tcW w:w="1084" w:type="dxa"/>
            <w:vAlign w:val="bottom"/>
          </w:tcPr>
          <w:p w:rsidR="00000000" w:rsidRDefault="00000000">
            <w:pPr>
              <w:tabs>
                <w:tab w:val="decimal" w:pos="785"/>
              </w:tabs>
              <w:jc w:val="both"/>
              <w:rPr>
                <w:sz w:val="22"/>
              </w:rPr>
            </w:pPr>
            <w:r>
              <w:rPr>
                <w:sz w:val="22"/>
              </w:rPr>
              <w:t>663</w:t>
            </w:r>
          </w:p>
        </w:tc>
        <w:tc>
          <w:tcPr>
            <w:tcW w:w="1313" w:type="dxa"/>
            <w:vAlign w:val="bottom"/>
          </w:tcPr>
          <w:p w:rsidR="00000000" w:rsidRDefault="00000000">
            <w:pPr>
              <w:tabs>
                <w:tab w:val="decimal" w:pos="706"/>
              </w:tabs>
              <w:jc w:val="both"/>
              <w:rPr>
                <w:sz w:val="22"/>
              </w:rPr>
            </w:pPr>
            <w:r>
              <w:rPr>
                <w:sz w:val="22"/>
              </w:rPr>
              <w:t>108,3</w:t>
            </w:r>
          </w:p>
        </w:tc>
      </w:tr>
      <w:tr w:rsidR="00000000">
        <w:trPr>
          <w:cantSplit/>
          <w:tblHeader/>
          <w:jc w:val="center"/>
        </w:trPr>
        <w:tc>
          <w:tcPr>
            <w:tcW w:w="2595" w:type="dxa"/>
            <w:vAlign w:val="center"/>
          </w:tcPr>
          <w:p w:rsidR="00000000" w:rsidRDefault="00000000">
            <w:pPr>
              <w:rPr>
                <w:sz w:val="22"/>
              </w:rPr>
            </w:pPr>
            <w:r>
              <w:rPr>
                <w:sz w:val="22"/>
              </w:rPr>
              <w:t>Carregueira</w:t>
            </w:r>
            <w:r>
              <w:rPr>
                <w:b/>
                <w:sz w:val="22"/>
                <w:vertAlign w:val="superscript"/>
              </w:rPr>
              <w:t>a</w:t>
            </w:r>
          </w:p>
        </w:tc>
        <w:tc>
          <w:tcPr>
            <w:tcW w:w="1080" w:type="dxa"/>
            <w:vAlign w:val="bottom"/>
          </w:tcPr>
          <w:p w:rsidR="00000000" w:rsidRDefault="00000000">
            <w:pPr>
              <w:tabs>
                <w:tab w:val="decimal" w:pos="841"/>
              </w:tabs>
              <w:jc w:val="both"/>
              <w:rPr>
                <w:sz w:val="22"/>
              </w:rPr>
            </w:pPr>
          </w:p>
        </w:tc>
        <w:tc>
          <w:tcPr>
            <w:tcW w:w="1082" w:type="dxa"/>
            <w:vAlign w:val="bottom"/>
          </w:tcPr>
          <w:p w:rsidR="00000000" w:rsidRDefault="00000000">
            <w:pPr>
              <w:tabs>
                <w:tab w:val="decimal" w:pos="789"/>
              </w:tabs>
              <w:jc w:val="both"/>
              <w:rPr>
                <w:sz w:val="22"/>
              </w:rPr>
            </w:pPr>
          </w:p>
        </w:tc>
        <w:tc>
          <w:tcPr>
            <w:tcW w:w="1091" w:type="dxa"/>
            <w:vAlign w:val="bottom"/>
          </w:tcPr>
          <w:p w:rsidR="00000000" w:rsidRDefault="00000000">
            <w:pPr>
              <w:tabs>
                <w:tab w:val="decimal" w:pos="599"/>
              </w:tabs>
              <w:jc w:val="both"/>
              <w:rPr>
                <w:sz w:val="22"/>
              </w:rPr>
            </w:pPr>
          </w:p>
        </w:tc>
        <w:tc>
          <w:tcPr>
            <w:tcW w:w="1078" w:type="dxa"/>
            <w:vAlign w:val="bottom"/>
          </w:tcPr>
          <w:p w:rsidR="00000000" w:rsidRDefault="00000000">
            <w:pPr>
              <w:tabs>
                <w:tab w:val="decimal" w:pos="757"/>
              </w:tabs>
              <w:jc w:val="both"/>
              <w:rPr>
                <w:sz w:val="22"/>
              </w:rPr>
            </w:pPr>
            <w:r>
              <w:rPr>
                <w:sz w:val="22"/>
              </w:rPr>
              <w:t>91</w:t>
            </w:r>
          </w:p>
        </w:tc>
        <w:tc>
          <w:tcPr>
            <w:tcW w:w="1084" w:type="dxa"/>
            <w:vAlign w:val="bottom"/>
          </w:tcPr>
          <w:p w:rsidR="00000000" w:rsidRDefault="00000000">
            <w:pPr>
              <w:tabs>
                <w:tab w:val="decimal" w:pos="785"/>
              </w:tabs>
              <w:jc w:val="both"/>
              <w:rPr>
                <w:sz w:val="22"/>
              </w:rPr>
            </w:pPr>
            <w:r>
              <w:rPr>
                <w:sz w:val="22"/>
              </w:rPr>
              <w:t>94</w:t>
            </w:r>
          </w:p>
        </w:tc>
        <w:tc>
          <w:tcPr>
            <w:tcW w:w="1313" w:type="dxa"/>
            <w:vAlign w:val="bottom"/>
          </w:tcPr>
          <w:p w:rsidR="00000000" w:rsidRDefault="00000000">
            <w:pPr>
              <w:tabs>
                <w:tab w:val="decimal" w:pos="706"/>
              </w:tabs>
              <w:jc w:val="both"/>
              <w:rPr>
                <w:sz w:val="22"/>
              </w:rPr>
            </w:pPr>
            <w:r>
              <w:rPr>
                <w:sz w:val="22"/>
              </w:rPr>
              <w:t>96,8</w:t>
            </w:r>
          </w:p>
        </w:tc>
      </w:tr>
      <w:tr w:rsidR="00000000">
        <w:trPr>
          <w:cantSplit/>
          <w:tblHeader/>
          <w:jc w:val="center"/>
        </w:trPr>
        <w:tc>
          <w:tcPr>
            <w:tcW w:w="2595" w:type="dxa"/>
            <w:vAlign w:val="center"/>
          </w:tcPr>
          <w:p w:rsidR="00000000" w:rsidRDefault="00000000">
            <w:pPr>
              <w:rPr>
                <w:sz w:val="22"/>
              </w:rPr>
            </w:pPr>
            <w:r>
              <w:rPr>
                <w:sz w:val="22"/>
              </w:rPr>
              <w:t>Castelo Branco</w:t>
            </w:r>
          </w:p>
        </w:tc>
        <w:tc>
          <w:tcPr>
            <w:tcW w:w="1080" w:type="dxa"/>
            <w:vAlign w:val="bottom"/>
          </w:tcPr>
          <w:p w:rsidR="00000000" w:rsidRDefault="00000000">
            <w:pPr>
              <w:tabs>
                <w:tab w:val="decimal" w:pos="841"/>
              </w:tabs>
              <w:jc w:val="both"/>
              <w:rPr>
                <w:sz w:val="22"/>
              </w:rPr>
            </w:pPr>
            <w:r>
              <w:rPr>
                <w:sz w:val="22"/>
              </w:rPr>
              <w:t>85</w:t>
            </w:r>
          </w:p>
        </w:tc>
        <w:tc>
          <w:tcPr>
            <w:tcW w:w="1082" w:type="dxa"/>
            <w:vAlign w:val="bottom"/>
          </w:tcPr>
          <w:p w:rsidR="00000000" w:rsidRDefault="00000000">
            <w:pPr>
              <w:tabs>
                <w:tab w:val="decimal" w:pos="789"/>
              </w:tabs>
              <w:jc w:val="both"/>
              <w:rPr>
                <w:sz w:val="22"/>
              </w:rPr>
            </w:pPr>
            <w:r>
              <w:rPr>
                <w:sz w:val="22"/>
              </w:rPr>
              <w:t>168</w:t>
            </w:r>
          </w:p>
        </w:tc>
        <w:tc>
          <w:tcPr>
            <w:tcW w:w="1091" w:type="dxa"/>
            <w:vAlign w:val="bottom"/>
          </w:tcPr>
          <w:p w:rsidR="00000000" w:rsidRDefault="00000000">
            <w:pPr>
              <w:tabs>
                <w:tab w:val="decimal" w:pos="599"/>
              </w:tabs>
              <w:jc w:val="both"/>
              <w:rPr>
                <w:sz w:val="22"/>
              </w:rPr>
            </w:pPr>
            <w:r>
              <w:rPr>
                <w:sz w:val="22"/>
              </w:rPr>
              <w:t>50,6</w:t>
            </w:r>
          </w:p>
        </w:tc>
        <w:tc>
          <w:tcPr>
            <w:tcW w:w="1078" w:type="dxa"/>
            <w:vAlign w:val="bottom"/>
          </w:tcPr>
          <w:p w:rsidR="00000000" w:rsidRDefault="00000000">
            <w:pPr>
              <w:tabs>
                <w:tab w:val="decimal" w:pos="757"/>
              </w:tabs>
              <w:jc w:val="both"/>
              <w:rPr>
                <w:sz w:val="22"/>
              </w:rPr>
            </w:pPr>
            <w:r>
              <w:rPr>
                <w:sz w:val="22"/>
              </w:rPr>
              <w:t>114</w:t>
            </w:r>
          </w:p>
        </w:tc>
        <w:tc>
          <w:tcPr>
            <w:tcW w:w="1084" w:type="dxa"/>
            <w:vAlign w:val="bottom"/>
          </w:tcPr>
          <w:p w:rsidR="00000000" w:rsidRDefault="00000000">
            <w:pPr>
              <w:tabs>
                <w:tab w:val="decimal" w:pos="785"/>
              </w:tabs>
              <w:jc w:val="both"/>
              <w:rPr>
                <w:sz w:val="22"/>
              </w:rPr>
            </w:pPr>
            <w:r>
              <w:rPr>
                <w:sz w:val="22"/>
              </w:rPr>
              <w:t>168</w:t>
            </w:r>
          </w:p>
        </w:tc>
        <w:tc>
          <w:tcPr>
            <w:tcW w:w="1313" w:type="dxa"/>
            <w:vAlign w:val="bottom"/>
          </w:tcPr>
          <w:p w:rsidR="00000000" w:rsidRDefault="00000000">
            <w:pPr>
              <w:tabs>
                <w:tab w:val="decimal" w:pos="706"/>
              </w:tabs>
              <w:jc w:val="both"/>
              <w:rPr>
                <w:sz w:val="22"/>
              </w:rPr>
            </w:pPr>
            <w:r>
              <w:rPr>
                <w:sz w:val="22"/>
              </w:rPr>
              <w:t>67,9</w:t>
            </w:r>
          </w:p>
        </w:tc>
      </w:tr>
      <w:tr w:rsidR="00000000">
        <w:trPr>
          <w:cantSplit/>
          <w:tblHeader/>
          <w:jc w:val="center"/>
        </w:trPr>
        <w:tc>
          <w:tcPr>
            <w:tcW w:w="2595" w:type="dxa"/>
            <w:vAlign w:val="center"/>
          </w:tcPr>
          <w:p w:rsidR="00000000" w:rsidRDefault="00000000">
            <w:pPr>
              <w:rPr>
                <w:sz w:val="22"/>
              </w:rPr>
            </w:pPr>
            <w:r>
              <w:rPr>
                <w:sz w:val="22"/>
              </w:rPr>
              <w:t>Caxias</w:t>
            </w:r>
          </w:p>
        </w:tc>
        <w:tc>
          <w:tcPr>
            <w:tcW w:w="1080" w:type="dxa"/>
            <w:vAlign w:val="bottom"/>
          </w:tcPr>
          <w:p w:rsidR="00000000" w:rsidRDefault="00000000">
            <w:pPr>
              <w:tabs>
                <w:tab w:val="decimal" w:pos="841"/>
              </w:tabs>
              <w:jc w:val="both"/>
              <w:rPr>
                <w:sz w:val="22"/>
              </w:rPr>
            </w:pPr>
            <w:r>
              <w:rPr>
                <w:sz w:val="22"/>
              </w:rPr>
              <w:t>689</w:t>
            </w:r>
          </w:p>
        </w:tc>
        <w:tc>
          <w:tcPr>
            <w:tcW w:w="1082" w:type="dxa"/>
            <w:vAlign w:val="bottom"/>
          </w:tcPr>
          <w:p w:rsidR="00000000" w:rsidRDefault="00000000">
            <w:pPr>
              <w:tabs>
                <w:tab w:val="decimal" w:pos="789"/>
              </w:tabs>
              <w:jc w:val="both"/>
              <w:rPr>
                <w:sz w:val="22"/>
              </w:rPr>
            </w:pPr>
            <w:r>
              <w:rPr>
                <w:sz w:val="22"/>
              </w:rPr>
              <w:t>474</w:t>
            </w:r>
          </w:p>
        </w:tc>
        <w:tc>
          <w:tcPr>
            <w:tcW w:w="1091" w:type="dxa"/>
            <w:vAlign w:val="bottom"/>
          </w:tcPr>
          <w:p w:rsidR="00000000" w:rsidRDefault="00000000">
            <w:pPr>
              <w:tabs>
                <w:tab w:val="decimal" w:pos="599"/>
              </w:tabs>
              <w:jc w:val="both"/>
              <w:rPr>
                <w:sz w:val="22"/>
              </w:rPr>
            </w:pPr>
            <w:r>
              <w:rPr>
                <w:sz w:val="22"/>
              </w:rPr>
              <w:t>145,4</w:t>
            </w:r>
          </w:p>
        </w:tc>
        <w:tc>
          <w:tcPr>
            <w:tcW w:w="1078" w:type="dxa"/>
            <w:vAlign w:val="bottom"/>
          </w:tcPr>
          <w:p w:rsidR="00000000" w:rsidRDefault="00000000">
            <w:pPr>
              <w:tabs>
                <w:tab w:val="decimal" w:pos="757"/>
              </w:tabs>
              <w:jc w:val="both"/>
              <w:rPr>
                <w:sz w:val="22"/>
              </w:rPr>
            </w:pPr>
            <w:r>
              <w:rPr>
                <w:sz w:val="22"/>
              </w:rPr>
              <w:t>626</w:t>
            </w:r>
          </w:p>
        </w:tc>
        <w:tc>
          <w:tcPr>
            <w:tcW w:w="1084" w:type="dxa"/>
            <w:vAlign w:val="bottom"/>
          </w:tcPr>
          <w:p w:rsidR="00000000" w:rsidRDefault="00000000">
            <w:pPr>
              <w:tabs>
                <w:tab w:val="decimal" w:pos="785"/>
              </w:tabs>
              <w:jc w:val="both"/>
              <w:rPr>
                <w:sz w:val="22"/>
              </w:rPr>
            </w:pPr>
            <w:r>
              <w:rPr>
                <w:sz w:val="22"/>
              </w:rPr>
              <w:t>474</w:t>
            </w:r>
          </w:p>
        </w:tc>
        <w:tc>
          <w:tcPr>
            <w:tcW w:w="1313" w:type="dxa"/>
            <w:vAlign w:val="bottom"/>
          </w:tcPr>
          <w:p w:rsidR="00000000" w:rsidRDefault="00000000">
            <w:pPr>
              <w:tabs>
                <w:tab w:val="decimal" w:pos="706"/>
              </w:tabs>
              <w:jc w:val="both"/>
              <w:rPr>
                <w:sz w:val="22"/>
              </w:rPr>
            </w:pPr>
            <w:r>
              <w:rPr>
                <w:sz w:val="22"/>
              </w:rPr>
              <w:t>132,1</w:t>
            </w:r>
          </w:p>
        </w:tc>
      </w:tr>
      <w:tr w:rsidR="00000000">
        <w:trPr>
          <w:cantSplit/>
          <w:tblHeader/>
          <w:jc w:val="center"/>
        </w:trPr>
        <w:tc>
          <w:tcPr>
            <w:tcW w:w="2595" w:type="dxa"/>
            <w:vAlign w:val="center"/>
          </w:tcPr>
          <w:p w:rsidR="00000000" w:rsidRDefault="00000000">
            <w:pPr>
              <w:rPr>
                <w:sz w:val="22"/>
              </w:rPr>
            </w:pPr>
            <w:r>
              <w:rPr>
                <w:sz w:val="22"/>
              </w:rPr>
              <w:t>Coimbra</w:t>
            </w:r>
          </w:p>
        </w:tc>
        <w:tc>
          <w:tcPr>
            <w:tcW w:w="1080" w:type="dxa"/>
            <w:vAlign w:val="bottom"/>
          </w:tcPr>
          <w:p w:rsidR="00000000" w:rsidRDefault="00000000">
            <w:pPr>
              <w:tabs>
                <w:tab w:val="decimal" w:pos="841"/>
              </w:tabs>
              <w:jc w:val="both"/>
              <w:rPr>
                <w:sz w:val="22"/>
              </w:rPr>
            </w:pPr>
            <w:r>
              <w:rPr>
                <w:sz w:val="22"/>
              </w:rPr>
              <w:t>440</w:t>
            </w:r>
          </w:p>
        </w:tc>
        <w:tc>
          <w:tcPr>
            <w:tcW w:w="1082" w:type="dxa"/>
            <w:vAlign w:val="bottom"/>
          </w:tcPr>
          <w:p w:rsidR="00000000" w:rsidRDefault="00000000">
            <w:pPr>
              <w:tabs>
                <w:tab w:val="decimal" w:pos="789"/>
              </w:tabs>
              <w:jc w:val="both"/>
              <w:rPr>
                <w:sz w:val="22"/>
              </w:rPr>
            </w:pPr>
            <w:r>
              <w:rPr>
                <w:sz w:val="22"/>
              </w:rPr>
              <w:t>421</w:t>
            </w:r>
          </w:p>
        </w:tc>
        <w:tc>
          <w:tcPr>
            <w:tcW w:w="1091" w:type="dxa"/>
            <w:vAlign w:val="bottom"/>
          </w:tcPr>
          <w:p w:rsidR="00000000" w:rsidRDefault="00000000">
            <w:pPr>
              <w:tabs>
                <w:tab w:val="decimal" w:pos="599"/>
              </w:tabs>
              <w:jc w:val="both"/>
              <w:rPr>
                <w:sz w:val="22"/>
              </w:rPr>
            </w:pPr>
            <w:r>
              <w:rPr>
                <w:sz w:val="22"/>
              </w:rPr>
              <w:t>104,5</w:t>
            </w:r>
          </w:p>
        </w:tc>
        <w:tc>
          <w:tcPr>
            <w:tcW w:w="1078" w:type="dxa"/>
            <w:vAlign w:val="bottom"/>
          </w:tcPr>
          <w:p w:rsidR="00000000" w:rsidRDefault="00000000">
            <w:pPr>
              <w:tabs>
                <w:tab w:val="decimal" w:pos="757"/>
              </w:tabs>
              <w:jc w:val="both"/>
              <w:rPr>
                <w:sz w:val="22"/>
              </w:rPr>
            </w:pPr>
            <w:r>
              <w:rPr>
                <w:sz w:val="22"/>
              </w:rPr>
              <w:t>471</w:t>
            </w:r>
          </w:p>
        </w:tc>
        <w:tc>
          <w:tcPr>
            <w:tcW w:w="1084" w:type="dxa"/>
            <w:vAlign w:val="bottom"/>
          </w:tcPr>
          <w:p w:rsidR="00000000" w:rsidRDefault="00000000">
            <w:pPr>
              <w:tabs>
                <w:tab w:val="decimal" w:pos="785"/>
              </w:tabs>
              <w:jc w:val="both"/>
              <w:rPr>
                <w:sz w:val="22"/>
              </w:rPr>
            </w:pPr>
            <w:r>
              <w:rPr>
                <w:sz w:val="22"/>
              </w:rPr>
              <w:t>421</w:t>
            </w:r>
          </w:p>
        </w:tc>
        <w:tc>
          <w:tcPr>
            <w:tcW w:w="1313" w:type="dxa"/>
            <w:vAlign w:val="bottom"/>
          </w:tcPr>
          <w:p w:rsidR="00000000" w:rsidRDefault="00000000">
            <w:pPr>
              <w:tabs>
                <w:tab w:val="decimal" w:pos="706"/>
              </w:tabs>
              <w:jc w:val="both"/>
              <w:rPr>
                <w:sz w:val="22"/>
              </w:rPr>
            </w:pPr>
            <w:r>
              <w:rPr>
                <w:sz w:val="22"/>
              </w:rPr>
              <w:t>111,9</w:t>
            </w:r>
          </w:p>
        </w:tc>
      </w:tr>
      <w:tr w:rsidR="00000000">
        <w:trPr>
          <w:cantSplit/>
          <w:tblHeader/>
          <w:jc w:val="center"/>
        </w:trPr>
        <w:tc>
          <w:tcPr>
            <w:tcW w:w="2595" w:type="dxa"/>
            <w:vAlign w:val="center"/>
          </w:tcPr>
          <w:p w:rsidR="00000000" w:rsidRDefault="00000000">
            <w:pPr>
              <w:rPr>
                <w:sz w:val="22"/>
              </w:rPr>
            </w:pPr>
            <w:r>
              <w:rPr>
                <w:sz w:val="22"/>
              </w:rPr>
              <w:t>Funchal</w:t>
            </w:r>
          </w:p>
        </w:tc>
        <w:tc>
          <w:tcPr>
            <w:tcW w:w="1080" w:type="dxa"/>
            <w:vAlign w:val="bottom"/>
          </w:tcPr>
          <w:p w:rsidR="00000000" w:rsidRDefault="00000000">
            <w:pPr>
              <w:tabs>
                <w:tab w:val="decimal" w:pos="841"/>
              </w:tabs>
              <w:jc w:val="both"/>
              <w:rPr>
                <w:sz w:val="22"/>
              </w:rPr>
            </w:pPr>
            <w:r>
              <w:rPr>
                <w:sz w:val="22"/>
              </w:rPr>
              <w:t>272</w:t>
            </w:r>
          </w:p>
        </w:tc>
        <w:tc>
          <w:tcPr>
            <w:tcW w:w="1082" w:type="dxa"/>
            <w:vAlign w:val="bottom"/>
          </w:tcPr>
          <w:p w:rsidR="00000000" w:rsidRDefault="00000000">
            <w:pPr>
              <w:tabs>
                <w:tab w:val="decimal" w:pos="789"/>
              </w:tabs>
              <w:jc w:val="both"/>
              <w:rPr>
                <w:sz w:val="22"/>
              </w:rPr>
            </w:pPr>
            <w:r>
              <w:rPr>
                <w:sz w:val="22"/>
              </w:rPr>
              <w:t>349</w:t>
            </w:r>
          </w:p>
        </w:tc>
        <w:tc>
          <w:tcPr>
            <w:tcW w:w="1091" w:type="dxa"/>
            <w:vAlign w:val="bottom"/>
          </w:tcPr>
          <w:p w:rsidR="00000000" w:rsidRDefault="00000000">
            <w:pPr>
              <w:tabs>
                <w:tab w:val="decimal" w:pos="599"/>
              </w:tabs>
              <w:jc w:val="both"/>
              <w:rPr>
                <w:sz w:val="22"/>
              </w:rPr>
            </w:pPr>
            <w:r>
              <w:rPr>
                <w:sz w:val="22"/>
              </w:rPr>
              <w:t>77,9</w:t>
            </w:r>
          </w:p>
        </w:tc>
        <w:tc>
          <w:tcPr>
            <w:tcW w:w="1078" w:type="dxa"/>
            <w:vAlign w:val="bottom"/>
          </w:tcPr>
          <w:p w:rsidR="00000000" w:rsidRDefault="00000000">
            <w:pPr>
              <w:tabs>
                <w:tab w:val="decimal" w:pos="757"/>
              </w:tabs>
              <w:jc w:val="both"/>
              <w:rPr>
                <w:sz w:val="22"/>
              </w:rPr>
            </w:pPr>
            <w:r>
              <w:rPr>
                <w:sz w:val="22"/>
              </w:rPr>
              <w:t>311</w:t>
            </w:r>
          </w:p>
        </w:tc>
        <w:tc>
          <w:tcPr>
            <w:tcW w:w="1084" w:type="dxa"/>
            <w:vAlign w:val="bottom"/>
          </w:tcPr>
          <w:p w:rsidR="00000000" w:rsidRDefault="00000000">
            <w:pPr>
              <w:tabs>
                <w:tab w:val="decimal" w:pos="785"/>
              </w:tabs>
              <w:jc w:val="both"/>
              <w:rPr>
                <w:sz w:val="22"/>
              </w:rPr>
            </w:pPr>
            <w:r>
              <w:rPr>
                <w:sz w:val="22"/>
              </w:rPr>
              <w:t>349</w:t>
            </w:r>
          </w:p>
        </w:tc>
        <w:tc>
          <w:tcPr>
            <w:tcW w:w="1313" w:type="dxa"/>
            <w:vAlign w:val="bottom"/>
          </w:tcPr>
          <w:p w:rsidR="00000000" w:rsidRDefault="00000000">
            <w:pPr>
              <w:tabs>
                <w:tab w:val="decimal" w:pos="706"/>
              </w:tabs>
              <w:jc w:val="both"/>
              <w:rPr>
                <w:sz w:val="22"/>
              </w:rPr>
            </w:pPr>
            <w:r>
              <w:rPr>
                <w:sz w:val="22"/>
              </w:rPr>
              <w:t>89,1</w:t>
            </w:r>
          </w:p>
        </w:tc>
      </w:tr>
      <w:tr w:rsidR="00000000">
        <w:trPr>
          <w:cantSplit/>
          <w:tblHeader/>
          <w:jc w:val="center"/>
        </w:trPr>
        <w:tc>
          <w:tcPr>
            <w:tcW w:w="2595" w:type="dxa"/>
            <w:vAlign w:val="center"/>
          </w:tcPr>
          <w:p w:rsidR="00000000" w:rsidRDefault="00000000">
            <w:pPr>
              <w:rPr>
                <w:sz w:val="22"/>
              </w:rPr>
            </w:pPr>
            <w:r>
              <w:rPr>
                <w:sz w:val="22"/>
              </w:rPr>
              <w:t>Izeda</w:t>
            </w:r>
          </w:p>
        </w:tc>
        <w:tc>
          <w:tcPr>
            <w:tcW w:w="1080" w:type="dxa"/>
            <w:vAlign w:val="bottom"/>
          </w:tcPr>
          <w:p w:rsidR="00000000" w:rsidRDefault="00000000">
            <w:pPr>
              <w:tabs>
                <w:tab w:val="decimal" w:pos="841"/>
              </w:tabs>
              <w:jc w:val="both"/>
              <w:rPr>
                <w:sz w:val="22"/>
              </w:rPr>
            </w:pPr>
            <w:r>
              <w:rPr>
                <w:sz w:val="22"/>
              </w:rPr>
              <w:t>297</w:t>
            </w:r>
          </w:p>
        </w:tc>
        <w:tc>
          <w:tcPr>
            <w:tcW w:w="1082" w:type="dxa"/>
            <w:vAlign w:val="bottom"/>
          </w:tcPr>
          <w:p w:rsidR="00000000" w:rsidRDefault="00000000">
            <w:pPr>
              <w:tabs>
                <w:tab w:val="decimal" w:pos="789"/>
              </w:tabs>
              <w:jc w:val="both"/>
              <w:rPr>
                <w:sz w:val="22"/>
              </w:rPr>
            </w:pPr>
            <w:r>
              <w:rPr>
                <w:sz w:val="22"/>
              </w:rPr>
              <w:t>289</w:t>
            </w:r>
          </w:p>
        </w:tc>
        <w:tc>
          <w:tcPr>
            <w:tcW w:w="1091" w:type="dxa"/>
            <w:vAlign w:val="bottom"/>
          </w:tcPr>
          <w:p w:rsidR="00000000" w:rsidRDefault="00000000">
            <w:pPr>
              <w:tabs>
                <w:tab w:val="decimal" w:pos="599"/>
              </w:tabs>
              <w:jc w:val="both"/>
              <w:rPr>
                <w:sz w:val="22"/>
              </w:rPr>
            </w:pPr>
            <w:r>
              <w:rPr>
                <w:sz w:val="22"/>
              </w:rPr>
              <w:t>102,8</w:t>
            </w:r>
          </w:p>
        </w:tc>
        <w:tc>
          <w:tcPr>
            <w:tcW w:w="1078" w:type="dxa"/>
            <w:vAlign w:val="bottom"/>
          </w:tcPr>
          <w:p w:rsidR="00000000" w:rsidRDefault="00000000">
            <w:pPr>
              <w:tabs>
                <w:tab w:val="decimal" w:pos="757"/>
              </w:tabs>
              <w:jc w:val="both"/>
              <w:rPr>
                <w:sz w:val="22"/>
              </w:rPr>
            </w:pPr>
            <w:r>
              <w:rPr>
                <w:sz w:val="22"/>
              </w:rPr>
              <w:t>259</w:t>
            </w:r>
          </w:p>
        </w:tc>
        <w:tc>
          <w:tcPr>
            <w:tcW w:w="1084" w:type="dxa"/>
            <w:vAlign w:val="bottom"/>
          </w:tcPr>
          <w:p w:rsidR="00000000" w:rsidRDefault="00000000">
            <w:pPr>
              <w:tabs>
                <w:tab w:val="decimal" w:pos="785"/>
              </w:tabs>
              <w:jc w:val="both"/>
              <w:rPr>
                <w:sz w:val="22"/>
              </w:rPr>
            </w:pPr>
            <w:r>
              <w:rPr>
                <w:sz w:val="22"/>
              </w:rPr>
              <w:t>289</w:t>
            </w:r>
          </w:p>
        </w:tc>
        <w:tc>
          <w:tcPr>
            <w:tcW w:w="1313" w:type="dxa"/>
            <w:vAlign w:val="bottom"/>
          </w:tcPr>
          <w:p w:rsidR="00000000" w:rsidRDefault="00000000">
            <w:pPr>
              <w:tabs>
                <w:tab w:val="decimal" w:pos="706"/>
              </w:tabs>
              <w:jc w:val="both"/>
              <w:rPr>
                <w:sz w:val="22"/>
              </w:rPr>
            </w:pPr>
            <w:r>
              <w:rPr>
                <w:sz w:val="22"/>
              </w:rPr>
              <w:t>89,6</w:t>
            </w:r>
          </w:p>
        </w:tc>
      </w:tr>
      <w:tr w:rsidR="00000000">
        <w:trPr>
          <w:cantSplit/>
          <w:tblHeader/>
          <w:jc w:val="center"/>
        </w:trPr>
        <w:tc>
          <w:tcPr>
            <w:tcW w:w="2595" w:type="dxa"/>
            <w:vAlign w:val="center"/>
          </w:tcPr>
          <w:p w:rsidR="00000000" w:rsidRDefault="00000000">
            <w:pPr>
              <w:rPr>
                <w:sz w:val="22"/>
              </w:rPr>
            </w:pPr>
            <w:r>
              <w:rPr>
                <w:sz w:val="22"/>
              </w:rPr>
              <w:t>Linhó</w:t>
            </w:r>
          </w:p>
        </w:tc>
        <w:tc>
          <w:tcPr>
            <w:tcW w:w="1080" w:type="dxa"/>
            <w:vAlign w:val="bottom"/>
          </w:tcPr>
          <w:p w:rsidR="00000000" w:rsidRDefault="00000000">
            <w:pPr>
              <w:tabs>
                <w:tab w:val="decimal" w:pos="841"/>
              </w:tabs>
              <w:jc w:val="both"/>
              <w:rPr>
                <w:sz w:val="22"/>
              </w:rPr>
            </w:pPr>
            <w:r>
              <w:rPr>
                <w:sz w:val="22"/>
              </w:rPr>
              <w:t>585</w:t>
            </w:r>
          </w:p>
        </w:tc>
        <w:tc>
          <w:tcPr>
            <w:tcW w:w="1082" w:type="dxa"/>
            <w:vAlign w:val="bottom"/>
          </w:tcPr>
          <w:p w:rsidR="00000000" w:rsidRDefault="00000000">
            <w:pPr>
              <w:tabs>
                <w:tab w:val="decimal" w:pos="789"/>
              </w:tabs>
              <w:jc w:val="both"/>
              <w:rPr>
                <w:sz w:val="22"/>
              </w:rPr>
            </w:pPr>
            <w:r>
              <w:rPr>
                <w:sz w:val="22"/>
              </w:rPr>
              <w:t>584</w:t>
            </w:r>
          </w:p>
        </w:tc>
        <w:tc>
          <w:tcPr>
            <w:tcW w:w="1091" w:type="dxa"/>
            <w:vAlign w:val="bottom"/>
          </w:tcPr>
          <w:p w:rsidR="00000000" w:rsidRDefault="00000000">
            <w:pPr>
              <w:tabs>
                <w:tab w:val="decimal" w:pos="599"/>
              </w:tabs>
              <w:jc w:val="both"/>
              <w:rPr>
                <w:sz w:val="22"/>
              </w:rPr>
            </w:pPr>
            <w:r>
              <w:rPr>
                <w:sz w:val="22"/>
              </w:rPr>
              <w:t>100,2</w:t>
            </w:r>
          </w:p>
        </w:tc>
        <w:tc>
          <w:tcPr>
            <w:tcW w:w="1078" w:type="dxa"/>
            <w:vAlign w:val="bottom"/>
          </w:tcPr>
          <w:p w:rsidR="00000000" w:rsidRDefault="00000000">
            <w:pPr>
              <w:tabs>
                <w:tab w:val="decimal" w:pos="757"/>
              </w:tabs>
              <w:jc w:val="both"/>
              <w:rPr>
                <w:sz w:val="22"/>
              </w:rPr>
            </w:pPr>
            <w:r>
              <w:rPr>
                <w:sz w:val="22"/>
              </w:rPr>
              <w:t>615</w:t>
            </w:r>
          </w:p>
        </w:tc>
        <w:tc>
          <w:tcPr>
            <w:tcW w:w="1084" w:type="dxa"/>
            <w:vAlign w:val="bottom"/>
          </w:tcPr>
          <w:p w:rsidR="00000000" w:rsidRDefault="00000000">
            <w:pPr>
              <w:tabs>
                <w:tab w:val="decimal" w:pos="785"/>
              </w:tabs>
              <w:jc w:val="both"/>
              <w:rPr>
                <w:sz w:val="22"/>
              </w:rPr>
            </w:pPr>
            <w:r>
              <w:rPr>
                <w:sz w:val="22"/>
              </w:rPr>
              <w:t>584</w:t>
            </w:r>
          </w:p>
        </w:tc>
        <w:tc>
          <w:tcPr>
            <w:tcW w:w="1313" w:type="dxa"/>
            <w:vAlign w:val="bottom"/>
          </w:tcPr>
          <w:p w:rsidR="00000000" w:rsidRDefault="00000000">
            <w:pPr>
              <w:tabs>
                <w:tab w:val="decimal" w:pos="706"/>
              </w:tabs>
              <w:jc w:val="both"/>
              <w:rPr>
                <w:sz w:val="22"/>
              </w:rPr>
            </w:pPr>
            <w:r>
              <w:rPr>
                <w:sz w:val="22"/>
              </w:rPr>
              <w:t>105,3</w:t>
            </w:r>
          </w:p>
        </w:tc>
      </w:tr>
      <w:tr w:rsidR="00000000">
        <w:trPr>
          <w:cantSplit/>
          <w:tblHeader/>
          <w:jc w:val="center"/>
        </w:trPr>
        <w:tc>
          <w:tcPr>
            <w:tcW w:w="2595" w:type="dxa"/>
            <w:vAlign w:val="center"/>
          </w:tcPr>
          <w:p w:rsidR="00000000" w:rsidRDefault="00000000">
            <w:pPr>
              <w:rPr>
                <w:sz w:val="22"/>
              </w:rPr>
            </w:pPr>
            <w:r>
              <w:rPr>
                <w:sz w:val="22"/>
              </w:rPr>
              <w:t>Lisboa</w:t>
            </w:r>
          </w:p>
        </w:tc>
        <w:tc>
          <w:tcPr>
            <w:tcW w:w="1080" w:type="dxa"/>
            <w:vAlign w:val="bottom"/>
          </w:tcPr>
          <w:p w:rsidR="00000000" w:rsidRDefault="00000000">
            <w:pPr>
              <w:tabs>
                <w:tab w:val="decimal" w:pos="841"/>
              </w:tabs>
              <w:jc w:val="both"/>
              <w:rPr>
                <w:sz w:val="22"/>
              </w:rPr>
            </w:pPr>
            <w:r>
              <w:rPr>
                <w:sz w:val="22"/>
              </w:rPr>
              <w:t>1.260</w:t>
            </w:r>
          </w:p>
        </w:tc>
        <w:tc>
          <w:tcPr>
            <w:tcW w:w="1082" w:type="dxa"/>
            <w:vAlign w:val="bottom"/>
          </w:tcPr>
          <w:p w:rsidR="00000000" w:rsidRDefault="00000000">
            <w:pPr>
              <w:tabs>
                <w:tab w:val="decimal" w:pos="789"/>
              </w:tabs>
              <w:jc w:val="both"/>
              <w:rPr>
                <w:sz w:val="22"/>
              </w:rPr>
            </w:pPr>
            <w:r>
              <w:rPr>
                <w:sz w:val="22"/>
              </w:rPr>
              <w:t>887</w:t>
            </w:r>
          </w:p>
        </w:tc>
        <w:tc>
          <w:tcPr>
            <w:tcW w:w="1091" w:type="dxa"/>
            <w:vAlign w:val="bottom"/>
          </w:tcPr>
          <w:p w:rsidR="00000000" w:rsidRDefault="00000000">
            <w:pPr>
              <w:tabs>
                <w:tab w:val="decimal" w:pos="599"/>
              </w:tabs>
              <w:jc w:val="both"/>
              <w:rPr>
                <w:sz w:val="22"/>
              </w:rPr>
            </w:pPr>
            <w:r>
              <w:rPr>
                <w:sz w:val="22"/>
              </w:rPr>
              <w:t>142,1</w:t>
            </w:r>
          </w:p>
        </w:tc>
        <w:tc>
          <w:tcPr>
            <w:tcW w:w="1078" w:type="dxa"/>
            <w:vAlign w:val="bottom"/>
          </w:tcPr>
          <w:p w:rsidR="00000000" w:rsidRDefault="00000000">
            <w:pPr>
              <w:tabs>
                <w:tab w:val="decimal" w:pos="757"/>
              </w:tabs>
              <w:jc w:val="both"/>
              <w:rPr>
                <w:sz w:val="22"/>
              </w:rPr>
            </w:pPr>
            <w:r>
              <w:rPr>
                <w:sz w:val="22"/>
              </w:rPr>
              <w:t>1306</w:t>
            </w:r>
          </w:p>
        </w:tc>
        <w:tc>
          <w:tcPr>
            <w:tcW w:w="1084" w:type="dxa"/>
            <w:vAlign w:val="bottom"/>
          </w:tcPr>
          <w:p w:rsidR="00000000" w:rsidRDefault="00000000">
            <w:pPr>
              <w:tabs>
                <w:tab w:val="decimal" w:pos="785"/>
              </w:tabs>
              <w:jc w:val="both"/>
              <w:rPr>
                <w:sz w:val="22"/>
              </w:rPr>
            </w:pPr>
            <w:r>
              <w:rPr>
                <w:sz w:val="22"/>
              </w:rPr>
              <w:t>887</w:t>
            </w:r>
          </w:p>
        </w:tc>
        <w:tc>
          <w:tcPr>
            <w:tcW w:w="1313" w:type="dxa"/>
            <w:vAlign w:val="bottom"/>
          </w:tcPr>
          <w:p w:rsidR="00000000" w:rsidRDefault="00000000">
            <w:pPr>
              <w:tabs>
                <w:tab w:val="decimal" w:pos="706"/>
              </w:tabs>
              <w:jc w:val="both"/>
              <w:rPr>
                <w:sz w:val="22"/>
              </w:rPr>
            </w:pPr>
            <w:r>
              <w:rPr>
                <w:sz w:val="22"/>
              </w:rPr>
              <w:t>147,2</w:t>
            </w:r>
          </w:p>
        </w:tc>
      </w:tr>
      <w:tr w:rsidR="00000000">
        <w:trPr>
          <w:cantSplit/>
          <w:tblHeader/>
          <w:jc w:val="center"/>
        </w:trPr>
        <w:tc>
          <w:tcPr>
            <w:tcW w:w="2595" w:type="dxa"/>
            <w:vAlign w:val="center"/>
          </w:tcPr>
          <w:p w:rsidR="00000000" w:rsidRDefault="00000000">
            <w:pPr>
              <w:rPr>
                <w:sz w:val="22"/>
              </w:rPr>
            </w:pPr>
            <w:r>
              <w:rPr>
                <w:sz w:val="22"/>
              </w:rPr>
              <w:t>Monsanto</w:t>
            </w:r>
          </w:p>
        </w:tc>
        <w:tc>
          <w:tcPr>
            <w:tcW w:w="1080" w:type="dxa"/>
            <w:vAlign w:val="bottom"/>
          </w:tcPr>
          <w:p w:rsidR="00000000" w:rsidRDefault="00000000">
            <w:pPr>
              <w:tabs>
                <w:tab w:val="decimal" w:pos="841"/>
              </w:tabs>
              <w:jc w:val="both"/>
              <w:rPr>
                <w:sz w:val="22"/>
              </w:rPr>
            </w:pPr>
            <w:r>
              <w:rPr>
                <w:sz w:val="22"/>
              </w:rPr>
              <w:t>191</w:t>
            </w:r>
          </w:p>
        </w:tc>
        <w:tc>
          <w:tcPr>
            <w:tcW w:w="1082" w:type="dxa"/>
            <w:vAlign w:val="bottom"/>
          </w:tcPr>
          <w:p w:rsidR="00000000" w:rsidRDefault="00000000">
            <w:pPr>
              <w:tabs>
                <w:tab w:val="decimal" w:pos="789"/>
              </w:tabs>
              <w:jc w:val="both"/>
              <w:rPr>
                <w:sz w:val="22"/>
              </w:rPr>
            </w:pPr>
            <w:r>
              <w:rPr>
                <w:sz w:val="22"/>
              </w:rPr>
              <w:t>166</w:t>
            </w:r>
          </w:p>
        </w:tc>
        <w:tc>
          <w:tcPr>
            <w:tcW w:w="1091" w:type="dxa"/>
            <w:vAlign w:val="bottom"/>
          </w:tcPr>
          <w:p w:rsidR="00000000" w:rsidRDefault="00000000">
            <w:pPr>
              <w:tabs>
                <w:tab w:val="decimal" w:pos="599"/>
              </w:tabs>
              <w:jc w:val="both"/>
              <w:rPr>
                <w:sz w:val="22"/>
              </w:rPr>
            </w:pPr>
            <w:r>
              <w:rPr>
                <w:sz w:val="22"/>
              </w:rPr>
              <w:t>115,1</w:t>
            </w:r>
          </w:p>
        </w:tc>
        <w:tc>
          <w:tcPr>
            <w:tcW w:w="1078" w:type="dxa"/>
            <w:vAlign w:val="bottom"/>
          </w:tcPr>
          <w:p w:rsidR="00000000" w:rsidRDefault="00000000">
            <w:pPr>
              <w:tabs>
                <w:tab w:val="decimal" w:pos="757"/>
              </w:tabs>
              <w:jc w:val="both"/>
              <w:rPr>
                <w:sz w:val="22"/>
              </w:rPr>
            </w:pPr>
            <w:r>
              <w:rPr>
                <w:sz w:val="22"/>
              </w:rPr>
              <w:t>181</w:t>
            </w:r>
          </w:p>
        </w:tc>
        <w:tc>
          <w:tcPr>
            <w:tcW w:w="1084" w:type="dxa"/>
            <w:vAlign w:val="bottom"/>
          </w:tcPr>
          <w:p w:rsidR="00000000" w:rsidRDefault="00000000">
            <w:pPr>
              <w:tabs>
                <w:tab w:val="decimal" w:pos="785"/>
              </w:tabs>
              <w:jc w:val="both"/>
              <w:rPr>
                <w:sz w:val="22"/>
              </w:rPr>
            </w:pPr>
            <w:r>
              <w:rPr>
                <w:sz w:val="22"/>
              </w:rPr>
              <w:t>166</w:t>
            </w:r>
          </w:p>
        </w:tc>
        <w:tc>
          <w:tcPr>
            <w:tcW w:w="1313" w:type="dxa"/>
            <w:vAlign w:val="bottom"/>
          </w:tcPr>
          <w:p w:rsidR="00000000" w:rsidRDefault="00000000">
            <w:pPr>
              <w:tabs>
                <w:tab w:val="decimal" w:pos="706"/>
              </w:tabs>
              <w:jc w:val="both"/>
              <w:rPr>
                <w:sz w:val="22"/>
              </w:rPr>
            </w:pPr>
            <w:r>
              <w:rPr>
                <w:sz w:val="22"/>
              </w:rPr>
              <w:t>109,0</w:t>
            </w:r>
          </w:p>
        </w:tc>
      </w:tr>
      <w:tr w:rsidR="00000000">
        <w:trPr>
          <w:cantSplit/>
          <w:tblHeader/>
          <w:jc w:val="center"/>
        </w:trPr>
        <w:tc>
          <w:tcPr>
            <w:tcW w:w="2595" w:type="dxa"/>
            <w:vAlign w:val="center"/>
          </w:tcPr>
          <w:p w:rsidR="00000000" w:rsidRDefault="00000000">
            <w:pPr>
              <w:rPr>
                <w:sz w:val="22"/>
              </w:rPr>
            </w:pPr>
            <w:r>
              <w:rPr>
                <w:sz w:val="22"/>
              </w:rPr>
              <w:t>P. Ferreira</w:t>
            </w:r>
          </w:p>
        </w:tc>
        <w:tc>
          <w:tcPr>
            <w:tcW w:w="1080" w:type="dxa"/>
            <w:vAlign w:val="bottom"/>
          </w:tcPr>
          <w:p w:rsidR="00000000" w:rsidRDefault="00000000">
            <w:pPr>
              <w:tabs>
                <w:tab w:val="decimal" w:pos="841"/>
              </w:tabs>
              <w:jc w:val="both"/>
              <w:rPr>
                <w:sz w:val="22"/>
              </w:rPr>
            </w:pPr>
            <w:r>
              <w:rPr>
                <w:sz w:val="22"/>
              </w:rPr>
              <w:t>670</w:t>
            </w:r>
          </w:p>
        </w:tc>
        <w:tc>
          <w:tcPr>
            <w:tcW w:w="1082" w:type="dxa"/>
            <w:vAlign w:val="bottom"/>
          </w:tcPr>
          <w:p w:rsidR="00000000" w:rsidRDefault="00000000">
            <w:pPr>
              <w:tabs>
                <w:tab w:val="decimal" w:pos="789"/>
              </w:tabs>
              <w:jc w:val="both"/>
              <w:rPr>
                <w:sz w:val="22"/>
              </w:rPr>
            </w:pPr>
            <w:r>
              <w:rPr>
                <w:sz w:val="22"/>
              </w:rPr>
              <w:t>570</w:t>
            </w:r>
          </w:p>
        </w:tc>
        <w:tc>
          <w:tcPr>
            <w:tcW w:w="1091" w:type="dxa"/>
            <w:vAlign w:val="bottom"/>
          </w:tcPr>
          <w:p w:rsidR="00000000" w:rsidRDefault="00000000">
            <w:pPr>
              <w:tabs>
                <w:tab w:val="decimal" w:pos="599"/>
              </w:tabs>
              <w:jc w:val="both"/>
              <w:rPr>
                <w:sz w:val="22"/>
              </w:rPr>
            </w:pPr>
            <w:r>
              <w:rPr>
                <w:sz w:val="22"/>
              </w:rPr>
              <w:t>117,5</w:t>
            </w:r>
          </w:p>
        </w:tc>
        <w:tc>
          <w:tcPr>
            <w:tcW w:w="1078" w:type="dxa"/>
            <w:vAlign w:val="bottom"/>
          </w:tcPr>
          <w:p w:rsidR="00000000" w:rsidRDefault="00000000">
            <w:pPr>
              <w:tabs>
                <w:tab w:val="decimal" w:pos="757"/>
              </w:tabs>
              <w:jc w:val="both"/>
              <w:rPr>
                <w:sz w:val="22"/>
              </w:rPr>
            </w:pPr>
            <w:r>
              <w:rPr>
                <w:sz w:val="22"/>
              </w:rPr>
              <w:t>646</w:t>
            </w:r>
          </w:p>
        </w:tc>
        <w:tc>
          <w:tcPr>
            <w:tcW w:w="1084" w:type="dxa"/>
            <w:vAlign w:val="bottom"/>
          </w:tcPr>
          <w:p w:rsidR="00000000" w:rsidRDefault="00000000">
            <w:pPr>
              <w:tabs>
                <w:tab w:val="decimal" w:pos="785"/>
              </w:tabs>
              <w:jc w:val="both"/>
              <w:rPr>
                <w:sz w:val="22"/>
              </w:rPr>
            </w:pPr>
            <w:r>
              <w:rPr>
                <w:sz w:val="22"/>
              </w:rPr>
              <w:t>570</w:t>
            </w:r>
          </w:p>
        </w:tc>
        <w:tc>
          <w:tcPr>
            <w:tcW w:w="1313" w:type="dxa"/>
            <w:vAlign w:val="bottom"/>
          </w:tcPr>
          <w:p w:rsidR="00000000" w:rsidRDefault="00000000">
            <w:pPr>
              <w:tabs>
                <w:tab w:val="decimal" w:pos="706"/>
              </w:tabs>
              <w:jc w:val="both"/>
              <w:rPr>
                <w:sz w:val="22"/>
              </w:rPr>
            </w:pPr>
            <w:r>
              <w:rPr>
                <w:sz w:val="22"/>
              </w:rPr>
              <w:t>113,3</w:t>
            </w:r>
          </w:p>
        </w:tc>
      </w:tr>
      <w:tr w:rsidR="00000000">
        <w:trPr>
          <w:cantSplit/>
          <w:tblHeader/>
          <w:jc w:val="center"/>
        </w:trPr>
        <w:tc>
          <w:tcPr>
            <w:tcW w:w="2595" w:type="dxa"/>
            <w:vAlign w:val="center"/>
          </w:tcPr>
          <w:p w:rsidR="00000000" w:rsidRDefault="00000000">
            <w:pPr>
              <w:rPr>
                <w:sz w:val="22"/>
              </w:rPr>
            </w:pPr>
            <w:r>
              <w:rPr>
                <w:sz w:val="22"/>
              </w:rPr>
              <w:t>P. da Cruz</w:t>
            </w:r>
          </w:p>
        </w:tc>
        <w:tc>
          <w:tcPr>
            <w:tcW w:w="1080" w:type="dxa"/>
            <w:vAlign w:val="bottom"/>
          </w:tcPr>
          <w:p w:rsidR="00000000" w:rsidRDefault="00000000">
            <w:pPr>
              <w:tabs>
                <w:tab w:val="decimal" w:pos="841"/>
              </w:tabs>
              <w:jc w:val="both"/>
              <w:rPr>
                <w:sz w:val="22"/>
              </w:rPr>
            </w:pPr>
            <w:r>
              <w:rPr>
                <w:sz w:val="22"/>
              </w:rPr>
              <w:t>718</w:t>
            </w:r>
          </w:p>
        </w:tc>
        <w:tc>
          <w:tcPr>
            <w:tcW w:w="1082" w:type="dxa"/>
            <w:vAlign w:val="bottom"/>
          </w:tcPr>
          <w:p w:rsidR="00000000" w:rsidRDefault="00000000">
            <w:pPr>
              <w:tabs>
                <w:tab w:val="decimal" w:pos="789"/>
              </w:tabs>
              <w:jc w:val="both"/>
              <w:rPr>
                <w:sz w:val="22"/>
              </w:rPr>
            </w:pPr>
            <w:r>
              <w:rPr>
                <w:sz w:val="22"/>
              </w:rPr>
              <w:t>737</w:t>
            </w:r>
          </w:p>
        </w:tc>
        <w:tc>
          <w:tcPr>
            <w:tcW w:w="1091" w:type="dxa"/>
            <w:vAlign w:val="bottom"/>
          </w:tcPr>
          <w:p w:rsidR="00000000" w:rsidRDefault="00000000">
            <w:pPr>
              <w:tabs>
                <w:tab w:val="decimal" w:pos="599"/>
              </w:tabs>
              <w:jc w:val="both"/>
              <w:rPr>
                <w:sz w:val="22"/>
              </w:rPr>
            </w:pPr>
            <w:r>
              <w:rPr>
                <w:sz w:val="22"/>
              </w:rPr>
              <w:t>97,4</w:t>
            </w:r>
          </w:p>
        </w:tc>
        <w:tc>
          <w:tcPr>
            <w:tcW w:w="1078" w:type="dxa"/>
            <w:vAlign w:val="bottom"/>
          </w:tcPr>
          <w:p w:rsidR="00000000" w:rsidRDefault="00000000">
            <w:pPr>
              <w:tabs>
                <w:tab w:val="decimal" w:pos="757"/>
              </w:tabs>
              <w:jc w:val="both"/>
              <w:rPr>
                <w:sz w:val="22"/>
              </w:rPr>
            </w:pPr>
            <w:r>
              <w:rPr>
                <w:sz w:val="22"/>
              </w:rPr>
              <w:t>668</w:t>
            </w:r>
          </w:p>
        </w:tc>
        <w:tc>
          <w:tcPr>
            <w:tcW w:w="1084" w:type="dxa"/>
            <w:vAlign w:val="bottom"/>
          </w:tcPr>
          <w:p w:rsidR="00000000" w:rsidRDefault="00000000">
            <w:pPr>
              <w:tabs>
                <w:tab w:val="decimal" w:pos="785"/>
              </w:tabs>
              <w:jc w:val="both"/>
              <w:rPr>
                <w:sz w:val="22"/>
              </w:rPr>
            </w:pPr>
            <w:r>
              <w:rPr>
                <w:sz w:val="22"/>
              </w:rPr>
              <w:t>737</w:t>
            </w:r>
          </w:p>
        </w:tc>
        <w:tc>
          <w:tcPr>
            <w:tcW w:w="1313" w:type="dxa"/>
            <w:vAlign w:val="bottom"/>
          </w:tcPr>
          <w:p w:rsidR="00000000" w:rsidRDefault="00000000">
            <w:pPr>
              <w:tabs>
                <w:tab w:val="decimal" w:pos="706"/>
              </w:tabs>
              <w:jc w:val="both"/>
              <w:rPr>
                <w:sz w:val="22"/>
              </w:rPr>
            </w:pPr>
            <w:r>
              <w:rPr>
                <w:sz w:val="22"/>
              </w:rPr>
              <w:t>90,6</w:t>
            </w:r>
          </w:p>
        </w:tc>
      </w:tr>
      <w:tr w:rsidR="00000000">
        <w:trPr>
          <w:cantSplit/>
          <w:tblHeader/>
          <w:jc w:val="center"/>
        </w:trPr>
        <w:tc>
          <w:tcPr>
            <w:tcW w:w="2595" w:type="dxa"/>
            <w:vAlign w:val="center"/>
          </w:tcPr>
          <w:p w:rsidR="00000000" w:rsidRDefault="00000000">
            <w:pPr>
              <w:rPr>
                <w:sz w:val="22"/>
              </w:rPr>
            </w:pPr>
            <w:r>
              <w:rPr>
                <w:sz w:val="22"/>
              </w:rPr>
              <w:t>Porto</w:t>
            </w:r>
          </w:p>
        </w:tc>
        <w:tc>
          <w:tcPr>
            <w:tcW w:w="1080" w:type="dxa"/>
            <w:vAlign w:val="bottom"/>
          </w:tcPr>
          <w:p w:rsidR="00000000" w:rsidRDefault="00000000">
            <w:pPr>
              <w:tabs>
                <w:tab w:val="decimal" w:pos="841"/>
              </w:tabs>
              <w:jc w:val="both"/>
              <w:rPr>
                <w:sz w:val="22"/>
              </w:rPr>
            </w:pPr>
            <w:r>
              <w:rPr>
                <w:sz w:val="22"/>
              </w:rPr>
              <w:t>1.103</w:t>
            </w:r>
          </w:p>
        </w:tc>
        <w:tc>
          <w:tcPr>
            <w:tcW w:w="1082" w:type="dxa"/>
            <w:vAlign w:val="bottom"/>
          </w:tcPr>
          <w:p w:rsidR="00000000" w:rsidRDefault="00000000">
            <w:pPr>
              <w:tabs>
                <w:tab w:val="decimal" w:pos="789"/>
              </w:tabs>
              <w:jc w:val="both"/>
              <w:rPr>
                <w:sz w:val="22"/>
              </w:rPr>
            </w:pPr>
            <w:r>
              <w:rPr>
                <w:sz w:val="22"/>
              </w:rPr>
              <w:t>720</w:t>
            </w:r>
          </w:p>
        </w:tc>
        <w:tc>
          <w:tcPr>
            <w:tcW w:w="1091" w:type="dxa"/>
            <w:vAlign w:val="bottom"/>
          </w:tcPr>
          <w:p w:rsidR="00000000" w:rsidRDefault="00000000">
            <w:pPr>
              <w:tabs>
                <w:tab w:val="decimal" w:pos="599"/>
              </w:tabs>
              <w:jc w:val="both"/>
              <w:rPr>
                <w:sz w:val="22"/>
              </w:rPr>
            </w:pPr>
            <w:r>
              <w:rPr>
                <w:sz w:val="22"/>
              </w:rPr>
              <w:t>153,2</w:t>
            </w:r>
          </w:p>
        </w:tc>
        <w:tc>
          <w:tcPr>
            <w:tcW w:w="1078" w:type="dxa"/>
            <w:vAlign w:val="bottom"/>
          </w:tcPr>
          <w:p w:rsidR="00000000" w:rsidRDefault="00000000">
            <w:pPr>
              <w:tabs>
                <w:tab w:val="decimal" w:pos="757"/>
              </w:tabs>
              <w:jc w:val="both"/>
              <w:rPr>
                <w:sz w:val="22"/>
              </w:rPr>
            </w:pPr>
            <w:r>
              <w:rPr>
                <w:sz w:val="22"/>
              </w:rPr>
              <w:t>1.094</w:t>
            </w:r>
          </w:p>
        </w:tc>
        <w:tc>
          <w:tcPr>
            <w:tcW w:w="1084" w:type="dxa"/>
            <w:vAlign w:val="bottom"/>
          </w:tcPr>
          <w:p w:rsidR="00000000" w:rsidRDefault="00000000">
            <w:pPr>
              <w:tabs>
                <w:tab w:val="decimal" w:pos="785"/>
              </w:tabs>
              <w:jc w:val="both"/>
              <w:rPr>
                <w:sz w:val="22"/>
              </w:rPr>
            </w:pPr>
            <w:r>
              <w:rPr>
                <w:sz w:val="22"/>
              </w:rPr>
              <w:t>720</w:t>
            </w:r>
          </w:p>
        </w:tc>
        <w:tc>
          <w:tcPr>
            <w:tcW w:w="1313" w:type="dxa"/>
            <w:vAlign w:val="bottom"/>
          </w:tcPr>
          <w:p w:rsidR="00000000" w:rsidRDefault="00000000">
            <w:pPr>
              <w:tabs>
                <w:tab w:val="decimal" w:pos="706"/>
              </w:tabs>
              <w:jc w:val="both"/>
              <w:rPr>
                <w:sz w:val="22"/>
              </w:rPr>
            </w:pPr>
            <w:r>
              <w:rPr>
                <w:sz w:val="22"/>
              </w:rPr>
              <w:t>151,9</w:t>
            </w:r>
          </w:p>
        </w:tc>
      </w:tr>
      <w:tr w:rsidR="00000000">
        <w:trPr>
          <w:cantSplit/>
          <w:tblHeader/>
          <w:jc w:val="center"/>
        </w:trPr>
        <w:tc>
          <w:tcPr>
            <w:tcW w:w="2595" w:type="dxa"/>
            <w:vAlign w:val="center"/>
          </w:tcPr>
          <w:p w:rsidR="00000000" w:rsidRDefault="00000000">
            <w:pPr>
              <w:rPr>
                <w:sz w:val="22"/>
              </w:rPr>
            </w:pPr>
            <w:r>
              <w:rPr>
                <w:sz w:val="22"/>
              </w:rPr>
              <w:t>Santarém</w:t>
            </w:r>
          </w:p>
        </w:tc>
        <w:tc>
          <w:tcPr>
            <w:tcW w:w="1080" w:type="dxa"/>
            <w:vAlign w:val="bottom"/>
          </w:tcPr>
          <w:p w:rsidR="00000000" w:rsidRDefault="00000000">
            <w:pPr>
              <w:tabs>
                <w:tab w:val="decimal" w:pos="841"/>
              </w:tabs>
              <w:jc w:val="both"/>
              <w:rPr>
                <w:sz w:val="22"/>
              </w:rPr>
            </w:pPr>
            <w:r>
              <w:rPr>
                <w:sz w:val="22"/>
              </w:rPr>
              <w:t>38</w:t>
            </w:r>
          </w:p>
        </w:tc>
        <w:tc>
          <w:tcPr>
            <w:tcW w:w="1082" w:type="dxa"/>
            <w:vAlign w:val="bottom"/>
          </w:tcPr>
          <w:p w:rsidR="00000000" w:rsidRDefault="00000000">
            <w:pPr>
              <w:tabs>
                <w:tab w:val="decimal" w:pos="789"/>
              </w:tabs>
              <w:jc w:val="both"/>
              <w:rPr>
                <w:sz w:val="22"/>
              </w:rPr>
            </w:pPr>
            <w:r>
              <w:rPr>
                <w:sz w:val="22"/>
              </w:rPr>
              <w:t>36</w:t>
            </w:r>
          </w:p>
        </w:tc>
        <w:tc>
          <w:tcPr>
            <w:tcW w:w="1091" w:type="dxa"/>
            <w:vAlign w:val="bottom"/>
          </w:tcPr>
          <w:p w:rsidR="00000000" w:rsidRDefault="00000000">
            <w:pPr>
              <w:tabs>
                <w:tab w:val="decimal" w:pos="599"/>
              </w:tabs>
              <w:jc w:val="both"/>
              <w:rPr>
                <w:sz w:val="22"/>
              </w:rPr>
            </w:pPr>
            <w:r>
              <w:rPr>
                <w:sz w:val="22"/>
              </w:rPr>
              <w:t>105,6</w:t>
            </w:r>
          </w:p>
        </w:tc>
        <w:tc>
          <w:tcPr>
            <w:tcW w:w="1078" w:type="dxa"/>
            <w:vAlign w:val="bottom"/>
          </w:tcPr>
          <w:p w:rsidR="00000000" w:rsidRDefault="00000000">
            <w:pPr>
              <w:tabs>
                <w:tab w:val="decimal" w:pos="757"/>
              </w:tabs>
              <w:jc w:val="both"/>
              <w:rPr>
                <w:sz w:val="22"/>
              </w:rPr>
            </w:pPr>
            <w:r>
              <w:rPr>
                <w:sz w:val="22"/>
              </w:rPr>
              <w:t>35</w:t>
            </w:r>
          </w:p>
        </w:tc>
        <w:tc>
          <w:tcPr>
            <w:tcW w:w="1084" w:type="dxa"/>
            <w:vAlign w:val="bottom"/>
          </w:tcPr>
          <w:p w:rsidR="00000000" w:rsidRDefault="00000000">
            <w:pPr>
              <w:tabs>
                <w:tab w:val="decimal" w:pos="785"/>
              </w:tabs>
              <w:jc w:val="both"/>
              <w:rPr>
                <w:sz w:val="22"/>
              </w:rPr>
            </w:pPr>
            <w:r>
              <w:rPr>
                <w:sz w:val="22"/>
              </w:rPr>
              <w:t>36</w:t>
            </w:r>
          </w:p>
        </w:tc>
        <w:tc>
          <w:tcPr>
            <w:tcW w:w="1313" w:type="dxa"/>
            <w:vAlign w:val="bottom"/>
          </w:tcPr>
          <w:p w:rsidR="00000000" w:rsidRDefault="00000000">
            <w:pPr>
              <w:tabs>
                <w:tab w:val="decimal" w:pos="706"/>
              </w:tabs>
              <w:jc w:val="both"/>
              <w:rPr>
                <w:sz w:val="22"/>
              </w:rPr>
            </w:pPr>
            <w:r>
              <w:rPr>
                <w:sz w:val="22"/>
              </w:rPr>
              <w:t>97,2</w:t>
            </w:r>
          </w:p>
        </w:tc>
      </w:tr>
      <w:tr w:rsidR="00000000">
        <w:trPr>
          <w:cantSplit/>
          <w:tblHeader/>
          <w:jc w:val="center"/>
        </w:trPr>
        <w:tc>
          <w:tcPr>
            <w:tcW w:w="2595" w:type="dxa"/>
            <w:vAlign w:val="center"/>
          </w:tcPr>
          <w:p w:rsidR="00000000" w:rsidRDefault="00000000">
            <w:pPr>
              <w:rPr>
                <w:sz w:val="22"/>
              </w:rPr>
            </w:pPr>
            <w:r>
              <w:rPr>
                <w:sz w:val="22"/>
              </w:rPr>
              <w:t>S. C. do Bispo</w:t>
            </w:r>
          </w:p>
        </w:tc>
        <w:tc>
          <w:tcPr>
            <w:tcW w:w="1080" w:type="dxa"/>
            <w:vAlign w:val="bottom"/>
          </w:tcPr>
          <w:p w:rsidR="00000000" w:rsidRDefault="00000000">
            <w:pPr>
              <w:tabs>
                <w:tab w:val="decimal" w:pos="841"/>
              </w:tabs>
              <w:jc w:val="both"/>
              <w:rPr>
                <w:sz w:val="22"/>
              </w:rPr>
            </w:pPr>
            <w:r>
              <w:rPr>
                <w:sz w:val="22"/>
              </w:rPr>
              <w:t>362</w:t>
            </w:r>
          </w:p>
        </w:tc>
        <w:tc>
          <w:tcPr>
            <w:tcW w:w="1082" w:type="dxa"/>
            <w:vAlign w:val="bottom"/>
          </w:tcPr>
          <w:p w:rsidR="00000000" w:rsidRDefault="00000000">
            <w:pPr>
              <w:tabs>
                <w:tab w:val="decimal" w:pos="789"/>
              </w:tabs>
              <w:jc w:val="both"/>
              <w:rPr>
                <w:sz w:val="22"/>
              </w:rPr>
            </w:pPr>
            <w:r>
              <w:rPr>
                <w:sz w:val="22"/>
              </w:rPr>
              <w:t>342</w:t>
            </w:r>
          </w:p>
        </w:tc>
        <w:tc>
          <w:tcPr>
            <w:tcW w:w="1091" w:type="dxa"/>
            <w:vAlign w:val="bottom"/>
          </w:tcPr>
          <w:p w:rsidR="00000000" w:rsidRDefault="00000000">
            <w:pPr>
              <w:tabs>
                <w:tab w:val="decimal" w:pos="599"/>
              </w:tabs>
              <w:jc w:val="both"/>
              <w:rPr>
                <w:sz w:val="22"/>
              </w:rPr>
            </w:pPr>
            <w:r>
              <w:rPr>
                <w:sz w:val="22"/>
              </w:rPr>
              <w:t>105,8</w:t>
            </w:r>
          </w:p>
        </w:tc>
        <w:tc>
          <w:tcPr>
            <w:tcW w:w="1078" w:type="dxa"/>
            <w:vAlign w:val="bottom"/>
          </w:tcPr>
          <w:p w:rsidR="00000000" w:rsidRDefault="00000000">
            <w:pPr>
              <w:tabs>
                <w:tab w:val="decimal" w:pos="757"/>
              </w:tabs>
              <w:jc w:val="both"/>
              <w:rPr>
                <w:sz w:val="22"/>
              </w:rPr>
            </w:pPr>
            <w:r>
              <w:rPr>
                <w:sz w:val="22"/>
              </w:rPr>
              <w:t>373</w:t>
            </w:r>
          </w:p>
        </w:tc>
        <w:tc>
          <w:tcPr>
            <w:tcW w:w="1084" w:type="dxa"/>
            <w:vAlign w:val="bottom"/>
          </w:tcPr>
          <w:p w:rsidR="00000000" w:rsidRDefault="00000000">
            <w:pPr>
              <w:tabs>
                <w:tab w:val="decimal" w:pos="785"/>
              </w:tabs>
              <w:jc w:val="both"/>
              <w:rPr>
                <w:sz w:val="22"/>
              </w:rPr>
            </w:pPr>
            <w:r>
              <w:rPr>
                <w:sz w:val="22"/>
              </w:rPr>
              <w:t>342</w:t>
            </w:r>
          </w:p>
        </w:tc>
        <w:tc>
          <w:tcPr>
            <w:tcW w:w="1313" w:type="dxa"/>
            <w:vAlign w:val="bottom"/>
          </w:tcPr>
          <w:p w:rsidR="00000000" w:rsidRDefault="00000000">
            <w:pPr>
              <w:tabs>
                <w:tab w:val="decimal" w:pos="706"/>
              </w:tabs>
              <w:jc w:val="both"/>
              <w:rPr>
                <w:sz w:val="22"/>
              </w:rPr>
            </w:pPr>
            <w:r>
              <w:rPr>
                <w:sz w:val="22"/>
              </w:rPr>
              <w:t>109,1</w:t>
            </w:r>
          </w:p>
        </w:tc>
      </w:tr>
      <w:tr w:rsidR="00000000">
        <w:trPr>
          <w:cantSplit/>
          <w:tblHeader/>
          <w:jc w:val="center"/>
        </w:trPr>
        <w:tc>
          <w:tcPr>
            <w:tcW w:w="2595" w:type="dxa"/>
            <w:vAlign w:val="center"/>
          </w:tcPr>
          <w:p w:rsidR="00000000" w:rsidRDefault="00000000">
            <w:pPr>
              <w:rPr>
                <w:sz w:val="22"/>
              </w:rPr>
            </w:pPr>
            <w:r>
              <w:rPr>
                <w:sz w:val="22"/>
              </w:rPr>
              <w:t>Sintra</w:t>
            </w:r>
          </w:p>
        </w:tc>
        <w:tc>
          <w:tcPr>
            <w:tcW w:w="1080" w:type="dxa"/>
            <w:vAlign w:val="bottom"/>
          </w:tcPr>
          <w:p w:rsidR="00000000" w:rsidRDefault="00000000">
            <w:pPr>
              <w:tabs>
                <w:tab w:val="decimal" w:pos="841"/>
              </w:tabs>
              <w:jc w:val="both"/>
              <w:rPr>
                <w:sz w:val="22"/>
              </w:rPr>
            </w:pPr>
            <w:r>
              <w:rPr>
                <w:sz w:val="22"/>
              </w:rPr>
              <w:t>662</w:t>
            </w:r>
          </w:p>
        </w:tc>
        <w:tc>
          <w:tcPr>
            <w:tcW w:w="1082" w:type="dxa"/>
            <w:vAlign w:val="bottom"/>
          </w:tcPr>
          <w:p w:rsidR="00000000" w:rsidRDefault="00000000">
            <w:pPr>
              <w:tabs>
                <w:tab w:val="decimal" w:pos="789"/>
              </w:tabs>
              <w:jc w:val="both"/>
              <w:rPr>
                <w:sz w:val="22"/>
              </w:rPr>
            </w:pPr>
            <w:r>
              <w:rPr>
                <w:sz w:val="22"/>
              </w:rPr>
              <w:t>729</w:t>
            </w:r>
          </w:p>
        </w:tc>
        <w:tc>
          <w:tcPr>
            <w:tcW w:w="1091" w:type="dxa"/>
            <w:vAlign w:val="bottom"/>
          </w:tcPr>
          <w:p w:rsidR="00000000" w:rsidRDefault="00000000">
            <w:pPr>
              <w:tabs>
                <w:tab w:val="decimal" w:pos="599"/>
              </w:tabs>
              <w:jc w:val="both"/>
              <w:rPr>
                <w:sz w:val="22"/>
              </w:rPr>
            </w:pPr>
            <w:r>
              <w:rPr>
                <w:sz w:val="22"/>
              </w:rPr>
              <w:t>90,8</w:t>
            </w:r>
          </w:p>
        </w:tc>
        <w:tc>
          <w:tcPr>
            <w:tcW w:w="1078" w:type="dxa"/>
            <w:vAlign w:val="bottom"/>
          </w:tcPr>
          <w:p w:rsidR="00000000" w:rsidRDefault="00000000">
            <w:pPr>
              <w:tabs>
                <w:tab w:val="decimal" w:pos="757"/>
              </w:tabs>
              <w:jc w:val="both"/>
              <w:rPr>
                <w:sz w:val="22"/>
              </w:rPr>
            </w:pPr>
            <w:r>
              <w:rPr>
                <w:sz w:val="22"/>
              </w:rPr>
              <w:t>673</w:t>
            </w:r>
          </w:p>
        </w:tc>
        <w:tc>
          <w:tcPr>
            <w:tcW w:w="1084" w:type="dxa"/>
            <w:vAlign w:val="bottom"/>
          </w:tcPr>
          <w:p w:rsidR="00000000" w:rsidRDefault="00000000">
            <w:pPr>
              <w:tabs>
                <w:tab w:val="decimal" w:pos="785"/>
              </w:tabs>
              <w:jc w:val="both"/>
              <w:rPr>
                <w:sz w:val="22"/>
              </w:rPr>
            </w:pPr>
            <w:r>
              <w:rPr>
                <w:sz w:val="22"/>
              </w:rPr>
              <w:t>729</w:t>
            </w:r>
          </w:p>
        </w:tc>
        <w:tc>
          <w:tcPr>
            <w:tcW w:w="1313" w:type="dxa"/>
            <w:vAlign w:val="bottom"/>
          </w:tcPr>
          <w:p w:rsidR="00000000" w:rsidRDefault="00000000">
            <w:pPr>
              <w:tabs>
                <w:tab w:val="decimal" w:pos="706"/>
              </w:tabs>
              <w:jc w:val="both"/>
              <w:rPr>
                <w:sz w:val="22"/>
              </w:rPr>
            </w:pPr>
            <w:r>
              <w:rPr>
                <w:sz w:val="22"/>
              </w:rPr>
              <w:t>92,3</w:t>
            </w:r>
          </w:p>
        </w:tc>
      </w:tr>
      <w:tr w:rsidR="00000000">
        <w:trPr>
          <w:cantSplit/>
          <w:tblHeader/>
          <w:jc w:val="center"/>
        </w:trPr>
        <w:tc>
          <w:tcPr>
            <w:tcW w:w="2595" w:type="dxa"/>
            <w:vAlign w:val="center"/>
          </w:tcPr>
          <w:p w:rsidR="00000000" w:rsidRDefault="00000000">
            <w:pPr>
              <w:rPr>
                <w:sz w:val="22"/>
              </w:rPr>
            </w:pPr>
            <w:r>
              <w:rPr>
                <w:sz w:val="22"/>
              </w:rPr>
              <w:t>Vale de Judeus</w:t>
            </w:r>
          </w:p>
        </w:tc>
        <w:tc>
          <w:tcPr>
            <w:tcW w:w="1080" w:type="dxa"/>
            <w:vAlign w:val="bottom"/>
          </w:tcPr>
          <w:p w:rsidR="00000000" w:rsidRDefault="00000000">
            <w:pPr>
              <w:tabs>
                <w:tab w:val="decimal" w:pos="841"/>
              </w:tabs>
              <w:jc w:val="both"/>
              <w:rPr>
                <w:sz w:val="22"/>
              </w:rPr>
            </w:pPr>
            <w:r>
              <w:rPr>
                <w:sz w:val="22"/>
              </w:rPr>
              <w:t>517</w:t>
            </w:r>
          </w:p>
        </w:tc>
        <w:tc>
          <w:tcPr>
            <w:tcW w:w="1082" w:type="dxa"/>
            <w:vAlign w:val="bottom"/>
          </w:tcPr>
          <w:p w:rsidR="00000000" w:rsidRDefault="00000000">
            <w:pPr>
              <w:tabs>
                <w:tab w:val="decimal" w:pos="789"/>
              </w:tabs>
              <w:jc w:val="both"/>
              <w:rPr>
                <w:sz w:val="22"/>
              </w:rPr>
            </w:pPr>
            <w:r>
              <w:rPr>
                <w:sz w:val="22"/>
              </w:rPr>
              <w:t>504</w:t>
            </w:r>
          </w:p>
        </w:tc>
        <w:tc>
          <w:tcPr>
            <w:tcW w:w="1091" w:type="dxa"/>
            <w:vAlign w:val="bottom"/>
          </w:tcPr>
          <w:p w:rsidR="00000000" w:rsidRDefault="00000000">
            <w:pPr>
              <w:tabs>
                <w:tab w:val="decimal" w:pos="599"/>
              </w:tabs>
              <w:jc w:val="both"/>
              <w:rPr>
                <w:sz w:val="22"/>
              </w:rPr>
            </w:pPr>
            <w:r>
              <w:rPr>
                <w:sz w:val="22"/>
              </w:rPr>
              <w:t>102,6</w:t>
            </w:r>
          </w:p>
        </w:tc>
        <w:tc>
          <w:tcPr>
            <w:tcW w:w="1078" w:type="dxa"/>
            <w:vAlign w:val="bottom"/>
          </w:tcPr>
          <w:p w:rsidR="00000000" w:rsidRDefault="00000000">
            <w:pPr>
              <w:tabs>
                <w:tab w:val="decimal" w:pos="757"/>
              </w:tabs>
              <w:jc w:val="both"/>
              <w:rPr>
                <w:sz w:val="22"/>
              </w:rPr>
            </w:pPr>
            <w:r>
              <w:rPr>
                <w:sz w:val="22"/>
              </w:rPr>
              <w:t>519</w:t>
            </w:r>
          </w:p>
        </w:tc>
        <w:tc>
          <w:tcPr>
            <w:tcW w:w="1084" w:type="dxa"/>
            <w:vAlign w:val="bottom"/>
          </w:tcPr>
          <w:p w:rsidR="00000000" w:rsidRDefault="00000000">
            <w:pPr>
              <w:tabs>
                <w:tab w:val="decimal" w:pos="785"/>
              </w:tabs>
              <w:jc w:val="both"/>
              <w:rPr>
                <w:sz w:val="22"/>
              </w:rPr>
            </w:pPr>
            <w:r>
              <w:rPr>
                <w:sz w:val="22"/>
              </w:rPr>
              <w:t>504</w:t>
            </w:r>
          </w:p>
        </w:tc>
        <w:tc>
          <w:tcPr>
            <w:tcW w:w="1313" w:type="dxa"/>
            <w:vAlign w:val="bottom"/>
          </w:tcPr>
          <w:p w:rsidR="00000000" w:rsidRDefault="00000000">
            <w:pPr>
              <w:tabs>
                <w:tab w:val="decimal" w:pos="706"/>
              </w:tabs>
              <w:jc w:val="both"/>
              <w:rPr>
                <w:sz w:val="22"/>
              </w:rPr>
            </w:pPr>
            <w:r>
              <w:rPr>
                <w:sz w:val="22"/>
              </w:rPr>
              <w:t>103,0</w:t>
            </w:r>
          </w:p>
        </w:tc>
      </w:tr>
      <w:tr w:rsidR="00000000">
        <w:trPr>
          <w:cantSplit/>
          <w:tblHeader/>
          <w:jc w:val="center"/>
        </w:trPr>
        <w:tc>
          <w:tcPr>
            <w:tcW w:w="2595" w:type="dxa"/>
            <w:vAlign w:val="center"/>
          </w:tcPr>
          <w:p w:rsidR="00000000" w:rsidRDefault="00000000">
            <w:pPr>
              <w:tabs>
                <w:tab w:val="left" w:pos="316"/>
              </w:tabs>
              <w:rPr>
                <w:bCs/>
                <w:sz w:val="22"/>
              </w:rPr>
            </w:pPr>
            <w:r>
              <w:rPr>
                <w:bCs/>
                <w:sz w:val="22"/>
              </w:rPr>
              <w:tab/>
              <w:t>Total parcial</w:t>
            </w:r>
          </w:p>
        </w:tc>
        <w:tc>
          <w:tcPr>
            <w:tcW w:w="1080" w:type="dxa"/>
            <w:vAlign w:val="bottom"/>
          </w:tcPr>
          <w:p w:rsidR="00000000" w:rsidRDefault="00000000">
            <w:pPr>
              <w:tabs>
                <w:tab w:val="decimal" w:pos="841"/>
              </w:tabs>
              <w:jc w:val="both"/>
              <w:rPr>
                <w:sz w:val="22"/>
              </w:rPr>
            </w:pPr>
            <w:r>
              <w:rPr>
                <w:sz w:val="22"/>
              </w:rPr>
              <w:t>8.613</w:t>
            </w:r>
          </w:p>
        </w:tc>
        <w:tc>
          <w:tcPr>
            <w:tcW w:w="1082" w:type="dxa"/>
            <w:vAlign w:val="bottom"/>
          </w:tcPr>
          <w:p w:rsidR="00000000" w:rsidRDefault="00000000">
            <w:pPr>
              <w:tabs>
                <w:tab w:val="decimal" w:pos="789"/>
              </w:tabs>
              <w:jc w:val="both"/>
              <w:rPr>
                <w:sz w:val="22"/>
              </w:rPr>
            </w:pPr>
            <w:r>
              <w:rPr>
                <w:sz w:val="22"/>
              </w:rPr>
              <w:t>7.639</w:t>
            </w:r>
          </w:p>
        </w:tc>
        <w:tc>
          <w:tcPr>
            <w:tcW w:w="1091" w:type="dxa"/>
            <w:vAlign w:val="bottom"/>
          </w:tcPr>
          <w:p w:rsidR="00000000" w:rsidRDefault="00000000">
            <w:pPr>
              <w:tabs>
                <w:tab w:val="decimal" w:pos="599"/>
              </w:tabs>
              <w:jc w:val="both"/>
              <w:rPr>
                <w:sz w:val="22"/>
              </w:rPr>
            </w:pPr>
            <w:r>
              <w:rPr>
                <w:sz w:val="22"/>
              </w:rPr>
              <w:t>112,8</w:t>
            </w:r>
          </w:p>
        </w:tc>
        <w:tc>
          <w:tcPr>
            <w:tcW w:w="1078" w:type="dxa"/>
            <w:vAlign w:val="bottom"/>
          </w:tcPr>
          <w:p w:rsidR="00000000" w:rsidRDefault="00000000">
            <w:pPr>
              <w:tabs>
                <w:tab w:val="decimal" w:pos="757"/>
              </w:tabs>
              <w:jc w:val="both"/>
              <w:rPr>
                <w:sz w:val="22"/>
              </w:rPr>
            </w:pPr>
            <w:r>
              <w:rPr>
                <w:sz w:val="22"/>
              </w:rPr>
              <w:t>8.700</w:t>
            </w:r>
          </w:p>
        </w:tc>
        <w:tc>
          <w:tcPr>
            <w:tcW w:w="1084" w:type="dxa"/>
            <w:vAlign w:val="bottom"/>
          </w:tcPr>
          <w:p w:rsidR="00000000" w:rsidRDefault="00000000">
            <w:pPr>
              <w:tabs>
                <w:tab w:val="decimal" w:pos="785"/>
              </w:tabs>
              <w:jc w:val="both"/>
              <w:rPr>
                <w:sz w:val="22"/>
              </w:rPr>
            </w:pPr>
            <w:r>
              <w:rPr>
                <w:sz w:val="22"/>
              </w:rPr>
              <w:t>7.733</w:t>
            </w:r>
          </w:p>
        </w:tc>
        <w:tc>
          <w:tcPr>
            <w:tcW w:w="1313" w:type="dxa"/>
            <w:vAlign w:val="bottom"/>
          </w:tcPr>
          <w:p w:rsidR="00000000" w:rsidRDefault="00000000">
            <w:pPr>
              <w:tabs>
                <w:tab w:val="decimal" w:pos="706"/>
              </w:tabs>
              <w:jc w:val="both"/>
              <w:rPr>
                <w:sz w:val="22"/>
              </w:rPr>
            </w:pPr>
            <w:r>
              <w:rPr>
                <w:sz w:val="22"/>
              </w:rPr>
              <w:t>112,5</w:t>
            </w:r>
          </w:p>
        </w:tc>
      </w:tr>
      <w:tr w:rsidR="00000000">
        <w:trPr>
          <w:cantSplit/>
          <w:tblHeader/>
          <w:jc w:val="center"/>
        </w:trPr>
        <w:tc>
          <w:tcPr>
            <w:tcW w:w="2595" w:type="dxa"/>
            <w:vAlign w:val="center"/>
          </w:tcPr>
          <w:p w:rsidR="00000000" w:rsidRDefault="00000000">
            <w:pPr>
              <w:rPr>
                <w:bCs/>
                <w:sz w:val="22"/>
              </w:rPr>
            </w:pPr>
            <w:r>
              <w:rPr>
                <w:bCs/>
                <w:sz w:val="22"/>
              </w:rPr>
              <w:t>Establecimientos especiales</w:t>
            </w:r>
          </w:p>
        </w:tc>
        <w:tc>
          <w:tcPr>
            <w:tcW w:w="1080" w:type="dxa"/>
            <w:vAlign w:val="bottom"/>
          </w:tcPr>
          <w:p w:rsidR="00000000" w:rsidRDefault="00000000">
            <w:pPr>
              <w:tabs>
                <w:tab w:val="decimal" w:pos="841"/>
              </w:tabs>
              <w:jc w:val="both"/>
              <w:rPr>
                <w:sz w:val="22"/>
              </w:rPr>
            </w:pPr>
          </w:p>
        </w:tc>
        <w:tc>
          <w:tcPr>
            <w:tcW w:w="1082" w:type="dxa"/>
            <w:vAlign w:val="bottom"/>
          </w:tcPr>
          <w:p w:rsidR="00000000" w:rsidRDefault="00000000">
            <w:pPr>
              <w:tabs>
                <w:tab w:val="decimal" w:pos="789"/>
              </w:tabs>
              <w:jc w:val="both"/>
              <w:rPr>
                <w:sz w:val="22"/>
              </w:rPr>
            </w:pPr>
          </w:p>
        </w:tc>
        <w:tc>
          <w:tcPr>
            <w:tcW w:w="1091" w:type="dxa"/>
            <w:vAlign w:val="bottom"/>
          </w:tcPr>
          <w:p w:rsidR="00000000" w:rsidRDefault="00000000">
            <w:pPr>
              <w:tabs>
                <w:tab w:val="decimal" w:pos="599"/>
              </w:tabs>
              <w:jc w:val="both"/>
              <w:rPr>
                <w:sz w:val="22"/>
              </w:rPr>
            </w:pPr>
          </w:p>
        </w:tc>
        <w:tc>
          <w:tcPr>
            <w:tcW w:w="1078" w:type="dxa"/>
            <w:vAlign w:val="bottom"/>
          </w:tcPr>
          <w:p w:rsidR="00000000" w:rsidRDefault="00000000">
            <w:pPr>
              <w:tabs>
                <w:tab w:val="decimal" w:pos="757"/>
              </w:tabs>
              <w:jc w:val="both"/>
              <w:rPr>
                <w:sz w:val="22"/>
              </w:rPr>
            </w:pPr>
          </w:p>
        </w:tc>
        <w:tc>
          <w:tcPr>
            <w:tcW w:w="1084" w:type="dxa"/>
            <w:vAlign w:val="bottom"/>
          </w:tcPr>
          <w:p w:rsidR="00000000" w:rsidRDefault="00000000">
            <w:pPr>
              <w:tabs>
                <w:tab w:val="decimal" w:pos="785"/>
              </w:tabs>
              <w:jc w:val="both"/>
              <w:rPr>
                <w:sz w:val="22"/>
              </w:rPr>
            </w:pPr>
          </w:p>
        </w:tc>
        <w:tc>
          <w:tcPr>
            <w:tcW w:w="1313" w:type="dxa"/>
            <w:vAlign w:val="bottom"/>
          </w:tcPr>
          <w:p w:rsidR="00000000" w:rsidRDefault="00000000">
            <w:pPr>
              <w:tabs>
                <w:tab w:val="decimal" w:pos="706"/>
              </w:tabs>
              <w:jc w:val="both"/>
              <w:rPr>
                <w:sz w:val="22"/>
              </w:rPr>
            </w:pPr>
          </w:p>
        </w:tc>
      </w:tr>
      <w:tr w:rsidR="00000000">
        <w:trPr>
          <w:cantSplit/>
          <w:tblHeader/>
          <w:jc w:val="center"/>
        </w:trPr>
        <w:tc>
          <w:tcPr>
            <w:tcW w:w="2595" w:type="dxa"/>
            <w:vAlign w:val="center"/>
          </w:tcPr>
          <w:p w:rsidR="00000000" w:rsidRDefault="00000000">
            <w:pPr>
              <w:rPr>
                <w:sz w:val="22"/>
              </w:rPr>
            </w:pPr>
            <w:r>
              <w:rPr>
                <w:sz w:val="22"/>
              </w:rPr>
              <w:t>Leiria</w:t>
            </w:r>
          </w:p>
        </w:tc>
        <w:tc>
          <w:tcPr>
            <w:tcW w:w="1080" w:type="dxa"/>
            <w:vAlign w:val="bottom"/>
          </w:tcPr>
          <w:p w:rsidR="00000000" w:rsidRDefault="00000000">
            <w:pPr>
              <w:tabs>
                <w:tab w:val="decimal" w:pos="841"/>
              </w:tabs>
              <w:jc w:val="both"/>
              <w:rPr>
                <w:sz w:val="22"/>
              </w:rPr>
            </w:pPr>
            <w:r>
              <w:rPr>
                <w:sz w:val="22"/>
              </w:rPr>
              <w:t>275</w:t>
            </w:r>
          </w:p>
        </w:tc>
        <w:tc>
          <w:tcPr>
            <w:tcW w:w="1082" w:type="dxa"/>
            <w:vAlign w:val="bottom"/>
          </w:tcPr>
          <w:p w:rsidR="00000000" w:rsidRDefault="00000000">
            <w:pPr>
              <w:tabs>
                <w:tab w:val="decimal" w:pos="789"/>
              </w:tabs>
              <w:jc w:val="both"/>
              <w:rPr>
                <w:sz w:val="22"/>
              </w:rPr>
            </w:pPr>
            <w:r>
              <w:rPr>
                <w:sz w:val="22"/>
              </w:rPr>
              <w:t>347</w:t>
            </w:r>
          </w:p>
        </w:tc>
        <w:tc>
          <w:tcPr>
            <w:tcW w:w="1091" w:type="dxa"/>
            <w:vAlign w:val="bottom"/>
          </w:tcPr>
          <w:p w:rsidR="00000000" w:rsidRDefault="00000000">
            <w:pPr>
              <w:tabs>
                <w:tab w:val="decimal" w:pos="599"/>
              </w:tabs>
              <w:jc w:val="both"/>
              <w:rPr>
                <w:sz w:val="22"/>
              </w:rPr>
            </w:pPr>
            <w:r>
              <w:rPr>
                <w:sz w:val="22"/>
              </w:rPr>
              <w:t>79,3</w:t>
            </w:r>
          </w:p>
        </w:tc>
        <w:tc>
          <w:tcPr>
            <w:tcW w:w="1078" w:type="dxa"/>
            <w:vAlign w:val="bottom"/>
          </w:tcPr>
          <w:p w:rsidR="00000000" w:rsidRDefault="00000000">
            <w:pPr>
              <w:tabs>
                <w:tab w:val="decimal" w:pos="757"/>
              </w:tabs>
              <w:jc w:val="both"/>
              <w:rPr>
                <w:sz w:val="22"/>
              </w:rPr>
            </w:pPr>
            <w:r>
              <w:rPr>
                <w:sz w:val="22"/>
              </w:rPr>
              <w:t>295</w:t>
            </w:r>
          </w:p>
        </w:tc>
        <w:tc>
          <w:tcPr>
            <w:tcW w:w="1084" w:type="dxa"/>
            <w:vAlign w:val="bottom"/>
          </w:tcPr>
          <w:p w:rsidR="00000000" w:rsidRDefault="00000000">
            <w:pPr>
              <w:tabs>
                <w:tab w:val="decimal" w:pos="785"/>
              </w:tabs>
              <w:jc w:val="both"/>
              <w:rPr>
                <w:sz w:val="22"/>
              </w:rPr>
            </w:pPr>
            <w:r>
              <w:rPr>
                <w:sz w:val="22"/>
              </w:rPr>
              <w:t>347</w:t>
            </w:r>
          </w:p>
        </w:tc>
        <w:tc>
          <w:tcPr>
            <w:tcW w:w="1313" w:type="dxa"/>
            <w:vAlign w:val="bottom"/>
          </w:tcPr>
          <w:p w:rsidR="00000000" w:rsidRDefault="00000000">
            <w:pPr>
              <w:tabs>
                <w:tab w:val="decimal" w:pos="706"/>
              </w:tabs>
              <w:jc w:val="both"/>
              <w:rPr>
                <w:sz w:val="22"/>
              </w:rPr>
            </w:pPr>
            <w:r>
              <w:rPr>
                <w:sz w:val="22"/>
              </w:rPr>
              <w:t>85,0</w:t>
            </w:r>
          </w:p>
        </w:tc>
      </w:tr>
      <w:tr w:rsidR="00000000">
        <w:trPr>
          <w:cantSplit/>
          <w:tblHeader/>
          <w:jc w:val="center"/>
        </w:trPr>
        <w:tc>
          <w:tcPr>
            <w:tcW w:w="2595" w:type="dxa"/>
            <w:vAlign w:val="center"/>
          </w:tcPr>
          <w:p w:rsidR="00000000" w:rsidRDefault="00000000">
            <w:pPr>
              <w:rPr>
                <w:sz w:val="22"/>
              </w:rPr>
            </w:pPr>
            <w:r>
              <w:rPr>
                <w:sz w:val="22"/>
              </w:rPr>
              <w:t>Tires</w:t>
            </w:r>
          </w:p>
        </w:tc>
        <w:tc>
          <w:tcPr>
            <w:tcW w:w="1080" w:type="dxa"/>
            <w:vAlign w:val="bottom"/>
          </w:tcPr>
          <w:p w:rsidR="00000000" w:rsidRDefault="00000000">
            <w:pPr>
              <w:tabs>
                <w:tab w:val="decimal" w:pos="841"/>
              </w:tabs>
              <w:jc w:val="both"/>
              <w:rPr>
                <w:sz w:val="22"/>
              </w:rPr>
            </w:pPr>
            <w:r>
              <w:rPr>
                <w:sz w:val="22"/>
              </w:rPr>
              <w:t>646</w:t>
            </w:r>
          </w:p>
        </w:tc>
        <w:tc>
          <w:tcPr>
            <w:tcW w:w="1082" w:type="dxa"/>
            <w:vAlign w:val="bottom"/>
          </w:tcPr>
          <w:p w:rsidR="00000000" w:rsidRDefault="00000000">
            <w:pPr>
              <w:tabs>
                <w:tab w:val="decimal" w:pos="789"/>
              </w:tabs>
              <w:jc w:val="both"/>
              <w:rPr>
                <w:sz w:val="22"/>
              </w:rPr>
            </w:pPr>
            <w:r>
              <w:rPr>
                <w:sz w:val="22"/>
              </w:rPr>
              <w:t>633</w:t>
            </w:r>
          </w:p>
        </w:tc>
        <w:tc>
          <w:tcPr>
            <w:tcW w:w="1091" w:type="dxa"/>
            <w:vAlign w:val="bottom"/>
          </w:tcPr>
          <w:p w:rsidR="00000000" w:rsidRDefault="00000000">
            <w:pPr>
              <w:tabs>
                <w:tab w:val="decimal" w:pos="599"/>
              </w:tabs>
              <w:jc w:val="both"/>
              <w:rPr>
                <w:sz w:val="22"/>
              </w:rPr>
            </w:pPr>
            <w:r>
              <w:rPr>
                <w:sz w:val="22"/>
              </w:rPr>
              <w:t>102,1</w:t>
            </w:r>
          </w:p>
        </w:tc>
        <w:tc>
          <w:tcPr>
            <w:tcW w:w="1078" w:type="dxa"/>
            <w:vAlign w:val="bottom"/>
          </w:tcPr>
          <w:p w:rsidR="00000000" w:rsidRDefault="00000000">
            <w:pPr>
              <w:tabs>
                <w:tab w:val="decimal" w:pos="757"/>
              </w:tabs>
              <w:jc w:val="both"/>
              <w:rPr>
                <w:sz w:val="22"/>
              </w:rPr>
            </w:pPr>
            <w:r>
              <w:rPr>
                <w:sz w:val="22"/>
              </w:rPr>
              <w:t>809</w:t>
            </w:r>
          </w:p>
        </w:tc>
        <w:tc>
          <w:tcPr>
            <w:tcW w:w="1084" w:type="dxa"/>
            <w:vAlign w:val="bottom"/>
          </w:tcPr>
          <w:p w:rsidR="00000000" w:rsidRDefault="00000000">
            <w:pPr>
              <w:tabs>
                <w:tab w:val="decimal" w:pos="785"/>
              </w:tabs>
              <w:jc w:val="both"/>
              <w:rPr>
                <w:sz w:val="22"/>
              </w:rPr>
            </w:pPr>
            <w:r>
              <w:rPr>
                <w:sz w:val="22"/>
              </w:rPr>
              <w:t>633</w:t>
            </w:r>
          </w:p>
        </w:tc>
        <w:tc>
          <w:tcPr>
            <w:tcW w:w="1313" w:type="dxa"/>
            <w:vAlign w:val="bottom"/>
          </w:tcPr>
          <w:p w:rsidR="00000000" w:rsidRDefault="00000000">
            <w:pPr>
              <w:tabs>
                <w:tab w:val="decimal" w:pos="706"/>
              </w:tabs>
              <w:jc w:val="both"/>
              <w:rPr>
                <w:sz w:val="22"/>
              </w:rPr>
            </w:pPr>
            <w:r>
              <w:rPr>
                <w:sz w:val="22"/>
              </w:rPr>
              <w:t>127,8</w:t>
            </w:r>
          </w:p>
        </w:tc>
      </w:tr>
      <w:tr w:rsidR="00000000">
        <w:trPr>
          <w:cantSplit/>
          <w:tblHeader/>
          <w:jc w:val="center"/>
        </w:trPr>
        <w:tc>
          <w:tcPr>
            <w:tcW w:w="2595" w:type="dxa"/>
            <w:vAlign w:val="center"/>
          </w:tcPr>
          <w:p w:rsidR="00000000" w:rsidRDefault="00000000">
            <w:pPr>
              <w:rPr>
                <w:sz w:val="22"/>
              </w:rPr>
            </w:pPr>
            <w:r>
              <w:rPr>
                <w:sz w:val="22"/>
              </w:rPr>
              <w:t>Hospital São João de Deus</w:t>
            </w:r>
            <w:r>
              <w:rPr>
                <w:b/>
                <w:sz w:val="22"/>
                <w:vertAlign w:val="superscript"/>
              </w:rPr>
              <w:t>b</w:t>
            </w:r>
          </w:p>
        </w:tc>
        <w:tc>
          <w:tcPr>
            <w:tcW w:w="1080" w:type="dxa"/>
            <w:vAlign w:val="bottom"/>
          </w:tcPr>
          <w:p w:rsidR="00000000" w:rsidRDefault="00000000">
            <w:pPr>
              <w:tabs>
                <w:tab w:val="decimal" w:pos="841"/>
              </w:tabs>
              <w:jc w:val="both"/>
              <w:rPr>
                <w:sz w:val="22"/>
              </w:rPr>
            </w:pPr>
            <w:r>
              <w:rPr>
                <w:sz w:val="22"/>
              </w:rPr>
              <w:t>26</w:t>
            </w:r>
          </w:p>
        </w:tc>
        <w:tc>
          <w:tcPr>
            <w:tcW w:w="1082" w:type="dxa"/>
            <w:vAlign w:val="bottom"/>
          </w:tcPr>
          <w:p w:rsidR="00000000" w:rsidRDefault="00000000">
            <w:pPr>
              <w:tabs>
                <w:tab w:val="decimal" w:pos="789"/>
              </w:tabs>
              <w:jc w:val="both"/>
              <w:rPr>
                <w:sz w:val="22"/>
              </w:rPr>
            </w:pPr>
            <w:r>
              <w:rPr>
                <w:sz w:val="22"/>
              </w:rPr>
              <w:t>195</w:t>
            </w:r>
          </w:p>
        </w:tc>
        <w:tc>
          <w:tcPr>
            <w:tcW w:w="1091" w:type="dxa"/>
            <w:vAlign w:val="bottom"/>
          </w:tcPr>
          <w:p w:rsidR="00000000" w:rsidRDefault="00000000">
            <w:pPr>
              <w:tabs>
                <w:tab w:val="decimal" w:pos="599"/>
              </w:tabs>
              <w:jc w:val="both"/>
              <w:rPr>
                <w:sz w:val="22"/>
              </w:rPr>
            </w:pPr>
            <w:r>
              <w:rPr>
                <w:sz w:val="22"/>
              </w:rPr>
              <w:t>13,3</w:t>
            </w:r>
          </w:p>
        </w:tc>
        <w:tc>
          <w:tcPr>
            <w:tcW w:w="1078" w:type="dxa"/>
            <w:vAlign w:val="bottom"/>
          </w:tcPr>
          <w:p w:rsidR="00000000" w:rsidRDefault="00000000">
            <w:pPr>
              <w:tabs>
                <w:tab w:val="decimal" w:pos="757"/>
              </w:tabs>
              <w:jc w:val="both"/>
              <w:rPr>
                <w:sz w:val="22"/>
              </w:rPr>
            </w:pPr>
            <w:r>
              <w:rPr>
                <w:sz w:val="22"/>
              </w:rPr>
              <w:t>15</w:t>
            </w:r>
          </w:p>
        </w:tc>
        <w:tc>
          <w:tcPr>
            <w:tcW w:w="1084" w:type="dxa"/>
            <w:vAlign w:val="bottom"/>
          </w:tcPr>
          <w:p w:rsidR="00000000" w:rsidRDefault="00000000">
            <w:pPr>
              <w:tabs>
                <w:tab w:val="decimal" w:pos="785"/>
              </w:tabs>
              <w:jc w:val="both"/>
              <w:rPr>
                <w:sz w:val="22"/>
              </w:rPr>
            </w:pPr>
            <w:r>
              <w:rPr>
                <w:sz w:val="22"/>
              </w:rPr>
              <w:t>195</w:t>
            </w:r>
          </w:p>
        </w:tc>
        <w:tc>
          <w:tcPr>
            <w:tcW w:w="1313" w:type="dxa"/>
            <w:vAlign w:val="bottom"/>
          </w:tcPr>
          <w:p w:rsidR="00000000" w:rsidRDefault="00000000">
            <w:pPr>
              <w:tabs>
                <w:tab w:val="decimal" w:pos="706"/>
              </w:tabs>
              <w:jc w:val="both"/>
              <w:rPr>
                <w:sz w:val="22"/>
              </w:rPr>
            </w:pPr>
            <w:r>
              <w:rPr>
                <w:sz w:val="22"/>
              </w:rPr>
              <w:t>7,7</w:t>
            </w:r>
          </w:p>
        </w:tc>
      </w:tr>
      <w:tr w:rsidR="00000000">
        <w:trPr>
          <w:cantSplit/>
          <w:tblHeader/>
          <w:jc w:val="center"/>
        </w:trPr>
        <w:tc>
          <w:tcPr>
            <w:tcW w:w="2595" w:type="dxa"/>
            <w:vAlign w:val="center"/>
          </w:tcPr>
          <w:p w:rsidR="00000000" w:rsidRDefault="00000000">
            <w:pPr>
              <w:tabs>
                <w:tab w:val="left" w:pos="316"/>
              </w:tabs>
              <w:rPr>
                <w:bCs/>
                <w:sz w:val="22"/>
              </w:rPr>
            </w:pPr>
            <w:r>
              <w:rPr>
                <w:bCs/>
                <w:sz w:val="22"/>
              </w:rPr>
              <w:tab/>
              <w:t>Total parcial</w:t>
            </w:r>
          </w:p>
        </w:tc>
        <w:tc>
          <w:tcPr>
            <w:tcW w:w="1080" w:type="dxa"/>
            <w:vAlign w:val="bottom"/>
          </w:tcPr>
          <w:p w:rsidR="00000000" w:rsidRDefault="00000000">
            <w:pPr>
              <w:tabs>
                <w:tab w:val="decimal" w:pos="841"/>
              </w:tabs>
              <w:jc w:val="both"/>
              <w:rPr>
                <w:sz w:val="22"/>
              </w:rPr>
            </w:pPr>
            <w:r>
              <w:rPr>
                <w:sz w:val="22"/>
              </w:rPr>
              <w:t>9.560</w:t>
            </w:r>
          </w:p>
        </w:tc>
        <w:tc>
          <w:tcPr>
            <w:tcW w:w="1082" w:type="dxa"/>
            <w:vAlign w:val="bottom"/>
          </w:tcPr>
          <w:p w:rsidR="00000000" w:rsidRDefault="00000000">
            <w:pPr>
              <w:tabs>
                <w:tab w:val="decimal" w:pos="789"/>
              </w:tabs>
              <w:jc w:val="both"/>
              <w:rPr>
                <w:sz w:val="22"/>
              </w:rPr>
            </w:pPr>
            <w:r>
              <w:rPr>
                <w:sz w:val="22"/>
              </w:rPr>
              <w:t>8.814</w:t>
            </w:r>
          </w:p>
        </w:tc>
        <w:tc>
          <w:tcPr>
            <w:tcW w:w="1091" w:type="dxa"/>
            <w:vAlign w:val="bottom"/>
          </w:tcPr>
          <w:p w:rsidR="00000000" w:rsidRDefault="00000000">
            <w:pPr>
              <w:tabs>
                <w:tab w:val="decimal" w:pos="599"/>
              </w:tabs>
              <w:jc w:val="both"/>
              <w:rPr>
                <w:sz w:val="22"/>
              </w:rPr>
            </w:pPr>
            <w:r>
              <w:rPr>
                <w:sz w:val="22"/>
              </w:rPr>
              <w:t>108,5</w:t>
            </w:r>
          </w:p>
        </w:tc>
        <w:tc>
          <w:tcPr>
            <w:tcW w:w="1078" w:type="dxa"/>
            <w:vAlign w:val="bottom"/>
          </w:tcPr>
          <w:p w:rsidR="00000000" w:rsidRDefault="00000000">
            <w:pPr>
              <w:tabs>
                <w:tab w:val="decimal" w:pos="757"/>
              </w:tabs>
              <w:jc w:val="both"/>
              <w:rPr>
                <w:sz w:val="22"/>
              </w:rPr>
            </w:pPr>
            <w:r>
              <w:rPr>
                <w:sz w:val="22"/>
              </w:rPr>
              <w:t>9.819</w:t>
            </w:r>
          </w:p>
        </w:tc>
        <w:tc>
          <w:tcPr>
            <w:tcW w:w="1084" w:type="dxa"/>
            <w:vAlign w:val="bottom"/>
          </w:tcPr>
          <w:p w:rsidR="00000000" w:rsidRDefault="00000000">
            <w:pPr>
              <w:tabs>
                <w:tab w:val="decimal" w:pos="785"/>
              </w:tabs>
              <w:jc w:val="both"/>
              <w:rPr>
                <w:sz w:val="22"/>
              </w:rPr>
            </w:pPr>
            <w:r>
              <w:rPr>
                <w:sz w:val="22"/>
              </w:rPr>
              <w:t>8.908</w:t>
            </w:r>
          </w:p>
        </w:tc>
        <w:tc>
          <w:tcPr>
            <w:tcW w:w="1313" w:type="dxa"/>
            <w:vAlign w:val="bottom"/>
          </w:tcPr>
          <w:p w:rsidR="00000000" w:rsidRDefault="00000000">
            <w:pPr>
              <w:tabs>
                <w:tab w:val="decimal" w:pos="706"/>
              </w:tabs>
              <w:jc w:val="both"/>
              <w:rPr>
                <w:sz w:val="22"/>
              </w:rPr>
            </w:pPr>
            <w:r>
              <w:rPr>
                <w:sz w:val="22"/>
              </w:rPr>
              <w:t>110,2</w:t>
            </w:r>
          </w:p>
        </w:tc>
      </w:tr>
      <w:tr w:rsidR="00000000">
        <w:trPr>
          <w:cantSplit/>
          <w:tblHeader/>
          <w:jc w:val="center"/>
        </w:trPr>
        <w:tc>
          <w:tcPr>
            <w:tcW w:w="2595" w:type="dxa"/>
            <w:vAlign w:val="center"/>
          </w:tcPr>
          <w:p w:rsidR="00000000" w:rsidRDefault="00000000">
            <w:pPr>
              <w:rPr>
                <w:bCs/>
                <w:sz w:val="22"/>
              </w:rPr>
            </w:pPr>
            <w:r>
              <w:rPr>
                <w:bCs/>
                <w:sz w:val="22"/>
              </w:rPr>
              <w:t>Establecimientos regionales</w:t>
            </w:r>
          </w:p>
        </w:tc>
        <w:tc>
          <w:tcPr>
            <w:tcW w:w="1080" w:type="dxa"/>
            <w:vAlign w:val="bottom"/>
          </w:tcPr>
          <w:p w:rsidR="00000000" w:rsidRDefault="00000000">
            <w:pPr>
              <w:tabs>
                <w:tab w:val="decimal" w:pos="841"/>
              </w:tabs>
              <w:jc w:val="both"/>
              <w:rPr>
                <w:sz w:val="22"/>
              </w:rPr>
            </w:pPr>
            <w:r>
              <w:rPr>
                <w:sz w:val="22"/>
              </w:rPr>
              <w:t>3.552</w:t>
            </w:r>
          </w:p>
        </w:tc>
        <w:tc>
          <w:tcPr>
            <w:tcW w:w="1082" w:type="dxa"/>
            <w:vAlign w:val="bottom"/>
          </w:tcPr>
          <w:p w:rsidR="00000000" w:rsidRDefault="00000000">
            <w:pPr>
              <w:tabs>
                <w:tab w:val="decimal" w:pos="789"/>
              </w:tabs>
              <w:jc w:val="both"/>
              <w:rPr>
                <w:sz w:val="22"/>
              </w:rPr>
            </w:pPr>
            <w:r>
              <w:rPr>
                <w:sz w:val="22"/>
              </w:rPr>
              <w:t>2.557</w:t>
            </w:r>
          </w:p>
        </w:tc>
        <w:tc>
          <w:tcPr>
            <w:tcW w:w="1091" w:type="dxa"/>
            <w:vAlign w:val="bottom"/>
          </w:tcPr>
          <w:p w:rsidR="00000000" w:rsidRDefault="00000000">
            <w:pPr>
              <w:tabs>
                <w:tab w:val="decimal" w:pos="599"/>
              </w:tabs>
              <w:jc w:val="both"/>
              <w:rPr>
                <w:sz w:val="22"/>
              </w:rPr>
            </w:pPr>
            <w:r>
              <w:rPr>
                <w:sz w:val="22"/>
              </w:rPr>
              <w:t>138,9</w:t>
            </w:r>
          </w:p>
        </w:tc>
        <w:tc>
          <w:tcPr>
            <w:tcW w:w="1078" w:type="dxa"/>
            <w:vAlign w:val="bottom"/>
          </w:tcPr>
          <w:p w:rsidR="00000000" w:rsidRDefault="00000000">
            <w:pPr>
              <w:tabs>
                <w:tab w:val="decimal" w:pos="757"/>
              </w:tabs>
              <w:jc w:val="both"/>
              <w:rPr>
                <w:sz w:val="22"/>
              </w:rPr>
            </w:pPr>
            <w:r>
              <w:rPr>
                <w:sz w:val="22"/>
              </w:rPr>
              <w:t>3.953</w:t>
            </w:r>
          </w:p>
        </w:tc>
        <w:tc>
          <w:tcPr>
            <w:tcW w:w="1084" w:type="dxa"/>
            <w:vAlign w:val="bottom"/>
          </w:tcPr>
          <w:p w:rsidR="00000000" w:rsidRDefault="00000000">
            <w:pPr>
              <w:tabs>
                <w:tab w:val="decimal" w:pos="785"/>
              </w:tabs>
              <w:jc w:val="both"/>
              <w:rPr>
                <w:sz w:val="22"/>
              </w:rPr>
            </w:pPr>
            <w:r>
              <w:rPr>
                <w:sz w:val="22"/>
              </w:rPr>
              <w:t>2.557</w:t>
            </w:r>
          </w:p>
        </w:tc>
        <w:tc>
          <w:tcPr>
            <w:tcW w:w="1313" w:type="dxa"/>
            <w:vAlign w:val="bottom"/>
          </w:tcPr>
          <w:p w:rsidR="00000000" w:rsidRDefault="00000000">
            <w:pPr>
              <w:tabs>
                <w:tab w:val="decimal" w:pos="706"/>
              </w:tabs>
              <w:jc w:val="both"/>
              <w:rPr>
                <w:sz w:val="22"/>
              </w:rPr>
            </w:pPr>
            <w:r>
              <w:rPr>
                <w:sz w:val="22"/>
              </w:rPr>
              <w:t>154,6</w:t>
            </w:r>
          </w:p>
        </w:tc>
      </w:tr>
      <w:tr w:rsidR="00000000">
        <w:trPr>
          <w:cantSplit/>
          <w:tblHeader/>
          <w:jc w:val="center"/>
        </w:trPr>
        <w:tc>
          <w:tcPr>
            <w:tcW w:w="2595" w:type="dxa"/>
            <w:vAlign w:val="center"/>
          </w:tcPr>
          <w:p w:rsidR="00000000" w:rsidRDefault="00000000">
            <w:pPr>
              <w:rPr>
                <w:sz w:val="22"/>
              </w:rPr>
            </w:pPr>
            <w:r>
              <w:rPr>
                <w:sz w:val="22"/>
              </w:rPr>
              <w:tab/>
              <w:t>Total</w:t>
            </w:r>
          </w:p>
        </w:tc>
        <w:tc>
          <w:tcPr>
            <w:tcW w:w="1080" w:type="dxa"/>
            <w:vAlign w:val="bottom"/>
          </w:tcPr>
          <w:p w:rsidR="00000000" w:rsidRDefault="00000000">
            <w:pPr>
              <w:tabs>
                <w:tab w:val="decimal" w:pos="841"/>
              </w:tabs>
              <w:jc w:val="both"/>
              <w:rPr>
                <w:sz w:val="22"/>
              </w:rPr>
            </w:pPr>
            <w:r>
              <w:rPr>
                <w:sz w:val="22"/>
              </w:rPr>
              <w:t>13.112</w:t>
            </w:r>
          </w:p>
        </w:tc>
        <w:tc>
          <w:tcPr>
            <w:tcW w:w="1082" w:type="dxa"/>
            <w:vAlign w:val="bottom"/>
          </w:tcPr>
          <w:p w:rsidR="00000000" w:rsidRDefault="00000000">
            <w:pPr>
              <w:tabs>
                <w:tab w:val="decimal" w:pos="789"/>
              </w:tabs>
              <w:jc w:val="both"/>
              <w:rPr>
                <w:sz w:val="22"/>
              </w:rPr>
            </w:pPr>
            <w:r>
              <w:rPr>
                <w:sz w:val="22"/>
              </w:rPr>
              <w:t>11.371</w:t>
            </w:r>
          </w:p>
        </w:tc>
        <w:tc>
          <w:tcPr>
            <w:tcW w:w="1091" w:type="dxa"/>
            <w:vAlign w:val="bottom"/>
          </w:tcPr>
          <w:p w:rsidR="00000000" w:rsidRDefault="00000000">
            <w:pPr>
              <w:tabs>
                <w:tab w:val="decimal" w:pos="599"/>
              </w:tabs>
              <w:jc w:val="both"/>
              <w:rPr>
                <w:sz w:val="22"/>
              </w:rPr>
            </w:pPr>
            <w:r>
              <w:rPr>
                <w:sz w:val="22"/>
              </w:rPr>
              <w:t>115,3</w:t>
            </w:r>
          </w:p>
        </w:tc>
        <w:tc>
          <w:tcPr>
            <w:tcW w:w="1078" w:type="dxa"/>
            <w:vAlign w:val="bottom"/>
          </w:tcPr>
          <w:p w:rsidR="00000000" w:rsidRDefault="00000000">
            <w:pPr>
              <w:tabs>
                <w:tab w:val="decimal" w:pos="757"/>
              </w:tabs>
              <w:jc w:val="both"/>
              <w:rPr>
                <w:sz w:val="22"/>
              </w:rPr>
            </w:pPr>
            <w:r>
              <w:rPr>
                <w:sz w:val="22"/>
              </w:rPr>
              <w:t>13.772</w:t>
            </w:r>
          </w:p>
        </w:tc>
        <w:tc>
          <w:tcPr>
            <w:tcW w:w="1084" w:type="dxa"/>
            <w:vAlign w:val="bottom"/>
          </w:tcPr>
          <w:p w:rsidR="00000000" w:rsidRDefault="00000000">
            <w:pPr>
              <w:tabs>
                <w:tab w:val="decimal" w:pos="785"/>
              </w:tabs>
              <w:jc w:val="both"/>
              <w:rPr>
                <w:sz w:val="22"/>
              </w:rPr>
            </w:pPr>
            <w:r>
              <w:rPr>
                <w:sz w:val="22"/>
              </w:rPr>
              <w:t>11.465</w:t>
            </w:r>
          </w:p>
        </w:tc>
        <w:tc>
          <w:tcPr>
            <w:tcW w:w="1313" w:type="dxa"/>
            <w:vAlign w:val="bottom"/>
          </w:tcPr>
          <w:p w:rsidR="00000000" w:rsidRDefault="00000000">
            <w:pPr>
              <w:tabs>
                <w:tab w:val="decimal" w:pos="706"/>
              </w:tabs>
              <w:jc w:val="both"/>
              <w:rPr>
                <w:sz w:val="22"/>
              </w:rPr>
            </w:pPr>
            <w:r>
              <w:rPr>
                <w:sz w:val="22"/>
              </w:rPr>
              <w:t>120,1</w:t>
            </w:r>
          </w:p>
        </w:tc>
      </w:tr>
    </w:tbl>
    <w:p w:rsidR="00000000" w:rsidRDefault="00000000">
      <w:pPr>
        <w:spacing w:before="220" w:after="220"/>
        <w:rPr>
          <w:sz w:val="22"/>
        </w:rPr>
      </w:pPr>
      <w:r>
        <w:rPr>
          <w:b/>
          <w:sz w:val="22"/>
          <w:vertAlign w:val="superscript"/>
        </w:rPr>
        <w:t>a</w:t>
      </w:r>
      <w:r>
        <w:rPr>
          <w:sz w:val="22"/>
        </w:rPr>
        <w:t xml:space="preserve"> El establecimiento de Carregueira empezó a funcionar en 2002 con una ocupación provisional;  por tanto, las cifras se refieren únicamente a la fase de comienzo de la actividad.</w:t>
      </w:r>
    </w:p>
    <w:p w:rsidR="00000000" w:rsidRDefault="00000000">
      <w:pPr>
        <w:spacing w:after="220"/>
        <w:rPr>
          <w:sz w:val="22"/>
        </w:rPr>
      </w:pPr>
      <w:r>
        <w:rPr>
          <w:b/>
          <w:sz w:val="22"/>
          <w:vertAlign w:val="superscript"/>
        </w:rPr>
        <w:t>b</w:t>
      </w:r>
      <w:r>
        <w:rPr>
          <w:bCs/>
          <w:sz w:val="22"/>
          <w:vertAlign w:val="superscript"/>
        </w:rPr>
        <w:t xml:space="preserve"> </w:t>
      </w:r>
      <w:r>
        <w:rPr>
          <w:sz w:val="22"/>
        </w:rPr>
        <w:t>Para el Hospital de São João de Deus, únicamente se contabilizan los detenidos que le están asignados.</w:t>
      </w:r>
    </w:p>
    <w:p w:rsidR="00000000" w:rsidRDefault="00000000">
      <w:pPr>
        <w:spacing w:after="480"/>
        <w:rPr>
          <w:sz w:val="22"/>
        </w:rPr>
      </w:pPr>
      <w:r>
        <w:rPr>
          <w:b/>
          <w:sz w:val="22"/>
          <w:vertAlign w:val="superscript"/>
        </w:rPr>
        <w:t>c</w:t>
      </w:r>
      <w:r>
        <w:rPr>
          <w:bCs/>
          <w:sz w:val="22"/>
        </w:rPr>
        <w:t xml:space="preserve"> </w:t>
      </w:r>
      <w:r>
        <w:rPr>
          <w:sz w:val="22"/>
        </w:rPr>
        <w:t>Las cifras de los establecimientos regionales se han tomado del cuadro 6-B.</w:t>
      </w:r>
    </w:p>
    <w:p w:rsidR="00000000" w:rsidRDefault="00000000">
      <w:pPr>
        <w:autoSpaceDE w:val="0"/>
        <w:autoSpaceDN w:val="0"/>
        <w:adjustRightInd w:val="0"/>
        <w:spacing w:after="180"/>
        <w:jc w:val="center"/>
        <w:rPr>
          <w:b/>
          <w:sz w:val="22"/>
        </w:rPr>
      </w:pPr>
      <w:r>
        <w:rPr>
          <w:b/>
          <w:sz w:val="22"/>
        </w:rPr>
        <w:br w:type="page"/>
        <w:t>Cuadro 6-B</w:t>
      </w:r>
    </w:p>
    <w:p w:rsidR="00000000" w:rsidRDefault="00000000">
      <w:pPr>
        <w:autoSpaceDE w:val="0"/>
        <w:autoSpaceDN w:val="0"/>
        <w:adjustRightInd w:val="0"/>
        <w:spacing w:after="180"/>
        <w:jc w:val="center"/>
        <w:rPr>
          <w:b/>
          <w:sz w:val="22"/>
        </w:rPr>
      </w:pPr>
      <w:r>
        <w:rPr>
          <w:b/>
          <w:sz w:val="22"/>
        </w:rPr>
        <w:t>Población carcelaria por establecimiento, ocupación y tasa de ocupación</w:t>
      </w:r>
      <w:r>
        <w:rPr>
          <w:b/>
          <w:sz w:val="22"/>
        </w:rPr>
        <w:br/>
        <w:t>(al 31 de diciembre de 2001 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95"/>
        <w:gridCol w:w="1080"/>
        <w:gridCol w:w="1082"/>
        <w:gridCol w:w="1091"/>
        <w:gridCol w:w="1078"/>
        <w:gridCol w:w="1084"/>
        <w:gridCol w:w="1313"/>
      </w:tblGrid>
      <w:tr w:rsidR="00000000">
        <w:trPr>
          <w:cantSplit/>
          <w:tblHeader/>
          <w:jc w:val="center"/>
        </w:trPr>
        <w:tc>
          <w:tcPr>
            <w:tcW w:w="2595" w:type="dxa"/>
            <w:vMerge w:val="restart"/>
            <w:vAlign w:val="center"/>
          </w:tcPr>
          <w:p w:rsidR="00000000" w:rsidRDefault="00000000">
            <w:pPr>
              <w:jc w:val="center"/>
              <w:rPr>
                <w:sz w:val="22"/>
              </w:rPr>
            </w:pPr>
            <w:r>
              <w:rPr>
                <w:bCs/>
                <w:sz w:val="22"/>
              </w:rPr>
              <w:t>Establecimientos</w:t>
            </w:r>
          </w:p>
        </w:tc>
        <w:tc>
          <w:tcPr>
            <w:tcW w:w="3253" w:type="dxa"/>
            <w:gridSpan w:val="3"/>
            <w:vAlign w:val="center"/>
          </w:tcPr>
          <w:p w:rsidR="00000000" w:rsidRDefault="00000000">
            <w:pPr>
              <w:jc w:val="center"/>
              <w:rPr>
                <w:sz w:val="22"/>
              </w:rPr>
            </w:pPr>
            <w:r>
              <w:rPr>
                <w:sz w:val="22"/>
              </w:rPr>
              <w:t>2001</w:t>
            </w:r>
          </w:p>
        </w:tc>
        <w:tc>
          <w:tcPr>
            <w:tcW w:w="3475" w:type="dxa"/>
            <w:gridSpan w:val="3"/>
            <w:vAlign w:val="center"/>
          </w:tcPr>
          <w:p w:rsidR="00000000" w:rsidRDefault="00000000">
            <w:pPr>
              <w:jc w:val="center"/>
              <w:rPr>
                <w:sz w:val="22"/>
              </w:rPr>
            </w:pPr>
            <w:r>
              <w:rPr>
                <w:sz w:val="22"/>
              </w:rPr>
              <w:t>2002</w:t>
            </w:r>
          </w:p>
        </w:tc>
      </w:tr>
      <w:tr w:rsidR="00000000">
        <w:trPr>
          <w:cantSplit/>
          <w:tblHeader/>
          <w:jc w:val="center"/>
        </w:trPr>
        <w:tc>
          <w:tcPr>
            <w:tcW w:w="2595" w:type="dxa"/>
            <w:vMerge/>
            <w:vAlign w:val="center"/>
          </w:tcPr>
          <w:p w:rsidR="00000000" w:rsidRDefault="00000000">
            <w:pPr>
              <w:jc w:val="center"/>
              <w:rPr>
                <w:sz w:val="22"/>
              </w:rPr>
            </w:pPr>
          </w:p>
        </w:tc>
        <w:tc>
          <w:tcPr>
            <w:tcW w:w="1080" w:type="dxa"/>
            <w:vAlign w:val="center"/>
          </w:tcPr>
          <w:p w:rsidR="00000000" w:rsidRDefault="00000000">
            <w:pPr>
              <w:jc w:val="center"/>
              <w:rPr>
                <w:sz w:val="22"/>
              </w:rPr>
            </w:pPr>
            <w:r>
              <w:rPr>
                <w:bCs/>
                <w:sz w:val="22"/>
              </w:rPr>
              <w:t>Número de detenidos</w:t>
            </w:r>
          </w:p>
        </w:tc>
        <w:tc>
          <w:tcPr>
            <w:tcW w:w="1082" w:type="dxa"/>
            <w:vAlign w:val="center"/>
          </w:tcPr>
          <w:p w:rsidR="00000000" w:rsidRDefault="00000000">
            <w:pPr>
              <w:jc w:val="center"/>
              <w:rPr>
                <w:sz w:val="22"/>
              </w:rPr>
            </w:pPr>
            <w:r>
              <w:rPr>
                <w:sz w:val="22"/>
              </w:rPr>
              <w:t>Ocupación</w:t>
            </w:r>
          </w:p>
        </w:tc>
        <w:tc>
          <w:tcPr>
            <w:tcW w:w="1091" w:type="dxa"/>
            <w:vAlign w:val="center"/>
          </w:tcPr>
          <w:p w:rsidR="00000000" w:rsidRDefault="00000000">
            <w:pPr>
              <w:jc w:val="center"/>
              <w:rPr>
                <w:sz w:val="22"/>
              </w:rPr>
            </w:pPr>
            <w:r>
              <w:rPr>
                <w:sz w:val="22"/>
              </w:rPr>
              <w:t>Tasa de ocupación en %</w:t>
            </w:r>
          </w:p>
        </w:tc>
        <w:tc>
          <w:tcPr>
            <w:tcW w:w="1078" w:type="dxa"/>
            <w:vAlign w:val="center"/>
          </w:tcPr>
          <w:p w:rsidR="00000000" w:rsidRDefault="00000000">
            <w:pPr>
              <w:jc w:val="center"/>
              <w:rPr>
                <w:sz w:val="22"/>
              </w:rPr>
            </w:pPr>
            <w:r>
              <w:rPr>
                <w:bCs/>
                <w:sz w:val="22"/>
              </w:rPr>
              <w:t>Número de detenidos</w:t>
            </w:r>
          </w:p>
        </w:tc>
        <w:tc>
          <w:tcPr>
            <w:tcW w:w="1084" w:type="dxa"/>
            <w:vAlign w:val="center"/>
          </w:tcPr>
          <w:p w:rsidR="00000000" w:rsidRDefault="00000000">
            <w:pPr>
              <w:jc w:val="center"/>
              <w:rPr>
                <w:sz w:val="22"/>
              </w:rPr>
            </w:pPr>
            <w:r>
              <w:rPr>
                <w:sz w:val="22"/>
              </w:rPr>
              <w:t>Ocupación</w:t>
            </w:r>
          </w:p>
        </w:tc>
        <w:tc>
          <w:tcPr>
            <w:tcW w:w="1313" w:type="dxa"/>
            <w:vAlign w:val="center"/>
          </w:tcPr>
          <w:p w:rsidR="00000000" w:rsidRDefault="00000000">
            <w:pPr>
              <w:jc w:val="center"/>
              <w:rPr>
                <w:sz w:val="22"/>
              </w:rPr>
            </w:pPr>
            <w:r>
              <w:rPr>
                <w:sz w:val="22"/>
              </w:rPr>
              <w:t>Tasa de ocupación en %</w:t>
            </w:r>
          </w:p>
        </w:tc>
      </w:tr>
      <w:tr w:rsidR="00000000">
        <w:trPr>
          <w:cantSplit/>
          <w:tblHeader/>
          <w:jc w:val="center"/>
        </w:trPr>
        <w:tc>
          <w:tcPr>
            <w:tcW w:w="2595" w:type="dxa"/>
            <w:vAlign w:val="center"/>
          </w:tcPr>
          <w:p w:rsidR="00000000" w:rsidRDefault="00000000">
            <w:pPr>
              <w:rPr>
                <w:bCs/>
                <w:sz w:val="22"/>
              </w:rPr>
            </w:pPr>
            <w:r>
              <w:rPr>
                <w:bCs/>
                <w:sz w:val="22"/>
              </w:rPr>
              <w:t>Establecimientos regionales</w:t>
            </w:r>
          </w:p>
        </w:tc>
        <w:tc>
          <w:tcPr>
            <w:tcW w:w="1080" w:type="dxa"/>
            <w:vAlign w:val="center"/>
          </w:tcPr>
          <w:p w:rsidR="00000000" w:rsidRDefault="00000000">
            <w:pPr>
              <w:tabs>
                <w:tab w:val="decimal" w:pos="763"/>
              </w:tabs>
              <w:rPr>
                <w:sz w:val="22"/>
              </w:rPr>
            </w:pPr>
          </w:p>
        </w:tc>
        <w:tc>
          <w:tcPr>
            <w:tcW w:w="1082" w:type="dxa"/>
            <w:vAlign w:val="center"/>
          </w:tcPr>
          <w:p w:rsidR="00000000" w:rsidRDefault="00000000">
            <w:pPr>
              <w:rPr>
                <w:sz w:val="22"/>
              </w:rPr>
            </w:pPr>
          </w:p>
        </w:tc>
        <w:tc>
          <w:tcPr>
            <w:tcW w:w="1091" w:type="dxa"/>
            <w:vAlign w:val="center"/>
          </w:tcPr>
          <w:p w:rsidR="00000000" w:rsidRDefault="00000000">
            <w:pPr>
              <w:tabs>
                <w:tab w:val="decimal" w:pos="763"/>
              </w:tabs>
              <w:rPr>
                <w:sz w:val="22"/>
              </w:rPr>
            </w:pPr>
          </w:p>
        </w:tc>
        <w:tc>
          <w:tcPr>
            <w:tcW w:w="1078" w:type="dxa"/>
            <w:vAlign w:val="center"/>
          </w:tcPr>
          <w:p w:rsidR="00000000" w:rsidRDefault="00000000">
            <w:pPr>
              <w:rPr>
                <w:sz w:val="22"/>
              </w:rPr>
            </w:pPr>
          </w:p>
        </w:tc>
        <w:tc>
          <w:tcPr>
            <w:tcW w:w="1084" w:type="dxa"/>
            <w:vAlign w:val="center"/>
          </w:tcPr>
          <w:p w:rsidR="00000000" w:rsidRDefault="00000000">
            <w:pPr>
              <w:rPr>
                <w:sz w:val="22"/>
              </w:rPr>
            </w:pPr>
          </w:p>
        </w:tc>
        <w:tc>
          <w:tcPr>
            <w:tcW w:w="1313" w:type="dxa"/>
            <w:vAlign w:val="center"/>
          </w:tcPr>
          <w:p w:rsidR="00000000" w:rsidRDefault="00000000">
            <w:pPr>
              <w:rPr>
                <w:sz w:val="22"/>
              </w:rPr>
            </w:pPr>
          </w:p>
        </w:tc>
      </w:tr>
      <w:tr w:rsidR="00000000">
        <w:trPr>
          <w:cantSplit/>
          <w:tblHeader/>
          <w:jc w:val="center"/>
        </w:trPr>
        <w:tc>
          <w:tcPr>
            <w:tcW w:w="2595" w:type="dxa"/>
            <w:vAlign w:val="center"/>
          </w:tcPr>
          <w:p w:rsidR="00000000" w:rsidRDefault="00000000">
            <w:pPr>
              <w:rPr>
                <w:sz w:val="22"/>
              </w:rPr>
            </w:pPr>
            <w:r>
              <w:rPr>
                <w:sz w:val="22"/>
              </w:rPr>
              <w:t>Angra do Heroísmo</w:t>
            </w:r>
          </w:p>
        </w:tc>
        <w:tc>
          <w:tcPr>
            <w:tcW w:w="1080" w:type="dxa"/>
            <w:vAlign w:val="center"/>
          </w:tcPr>
          <w:p w:rsidR="00000000" w:rsidRDefault="00000000">
            <w:pPr>
              <w:tabs>
                <w:tab w:val="decimal" w:pos="763"/>
              </w:tabs>
              <w:rPr>
                <w:sz w:val="22"/>
              </w:rPr>
            </w:pPr>
            <w:r>
              <w:rPr>
                <w:sz w:val="22"/>
              </w:rPr>
              <w:t>81</w:t>
            </w:r>
          </w:p>
        </w:tc>
        <w:tc>
          <w:tcPr>
            <w:tcW w:w="1082" w:type="dxa"/>
            <w:vAlign w:val="center"/>
          </w:tcPr>
          <w:p w:rsidR="00000000" w:rsidRDefault="00000000">
            <w:pPr>
              <w:tabs>
                <w:tab w:val="decimal" w:pos="763"/>
              </w:tabs>
              <w:rPr>
                <w:sz w:val="22"/>
              </w:rPr>
            </w:pPr>
            <w:r>
              <w:rPr>
                <w:sz w:val="22"/>
              </w:rPr>
              <w:t>39</w:t>
            </w:r>
          </w:p>
        </w:tc>
        <w:tc>
          <w:tcPr>
            <w:tcW w:w="1091" w:type="dxa"/>
            <w:vAlign w:val="center"/>
          </w:tcPr>
          <w:p w:rsidR="00000000" w:rsidRDefault="00000000">
            <w:pPr>
              <w:tabs>
                <w:tab w:val="decimal" w:pos="603"/>
              </w:tabs>
              <w:rPr>
                <w:sz w:val="22"/>
              </w:rPr>
            </w:pPr>
            <w:r>
              <w:rPr>
                <w:sz w:val="22"/>
              </w:rPr>
              <w:t>207,7</w:t>
            </w:r>
          </w:p>
        </w:tc>
        <w:tc>
          <w:tcPr>
            <w:tcW w:w="1078" w:type="dxa"/>
            <w:vAlign w:val="center"/>
          </w:tcPr>
          <w:p w:rsidR="00000000" w:rsidRDefault="00000000">
            <w:pPr>
              <w:tabs>
                <w:tab w:val="decimal" w:pos="757"/>
              </w:tabs>
              <w:rPr>
                <w:sz w:val="22"/>
              </w:rPr>
            </w:pPr>
            <w:r>
              <w:rPr>
                <w:sz w:val="22"/>
              </w:rPr>
              <w:t>79</w:t>
            </w:r>
          </w:p>
        </w:tc>
        <w:tc>
          <w:tcPr>
            <w:tcW w:w="1084" w:type="dxa"/>
            <w:vAlign w:val="center"/>
          </w:tcPr>
          <w:p w:rsidR="00000000" w:rsidRDefault="00000000">
            <w:pPr>
              <w:tabs>
                <w:tab w:val="decimal" w:pos="743"/>
              </w:tabs>
              <w:rPr>
                <w:sz w:val="22"/>
              </w:rPr>
            </w:pPr>
            <w:r>
              <w:rPr>
                <w:sz w:val="22"/>
              </w:rPr>
              <w:t>39</w:t>
            </w:r>
          </w:p>
        </w:tc>
        <w:tc>
          <w:tcPr>
            <w:tcW w:w="1313" w:type="dxa"/>
            <w:vAlign w:val="center"/>
          </w:tcPr>
          <w:p w:rsidR="00000000" w:rsidRDefault="00000000">
            <w:pPr>
              <w:tabs>
                <w:tab w:val="decimal" w:pos="723"/>
              </w:tabs>
              <w:rPr>
                <w:sz w:val="22"/>
              </w:rPr>
            </w:pPr>
            <w:r>
              <w:rPr>
                <w:sz w:val="22"/>
              </w:rPr>
              <w:t>202,6</w:t>
            </w:r>
          </w:p>
        </w:tc>
      </w:tr>
      <w:tr w:rsidR="00000000">
        <w:trPr>
          <w:cantSplit/>
          <w:tblHeader/>
          <w:jc w:val="center"/>
        </w:trPr>
        <w:tc>
          <w:tcPr>
            <w:tcW w:w="2595" w:type="dxa"/>
            <w:vAlign w:val="center"/>
          </w:tcPr>
          <w:p w:rsidR="00000000" w:rsidRDefault="00000000">
            <w:pPr>
              <w:rPr>
                <w:sz w:val="22"/>
              </w:rPr>
            </w:pPr>
            <w:r>
              <w:rPr>
                <w:sz w:val="22"/>
              </w:rPr>
              <w:t>Prisión de apoyo de Horta</w:t>
            </w:r>
            <w:r>
              <w:rPr>
                <w:b/>
                <w:sz w:val="22"/>
                <w:vertAlign w:val="superscript"/>
              </w:rPr>
              <w:t>a</w:t>
            </w:r>
          </w:p>
        </w:tc>
        <w:tc>
          <w:tcPr>
            <w:tcW w:w="1080" w:type="dxa"/>
            <w:vAlign w:val="center"/>
          </w:tcPr>
          <w:p w:rsidR="00000000" w:rsidRDefault="00000000">
            <w:pPr>
              <w:tabs>
                <w:tab w:val="decimal" w:pos="763"/>
              </w:tabs>
              <w:rPr>
                <w:sz w:val="22"/>
              </w:rPr>
            </w:pPr>
            <w:r>
              <w:rPr>
                <w:sz w:val="22"/>
              </w:rPr>
              <w:t>20</w:t>
            </w:r>
          </w:p>
        </w:tc>
        <w:tc>
          <w:tcPr>
            <w:tcW w:w="1082" w:type="dxa"/>
            <w:vAlign w:val="center"/>
          </w:tcPr>
          <w:p w:rsidR="00000000" w:rsidRDefault="00000000">
            <w:pPr>
              <w:tabs>
                <w:tab w:val="decimal" w:pos="763"/>
              </w:tabs>
              <w:rPr>
                <w:sz w:val="22"/>
              </w:rPr>
            </w:pPr>
            <w:r>
              <w:rPr>
                <w:sz w:val="22"/>
              </w:rPr>
              <w:t>17</w:t>
            </w:r>
          </w:p>
        </w:tc>
        <w:tc>
          <w:tcPr>
            <w:tcW w:w="1091" w:type="dxa"/>
            <w:vAlign w:val="center"/>
          </w:tcPr>
          <w:p w:rsidR="00000000" w:rsidRDefault="00000000">
            <w:pPr>
              <w:tabs>
                <w:tab w:val="decimal" w:pos="603"/>
              </w:tabs>
              <w:rPr>
                <w:sz w:val="22"/>
              </w:rPr>
            </w:pPr>
            <w:r>
              <w:rPr>
                <w:sz w:val="22"/>
              </w:rPr>
              <w:t>117,6</w:t>
            </w:r>
          </w:p>
        </w:tc>
        <w:tc>
          <w:tcPr>
            <w:tcW w:w="1078" w:type="dxa"/>
            <w:vAlign w:val="center"/>
          </w:tcPr>
          <w:p w:rsidR="00000000" w:rsidRDefault="00000000">
            <w:pPr>
              <w:tabs>
                <w:tab w:val="decimal" w:pos="757"/>
              </w:tabs>
              <w:rPr>
                <w:sz w:val="22"/>
              </w:rPr>
            </w:pPr>
            <w:r>
              <w:rPr>
                <w:sz w:val="22"/>
              </w:rPr>
              <w:t>28</w:t>
            </w:r>
          </w:p>
        </w:tc>
        <w:tc>
          <w:tcPr>
            <w:tcW w:w="1084" w:type="dxa"/>
            <w:vAlign w:val="center"/>
          </w:tcPr>
          <w:p w:rsidR="00000000" w:rsidRDefault="00000000">
            <w:pPr>
              <w:tabs>
                <w:tab w:val="decimal" w:pos="743"/>
              </w:tabs>
              <w:rPr>
                <w:sz w:val="22"/>
              </w:rPr>
            </w:pPr>
            <w:r>
              <w:rPr>
                <w:sz w:val="22"/>
              </w:rPr>
              <w:t>17</w:t>
            </w:r>
          </w:p>
        </w:tc>
        <w:tc>
          <w:tcPr>
            <w:tcW w:w="1313" w:type="dxa"/>
            <w:vAlign w:val="center"/>
          </w:tcPr>
          <w:p w:rsidR="00000000" w:rsidRDefault="00000000">
            <w:pPr>
              <w:tabs>
                <w:tab w:val="decimal" w:pos="723"/>
              </w:tabs>
              <w:rPr>
                <w:sz w:val="22"/>
              </w:rPr>
            </w:pPr>
            <w:r>
              <w:rPr>
                <w:sz w:val="22"/>
              </w:rPr>
              <w:t>164,7</w:t>
            </w:r>
          </w:p>
        </w:tc>
      </w:tr>
      <w:tr w:rsidR="00000000">
        <w:trPr>
          <w:cantSplit/>
          <w:tblHeader/>
          <w:jc w:val="center"/>
        </w:trPr>
        <w:tc>
          <w:tcPr>
            <w:tcW w:w="2595" w:type="dxa"/>
            <w:vAlign w:val="center"/>
          </w:tcPr>
          <w:p w:rsidR="00000000" w:rsidRDefault="00000000">
            <w:pPr>
              <w:rPr>
                <w:sz w:val="22"/>
              </w:rPr>
            </w:pPr>
            <w:r>
              <w:rPr>
                <w:sz w:val="22"/>
              </w:rPr>
              <w:t>Aveiro</w:t>
            </w:r>
          </w:p>
        </w:tc>
        <w:tc>
          <w:tcPr>
            <w:tcW w:w="1080" w:type="dxa"/>
            <w:vAlign w:val="center"/>
          </w:tcPr>
          <w:p w:rsidR="00000000" w:rsidRDefault="00000000">
            <w:pPr>
              <w:tabs>
                <w:tab w:val="decimal" w:pos="763"/>
              </w:tabs>
              <w:rPr>
                <w:sz w:val="22"/>
              </w:rPr>
            </w:pPr>
            <w:r>
              <w:rPr>
                <w:sz w:val="22"/>
              </w:rPr>
              <w:t>142</w:t>
            </w:r>
          </w:p>
        </w:tc>
        <w:tc>
          <w:tcPr>
            <w:tcW w:w="1082" w:type="dxa"/>
            <w:vAlign w:val="center"/>
          </w:tcPr>
          <w:p w:rsidR="00000000" w:rsidRDefault="00000000">
            <w:pPr>
              <w:tabs>
                <w:tab w:val="decimal" w:pos="763"/>
              </w:tabs>
              <w:rPr>
                <w:sz w:val="22"/>
              </w:rPr>
            </w:pPr>
            <w:r>
              <w:rPr>
                <w:sz w:val="22"/>
              </w:rPr>
              <w:t>88</w:t>
            </w:r>
          </w:p>
        </w:tc>
        <w:tc>
          <w:tcPr>
            <w:tcW w:w="1091" w:type="dxa"/>
            <w:vAlign w:val="center"/>
          </w:tcPr>
          <w:p w:rsidR="00000000" w:rsidRDefault="00000000">
            <w:pPr>
              <w:tabs>
                <w:tab w:val="decimal" w:pos="603"/>
              </w:tabs>
              <w:rPr>
                <w:sz w:val="22"/>
              </w:rPr>
            </w:pPr>
            <w:r>
              <w:rPr>
                <w:sz w:val="22"/>
              </w:rPr>
              <w:t>161,4</w:t>
            </w:r>
          </w:p>
        </w:tc>
        <w:tc>
          <w:tcPr>
            <w:tcW w:w="1078" w:type="dxa"/>
            <w:vAlign w:val="center"/>
          </w:tcPr>
          <w:p w:rsidR="00000000" w:rsidRDefault="00000000">
            <w:pPr>
              <w:tabs>
                <w:tab w:val="decimal" w:pos="757"/>
              </w:tabs>
              <w:rPr>
                <w:sz w:val="22"/>
              </w:rPr>
            </w:pPr>
            <w:r>
              <w:rPr>
                <w:sz w:val="22"/>
              </w:rPr>
              <w:t>140</w:t>
            </w:r>
          </w:p>
        </w:tc>
        <w:tc>
          <w:tcPr>
            <w:tcW w:w="1084" w:type="dxa"/>
            <w:vAlign w:val="center"/>
          </w:tcPr>
          <w:p w:rsidR="00000000" w:rsidRDefault="00000000">
            <w:pPr>
              <w:tabs>
                <w:tab w:val="decimal" w:pos="743"/>
              </w:tabs>
              <w:rPr>
                <w:sz w:val="22"/>
              </w:rPr>
            </w:pPr>
            <w:r>
              <w:rPr>
                <w:sz w:val="22"/>
              </w:rPr>
              <w:t>88</w:t>
            </w:r>
          </w:p>
        </w:tc>
        <w:tc>
          <w:tcPr>
            <w:tcW w:w="1313" w:type="dxa"/>
            <w:vAlign w:val="center"/>
          </w:tcPr>
          <w:p w:rsidR="00000000" w:rsidRDefault="00000000">
            <w:pPr>
              <w:tabs>
                <w:tab w:val="decimal" w:pos="723"/>
              </w:tabs>
              <w:rPr>
                <w:sz w:val="22"/>
              </w:rPr>
            </w:pPr>
            <w:r>
              <w:rPr>
                <w:sz w:val="22"/>
              </w:rPr>
              <w:t>159,1</w:t>
            </w:r>
          </w:p>
        </w:tc>
      </w:tr>
      <w:tr w:rsidR="00000000">
        <w:trPr>
          <w:cantSplit/>
          <w:tblHeader/>
          <w:jc w:val="center"/>
        </w:trPr>
        <w:tc>
          <w:tcPr>
            <w:tcW w:w="2595" w:type="dxa"/>
            <w:vAlign w:val="center"/>
          </w:tcPr>
          <w:p w:rsidR="00000000" w:rsidRDefault="00000000">
            <w:pPr>
              <w:rPr>
                <w:sz w:val="22"/>
              </w:rPr>
            </w:pPr>
            <w:r>
              <w:rPr>
                <w:sz w:val="22"/>
              </w:rPr>
              <w:t>Beja</w:t>
            </w:r>
          </w:p>
        </w:tc>
        <w:tc>
          <w:tcPr>
            <w:tcW w:w="1080" w:type="dxa"/>
            <w:vAlign w:val="center"/>
          </w:tcPr>
          <w:p w:rsidR="00000000" w:rsidRDefault="00000000">
            <w:pPr>
              <w:tabs>
                <w:tab w:val="decimal" w:pos="763"/>
              </w:tabs>
              <w:rPr>
                <w:sz w:val="22"/>
              </w:rPr>
            </w:pPr>
            <w:r>
              <w:rPr>
                <w:sz w:val="22"/>
              </w:rPr>
              <w:t>86</w:t>
            </w:r>
          </w:p>
        </w:tc>
        <w:tc>
          <w:tcPr>
            <w:tcW w:w="1082" w:type="dxa"/>
            <w:vAlign w:val="center"/>
          </w:tcPr>
          <w:p w:rsidR="00000000" w:rsidRDefault="00000000">
            <w:pPr>
              <w:tabs>
                <w:tab w:val="decimal" w:pos="763"/>
              </w:tabs>
              <w:rPr>
                <w:sz w:val="22"/>
              </w:rPr>
            </w:pPr>
            <w:r>
              <w:rPr>
                <w:sz w:val="22"/>
              </w:rPr>
              <w:t>48</w:t>
            </w:r>
          </w:p>
        </w:tc>
        <w:tc>
          <w:tcPr>
            <w:tcW w:w="1091" w:type="dxa"/>
            <w:vAlign w:val="center"/>
          </w:tcPr>
          <w:p w:rsidR="00000000" w:rsidRDefault="00000000">
            <w:pPr>
              <w:tabs>
                <w:tab w:val="decimal" w:pos="603"/>
              </w:tabs>
              <w:rPr>
                <w:sz w:val="22"/>
              </w:rPr>
            </w:pPr>
            <w:r>
              <w:rPr>
                <w:sz w:val="22"/>
              </w:rPr>
              <w:t>179,2</w:t>
            </w:r>
          </w:p>
        </w:tc>
        <w:tc>
          <w:tcPr>
            <w:tcW w:w="1078" w:type="dxa"/>
            <w:vAlign w:val="center"/>
          </w:tcPr>
          <w:p w:rsidR="00000000" w:rsidRDefault="00000000">
            <w:pPr>
              <w:tabs>
                <w:tab w:val="decimal" w:pos="757"/>
              </w:tabs>
              <w:rPr>
                <w:sz w:val="22"/>
              </w:rPr>
            </w:pPr>
            <w:r>
              <w:rPr>
                <w:sz w:val="22"/>
              </w:rPr>
              <w:t>101</w:t>
            </w:r>
          </w:p>
        </w:tc>
        <w:tc>
          <w:tcPr>
            <w:tcW w:w="1084" w:type="dxa"/>
            <w:vAlign w:val="center"/>
          </w:tcPr>
          <w:p w:rsidR="00000000" w:rsidRDefault="00000000">
            <w:pPr>
              <w:tabs>
                <w:tab w:val="decimal" w:pos="743"/>
              </w:tabs>
              <w:rPr>
                <w:sz w:val="22"/>
              </w:rPr>
            </w:pPr>
            <w:r>
              <w:rPr>
                <w:sz w:val="22"/>
              </w:rPr>
              <w:t>48</w:t>
            </w:r>
          </w:p>
        </w:tc>
        <w:tc>
          <w:tcPr>
            <w:tcW w:w="1313" w:type="dxa"/>
            <w:vAlign w:val="center"/>
          </w:tcPr>
          <w:p w:rsidR="00000000" w:rsidRDefault="00000000">
            <w:pPr>
              <w:tabs>
                <w:tab w:val="decimal" w:pos="723"/>
              </w:tabs>
              <w:rPr>
                <w:sz w:val="22"/>
              </w:rPr>
            </w:pPr>
            <w:r>
              <w:rPr>
                <w:sz w:val="22"/>
              </w:rPr>
              <w:t>210,4</w:t>
            </w:r>
          </w:p>
        </w:tc>
      </w:tr>
      <w:tr w:rsidR="00000000">
        <w:trPr>
          <w:cantSplit/>
          <w:tblHeader/>
          <w:jc w:val="center"/>
        </w:trPr>
        <w:tc>
          <w:tcPr>
            <w:tcW w:w="2595" w:type="dxa"/>
            <w:vAlign w:val="center"/>
          </w:tcPr>
          <w:p w:rsidR="00000000" w:rsidRDefault="00000000">
            <w:pPr>
              <w:rPr>
                <w:sz w:val="22"/>
              </w:rPr>
            </w:pPr>
            <w:r>
              <w:rPr>
                <w:sz w:val="22"/>
              </w:rPr>
              <w:t>Braga</w:t>
            </w:r>
          </w:p>
        </w:tc>
        <w:tc>
          <w:tcPr>
            <w:tcW w:w="1080" w:type="dxa"/>
            <w:vAlign w:val="center"/>
          </w:tcPr>
          <w:p w:rsidR="00000000" w:rsidRDefault="00000000">
            <w:pPr>
              <w:tabs>
                <w:tab w:val="decimal" w:pos="763"/>
              </w:tabs>
              <w:rPr>
                <w:sz w:val="22"/>
              </w:rPr>
            </w:pPr>
            <w:r>
              <w:rPr>
                <w:sz w:val="22"/>
              </w:rPr>
              <w:t>151</w:t>
            </w:r>
          </w:p>
        </w:tc>
        <w:tc>
          <w:tcPr>
            <w:tcW w:w="1082" w:type="dxa"/>
            <w:vAlign w:val="center"/>
          </w:tcPr>
          <w:p w:rsidR="00000000" w:rsidRDefault="00000000">
            <w:pPr>
              <w:tabs>
                <w:tab w:val="decimal" w:pos="763"/>
              </w:tabs>
              <w:rPr>
                <w:sz w:val="22"/>
              </w:rPr>
            </w:pPr>
            <w:r>
              <w:rPr>
                <w:sz w:val="22"/>
              </w:rPr>
              <w:t>72</w:t>
            </w:r>
          </w:p>
        </w:tc>
        <w:tc>
          <w:tcPr>
            <w:tcW w:w="1091" w:type="dxa"/>
            <w:vAlign w:val="center"/>
          </w:tcPr>
          <w:p w:rsidR="00000000" w:rsidRDefault="00000000">
            <w:pPr>
              <w:tabs>
                <w:tab w:val="decimal" w:pos="603"/>
              </w:tabs>
              <w:rPr>
                <w:sz w:val="22"/>
              </w:rPr>
            </w:pPr>
            <w:r>
              <w:rPr>
                <w:sz w:val="22"/>
              </w:rPr>
              <w:t>209,7</w:t>
            </w:r>
          </w:p>
        </w:tc>
        <w:tc>
          <w:tcPr>
            <w:tcW w:w="1078" w:type="dxa"/>
            <w:vAlign w:val="center"/>
          </w:tcPr>
          <w:p w:rsidR="00000000" w:rsidRDefault="00000000">
            <w:pPr>
              <w:tabs>
                <w:tab w:val="decimal" w:pos="757"/>
              </w:tabs>
              <w:rPr>
                <w:sz w:val="22"/>
              </w:rPr>
            </w:pPr>
            <w:r>
              <w:rPr>
                <w:sz w:val="22"/>
              </w:rPr>
              <w:t>154</w:t>
            </w:r>
          </w:p>
        </w:tc>
        <w:tc>
          <w:tcPr>
            <w:tcW w:w="1084" w:type="dxa"/>
            <w:vAlign w:val="center"/>
          </w:tcPr>
          <w:p w:rsidR="00000000" w:rsidRDefault="00000000">
            <w:pPr>
              <w:tabs>
                <w:tab w:val="decimal" w:pos="743"/>
              </w:tabs>
              <w:rPr>
                <w:sz w:val="22"/>
              </w:rPr>
            </w:pPr>
            <w:r>
              <w:rPr>
                <w:sz w:val="22"/>
              </w:rPr>
              <w:t>72</w:t>
            </w:r>
          </w:p>
        </w:tc>
        <w:tc>
          <w:tcPr>
            <w:tcW w:w="1313" w:type="dxa"/>
            <w:vAlign w:val="center"/>
          </w:tcPr>
          <w:p w:rsidR="00000000" w:rsidRDefault="00000000">
            <w:pPr>
              <w:tabs>
                <w:tab w:val="decimal" w:pos="723"/>
              </w:tabs>
              <w:rPr>
                <w:sz w:val="22"/>
              </w:rPr>
            </w:pPr>
            <w:r>
              <w:rPr>
                <w:sz w:val="22"/>
              </w:rPr>
              <w:t>213,9</w:t>
            </w:r>
          </w:p>
        </w:tc>
      </w:tr>
      <w:tr w:rsidR="00000000">
        <w:trPr>
          <w:cantSplit/>
          <w:tblHeader/>
          <w:jc w:val="center"/>
        </w:trPr>
        <w:tc>
          <w:tcPr>
            <w:tcW w:w="2595" w:type="dxa"/>
            <w:vAlign w:val="center"/>
          </w:tcPr>
          <w:p w:rsidR="00000000" w:rsidRDefault="00000000">
            <w:pPr>
              <w:rPr>
                <w:sz w:val="22"/>
              </w:rPr>
            </w:pPr>
            <w:r>
              <w:rPr>
                <w:sz w:val="22"/>
              </w:rPr>
              <w:t>Bragança</w:t>
            </w:r>
          </w:p>
        </w:tc>
        <w:tc>
          <w:tcPr>
            <w:tcW w:w="1080" w:type="dxa"/>
            <w:vAlign w:val="center"/>
          </w:tcPr>
          <w:p w:rsidR="00000000" w:rsidRDefault="00000000">
            <w:pPr>
              <w:tabs>
                <w:tab w:val="decimal" w:pos="763"/>
              </w:tabs>
              <w:rPr>
                <w:sz w:val="22"/>
              </w:rPr>
            </w:pPr>
            <w:r>
              <w:rPr>
                <w:sz w:val="22"/>
              </w:rPr>
              <w:t>67</w:t>
            </w:r>
          </w:p>
        </w:tc>
        <w:tc>
          <w:tcPr>
            <w:tcW w:w="1082" w:type="dxa"/>
            <w:vAlign w:val="center"/>
          </w:tcPr>
          <w:p w:rsidR="00000000" w:rsidRDefault="00000000">
            <w:pPr>
              <w:tabs>
                <w:tab w:val="decimal" w:pos="763"/>
              </w:tabs>
              <w:rPr>
                <w:sz w:val="22"/>
              </w:rPr>
            </w:pPr>
            <w:r>
              <w:rPr>
                <w:sz w:val="22"/>
              </w:rPr>
              <w:t>75</w:t>
            </w:r>
          </w:p>
        </w:tc>
        <w:tc>
          <w:tcPr>
            <w:tcW w:w="1091" w:type="dxa"/>
            <w:vAlign w:val="center"/>
          </w:tcPr>
          <w:p w:rsidR="00000000" w:rsidRDefault="00000000">
            <w:pPr>
              <w:tabs>
                <w:tab w:val="decimal" w:pos="603"/>
              </w:tabs>
              <w:rPr>
                <w:sz w:val="22"/>
              </w:rPr>
            </w:pPr>
            <w:r>
              <w:rPr>
                <w:sz w:val="22"/>
              </w:rPr>
              <w:t>89,3</w:t>
            </w:r>
          </w:p>
        </w:tc>
        <w:tc>
          <w:tcPr>
            <w:tcW w:w="1078" w:type="dxa"/>
            <w:vAlign w:val="center"/>
          </w:tcPr>
          <w:p w:rsidR="00000000" w:rsidRDefault="00000000">
            <w:pPr>
              <w:tabs>
                <w:tab w:val="decimal" w:pos="757"/>
              </w:tabs>
              <w:rPr>
                <w:sz w:val="22"/>
              </w:rPr>
            </w:pPr>
            <w:r>
              <w:rPr>
                <w:sz w:val="22"/>
              </w:rPr>
              <w:t>88</w:t>
            </w:r>
          </w:p>
        </w:tc>
        <w:tc>
          <w:tcPr>
            <w:tcW w:w="1084" w:type="dxa"/>
            <w:vAlign w:val="center"/>
          </w:tcPr>
          <w:p w:rsidR="00000000" w:rsidRDefault="00000000">
            <w:pPr>
              <w:tabs>
                <w:tab w:val="decimal" w:pos="743"/>
              </w:tabs>
              <w:rPr>
                <w:sz w:val="22"/>
              </w:rPr>
            </w:pPr>
            <w:r>
              <w:rPr>
                <w:sz w:val="22"/>
              </w:rPr>
              <w:t>75</w:t>
            </w:r>
          </w:p>
        </w:tc>
        <w:tc>
          <w:tcPr>
            <w:tcW w:w="1313" w:type="dxa"/>
            <w:vAlign w:val="center"/>
          </w:tcPr>
          <w:p w:rsidR="00000000" w:rsidRDefault="00000000">
            <w:pPr>
              <w:tabs>
                <w:tab w:val="decimal" w:pos="723"/>
              </w:tabs>
              <w:rPr>
                <w:sz w:val="22"/>
              </w:rPr>
            </w:pPr>
            <w:r>
              <w:rPr>
                <w:sz w:val="22"/>
              </w:rPr>
              <w:t>117,3</w:t>
            </w:r>
          </w:p>
        </w:tc>
      </w:tr>
      <w:tr w:rsidR="00000000">
        <w:trPr>
          <w:cantSplit/>
          <w:tblHeader/>
          <w:jc w:val="center"/>
        </w:trPr>
        <w:tc>
          <w:tcPr>
            <w:tcW w:w="2595" w:type="dxa"/>
            <w:vAlign w:val="center"/>
          </w:tcPr>
          <w:p w:rsidR="00000000" w:rsidRDefault="00000000">
            <w:pPr>
              <w:rPr>
                <w:sz w:val="22"/>
              </w:rPr>
            </w:pPr>
            <w:r>
              <w:rPr>
                <w:sz w:val="22"/>
              </w:rPr>
              <w:t>Caldas da Raínha</w:t>
            </w:r>
          </w:p>
        </w:tc>
        <w:tc>
          <w:tcPr>
            <w:tcW w:w="1080" w:type="dxa"/>
            <w:vAlign w:val="center"/>
          </w:tcPr>
          <w:p w:rsidR="00000000" w:rsidRDefault="00000000">
            <w:pPr>
              <w:tabs>
                <w:tab w:val="decimal" w:pos="763"/>
              </w:tabs>
              <w:rPr>
                <w:sz w:val="22"/>
              </w:rPr>
            </w:pPr>
            <w:r>
              <w:rPr>
                <w:sz w:val="22"/>
              </w:rPr>
              <w:t>160</w:t>
            </w:r>
          </w:p>
        </w:tc>
        <w:tc>
          <w:tcPr>
            <w:tcW w:w="1082" w:type="dxa"/>
            <w:vAlign w:val="center"/>
          </w:tcPr>
          <w:p w:rsidR="00000000" w:rsidRDefault="00000000">
            <w:pPr>
              <w:tabs>
                <w:tab w:val="decimal" w:pos="763"/>
              </w:tabs>
              <w:rPr>
                <w:sz w:val="22"/>
              </w:rPr>
            </w:pPr>
            <w:r>
              <w:rPr>
                <w:sz w:val="22"/>
              </w:rPr>
              <w:t>104</w:t>
            </w:r>
          </w:p>
        </w:tc>
        <w:tc>
          <w:tcPr>
            <w:tcW w:w="1091" w:type="dxa"/>
            <w:vAlign w:val="center"/>
          </w:tcPr>
          <w:p w:rsidR="00000000" w:rsidRDefault="00000000">
            <w:pPr>
              <w:tabs>
                <w:tab w:val="decimal" w:pos="603"/>
              </w:tabs>
              <w:rPr>
                <w:sz w:val="22"/>
              </w:rPr>
            </w:pPr>
            <w:r>
              <w:rPr>
                <w:sz w:val="22"/>
              </w:rPr>
              <w:t>153,8</w:t>
            </w:r>
          </w:p>
        </w:tc>
        <w:tc>
          <w:tcPr>
            <w:tcW w:w="1078" w:type="dxa"/>
            <w:vAlign w:val="center"/>
          </w:tcPr>
          <w:p w:rsidR="00000000" w:rsidRDefault="00000000">
            <w:pPr>
              <w:tabs>
                <w:tab w:val="decimal" w:pos="757"/>
              </w:tabs>
              <w:rPr>
                <w:sz w:val="22"/>
              </w:rPr>
            </w:pPr>
            <w:r>
              <w:rPr>
                <w:sz w:val="22"/>
              </w:rPr>
              <w:t>178</w:t>
            </w:r>
          </w:p>
        </w:tc>
        <w:tc>
          <w:tcPr>
            <w:tcW w:w="1084" w:type="dxa"/>
            <w:vAlign w:val="center"/>
          </w:tcPr>
          <w:p w:rsidR="00000000" w:rsidRDefault="00000000">
            <w:pPr>
              <w:tabs>
                <w:tab w:val="decimal" w:pos="743"/>
              </w:tabs>
              <w:rPr>
                <w:sz w:val="22"/>
              </w:rPr>
            </w:pPr>
            <w:r>
              <w:rPr>
                <w:sz w:val="22"/>
              </w:rPr>
              <w:t>104</w:t>
            </w:r>
          </w:p>
        </w:tc>
        <w:tc>
          <w:tcPr>
            <w:tcW w:w="1313" w:type="dxa"/>
            <w:vAlign w:val="center"/>
          </w:tcPr>
          <w:p w:rsidR="00000000" w:rsidRDefault="00000000">
            <w:pPr>
              <w:tabs>
                <w:tab w:val="decimal" w:pos="723"/>
              </w:tabs>
              <w:rPr>
                <w:sz w:val="22"/>
              </w:rPr>
            </w:pPr>
            <w:r>
              <w:rPr>
                <w:sz w:val="22"/>
              </w:rPr>
              <w:t>171,2</w:t>
            </w:r>
          </w:p>
        </w:tc>
      </w:tr>
      <w:tr w:rsidR="00000000">
        <w:trPr>
          <w:cantSplit/>
          <w:tblHeader/>
          <w:jc w:val="center"/>
        </w:trPr>
        <w:tc>
          <w:tcPr>
            <w:tcW w:w="2595" w:type="dxa"/>
            <w:vAlign w:val="center"/>
          </w:tcPr>
          <w:p w:rsidR="00000000" w:rsidRDefault="00000000">
            <w:pPr>
              <w:rPr>
                <w:sz w:val="22"/>
              </w:rPr>
            </w:pPr>
            <w:r>
              <w:rPr>
                <w:sz w:val="22"/>
              </w:rPr>
              <w:t>Castelo Branco</w:t>
            </w:r>
          </w:p>
        </w:tc>
        <w:tc>
          <w:tcPr>
            <w:tcW w:w="1080" w:type="dxa"/>
            <w:vAlign w:val="center"/>
          </w:tcPr>
          <w:p w:rsidR="00000000" w:rsidRDefault="00000000">
            <w:pPr>
              <w:tabs>
                <w:tab w:val="decimal" w:pos="763"/>
              </w:tabs>
              <w:rPr>
                <w:sz w:val="22"/>
              </w:rPr>
            </w:pPr>
            <w:r>
              <w:rPr>
                <w:sz w:val="22"/>
              </w:rPr>
              <w:t>67</w:t>
            </w:r>
          </w:p>
        </w:tc>
        <w:tc>
          <w:tcPr>
            <w:tcW w:w="1082" w:type="dxa"/>
            <w:vAlign w:val="center"/>
          </w:tcPr>
          <w:p w:rsidR="00000000" w:rsidRDefault="00000000">
            <w:pPr>
              <w:tabs>
                <w:tab w:val="decimal" w:pos="763"/>
              </w:tabs>
              <w:rPr>
                <w:sz w:val="22"/>
              </w:rPr>
            </w:pPr>
            <w:r>
              <w:rPr>
                <w:sz w:val="22"/>
              </w:rPr>
              <w:t>31</w:t>
            </w:r>
          </w:p>
        </w:tc>
        <w:tc>
          <w:tcPr>
            <w:tcW w:w="1091" w:type="dxa"/>
            <w:vAlign w:val="center"/>
          </w:tcPr>
          <w:p w:rsidR="00000000" w:rsidRDefault="00000000">
            <w:pPr>
              <w:tabs>
                <w:tab w:val="decimal" w:pos="603"/>
              </w:tabs>
              <w:rPr>
                <w:sz w:val="22"/>
              </w:rPr>
            </w:pPr>
            <w:r>
              <w:rPr>
                <w:sz w:val="22"/>
              </w:rPr>
              <w:t>216,1</w:t>
            </w:r>
          </w:p>
        </w:tc>
        <w:tc>
          <w:tcPr>
            <w:tcW w:w="1078" w:type="dxa"/>
            <w:vAlign w:val="center"/>
          </w:tcPr>
          <w:p w:rsidR="00000000" w:rsidRDefault="00000000">
            <w:pPr>
              <w:tabs>
                <w:tab w:val="decimal" w:pos="757"/>
              </w:tabs>
              <w:rPr>
                <w:sz w:val="22"/>
              </w:rPr>
            </w:pPr>
            <w:r>
              <w:rPr>
                <w:sz w:val="22"/>
              </w:rPr>
              <w:t>74</w:t>
            </w:r>
          </w:p>
        </w:tc>
        <w:tc>
          <w:tcPr>
            <w:tcW w:w="1084" w:type="dxa"/>
            <w:vAlign w:val="center"/>
          </w:tcPr>
          <w:p w:rsidR="00000000" w:rsidRDefault="00000000">
            <w:pPr>
              <w:tabs>
                <w:tab w:val="decimal" w:pos="743"/>
              </w:tabs>
              <w:rPr>
                <w:sz w:val="22"/>
              </w:rPr>
            </w:pPr>
            <w:r>
              <w:rPr>
                <w:sz w:val="22"/>
              </w:rPr>
              <w:t>31</w:t>
            </w:r>
          </w:p>
        </w:tc>
        <w:tc>
          <w:tcPr>
            <w:tcW w:w="1313" w:type="dxa"/>
            <w:vAlign w:val="center"/>
          </w:tcPr>
          <w:p w:rsidR="00000000" w:rsidRDefault="00000000">
            <w:pPr>
              <w:tabs>
                <w:tab w:val="decimal" w:pos="723"/>
              </w:tabs>
              <w:rPr>
                <w:sz w:val="22"/>
              </w:rPr>
            </w:pPr>
            <w:r>
              <w:rPr>
                <w:sz w:val="22"/>
              </w:rPr>
              <w:t>238,7</w:t>
            </w:r>
          </w:p>
        </w:tc>
      </w:tr>
      <w:tr w:rsidR="00000000">
        <w:trPr>
          <w:cantSplit/>
          <w:tblHeader/>
          <w:jc w:val="center"/>
        </w:trPr>
        <w:tc>
          <w:tcPr>
            <w:tcW w:w="2595" w:type="dxa"/>
            <w:vAlign w:val="center"/>
          </w:tcPr>
          <w:p w:rsidR="00000000" w:rsidRDefault="00000000">
            <w:pPr>
              <w:rPr>
                <w:sz w:val="22"/>
              </w:rPr>
            </w:pPr>
            <w:r>
              <w:rPr>
                <w:sz w:val="22"/>
              </w:rPr>
              <w:t>Chaves</w:t>
            </w:r>
          </w:p>
        </w:tc>
        <w:tc>
          <w:tcPr>
            <w:tcW w:w="1080" w:type="dxa"/>
            <w:vAlign w:val="center"/>
          </w:tcPr>
          <w:p w:rsidR="00000000" w:rsidRDefault="00000000">
            <w:pPr>
              <w:tabs>
                <w:tab w:val="decimal" w:pos="763"/>
              </w:tabs>
              <w:rPr>
                <w:sz w:val="22"/>
              </w:rPr>
            </w:pPr>
            <w:r>
              <w:rPr>
                <w:sz w:val="22"/>
              </w:rPr>
              <w:t>62</w:t>
            </w:r>
          </w:p>
        </w:tc>
        <w:tc>
          <w:tcPr>
            <w:tcW w:w="1082" w:type="dxa"/>
            <w:vAlign w:val="center"/>
          </w:tcPr>
          <w:p w:rsidR="00000000" w:rsidRDefault="00000000">
            <w:pPr>
              <w:tabs>
                <w:tab w:val="decimal" w:pos="763"/>
              </w:tabs>
              <w:rPr>
                <w:sz w:val="22"/>
              </w:rPr>
            </w:pPr>
            <w:r>
              <w:rPr>
                <w:sz w:val="22"/>
              </w:rPr>
              <w:t>71</w:t>
            </w:r>
          </w:p>
        </w:tc>
        <w:tc>
          <w:tcPr>
            <w:tcW w:w="1091" w:type="dxa"/>
            <w:vAlign w:val="center"/>
          </w:tcPr>
          <w:p w:rsidR="00000000" w:rsidRDefault="00000000">
            <w:pPr>
              <w:tabs>
                <w:tab w:val="decimal" w:pos="603"/>
              </w:tabs>
              <w:rPr>
                <w:sz w:val="22"/>
              </w:rPr>
            </w:pPr>
            <w:r>
              <w:rPr>
                <w:sz w:val="22"/>
              </w:rPr>
              <w:t>87,3</w:t>
            </w:r>
          </w:p>
        </w:tc>
        <w:tc>
          <w:tcPr>
            <w:tcW w:w="1078" w:type="dxa"/>
            <w:vAlign w:val="center"/>
          </w:tcPr>
          <w:p w:rsidR="00000000" w:rsidRDefault="00000000">
            <w:pPr>
              <w:tabs>
                <w:tab w:val="decimal" w:pos="757"/>
              </w:tabs>
              <w:rPr>
                <w:sz w:val="22"/>
              </w:rPr>
            </w:pPr>
            <w:r>
              <w:rPr>
                <w:sz w:val="22"/>
              </w:rPr>
              <w:t>66</w:t>
            </w:r>
          </w:p>
        </w:tc>
        <w:tc>
          <w:tcPr>
            <w:tcW w:w="1084" w:type="dxa"/>
            <w:vAlign w:val="center"/>
          </w:tcPr>
          <w:p w:rsidR="00000000" w:rsidRDefault="00000000">
            <w:pPr>
              <w:tabs>
                <w:tab w:val="decimal" w:pos="743"/>
              </w:tabs>
              <w:rPr>
                <w:sz w:val="22"/>
              </w:rPr>
            </w:pPr>
            <w:r>
              <w:rPr>
                <w:sz w:val="22"/>
              </w:rPr>
              <w:t>71</w:t>
            </w:r>
          </w:p>
        </w:tc>
        <w:tc>
          <w:tcPr>
            <w:tcW w:w="1313" w:type="dxa"/>
            <w:vAlign w:val="center"/>
          </w:tcPr>
          <w:p w:rsidR="00000000" w:rsidRDefault="00000000">
            <w:pPr>
              <w:tabs>
                <w:tab w:val="decimal" w:pos="723"/>
              </w:tabs>
              <w:rPr>
                <w:sz w:val="22"/>
              </w:rPr>
            </w:pPr>
            <w:r>
              <w:rPr>
                <w:sz w:val="22"/>
              </w:rPr>
              <w:t>93,0</w:t>
            </w:r>
          </w:p>
        </w:tc>
      </w:tr>
      <w:tr w:rsidR="00000000">
        <w:trPr>
          <w:cantSplit/>
          <w:tblHeader/>
          <w:jc w:val="center"/>
        </w:trPr>
        <w:tc>
          <w:tcPr>
            <w:tcW w:w="2595" w:type="dxa"/>
            <w:vAlign w:val="center"/>
          </w:tcPr>
          <w:p w:rsidR="00000000" w:rsidRDefault="00000000">
            <w:pPr>
              <w:rPr>
                <w:sz w:val="22"/>
              </w:rPr>
            </w:pPr>
            <w:r>
              <w:rPr>
                <w:sz w:val="22"/>
              </w:rPr>
              <w:t>Coimbra</w:t>
            </w:r>
          </w:p>
        </w:tc>
        <w:tc>
          <w:tcPr>
            <w:tcW w:w="1080" w:type="dxa"/>
            <w:vAlign w:val="center"/>
          </w:tcPr>
          <w:p w:rsidR="00000000" w:rsidRDefault="00000000">
            <w:pPr>
              <w:tabs>
                <w:tab w:val="decimal" w:pos="763"/>
              </w:tabs>
              <w:rPr>
                <w:sz w:val="22"/>
              </w:rPr>
            </w:pPr>
            <w:r>
              <w:rPr>
                <w:sz w:val="22"/>
              </w:rPr>
              <w:t>233</w:t>
            </w:r>
          </w:p>
        </w:tc>
        <w:tc>
          <w:tcPr>
            <w:tcW w:w="1082" w:type="dxa"/>
            <w:vAlign w:val="center"/>
          </w:tcPr>
          <w:p w:rsidR="00000000" w:rsidRDefault="00000000">
            <w:pPr>
              <w:tabs>
                <w:tab w:val="decimal" w:pos="763"/>
              </w:tabs>
              <w:rPr>
                <w:sz w:val="22"/>
              </w:rPr>
            </w:pPr>
            <w:r>
              <w:rPr>
                <w:sz w:val="22"/>
              </w:rPr>
              <w:t>243</w:t>
            </w:r>
          </w:p>
        </w:tc>
        <w:tc>
          <w:tcPr>
            <w:tcW w:w="1091" w:type="dxa"/>
            <w:vAlign w:val="center"/>
          </w:tcPr>
          <w:p w:rsidR="00000000" w:rsidRDefault="00000000">
            <w:pPr>
              <w:tabs>
                <w:tab w:val="decimal" w:pos="603"/>
              </w:tabs>
              <w:rPr>
                <w:sz w:val="22"/>
              </w:rPr>
            </w:pPr>
            <w:r>
              <w:rPr>
                <w:sz w:val="22"/>
              </w:rPr>
              <w:t>95,9</w:t>
            </w:r>
          </w:p>
        </w:tc>
        <w:tc>
          <w:tcPr>
            <w:tcW w:w="1078" w:type="dxa"/>
            <w:vAlign w:val="center"/>
          </w:tcPr>
          <w:p w:rsidR="00000000" w:rsidRDefault="00000000">
            <w:pPr>
              <w:tabs>
                <w:tab w:val="decimal" w:pos="757"/>
              </w:tabs>
              <w:rPr>
                <w:sz w:val="22"/>
              </w:rPr>
            </w:pPr>
            <w:r>
              <w:rPr>
                <w:sz w:val="22"/>
              </w:rPr>
              <w:t>224</w:t>
            </w:r>
          </w:p>
        </w:tc>
        <w:tc>
          <w:tcPr>
            <w:tcW w:w="1084" w:type="dxa"/>
            <w:vAlign w:val="center"/>
          </w:tcPr>
          <w:p w:rsidR="00000000" w:rsidRDefault="00000000">
            <w:pPr>
              <w:tabs>
                <w:tab w:val="decimal" w:pos="743"/>
              </w:tabs>
              <w:rPr>
                <w:sz w:val="22"/>
              </w:rPr>
            </w:pPr>
            <w:r>
              <w:rPr>
                <w:sz w:val="22"/>
              </w:rPr>
              <w:t>243</w:t>
            </w:r>
          </w:p>
        </w:tc>
        <w:tc>
          <w:tcPr>
            <w:tcW w:w="1313" w:type="dxa"/>
            <w:vAlign w:val="center"/>
          </w:tcPr>
          <w:p w:rsidR="00000000" w:rsidRDefault="00000000">
            <w:pPr>
              <w:tabs>
                <w:tab w:val="decimal" w:pos="723"/>
              </w:tabs>
              <w:rPr>
                <w:sz w:val="22"/>
              </w:rPr>
            </w:pPr>
            <w:r>
              <w:rPr>
                <w:sz w:val="22"/>
              </w:rPr>
              <w:t>92,2</w:t>
            </w:r>
          </w:p>
        </w:tc>
      </w:tr>
      <w:tr w:rsidR="00000000">
        <w:trPr>
          <w:cantSplit/>
          <w:tblHeader/>
          <w:jc w:val="center"/>
        </w:trPr>
        <w:tc>
          <w:tcPr>
            <w:tcW w:w="2595" w:type="dxa"/>
            <w:vAlign w:val="center"/>
          </w:tcPr>
          <w:p w:rsidR="00000000" w:rsidRDefault="00000000">
            <w:pPr>
              <w:rPr>
                <w:sz w:val="22"/>
              </w:rPr>
            </w:pPr>
            <w:r>
              <w:rPr>
                <w:sz w:val="22"/>
              </w:rPr>
              <w:t>Covilhã</w:t>
            </w:r>
          </w:p>
        </w:tc>
        <w:tc>
          <w:tcPr>
            <w:tcW w:w="1080" w:type="dxa"/>
            <w:vAlign w:val="center"/>
          </w:tcPr>
          <w:p w:rsidR="00000000" w:rsidRDefault="00000000">
            <w:pPr>
              <w:tabs>
                <w:tab w:val="decimal" w:pos="763"/>
              </w:tabs>
              <w:rPr>
                <w:sz w:val="22"/>
              </w:rPr>
            </w:pPr>
            <w:r>
              <w:rPr>
                <w:sz w:val="22"/>
              </w:rPr>
              <w:t>104</w:t>
            </w:r>
          </w:p>
        </w:tc>
        <w:tc>
          <w:tcPr>
            <w:tcW w:w="1082" w:type="dxa"/>
            <w:vAlign w:val="center"/>
          </w:tcPr>
          <w:p w:rsidR="00000000" w:rsidRDefault="00000000">
            <w:pPr>
              <w:tabs>
                <w:tab w:val="decimal" w:pos="763"/>
              </w:tabs>
              <w:rPr>
                <w:sz w:val="22"/>
              </w:rPr>
            </w:pPr>
            <w:r>
              <w:rPr>
                <w:sz w:val="22"/>
              </w:rPr>
              <w:t>105</w:t>
            </w:r>
          </w:p>
        </w:tc>
        <w:tc>
          <w:tcPr>
            <w:tcW w:w="1091" w:type="dxa"/>
            <w:vAlign w:val="center"/>
          </w:tcPr>
          <w:p w:rsidR="00000000" w:rsidRDefault="00000000">
            <w:pPr>
              <w:tabs>
                <w:tab w:val="decimal" w:pos="603"/>
              </w:tabs>
              <w:rPr>
                <w:sz w:val="22"/>
              </w:rPr>
            </w:pPr>
            <w:r>
              <w:rPr>
                <w:sz w:val="22"/>
              </w:rPr>
              <w:t>99,0</w:t>
            </w:r>
          </w:p>
        </w:tc>
        <w:tc>
          <w:tcPr>
            <w:tcW w:w="1078" w:type="dxa"/>
            <w:vAlign w:val="center"/>
          </w:tcPr>
          <w:p w:rsidR="00000000" w:rsidRDefault="00000000">
            <w:pPr>
              <w:tabs>
                <w:tab w:val="decimal" w:pos="757"/>
              </w:tabs>
              <w:rPr>
                <w:sz w:val="22"/>
              </w:rPr>
            </w:pPr>
            <w:r>
              <w:rPr>
                <w:sz w:val="22"/>
              </w:rPr>
              <w:t>133</w:t>
            </w:r>
          </w:p>
        </w:tc>
        <w:tc>
          <w:tcPr>
            <w:tcW w:w="1084" w:type="dxa"/>
            <w:vAlign w:val="center"/>
          </w:tcPr>
          <w:p w:rsidR="00000000" w:rsidRDefault="00000000">
            <w:pPr>
              <w:tabs>
                <w:tab w:val="decimal" w:pos="743"/>
              </w:tabs>
              <w:rPr>
                <w:sz w:val="22"/>
              </w:rPr>
            </w:pPr>
            <w:r>
              <w:rPr>
                <w:sz w:val="22"/>
              </w:rPr>
              <w:t>105</w:t>
            </w:r>
          </w:p>
        </w:tc>
        <w:tc>
          <w:tcPr>
            <w:tcW w:w="1313" w:type="dxa"/>
            <w:vAlign w:val="center"/>
          </w:tcPr>
          <w:p w:rsidR="00000000" w:rsidRDefault="00000000">
            <w:pPr>
              <w:tabs>
                <w:tab w:val="decimal" w:pos="723"/>
              </w:tabs>
              <w:rPr>
                <w:sz w:val="22"/>
              </w:rPr>
            </w:pPr>
            <w:r>
              <w:rPr>
                <w:sz w:val="22"/>
              </w:rPr>
              <w:t>126,7</w:t>
            </w:r>
          </w:p>
        </w:tc>
      </w:tr>
      <w:tr w:rsidR="00000000">
        <w:trPr>
          <w:cantSplit/>
          <w:tblHeader/>
          <w:jc w:val="center"/>
        </w:trPr>
        <w:tc>
          <w:tcPr>
            <w:tcW w:w="2595" w:type="dxa"/>
            <w:vAlign w:val="center"/>
          </w:tcPr>
          <w:p w:rsidR="00000000" w:rsidRDefault="00000000">
            <w:pPr>
              <w:rPr>
                <w:sz w:val="22"/>
              </w:rPr>
            </w:pPr>
            <w:r>
              <w:rPr>
                <w:sz w:val="22"/>
              </w:rPr>
              <w:t>Elvas</w:t>
            </w:r>
          </w:p>
        </w:tc>
        <w:tc>
          <w:tcPr>
            <w:tcW w:w="1080" w:type="dxa"/>
            <w:vAlign w:val="center"/>
          </w:tcPr>
          <w:p w:rsidR="00000000" w:rsidRDefault="00000000">
            <w:pPr>
              <w:tabs>
                <w:tab w:val="decimal" w:pos="763"/>
              </w:tabs>
              <w:rPr>
                <w:sz w:val="22"/>
              </w:rPr>
            </w:pPr>
            <w:r>
              <w:rPr>
                <w:sz w:val="22"/>
              </w:rPr>
              <w:t>60</w:t>
            </w:r>
          </w:p>
        </w:tc>
        <w:tc>
          <w:tcPr>
            <w:tcW w:w="1082" w:type="dxa"/>
            <w:vAlign w:val="center"/>
          </w:tcPr>
          <w:p w:rsidR="00000000" w:rsidRDefault="00000000">
            <w:pPr>
              <w:tabs>
                <w:tab w:val="decimal" w:pos="763"/>
              </w:tabs>
              <w:rPr>
                <w:sz w:val="22"/>
              </w:rPr>
            </w:pPr>
            <w:r>
              <w:rPr>
                <w:sz w:val="22"/>
              </w:rPr>
              <w:t>29</w:t>
            </w:r>
          </w:p>
        </w:tc>
        <w:tc>
          <w:tcPr>
            <w:tcW w:w="1091" w:type="dxa"/>
            <w:vAlign w:val="center"/>
          </w:tcPr>
          <w:p w:rsidR="00000000" w:rsidRDefault="00000000">
            <w:pPr>
              <w:tabs>
                <w:tab w:val="decimal" w:pos="603"/>
              </w:tabs>
              <w:rPr>
                <w:sz w:val="22"/>
              </w:rPr>
            </w:pPr>
            <w:r>
              <w:rPr>
                <w:sz w:val="22"/>
              </w:rPr>
              <w:t>206,9</w:t>
            </w:r>
          </w:p>
        </w:tc>
        <w:tc>
          <w:tcPr>
            <w:tcW w:w="1078" w:type="dxa"/>
            <w:vAlign w:val="center"/>
          </w:tcPr>
          <w:p w:rsidR="00000000" w:rsidRDefault="00000000">
            <w:pPr>
              <w:tabs>
                <w:tab w:val="decimal" w:pos="757"/>
              </w:tabs>
              <w:rPr>
                <w:sz w:val="22"/>
              </w:rPr>
            </w:pPr>
            <w:r>
              <w:rPr>
                <w:sz w:val="22"/>
              </w:rPr>
              <w:t>65</w:t>
            </w:r>
          </w:p>
        </w:tc>
        <w:tc>
          <w:tcPr>
            <w:tcW w:w="1084" w:type="dxa"/>
            <w:vAlign w:val="center"/>
          </w:tcPr>
          <w:p w:rsidR="00000000" w:rsidRDefault="00000000">
            <w:pPr>
              <w:tabs>
                <w:tab w:val="decimal" w:pos="743"/>
              </w:tabs>
              <w:rPr>
                <w:sz w:val="22"/>
              </w:rPr>
            </w:pPr>
            <w:r>
              <w:rPr>
                <w:sz w:val="22"/>
              </w:rPr>
              <w:t>29</w:t>
            </w:r>
          </w:p>
        </w:tc>
        <w:tc>
          <w:tcPr>
            <w:tcW w:w="1313" w:type="dxa"/>
            <w:vAlign w:val="center"/>
          </w:tcPr>
          <w:p w:rsidR="00000000" w:rsidRDefault="00000000">
            <w:pPr>
              <w:tabs>
                <w:tab w:val="decimal" w:pos="723"/>
              </w:tabs>
              <w:rPr>
                <w:sz w:val="22"/>
              </w:rPr>
            </w:pPr>
            <w:r>
              <w:rPr>
                <w:sz w:val="22"/>
              </w:rPr>
              <w:t>224,1</w:t>
            </w:r>
          </w:p>
        </w:tc>
      </w:tr>
      <w:tr w:rsidR="00000000">
        <w:trPr>
          <w:cantSplit/>
          <w:tblHeader/>
          <w:jc w:val="center"/>
        </w:trPr>
        <w:tc>
          <w:tcPr>
            <w:tcW w:w="2595" w:type="dxa"/>
            <w:vAlign w:val="center"/>
          </w:tcPr>
          <w:p w:rsidR="00000000" w:rsidRDefault="00000000">
            <w:pPr>
              <w:rPr>
                <w:sz w:val="22"/>
              </w:rPr>
            </w:pPr>
            <w:r>
              <w:rPr>
                <w:sz w:val="22"/>
              </w:rPr>
              <w:t>Évora</w:t>
            </w:r>
          </w:p>
        </w:tc>
        <w:tc>
          <w:tcPr>
            <w:tcW w:w="1080" w:type="dxa"/>
            <w:vAlign w:val="center"/>
          </w:tcPr>
          <w:p w:rsidR="00000000" w:rsidRDefault="00000000">
            <w:pPr>
              <w:tabs>
                <w:tab w:val="decimal" w:pos="763"/>
              </w:tabs>
              <w:rPr>
                <w:sz w:val="22"/>
              </w:rPr>
            </w:pPr>
            <w:r>
              <w:rPr>
                <w:sz w:val="22"/>
              </w:rPr>
              <w:t>60</w:t>
            </w:r>
          </w:p>
        </w:tc>
        <w:tc>
          <w:tcPr>
            <w:tcW w:w="1082" w:type="dxa"/>
            <w:vAlign w:val="center"/>
          </w:tcPr>
          <w:p w:rsidR="00000000" w:rsidRDefault="00000000">
            <w:pPr>
              <w:tabs>
                <w:tab w:val="decimal" w:pos="763"/>
              </w:tabs>
              <w:rPr>
                <w:sz w:val="22"/>
              </w:rPr>
            </w:pPr>
            <w:r>
              <w:rPr>
                <w:sz w:val="22"/>
              </w:rPr>
              <w:t>46</w:t>
            </w:r>
          </w:p>
        </w:tc>
        <w:tc>
          <w:tcPr>
            <w:tcW w:w="1091" w:type="dxa"/>
            <w:vAlign w:val="center"/>
          </w:tcPr>
          <w:p w:rsidR="00000000" w:rsidRDefault="00000000">
            <w:pPr>
              <w:tabs>
                <w:tab w:val="decimal" w:pos="603"/>
              </w:tabs>
              <w:rPr>
                <w:sz w:val="22"/>
              </w:rPr>
            </w:pPr>
            <w:r>
              <w:rPr>
                <w:sz w:val="22"/>
              </w:rPr>
              <w:t>130,4</w:t>
            </w:r>
          </w:p>
        </w:tc>
        <w:tc>
          <w:tcPr>
            <w:tcW w:w="1078" w:type="dxa"/>
            <w:vAlign w:val="center"/>
          </w:tcPr>
          <w:p w:rsidR="00000000" w:rsidRDefault="00000000">
            <w:pPr>
              <w:tabs>
                <w:tab w:val="decimal" w:pos="757"/>
              </w:tabs>
              <w:rPr>
                <w:sz w:val="22"/>
              </w:rPr>
            </w:pPr>
            <w:r>
              <w:rPr>
                <w:sz w:val="22"/>
              </w:rPr>
              <w:t>71</w:t>
            </w:r>
          </w:p>
        </w:tc>
        <w:tc>
          <w:tcPr>
            <w:tcW w:w="1084" w:type="dxa"/>
            <w:vAlign w:val="center"/>
          </w:tcPr>
          <w:p w:rsidR="00000000" w:rsidRDefault="00000000">
            <w:pPr>
              <w:tabs>
                <w:tab w:val="decimal" w:pos="743"/>
              </w:tabs>
              <w:rPr>
                <w:sz w:val="22"/>
              </w:rPr>
            </w:pPr>
            <w:r>
              <w:rPr>
                <w:sz w:val="22"/>
              </w:rPr>
              <w:t>46</w:t>
            </w:r>
          </w:p>
        </w:tc>
        <w:tc>
          <w:tcPr>
            <w:tcW w:w="1313" w:type="dxa"/>
            <w:vAlign w:val="center"/>
          </w:tcPr>
          <w:p w:rsidR="00000000" w:rsidRDefault="00000000">
            <w:pPr>
              <w:tabs>
                <w:tab w:val="decimal" w:pos="723"/>
              </w:tabs>
              <w:rPr>
                <w:sz w:val="22"/>
              </w:rPr>
            </w:pPr>
            <w:r>
              <w:rPr>
                <w:sz w:val="22"/>
              </w:rPr>
              <w:t>154,3</w:t>
            </w:r>
          </w:p>
        </w:tc>
      </w:tr>
      <w:tr w:rsidR="00000000">
        <w:trPr>
          <w:cantSplit/>
          <w:tblHeader/>
          <w:jc w:val="center"/>
        </w:trPr>
        <w:tc>
          <w:tcPr>
            <w:tcW w:w="2595" w:type="dxa"/>
            <w:vAlign w:val="center"/>
          </w:tcPr>
          <w:p w:rsidR="00000000" w:rsidRDefault="00000000">
            <w:pPr>
              <w:rPr>
                <w:sz w:val="22"/>
              </w:rPr>
            </w:pPr>
            <w:r>
              <w:rPr>
                <w:sz w:val="22"/>
              </w:rPr>
              <w:t>Faro</w:t>
            </w:r>
          </w:p>
        </w:tc>
        <w:tc>
          <w:tcPr>
            <w:tcW w:w="1080" w:type="dxa"/>
            <w:vAlign w:val="center"/>
          </w:tcPr>
          <w:p w:rsidR="00000000" w:rsidRDefault="00000000">
            <w:pPr>
              <w:tabs>
                <w:tab w:val="decimal" w:pos="763"/>
              </w:tabs>
              <w:rPr>
                <w:sz w:val="22"/>
              </w:rPr>
            </w:pPr>
            <w:r>
              <w:rPr>
                <w:sz w:val="22"/>
              </w:rPr>
              <w:t>216</w:t>
            </w:r>
          </w:p>
        </w:tc>
        <w:tc>
          <w:tcPr>
            <w:tcW w:w="1082" w:type="dxa"/>
            <w:vAlign w:val="center"/>
          </w:tcPr>
          <w:p w:rsidR="00000000" w:rsidRDefault="00000000">
            <w:pPr>
              <w:tabs>
                <w:tab w:val="decimal" w:pos="763"/>
              </w:tabs>
              <w:rPr>
                <w:sz w:val="22"/>
              </w:rPr>
            </w:pPr>
            <w:r>
              <w:rPr>
                <w:sz w:val="22"/>
              </w:rPr>
              <w:t>120</w:t>
            </w:r>
          </w:p>
        </w:tc>
        <w:tc>
          <w:tcPr>
            <w:tcW w:w="1091" w:type="dxa"/>
            <w:vAlign w:val="center"/>
          </w:tcPr>
          <w:p w:rsidR="00000000" w:rsidRDefault="00000000">
            <w:pPr>
              <w:tabs>
                <w:tab w:val="decimal" w:pos="603"/>
              </w:tabs>
              <w:rPr>
                <w:sz w:val="22"/>
              </w:rPr>
            </w:pPr>
            <w:r>
              <w:rPr>
                <w:sz w:val="22"/>
              </w:rPr>
              <w:t>180,0</w:t>
            </w:r>
          </w:p>
        </w:tc>
        <w:tc>
          <w:tcPr>
            <w:tcW w:w="1078" w:type="dxa"/>
            <w:vAlign w:val="center"/>
          </w:tcPr>
          <w:p w:rsidR="00000000" w:rsidRDefault="00000000">
            <w:pPr>
              <w:tabs>
                <w:tab w:val="decimal" w:pos="757"/>
              </w:tabs>
              <w:rPr>
                <w:sz w:val="22"/>
              </w:rPr>
            </w:pPr>
            <w:r>
              <w:rPr>
                <w:sz w:val="22"/>
              </w:rPr>
              <w:t>240</w:t>
            </w:r>
          </w:p>
        </w:tc>
        <w:tc>
          <w:tcPr>
            <w:tcW w:w="1084" w:type="dxa"/>
            <w:vAlign w:val="center"/>
          </w:tcPr>
          <w:p w:rsidR="00000000" w:rsidRDefault="00000000">
            <w:pPr>
              <w:tabs>
                <w:tab w:val="decimal" w:pos="743"/>
              </w:tabs>
              <w:rPr>
                <w:sz w:val="22"/>
              </w:rPr>
            </w:pPr>
            <w:r>
              <w:rPr>
                <w:sz w:val="22"/>
              </w:rPr>
              <w:t>120</w:t>
            </w:r>
          </w:p>
        </w:tc>
        <w:tc>
          <w:tcPr>
            <w:tcW w:w="1313" w:type="dxa"/>
            <w:vAlign w:val="center"/>
          </w:tcPr>
          <w:p w:rsidR="00000000" w:rsidRDefault="00000000">
            <w:pPr>
              <w:tabs>
                <w:tab w:val="decimal" w:pos="723"/>
              </w:tabs>
              <w:rPr>
                <w:sz w:val="22"/>
              </w:rPr>
            </w:pPr>
            <w:r>
              <w:rPr>
                <w:sz w:val="22"/>
              </w:rPr>
              <w:t>200,0</w:t>
            </w:r>
          </w:p>
        </w:tc>
      </w:tr>
      <w:tr w:rsidR="00000000">
        <w:trPr>
          <w:cantSplit/>
          <w:tblHeader/>
          <w:jc w:val="center"/>
        </w:trPr>
        <w:tc>
          <w:tcPr>
            <w:tcW w:w="2595" w:type="dxa"/>
            <w:vAlign w:val="center"/>
          </w:tcPr>
          <w:p w:rsidR="00000000" w:rsidRDefault="00000000">
            <w:pPr>
              <w:rPr>
                <w:sz w:val="22"/>
              </w:rPr>
            </w:pPr>
            <w:r>
              <w:rPr>
                <w:sz w:val="22"/>
              </w:rPr>
              <w:t>Felgueiras</w:t>
            </w:r>
          </w:p>
        </w:tc>
        <w:tc>
          <w:tcPr>
            <w:tcW w:w="1080" w:type="dxa"/>
            <w:vAlign w:val="center"/>
          </w:tcPr>
          <w:p w:rsidR="00000000" w:rsidRDefault="00000000">
            <w:pPr>
              <w:tabs>
                <w:tab w:val="decimal" w:pos="763"/>
              </w:tabs>
              <w:rPr>
                <w:sz w:val="22"/>
              </w:rPr>
            </w:pPr>
            <w:r>
              <w:rPr>
                <w:sz w:val="22"/>
              </w:rPr>
              <w:t>46</w:t>
            </w:r>
          </w:p>
        </w:tc>
        <w:tc>
          <w:tcPr>
            <w:tcW w:w="1082" w:type="dxa"/>
            <w:vAlign w:val="center"/>
          </w:tcPr>
          <w:p w:rsidR="00000000" w:rsidRDefault="00000000">
            <w:pPr>
              <w:tabs>
                <w:tab w:val="decimal" w:pos="763"/>
              </w:tabs>
              <w:rPr>
                <w:sz w:val="22"/>
              </w:rPr>
            </w:pPr>
            <w:r>
              <w:rPr>
                <w:sz w:val="22"/>
              </w:rPr>
              <w:t>33</w:t>
            </w:r>
          </w:p>
        </w:tc>
        <w:tc>
          <w:tcPr>
            <w:tcW w:w="1091" w:type="dxa"/>
            <w:vAlign w:val="center"/>
          </w:tcPr>
          <w:p w:rsidR="00000000" w:rsidRDefault="00000000">
            <w:pPr>
              <w:tabs>
                <w:tab w:val="decimal" w:pos="603"/>
              </w:tabs>
              <w:rPr>
                <w:sz w:val="22"/>
              </w:rPr>
            </w:pPr>
            <w:r>
              <w:rPr>
                <w:sz w:val="22"/>
              </w:rPr>
              <w:t>139,4</w:t>
            </w:r>
          </w:p>
        </w:tc>
        <w:tc>
          <w:tcPr>
            <w:tcW w:w="1078" w:type="dxa"/>
            <w:vAlign w:val="center"/>
          </w:tcPr>
          <w:p w:rsidR="00000000" w:rsidRDefault="00000000">
            <w:pPr>
              <w:tabs>
                <w:tab w:val="decimal" w:pos="757"/>
              </w:tabs>
              <w:rPr>
                <w:sz w:val="22"/>
              </w:rPr>
            </w:pPr>
            <w:r>
              <w:rPr>
                <w:sz w:val="22"/>
              </w:rPr>
              <w:t>54</w:t>
            </w:r>
          </w:p>
        </w:tc>
        <w:tc>
          <w:tcPr>
            <w:tcW w:w="1084" w:type="dxa"/>
            <w:vAlign w:val="center"/>
          </w:tcPr>
          <w:p w:rsidR="00000000" w:rsidRDefault="00000000">
            <w:pPr>
              <w:tabs>
                <w:tab w:val="decimal" w:pos="743"/>
              </w:tabs>
              <w:rPr>
                <w:sz w:val="22"/>
              </w:rPr>
            </w:pPr>
            <w:r>
              <w:rPr>
                <w:sz w:val="22"/>
              </w:rPr>
              <w:t>33</w:t>
            </w:r>
          </w:p>
        </w:tc>
        <w:tc>
          <w:tcPr>
            <w:tcW w:w="1313" w:type="dxa"/>
            <w:vAlign w:val="center"/>
          </w:tcPr>
          <w:p w:rsidR="00000000" w:rsidRDefault="00000000">
            <w:pPr>
              <w:tabs>
                <w:tab w:val="decimal" w:pos="723"/>
              </w:tabs>
              <w:rPr>
                <w:sz w:val="22"/>
              </w:rPr>
            </w:pPr>
            <w:r>
              <w:rPr>
                <w:sz w:val="22"/>
              </w:rPr>
              <w:t>163,6</w:t>
            </w:r>
          </w:p>
        </w:tc>
      </w:tr>
      <w:tr w:rsidR="00000000">
        <w:trPr>
          <w:cantSplit/>
          <w:tblHeader/>
          <w:jc w:val="center"/>
        </w:trPr>
        <w:tc>
          <w:tcPr>
            <w:tcW w:w="2595" w:type="dxa"/>
            <w:vAlign w:val="center"/>
          </w:tcPr>
          <w:p w:rsidR="00000000" w:rsidRDefault="00000000">
            <w:pPr>
              <w:rPr>
                <w:sz w:val="22"/>
              </w:rPr>
            </w:pPr>
            <w:r>
              <w:rPr>
                <w:sz w:val="22"/>
              </w:rPr>
              <w:t>Funchal</w:t>
            </w:r>
          </w:p>
        </w:tc>
        <w:tc>
          <w:tcPr>
            <w:tcW w:w="1080" w:type="dxa"/>
            <w:vAlign w:val="center"/>
          </w:tcPr>
          <w:p w:rsidR="00000000" w:rsidRDefault="00000000">
            <w:pPr>
              <w:tabs>
                <w:tab w:val="decimal" w:pos="763"/>
              </w:tabs>
              <w:rPr>
                <w:sz w:val="22"/>
              </w:rPr>
            </w:pPr>
            <w:r>
              <w:rPr>
                <w:sz w:val="22"/>
              </w:rPr>
              <w:t>46</w:t>
            </w:r>
          </w:p>
        </w:tc>
        <w:tc>
          <w:tcPr>
            <w:tcW w:w="1082" w:type="dxa"/>
            <w:vAlign w:val="center"/>
          </w:tcPr>
          <w:p w:rsidR="00000000" w:rsidRDefault="00000000">
            <w:pPr>
              <w:tabs>
                <w:tab w:val="decimal" w:pos="763"/>
              </w:tabs>
              <w:rPr>
                <w:sz w:val="22"/>
              </w:rPr>
            </w:pPr>
            <w:r>
              <w:rPr>
                <w:sz w:val="22"/>
              </w:rPr>
              <w:t>100</w:t>
            </w:r>
          </w:p>
        </w:tc>
        <w:tc>
          <w:tcPr>
            <w:tcW w:w="1091" w:type="dxa"/>
            <w:vAlign w:val="center"/>
          </w:tcPr>
          <w:p w:rsidR="00000000" w:rsidRDefault="00000000">
            <w:pPr>
              <w:tabs>
                <w:tab w:val="decimal" w:pos="603"/>
              </w:tabs>
              <w:rPr>
                <w:sz w:val="22"/>
              </w:rPr>
            </w:pPr>
            <w:r>
              <w:rPr>
                <w:sz w:val="22"/>
              </w:rPr>
              <w:t>46,0</w:t>
            </w:r>
          </w:p>
        </w:tc>
        <w:tc>
          <w:tcPr>
            <w:tcW w:w="1078" w:type="dxa"/>
            <w:vAlign w:val="center"/>
          </w:tcPr>
          <w:p w:rsidR="00000000" w:rsidRDefault="00000000">
            <w:pPr>
              <w:tabs>
                <w:tab w:val="decimal" w:pos="757"/>
              </w:tabs>
              <w:rPr>
                <w:sz w:val="22"/>
              </w:rPr>
            </w:pPr>
            <w:r>
              <w:rPr>
                <w:sz w:val="22"/>
              </w:rPr>
              <w:t>48</w:t>
            </w:r>
          </w:p>
        </w:tc>
        <w:tc>
          <w:tcPr>
            <w:tcW w:w="1084" w:type="dxa"/>
            <w:vAlign w:val="center"/>
          </w:tcPr>
          <w:p w:rsidR="00000000" w:rsidRDefault="00000000">
            <w:pPr>
              <w:tabs>
                <w:tab w:val="decimal" w:pos="743"/>
              </w:tabs>
              <w:rPr>
                <w:sz w:val="22"/>
              </w:rPr>
            </w:pPr>
            <w:r>
              <w:rPr>
                <w:sz w:val="22"/>
              </w:rPr>
              <w:t>100</w:t>
            </w:r>
          </w:p>
        </w:tc>
        <w:tc>
          <w:tcPr>
            <w:tcW w:w="1313" w:type="dxa"/>
            <w:vAlign w:val="center"/>
          </w:tcPr>
          <w:p w:rsidR="00000000" w:rsidRDefault="00000000">
            <w:pPr>
              <w:tabs>
                <w:tab w:val="decimal" w:pos="723"/>
              </w:tabs>
              <w:rPr>
                <w:sz w:val="22"/>
              </w:rPr>
            </w:pPr>
            <w:r>
              <w:rPr>
                <w:sz w:val="22"/>
              </w:rPr>
              <w:t>48,0</w:t>
            </w:r>
          </w:p>
        </w:tc>
      </w:tr>
      <w:tr w:rsidR="00000000">
        <w:trPr>
          <w:cantSplit/>
          <w:tblHeader/>
          <w:jc w:val="center"/>
        </w:trPr>
        <w:tc>
          <w:tcPr>
            <w:tcW w:w="2595" w:type="dxa"/>
            <w:vAlign w:val="center"/>
          </w:tcPr>
          <w:p w:rsidR="00000000" w:rsidRDefault="00000000">
            <w:pPr>
              <w:rPr>
                <w:sz w:val="22"/>
              </w:rPr>
            </w:pPr>
            <w:r>
              <w:rPr>
                <w:sz w:val="22"/>
              </w:rPr>
              <w:t>Guarda</w:t>
            </w:r>
          </w:p>
        </w:tc>
        <w:tc>
          <w:tcPr>
            <w:tcW w:w="1080" w:type="dxa"/>
            <w:vAlign w:val="center"/>
          </w:tcPr>
          <w:p w:rsidR="00000000" w:rsidRDefault="00000000">
            <w:pPr>
              <w:tabs>
                <w:tab w:val="decimal" w:pos="763"/>
              </w:tabs>
              <w:rPr>
                <w:sz w:val="22"/>
              </w:rPr>
            </w:pPr>
            <w:r>
              <w:rPr>
                <w:sz w:val="22"/>
              </w:rPr>
              <w:t>125</w:t>
            </w:r>
          </w:p>
        </w:tc>
        <w:tc>
          <w:tcPr>
            <w:tcW w:w="1082" w:type="dxa"/>
            <w:vAlign w:val="center"/>
          </w:tcPr>
          <w:p w:rsidR="00000000" w:rsidRDefault="00000000">
            <w:pPr>
              <w:tabs>
                <w:tab w:val="decimal" w:pos="763"/>
              </w:tabs>
              <w:rPr>
                <w:sz w:val="22"/>
              </w:rPr>
            </w:pPr>
            <w:r>
              <w:rPr>
                <w:sz w:val="22"/>
              </w:rPr>
              <w:t>171</w:t>
            </w:r>
          </w:p>
        </w:tc>
        <w:tc>
          <w:tcPr>
            <w:tcW w:w="1091" w:type="dxa"/>
            <w:vAlign w:val="center"/>
          </w:tcPr>
          <w:p w:rsidR="00000000" w:rsidRDefault="00000000">
            <w:pPr>
              <w:tabs>
                <w:tab w:val="decimal" w:pos="603"/>
              </w:tabs>
              <w:rPr>
                <w:sz w:val="22"/>
              </w:rPr>
            </w:pPr>
            <w:r>
              <w:rPr>
                <w:sz w:val="22"/>
              </w:rPr>
              <w:t>73,1</w:t>
            </w:r>
          </w:p>
        </w:tc>
        <w:tc>
          <w:tcPr>
            <w:tcW w:w="1078" w:type="dxa"/>
            <w:vAlign w:val="center"/>
          </w:tcPr>
          <w:p w:rsidR="00000000" w:rsidRDefault="00000000">
            <w:pPr>
              <w:tabs>
                <w:tab w:val="decimal" w:pos="757"/>
              </w:tabs>
              <w:rPr>
                <w:sz w:val="22"/>
              </w:rPr>
            </w:pPr>
            <w:r>
              <w:rPr>
                <w:sz w:val="22"/>
              </w:rPr>
              <w:t>134</w:t>
            </w:r>
          </w:p>
        </w:tc>
        <w:tc>
          <w:tcPr>
            <w:tcW w:w="1084" w:type="dxa"/>
            <w:vAlign w:val="center"/>
          </w:tcPr>
          <w:p w:rsidR="00000000" w:rsidRDefault="00000000">
            <w:pPr>
              <w:tabs>
                <w:tab w:val="decimal" w:pos="743"/>
              </w:tabs>
              <w:rPr>
                <w:sz w:val="22"/>
              </w:rPr>
            </w:pPr>
            <w:r>
              <w:rPr>
                <w:sz w:val="22"/>
              </w:rPr>
              <w:t>171</w:t>
            </w:r>
          </w:p>
        </w:tc>
        <w:tc>
          <w:tcPr>
            <w:tcW w:w="1313" w:type="dxa"/>
            <w:vAlign w:val="center"/>
          </w:tcPr>
          <w:p w:rsidR="00000000" w:rsidRDefault="00000000">
            <w:pPr>
              <w:tabs>
                <w:tab w:val="decimal" w:pos="723"/>
              </w:tabs>
              <w:rPr>
                <w:sz w:val="22"/>
              </w:rPr>
            </w:pPr>
            <w:r>
              <w:rPr>
                <w:sz w:val="22"/>
              </w:rPr>
              <w:t>78,4</w:t>
            </w:r>
          </w:p>
        </w:tc>
      </w:tr>
      <w:tr w:rsidR="00000000">
        <w:trPr>
          <w:cantSplit/>
          <w:tblHeader/>
          <w:jc w:val="center"/>
        </w:trPr>
        <w:tc>
          <w:tcPr>
            <w:tcW w:w="2595" w:type="dxa"/>
            <w:vAlign w:val="center"/>
          </w:tcPr>
          <w:p w:rsidR="00000000" w:rsidRDefault="00000000">
            <w:pPr>
              <w:rPr>
                <w:sz w:val="22"/>
              </w:rPr>
            </w:pPr>
            <w:r>
              <w:rPr>
                <w:sz w:val="22"/>
              </w:rPr>
              <w:t>Guimarães</w:t>
            </w:r>
          </w:p>
        </w:tc>
        <w:tc>
          <w:tcPr>
            <w:tcW w:w="1080" w:type="dxa"/>
            <w:vAlign w:val="center"/>
          </w:tcPr>
          <w:p w:rsidR="00000000" w:rsidRDefault="00000000">
            <w:pPr>
              <w:tabs>
                <w:tab w:val="decimal" w:pos="763"/>
              </w:tabs>
              <w:rPr>
                <w:sz w:val="22"/>
              </w:rPr>
            </w:pPr>
            <w:r>
              <w:rPr>
                <w:sz w:val="22"/>
              </w:rPr>
              <w:t>107</w:t>
            </w:r>
          </w:p>
        </w:tc>
        <w:tc>
          <w:tcPr>
            <w:tcW w:w="1082" w:type="dxa"/>
            <w:vAlign w:val="center"/>
          </w:tcPr>
          <w:p w:rsidR="00000000" w:rsidRDefault="00000000">
            <w:pPr>
              <w:tabs>
                <w:tab w:val="decimal" w:pos="763"/>
              </w:tabs>
              <w:rPr>
                <w:sz w:val="22"/>
              </w:rPr>
            </w:pPr>
            <w:r>
              <w:rPr>
                <w:sz w:val="22"/>
              </w:rPr>
              <w:t>48</w:t>
            </w:r>
          </w:p>
        </w:tc>
        <w:tc>
          <w:tcPr>
            <w:tcW w:w="1091" w:type="dxa"/>
            <w:vAlign w:val="center"/>
          </w:tcPr>
          <w:p w:rsidR="00000000" w:rsidRDefault="00000000">
            <w:pPr>
              <w:tabs>
                <w:tab w:val="decimal" w:pos="603"/>
              </w:tabs>
              <w:rPr>
                <w:sz w:val="22"/>
              </w:rPr>
            </w:pPr>
            <w:r>
              <w:rPr>
                <w:sz w:val="22"/>
              </w:rPr>
              <w:t>222,9</w:t>
            </w:r>
          </w:p>
        </w:tc>
        <w:tc>
          <w:tcPr>
            <w:tcW w:w="1078" w:type="dxa"/>
            <w:vAlign w:val="center"/>
          </w:tcPr>
          <w:p w:rsidR="00000000" w:rsidRDefault="00000000">
            <w:pPr>
              <w:tabs>
                <w:tab w:val="decimal" w:pos="757"/>
              </w:tabs>
              <w:rPr>
                <w:sz w:val="22"/>
              </w:rPr>
            </w:pPr>
            <w:r>
              <w:rPr>
                <w:sz w:val="22"/>
              </w:rPr>
              <w:t>109</w:t>
            </w:r>
          </w:p>
        </w:tc>
        <w:tc>
          <w:tcPr>
            <w:tcW w:w="1084" w:type="dxa"/>
            <w:vAlign w:val="center"/>
          </w:tcPr>
          <w:p w:rsidR="00000000" w:rsidRDefault="00000000">
            <w:pPr>
              <w:tabs>
                <w:tab w:val="decimal" w:pos="743"/>
              </w:tabs>
              <w:rPr>
                <w:sz w:val="22"/>
              </w:rPr>
            </w:pPr>
            <w:r>
              <w:rPr>
                <w:sz w:val="22"/>
              </w:rPr>
              <w:t>48</w:t>
            </w:r>
          </w:p>
        </w:tc>
        <w:tc>
          <w:tcPr>
            <w:tcW w:w="1313" w:type="dxa"/>
            <w:vAlign w:val="center"/>
          </w:tcPr>
          <w:p w:rsidR="00000000" w:rsidRDefault="00000000">
            <w:pPr>
              <w:tabs>
                <w:tab w:val="decimal" w:pos="723"/>
              </w:tabs>
              <w:rPr>
                <w:sz w:val="22"/>
              </w:rPr>
            </w:pPr>
            <w:r>
              <w:rPr>
                <w:sz w:val="22"/>
              </w:rPr>
              <w:t>227,1</w:t>
            </w:r>
          </w:p>
        </w:tc>
      </w:tr>
      <w:tr w:rsidR="00000000">
        <w:trPr>
          <w:cantSplit/>
          <w:tblHeader/>
          <w:jc w:val="center"/>
        </w:trPr>
        <w:tc>
          <w:tcPr>
            <w:tcW w:w="2595" w:type="dxa"/>
            <w:vAlign w:val="center"/>
          </w:tcPr>
          <w:p w:rsidR="00000000" w:rsidRDefault="00000000">
            <w:pPr>
              <w:rPr>
                <w:sz w:val="22"/>
              </w:rPr>
            </w:pPr>
            <w:r>
              <w:rPr>
                <w:sz w:val="22"/>
              </w:rPr>
              <w:t>Lamego</w:t>
            </w:r>
          </w:p>
        </w:tc>
        <w:tc>
          <w:tcPr>
            <w:tcW w:w="1080" w:type="dxa"/>
            <w:vAlign w:val="center"/>
          </w:tcPr>
          <w:p w:rsidR="00000000" w:rsidRDefault="00000000">
            <w:pPr>
              <w:tabs>
                <w:tab w:val="decimal" w:pos="763"/>
              </w:tabs>
              <w:rPr>
                <w:sz w:val="22"/>
              </w:rPr>
            </w:pPr>
            <w:r>
              <w:rPr>
                <w:sz w:val="22"/>
              </w:rPr>
              <w:t>74</w:t>
            </w:r>
          </w:p>
        </w:tc>
        <w:tc>
          <w:tcPr>
            <w:tcW w:w="1082" w:type="dxa"/>
            <w:vAlign w:val="center"/>
          </w:tcPr>
          <w:p w:rsidR="00000000" w:rsidRDefault="00000000">
            <w:pPr>
              <w:tabs>
                <w:tab w:val="decimal" w:pos="763"/>
              </w:tabs>
              <w:rPr>
                <w:sz w:val="22"/>
              </w:rPr>
            </w:pPr>
            <w:r>
              <w:rPr>
                <w:sz w:val="22"/>
              </w:rPr>
              <w:t>67</w:t>
            </w:r>
          </w:p>
        </w:tc>
        <w:tc>
          <w:tcPr>
            <w:tcW w:w="1091" w:type="dxa"/>
            <w:vAlign w:val="center"/>
          </w:tcPr>
          <w:p w:rsidR="00000000" w:rsidRDefault="00000000">
            <w:pPr>
              <w:tabs>
                <w:tab w:val="decimal" w:pos="603"/>
              </w:tabs>
              <w:rPr>
                <w:sz w:val="22"/>
              </w:rPr>
            </w:pPr>
            <w:r>
              <w:rPr>
                <w:sz w:val="22"/>
              </w:rPr>
              <w:t>110,4</w:t>
            </w:r>
          </w:p>
        </w:tc>
        <w:tc>
          <w:tcPr>
            <w:tcW w:w="1078" w:type="dxa"/>
            <w:vAlign w:val="center"/>
          </w:tcPr>
          <w:p w:rsidR="00000000" w:rsidRDefault="00000000">
            <w:pPr>
              <w:tabs>
                <w:tab w:val="decimal" w:pos="757"/>
              </w:tabs>
              <w:rPr>
                <w:sz w:val="22"/>
              </w:rPr>
            </w:pPr>
            <w:r>
              <w:rPr>
                <w:sz w:val="22"/>
              </w:rPr>
              <w:t>87</w:t>
            </w:r>
          </w:p>
        </w:tc>
        <w:tc>
          <w:tcPr>
            <w:tcW w:w="1084" w:type="dxa"/>
            <w:vAlign w:val="center"/>
          </w:tcPr>
          <w:p w:rsidR="00000000" w:rsidRDefault="00000000">
            <w:pPr>
              <w:tabs>
                <w:tab w:val="decimal" w:pos="743"/>
              </w:tabs>
              <w:rPr>
                <w:sz w:val="22"/>
              </w:rPr>
            </w:pPr>
            <w:r>
              <w:rPr>
                <w:sz w:val="22"/>
              </w:rPr>
              <w:t>67</w:t>
            </w:r>
          </w:p>
        </w:tc>
        <w:tc>
          <w:tcPr>
            <w:tcW w:w="1313" w:type="dxa"/>
            <w:vAlign w:val="center"/>
          </w:tcPr>
          <w:p w:rsidR="00000000" w:rsidRDefault="00000000">
            <w:pPr>
              <w:tabs>
                <w:tab w:val="decimal" w:pos="723"/>
              </w:tabs>
              <w:rPr>
                <w:sz w:val="22"/>
              </w:rPr>
            </w:pPr>
            <w:r>
              <w:rPr>
                <w:sz w:val="22"/>
              </w:rPr>
              <w:t>129,9</w:t>
            </w:r>
          </w:p>
        </w:tc>
      </w:tr>
      <w:tr w:rsidR="00000000">
        <w:trPr>
          <w:cantSplit/>
          <w:tblHeader/>
          <w:jc w:val="center"/>
        </w:trPr>
        <w:tc>
          <w:tcPr>
            <w:tcW w:w="2595" w:type="dxa"/>
            <w:vAlign w:val="center"/>
          </w:tcPr>
          <w:p w:rsidR="00000000" w:rsidRDefault="00000000">
            <w:pPr>
              <w:rPr>
                <w:sz w:val="22"/>
              </w:rPr>
            </w:pPr>
            <w:r>
              <w:rPr>
                <w:sz w:val="22"/>
              </w:rPr>
              <w:t>Leiria</w:t>
            </w:r>
          </w:p>
        </w:tc>
        <w:tc>
          <w:tcPr>
            <w:tcW w:w="1080" w:type="dxa"/>
            <w:vAlign w:val="center"/>
          </w:tcPr>
          <w:p w:rsidR="00000000" w:rsidRDefault="00000000">
            <w:pPr>
              <w:tabs>
                <w:tab w:val="decimal" w:pos="763"/>
              </w:tabs>
              <w:rPr>
                <w:sz w:val="22"/>
              </w:rPr>
            </w:pPr>
            <w:r>
              <w:rPr>
                <w:sz w:val="22"/>
              </w:rPr>
              <w:t>161</w:t>
            </w:r>
          </w:p>
        </w:tc>
        <w:tc>
          <w:tcPr>
            <w:tcW w:w="1082" w:type="dxa"/>
            <w:vAlign w:val="center"/>
          </w:tcPr>
          <w:p w:rsidR="00000000" w:rsidRDefault="00000000">
            <w:pPr>
              <w:tabs>
                <w:tab w:val="decimal" w:pos="763"/>
              </w:tabs>
              <w:rPr>
                <w:sz w:val="22"/>
              </w:rPr>
            </w:pPr>
            <w:r>
              <w:rPr>
                <w:sz w:val="22"/>
              </w:rPr>
              <w:t>110</w:t>
            </w:r>
          </w:p>
        </w:tc>
        <w:tc>
          <w:tcPr>
            <w:tcW w:w="1091" w:type="dxa"/>
            <w:vAlign w:val="center"/>
          </w:tcPr>
          <w:p w:rsidR="00000000" w:rsidRDefault="00000000">
            <w:pPr>
              <w:tabs>
                <w:tab w:val="decimal" w:pos="603"/>
              </w:tabs>
              <w:rPr>
                <w:sz w:val="22"/>
              </w:rPr>
            </w:pPr>
            <w:r>
              <w:rPr>
                <w:sz w:val="22"/>
              </w:rPr>
              <w:t>146,4</w:t>
            </w:r>
          </w:p>
        </w:tc>
        <w:tc>
          <w:tcPr>
            <w:tcW w:w="1078" w:type="dxa"/>
            <w:vAlign w:val="center"/>
          </w:tcPr>
          <w:p w:rsidR="00000000" w:rsidRDefault="00000000">
            <w:pPr>
              <w:tabs>
                <w:tab w:val="decimal" w:pos="757"/>
              </w:tabs>
              <w:rPr>
                <w:sz w:val="22"/>
              </w:rPr>
            </w:pPr>
            <w:r>
              <w:rPr>
                <w:sz w:val="22"/>
              </w:rPr>
              <w:t>222</w:t>
            </w:r>
          </w:p>
        </w:tc>
        <w:tc>
          <w:tcPr>
            <w:tcW w:w="1084" w:type="dxa"/>
            <w:vAlign w:val="center"/>
          </w:tcPr>
          <w:p w:rsidR="00000000" w:rsidRDefault="00000000">
            <w:pPr>
              <w:tabs>
                <w:tab w:val="decimal" w:pos="743"/>
              </w:tabs>
              <w:rPr>
                <w:sz w:val="22"/>
              </w:rPr>
            </w:pPr>
            <w:r>
              <w:rPr>
                <w:sz w:val="22"/>
              </w:rPr>
              <w:t>110</w:t>
            </w:r>
          </w:p>
        </w:tc>
        <w:tc>
          <w:tcPr>
            <w:tcW w:w="1313" w:type="dxa"/>
            <w:vAlign w:val="center"/>
          </w:tcPr>
          <w:p w:rsidR="00000000" w:rsidRDefault="00000000">
            <w:pPr>
              <w:tabs>
                <w:tab w:val="decimal" w:pos="723"/>
              </w:tabs>
              <w:rPr>
                <w:sz w:val="22"/>
              </w:rPr>
            </w:pPr>
            <w:r>
              <w:rPr>
                <w:sz w:val="22"/>
              </w:rPr>
              <w:t>201,8</w:t>
            </w:r>
          </w:p>
        </w:tc>
      </w:tr>
      <w:tr w:rsidR="00000000">
        <w:trPr>
          <w:cantSplit/>
          <w:tblHeader/>
          <w:jc w:val="center"/>
        </w:trPr>
        <w:tc>
          <w:tcPr>
            <w:tcW w:w="2595" w:type="dxa"/>
            <w:vAlign w:val="center"/>
          </w:tcPr>
          <w:p w:rsidR="00000000" w:rsidRDefault="00000000">
            <w:pPr>
              <w:rPr>
                <w:sz w:val="22"/>
              </w:rPr>
            </w:pPr>
            <w:r>
              <w:rPr>
                <w:sz w:val="22"/>
              </w:rPr>
              <w:t>Monção</w:t>
            </w:r>
          </w:p>
        </w:tc>
        <w:tc>
          <w:tcPr>
            <w:tcW w:w="1080" w:type="dxa"/>
            <w:vAlign w:val="center"/>
          </w:tcPr>
          <w:p w:rsidR="00000000" w:rsidRDefault="00000000">
            <w:pPr>
              <w:tabs>
                <w:tab w:val="decimal" w:pos="763"/>
              </w:tabs>
              <w:rPr>
                <w:sz w:val="22"/>
              </w:rPr>
            </w:pPr>
            <w:r>
              <w:rPr>
                <w:sz w:val="22"/>
              </w:rPr>
              <w:t>38</w:t>
            </w:r>
          </w:p>
        </w:tc>
        <w:tc>
          <w:tcPr>
            <w:tcW w:w="1082" w:type="dxa"/>
            <w:vAlign w:val="center"/>
          </w:tcPr>
          <w:p w:rsidR="00000000" w:rsidRDefault="00000000">
            <w:pPr>
              <w:tabs>
                <w:tab w:val="decimal" w:pos="763"/>
              </w:tabs>
              <w:rPr>
                <w:sz w:val="22"/>
              </w:rPr>
            </w:pPr>
            <w:r>
              <w:rPr>
                <w:sz w:val="22"/>
              </w:rPr>
              <w:t>34</w:t>
            </w:r>
          </w:p>
        </w:tc>
        <w:tc>
          <w:tcPr>
            <w:tcW w:w="1091" w:type="dxa"/>
            <w:vAlign w:val="center"/>
          </w:tcPr>
          <w:p w:rsidR="00000000" w:rsidRDefault="00000000">
            <w:pPr>
              <w:tabs>
                <w:tab w:val="decimal" w:pos="603"/>
              </w:tabs>
              <w:rPr>
                <w:sz w:val="22"/>
              </w:rPr>
            </w:pPr>
            <w:r>
              <w:rPr>
                <w:sz w:val="22"/>
              </w:rPr>
              <w:t>111,8</w:t>
            </w:r>
          </w:p>
        </w:tc>
        <w:tc>
          <w:tcPr>
            <w:tcW w:w="1078" w:type="dxa"/>
            <w:vAlign w:val="center"/>
          </w:tcPr>
          <w:p w:rsidR="00000000" w:rsidRDefault="00000000">
            <w:pPr>
              <w:tabs>
                <w:tab w:val="decimal" w:pos="757"/>
              </w:tabs>
              <w:rPr>
                <w:sz w:val="22"/>
              </w:rPr>
            </w:pPr>
            <w:r>
              <w:rPr>
                <w:sz w:val="22"/>
              </w:rPr>
              <w:t>50</w:t>
            </w:r>
          </w:p>
        </w:tc>
        <w:tc>
          <w:tcPr>
            <w:tcW w:w="1084" w:type="dxa"/>
            <w:vAlign w:val="center"/>
          </w:tcPr>
          <w:p w:rsidR="00000000" w:rsidRDefault="00000000">
            <w:pPr>
              <w:tabs>
                <w:tab w:val="decimal" w:pos="743"/>
              </w:tabs>
              <w:rPr>
                <w:sz w:val="22"/>
              </w:rPr>
            </w:pPr>
            <w:r>
              <w:rPr>
                <w:sz w:val="22"/>
              </w:rPr>
              <w:t>34</w:t>
            </w:r>
          </w:p>
        </w:tc>
        <w:tc>
          <w:tcPr>
            <w:tcW w:w="1313" w:type="dxa"/>
            <w:vAlign w:val="center"/>
          </w:tcPr>
          <w:p w:rsidR="00000000" w:rsidRDefault="00000000">
            <w:pPr>
              <w:tabs>
                <w:tab w:val="decimal" w:pos="723"/>
              </w:tabs>
              <w:rPr>
                <w:sz w:val="22"/>
              </w:rPr>
            </w:pPr>
            <w:r>
              <w:rPr>
                <w:sz w:val="22"/>
              </w:rPr>
              <w:t>147,1</w:t>
            </w:r>
          </w:p>
        </w:tc>
      </w:tr>
      <w:tr w:rsidR="00000000">
        <w:trPr>
          <w:cantSplit/>
          <w:tblHeader/>
          <w:jc w:val="center"/>
        </w:trPr>
        <w:tc>
          <w:tcPr>
            <w:tcW w:w="2595" w:type="dxa"/>
            <w:vAlign w:val="center"/>
          </w:tcPr>
          <w:p w:rsidR="00000000" w:rsidRDefault="00000000">
            <w:pPr>
              <w:rPr>
                <w:sz w:val="22"/>
              </w:rPr>
            </w:pPr>
            <w:r>
              <w:rPr>
                <w:sz w:val="22"/>
              </w:rPr>
              <w:t>Montijo</w:t>
            </w:r>
          </w:p>
        </w:tc>
        <w:tc>
          <w:tcPr>
            <w:tcW w:w="1080" w:type="dxa"/>
            <w:vAlign w:val="center"/>
          </w:tcPr>
          <w:p w:rsidR="00000000" w:rsidRDefault="00000000">
            <w:pPr>
              <w:tabs>
                <w:tab w:val="decimal" w:pos="763"/>
              </w:tabs>
              <w:rPr>
                <w:sz w:val="22"/>
              </w:rPr>
            </w:pPr>
            <w:r>
              <w:rPr>
                <w:sz w:val="22"/>
              </w:rPr>
              <w:t>227</w:t>
            </w:r>
          </w:p>
        </w:tc>
        <w:tc>
          <w:tcPr>
            <w:tcW w:w="1082" w:type="dxa"/>
            <w:vAlign w:val="center"/>
          </w:tcPr>
          <w:p w:rsidR="00000000" w:rsidRDefault="00000000">
            <w:pPr>
              <w:tabs>
                <w:tab w:val="decimal" w:pos="763"/>
              </w:tabs>
              <w:rPr>
                <w:sz w:val="22"/>
              </w:rPr>
            </w:pPr>
            <w:r>
              <w:rPr>
                <w:sz w:val="22"/>
              </w:rPr>
              <w:t>105</w:t>
            </w:r>
          </w:p>
        </w:tc>
        <w:tc>
          <w:tcPr>
            <w:tcW w:w="1091" w:type="dxa"/>
            <w:vAlign w:val="center"/>
          </w:tcPr>
          <w:p w:rsidR="00000000" w:rsidRDefault="00000000">
            <w:pPr>
              <w:tabs>
                <w:tab w:val="decimal" w:pos="603"/>
              </w:tabs>
              <w:rPr>
                <w:sz w:val="22"/>
              </w:rPr>
            </w:pPr>
            <w:r>
              <w:rPr>
                <w:sz w:val="22"/>
              </w:rPr>
              <w:t>216,2</w:t>
            </w:r>
          </w:p>
        </w:tc>
        <w:tc>
          <w:tcPr>
            <w:tcW w:w="1078" w:type="dxa"/>
            <w:vAlign w:val="center"/>
          </w:tcPr>
          <w:p w:rsidR="00000000" w:rsidRDefault="00000000">
            <w:pPr>
              <w:tabs>
                <w:tab w:val="decimal" w:pos="757"/>
              </w:tabs>
              <w:rPr>
                <w:sz w:val="22"/>
              </w:rPr>
            </w:pPr>
            <w:r>
              <w:rPr>
                <w:sz w:val="22"/>
              </w:rPr>
              <w:t>269</w:t>
            </w:r>
          </w:p>
        </w:tc>
        <w:tc>
          <w:tcPr>
            <w:tcW w:w="1084" w:type="dxa"/>
            <w:vAlign w:val="center"/>
          </w:tcPr>
          <w:p w:rsidR="00000000" w:rsidRDefault="00000000">
            <w:pPr>
              <w:tabs>
                <w:tab w:val="decimal" w:pos="743"/>
              </w:tabs>
              <w:rPr>
                <w:sz w:val="22"/>
              </w:rPr>
            </w:pPr>
            <w:r>
              <w:rPr>
                <w:sz w:val="22"/>
              </w:rPr>
              <w:t>105</w:t>
            </w:r>
          </w:p>
        </w:tc>
        <w:tc>
          <w:tcPr>
            <w:tcW w:w="1313" w:type="dxa"/>
            <w:vAlign w:val="center"/>
          </w:tcPr>
          <w:p w:rsidR="00000000" w:rsidRDefault="00000000">
            <w:pPr>
              <w:tabs>
                <w:tab w:val="decimal" w:pos="723"/>
              </w:tabs>
              <w:rPr>
                <w:sz w:val="22"/>
              </w:rPr>
            </w:pPr>
            <w:r>
              <w:rPr>
                <w:sz w:val="22"/>
              </w:rPr>
              <w:t>256,2</w:t>
            </w:r>
          </w:p>
        </w:tc>
      </w:tr>
      <w:tr w:rsidR="00000000">
        <w:trPr>
          <w:cantSplit/>
          <w:tblHeader/>
          <w:jc w:val="center"/>
        </w:trPr>
        <w:tc>
          <w:tcPr>
            <w:tcW w:w="2595" w:type="dxa"/>
            <w:vAlign w:val="center"/>
          </w:tcPr>
          <w:p w:rsidR="00000000" w:rsidRDefault="00000000">
            <w:pPr>
              <w:rPr>
                <w:sz w:val="22"/>
              </w:rPr>
            </w:pPr>
            <w:r>
              <w:rPr>
                <w:sz w:val="22"/>
              </w:rPr>
              <w:t>Odemira</w:t>
            </w:r>
          </w:p>
        </w:tc>
        <w:tc>
          <w:tcPr>
            <w:tcW w:w="1080" w:type="dxa"/>
            <w:vAlign w:val="center"/>
          </w:tcPr>
          <w:p w:rsidR="00000000" w:rsidRDefault="00000000">
            <w:pPr>
              <w:tabs>
                <w:tab w:val="decimal" w:pos="763"/>
              </w:tabs>
              <w:rPr>
                <w:sz w:val="22"/>
              </w:rPr>
            </w:pPr>
            <w:r>
              <w:rPr>
                <w:sz w:val="22"/>
              </w:rPr>
              <w:t>87</w:t>
            </w:r>
          </w:p>
        </w:tc>
        <w:tc>
          <w:tcPr>
            <w:tcW w:w="1082" w:type="dxa"/>
            <w:vAlign w:val="center"/>
          </w:tcPr>
          <w:p w:rsidR="00000000" w:rsidRDefault="00000000">
            <w:pPr>
              <w:tabs>
                <w:tab w:val="decimal" w:pos="763"/>
              </w:tabs>
              <w:rPr>
                <w:sz w:val="22"/>
              </w:rPr>
            </w:pPr>
            <w:r>
              <w:rPr>
                <w:sz w:val="22"/>
              </w:rPr>
              <w:t>56</w:t>
            </w:r>
          </w:p>
        </w:tc>
        <w:tc>
          <w:tcPr>
            <w:tcW w:w="1091" w:type="dxa"/>
            <w:vAlign w:val="center"/>
          </w:tcPr>
          <w:p w:rsidR="00000000" w:rsidRDefault="00000000">
            <w:pPr>
              <w:tabs>
                <w:tab w:val="decimal" w:pos="603"/>
              </w:tabs>
              <w:rPr>
                <w:sz w:val="22"/>
              </w:rPr>
            </w:pPr>
            <w:r>
              <w:rPr>
                <w:sz w:val="22"/>
              </w:rPr>
              <w:t>155,4</w:t>
            </w:r>
          </w:p>
        </w:tc>
        <w:tc>
          <w:tcPr>
            <w:tcW w:w="1078" w:type="dxa"/>
            <w:vAlign w:val="center"/>
          </w:tcPr>
          <w:p w:rsidR="00000000" w:rsidRDefault="00000000">
            <w:pPr>
              <w:tabs>
                <w:tab w:val="decimal" w:pos="757"/>
              </w:tabs>
              <w:rPr>
                <w:sz w:val="22"/>
              </w:rPr>
            </w:pPr>
            <w:r>
              <w:rPr>
                <w:sz w:val="22"/>
              </w:rPr>
              <w:t>94</w:t>
            </w:r>
          </w:p>
        </w:tc>
        <w:tc>
          <w:tcPr>
            <w:tcW w:w="1084" w:type="dxa"/>
            <w:vAlign w:val="center"/>
          </w:tcPr>
          <w:p w:rsidR="00000000" w:rsidRDefault="00000000">
            <w:pPr>
              <w:tabs>
                <w:tab w:val="decimal" w:pos="743"/>
              </w:tabs>
              <w:rPr>
                <w:sz w:val="22"/>
              </w:rPr>
            </w:pPr>
            <w:r>
              <w:rPr>
                <w:sz w:val="22"/>
              </w:rPr>
              <w:t>56</w:t>
            </w:r>
          </w:p>
        </w:tc>
        <w:tc>
          <w:tcPr>
            <w:tcW w:w="1313" w:type="dxa"/>
            <w:vAlign w:val="center"/>
          </w:tcPr>
          <w:p w:rsidR="00000000" w:rsidRDefault="00000000">
            <w:pPr>
              <w:tabs>
                <w:tab w:val="decimal" w:pos="723"/>
              </w:tabs>
              <w:rPr>
                <w:sz w:val="22"/>
              </w:rPr>
            </w:pPr>
            <w:r>
              <w:rPr>
                <w:sz w:val="22"/>
              </w:rPr>
              <w:t>167,9</w:t>
            </w:r>
          </w:p>
        </w:tc>
      </w:tr>
      <w:tr w:rsidR="00000000">
        <w:trPr>
          <w:cantSplit/>
          <w:tblHeader/>
          <w:jc w:val="center"/>
        </w:trPr>
        <w:tc>
          <w:tcPr>
            <w:tcW w:w="2595" w:type="dxa"/>
            <w:vAlign w:val="center"/>
          </w:tcPr>
          <w:p w:rsidR="00000000" w:rsidRDefault="00000000">
            <w:pPr>
              <w:rPr>
                <w:sz w:val="22"/>
              </w:rPr>
            </w:pPr>
            <w:r>
              <w:rPr>
                <w:sz w:val="22"/>
              </w:rPr>
              <w:t>Olhão</w:t>
            </w:r>
          </w:p>
        </w:tc>
        <w:tc>
          <w:tcPr>
            <w:tcW w:w="1080" w:type="dxa"/>
            <w:vAlign w:val="center"/>
          </w:tcPr>
          <w:p w:rsidR="00000000" w:rsidRDefault="00000000">
            <w:pPr>
              <w:tabs>
                <w:tab w:val="decimal" w:pos="763"/>
              </w:tabs>
              <w:rPr>
                <w:sz w:val="22"/>
              </w:rPr>
            </w:pPr>
          </w:p>
        </w:tc>
        <w:tc>
          <w:tcPr>
            <w:tcW w:w="1082" w:type="dxa"/>
            <w:vAlign w:val="center"/>
          </w:tcPr>
          <w:p w:rsidR="00000000" w:rsidRDefault="00000000">
            <w:pPr>
              <w:tabs>
                <w:tab w:val="decimal" w:pos="763"/>
              </w:tabs>
              <w:rPr>
                <w:sz w:val="22"/>
              </w:rPr>
            </w:pPr>
            <w:r>
              <w:rPr>
                <w:sz w:val="22"/>
              </w:rPr>
              <w:t>42</w:t>
            </w:r>
          </w:p>
        </w:tc>
        <w:tc>
          <w:tcPr>
            <w:tcW w:w="1091" w:type="dxa"/>
            <w:vAlign w:val="center"/>
          </w:tcPr>
          <w:p w:rsidR="00000000" w:rsidRDefault="00000000">
            <w:pPr>
              <w:tabs>
                <w:tab w:val="decimal" w:pos="603"/>
              </w:tabs>
              <w:rPr>
                <w:sz w:val="22"/>
              </w:rPr>
            </w:pPr>
            <w:r>
              <w:rPr>
                <w:sz w:val="22"/>
              </w:rPr>
              <w:t>0,0</w:t>
            </w:r>
          </w:p>
        </w:tc>
        <w:tc>
          <w:tcPr>
            <w:tcW w:w="1078" w:type="dxa"/>
            <w:vAlign w:val="center"/>
          </w:tcPr>
          <w:p w:rsidR="00000000" w:rsidRDefault="00000000">
            <w:pPr>
              <w:tabs>
                <w:tab w:val="decimal" w:pos="757"/>
              </w:tabs>
              <w:rPr>
                <w:sz w:val="22"/>
              </w:rPr>
            </w:pPr>
          </w:p>
        </w:tc>
        <w:tc>
          <w:tcPr>
            <w:tcW w:w="1084" w:type="dxa"/>
            <w:vAlign w:val="center"/>
          </w:tcPr>
          <w:p w:rsidR="00000000" w:rsidRDefault="00000000">
            <w:pPr>
              <w:tabs>
                <w:tab w:val="decimal" w:pos="743"/>
              </w:tabs>
              <w:rPr>
                <w:sz w:val="22"/>
              </w:rPr>
            </w:pPr>
            <w:r>
              <w:rPr>
                <w:sz w:val="22"/>
              </w:rPr>
              <w:t>42</w:t>
            </w:r>
          </w:p>
        </w:tc>
        <w:tc>
          <w:tcPr>
            <w:tcW w:w="1313" w:type="dxa"/>
            <w:vAlign w:val="center"/>
          </w:tcPr>
          <w:p w:rsidR="00000000" w:rsidRDefault="00000000">
            <w:pPr>
              <w:tabs>
                <w:tab w:val="decimal" w:pos="723"/>
              </w:tabs>
              <w:rPr>
                <w:sz w:val="22"/>
              </w:rPr>
            </w:pPr>
            <w:r>
              <w:rPr>
                <w:sz w:val="22"/>
              </w:rPr>
              <w:t>0,0</w:t>
            </w:r>
          </w:p>
        </w:tc>
      </w:tr>
      <w:tr w:rsidR="00000000">
        <w:trPr>
          <w:cantSplit/>
          <w:tblHeader/>
          <w:jc w:val="center"/>
        </w:trPr>
        <w:tc>
          <w:tcPr>
            <w:tcW w:w="2595" w:type="dxa"/>
            <w:vAlign w:val="center"/>
          </w:tcPr>
          <w:p w:rsidR="00000000" w:rsidRDefault="00000000">
            <w:pPr>
              <w:rPr>
                <w:sz w:val="22"/>
              </w:rPr>
            </w:pPr>
            <w:r>
              <w:rPr>
                <w:sz w:val="22"/>
              </w:rPr>
              <w:t>Ponta Delgada</w:t>
            </w:r>
          </w:p>
        </w:tc>
        <w:tc>
          <w:tcPr>
            <w:tcW w:w="1080" w:type="dxa"/>
            <w:vAlign w:val="center"/>
          </w:tcPr>
          <w:p w:rsidR="00000000" w:rsidRDefault="00000000">
            <w:pPr>
              <w:tabs>
                <w:tab w:val="decimal" w:pos="763"/>
              </w:tabs>
              <w:rPr>
                <w:sz w:val="22"/>
              </w:rPr>
            </w:pPr>
            <w:r>
              <w:rPr>
                <w:sz w:val="22"/>
              </w:rPr>
              <w:t>133</w:t>
            </w:r>
          </w:p>
        </w:tc>
        <w:tc>
          <w:tcPr>
            <w:tcW w:w="1082" w:type="dxa"/>
            <w:vAlign w:val="center"/>
          </w:tcPr>
          <w:p w:rsidR="00000000" w:rsidRDefault="00000000">
            <w:pPr>
              <w:tabs>
                <w:tab w:val="decimal" w:pos="763"/>
              </w:tabs>
              <w:rPr>
                <w:sz w:val="22"/>
              </w:rPr>
            </w:pPr>
            <w:r>
              <w:rPr>
                <w:sz w:val="22"/>
              </w:rPr>
              <w:t>141</w:t>
            </w:r>
          </w:p>
        </w:tc>
        <w:tc>
          <w:tcPr>
            <w:tcW w:w="1091" w:type="dxa"/>
            <w:vAlign w:val="center"/>
          </w:tcPr>
          <w:p w:rsidR="00000000" w:rsidRDefault="00000000">
            <w:pPr>
              <w:tabs>
                <w:tab w:val="decimal" w:pos="603"/>
              </w:tabs>
              <w:rPr>
                <w:sz w:val="22"/>
              </w:rPr>
            </w:pPr>
            <w:r>
              <w:rPr>
                <w:sz w:val="22"/>
              </w:rPr>
              <w:t>94,3</w:t>
            </w:r>
          </w:p>
        </w:tc>
        <w:tc>
          <w:tcPr>
            <w:tcW w:w="1078" w:type="dxa"/>
            <w:vAlign w:val="center"/>
          </w:tcPr>
          <w:p w:rsidR="00000000" w:rsidRDefault="00000000">
            <w:pPr>
              <w:tabs>
                <w:tab w:val="decimal" w:pos="757"/>
              </w:tabs>
              <w:rPr>
                <w:sz w:val="22"/>
              </w:rPr>
            </w:pPr>
            <w:r>
              <w:rPr>
                <w:sz w:val="22"/>
              </w:rPr>
              <w:t>150</w:t>
            </w:r>
          </w:p>
        </w:tc>
        <w:tc>
          <w:tcPr>
            <w:tcW w:w="1084" w:type="dxa"/>
            <w:vAlign w:val="center"/>
          </w:tcPr>
          <w:p w:rsidR="00000000" w:rsidRDefault="00000000">
            <w:pPr>
              <w:tabs>
                <w:tab w:val="decimal" w:pos="743"/>
              </w:tabs>
              <w:rPr>
                <w:sz w:val="22"/>
              </w:rPr>
            </w:pPr>
            <w:r>
              <w:rPr>
                <w:sz w:val="22"/>
              </w:rPr>
              <w:t>141</w:t>
            </w:r>
          </w:p>
        </w:tc>
        <w:tc>
          <w:tcPr>
            <w:tcW w:w="1313" w:type="dxa"/>
            <w:vAlign w:val="center"/>
          </w:tcPr>
          <w:p w:rsidR="00000000" w:rsidRDefault="00000000">
            <w:pPr>
              <w:tabs>
                <w:tab w:val="decimal" w:pos="723"/>
              </w:tabs>
              <w:rPr>
                <w:sz w:val="22"/>
              </w:rPr>
            </w:pPr>
            <w:r>
              <w:rPr>
                <w:sz w:val="22"/>
              </w:rPr>
              <w:t>106,4</w:t>
            </w:r>
          </w:p>
        </w:tc>
      </w:tr>
      <w:tr w:rsidR="00000000">
        <w:trPr>
          <w:cantSplit/>
          <w:tblHeader/>
          <w:jc w:val="center"/>
        </w:trPr>
        <w:tc>
          <w:tcPr>
            <w:tcW w:w="2595" w:type="dxa"/>
            <w:vAlign w:val="center"/>
          </w:tcPr>
          <w:p w:rsidR="00000000" w:rsidRDefault="00000000">
            <w:pPr>
              <w:rPr>
                <w:sz w:val="22"/>
              </w:rPr>
            </w:pPr>
            <w:r>
              <w:rPr>
                <w:sz w:val="22"/>
              </w:rPr>
              <w:t>Portimão</w:t>
            </w:r>
          </w:p>
        </w:tc>
        <w:tc>
          <w:tcPr>
            <w:tcW w:w="1080" w:type="dxa"/>
            <w:vAlign w:val="center"/>
          </w:tcPr>
          <w:p w:rsidR="00000000" w:rsidRDefault="00000000">
            <w:pPr>
              <w:tabs>
                <w:tab w:val="decimal" w:pos="763"/>
              </w:tabs>
              <w:rPr>
                <w:sz w:val="22"/>
                <w:lang w:val="en-GB"/>
              </w:rPr>
            </w:pPr>
            <w:r>
              <w:rPr>
                <w:sz w:val="22"/>
                <w:lang w:val="en-GB"/>
              </w:rPr>
              <w:t>82</w:t>
            </w:r>
          </w:p>
        </w:tc>
        <w:tc>
          <w:tcPr>
            <w:tcW w:w="1082" w:type="dxa"/>
            <w:vAlign w:val="center"/>
          </w:tcPr>
          <w:p w:rsidR="00000000" w:rsidRDefault="00000000">
            <w:pPr>
              <w:tabs>
                <w:tab w:val="decimal" w:pos="763"/>
              </w:tabs>
              <w:rPr>
                <w:sz w:val="22"/>
                <w:lang w:val="en-GB"/>
              </w:rPr>
            </w:pPr>
            <w:r>
              <w:rPr>
                <w:sz w:val="22"/>
                <w:lang w:val="en-GB"/>
              </w:rPr>
              <w:t>28</w:t>
            </w:r>
          </w:p>
        </w:tc>
        <w:tc>
          <w:tcPr>
            <w:tcW w:w="1091" w:type="dxa"/>
            <w:vAlign w:val="center"/>
          </w:tcPr>
          <w:p w:rsidR="00000000" w:rsidRDefault="00000000">
            <w:pPr>
              <w:tabs>
                <w:tab w:val="decimal" w:pos="603"/>
              </w:tabs>
              <w:rPr>
                <w:sz w:val="22"/>
                <w:lang w:val="en-GB"/>
              </w:rPr>
            </w:pPr>
            <w:r>
              <w:rPr>
                <w:sz w:val="22"/>
                <w:lang w:val="en-GB"/>
              </w:rPr>
              <w:t>292,9</w:t>
            </w:r>
          </w:p>
        </w:tc>
        <w:tc>
          <w:tcPr>
            <w:tcW w:w="1078" w:type="dxa"/>
            <w:vAlign w:val="center"/>
          </w:tcPr>
          <w:p w:rsidR="00000000" w:rsidRDefault="00000000">
            <w:pPr>
              <w:tabs>
                <w:tab w:val="decimal" w:pos="757"/>
              </w:tabs>
              <w:rPr>
                <w:sz w:val="22"/>
                <w:lang w:val="en-GB"/>
              </w:rPr>
            </w:pPr>
            <w:r>
              <w:rPr>
                <w:sz w:val="22"/>
                <w:lang w:val="en-GB"/>
              </w:rPr>
              <w:t>72</w:t>
            </w:r>
          </w:p>
        </w:tc>
        <w:tc>
          <w:tcPr>
            <w:tcW w:w="1084" w:type="dxa"/>
            <w:vAlign w:val="center"/>
          </w:tcPr>
          <w:p w:rsidR="00000000" w:rsidRDefault="00000000">
            <w:pPr>
              <w:tabs>
                <w:tab w:val="decimal" w:pos="743"/>
              </w:tabs>
              <w:rPr>
                <w:sz w:val="22"/>
                <w:lang w:val="en-GB"/>
              </w:rPr>
            </w:pPr>
            <w:r>
              <w:rPr>
                <w:sz w:val="22"/>
                <w:lang w:val="en-GB"/>
              </w:rPr>
              <w:t>28</w:t>
            </w:r>
          </w:p>
        </w:tc>
        <w:tc>
          <w:tcPr>
            <w:tcW w:w="1313" w:type="dxa"/>
            <w:vAlign w:val="center"/>
          </w:tcPr>
          <w:p w:rsidR="00000000" w:rsidRDefault="00000000">
            <w:pPr>
              <w:tabs>
                <w:tab w:val="decimal" w:pos="723"/>
              </w:tabs>
              <w:rPr>
                <w:sz w:val="22"/>
                <w:lang w:val="en-GB"/>
              </w:rPr>
            </w:pPr>
            <w:r>
              <w:rPr>
                <w:sz w:val="22"/>
                <w:lang w:val="en-GB"/>
              </w:rPr>
              <w:t>257,1</w:t>
            </w:r>
          </w:p>
        </w:tc>
      </w:tr>
      <w:tr w:rsidR="00000000">
        <w:trPr>
          <w:cantSplit/>
          <w:tblHeader/>
          <w:jc w:val="center"/>
        </w:trPr>
        <w:tc>
          <w:tcPr>
            <w:tcW w:w="2595" w:type="dxa"/>
            <w:vAlign w:val="center"/>
          </w:tcPr>
          <w:p w:rsidR="00000000" w:rsidRDefault="00000000">
            <w:pPr>
              <w:rPr>
                <w:sz w:val="22"/>
                <w:lang w:val="en-GB"/>
              </w:rPr>
            </w:pPr>
            <w:r>
              <w:rPr>
                <w:sz w:val="22"/>
                <w:lang w:val="en-GB"/>
              </w:rPr>
              <w:t>S. Pedro do Sul</w:t>
            </w:r>
          </w:p>
        </w:tc>
        <w:tc>
          <w:tcPr>
            <w:tcW w:w="1080" w:type="dxa"/>
            <w:vAlign w:val="center"/>
          </w:tcPr>
          <w:p w:rsidR="00000000" w:rsidRDefault="00000000">
            <w:pPr>
              <w:tabs>
                <w:tab w:val="decimal" w:pos="763"/>
              </w:tabs>
              <w:rPr>
                <w:sz w:val="22"/>
              </w:rPr>
            </w:pPr>
            <w:r>
              <w:rPr>
                <w:sz w:val="22"/>
              </w:rPr>
              <w:t>61</w:t>
            </w:r>
          </w:p>
        </w:tc>
        <w:tc>
          <w:tcPr>
            <w:tcW w:w="1082" w:type="dxa"/>
            <w:vAlign w:val="center"/>
          </w:tcPr>
          <w:p w:rsidR="00000000" w:rsidRDefault="00000000">
            <w:pPr>
              <w:tabs>
                <w:tab w:val="decimal" w:pos="763"/>
              </w:tabs>
              <w:rPr>
                <w:sz w:val="22"/>
              </w:rPr>
            </w:pPr>
            <w:r>
              <w:rPr>
                <w:sz w:val="22"/>
              </w:rPr>
              <w:t>29</w:t>
            </w:r>
          </w:p>
        </w:tc>
        <w:tc>
          <w:tcPr>
            <w:tcW w:w="1091" w:type="dxa"/>
            <w:vAlign w:val="center"/>
          </w:tcPr>
          <w:p w:rsidR="00000000" w:rsidRDefault="00000000">
            <w:pPr>
              <w:tabs>
                <w:tab w:val="decimal" w:pos="603"/>
              </w:tabs>
              <w:rPr>
                <w:sz w:val="22"/>
              </w:rPr>
            </w:pPr>
            <w:r>
              <w:rPr>
                <w:sz w:val="22"/>
              </w:rPr>
              <w:t>210,3</w:t>
            </w:r>
          </w:p>
        </w:tc>
        <w:tc>
          <w:tcPr>
            <w:tcW w:w="1078" w:type="dxa"/>
            <w:vAlign w:val="center"/>
          </w:tcPr>
          <w:p w:rsidR="00000000" w:rsidRDefault="00000000">
            <w:pPr>
              <w:tabs>
                <w:tab w:val="decimal" w:pos="757"/>
              </w:tabs>
              <w:rPr>
                <w:sz w:val="22"/>
              </w:rPr>
            </w:pPr>
            <w:r>
              <w:rPr>
                <w:sz w:val="22"/>
              </w:rPr>
              <w:t>80</w:t>
            </w:r>
          </w:p>
        </w:tc>
        <w:tc>
          <w:tcPr>
            <w:tcW w:w="1084" w:type="dxa"/>
            <w:vAlign w:val="center"/>
          </w:tcPr>
          <w:p w:rsidR="00000000" w:rsidRDefault="00000000">
            <w:pPr>
              <w:tabs>
                <w:tab w:val="decimal" w:pos="743"/>
              </w:tabs>
              <w:rPr>
                <w:sz w:val="22"/>
              </w:rPr>
            </w:pPr>
            <w:r>
              <w:rPr>
                <w:sz w:val="22"/>
              </w:rPr>
              <w:t>29</w:t>
            </w:r>
          </w:p>
        </w:tc>
        <w:tc>
          <w:tcPr>
            <w:tcW w:w="1313" w:type="dxa"/>
            <w:vAlign w:val="center"/>
          </w:tcPr>
          <w:p w:rsidR="00000000" w:rsidRDefault="00000000">
            <w:pPr>
              <w:tabs>
                <w:tab w:val="decimal" w:pos="723"/>
              </w:tabs>
              <w:rPr>
                <w:sz w:val="22"/>
              </w:rPr>
            </w:pPr>
            <w:r>
              <w:rPr>
                <w:sz w:val="22"/>
              </w:rPr>
              <w:t>275,9</w:t>
            </w:r>
          </w:p>
        </w:tc>
      </w:tr>
      <w:tr w:rsidR="00000000">
        <w:trPr>
          <w:cantSplit/>
          <w:tblHeader/>
          <w:jc w:val="center"/>
        </w:trPr>
        <w:tc>
          <w:tcPr>
            <w:tcW w:w="2595" w:type="dxa"/>
            <w:vAlign w:val="center"/>
          </w:tcPr>
          <w:p w:rsidR="00000000" w:rsidRDefault="00000000">
            <w:pPr>
              <w:rPr>
                <w:sz w:val="22"/>
              </w:rPr>
            </w:pPr>
            <w:r>
              <w:rPr>
                <w:sz w:val="22"/>
              </w:rPr>
              <w:t>Setúbal</w:t>
            </w:r>
          </w:p>
        </w:tc>
        <w:tc>
          <w:tcPr>
            <w:tcW w:w="1080" w:type="dxa"/>
            <w:vAlign w:val="center"/>
          </w:tcPr>
          <w:p w:rsidR="00000000" w:rsidRDefault="00000000">
            <w:pPr>
              <w:tabs>
                <w:tab w:val="decimal" w:pos="763"/>
              </w:tabs>
              <w:rPr>
                <w:sz w:val="22"/>
              </w:rPr>
            </w:pPr>
            <w:r>
              <w:rPr>
                <w:sz w:val="22"/>
              </w:rPr>
              <w:t>298</w:t>
            </w:r>
          </w:p>
        </w:tc>
        <w:tc>
          <w:tcPr>
            <w:tcW w:w="1082" w:type="dxa"/>
            <w:vAlign w:val="center"/>
          </w:tcPr>
          <w:p w:rsidR="00000000" w:rsidRDefault="00000000">
            <w:pPr>
              <w:tabs>
                <w:tab w:val="decimal" w:pos="763"/>
              </w:tabs>
              <w:rPr>
                <w:sz w:val="22"/>
              </w:rPr>
            </w:pPr>
            <w:r>
              <w:rPr>
                <w:sz w:val="22"/>
              </w:rPr>
              <w:t>131</w:t>
            </w:r>
          </w:p>
        </w:tc>
        <w:tc>
          <w:tcPr>
            <w:tcW w:w="1091" w:type="dxa"/>
            <w:vAlign w:val="center"/>
          </w:tcPr>
          <w:p w:rsidR="00000000" w:rsidRDefault="00000000">
            <w:pPr>
              <w:tabs>
                <w:tab w:val="decimal" w:pos="603"/>
              </w:tabs>
              <w:rPr>
                <w:sz w:val="22"/>
              </w:rPr>
            </w:pPr>
            <w:r>
              <w:rPr>
                <w:sz w:val="22"/>
              </w:rPr>
              <w:t>227,5</w:t>
            </w:r>
          </w:p>
        </w:tc>
        <w:tc>
          <w:tcPr>
            <w:tcW w:w="1078" w:type="dxa"/>
            <w:vAlign w:val="center"/>
          </w:tcPr>
          <w:p w:rsidR="00000000" w:rsidRDefault="00000000">
            <w:pPr>
              <w:tabs>
                <w:tab w:val="decimal" w:pos="757"/>
              </w:tabs>
              <w:rPr>
                <w:sz w:val="22"/>
              </w:rPr>
            </w:pPr>
            <w:r>
              <w:rPr>
                <w:sz w:val="22"/>
              </w:rPr>
              <w:t>310</w:t>
            </w:r>
          </w:p>
        </w:tc>
        <w:tc>
          <w:tcPr>
            <w:tcW w:w="1084" w:type="dxa"/>
            <w:vAlign w:val="center"/>
          </w:tcPr>
          <w:p w:rsidR="00000000" w:rsidRDefault="00000000">
            <w:pPr>
              <w:tabs>
                <w:tab w:val="decimal" w:pos="743"/>
              </w:tabs>
              <w:rPr>
                <w:sz w:val="22"/>
              </w:rPr>
            </w:pPr>
            <w:r>
              <w:rPr>
                <w:sz w:val="22"/>
              </w:rPr>
              <w:t>131</w:t>
            </w:r>
          </w:p>
        </w:tc>
        <w:tc>
          <w:tcPr>
            <w:tcW w:w="1313" w:type="dxa"/>
            <w:vAlign w:val="center"/>
          </w:tcPr>
          <w:p w:rsidR="00000000" w:rsidRDefault="00000000">
            <w:pPr>
              <w:tabs>
                <w:tab w:val="decimal" w:pos="723"/>
              </w:tabs>
              <w:rPr>
                <w:sz w:val="22"/>
              </w:rPr>
            </w:pPr>
            <w:r>
              <w:rPr>
                <w:sz w:val="22"/>
              </w:rPr>
              <w:t>236,6</w:t>
            </w:r>
          </w:p>
        </w:tc>
      </w:tr>
      <w:tr w:rsidR="00000000">
        <w:trPr>
          <w:cantSplit/>
          <w:tblHeader/>
          <w:jc w:val="center"/>
        </w:trPr>
        <w:tc>
          <w:tcPr>
            <w:tcW w:w="2595" w:type="dxa"/>
            <w:vAlign w:val="center"/>
          </w:tcPr>
          <w:p w:rsidR="00000000" w:rsidRDefault="00000000">
            <w:pPr>
              <w:rPr>
                <w:sz w:val="22"/>
              </w:rPr>
            </w:pPr>
            <w:r>
              <w:rPr>
                <w:sz w:val="22"/>
              </w:rPr>
              <w:t>Silves</w:t>
            </w:r>
          </w:p>
        </w:tc>
        <w:tc>
          <w:tcPr>
            <w:tcW w:w="1080" w:type="dxa"/>
            <w:vAlign w:val="center"/>
          </w:tcPr>
          <w:p w:rsidR="00000000" w:rsidRDefault="00000000">
            <w:pPr>
              <w:tabs>
                <w:tab w:val="decimal" w:pos="763"/>
              </w:tabs>
              <w:rPr>
                <w:sz w:val="22"/>
              </w:rPr>
            </w:pPr>
            <w:r>
              <w:rPr>
                <w:sz w:val="22"/>
              </w:rPr>
              <w:t>89</w:t>
            </w:r>
          </w:p>
        </w:tc>
        <w:tc>
          <w:tcPr>
            <w:tcW w:w="1082" w:type="dxa"/>
            <w:vAlign w:val="center"/>
          </w:tcPr>
          <w:p w:rsidR="00000000" w:rsidRDefault="00000000">
            <w:pPr>
              <w:tabs>
                <w:tab w:val="decimal" w:pos="763"/>
              </w:tabs>
              <w:rPr>
                <w:sz w:val="22"/>
              </w:rPr>
            </w:pPr>
            <w:r>
              <w:rPr>
                <w:sz w:val="22"/>
              </w:rPr>
              <w:t>58</w:t>
            </w:r>
          </w:p>
        </w:tc>
        <w:tc>
          <w:tcPr>
            <w:tcW w:w="1091" w:type="dxa"/>
            <w:vAlign w:val="center"/>
          </w:tcPr>
          <w:p w:rsidR="00000000" w:rsidRDefault="00000000">
            <w:pPr>
              <w:tabs>
                <w:tab w:val="decimal" w:pos="603"/>
              </w:tabs>
              <w:rPr>
                <w:sz w:val="22"/>
              </w:rPr>
            </w:pPr>
            <w:r>
              <w:rPr>
                <w:sz w:val="22"/>
              </w:rPr>
              <w:t>153,4</w:t>
            </w:r>
          </w:p>
        </w:tc>
        <w:tc>
          <w:tcPr>
            <w:tcW w:w="1078" w:type="dxa"/>
            <w:vAlign w:val="center"/>
          </w:tcPr>
          <w:p w:rsidR="00000000" w:rsidRDefault="00000000">
            <w:pPr>
              <w:tabs>
                <w:tab w:val="decimal" w:pos="757"/>
              </w:tabs>
              <w:rPr>
                <w:sz w:val="22"/>
              </w:rPr>
            </w:pPr>
            <w:r>
              <w:rPr>
                <w:sz w:val="22"/>
              </w:rPr>
              <w:t>100</w:t>
            </w:r>
          </w:p>
        </w:tc>
        <w:tc>
          <w:tcPr>
            <w:tcW w:w="1084" w:type="dxa"/>
            <w:vAlign w:val="center"/>
          </w:tcPr>
          <w:p w:rsidR="00000000" w:rsidRDefault="00000000">
            <w:pPr>
              <w:tabs>
                <w:tab w:val="decimal" w:pos="743"/>
              </w:tabs>
              <w:rPr>
                <w:sz w:val="22"/>
              </w:rPr>
            </w:pPr>
            <w:r>
              <w:rPr>
                <w:sz w:val="22"/>
              </w:rPr>
              <w:t>58</w:t>
            </w:r>
          </w:p>
        </w:tc>
        <w:tc>
          <w:tcPr>
            <w:tcW w:w="1313" w:type="dxa"/>
            <w:vAlign w:val="center"/>
          </w:tcPr>
          <w:p w:rsidR="00000000" w:rsidRDefault="00000000">
            <w:pPr>
              <w:tabs>
                <w:tab w:val="decimal" w:pos="723"/>
              </w:tabs>
              <w:rPr>
                <w:sz w:val="22"/>
              </w:rPr>
            </w:pPr>
            <w:r>
              <w:rPr>
                <w:sz w:val="22"/>
              </w:rPr>
              <w:t>172,4</w:t>
            </w:r>
          </w:p>
        </w:tc>
      </w:tr>
      <w:tr w:rsidR="00000000">
        <w:trPr>
          <w:cantSplit/>
          <w:tblHeader/>
          <w:jc w:val="center"/>
        </w:trPr>
        <w:tc>
          <w:tcPr>
            <w:tcW w:w="2595" w:type="dxa"/>
            <w:vAlign w:val="center"/>
          </w:tcPr>
          <w:p w:rsidR="00000000" w:rsidRDefault="00000000">
            <w:pPr>
              <w:rPr>
                <w:sz w:val="22"/>
              </w:rPr>
            </w:pPr>
            <w:r>
              <w:rPr>
                <w:sz w:val="22"/>
              </w:rPr>
              <w:t>Torres Novas</w:t>
            </w:r>
          </w:p>
        </w:tc>
        <w:tc>
          <w:tcPr>
            <w:tcW w:w="1080" w:type="dxa"/>
            <w:vAlign w:val="center"/>
          </w:tcPr>
          <w:p w:rsidR="00000000" w:rsidRDefault="00000000">
            <w:pPr>
              <w:tabs>
                <w:tab w:val="decimal" w:pos="763"/>
              </w:tabs>
              <w:rPr>
                <w:sz w:val="22"/>
              </w:rPr>
            </w:pPr>
            <w:r>
              <w:rPr>
                <w:sz w:val="22"/>
              </w:rPr>
              <w:t>74</w:t>
            </w:r>
          </w:p>
        </w:tc>
        <w:tc>
          <w:tcPr>
            <w:tcW w:w="1082" w:type="dxa"/>
            <w:vAlign w:val="center"/>
          </w:tcPr>
          <w:p w:rsidR="00000000" w:rsidRDefault="00000000">
            <w:pPr>
              <w:tabs>
                <w:tab w:val="decimal" w:pos="763"/>
              </w:tabs>
              <w:rPr>
                <w:sz w:val="22"/>
              </w:rPr>
            </w:pPr>
            <w:r>
              <w:rPr>
                <w:sz w:val="22"/>
              </w:rPr>
              <w:t>38</w:t>
            </w:r>
          </w:p>
        </w:tc>
        <w:tc>
          <w:tcPr>
            <w:tcW w:w="1091" w:type="dxa"/>
            <w:vAlign w:val="center"/>
          </w:tcPr>
          <w:p w:rsidR="00000000" w:rsidRDefault="00000000">
            <w:pPr>
              <w:tabs>
                <w:tab w:val="decimal" w:pos="603"/>
              </w:tabs>
              <w:rPr>
                <w:sz w:val="22"/>
              </w:rPr>
            </w:pPr>
            <w:r>
              <w:rPr>
                <w:sz w:val="22"/>
              </w:rPr>
              <w:t>194,7</w:t>
            </w:r>
          </w:p>
        </w:tc>
        <w:tc>
          <w:tcPr>
            <w:tcW w:w="1078" w:type="dxa"/>
            <w:vAlign w:val="center"/>
          </w:tcPr>
          <w:p w:rsidR="00000000" w:rsidRDefault="00000000">
            <w:pPr>
              <w:tabs>
                <w:tab w:val="decimal" w:pos="757"/>
              </w:tabs>
              <w:rPr>
                <w:sz w:val="22"/>
              </w:rPr>
            </w:pPr>
            <w:r>
              <w:rPr>
                <w:sz w:val="22"/>
              </w:rPr>
              <w:t>79</w:t>
            </w:r>
          </w:p>
        </w:tc>
        <w:tc>
          <w:tcPr>
            <w:tcW w:w="1084" w:type="dxa"/>
            <w:vAlign w:val="center"/>
          </w:tcPr>
          <w:p w:rsidR="00000000" w:rsidRDefault="00000000">
            <w:pPr>
              <w:tabs>
                <w:tab w:val="decimal" w:pos="743"/>
              </w:tabs>
              <w:rPr>
                <w:sz w:val="22"/>
              </w:rPr>
            </w:pPr>
            <w:r>
              <w:rPr>
                <w:sz w:val="22"/>
              </w:rPr>
              <w:t>38</w:t>
            </w:r>
          </w:p>
        </w:tc>
        <w:tc>
          <w:tcPr>
            <w:tcW w:w="1313" w:type="dxa"/>
            <w:vAlign w:val="center"/>
          </w:tcPr>
          <w:p w:rsidR="00000000" w:rsidRDefault="00000000">
            <w:pPr>
              <w:tabs>
                <w:tab w:val="decimal" w:pos="723"/>
              </w:tabs>
              <w:rPr>
                <w:sz w:val="22"/>
              </w:rPr>
            </w:pPr>
            <w:r>
              <w:rPr>
                <w:sz w:val="22"/>
              </w:rPr>
              <w:t>207,9</w:t>
            </w:r>
          </w:p>
        </w:tc>
      </w:tr>
      <w:tr w:rsidR="00000000">
        <w:trPr>
          <w:cantSplit/>
          <w:tblHeader/>
          <w:jc w:val="center"/>
        </w:trPr>
        <w:tc>
          <w:tcPr>
            <w:tcW w:w="2595" w:type="dxa"/>
            <w:vAlign w:val="center"/>
          </w:tcPr>
          <w:p w:rsidR="00000000" w:rsidRDefault="00000000">
            <w:pPr>
              <w:rPr>
                <w:sz w:val="22"/>
              </w:rPr>
            </w:pPr>
            <w:r>
              <w:rPr>
                <w:sz w:val="22"/>
              </w:rPr>
              <w:t>Viana do Castelo</w:t>
            </w:r>
          </w:p>
        </w:tc>
        <w:tc>
          <w:tcPr>
            <w:tcW w:w="1080" w:type="dxa"/>
            <w:vAlign w:val="center"/>
          </w:tcPr>
          <w:p w:rsidR="00000000" w:rsidRDefault="00000000">
            <w:pPr>
              <w:tabs>
                <w:tab w:val="decimal" w:pos="763"/>
              </w:tabs>
              <w:rPr>
                <w:sz w:val="22"/>
              </w:rPr>
            </w:pPr>
            <w:r>
              <w:rPr>
                <w:sz w:val="22"/>
              </w:rPr>
              <w:t>78</w:t>
            </w:r>
          </w:p>
        </w:tc>
        <w:tc>
          <w:tcPr>
            <w:tcW w:w="1082" w:type="dxa"/>
            <w:vAlign w:val="center"/>
          </w:tcPr>
          <w:p w:rsidR="00000000" w:rsidRDefault="00000000">
            <w:pPr>
              <w:tabs>
                <w:tab w:val="decimal" w:pos="763"/>
              </w:tabs>
              <w:rPr>
                <w:sz w:val="22"/>
              </w:rPr>
            </w:pPr>
            <w:r>
              <w:rPr>
                <w:sz w:val="22"/>
              </w:rPr>
              <w:t>44</w:t>
            </w:r>
          </w:p>
        </w:tc>
        <w:tc>
          <w:tcPr>
            <w:tcW w:w="1091" w:type="dxa"/>
            <w:vAlign w:val="center"/>
          </w:tcPr>
          <w:p w:rsidR="00000000" w:rsidRDefault="00000000">
            <w:pPr>
              <w:tabs>
                <w:tab w:val="decimal" w:pos="603"/>
              </w:tabs>
              <w:rPr>
                <w:sz w:val="22"/>
              </w:rPr>
            </w:pPr>
            <w:r>
              <w:rPr>
                <w:sz w:val="22"/>
              </w:rPr>
              <w:t>177,3</w:t>
            </w:r>
          </w:p>
        </w:tc>
        <w:tc>
          <w:tcPr>
            <w:tcW w:w="1078" w:type="dxa"/>
            <w:vAlign w:val="center"/>
          </w:tcPr>
          <w:p w:rsidR="00000000" w:rsidRDefault="00000000">
            <w:pPr>
              <w:tabs>
                <w:tab w:val="decimal" w:pos="757"/>
              </w:tabs>
              <w:rPr>
                <w:sz w:val="22"/>
              </w:rPr>
            </w:pPr>
            <w:r>
              <w:rPr>
                <w:sz w:val="22"/>
              </w:rPr>
              <w:t>117</w:t>
            </w:r>
          </w:p>
        </w:tc>
        <w:tc>
          <w:tcPr>
            <w:tcW w:w="1084" w:type="dxa"/>
            <w:vAlign w:val="center"/>
          </w:tcPr>
          <w:p w:rsidR="00000000" w:rsidRDefault="00000000">
            <w:pPr>
              <w:tabs>
                <w:tab w:val="decimal" w:pos="743"/>
              </w:tabs>
              <w:rPr>
                <w:sz w:val="22"/>
              </w:rPr>
            </w:pPr>
            <w:r>
              <w:rPr>
                <w:sz w:val="22"/>
              </w:rPr>
              <w:t>44</w:t>
            </w:r>
          </w:p>
        </w:tc>
        <w:tc>
          <w:tcPr>
            <w:tcW w:w="1313" w:type="dxa"/>
            <w:vAlign w:val="center"/>
          </w:tcPr>
          <w:p w:rsidR="00000000" w:rsidRDefault="00000000">
            <w:pPr>
              <w:tabs>
                <w:tab w:val="decimal" w:pos="723"/>
              </w:tabs>
              <w:rPr>
                <w:sz w:val="22"/>
              </w:rPr>
            </w:pPr>
            <w:r>
              <w:rPr>
                <w:sz w:val="22"/>
              </w:rPr>
              <w:t>265,9</w:t>
            </w:r>
          </w:p>
        </w:tc>
      </w:tr>
      <w:tr w:rsidR="00000000">
        <w:trPr>
          <w:cantSplit/>
          <w:tblHeader/>
          <w:jc w:val="center"/>
        </w:trPr>
        <w:tc>
          <w:tcPr>
            <w:tcW w:w="2595" w:type="dxa"/>
            <w:vAlign w:val="center"/>
          </w:tcPr>
          <w:p w:rsidR="00000000" w:rsidRDefault="00000000">
            <w:pPr>
              <w:rPr>
                <w:sz w:val="22"/>
              </w:rPr>
            </w:pPr>
            <w:r>
              <w:rPr>
                <w:sz w:val="22"/>
              </w:rPr>
              <w:t>Vila Real</w:t>
            </w:r>
          </w:p>
        </w:tc>
        <w:tc>
          <w:tcPr>
            <w:tcW w:w="1080" w:type="dxa"/>
            <w:vAlign w:val="center"/>
          </w:tcPr>
          <w:p w:rsidR="00000000" w:rsidRDefault="00000000">
            <w:pPr>
              <w:tabs>
                <w:tab w:val="decimal" w:pos="763"/>
              </w:tabs>
              <w:rPr>
                <w:sz w:val="22"/>
              </w:rPr>
            </w:pPr>
            <w:r>
              <w:rPr>
                <w:sz w:val="22"/>
              </w:rPr>
              <w:t>108</w:t>
            </w:r>
          </w:p>
        </w:tc>
        <w:tc>
          <w:tcPr>
            <w:tcW w:w="1082" w:type="dxa"/>
            <w:vAlign w:val="center"/>
          </w:tcPr>
          <w:p w:rsidR="00000000" w:rsidRDefault="00000000">
            <w:pPr>
              <w:tabs>
                <w:tab w:val="decimal" w:pos="763"/>
              </w:tabs>
              <w:rPr>
                <w:sz w:val="22"/>
              </w:rPr>
            </w:pPr>
            <w:r>
              <w:rPr>
                <w:sz w:val="22"/>
              </w:rPr>
              <w:t>68</w:t>
            </w:r>
          </w:p>
        </w:tc>
        <w:tc>
          <w:tcPr>
            <w:tcW w:w="1091" w:type="dxa"/>
            <w:vAlign w:val="center"/>
          </w:tcPr>
          <w:p w:rsidR="00000000" w:rsidRDefault="00000000">
            <w:pPr>
              <w:tabs>
                <w:tab w:val="decimal" w:pos="603"/>
              </w:tabs>
              <w:rPr>
                <w:sz w:val="22"/>
              </w:rPr>
            </w:pPr>
            <w:r>
              <w:rPr>
                <w:sz w:val="22"/>
              </w:rPr>
              <w:t>158,8</w:t>
            </w:r>
          </w:p>
        </w:tc>
        <w:tc>
          <w:tcPr>
            <w:tcW w:w="1078" w:type="dxa"/>
            <w:vAlign w:val="center"/>
          </w:tcPr>
          <w:p w:rsidR="00000000" w:rsidRDefault="00000000">
            <w:pPr>
              <w:tabs>
                <w:tab w:val="decimal" w:pos="757"/>
              </w:tabs>
              <w:rPr>
                <w:sz w:val="22"/>
              </w:rPr>
            </w:pPr>
            <w:r>
              <w:rPr>
                <w:sz w:val="22"/>
              </w:rPr>
              <w:t>116</w:t>
            </w:r>
          </w:p>
        </w:tc>
        <w:tc>
          <w:tcPr>
            <w:tcW w:w="1084" w:type="dxa"/>
            <w:vAlign w:val="center"/>
          </w:tcPr>
          <w:p w:rsidR="00000000" w:rsidRDefault="00000000">
            <w:pPr>
              <w:tabs>
                <w:tab w:val="decimal" w:pos="743"/>
              </w:tabs>
              <w:rPr>
                <w:sz w:val="22"/>
              </w:rPr>
            </w:pPr>
            <w:r>
              <w:rPr>
                <w:sz w:val="22"/>
              </w:rPr>
              <w:t>68</w:t>
            </w:r>
          </w:p>
        </w:tc>
        <w:tc>
          <w:tcPr>
            <w:tcW w:w="1313" w:type="dxa"/>
            <w:vAlign w:val="center"/>
          </w:tcPr>
          <w:p w:rsidR="00000000" w:rsidRDefault="00000000">
            <w:pPr>
              <w:tabs>
                <w:tab w:val="decimal" w:pos="723"/>
              </w:tabs>
              <w:rPr>
                <w:sz w:val="22"/>
              </w:rPr>
            </w:pPr>
            <w:r>
              <w:rPr>
                <w:sz w:val="22"/>
              </w:rPr>
              <w:t>170,6</w:t>
            </w:r>
          </w:p>
        </w:tc>
      </w:tr>
      <w:tr w:rsidR="00000000">
        <w:trPr>
          <w:cantSplit/>
          <w:tblHeader/>
          <w:jc w:val="center"/>
        </w:trPr>
        <w:tc>
          <w:tcPr>
            <w:tcW w:w="2595" w:type="dxa"/>
            <w:vAlign w:val="center"/>
          </w:tcPr>
          <w:p w:rsidR="00000000" w:rsidRDefault="00000000">
            <w:pPr>
              <w:rPr>
                <w:sz w:val="22"/>
              </w:rPr>
            </w:pPr>
            <w:r>
              <w:rPr>
                <w:sz w:val="22"/>
              </w:rPr>
              <w:t>Viseu</w:t>
            </w:r>
          </w:p>
        </w:tc>
        <w:tc>
          <w:tcPr>
            <w:tcW w:w="1080" w:type="dxa"/>
            <w:vAlign w:val="center"/>
          </w:tcPr>
          <w:p w:rsidR="00000000" w:rsidRDefault="00000000">
            <w:pPr>
              <w:tabs>
                <w:tab w:val="decimal" w:pos="763"/>
              </w:tabs>
              <w:rPr>
                <w:sz w:val="22"/>
              </w:rPr>
            </w:pPr>
            <w:r>
              <w:rPr>
                <w:sz w:val="22"/>
              </w:rPr>
              <w:t>46</w:t>
            </w:r>
          </w:p>
        </w:tc>
        <w:tc>
          <w:tcPr>
            <w:tcW w:w="1082" w:type="dxa"/>
            <w:vAlign w:val="center"/>
          </w:tcPr>
          <w:p w:rsidR="00000000" w:rsidRDefault="00000000">
            <w:pPr>
              <w:tabs>
                <w:tab w:val="decimal" w:pos="763"/>
              </w:tabs>
              <w:rPr>
                <w:sz w:val="22"/>
              </w:rPr>
            </w:pPr>
            <w:r>
              <w:rPr>
                <w:sz w:val="22"/>
              </w:rPr>
              <w:t>46</w:t>
            </w:r>
          </w:p>
        </w:tc>
        <w:tc>
          <w:tcPr>
            <w:tcW w:w="1091" w:type="dxa"/>
            <w:vAlign w:val="center"/>
          </w:tcPr>
          <w:p w:rsidR="00000000" w:rsidRDefault="00000000">
            <w:pPr>
              <w:tabs>
                <w:tab w:val="decimal" w:pos="603"/>
              </w:tabs>
              <w:rPr>
                <w:sz w:val="22"/>
              </w:rPr>
            </w:pPr>
            <w:r>
              <w:rPr>
                <w:sz w:val="22"/>
              </w:rPr>
              <w:t>100,0</w:t>
            </w:r>
          </w:p>
        </w:tc>
        <w:tc>
          <w:tcPr>
            <w:tcW w:w="1078" w:type="dxa"/>
            <w:vAlign w:val="center"/>
          </w:tcPr>
          <w:p w:rsidR="00000000" w:rsidRDefault="00000000">
            <w:pPr>
              <w:tabs>
                <w:tab w:val="decimal" w:pos="757"/>
              </w:tabs>
              <w:rPr>
                <w:sz w:val="22"/>
              </w:rPr>
            </w:pPr>
            <w:r>
              <w:rPr>
                <w:sz w:val="22"/>
              </w:rPr>
              <w:t>57</w:t>
            </w:r>
          </w:p>
        </w:tc>
        <w:tc>
          <w:tcPr>
            <w:tcW w:w="1084" w:type="dxa"/>
            <w:vAlign w:val="center"/>
          </w:tcPr>
          <w:p w:rsidR="00000000" w:rsidRDefault="00000000">
            <w:pPr>
              <w:tabs>
                <w:tab w:val="decimal" w:pos="743"/>
              </w:tabs>
              <w:rPr>
                <w:sz w:val="22"/>
              </w:rPr>
            </w:pPr>
            <w:r>
              <w:rPr>
                <w:sz w:val="22"/>
              </w:rPr>
              <w:t>46</w:t>
            </w:r>
          </w:p>
        </w:tc>
        <w:tc>
          <w:tcPr>
            <w:tcW w:w="1313" w:type="dxa"/>
            <w:vAlign w:val="center"/>
          </w:tcPr>
          <w:p w:rsidR="00000000" w:rsidRDefault="00000000">
            <w:pPr>
              <w:tabs>
                <w:tab w:val="decimal" w:pos="723"/>
              </w:tabs>
              <w:rPr>
                <w:sz w:val="22"/>
              </w:rPr>
            </w:pPr>
            <w:r>
              <w:rPr>
                <w:sz w:val="22"/>
              </w:rPr>
              <w:t>123,9</w:t>
            </w:r>
          </w:p>
        </w:tc>
      </w:tr>
      <w:tr w:rsidR="00000000">
        <w:trPr>
          <w:cantSplit/>
          <w:tblHeader/>
          <w:jc w:val="center"/>
        </w:trPr>
        <w:tc>
          <w:tcPr>
            <w:tcW w:w="2595" w:type="dxa"/>
            <w:vAlign w:val="center"/>
          </w:tcPr>
          <w:p w:rsidR="00000000" w:rsidRDefault="00000000">
            <w:pPr>
              <w:rPr>
                <w:sz w:val="22"/>
              </w:rPr>
            </w:pPr>
            <w:r>
              <w:rPr>
                <w:sz w:val="22"/>
              </w:rPr>
              <w:t>P. J. Lisboa</w:t>
            </w:r>
          </w:p>
        </w:tc>
        <w:tc>
          <w:tcPr>
            <w:tcW w:w="1080" w:type="dxa"/>
            <w:vAlign w:val="center"/>
          </w:tcPr>
          <w:p w:rsidR="00000000" w:rsidRDefault="00000000">
            <w:pPr>
              <w:tabs>
                <w:tab w:val="decimal" w:pos="763"/>
              </w:tabs>
              <w:rPr>
                <w:sz w:val="22"/>
              </w:rPr>
            </w:pPr>
            <w:r>
              <w:rPr>
                <w:sz w:val="22"/>
              </w:rPr>
              <w:t>128</w:t>
            </w:r>
          </w:p>
        </w:tc>
        <w:tc>
          <w:tcPr>
            <w:tcW w:w="1082" w:type="dxa"/>
            <w:vAlign w:val="center"/>
          </w:tcPr>
          <w:p w:rsidR="00000000" w:rsidRDefault="00000000">
            <w:pPr>
              <w:tabs>
                <w:tab w:val="decimal" w:pos="763"/>
              </w:tabs>
              <w:rPr>
                <w:sz w:val="22"/>
              </w:rPr>
            </w:pPr>
            <w:r>
              <w:rPr>
                <w:sz w:val="22"/>
              </w:rPr>
              <w:t>88</w:t>
            </w:r>
          </w:p>
        </w:tc>
        <w:tc>
          <w:tcPr>
            <w:tcW w:w="1091" w:type="dxa"/>
            <w:vAlign w:val="center"/>
          </w:tcPr>
          <w:p w:rsidR="00000000" w:rsidRDefault="00000000">
            <w:pPr>
              <w:tabs>
                <w:tab w:val="decimal" w:pos="603"/>
              </w:tabs>
              <w:rPr>
                <w:sz w:val="22"/>
              </w:rPr>
            </w:pPr>
            <w:r>
              <w:rPr>
                <w:sz w:val="22"/>
              </w:rPr>
              <w:t>145,5</w:t>
            </w:r>
          </w:p>
        </w:tc>
        <w:tc>
          <w:tcPr>
            <w:tcW w:w="1078" w:type="dxa"/>
            <w:vAlign w:val="center"/>
          </w:tcPr>
          <w:p w:rsidR="00000000" w:rsidRDefault="00000000">
            <w:pPr>
              <w:tabs>
                <w:tab w:val="decimal" w:pos="757"/>
              </w:tabs>
              <w:rPr>
                <w:sz w:val="22"/>
              </w:rPr>
            </w:pPr>
            <w:r>
              <w:rPr>
                <w:sz w:val="22"/>
              </w:rPr>
              <w:t>142</w:t>
            </w:r>
          </w:p>
        </w:tc>
        <w:tc>
          <w:tcPr>
            <w:tcW w:w="1084" w:type="dxa"/>
            <w:vAlign w:val="center"/>
          </w:tcPr>
          <w:p w:rsidR="00000000" w:rsidRDefault="00000000">
            <w:pPr>
              <w:tabs>
                <w:tab w:val="decimal" w:pos="743"/>
              </w:tabs>
              <w:rPr>
                <w:sz w:val="22"/>
              </w:rPr>
            </w:pPr>
            <w:r>
              <w:rPr>
                <w:sz w:val="22"/>
              </w:rPr>
              <w:t>88</w:t>
            </w:r>
          </w:p>
        </w:tc>
        <w:tc>
          <w:tcPr>
            <w:tcW w:w="1313" w:type="dxa"/>
            <w:vAlign w:val="center"/>
          </w:tcPr>
          <w:p w:rsidR="00000000" w:rsidRDefault="00000000">
            <w:pPr>
              <w:tabs>
                <w:tab w:val="decimal" w:pos="723"/>
              </w:tabs>
              <w:rPr>
                <w:sz w:val="22"/>
              </w:rPr>
            </w:pPr>
            <w:r>
              <w:rPr>
                <w:sz w:val="22"/>
              </w:rPr>
              <w:t>161,4</w:t>
            </w:r>
          </w:p>
        </w:tc>
      </w:tr>
      <w:tr w:rsidR="00000000">
        <w:trPr>
          <w:cantSplit/>
          <w:tblHeader/>
          <w:jc w:val="center"/>
        </w:trPr>
        <w:tc>
          <w:tcPr>
            <w:tcW w:w="2595" w:type="dxa"/>
            <w:vAlign w:val="center"/>
          </w:tcPr>
          <w:p w:rsidR="00000000" w:rsidRDefault="00000000">
            <w:pPr>
              <w:rPr>
                <w:sz w:val="22"/>
              </w:rPr>
            </w:pPr>
            <w:r>
              <w:rPr>
                <w:sz w:val="22"/>
              </w:rPr>
              <w:t>P .J. Porto</w:t>
            </w:r>
          </w:p>
        </w:tc>
        <w:tc>
          <w:tcPr>
            <w:tcW w:w="1080" w:type="dxa"/>
            <w:vAlign w:val="center"/>
          </w:tcPr>
          <w:p w:rsidR="00000000" w:rsidRDefault="00000000">
            <w:pPr>
              <w:tabs>
                <w:tab w:val="decimal" w:pos="763"/>
              </w:tabs>
              <w:rPr>
                <w:sz w:val="22"/>
              </w:rPr>
            </w:pPr>
            <w:r>
              <w:rPr>
                <w:sz w:val="22"/>
              </w:rPr>
              <w:t>35</w:t>
            </w:r>
          </w:p>
        </w:tc>
        <w:tc>
          <w:tcPr>
            <w:tcW w:w="1082" w:type="dxa"/>
            <w:vAlign w:val="center"/>
          </w:tcPr>
          <w:p w:rsidR="00000000" w:rsidRDefault="00000000">
            <w:pPr>
              <w:tabs>
                <w:tab w:val="decimal" w:pos="763"/>
              </w:tabs>
              <w:rPr>
                <w:sz w:val="22"/>
              </w:rPr>
            </w:pPr>
            <w:r>
              <w:rPr>
                <w:sz w:val="22"/>
              </w:rPr>
              <w:t>32</w:t>
            </w:r>
          </w:p>
        </w:tc>
        <w:tc>
          <w:tcPr>
            <w:tcW w:w="1091" w:type="dxa"/>
            <w:vAlign w:val="center"/>
          </w:tcPr>
          <w:p w:rsidR="00000000" w:rsidRDefault="00000000">
            <w:pPr>
              <w:tabs>
                <w:tab w:val="decimal" w:pos="603"/>
              </w:tabs>
              <w:rPr>
                <w:sz w:val="22"/>
              </w:rPr>
            </w:pPr>
            <w:r>
              <w:rPr>
                <w:sz w:val="22"/>
              </w:rPr>
              <w:t>109,4</w:t>
            </w:r>
          </w:p>
        </w:tc>
        <w:tc>
          <w:tcPr>
            <w:tcW w:w="1078" w:type="dxa"/>
            <w:vAlign w:val="center"/>
          </w:tcPr>
          <w:p w:rsidR="00000000" w:rsidRDefault="00000000">
            <w:pPr>
              <w:tabs>
                <w:tab w:val="decimal" w:pos="757"/>
              </w:tabs>
              <w:rPr>
                <w:sz w:val="22"/>
              </w:rPr>
            </w:pPr>
            <w:r>
              <w:rPr>
                <w:sz w:val="22"/>
              </w:rPr>
              <w:t>22</w:t>
            </w:r>
          </w:p>
        </w:tc>
        <w:tc>
          <w:tcPr>
            <w:tcW w:w="1084" w:type="dxa"/>
            <w:vAlign w:val="center"/>
          </w:tcPr>
          <w:p w:rsidR="00000000" w:rsidRDefault="00000000">
            <w:pPr>
              <w:tabs>
                <w:tab w:val="decimal" w:pos="743"/>
              </w:tabs>
              <w:rPr>
                <w:sz w:val="22"/>
              </w:rPr>
            </w:pPr>
            <w:r>
              <w:rPr>
                <w:sz w:val="22"/>
              </w:rPr>
              <w:t>32</w:t>
            </w:r>
          </w:p>
        </w:tc>
        <w:tc>
          <w:tcPr>
            <w:tcW w:w="1313" w:type="dxa"/>
            <w:vAlign w:val="center"/>
          </w:tcPr>
          <w:p w:rsidR="00000000" w:rsidRDefault="00000000">
            <w:pPr>
              <w:tabs>
                <w:tab w:val="decimal" w:pos="723"/>
              </w:tabs>
              <w:rPr>
                <w:sz w:val="22"/>
              </w:rPr>
            </w:pPr>
            <w:r>
              <w:rPr>
                <w:sz w:val="22"/>
              </w:rPr>
              <w:t>68,8</w:t>
            </w:r>
          </w:p>
        </w:tc>
      </w:tr>
      <w:tr w:rsidR="00000000">
        <w:trPr>
          <w:cantSplit/>
          <w:tblHeader/>
          <w:jc w:val="center"/>
        </w:trPr>
        <w:tc>
          <w:tcPr>
            <w:tcW w:w="2595" w:type="dxa"/>
            <w:vAlign w:val="center"/>
          </w:tcPr>
          <w:p w:rsidR="00000000" w:rsidRDefault="00000000">
            <w:pPr>
              <w:rPr>
                <w:sz w:val="22"/>
              </w:rPr>
            </w:pPr>
            <w:r>
              <w:rPr>
                <w:sz w:val="22"/>
              </w:rPr>
              <w:tab/>
              <w:t>Total</w:t>
            </w:r>
            <w:r>
              <w:rPr>
                <w:b/>
                <w:bCs/>
                <w:sz w:val="22"/>
                <w:vertAlign w:val="superscript"/>
              </w:rPr>
              <w:t>b</w:t>
            </w:r>
          </w:p>
        </w:tc>
        <w:tc>
          <w:tcPr>
            <w:tcW w:w="1080" w:type="dxa"/>
            <w:vAlign w:val="center"/>
          </w:tcPr>
          <w:p w:rsidR="00000000" w:rsidRDefault="00000000">
            <w:pPr>
              <w:tabs>
                <w:tab w:val="decimal" w:pos="763"/>
              </w:tabs>
              <w:rPr>
                <w:sz w:val="22"/>
              </w:rPr>
            </w:pPr>
            <w:r>
              <w:rPr>
                <w:sz w:val="22"/>
              </w:rPr>
              <w:t>3.552</w:t>
            </w:r>
          </w:p>
        </w:tc>
        <w:tc>
          <w:tcPr>
            <w:tcW w:w="1082" w:type="dxa"/>
            <w:vAlign w:val="center"/>
          </w:tcPr>
          <w:p w:rsidR="00000000" w:rsidRDefault="00000000">
            <w:pPr>
              <w:tabs>
                <w:tab w:val="decimal" w:pos="763"/>
              </w:tabs>
              <w:rPr>
                <w:sz w:val="22"/>
              </w:rPr>
            </w:pPr>
            <w:r>
              <w:rPr>
                <w:sz w:val="22"/>
              </w:rPr>
              <w:t>2.557</w:t>
            </w:r>
          </w:p>
        </w:tc>
        <w:tc>
          <w:tcPr>
            <w:tcW w:w="1091" w:type="dxa"/>
            <w:vAlign w:val="center"/>
          </w:tcPr>
          <w:p w:rsidR="00000000" w:rsidRDefault="00000000">
            <w:pPr>
              <w:tabs>
                <w:tab w:val="decimal" w:pos="603"/>
              </w:tabs>
              <w:rPr>
                <w:sz w:val="22"/>
              </w:rPr>
            </w:pPr>
            <w:r>
              <w:rPr>
                <w:sz w:val="22"/>
              </w:rPr>
              <w:t>138,9</w:t>
            </w:r>
          </w:p>
        </w:tc>
        <w:tc>
          <w:tcPr>
            <w:tcW w:w="1078" w:type="dxa"/>
            <w:vAlign w:val="center"/>
          </w:tcPr>
          <w:p w:rsidR="00000000" w:rsidRDefault="00000000">
            <w:pPr>
              <w:tabs>
                <w:tab w:val="decimal" w:pos="757"/>
              </w:tabs>
              <w:rPr>
                <w:sz w:val="22"/>
              </w:rPr>
            </w:pPr>
            <w:r>
              <w:rPr>
                <w:sz w:val="22"/>
              </w:rPr>
              <w:t>3.953</w:t>
            </w:r>
          </w:p>
        </w:tc>
        <w:tc>
          <w:tcPr>
            <w:tcW w:w="1084" w:type="dxa"/>
            <w:vAlign w:val="center"/>
          </w:tcPr>
          <w:p w:rsidR="00000000" w:rsidRDefault="00000000">
            <w:pPr>
              <w:jc w:val="center"/>
              <w:rPr>
                <w:sz w:val="22"/>
              </w:rPr>
            </w:pPr>
            <w:r>
              <w:rPr>
                <w:sz w:val="22"/>
              </w:rPr>
              <w:t>2.557</w:t>
            </w:r>
          </w:p>
        </w:tc>
        <w:tc>
          <w:tcPr>
            <w:tcW w:w="1313" w:type="dxa"/>
            <w:vAlign w:val="center"/>
          </w:tcPr>
          <w:p w:rsidR="00000000" w:rsidRDefault="00000000">
            <w:pPr>
              <w:jc w:val="center"/>
              <w:rPr>
                <w:sz w:val="22"/>
              </w:rPr>
            </w:pPr>
            <w:r>
              <w:rPr>
                <w:sz w:val="22"/>
              </w:rPr>
              <w:t>154,6</w:t>
            </w:r>
          </w:p>
        </w:tc>
      </w:tr>
    </w:tbl>
    <w:p w:rsidR="00000000" w:rsidRDefault="00000000">
      <w:pPr>
        <w:spacing w:before="120" w:after="180" w:line="216" w:lineRule="auto"/>
        <w:rPr>
          <w:sz w:val="22"/>
        </w:rPr>
      </w:pPr>
      <w:r>
        <w:rPr>
          <w:b/>
          <w:sz w:val="22"/>
          <w:vertAlign w:val="superscript"/>
        </w:rPr>
        <w:t>a</w:t>
      </w:r>
      <w:r>
        <w:rPr>
          <w:sz w:val="22"/>
        </w:rPr>
        <w:t xml:space="preserve"> Los establecimientos de Horta, Olhão y São Pedro do Sul estaban clasificados como prisión de apoyo.  São Pedro do Sul y Olhão se han transformado en establecimientos penitenciarios regionales.  El establecimiento de Olhão se encontraba cerrado por obras.</w:t>
      </w:r>
    </w:p>
    <w:p w:rsidR="00000000" w:rsidRDefault="00000000">
      <w:pPr>
        <w:spacing w:after="180" w:line="216" w:lineRule="auto"/>
      </w:pPr>
      <w:r>
        <w:rPr>
          <w:b/>
          <w:sz w:val="22"/>
          <w:vertAlign w:val="superscript"/>
        </w:rPr>
        <w:t>b</w:t>
      </w:r>
      <w:r>
        <w:rPr>
          <w:sz w:val="22"/>
        </w:rPr>
        <w:t xml:space="preserve"> Estos totales se remiten a la penúltima línea del cuadro 6-A.</w:t>
      </w:r>
    </w:p>
    <w:p w:rsidR="00000000" w:rsidRDefault="00000000">
      <w:pPr>
        <w:autoSpaceDE w:val="0"/>
        <w:autoSpaceDN w:val="0"/>
        <w:adjustRightInd w:val="0"/>
        <w:spacing w:after="180"/>
        <w:jc w:val="center"/>
        <w:rPr>
          <w:b/>
          <w:sz w:val="22"/>
        </w:rPr>
      </w:pPr>
      <w:r>
        <w:rPr>
          <w:b/>
          <w:sz w:val="22"/>
        </w:rPr>
        <w:t>Cuadro 7-A</w:t>
      </w:r>
    </w:p>
    <w:p w:rsidR="00000000" w:rsidRDefault="00000000">
      <w:pPr>
        <w:autoSpaceDE w:val="0"/>
        <w:autoSpaceDN w:val="0"/>
        <w:adjustRightInd w:val="0"/>
        <w:spacing w:after="180"/>
        <w:jc w:val="center"/>
        <w:rPr>
          <w:b/>
          <w:sz w:val="22"/>
        </w:rPr>
      </w:pPr>
      <w:r>
        <w:rPr>
          <w:b/>
          <w:sz w:val="22"/>
        </w:rPr>
        <w:t>Población carcelaria por establecimiento, ocupación y tasa de ocupación</w:t>
      </w:r>
      <w:r>
        <w:rPr>
          <w:b/>
          <w:sz w:val="22"/>
        </w:rPr>
        <w:br/>
        <w:t>(al 31 de diciembre de 2003 y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95"/>
        <w:gridCol w:w="1080"/>
        <w:gridCol w:w="1082"/>
        <w:gridCol w:w="1091"/>
        <w:gridCol w:w="1078"/>
        <w:gridCol w:w="1084"/>
        <w:gridCol w:w="1313"/>
      </w:tblGrid>
      <w:tr w:rsidR="00000000">
        <w:trPr>
          <w:cantSplit/>
          <w:tblHeader/>
          <w:jc w:val="center"/>
        </w:trPr>
        <w:tc>
          <w:tcPr>
            <w:tcW w:w="2595" w:type="dxa"/>
            <w:vMerge w:val="restart"/>
            <w:vAlign w:val="center"/>
          </w:tcPr>
          <w:p w:rsidR="00000000" w:rsidRDefault="00000000">
            <w:pPr>
              <w:jc w:val="center"/>
              <w:rPr>
                <w:sz w:val="22"/>
              </w:rPr>
            </w:pPr>
            <w:r>
              <w:rPr>
                <w:bCs/>
                <w:sz w:val="22"/>
              </w:rPr>
              <w:t>Establecimientos</w:t>
            </w:r>
          </w:p>
        </w:tc>
        <w:tc>
          <w:tcPr>
            <w:tcW w:w="3253" w:type="dxa"/>
            <w:gridSpan w:val="3"/>
            <w:vAlign w:val="center"/>
          </w:tcPr>
          <w:p w:rsidR="00000000" w:rsidRDefault="00000000">
            <w:pPr>
              <w:jc w:val="center"/>
              <w:rPr>
                <w:sz w:val="22"/>
              </w:rPr>
            </w:pPr>
            <w:r>
              <w:rPr>
                <w:sz w:val="22"/>
              </w:rPr>
              <w:t>2003</w:t>
            </w:r>
          </w:p>
        </w:tc>
        <w:tc>
          <w:tcPr>
            <w:tcW w:w="3475" w:type="dxa"/>
            <w:gridSpan w:val="3"/>
            <w:vAlign w:val="center"/>
          </w:tcPr>
          <w:p w:rsidR="00000000" w:rsidRDefault="00000000">
            <w:pPr>
              <w:jc w:val="center"/>
              <w:rPr>
                <w:b/>
                <w:bCs/>
                <w:sz w:val="22"/>
                <w:vertAlign w:val="superscript"/>
              </w:rPr>
            </w:pPr>
            <w:r>
              <w:rPr>
                <w:sz w:val="22"/>
              </w:rPr>
              <w:t>2004</w:t>
            </w:r>
            <w:r>
              <w:rPr>
                <w:b/>
                <w:bCs/>
                <w:sz w:val="22"/>
                <w:vertAlign w:val="superscript"/>
              </w:rPr>
              <w:t>a</w:t>
            </w:r>
          </w:p>
        </w:tc>
      </w:tr>
      <w:tr w:rsidR="00000000">
        <w:trPr>
          <w:cantSplit/>
          <w:tblHeader/>
          <w:jc w:val="center"/>
        </w:trPr>
        <w:tc>
          <w:tcPr>
            <w:tcW w:w="2595" w:type="dxa"/>
            <w:vMerge/>
            <w:vAlign w:val="center"/>
          </w:tcPr>
          <w:p w:rsidR="00000000" w:rsidRDefault="00000000">
            <w:pPr>
              <w:jc w:val="center"/>
              <w:rPr>
                <w:sz w:val="22"/>
              </w:rPr>
            </w:pPr>
          </w:p>
        </w:tc>
        <w:tc>
          <w:tcPr>
            <w:tcW w:w="1080" w:type="dxa"/>
            <w:vAlign w:val="center"/>
          </w:tcPr>
          <w:p w:rsidR="00000000" w:rsidRDefault="00000000">
            <w:pPr>
              <w:jc w:val="center"/>
              <w:rPr>
                <w:sz w:val="22"/>
              </w:rPr>
            </w:pPr>
            <w:r>
              <w:rPr>
                <w:bCs/>
                <w:sz w:val="22"/>
              </w:rPr>
              <w:t>Número de detenidos</w:t>
            </w:r>
          </w:p>
        </w:tc>
        <w:tc>
          <w:tcPr>
            <w:tcW w:w="1082" w:type="dxa"/>
            <w:vAlign w:val="center"/>
          </w:tcPr>
          <w:p w:rsidR="00000000" w:rsidRDefault="00000000">
            <w:pPr>
              <w:jc w:val="center"/>
              <w:rPr>
                <w:sz w:val="22"/>
              </w:rPr>
            </w:pPr>
            <w:r>
              <w:rPr>
                <w:sz w:val="22"/>
              </w:rPr>
              <w:t>Ocupación</w:t>
            </w:r>
          </w:p>
        </w:tc>
        <w:tc>
          <w:tcPr>
            <w:tcW w:w="1091" w:type="dxa"/>
            <w:vAlign w:val="center"/>
          </w:tcPr>
          <w:p w:rsidR="00000000" w:rsidRDefault="00000000">
            <w:pPr>
              <w:jc w:val="center"/>
              <w:rPr>
                <w:sz w:val="22"/>
              </w:rPr>
            </w:pPr>
            <w:r>
              <w:rPr>
                <w:sz w:val="22"/>
              </w:rPr>
              <w:t>Tasa de ocupación en %</w:t>
            </w:r>
          </w:p>
        </w:tc>
        <w:tc>
          <w:tcPr>
            <w:tcW w:w="1078" w:type="dxa"/>
            <w:vAlign w:val="center"/>
          </w:tcPr>
          <w:p w:rsidR="00000000" w:rsidRDefault="00000000">
            <w:pPr>
              <w:jc w:val="center"/>
              <w:rPr>
                <w:sz w:val="22"/>
              </w:rPr>
            </w:pPr>
            <w:r>
              <w:rPr>
                <w:bCs/>
                <w:sz w:val="22"/>
              </w:rPr>
              <w:t>Número de detenidos</w:t>
            </w:r>
          </w:p>
        </w:tc>
        <w:tc>
          <w:tcPr>
            <w:tcW w:w="1084" w:type="dxa"/>
            <w:vAlign w:val="center"/>
          </w:tcPr>
          <w:p w:rsidR="00000000" w:rsidRDefault="00000000">
            <w:pPr>
              <w:jc w:val="center"/>
              <w:rPr>
                <w:sz w:val="22"/>
              </w:rPr>
            </w:pPr>
            <w:r>
              <w:rPr>
                <w:sz w:val="22"/>
              </w:rPr>
              <w:t>Ocupación</w:t>
            </w:r>
          </w:p>
        </w:tc>
        <w:tc>
          <w:tcPr>
            <w:tcW w:w="1313" w:type="dxa"/>
            <w:vAlign w:val="center"/>
          </w:tcPr>
          <w:p w:rsidR="00000000" w:rsidRDefault="00000000">
            <w:pPr>
              <w:jc w:val="center"/>
              <w:rPr>
                <w:sz w:val="22"/>
              </w:rPr>
            </w:pPr>
            <w:r>
              <w:rPr>
                <w:sz w:val="22"/>
              </w:rPr>
              <w:t>Tasa de ocupación en %</w:t>
            </w:r>
          </w:p>
        </w:tc>
      </w:tr>
      <w:tr w:rsidR="00000000">
        <w:trPr>
          <w:cantSplit/>
          <w:tblHeader/>
          <w:jc w:val="center"/>
        </w:trPr>
        <w:tc>
          <w:tcPr>
            <w:tcW w:w="2595" w:type="dxa"/>
            <w:vAlign w:val="center"/>
          </w:tcPr>
          <w:p w:rsidR="00000000" w:rsidRDefault="00000000">
            <w:pPr>
              <w:rPr>
                <w:bCs/>
                <w:sz w:val="22"/>
              </w:rPr>
            </w:pPr>
            <w:r>
              <w:rPr>
                <w:bCs/>
                <w:sz w:val="22"/>
              </w:rPr>
              <w:t>Establecimientos centrales</w:t>
            </w:r>
          </w:p>
        </w:tc>
        <w:tc>
          <w:tcPr>
            <w:tcW w:w="1080" w:type="dxa"/>
            <w:vAlign w:val="bottom"/>
          </w:tcPr>
          <w:p w:rsidR="00000000" w:rsidRDefault="00000000">
            <w:pPr>
              <w:rPr>
                <w:sz w:val="22"/>
              </w:rPr>
            </w:pPr>
          </w:p>
        </w:tc>
        <w:tc>
          <w:tcPr>
            <w:tcW w:w="1082" w:type="dxa"/>
            <w:vAlign w:val="bottom"/>
          </w:tcPr>
          <w:p w:rsidR="00000000" w:rsidRDefault="00000000">
            <w:pPr>
              <w:rPr>
                <w:sz w:val="22"/>
              </w:rPr>
            </w:pPr>
          </w:p>
        </w:tc>
        <w:tc>
          <w:tcPr>
            <w:tcW w:w="1091" w:type="dxa"/>
            <w:vAlign w:val="bottom"/>
          </w:tcPr>
          <w:p w:rsidR="00000000" w:rsidRDefault="00000000">
            <w:pPr>
              <w:rPr>
                <w:sz w:val="22"/>
              </w:rPr>
            </w:pPr>
          </w:p>
        </w:tc>
        <w:tc>
          <w:tcPr>
            <w:tcW w:w="1078" w:type="dxa"/>
            <w:vAlign w:val="bottom"/>
          </w:tcPr>
          <w:p w:rsidR="00000000" w:rsidRDefault="00000000">
            <w:pPr>
              <w:rPr>
                <w:sz w:val="22"/>
              </w:rPr>
            </w:pPr>
          </w:p>
        </w:tc>
        <w:tc>
          <w:tcPr>
            <w:tcW w:w="1084" w:type="dxa"/>
            <w:vAlign w:val="bottom"/>
          </w:tcPr>
          <w:p w:rsidR="00000000" w:rsidRDefault="00000000">
            <w:pPr>
              <w:tabs>
                <w:tab w:val="decimal" w:pos="805"/>
              </w:tabs>
              <w:rPr>
                <w:sz w:val="22"/>
              </w:rPr>
            </w:pPr>
          </w:p>
        </w:tc>
        <w:tc>
          <w:tcPr>
            <w:tcW w:w="1313" w:type="dxa"/>
            <w:vAlign w:val="bottom"/>
          </w:tcPr>
          <w:p w:rsidR="00000000" w:rsidRDefault="00000000">
            <w:pPr>
              <w:rPr>
                <w:sz w:val="22"/>
              </w:rPr>
            </w:pPr>
          </w:p>
        </w:tc>
      </w:tr>
      <w:tr w:rsidR="00000000">
        <w:trPr>
          <w:cantSplit/>
          <w:tblHeader/>
          <w:jc w:val="center"/>
        </w:trPr>
        <w:tc>
          <w:tcPr>
            <w:tcW w:w="2595" w:type="dxa"/>
            <w:vAlign w:val="center"/>
          </w:tcPr>
          <w:p w:rsidR="00000000" w:rsidRDefault="00000000">
            <w:pPr>
              <w:rPr>
                <w:sz w:val="22"/>
              </w:rPr>
            </w:pPr>
            <w:r>
              <w:rPr>
                <w:sz w:val="22"/>
              </w:rPr>
              <w:t>Alcoentre</w:t>
            </w:r>
          </w:p>
        </w:tc>
        <w:tc>
          <w:tcPr>
            <w:tcW w:w="1080" w:type="dxa"/>
            <w:vAlign w:val="bottom"/>
          </w:tcPr>
          <w:p w:rsidR="00000000" w:rsidRDefault="00000000">
            <w:pPr>
              <w:tabs>
                <w:tab w:val="decimal" w:pos="805"/>
              </w:tabs>
              <w:rPr>
                <w:sz w:val="22"/>
              </w:rPr>
            </w:pPr>
            <w:r>
              <w:rPr>
                <w:sz w:val="22"/>
              </w:rPr>
              <w:t>714</w:t>
            </w:r>
          </w:p>
        </w:tc>
        <w:tc>
          <w:tcPr>
            <w:tcW w:w="1082" w:type="dxa"/>
            <w:vAlign w:val="bottom"/>
          </w:tcPr>
          <w:p w:rsidR="00000000" w:rsidRDefault="00000000">
            <w:pPr>
              <w:tabs>
                <w:tab w:val="decimal" w:pos="805"/>
              </w:tabs>
              <w:rPr>
                <w:sz w:val="22"/>
              </w:rPr>
            </w:pPr>
            <w:r>
              <w:rPr>
                <w:sz w:val="22"/>
              </w:rPr>
              <w:t>663</w:t>
            </w:r>
          </w:p>
        </w:tc>
        <w:tc>
          <w:tcPr>
            <w:tcW w:w="1091" w:type="dxa"/>
            <w:vAlign w:val="bottom"/>
          </w:tcPr>
          <w:p w:rsidR="00000000" w:rsidRDefault="00000000">
            <w:pPr>
              <w:tabs>
                <w:tab w:val="decimal" w:pos="603"/>
              </w:tabs>
              <w:rPr>
                <w:sz w:val="22"/>
              </w:rPr>
            </w:pPr>
            <w:r>
              <w:rPr>
                <w:sz w:val="22"/>
              </w:rPr>
              <w:t>107,7</w:t>
            </w:r>
          </w:p>
        </w:tc>
        <w:tc>
          <w:tcPr>
            <w:tcW w:w="1078" w:type="dxa"/>
            <w:vAlign w:val="bottom"/>
          </w:tcPr>
          <w:p w:rsidR="00000000" w:rsidRDefault="00000000">
            <w:pPr>
              <w:tabs>
                <w:tab w:val="decimal" w:pos="805"/>
              </w:tabs>
              <w:rPr>
                <w:sz w:val="22"/>
              </w:rPr>
            </w:pPr>
            <w:r>
              <w:rPr>
                <w:sz w:val="22"/>
              </w:rPr>
              <w:t>709</w:t>
            </w:r>
          </w:p>
        </w:tc>
        <w:tc>
          <w:tcPr>
            <w:tcW w:w="1084" w:type="dxa"/>
            <w:vAlign w:val="bottom"/>
          </w:tcPr>
          <w:p w:rsidR="00000000" w:rsidRDefault="00000000">
            <w:pPr>
              <w:tabs>
                <w:tab w:val="decimal" w:pos="805"/>
              </w:tabs>
              <w:rPr>
                <w:sz w:val="22"/>
              </w:rPr>
            </w:pPr>
            <w:r>
              <w:rPr>
                <w:sz w:val="22"/>
              </w:rPr>
              <w:t>663</w:t>
            </w:r>
          </w:p>
        </w:tc>
        <w:tc>
          <w:tcPr>
            <w:tcW w:w="1313" w:type="dxa"/>
            <w:vAlign w:val="bottom"/>
          </w:tcPr>
          <w:p w:rsidR="00000000" w:rsidRDefault="00000000">
            <w:pPr>
              <w:tabs>
                <w:tab w:val="decimal" w:pos="723"/>
              </w:tabs>
              <w:rPr>
                <w:sz w:val="22"/>
              </w:rPr>
            </w:pPr>
            <w:r>
              <w:rPr>
                <w:sz w:val="22"/>
              </w:rPr>
              <w:t>106,9</w:t>
            </w:r>
          </w:p>
        </w:tc>
      </w:tr>
      <w:tr w:rsidR="00000000">
        <w:trPr>
          <w:cantSplit/>
          <w:tblHeader/>
          <w:jc w:val="center"/>
        </w:trPr>
        <w:tc>
          <w:tcPr>
            <w:tcW w:w="2595" w:type="dxa"/>
            <w:vAlign w:val="center"/>
          </w:tcPr>
          <w:p w:rsidR="00000000" w:rsidRDefault="00000000">
            <w:pPr>
              <w:rPr>
                <w:sz w:val="22"/>
              </w:rPr>
            </w:pPr>
            <w:r>
              <w:rPr>
                <w:sz w:val="22"/>
              </w:rPr>
              <w:t>Carregueira</w:t>
            </w:r>
            <w:r>
              <w:rPr>
                <w:b/>
                <w:sz w:val="22"/>
                <w:vertAlign w:val="superscript"/>
              </w:rPr>
              <w:t>b</w:t>
            </w:r>
          </w:p>
        </w:tc>
        <w:tc>
          <w:tcPr>
            <w:tcW w:w="1080" w:type="dxa"/>
            <w:vAlign w:val="bottom"/>
          </w:tcPr>
          <w:p w:rsidR="00000000" w:rsidRDefault="00000000">
            <w:pPr>
              <w:tabs>
                <w:tab w:val="decimal" w:pos="805"/>
              </w:tabs>
              <w:rPr>
                <w:sz w:val="22"/>
              </w:rPr>
            </w:pPr>
            <w:r>
              <w:rPr>
                <w:sz w:val="22"/>
              </w:rPr>
              <w:t>347</w:t>
            </w:r>
          </w:p>
        </w:tc>
        <w:tc>
          <w:tcPr>
            <w:tcW w:w="1082" w:type="dxa"/>
            <w:vAlign w:val="bottom"/>
          </w:tcPr>
          <w:p w:rsidR="00000000" w:rsidRDefault="00000000">
            <w:pPr>
              <w:tabs>
                <w:tab w:val="decimal" w:pos="805"/>
              </w:tabs>
              <w:rPr>
                <w:sz w:val="22"/>
              </w:rPr>
            </w:pPr>
            <w:r>
              <w:rPr>
                <w:sz w:val="22"/>
              </w:rPr>
              <w:t>300</w:t>
            </w:r>
          </w:p>
        </w:tc>
        <w:tc>
          <w:tcPr>
            <w:tcW w:w="1091" w:type="dxa"/>
            <w:vAlign w:val="bottom"/>
          </w:tcPr>
          <w:p w:rsidR="00000000" w:rsidRDefault="00000000">
            <w:pPr>
              <w:tabs>
                <w:tab w:val="decimal" w:pos="603"/>
              </w:tabs>
              <w:rPr>
                <w:sz w:val="22"/>
              </w:rPr>
            </w:pPr>
            <w:r>
              <w:rPr>
                <w:sz w:val="22"/>
              </w:rPr>
              <w:t>115,7</w:t>
            </w:r>
          </w:p>
        </w:tc>
        <w:tc>
          <w:tcPr>
            <w:tcW w:w="1078" w:type="dxa"/>
            <w:vAlign w:val="bottom"/>
          </w:tcPr>
          <w:p w:rsidR="00000000" w:rsidRDefault="00000000">
            <w:pPr>
              <w:tabs>
                <w:tab w:val="decimal" w:pos="805"/>
              </w:tabs>
              <w:rPr>
                <w:sz w:val="22"/>
              </w:rPr>
            </w:pPr>
            <w:r>
              <w:rPr>
                <w:sz w:val="22"/>
              </w:rPr>
              <w:t>452</w:t>
            </w:r>
          </w:p>
        </w:tc>
        <w:tc>
          <w:tcPr>
            <w:tcW w:w="1084" w:type="dxa"/>
            <w:vAlign w:val="bottom"/>
          </w:tcPr>
          <w:p w:rsidR="00000000" w:rsidRDefault="00000000">
            <w:pPr>
              <w:tabs>
                <w:tab w:val="decimal" w:pos="805"/>
              </w:tabs>
              <w:rPr>
                <w:sz w:val="22"/>
              </w:rPr>
            </w:pPr>
            <w:r>
              <w:rPr>
                <w:sz w:val="22"/>
              </w:rPr>
              <w:t>450</w:t>
            </w:r>
          </w:p>
        </w:tc>
        <w:tc>
          <w:tcPr>
            <w:tcW w:w="1313" w:type="dxa"/>
            <w:vAlign w:val="bottom"/>
          </w:tcPr>
          <w:p w:rsidR="00000000" w:rsidRDefault="00000000">
            <w:pPr>
              <w:tabs>
                <w:tab w:val="decimal" w:pos="723"/>
              </w:tabs>
              <w:rPr>
                <w:sz w:val="22"/>
              </w:rPr>
            </w:pPr>
            <w:r>
              <w:rPr>
                <w:sz w:val="22"/>
              </w:rPr>
              <w:t>100,4</w:t>
            </w:r>
          </w:p>
        </w:tc>
      </w:tr>
      <w:tr w:rsidR="00000000">
        <w:trPr>
          <w:cantSplit/>
          <w:tblHeader/>
          <w:jc w:val="center"/>
        </w:trPr>
        <w:tc>
          <w:tcPr>
            <w:tcW w:w="2595" w:type="dxa"/>
            <w:vAlign w:val="center"/>
          </w:tcPr>
          <w:p w:rsidR="00000000" w:rsidRDefault="00000000">
            <w:pPr>
              <w:rPr>
                <w:sz w:val="22"/>
              </w:rPr>
            </w:pPr>
            <w:r>
              <w:rPr>
                <w:sz w:val="22"/>
              </w:rPr>
              <w:t>Castelo Branco</w:t>
            </w:r>
          </w:p>
        </w:tc>
        <w:tc>
          <w:tcPr>
            <w:tcW w:w="1080" w:type="dxa"/>
            <w:vAlign w:val="bottom"/>
          </w:tcPr>
          <w:p w:rsidR="00000000" w:rsidRDefault="00000000">
            <w:pPr>
              <w:tabs>
                <w:tab w:val="decimal" w:pos="805"/>
              </w:tabs>
              <w:rPr>
                <w:sz w:val="22"/>
              </w:rPr>
            </w:pPr>
            <w:r>
              <w:rPr>
                <w:sz w:val="22"/>
              </w:rPr>
              <w:t>90</w:t>
            </w:r>
          </w:p>
        </w:tc>
        <w:tc>
          <w:tcPr>
            <w:tcW w:w="1082" w:type="dxa"/>
            <w:vAlign w:val="bottom"/>
          </w:tcPr>
          <w:p w:rsidR="00000000" w:rsidRDefault="00000000">
            <w:pPr>
              <w:tabs>
                <w:tab w:val="decimal" w:pos="805"/>
              </w:tabs>
              <w:rPr>
                <w:sz w:val="22"/>
              </w:rPr>
            </w:pPr>
            <w:r>
              <w:rPr>
                <w:sz w:val="22"/>
              </w:rPr>
              <w:t>168</w:t>
            </w:r>
          </w:p>
        </w:tc>
        <w:tc>
          <w:tcPr>
            <w:tcW w:w="1091" w:type="dxa"/>
            <w:vAlign w:val="bottom"/>
          </w:tcPr>
          <w:p w:rsidR="00000000" w:rsidRDefault="00000000">
            <w:pPr>
              <w:tabs>
                <w:tab w:val="decimal" w:pos="603"/>
              </w:tabs>
              <w:rPr>
                <w:sz w:val="22"/>
              </w:rPr>
            </w:pPr>
            <w:r>
              <w:rPr>
                <w:sz w:val="22"/>
              </w:rPr>
              <w:t>53,6</w:t>
            </w:r>
          </w:p>
        </w:tc>
        <w:tc>
          <w:tcPr>
            <w:tcW w:w="1078" w:type="dxa"/>
            <w:vAlign w:val="bottom"/>
          </w:tcPr>
          <w:p w:rsidR="00000000" w:rsidRDefault="00000000">
            <w:pPr>
              <w:tabs>
                <w:tab w:val="decimal" w:pos="805"/>
              </w:tabs>
              <w:rPr>
                <w:sz w:val="22"/>
              </w:rPr>
            </w:pPr>
            <w:r>
              <w:rPr>
                <w:sz w:val="22"/>
              </w:rPr>
              <w:t>88</w:t>
            </w:r>
          </w:p>
        </w:tc>
        <w:tc>
          <w:tcPr>
            <w:tcW w:w="1084" w:type="dxa"/>
            <w:vAlign w:val="bottom"/>
          </w:tcPr>
          <w:p w:rsidR="00000000" w:rsidRDefault="00000000">
            <w:pPr>
              <w:tabs>
                <w:tab w:val="decimal" w:pos="805"/>
              </w:tabs>
              <w:rPr>
                <w:sz w:val="22"/>
              </w:rPr>
            </w:pPr>
            <w:r>
              <w:rPr>
                <w:sz w:val="22"/>
              </w:rPr>
              <w:t>168</w:t>
            </w:r>
          </w:p>
        </w:tc>
        <w:tc>
          <w:tcPr>
            <w:tcW w:w="1313" w:type="dxa"/>
            <w:vAlign w:val="bottom"/>
          </w:tcPr>
          <w:p w:rsidR="00000000" w:rsidRDefault="00000000">
            <w:pPr>
              <w:tabs>
                <w:tab w:val="decimal" w:pos="723"/>
              </w:tabs>
              <w:rPr>
                <w:sz w:val="22"/>
              </w:rPr>
            </w:pPr>
            <w:r>
              <w:rPr>
                <w:sz w:val="22"/>
              </w:rPr>
              <w:t>52,4</w:t>
            </w:r>
          </w:p>
        </w:tc>
      </w:tr>
      <w:tr w:rsidR="00000000">
        <w:trPr>
          <w:cantSplit/>
          <w:tblHeader/>
          <w:jc w:val="center"/>
        </w:trPr>
        <w:tc>
          <w:tcPr>
            <w:tcW w:w="2595" w:type="dxa"/>
            <w:vAlign w:val="center"/>
          </w:tcPr>
          <w:p w:rsidR="00000000" w:rsidRDefault="00000000">
            <w:pPr>
              <w:rPr>
                <w:sz w:val="22"/>
              </w:rPr>
            </w:pPr>
            <w:r>
              <w:rPr>
                <w:sz w:val="22"/>
              </w:rPr>
              <w:t>Caxias</w:t>
            </w:r>
          </w:p>
        </w:tc>
        <w:tc>
          <w:tcPr>
            <w:tcW w:w="1080" w:type="dxa"/>
            <w:vAlign w:val="bottom"/>
          </w:tcPr>
          <w:p w:rsidR="00000000" w:rsidRDefault="00000000">
            <w:pPr>
              <w:tabs>
                <w:tab w:val="decimal" w:pos="805"/>
              </w:tabs>
              <w:rPr>
                <w:sz w:val="22"/>
              </w:rPr>
            </w:pPr>
            <w:r>
              <w:rPr>
                <w:sz w:val="22"/>
              </w:rPr>
              <w:t>559</w:t>
            </w:r>
          </w:p>
        </w:tc>
        <w:tc>
          <w:tcPr>
            <w:tcW w:w="1082" w:type="dxa"/>
            <w:vAlign w:val="bottom"/>
          </w:tcPr>
          <w:p w:rsidR="00000000" w:rsidRDefault="00000000">
            <w:pPr>
              <w:tabs>
                <w:tab w:val="decimal" w:pos="805"/>
              </w:tabs>
              <w:rPr>
                <w:sz w:val="22"/>
              </w:rPr>
            </w:pPr>
            <w:r>
              <w:rPr>
                <w:sz w:val="22"/>
              </w:rPr>
              <w:t>474</w:t>
            </w:r>
          </w:p>
        </w:tc>
        <w:tc>
          <w:tcPr>
            <w:tcW w:w="1091" w:type="dxa"/>
            <w:vAlign w:val="bottom"/>
          </w:tcPr>
          <w:p w:rsidR="00000000" w:rsidRDefault="00000000">
            <w:pPr>
              <w:tabs>
                <w:tab w:val="decimal" w:pos="603"/>
              </w:tabs>
              <w:rPr>
                <w:sz w:val="22"/>
              </w:rPr>
            </w:pPr>
            <w:r>
              <w:rPr>
                <w:sz w:val="22"/>
              </w:rPr>
              <w:t>117,9</w:t>
            </w:r>
          </w:p>
        </w:tc>
        <w:tc>
          <w:tcPr>
            <w:tcW w:w="1078" w:type="dxa"/>
            <w:vAlign w:val="bottom"/>
          </w:tcPr>
          <w:p w:rsidR="00000000" w:rsidRDefault="00000000">
            <w:pPr>
              <w:tabs>
                <w:tab w:val="decimal" w:pos="805"/>
              </w:tabs>
              <w:rPr>
                <w:sz w:val="22"/>
              </w:rPr>
            </w:pPr>
            <w:r>
              <w:rPr>
                <w:sz w:val="22"/>
              </w:rPr>
              <w:t>559</w:t>
            </w:r>
          </w:p>
        </w:tc>
        <w:tc>
          <w:tcPr>
            <w:tcW w:w="1084" w:type="dxa"/>
            <w:vAlign w:val="bottom"/>
          </w:tcPr>
          <w:p w:rsidR="00000000" w:rsidRDefault="00000000">
            <w:pPr>
              <w:tabs>
                <w:tab w:val="decimal" w:pos="805"/>
              </w:tabs>
              <w:rPr>
                <w:sz w:val="22"/>
              </w:rPr>
            </w:pPr>
            <w:r>
              <w:rPr>
                <w:sz w:val="22"/>
              </w:rPr>
              <w:t>474</w:t>
            </w:r>
          </w:p>
        </w:tc>
        <w:tc>
          <w:tcPr>
            <w:tcW w:w="1313" w:type="dxa"/>
            <w:vAlign w:val="bottom"/>
          </w:tcPr>
          <w:p w:rsidR="00000000" w:rsidRDefault="00000000">
            <w:pPr>
              <w:tabs>
                <w:tab w:val="decimal" w:pos="723"/>
              </w:tabs>
              <w:rPr>
                <w:sz w:val="22"/>
              </w:rPr>
            </w:pPr>
            <w:r>
              <w:rPr>
                <w:sz w:val="22"/>
              </w:rPr>
              <w:t>117,9</w:t>
            </w:r>
          </w:p>
        </w:tc>
      </w:tr>
      <w:tr w:rsidR="00000000">
        <w:trPr>
          <w:cantSplit/>
          <w:tblHeader/>
          <w:jc w:val="center"/>
        </w:trPr>
        <w:tc>
          <w:tcPr>
            <w:tcW w:w="2595" w:type="dxa"/>
            <w:vAlign w:val="center"/>
          </w:tcPr>
          <w:p w:rsidR="00000000" w:rsidRDefault="00000000">
            <w:pPr>
              <w:rPr>
                <w:sz w:val="22"/>
              </w:rPr>
            </w:pPr>
            <w:r>
              <w:rPr>
                <w:sz w:val="22"/>
              </w:rPr>
              <w:t>Coimbra</w:t>
            </w:r>
          </w:p>
        </w:tc>
        <w:tc>
          <w:tcPr>
            <w:tcW w:w="1080" w:type="dxa"/>
            <w:vAlign w:val="bottom"/>
          </w:tcPr>
          <w:p w:rsidR="00000000" w:rsidRDefault="00000000">
            <w:pPr>
              <w:tabs>
                <w:tab w:val="decimal" w:pos="805"/>
              </w:tabs>
              <w:rPr>
                <w:sz w:val="22"/>
              </w:rPr>
            </w:pPr>
            <w:r>
              <w:rPr>
                <w:sz w:val="22"/>
              </w:rPr>
              <w:t>450</w:t>
            </w:r>
          </w:p>
        </w:tc>
        <w:tc>
          <w:tcPr>
            <w:tcW w:w="1082" w:type="dxa"/>
            <w:vAlign w:val="bottom"/>
          </w:tcPr>
          <w:p w:rsidR="00000000" w:rsidRDefault="00000000">
            <w:pPr>
              <w:tabs>
                <w:tab w:val="decimal" w:pos="805"/>
              </w:tabs>
              <w:rPr>
                <w:sz w:val="22"/>
              </w:rPr>
            </w:pPr>
            <w:r>
              <w:rPr>
                <w:sz w:val="22"/>
              </w:rPr>
              <w:t>421</w:t>
            </w:r>
          </w:p>
        </w:tc>
        <w:tc>
          <w:tcPr>
            <w:tcW w:w="1091" w:type="dxa"/>
            <w:vAlign w:val="bottom"/>
          </w:tcPr>
          <w:p w:rsidR="00000000" w:rsidRDefault="00000000">
            <w:pPr>
              <w:tabs>
                <w:tab w:val="decimal" w:pos="603"/>
              </w:tabs>
              <w:rPr>
                <w:sz w:val="22"/>
              </w:rPr>
            </w:pPr>
            <w:r>
              <w:rPr>
                <w:sz w:val="22"/>
              </w:rPr>
              <w:t>106,9</w:t>
            </w:r>
          </w:p>
        </w:tc>
        <w:tc>
          <w:tcPr>
            <w:tcW w:w="1078" w:type="dxa"/>
            <w:vAlign w:val="bottom"/>
          </w:tcPr>
          <w:p w:rsidR="00000000" w:rsidRDefault="00000000">
            <w:pPr>
              <w:tabs>
                <w:tab w:val="decimal" w:pos="805"/>
              </w:tabs>
              <w:rPr>
                <w:sz w:val="22"/>
              </w:rPr>
            </w:pPr>
            <w:r>
              <w:rPr>
                <w:sz w:val="22"/>
              </w:rPr>
              <w:t>395</w:t>
            </w:r>
          </w:p>
        </w:tc>
        <w:tc>
          <w:tcPr>
            <w:tcW w:w="1084" w:type="dxa"/>
            <w:vAlign w:val="bottom"/>
          </w:tcPr>
          <w:p w:rsidR="00000000" w:rsidRDefault="00000000">
            <w:pPr>
              <w:tabs>
                <w:tab w:val="decimal" w:pos="805"/>
              </w:tabs>
              <w:rPr>
                <w:sz w:val="22"/>
              </w:rPr>
            </w:pPr>
            <w:r>
              <w:rPr>
                <w:sz w:val="22"/>
              </w:rPr>
              <w:t>421</w:t>
            </w:r>
          </w:p>
        </w:tc>
        <w:tc>
          <w:tcPr>
            <w:tcW w:w="1313" w:type="dxa"/>
            <w:vAlign w:val="bottom"/>
          </w:tcPr>
          <w:p w:rsidR="00000000" w:rsidRDefault="00000000">
            <w:pPr>
              <w:tabs>
                <w:tab w:val="decimal" w:pos="723"/>
              </w:tabs>
              <w:rPr>
                <w:sz w:val="22"/>
              </w:rPr>
            </w:pPr>
            <w:r>
              <w:rPr>
                <w:sz w:val="22"/>
              </w:rPr>
              <w:t>93,8</w:t>
            </w:r>
          </w:p>
        </w:tc>
      </w:tr>
      <w:tr w:rsidR="00000000">
        <w:trPr>
          <w:cantSplit/>
          <w:tblHeader/>
          <w:jc w:val="center"/>
        </w:trPr>
        <w:tc>
          <w:tcPr>
            <w:tcW w:w="2595" w:type="dxa"/>
            <w:vAlign w:val="center"/>
          </w:tcPr>
          <w:p w:rsidR="00000000" w:rsidRDefault="00000000">
            <w:pPr>
              <w:rPr>
                <w:sz w:val="22"/>
              </w:rPr>
            </w:pPr>
            <w:r>
              <w:rPr>
                <w:sz w:val="22"/>
              </w:rPr>
              <w:t>Funchal</w:t>
            </w:r>
          </w:p>
        </w:tc>
        <w:tc>
          <w:tcPr>
            <w:tcW w:w="1080" w:type="dxa"/>
            <w:vAlign w:val="bottom"/>
          </w:tcPr>
          <w:p w:rsidR="00000000" w:rsidRDefault="00000000">
            <w:pPr>
              <w:tabs>
                <w:tab w:val="decimal" w:pos="805"/>
              </w:tabs>
              <w:rPr>
                <w:sz w:val="22"/>
              </w:rPr>
            </w:pPr>
            <w:r>
              <w:rPr>
                <w:sz w:val="22"/>
              </w:rPr>
              <w:t>329</w:t>
            </w:r>
          </w:p>
        </w:tc>
        <w:tc>
          <w:tcPr>
            <w:tcW w:w="1082" w:type="dxa"/>
            <w:vAlign w:val="bottom"/>
          </w:tcPr>
          <w:p w:rsidR="00000000" w:rsidRDefault="00000000">
            <w:pPr>
              <w:tabs>
                <w:tab w:val="decimal" w:pos="805"/>
              </w:tabs>
              <w:rPr>
                <w:sz w:val="22"/>
              </w:rPr>
            </w:pPr>
            <w:r>
              <w:rPr>
                <w:sz w:val="22"/>
              </w:rPr>
              <w:t>349</w:t>
            </w:r>
          </w:p>
        </w:tc>
        <w:tc>
          <w:tcPr>
            <w:tcW w:w="1091" w:type="dxa"/>
            <w:vAlign w:val="bottom"/>
          </w:tcPr>
          <w:p w:rsidR="00000000" w:rsidRDefault="00000000">
            <w:pPr>
              <w:tabs>
                <w:tab w:val="decimal" w:pos="603"/>
              </w:tabs>
              <w:rPr>
                <w:sz w:val="22"/>
              </w:rPr>
            </w:pPr>
            <w:r>
              <w:rPr>
                <w:sz w:val="22"/>
              </w:rPr>
              <w:t>94,3</w:t>
            </w:r>
          </w:p>
        </w:tc>
        <w:tc>
          <w:tcPr>
            <w:tcW w:w="1078" w:type="dxa"/>
            <w:vAlign w:val="bottom"/>
          </w:tcPr>
          <w:p w:rsidR="00000000" w:rsidRDefault="00000000">
            <w:pPr>
              <w:tabs>
                <w:tab w:val="decimal" w:pos="805"/>
              </w:tabs>
              <w:rPr>
                <w:sz w:val="22"/>
              </w:rPr>
            </w:pPr>
            <w:r>
              <w:rPr>
                <w:sz w:val="22"/>
              </w:rPr>
              <w:t>314</w:t>
            </w:r>
          </w:p>
        </w:tc>
        <w:tc>
          <w:tcPr>
            <w:tcW w:w="1084" w:type="dxa"/>
            <w:vAlign w:val="bottom"/>
          </w:tcPr>
          <w:p w:rsidR="00000000" w:rsidRDefault="00000000">
            <w:pPr>
              <w:tabs>
                <w:tab w:val="decimal" w:pos="805"/>
              </w:tabs>
              <w:rPr>
                <w:sz w:val="22"/>
              </w:rPr>
            </w:pPr>
            <w:r>
              <w:rPr>
                <w:sz w:val="22"/>
              </w:rPr>
              <w:t>349</w:t>
            </w:r>
          </w:p>
        </w:tc>
        <w:tc>
          <w:tcPr>
            <w:tcW w:w="1313" w:type="dxa"/>
            <w:vAlign w:val="bottom"/>
          </w:tcPr>
          <w:p w:rsidR="00000000" w:rsidRDefault="00000000">
            <w:pPr>
              <w:tabs>
                <w:tab w:val="decimal" w:pos="723"/>
              </w:tabs>
              <w:rPr>
                <w:sz w:val="22"/>
              </w:rPr>
            </w:pPr>
            <w:r>
              <w:rPr>
                <w:sz w:val="22"/>
              </w:rPr>
              <w:t>90,0</w:t>
            </w:r>
          </w:p>
        </w:tc>
      </w:tr>
      <w:tr w:rsidR="00000000">
        <w:trPr>
          <w:cantSplit/>
          <w:tblHeader/>
          <w:jc w:val="center"/>
        </w:trPr>
        <w:tc>
          <w:tcPr>
            <w:tcW w:w="2595" w:type="dxa"/>
            <w:vAlign w:val="center"/>
          </w:tcPr>
          <w:p w:rsidR="00000000" w:rsidRDefault="00000000">
            <w:pPr>
              <w:rPr>
                <w:sz w:val="22"/>
              </w:rPr>
            </w:pPr>
            <w:r>
              <w:rPr>
                <w:sz w:val="22"/>
              </w:rPr>
              <w:t>Izeda</w:t>
            </w:r>
          </w:p>
        </w:tc>
        <w:tc>
          <w:tcPr>
            <w:tcW w:w="1080" w:type="dxa"/>
            <w:vAlign w:val="bottom"/>
          </w:tcPr>
          <w:p w:rsidR="00000000" w:rsidRDefault="00000000">
            <w:pPr>
              <w:tabs>
                <w:tab w:val="decimal" w:pos="805"/>
              </w:tabs>
              <w:rPr>
                <w:sz w:val="22"/>
              </w:rPr>
            </w:pPr>
            <w:r>
              <w:rPr>
                <w:sz w:val="22"/>
              </w:rPr>
              <w:t>220</w:t>
            </w:r>
          </w:p>
        </w:tc>
        <w:tc>
          <w:tcPr>
            <w:tcW w:w="1082" w:type="dxa"/>
            <w:vAlign w:val="bottom"/>
          </w:tcPr>
          <w:p w:rsidR="00000000" w:rsidRDefault="00000000">
            <w:pPr>
              <w:tabs>
                <w:tab w:val="decimal" w:pos="805"/>
              </w:tabs>
              <w:rPr>
                <w:sz w:val="22"/>
              </w:rPr>
            </w:pPr>
            <w:r>
              <w:rPr>
                <w:sz w:val="22"/>
              </w:rPr>
              <w:t>289</w:t>
            </w:r>
          </w:p>
        </w:tc>
        <w:tc>
          <w:tcPr>
            <w:tcW w:w="1091" w:type="dxa"/>
            <w:vAlign w:val="bottom"/>
          </w:tcPr>
          <w:p w:rsidR="00000000" w:rsidRDefault="00000000">
            <w:pPr>
              <w:tabs>
                <w:tab w:val="decimal" w:pos="603"/>
              </w:tabs>
              <w:rPr>
                <w:sz w:val="22"/>
              </w:rPr>
            </w:pPr>
            <w:r>
              <w:rPr>
                <w:sz w:val="22"/>
              </w:rPr>
              <w:t>76,1</w:t>
            </w:r>
          </w:p>
        </w:tc>
        <w:tc>
          <w:tcPr>
            <w:tcW w:w="1078" w:type="dxa"/>
            <w:vAlign w:val="bottom"/>
          </w:tcPr>
          <w:p w:rsidR="00000000" w:rsidRDefault="00000000">
            <w:pPr>
              <w:tabs>
                <w:tab w:val="decimal" w:pos="805"/>
              </w:tabs>
              <w:rPr>
                <w:sz w:val="22"/>
              </w:rPr>
            </w:pPr>
            <w:r>
              <w:rPr>
                <w:sz w:val="22"/>
              </w:rPr>
              <w:t>250</w:t>
            </w:r>
          </w:p>
        </w:tc>
        <w:tc>
          <w:tcPr>
            <w:tcW w:w="1084" w:type="dxa"/>
            <w:vAlign w:val="bottom"/>
          </w:tcPr>
          <w:p w:rsidR="00000000" w:rsidRDefault="00000000">
            <w:pPr>
              <w:tabs>
                <w:tab w:val="decimal" w:pos="805"/>
              </w:tabs>
              <w:rPr>
                <w:sz w:val="22"/>
              </w:rPr>
            </w:pPr>
            <w:r>
              <w:rPr>
                <w:sz w:val="22"/>
              </w:rPr>
              <w:t>289</w:t>
            </w:r>
          </w:p>
        </w:tc>
        <w:tc>
          <w:tcPr>
            <w:tcW w:w="1313" w:type="dxa"/>
            <w:vAlign w:val="bottom"/>
          </w:tcPr>
          <w:p w:rsidR="00000000" w:rsidRDefault="00000000">
            <w:pPr>
              <w:tabs>
                <w:tab w:val="decimal" w:pos="723"/>
              </w:tabs>
              <w:rPr>
                <w:sz w:val="22"/>
              </w:rPr>
            </w:pPr>
            <w:r>
              <w:rPr>
                <w:sz w:val="22"/>
              </w:rPr>
              <w:t>86,5</w:t>
            </w:r>
          </w:p>
        </w:tc>
      </w:tr>
      <w:tr w:rsidR="00000000">
        <w:trPr>
          <w:cantSplit/>
          <w:tblHeader/>
          <w:jc w:val="center"/>
        </w:trPr>
        <w:tc>
          <w:tcPr>
            <w:tcW w:w="2595" w:type="dxa"/>
            <w:vAlign w:val="center"/>
          </w:tcPr>
          <w:p w:rsidR="00000000" w:rsidRDefault="00000000">
            <w:pPr>
              <w:rPr>
                <w:sz w:val="22"/>
              </w:rPr>
            </w:pPr>
            <w:r>
              <w:rPr>
                <w:sz w:val="22"/>
              </w:rPr>
              <w:t>Linhó</w:t>
            </w:r>
          </w:p>
        </w:tc>
        <w:tc>
          <w:tcPr>
            <w:tcW w:w="1080" w:type="dxa"/>
            <w:vAlign w:val="bottom"/>
          </w:tcPr>
          <w:p w:rsidR="00000000" w:rsidRDefault="00000000">
            <w:pPr>
              <w:tabs>
                <w:tab w:val="decimal" w:pos="805"/>
              </w:tabs>
              <w:rPr>
                <w:sz w:val="22"/>
              </w:rPr>
            </w:pPr>
            <w:r>
              <w:rPr>
                <w:sz w:val="22"/>
              </w:rPr>
              <w:t>636</w:t>
            </w:r>
          </w:p>
        </w:tc>
        <w:tc>
          <w:tcPr>
            <w:tcW w:w="1082" w:type="dxa"/>
            <w:vAlign w:val="bottom"/>
          </w:tcPr>
          <w:p w:rsidR="00000000" w:rsidRDefault="00000000">
            <w:pPr>
              <w:tabs>
                <w:tab w:val="decimal" w:pos="805"/>
              </w:tabs>
              <w:rPr>
                <w:sz w:val="22"/>
              </w:rPr>
            </w:pPr>
            <w:r>
              <w:rPr>
                <w:sz w:val="22"/>
              </w:rPr>
              <w:t>584</w:t>
            </w:r>
          </w:p>
        </w:tc>
        <w:tc>
          <w:tcPr>
            <w:tcW w:w="1091" w:type="dxa"/>
            <w:vAlign w:val="bottom"/>
          </w:tcPr>
          <w:p w:rsidR="00000000" w:rsidRDefault="00000000">
            <w:pPr>
              <w:tabs>
                <w:tab w:val="decimal" w:pos="603"/>
              </w:tabs>
              <w:rPr>
                <w:sz w:val="22"/>
              </w:rPr>
            </w:pPr>
            <w:r>
              <w:rPr>
                <w:sz w:val="22"/>
              </w:rPr>
              <w:t>108,9</w:t>
            </w:r>
          </w:p>
        </w:tc>
        <w:tc>
          <w:tcPr>
            <w:tcW w:w="1078" w:type="dxa"/>
            <w:vAlign w:val="bottom"/>
          </w:tcPr>
          <w:p w:rsidR="00000000" w:rsidRDefault="00000000">
            <w:pPr>
              <w:tabs>
                <w:tab w:val="decimal" w:pos="805"/>
              </w:tabs>
              <w:rPr>
                <w:sz w:val="22"/>
              </w:rPr>
            </w:pPr>
            <w:r>
              <w:rPr>
                <w:sz w:val="22"/>
              </w:rPr>
              <w:t>635</w:t>
            </w:r>
          </w:p>
        </w:tc>
        <w:tc>
          <w:tcPr>
            <w:tcW w:w="1084" w:type="dxa"/>
            <w:vAlign w:val="bottom"/>
          </w:tcPr>
          <w:p w:rsidR="00000000" w:rsidRDefault="00000000">
            <w:pPr>
              <w:tabs>
                <w:tab w:val="decimal" w:pos="805"/>
              </w:tabs>
              <w:rPr>
                <w:sz w:val="22"/>
              </w:rPr>
            </w:pPr>
            <w:r>
              <w:rPr>
                <w:sz w:val="22"/>
              </w:rPr>
              <w:t>584</w:t>
            </w:r>
          </w:p>
        </w:tc>
        <w:tc>
          <w:tcPr>
            <w:tcW w:w="1313" w:type="dxa"/>
            <w:vAlign w:val="bottom"/>
          </w:tcPr>
          <w:p w:rsidR="00000000" w:rsidRDefault="00000000">
            <w:pPr>
              <w:tabs>
                <w:tab w:val="decimal" w:pos="723"/>
              </w:tabs>
              <w:rPr>
                <w:sz w:val="22"/>
              </w:rPr>
            </w:pPr>
            <w:r>
              <w:rPr>
                <w:sz w:val="22"/>
              </w:rPr>
              <w:t>108,7</w:t>
            </w:r>
          </w:p>
        </w:tc>
      </w:tr>
      <w:tr w:rsidR="00000000">
        <w:trPr>
          <w:cantSplit/>
          <w:tblHeader/>
          <w:jc w:val="center"/>
        </w:trPr>
        <w:tc>
          <w:tcPr>
            <w:tcW w:w="2595" w:type="dxa"/>
            <w:vAlign w:val="center"/>
          </w:tcPr>
          <w:p w:rsidR="00000000" w:rsidRDefault="00000000">
            <w:pPr>
              <w:rPr>
                <w:sz w:val="22"/>
              </w:rPr>
            </w:pPr>
            <w:r>
              <w:rPr>
                <w:sz w:val="22"/>
              </w:rPr>
              <w:t>Lisboa</w:t>
            </w:r>
          </w:p>
        </w:tc>
        <w:tc>
          <w:tcPr>
            <w:tcW w:w="1080" w:type="dxa"/>
            <w:vAlign w:val="bottom"/>
          </w:tcPr>
          <w:p w:rsidR="00000000" w:rsidRDefault="00000000">
            <w:pPr>
              <w:tabs>
                <w:tab w:val="decimal" w:pos="805"/>
              </w:tabs>
              <w:rPr>
                <w:sz w:val="22"/>
              </w:rPr>
            </w:pPr>
            <w:r>
              <w:rPr>
                <w:sz w:val="22"/>
              </w:rPr>
              <w:t>1.120</w:t>
            </w:r>
          </w:p>
        </w:tc>
        <w:tc>
          <w:tcPr>
            <w:tcW w:w="1082" w:type="dxa"/>
            <w:vAlign w:val="bottom"/>
          </w:tcPr>
          <w:p w:rsidR="00000000" w:rsidRDefault="00000000">
            <w:pPr>
              <w:tabs>
                <w:tab w:val="decimal" w:pos="805"/>
              </w:tabs>
              <w:rPr>
                <w:sz w:val="22"/>
              </w:rPr>
            </w:pPr>
            <w:r>
              <w:rPr>
                <w:sz w:val="22"/>
              </w:rPr>
              <w:t>887</w:t>
            </w:r>
          </w:p>
        </w:tc>
        <w:tc>
          <w:tcPr>
            <w:tcW w:w="1091" w:type="dxa"/>
            <w:vAlign w:val="bottom"/>
          </w:tcPr>
          <w:p w:rsidR="00000000" w:rsidRDefault="00000000">
            <w:pPr>
              <w:tabs>
                <w:tab w:val="decimal" w:pos="603"/>
              </w:tabs>
              <w:rPr>
                <w:sz w:val="22"/>
              </w:rPr>
            </w:pPr>
            <w:r>
              <w:rPr>
                <w:sz w:val="22"/>
              </w:rPr>
              <w:t>126,3</w:t>
            </w:r>
          </w:p>
        </w:tc>
        <w:tc>
          <w:tcPr>
            <w:tcW w:w="1078" w:type="dxa"/>
            <w:vAlign w:val="bottom"/>
          </w:tcPr>
          <w:p w:rsidR="00000000" w:rsidRDefault="00000000">
            <w:pPr>
              <w:tabs>
                <w:tab w:val="decimal" w:pos="805"/>
              </w:tabs>
              <w:rPr>
                <w:sz w:val="22"/>
              </w:rPr>
            </w:pPr>
            <w:r>
              <w:rPr>
                <w:sz w:val="22"/>
              </w:rPr>
              <w:t>1.131</w:t>
            </w:r>
          </w:p>
        </w:tc>
        <w:tc>
          <w:tcPr>
            <w:tcW w:w="1084" w:type="dxa"/>
            <w:vAlign w:val="bottom"/>
          </w:tcPr>
          <w:p w:rsidR="00000000" w:rsidRDefault="00000000">
            <w:pPr>
              <w:tabs>
                <w:tab w:val="decimal" w:pos="805"/>
              </w:tabs>
              <w:rPr>
                <w:sz w:val="22"/>
              </w:rPr>
            </w:pPr>
            <w:r>
              <w:rPr>
                <w:sz w:val="22"/>
              </w:rPr>
              <w:t>887</w:t>
            </w:r>
          </w:p>
        </w:tc>
        <w:tc>
          <w:tcPr>
            <w:tcW w:w="1313" w:type="dxa"/>
            <w:vAlign w:val="bottom"/>
          </w:tcPr>
          <w:p w:rsidR="00000000" w:rsidRDefault="00000000">
            <w:pPr>
              <w:tabs>
                <w:tab w:val="decimal" w:pos="723"/>
              </w:tabs>
              <w:rPr>
                <w:sz w:val="22"/>
              </w:rPr>
            </w:pPr>
            <w:r>
              <w:rPr>
                <w:sz w:val="22"/>
              </w:rPr>
              <w:t>127,5</w:t>
            </w:r>
          </w:p>
        </w:tc>
      </w:tr>
      <w:tr w:rsidR="00000000">
        <w:trPr>
          <w:cantSplit/>
          <w:tblHeader/>
          <w:jc w:val="center"/>
        </w:trPr>
        <w:tc>
          <w:tcPr>
            <w:tcW w:w="2595" w:type="dxa"/>
            <w:vAlign w:val="center"/>
          </w:tcPr>
          <w:p w:rsidR="00000000" w:rsidRDefault="00000000">
            <w:pPr>
              <w:rPr>
                <w:sz w:val="22"/>
              </w:rPr>
            </w:pPr>
            <w:r>
              <w:rPr>
                <w:sz w:val="22"/>
              </w:rPr>
              <w:t>Monsanto</w:t>
            </w:r>
          </w:p>
        </w:tc>
        <w:tc>
          <w:tcPr>
            <w:tcW w:w="1080" w:type="dxa"/>
            <w:vAlign w:val="bottom"/>
          </w:tcPr>
          <w:p w:rsidR="00000000" w:rsidRDefault="00000000">
            <w:pPr>
              <w:tabs>
                <w:tab w:val="decimal" w:pos="805"/>
              </w:tabs>
              <w:rPr>
                <w:sz w:val="22"/>
              </w:rPr>
            </w:pPr>
            <w:r>
              <w:rPr>
                <w:sz w:val="22"/>
              </w:rPr>
              <w:t>166</w:t>
            </w:r>
          </w:p>
        </w:tc>
        <w:tc>
          <w:tcPr>
            <w:tcW w:w="1082" w:type="dxa"/>
            <w:vAlign w:val="bottom"/>
          </w:tcPr>
          <w:p w:rsidR="00000000" w:rsidRDefault="00000000">
            <w:pPr>
              <w:tabs>
                <w:tab w:val="decimal" w:pos="805"/>
              </w:tabs>
              <w:rPr>
                <w:sz w:val="22"/>
              </w:rPr>
            </w:pPr>
            <w:r>
              <w:rPr>
                <w:sz w:val="22"/>
              </w:rPr>
              <w:t>166</w:t>
            </w:r>
          </w:p>
        </w:tc>
        <w:tc>
          <w:tcPr>
            <w:tcW w:w="1091" w:type="dxa"/>
            <w:vAlign w:val="bottom"/>
          </w:tcPr>
          <w:p w:rsidR="00000000" w:rsidRDefault="00000000">
            <w:pPr>
              <w:tabs>
                <w:tab w:val="decimal" w:pos="603"/>
              </w:tabs>
              <w:rPr>
                <w:sz w:val="22"/>
              </w:rPr>
            </w:pPr>
            <w:r>
              <w:rPr>
                <w:sz w:val="22"/>
              </w:rPr>
              <w:t>100,0</w:t>
            </w:r>
          </w:p>
        </w:tc>
        <w:tc>
          <w:tcPr>
            <w:tcW w:w="1078" w:type="dxa"/>
            <w:vAlign w:val="bottom"/>
          </w:tcPr>
          <w:p w:rsidR="00000000" w:rsidRDefault="00000000">
            <w:pPr>
              <w:tabs>
                <w:tab w:val="decimal" w:pos="805"/>
              </w:tabs>
              <w:rPr>
                <w:sz w:val="22"/>
              </w:rPr>
            </w:pPr>
            <w:r>
              <w:rPr>
                <w:sz w:val="22"/>
              </w:rPr>
              <w:t>56</w:t>
            </w:r>
          </w:p>
        </w:tc>
        <w:tc>
          <w:tcPr>
            <w:tcW w:w="1084" w:type="dxa"/>
            <w:vAlign w:val="bottom"/>
          </w:tcPr>
          <w:p w:rsidR="00000000" w:rsidRDefault="00000000">
            <w:pPr>
              <w:tabs>
                <w:tab w:val="decimal" w:pos="805"/>
              </w:tabs>
              <w:rPr>
                <w:sz w:val="22"/>
              </w:rPr>
            </w:pPr>
            <w:r>
              <w:rPr>
                <w:sz w:val="22"/>
              </w:rPr>
              <w:t>166</w:t>
            </w:r>
          </w:p>
        </w:tc>
        <w:tc>
          <w:tcPr>
            <w:tcW w:w="1313" w:type="dxa"/>
            <w:vAlign w:val="bottom"/>
          </w:tcPr>
          <w:p w:rsidR="00000000" w:rsidRDefault="00000000">
            <w:pPr>
              <w:tabs>
                <w:tab w:val="decimal" w:pos="723"/>
              </w:tabs>
              <w:rPr>
                <w:sz w:val="22"/>
              </w:rPr>
            </w:pPr>
            <w:r>
              <w:rPr>
                <w:sz w:val="22"/>
              </w:rPr>
              <w:t>33,7</w:t>
            </w:r>
          </w:p>
        </w:tc>
      </w:tr>
      <w:tr w:rsidR="00000000">
        <w:trPr>
          <w:cantSplit/>
          <w:tblHeader/>
          <w:jc w:val="center"/>
        </w:trPr>
        <w:tc>
          <w:tcPr>
            <w:tcW w:w="2595" w:type="dxa"/>
            <w:vAlign w:val="center"/>
          </w:tcPr>
          <w:p w:rsidR="00000000" w:rsidRDefault="00000000">
            <w:pPr>
              <w:rPr>
                <w:sz w:val="22"/>
              </w:rPr>
            </w:pPr>
            <w:r>
              <w:rPr>
                <w:sz w:val="22"/>
              </w:rPr>
              <w:t>Paços de Ferreira</w:t>
            </w:r>
          </w:p>
        </w:tc>
        <w:tc>
          <w:tcPr>
            <w:tcW w:w="1080" w:type="dxa"/>
            <w:vAlign w:val="bottom"/>
          </w:tcPr>
          <w:p w:rsidR="00000000" w:rsidRDefault="00000000">
            <w:pPr>
              <w:tabs>
                <w:tab w:val="decimal" w:pos="805"/>
              </w:tabs>
              <w:rPr>
                <w:sz w:val="22"/>
              </w:rPr>
            </w:pPr>
            <w:r>
              <w:rPr>
                <w:sz w:val="22"/>
              </w:rPr>
              <w:t>842</w:t>
            </w:r>
          </w:p>
        </w:tc>
        <w:tc>
          <w:tcPr>
            <w:tcW w:w="1082" w:type="dxa"/>
            <w:vAlign w:val="bottom"/>
          </w:tcPr>
          <w:p w:rsidR="00000000" w:rsidRDefault="00000000">
            <w:pPr>
              <w:tabs>
                <w:tab w:val="decimal" w:pos="805"/>
              </w:tabs>
              <w:rPr>
                <w:sz w:val="22"/>
              </w:rPr>
            </w:pPr>
            <w:r>
              <w:rPr>
                <w:sz w:val="22"/>
              </w:rPr>
              <w:t>870</w:t>
            </w:r>
          </w:p>
        </w:tc>
        <w:tc>
          <w:tcPr>
            <w:tcW w:w="1091" w:type="dxa"/>
            <w:vAlign w:val="bottom"/>
          </w:tcPr>
          <w:p w:rsidR="00000000" w:rsidRDefault="00000000">
            <w:pPr>
              <w:tabs>
                <w:tab w:val="decimal" w:pos="603"/>
              </w:tabs>
              <w:rPr>
                <w:sz w:val="22"/>
              </w:rPr>
            </w:pPr>
            <w:r>
              <w:rPr>
                <w:sz w:val="22"/>
              </w:rPr>
              <w:t>96,8</w:t>
            </w:r>
          </w:p>
        </w:tc>
        <w:tc>
          <w:tcPr>
            <w:tcW w:w="1078" w:type="dxa"/>
            <w:vAlign w:val="bottom"/>
          </w:tcPr>
          <w:p w:rsidR="00000000" w:rsidRDefault="00000000">
            <w:pPr>
              <w:tabs>
                <w:tab w:val="decimal" w:pos="805"/>
              </w:tabs>
              <w:rPr>
                <w:sz w:val="22"/>
              </w:rPr>
            </w:pPr>
            <w:r>
              <w:rPr>
                <w:sz w:val="22"/>
              </w:rPr>
              <w:t>850</w:t>
            </w:r>
          </w:p>
        </w:tc>
        <w:tc>
          <w:tcPr>
            <w:tcW w:w="1084" w:type="dxa"/>
            <w:vAlign w:val="bottom"/>
          </w:tcPr>
          <w:p w:rsidR="00000000" w:rsidRDefault="00000000">
            <w:pPr>
              <w:tabs>
                <w:tab w:val="decimal" w:pos="805"/>
              </w:tabs>
              <w:rPr>
                <w:sz w:val="22"/>
              </w:rPr>
            </w:pPr>
            <w:r>
              <w:rPr>
                <w:sz w:val="22"/>
              </w:rPr>
              <w:t>870</w:t>
            </w:r>
          </w:p>
        </w:tc>
        <w:tc>
          <w:tcPr>
            <w:tcW w:w="1313" w:type="dxa"/>
            <w:vAlign w:val="bottom"/>
          </w:tcPr>
          <w:p w:rsidR="00000000" w:rsidRDefault="00000000">
            <w:pPr>
              <w:tabs>
                <w:tab w:val="decimal" w:pos="723"/>
              </w:tabs>
              <w:rPr>
                <w:sz w:val="22"/>
              </w:rPr>
            </w:pPr>
            <w:r>
              <w:rPr>
                <w:sz w:val="22"/>
              </w:rPr>
              <w:t>97,7</w:t>
            </w:r>
          </w:p>
        </w:tc>
      </w:tr>
      <w:tr w:rsidR="00000000">
        <w:trPr>
          <w:cantSplit/>
          <w:tblHeader/>
          <w:jc w:val="center"/>
        </w:trPr>
        <w:tc>
          <w:tcPr>
            <w:tcW w:w="2595" w:type="dxa"/>
            <w:vAlign w:val="center"/>
          </w:tcPr>
          <w:p w:rsidR="00000000" w:rsidRDefault="00000000">
            <w:pPr>
              <w:rPr>
                <w:sz w:val="22"/>
              </w:rPr>
            </w:pPr>
            <w:r>
              <w:rPr>
                <w:sz w:val="22"/>
              </w:rPr>
              <w:t>P. da Cruz</w:t>
            </w:r>
          </w:p>
        </w:tc>
        <w:tc>
          <w:tcPr>
            <w:tcW w:w="1080" w:type="dxa"/>
            <w:vAlign w:val="bottom"/>
          </w:tcPr>
          <w:p w:rsidR="00000000" w:rsidRDefault="00000000">
            <w:pPr>
              <w:tabs>
                <w:tab w:val="decimal" w:pos="805"/>
              </w:tabs>
              <w:rPr>
                <w:sz w:val="22"/>
              </w:rPr>
            </w:pPr>
            <w:r>
              <w:rPr>
                <w:sz w:val="22"/>
              </w:rPr>
              <w:t>649</w:t>
            </w:r>
          </w:p>
        </w:tc>
        <w:tc>
          <w:tcPr>
            <w:tcW w:w="1082" w:type="dxa"/>
            <w:vAlign w:val="bottom"/>
          </w:tcPr>
          <w:p w:rsidR="00000000" w:rsidRDefault="00000000">
            <w:pPr>
              <w:tabs>
                <w:tab w:val="decimal" w:pos="805"/>
              </w:tabs>
              <w:rPr>
                <w:sz w:val="22"/>
              </w:rPr>
            </w:pPr>
            <w:r>
              <w:rPr>
                <w:sz w:val="22"/>
              </w:rPr>
              <w:t>737</w:t>
            </w:r>
          </w:p>
        </w:tc>
        <w:tc>
          <w:tcPr>
            <w:tcW w:w="1091" w:type="dxa"/>
            <w:vAlign w:val="bottom"/>
          </w:tcPr>
          <w:p w:rsidR="00000000" w:rsidRDefault="00000000">
            <w:pPr>
              <w:tabs>
                <w:tab w:val="decimal" w:pos="603"/>
              </w:tabs>
              <w:rPr>
                <w:sz w:val="22"/>
              </w:rPr>
            </w:pPr>
            <w:r>
              <w:rPr>
                <w:sz w:val="22"/>
              </w:rPr>
              <w:t>88,1</w:t>
            </w:r>
          </w:p>
        </w:tc>
        <w:tc>
          <w:tcPr>
            <w:tcW w:w="1078" w:type="dxa"/>
            <w:vAlign w:val="bottom"/>
          </w:tcPr>
          <w:p w:rsidR="00000000" w:rsidRDefault="00000000">
            <w:pPr>
              <w:tabs>
                <w:tab w:val="decimal" w:pos="805"/>
              </w:tabs>
              <w:rPr>
                <w:sz w:val="22"/>
              </w:rPr>
            </w:pPr>
            <w:r>
              <w:rPr>
                <w:sz w:val="22"/>
              </w:rPr>
              <w:t>626</w:t>
            </w:r>
          </w:p>
        </w:tc>
        <w:tc>
          <w:tcPr>
            <w:tcW w:w="1084" w:type="dxa"/>
            <w:vAlign w:val="bottom"/>
          </w:tcPr>
          <w:p w:rsidR="00000000" w:rsidRDefault="00000000">
            <w:pPr>
              <w:tabs>
                <w:tab w:val="decimal" w:pos="805"/>
              </w:tabs>
              <w:rPr>
                <w:sz w:val="22"/>
              </w:rPr>
            </w:pPr>
            <w:r>
              <w:rPr>
                <w:sz w:val="22"/>
              </w:rPr>
              <w:t>737</w:t>
            </w:r>
          </w:p>
        </w:tc>
        <w:tc>
          <w:tcPr>
            <w:tcW w:w="1313" w:type="dxa"/>
            <w:vAlign w:val="bottom"/>
          </w:tcPr>
          <w:p w:rsidR="00000000" w:rsidRDefault="00000000">
            <w:pPr>
              <w:tabs>
                <w:tab w:val="decimal" w:pos="723"/>
              </w:tabs>
              <w:rPr>
                <w:sz w:val="22"/>
              </w:rPr>
            </w:pPr>
            <w:r>
              <w:rPr>
                <w:sz w:val="22"/>
              </w:rPr>
              <w:t>84,9</w:t>
            </w:r>
          </w:p>
        </w:tc>
      </w:tr>
      <w:tr w:rsidR="00000000">
        <w:trPr>
          <w:cantSplit/>
          <w:tblHeader/>
          <w:jc w:val="center"/>
        </w:trPr>
        <w:tc>
          <w:tcPr>
            <w:tcW w:w="2595" w:type="dxa"/>
            <w:vAlign w:val="center"/>
          </w:tcPr>
          <w:p w:rsidR="00000000" w:rsidRDefault="00000000">
            <w:pPr>
              <w:rPr>
                <w:sz w:val="22"/>
              </w:rPr>
            </w:pPr>
            <w:r>
              <w:rPr>
                <w:sz w:val="22"/>
              </w:rPr>
              <w:t>Porto</w:t>
            </w:r>
          </w:p>
        </w:tc>
        <w:tc>
          <w:tcPr>
            <w:tcW w:w="1080" w:type="dxa"/>
            <w:vAlign w:val="bottom"/>
          </w:tcPr>
          <w:p w:rsidR="00000000" w:rsidRDefault="00000000">
            <w:pPr>
              <w:tabs>
                <w:tab w:val="decimal" w:pos="805"/>
              </w:tabs>
              <w:rPr>
                <w:sz w:val="22"/>
              </w:rPr>
            </w:pPr>
            <w:r>
              <w:rPr>
                <w:sz w:val="22"/>
              </w:rPr>
              <w:t>974</w:t>
            </w:r>
          </w:p>
        </w:tc>
        <w:tc>
          <w:tcPr>
            <w:tcW w:w="1082" w:type="dxa"/>
            <w:vAlign w:val="bottom"/>
          </w:tcPr>
          <w:p w:rsidR="00000000" w:rsidRDefault="00000000">
            <w:pPr>
              <w:tabs>
                <w:tab w:val="decimal" w:pos="805"/>
              </w:tabs>
              <w:rPr>
                <w:sz w:val="22"/>
              </w:rPr>
            </w:pPr>
            <w:r>
              <w:rPr>
                <w:sz w:val="22"/>
              </w:rPr>
              <w:t>720</w:t>
            </w:r>
          </w:p>
        </w:tc>
        <w:tc>
          <w:tcPr>
            <w:tcW w:w="1091" w:type="dxa"/>
            <w:vAlign w:val="bottom"/>
          </w:tcPr>
          <w:p w:rsidR="00000000" w:rsidRDefault="00000000">
            <w:pPr>
              <w:tabs>
                <w:tab w:val="decimal" w:pos="603"/>
              </w:tabs>
              <w:rPr>
                <w:sz w:val="22"/>
              </w:rPr>
            </w:pPr>
            <w:r>
              <w:rPr>
                <w:sz w:val="22"/>
              </w:rPr>
              <w:t>135,4</w:t>
            </w:r>
          </w:p>
        </w:tc>
        <w:tc>
          <w:tcPr>
            <w:tcW w:w="1078" w:type="dxa"/>
            <w:vAlign w:val="bottom"/>
          </w:tcPr>
          <w:p w:rsidR="00000000" w:rsidRDefault="00000000">
            <w:pPr>
              <w:tabs>
                <w:tab w:val="decimal" w:pos="805"/>
              </w:tabs>
              <w:rPr>
                <w:sz w:val="22"/>
              </w:rPr>
            </w:pPr>
            <w:r>
              <w:rPr>
                <w:sz w:val="22"/>
              </w:rPr>
              <w:t>1038</w:t>
            </w:r>
          </w:p>
        </w:tc>
        <w:tc>
          <w:tcPr>
            <w:tcW w:w="1084" w:type="dxa"/>
            <w:vAlign w:val="bottom"/>
          </w:tcPr>
          <w:p w:rsidR="00000000" w:rsidRDefault="00000000">
            <w:pPr>
              <w:tabs>
                <w:tab w:val="decimal" w:pos="805"/>
              </w:tabs>
              <w:rPr>
                <w:sz w:val="22"/>
              </w:rPr>
            </w:pPr>
            <w:r>
              <w:rPr>
                <w:sz w:val="22"/>
              </w:rPr>
              <w:t>720</w:t>
            </w:r>
          </w:p>
        </w:tc>
        <w:tc>
          <w:tcPr>
            <w:tcW w:w="1313" w:type="dxa"/>
            <w:vAlign w:val="bottom"/>
          </w:tcPr>
          <w:p w:rsidR="00000000" w:rsidRDefault="00000000">
            <w:pPr>
              <w:tabs>
                <w:tab w:val="decimal" w:pos="723"/>
              </w:tabs>
              <w:rPr>
                <w:sz w:val="22"/>
              </w:rPr>
            </w:pPr>
            <w:r>
              <w:rPr>
                <w:sz w:val="22"/>
              </w:rPr>
              <w:t>144,2</w:t>
            </w:r>
          </w:p>
        </w:tc>
      </w:tr>
      <w:tr w:rsidR="00000000">
        <w:trPr>
          <w:cantSplit/>
          <w:tblHeader/>
          <w:jc w:val="center"/>
        </w:trPr>
        <w:tc>
          <w:tcPr>
            <w:tcW w:w="2595" w:type="dxa"/>
            <w:vAlign w:val="center"/>
          </w:tcPr>
          <w:p w:rsidR="00000000" w:rsidRDefault="00000000">
            <w:pPr>
              <w:rPr>
                <w:sz w:val="22"/>
              </w:rPr>
            </w:pPr>
            <w:r>
              <w:rPr>
                <w:sz w:val="22"/>
              </w:rPr>
              <w:t>Santarém</w:t>
            </w:r>
          </w:p>
        </w:tc>
        <w:tc>
          <w:tcPr>
            <w:tcW w:w="1080" w:type="dxa"/>
            <w:vAlign w:val="bottom"/>
          </w:tcPr>
          <w:p w:rsidR="00000000" w:rsidRDefault="00000000">
            <w:pPr>
              <w:tabs>
                <w:tab w:val="decimal" w:pos="805"/>
              </w:tabs>
              <w:rPr>
                <w:sz w:val="22"/>
              </w:rPr>
            </w:pPr>
            <w:r>
              <w:rPr>
                <w:sz w:val="22"/>
              </w:rPr>
              <w:t>26</w:t>
            </w:r>
          </w:p>
        </w:tc>
        <w:tc>
          <w:tcPr>
            <w:tcW w:w="1082" w:type="dxa"/>
            <w:vAlign w:val="bottom"/>
          </w:tcPr>
          <w:p w:rsidR="00000000" w:rsidRDefault="00000000">
            <w:pPr>
              <w:tabs>
                <w:tab w:val="decimal" w:pos="805"/>
              </w:tabs>
              <w:rPr>
                <w:sz w:val="22"/>
              </w:rPr>
            </w:pPr>
            <w:r>
              <w:rPr>
                <w:sz w:val="22"/>
              </w:rPr>
              <w:t>36</w:t>
            </w:r>
          </w:p>
        </w:tc>
        <w:tc>
          <w:tcPr>
            <w:tcW w:w="1091" w:type="dxa"/>
            <w:vAlign w:val="bottom"/>
          </w:tcPr>
          <w:p w:rsidR="00000000" w:rsidRDefault="00000000">
            <w:pPr>
              <w:tabs>
                <w:tab w:val="decimal" w:pos="603"/>
              </w:tabs>
              <w:rPr>
                <w:sz w:val="22"/>
              </w:rPr>
            </w:pPr>
            <w:r>
              <w:rPr>
                <w:sz w:val="22"/>
              </w:rPr>
              <w:t>72,2</w:t>
            </w:r>
          </w:p>
        </w:tc>
        <w:tc>
          <w:tcPr>
            <w:tcW w:w="1078" w:type="dxa"/>
            <w:vAlign w:val="bottom"/>
          </w:tcPr>
          <w:p w:rsidR="00000000" w:rsidRDefault="00000000">
            <w:pPr>
              <w:tabs>
                <w:tab w:val="decimal" w:pos="805"/>
              </w:tabs>
              <w:rPr>
                <w:sz w:val="22"/>
              </w:rPr>
            </w:pPr>
            <w:r>
              <w:rPr>
                <w:sz w:val="22"/>
              </w:rPr>
              <w:t>28</w:t>
            </w:r>
          </w:p>
        </w:tc>
        <w:tc>
          <w:tcPr>
            <w:tcW w:w="1084" w:type="dxa"/>
            <w:vAlign w:val="bottom"/>
          </w:tcPr>
          <w:p w:rsidR="00000000" w:rsidRDefault="00000000">
            <w:pPr>
              <w:tabs>
                <w:tab w:val="decimal" w:pos="805"/>
              </w:tabs>
              <w:rPr>
                <w:sz w:val="22"/>
              </w:rPr>
            </w:pPr>
            <w:r>
              <w:rPr>
                <w:sz w:val="22"/>
              </w:rPr>
              <w:t>36</w:t>
            </w:r>
          </w:p>
        </w:tc>
        <w:tc>
          <w:tcPr>
            <w:tcW w:w="1313" w:type="dxa"/>
            <w:vAlign w:val="bottom"/>
          </w:tcPr>
          <w:p w:rsidR="00000000" w:rsidRDefault="00000000">
            <w:pPr>
              <w:tabs>
                <w:tab w:val="decimal" w:pos="723"/>
              </w:tabs>
              <w:rPr>
                <w:sz w:val="22"/>
              </w:rPr>
            </w:pPr>
            <w:r>
              <w:rPr>
                <w:sz w:val="22"/>
              </w:rPr>
              <w:t>77,8</w:t>
            </w:r>
          </w:p>
        </w:tc>
      </w:tr>
      <w:tr w:rsidR="00000000">
        <w:trPr>
          <w:cantSplit/>
          <w:tblHeader/>
          <w:jc w:val="center"/>
        </w:trPr>
        <w:tc>
          <w:tcPr>
            <w:tcW w:w="2595" w:type="dxa"/>
            <w:vAlign w:val="center"/>
          </w:tcPr>
          <w:p w:rsidR="00000000" w:rsidRDefault="00000000">
            <w:pPr>
              <w:rPr>
                <w:sz w:val="22"/>
              </w:rPr>
            </w:pPr>
            <w:r>
              <w:rPr>
                <w:sz w:val="22"/>
              </w:rPr>
              <w:t>S. C. do Bispo</w:t>
            </w:r>
          </w:p>
        </w:tc>
        <w:tc>
          <w:tcPr>
            <w:tcW w:w="1080" w:type="dxa"/>
            <w:vAlign w:val="bottom"/>
          </w:tcPr>
          <w:p w:rsidR="00000000" w:rsidRDefault="00000000">
            <w:pPr>
              <w:tabs>
                <w:tab w:val="decimal" w:pos="805"/>
              </w:tabs>
              <w:rPr>
                <w:sz w:val="22"/>
              </w:rPr>
            </w:pPr>
            <w:r>
              <w:rPr>
                <w:sz w:val="22"/>
              </w:rPr>
              <w:t>384</w:t>
            </w:r>
          </w:p>
        </w:tc>
        <w:tc>
          <w:tcPr>
            <w:tcW w:w="1082" w:type="dxa"/>
            <w:vAlign w:val="bottom"/>
          </w:tcPr>
          <w:p w:rsidR="00000000" w:rsidRDefault="00000000">
            <w:pPr>
              <w:tabs>
                <w:tab w:val="decimal" w:pos="805"/>
              </w:tabs>
              <w:rPr>
                <w:sz w:val="22"/>
              </w:rPr>
            </w:pPr>
            <w:r>
              <w:rPr>
                <w:sz w:val="22"/>
              </w:rPr>
              <w:t>342</w:t>
            </w:r>
          </w:p>
        </w:tc>
        <w:tc>
          <w:tcPr>
            <w:tcW w:w="1091" w:type="dxa"/>
            <w:vAlign w:val="bottom"/>
          </w:tcPr>
          <w:p w:rsidR="00000000" w:rsidRDefault="00000000">
            <w:pPr>
              <w:tabs>
                <w:tab w:val="decimal" w:pos="603"/>
              </w:tabs>
              <w:rPr>
                <w:sz w:val="22"/>
              </w:rPr>
            </w:pPr>
            <w:r>
              <w:rPr>
                <w:sz w:val="22"/>
              </w:rPr>
              <w:t>112,3</w:t>
            </w:r>
          </w:p>
        </w:tc>
        <w:tc>
          <w:tcPr>
            <w:tcW w:w="1078" w:type="dxa"/>
            <w:vAlign w:val="bottom"/>
          </w:tcPr>
          <w:p w:rsidR="00000000" w:rsidRDefault="00000000">
            <w:pPr>
              <w:tabs>
                <w:tab w:val="decimal" w:pos="805"/>
              </w:tabs>
              <w:rPr>
                <w:sz w:val="22"/>
              </w:rPr>
            </w:pPr>
            <w:r>
              <w:rPr>
                <w:sz w:val="22"/>
              </w:rPr>
              <w:t>372</w:t>
            </w:r>
          </w:p>
        </w:tc>
        <w:tc>
          <w:tcPr>
            <w:tcW w:w="1084" w:type="dxa"/>
            <w:vAlign w:val="bottom"/>
          </w:tcPr>
          <w:p w:rsidR="00000000" w:rsidRDefault="00000000">
            <w:pPr>
              <w:tabs>
                <w:tab w:val="decimal" w:pos="805"/>
              </w:tabs>
              <w:rPr>
                <w:sz w:val="22"/>
              </w:rPr>
            </w:pPr>
            <w:r>
              <w:rPr>
                <w:sz w:val="22"/>
              </w:rPr>
              <w:t>342</w:t>
            </w:r>
          </w:p>
        </w:tc>
        <w:tc>
          <w:tcPr>
            <w:tcW w:w="1313" w:type="dxa"/>
            <w:vAlign w:val="bottom"/>
          </w:tcPr>
          <w:p w:rsidR="00000000" w:rsidRDefault="00000000">
            <w:pPr>
              <w:tabs>
                <w:tab w:val="decimal" w:pos="723"/>
              </w:tabs>
              <w:rPr>
                <w:sz w:val="22"/>
              </w:rPr>
            </w:pPr>
            <w:r>
              <w:rPr>
                <w:sz w:val="22"/>
              </w:rPr>
              <w:t>108,8</w:t>
            </w:r>
          </w:p>
        </w:tc>
      </w:tr>
      <w:tr w:rsidR="00000000">
        <w:trPr>
          <w:cantSplit/>
          <w:tblHeader/>
          <w:jc w:val="center"/>
        </w:trPr>
        <w:tc>
          <w:tcPr>
            <w:tcW w:w="2595" w:type="dxa"/>
            <w:vAlign w:val="center"/>
          </w:tcPr>
          <w:p w:rsidR="00000000" w:rsidRDefault="00000000">
            <w:pPr>
              <w:rPr>
                <w:sz w:val="22"/>
              </w:rPr>
            </w:pPr>
            <w:r>
              <w:rPr>
                <w:sz w:val="22"/>
              </w:rPr>
              <w:t>Sintra</w:t>
            </w:r>
          </w:p>
        </w:tc>
        <w:tc>
          <w:tcPr>
            <w:tcW w:w="1080" w:type="dxa"/>
            <w:vAlign w:val="bottom"/>
          </w:tcPr>
          <w:p w:rsidR="00000000" w:rsidRDefault="00000000">
            <w:pPr>
              <w:tabs>
                <w:tab w:val="decimal" w:pos="805"/>
              </w:tabs>
              <w:rPr>
                <w:sz w:val="22"/>
              </w:rPr>
            </w:pPr>
            <w:r>
              <w:rPr>
                <w:sz w:val="22"/>
              </w:rPr>
              <w:t>681</w:t>
            </w:r>
          </w:p>
        </w:tc>
        <w:tc>
          <w:tcPr>
            <w:tcW w:w="1082" w:type="dxa"/>
            <w:vAlign w:val="bottom"/>
          </w:tcPr>
          <w:p w:rsidR="00000000" w:rsidRDefault="00000000">
            <w:pPr>
              <w:tabs>
                <w:tab w:val="decimal" w:pos="805"/>
              </w:tabs>
              <w:rPr>
                <w:sz w:val="22"/>
              </w:rPr>
            </w:pPr>
            <w:r>
              <w:rPr>
                <w:sz w:val="22"/>
              </w:rPr>
              <w:t>729</w:t>
            </w:r>
          </w:p>
        </w:tc>
        <w:tc>
          <w:tcPr>
            <w:tcW w:w="1091" w:type="dxa"/>
            <w:vAlign w:val="bottom"/>
          </w:tcPr>
          <w:p w:rsidR="00000000" w:rsidRDefault="00000000">
            <w:pPr>
              <w:tabs>
                <w:tab w:val="decimal" w:pos="603"/>
              </w:tabs>
              <w:rPr>
                <w:sz w:val="22"/>
              </w:rPr>
            </w:pPr>
            <w:r>
              <w:rPr>
                <w:sz w:val="22"/>
              </w:rPr>
              <w:t>93,4</w:t>
            </w:r>
          </w:p>
        </w:tc>
        <w:tc>
          <w:tcPr>
            <w:tcW w:w="1078" w:type="dxa"/>
            <w:vAlign w:val="bottom"/>
          </w:tcPr>
          <w:p w:rsidR="00000000" w:rsidRDefault="00000000">
            <w:pPr>
              <w:tabs>
                <w:tab w:val="decimal" w:pos="805"/>
              </w:tabs>
              <w:rPr>
                <w:sz w:val="22"/>
              </w:rPr>
            </w:pPr>
            <w:r>
              <w:rPr>
                <w:sz w:val="22"/>
              </w:rPr>
              <w:t>716</w:t>
            </w:r>
          </w:p>
        </w:tc>
        <w:tc>
          <w:tcPr>
            <w:tcW w:w="1084" w:type="dxa"/>
            <w:vAlign w:val="bottom"/>
          </w:tcPr>
          <w:p w:rsidR="00000000" w:rsidRDefault="00000000">
            <w:pPr>
              <w:tabs>
                <w:tab w:val="decimal" w:pos="805"/>
              </w:tabs>
              <w:rPr>
                <w:sz w:val="22"/>
              </w:rPr>
            </w:pPr>
            <w:r>
              <w:rPr>
                <w:sz w:val="22"/>
              </w:rPr>
              <w:t>729</w:t>
            </w:r>
          </w:p>
        </w:tc>
        <w:tc>
          <w:tcPr>
            <w:tcW w:w="1313" w:type="dxa"/>
            <w:vAlign w:val="bottom"/>
          </w:tcPr>
          <w:p w:rsidR="00000000" w:rsidRDefault="00000000">
            <w:pPr>
              <w:tabs>
                <w:tab w:val="decimal" w:pos="723"/>
              </w:tabs>
              <w:rPr>
                <w:sz w:val="22"/>
              </w:rPr>
            </w:pPr>
            <w:r>
              <w:rPr>
                <w:sz w:val="22"/>
              </w:rPr>
              <w:t>98,2</w:t>
            </w:r>
          </w:p>
        </w:tc>
      </w:tr>
      <w:tr w:rsidR="00000000">
        <w:trPr>
          <w:cantSplit/>
          <w:tblHeader/>
          <w:jc w:val="center"/>
        </w:trPr>
        <w:tc>
          <w:tcPr>
            <w:tcW w:w="2595" w:type="dxa"/>
            <w:vAlign w:val="center"/>
          </w:tcPr>
          <w:p w:rsidR="00000000" w:rsidRDefault="00000000">
            <w:pPr>
              <w:rPr>
                <w:sz w:val="22"/>
              </w:rPr>
            </w:pPr>
            <w:r>
              <w:rPr>
                <w:sz w:val="22"/>
              </w:rPr>
              <w:t>Vale de Judeus</w:t>
            </w:r>
          </w:p>
        </w:tc>
        <w:tc>
          <w:tcPr>
            <w:tcW w:w="1080" w:type="dxa"/>
            <w:vAlign w:val="bottom"/>
          </w:tcPr>
          <w:p w:rsidR="00000000" w:rsidRDefault="00000000">
            <w:pPr>
              <w:tabs>
                <w:tab w:val="decimal" w:pos="805"/>
              </w:tabs>
              <w:rPr>
                <w:sz w:val="22"/>
              </w:rPr>
            </w:pPr>
            <w:r>
              <w:rPr>
                <w:sz w:val="22"/>
              </w:rPr>
              <w:t>514</w:t>
            </w:r>
          </w:p>
        </w:tc>
        <w:tc>
          <w:tcPr>
            <w:tcW w:w="1082" w:type="dxa"/>
            <w:vAlign w:val="bottom"/>
          </w:tcPr>
          <w:p w:rsidR="00000000" w:rsidRDefault="00000000">
            <w:pPr>
              <w:tabs>
                <w:tab w:val="decimal" w:pos="805"/>
              </w:tabs>
              <w:rPr>
                <w:sz w:val="22"/>
              </w:rPr>
            </w:pPr>
            <w:r>
              <w:rPr>
                <w:sz w:val="22"/>
              </w:rPr>
              <w:t>504</w:t>
            </w:r>
          </w:p>
        </w:tc>
        <w:tc>
          <w:tcPr>
            <w:tcW w:w="1091" w:type="dxa"/>
            <w:vAlign w:val="bottom"/>
          </w:tcPr>
          <w:p w:rsidR="00000000" w:rsidRDefault="00000000">
            <w:pPr>
              <w:tabs>
                <w:tab w:val="decimal" w:pos="603"/>
              </w:tabs>
              <w:rPr>
                <w:sz w:val="22"/>
              </w:rPr>
            </w:pPr>
            <w:r>
              <w:rPr>
                <w:sz w:val="22"/>
              </w:rPr>
              <w:t>102,0</w:t>
            </w:r>
          </w:p>
        </w:tc>
        <w:tc>
          <w:tcPr>
            <w:tcW w:w="1078" w:type="dxa"/>
            <w:vAlign w:val="bottom"/>
          </w:tcPr>
          <w:p w:rsidR="00000000" w:rsidRDefault="00000000">
            <w:pPr>
              <w:tabs>
                <w:tab w:val="decimal" w:pos="805"/>
              </w:tabs>
              <w:rPr>
                <w:sz w:val="22"/>
              </w:rPr>
            </w:pPr>
            <w:r>
              <w:rPr>
                <w:sz w:val="22"/>
              </w:rPr>
              <w:t>525</w:t>
            </w:r>
          </w:p>
        </w:tc>
        <w:tc>
          <w:tcPr>
            <w:tcW w:w="1084" w:type="dxa"/>
            <w:vAlign w:val="bottom"/>
          </w:tcPr>
          <w:p w:rsidR="00000000" w:rsidRDefault="00000000">
            <w:pPr>
              <w:tabs>
                <w:tab w:val="decimal" w:pos="805"/>
              </w:tabs>
              <w:rPr>
                <w:sz w:val="22"/>
              </w:rPr>
            </w:pPr>
            <w:r>
              <w:rPr>
                <w:sz w:val="22"/>
              </w:rPr>
              <w:t>504</w:t>
            </w:r>
          </w:p>
        </w:tc>
        <w:tc>
          <w:tcPr>
            <w:tcW w:w="1313" w:type="dxa"/>
            <w:vAlign w:val="bottom"/>
          </w:tcPr>
          <w:p w:rsidR="00000000" w:rsidRDefault="00000000">
            <w:pPr>
              <w:tabs>
                <w:tab w:val="decimal" w:pos="723"/>
              </w:tabs>
              <w:rPr>
                <w:sz w:val="22"/>
              </w:rPr>
            </w:pPr>
            <w:r>
              <w:rPr>
                <w:sz w:val="22"/>
              </w:rPr>
              <w:t>104,2</w:t>
            </w:r>
          </w:p>
        </w:tc>
      </w:tr>
      <w:tr w:rsidR="00000000">
        <w:trPr>
          <w:cantSplit/>
          <w:tblHeader/>
          <w:jc w:val="center"/>
        </w:trPr>
        <w:tc>
          <w:tcPr>
            <w:tcW w:w="2595" w:type="dxa"/>
            <w:vAlign w:val="center"/>
          </w:tcPr>
          <w:p w:rsidR="00000000" w:rsidRDefault="00000000">
            <w:pPr>
              <w:tabs>
                <w:tab w:val="left" w:pos="316"/>
              </w:tabs>
              <w:rPr>
                <w:bCs/>
                <w:sz w:val="22"/>
              </w:rPr>
            </w:pPr>
            <w:r>
              <w:rPr>
                <w:bCs/>
                <w:sz w:val="22"/>
              </w:rPr>
              <w:tab/>
              <w:t>Total parcial</w:t>
            </w:r>
          </w:p>
        </w:tc>
        <w:tc>
          <w:tcPr>
            <w:tcW w:w="1080" w:type="dxa"/>
            <w:vAlign w:val="bottom"/>
          </w:tcPr>
          <w:p w:rsidR="00000000" w:rsidRDefault="00000000">
            <w:pPr>
              <w:tabs>
                <w:tab w:val="decimal" w:pos="805"/>
              </w:tabs>
              <w:rPr>
                <w:sz w:val="22"/>
              </w:rPr>
            </w:pPr>
            <w:r>
              <w:rPr>
                <w:sz w:val="22"/>
              </w:rPr>
              <w:t>8.701</w:t>
            </w:r>
          </w:p>
        </w:tc>
        <w:tc>
          <w:tcPr>
            <w:tcW w:w="1082" w:type="dxa"/>
            <w:vAlign w:val="bottom"/>
          </w:tcPr>
          <w:p w:rsidR="00000000" w:rsidRDefault="00000000">
            <w:pPr>
              <w:tabs>
                <w:tab w:val="decimal" w:pos="805"/>
              </w:tabs>
              <w:rPr>
                <w:sz w:val="22"/>
              </w:rPr>
            </w:pPr>
            <w:r>
              <w:rPr>
                <w:sz w:val="22"/>
              </w:rPr>
              <w:t>8.239</w:t>
            </w:r>
          </w:p>
        </w:tc>
        <w:tc>
          <w:tcPr>
            <w:tcW w:w="1091" w:type="dxa"/>
            <w:vAlign w:val="bottom"/>
          </w:tcPr>
          <w:p w:rsidR="00000000" w:rsidRDefault="00000000">
            <w:pPr>
              <w:tabs>
                <w:tab w:val="decimal" w:pos="603"/>
              </w:tabs>
              <w:rPr>
                <w:sz w:val="22"/>
              </w:rPr>
            </w:pPr>
            <w:r>
              <w:rPr>
                <w:sz w:val="22"/>
              </w:rPr>
              <w:t>105,6</w:t>
            </w:r>
          </w:p>
        </w:tc>
        <w:tc>
          <w:tcPr>
            <w:tcW w:w="1078" w:type="dxa"/>
            <w:vAlign w:val="bottom"/>
          </w:tcPr>
          <w:p w:rsidR="00000000" w:rsidRDefault="00000000">
            <w:pPr>
              <w:tabs>
                <w:tab w:val="decimal" w:pos="805"/>
              </w:tabs>
              <w:rPr>
                <w:sz w:val="22"/>
              </w:rPr>
            </w:pPr>
            <w:r>
              <w:rPr>
                <w:sz w:val="22"/>
              </w:rPr>
              <w:t>8.744</w:t>
            </w:r>
          </w:p>
        </w:tc>
        <w:tc>
          <w:tcPr>
            <w:tcW w:w="1084" w:type="dxa"/>
            <w:vAlign w:val="bottom"/>
          </w:tcPr>
          <w:p w:rsidR="00000000" w:rsidRDefault="00000000">
            <w:pPr>
              <w:tabs>
                <w:tab w:val="decimal" w:pos="805"/>
              </w:tabs>
              <w:rPr>
                <w:sz w:val="22"/>
              </w:rPr>
            </w:pPr>
            <w:r>
              <w:rPr>
                <w:sz w:val="22"/>
              </w:rPr>
              <w:t>8.389</w:t>
            </w:r>
          </w:p>
        </w:tc>
        <w:tc>
          <w:tcPr>
            <w:tcW w:w="1313" w:type="dxa"/>
            <w:vAlign w:val="bottom"/>
          </w:tcPr>
          <w:p w:rsidR="00000000" w:rsidRDefault="00000000">
            <w:pPr>
              <w:tabs>
                <w:tab w:val="decimal" w:pos="723"/>
              </w:tabs>
              <w:rPr>
                <w:sz w:val="22"/>
              </w:rPr>
            </w:pPr>
            <w:r>
              <w:rPr>
                <w:sz w:val="22"/>
              </w:rPr>
              <w:t>104,2</w:t>
            </w:r>
          </w:p>
        </w:tc>
      </w:tr>
      <w:tr w:rsidR="00000000">
        <w:trPr>
          <w:cantSplit/>
          <w:tblHeader/>
          <w:jc w:val="center"/>
        </w:trPr>
        <w:tc>
          <w:tcPr>
            <w:tcW w:w="2595" w:type="dxa"/>
            <w:vAlign w:val="center"/>
          </w:tcPr>
          <w:p w:rsidR="00000000" w:rsidRDefault="00000000">
            <w:pPr>
              <w:rPr>
                <w:bCs/>
                <w:sz w:val="22"/>
              </w:rPr>
            </w:pPr>
            <w:r>
              <w:rPr>
                <w:bCs/>
                <w:sz w:val="22"/>
              </w:rPr>
              <w:t>Establecimientos especiales</w:t>
            </w:r>
          </w:p>
        </w:tc>
        <w:tc>
          <w:tcPr>
            <w:tcW w:w="1080" w:type="dxa"/>
            <w:vAlign w:val="bottom"/>
          </w:tcPr>
          <w:p w:rsidR="00000000" w:rsidRDefault="00000000">
            <w:pPr>
              <w:tabs>
                <w:tab w:val="decimal" w:pos="805"/>
              </w:tabs>
              <w:rPr>
                <w:sz w:val="22"/>
              </w:rPr>
            </w:pPr>
          </w:p>
        </w:tc>
        <w:tc>
          <w:tcPr>
            <w:tcW w:w="1082" w:type="dxa"/>
            <w:vAlign w:val="bottom"/>
          </w:tcPr>
          <w:p w:rsidR="00000000" w:rsidRDefault="00000000">
            <w:pPr>
              <w:tabs>
                <w:tab w:val="decimal" w:pos="805"/>
              </w:tabs>
              <w:rPr>
                <w:sz w:val="22"/>
              </w:rPr>
            </w:pPr>
          </w:p>
        </w:tc>
        <w:tc>
          <w:tcPr>
            <w:tcW w:w="1091" w:type="dxa"/>
            <w:vAlign w:val="bottom"/>
          </w:tcPr>
          <w:p w:rsidR="00000000" w:rsidRDefault="00000000">
            <w:pPr>
              <w:tabs>
                <w:tab w:val="decimal" w:pos="603"/>
              </w:tabs>
              <w:rPr>
                <w:sz w:val="22"/>
              </w:rPr>
            </w:pPr>
          </w:p>
        </w:tc>
        <w:tc>
          <w:tcPr>
            <w:tcW w:w="1078" w:type="dxa"/>
            <w:vAlign w:val="bottom"/>
          </w:tcPr>
          <w:p w:rsidR="00000000" w:rsidRDefault="00000000">
            <w:pPr>
              <w:tabs>
                <w:tab w:val="decimal" w:pos="805"/>
              </w:tabs>
              <w:rPr>
                <w:sz w:val="22"/>
              </w:rPr>
            </w:pPr>
          </w:p>
        </w:tc>
        <w:tc>
          <w:tcPr>
            <w:tcW w:w="1084" w:type="dxa"/>
            <w:vAlign w:val="bottom"/>
          </w:tcPr>
          <w:p w:rsidR="00000000" w:rsidRDefault="00000000">
            <w:pPr>
              <w:tabs>
                <w:tab w:val="decimal" w:pos="805"/>
              </w:tabs>
              <w:rPr>
                <w:sz w:val="22"/>
              </w:rPr>
            </w:pPr>
          </w:p>
        </w:tc>
        <w:tc>
          <w:tcPr>
            <w:tcW w:w="1313" w:type="dxa"/>
            <w:vAlign w:val="bottom"/>
          </w:tcPr>
          <w:p w:rsidR="00000000" w:rsidRDefault="00000000">
            <w:pPr>
              <w:tabs>
                <w:tab w:val="decimal" w:pos="723"/>
              </w:tabs>
              <w:rPr>
                <w:sz w:val="22"/>
              </w:rPr>
            </w:pPr>
          </w:p>
        </w:tc>
      </w:tr>
      <w:tr w:rsidR="00000000">
        <w:trPr>
          <w:cantSplit/>
          <w:tblHeader/>
          <w:jc w:val="center"/>
        </w:trPr>
        <w:tc>
          <w:tcPr>
            <w:tcW w:w="2595" w:type="dxa"/>
            <w:vAlign w:val="center"/>
          </w:tcPr>
          <w:p w:rsidR="00000000" w:rsidRDefault="00000000">
            <w:pPr>
              <w:rPr>
                <w:sz w:val="22"/>
              </w:rPr>
            </w:pPr>
            <w:r>
              <w:rPr>
                <w:sz w:val="22"/>
              </w:rPr>
              <w:t>Leiria</w:t>
            </w:r>
          </w:p>
        </w:tc>
        <w:tc>
          <w:tcPr>
            <w:tcW w:w="1080" w:type="dxa"/>
            <w:vAlign w:val="bottom"/>
          </w:tcPr>
          <w:p w:rsidR="00000000" w:rsidRDefault="00000000">
            <w:pPr>
              <w:tabs>
                <w:tab w:val="decimal" w:pos="805"/>
              </w:tabs>
              <w:rPr>
                <w:sz w:val="22"/>
              </w:rPr>
            </w:pPr>
            <w:r>
              <w:rPr>
                <w:sz w:val="22"/>
              </w:rPr>
              <w:t>313</w:t>
            </w:r>
          </w:p>
        </w:tc>
        <w:tc>
          <w:tcPr>
            <w:tcW w:w="1082" w:type="dxa"/>
            <w:vAlign w:val="bottom"/>
          </w:tcPr>
          <w:p w:rsidR="00000000" w:rsidRDefault="00000000">
            <w:pPr>
              <w:tabs>
                <w:tab w:val="decimal" w:pos="805"/>
              </w:tabs>
              <w:rPr>
                <w:sz w:val="22"/>
              </w:rPr>
            </w:pPr>
            <w:r>
              <w:rPr>
                <w:sz w:val="22"/>
              </w:rPr>
              <w:t>347</w:t>
            </w:r>
          </w:p>
        </w:tc>
        <w:tc>
          <w:tcPr>
            <w:tcW w:w="1091" w:type="dxa"/>
            <w:vAlign w:val="bottom"/>
          </w:tcPr>
          <w:p w:rsidR="00000000" w:rsidRDefault="00000000">
            <w:pPr>
              <w:tabs>
                <w:tab w:val="decimal" w:pos="603"/>
              </w:tabs>
              <w:rPr>
                <w:sz w:val="22"/>
              </w:rPr>
            </w:pPr>
            <w:r>
              <w:rPr>
                <w:sz w:val="22"/>
              </w:rPr>
              <w:t>90,2</w:t>
            </w:r>
          </w:p>
        </w:tc>
        <w:tc>
          <w:tcPr>
            <w:tcW w:w="1078" w:type="dxa"/>
            <w:vAlign w:val="bottom"/>
          </w:tcPr>
          <w:p w:rsidR="00000000" w:rsidRDefault="00000000">
            <w:pPr>
              <w:tabs>
                <w:tab w:val="decimal" w:pos="805"/>
              </w:tabs>
              <w:rPr>
                <w:sz w:val="22"/>
              </w:rPr>
            </w:pPr>
            <w:r>
              <w:rPr>
                <w:sz w:val="22"/>
              </w:rPr>
              <w:t>330</w:t>
            </w:r>
          </w:p>
        </w:tc>
        <w:tc>
          <w:tcPr>
            <w:tcW w:w="1084" w:type="dxa"/>
            <w:vAlign w:val="bottom"/>
          </w:tcPr>
          <w:p w:rsidR="00000000" w:rsidRDefault="00000000">
            <w:pPr>
              <w:tabs>
                <w:tab w:val="decimal" w:pos="805"/>
              </w:tabs>
              <w:rPr>
                <w:sz w:val="22"/>
              </w:rPr>
            </w:pPr>
            <w:r>
              <w:rPr>
                <w:sz w:val="22"/>
              </w:rPr>
              <w:t>347</w:t>
            </w:r>
          </w:p>
        </w:tc>
        <w:tc>
          <w:tcPr>
            <w:tcW w:w="1313" w:type="dxa"/>
            <w:vAlign w:val="bottom"/>
          </w:tcPr>
          <w:p w:rsidR="00000000" w:rsidRDefault="00000000">
            <w:pPr>
              <w:tabs>
                <w:tab w:val="decimal" w:pos="723"/>
              </w:tabs>
              <w:rPr>
                <w:sz w:val="22"/>
              </w:rPr>
            </w:pPr>
            <w:r>
              <w:rPr>
                <w:sz w:val="22"/>
              </w:rPr>
              <w:t>95,1</w:t>
            </w:r>
          </w:p>
        </w:tc>
      </w:tr>
      <w:tr w:rsidR="00000000">
        <w:trPr>
          <w:cantSplit/>
          <w:tblHeader/>
          <w:jc w:val="center"/>
        </w:trPr>
        <w:tc>
          <w:tcPr>
            <w:tcW w:w="2595" w:type="dxa"/>
            <w:vAlign w:val="center"/>
          </w:tcPr>
          <w:p w:rsidR="00000000" w:rsidRDefault="00000000">
            <w:pPr>
              <w:rPr>
                <w:sz w:val="22"/>
              </w:rPr>
            </w:pPr>
            <w:r>
              <w:rPr>
                <w:sz w:val="22"/>
              </w:rPr>
              <w:t>Tires</w:t>
            </w:r>
          </w:p>
        </w:tc>
        <w:tc>
          <w:tcPr>
            <w:tcW w:w="1080" w:type="dxa"/>
            <w:vAlign w:val="bottom"/>
          </w:tcPr>
          <w:p w:rsidR="00000000" w:rsidRDefault="00000000">
            <w:pPr>
              <w:tabs>
                <w:tab w:val="decimal" w:pos="805"/>
              </w:tabs>
              <w:rPr>
                <w:sz w:val="22"/>
              </w:rPr>
            </w:pPr>
            <w:r>
              <w:rPr>
                <w:sz w:val="22"/>
              </w:rPr>
              <w:t>686</w:t>
            </w:r>
          </w:p>
        </w:tc>
        <w:tc>
          <w:tcPr>
            <w:tcW w:w="1082" w:type="dxa"/>
            <w:vAlign w:val="bottom"/>
          </w:tcPr>
          <w:p w:rsidR="00000000" w:rsidRDefault="00000000">
            <w:pPr>
              <w:tabs>
                <w:tab w:val="decimal" w:pos="805"/>
              </w:tabs>
              <w:rPr>
                <w:sz w:val="22"/>
              </w:rPr>
            </w:pPr>
            <w:r>
              <w:rPr>
                <w:sz w:val="22"/>
              </w:rPr>
              <w:t>633</w:t>
            </w:r>
          </w:p>
        </w:tc>
        <w:tc>
          <w:tcPr>
            <w:tcW w:w="1091" w:type="dxa"/>
            <w:vAlign w:val="bottom"/>
          </w:tcPr>
          <w:p w:rsidR="00000000" w:rsidRDefault="00000000">
            <w:pPr>
              <w:tabs>
                <w:tab w:val="decimal" w:pos="603"/>
              </w:tabs>
              <w:rPr>
                <w:sz w:val="22"/>
              </w:rPr>
            </w:pPr>
            <w:r>
              <w:rPr>
                <w:sz w:val="22"/>
              </w:rPr>
              <w:t>108,4</w:t>
            </w:r>
          </w:p>
        </w:tc>
        <w:tc>
          <w:tcPr>
            <w:tcW w:w="1078" w:type="dxa"/>
            <w:vAlign w:val="bottom"/>
          </w:tcPr>
          <w:p w:rsidR="00000000" w:rsidRDefault="00000000">
            <w:pPr>
              <w:tabs>
                <w:tab w:val="decimal" w:pos="805"/>
              </w:tabs>
              <w:rPr>
                <w:sz w:val="22"/>
              </w:rPr>
            </w:pPr>
            <w:r>
              <w:rPr>
                <w:sz w:val="22"/>
              </w:rPr>
              <w:t>607</w:t>
            </w:r>
          </w:p>
        </w:tc>
        <w:tc>
          <w:tcPr>
            <w:tcW w:w="1084" w:type="dxa"/>
            <w:vAlign w:val="bottom"/>
          </w:tcPr>
          <w:p w:rsidR="00000000" w:rsidRDefault="00000000">
            <w:pPr>
              <w:tabs>
                <w:tab w:val="decimal" w:pos="805"/>
              </w:tabs>
              <w:rPr>
                <w:sz w:val="22"/>
              </w:rPr>
            </w:pPr>
            <w:r>
              <w:rPr>
                <w:sz w:val="22"/>
              </w:rPr>
              <w:t>633</w:t>
            </w:r>
          </w:p>
        </w:tc>
        <w:tc>
          <w:tcPr>
            <w:tcW w:w="1313" w:type="dxa"/>
            <w:vAlign w:val="bottom"/>
          </w:tcPr>
          <w:p w:rsidR="00000000" w:rsidRDefault="00000000">
            <w:pPr>
              <w:tabs>
                <w:tab w:val="decimal" w:pos="723"/>
              </w:tabs>
              <w:rPr>
                <w:sz w:val="22"/>
              </w:rPr>
            </w:pPr>
            <w:r>
              <w:rPr>
                <w:sz w:val="22"/>
              </w:rPr>
              <w:t>95,9</w:t>
            </w:r>
          </w:p>
        </w:tc>
      </w:tr>
      <w:tr w:rsidR="00000000">
        <w:trPr>
          <w:cantSplit/>
          <w:tblHeader/>
          <w:jc w:val="center"/>
        </w:trPr>
        <w:tc>
          <w:tcPr>
            <w:tcW w:w="2595" w:type="dxa"/>
            <w:vAlign w:val="center"/>
          </w:tcPr>
          <w:p w:rsidR="00000000" w:rsidRDefault="00000000">
            <w:pPr>
              <w:rPr>
                <w:sz w:val="22"/>
              </w:rPr>
            </w:pPr>
            <w:r>
              <w:rPr>
                <w:sz w:val="22"/>
              </w:rPr>
              <w:t>Hôpital São João de Deus</w:t>
            </w:r>
            <w:r>
              <w:rPr>
                <w:b/>
                <w:sz w:val="22"/>
                <w:vertAlign w:val="superscript"/>
              </w:rPr>
              <w:t>c</w:t>
            </w:r>
          </w:p>
        </w:tc>
        <w:tc>
          <w:tcPr>
            <w:tcW w:w="1080" w:type="dxa"/>
            <w:vAlign w:val="bottom"/>
          </w:tcPr>
          <w:p w:rsidR="00000000" w:rsidRDefault="00000000">
            <w:pPr>
              <w:tabs>
                <w:tab w:val="decimal" w:pos="805"/>
              </w:tabs>
              <w:rPr>
                <w:sz w:val="22"/>
              </w:rPr>
            </w:pPr>
            <w:r>
              <w:rPr>
                <w:sz w:val="22"/>
              </w:rPr>
              <w:t>124</w:t>
            </w:r>
          </w:p>
        </w:tc>
        <w:tc>
          <w:tcPr>
            <w:tcW w:w="1082" w:type="dxa"/>
            <w:vAlign w:val="bottom"/>
          </w:tcPr>
          <w:p w:rsidR="00000000" w:rsidRDefault="00000000">
            <w:pPr>
              <w:tabs>
                <w:tab w:val="decimal" w:pos="805"/>
              </w:tabs>
              <w:rPr>
                <w:sz w:val="22"/>
              </w:rPr>
            </w:pPr>
            <w:r>
              <w:rPr>
                <w:sz w:val="22"/>
              </w:rPr>
              <w:t>195</w:t>
            </w:r>
          </w:p>
        </w:tc>
        <w:tc>
          <w:tcPr>
            <w:tcW w:w="1091" w:type="dxa"/>
            <w:vAlign w:val="bottom"/>
          </w:tcPr>
          <w:p w:rsidR="00000000" w:rsidRDefault="00000000">
            <w:pPr>
              <w:tabs>
                <w:tab w:val="decimal" w:pos="603"/>
              </w:tabs>
              <w:rPr>
                <w:sz w:val="22"/>
              </w:rPr>
            </w:pPr>
            <w:r>
              <w:rPr>
                <w:sz w:val="22"/>
              </w:rPr>
              <w:t>63,6</w:t>
            </w:r>
          </w:p>
        </w:tc>
        <w:tc>
          <w:tcPr>
            <w:tcW w:w="1078" w:type="dxa"/>
            <w:vAlign w:val="bottom"/>
          </w:tcPr>
          <w:p w:rsidR="00000000" w:rsidRDefault="00000000">
            <w:pPr>
              <w:tabs>
                <w:tab w:val="decimal" w:pos="805"/>
              </w:tabs>
              <w:rPr>
                <w:sz w:val="22"/>
              </w:rPr>
            </w:pPr>
            <w:r>
              <w:rPr>
                <w:sz w:val="22"/>
              </w:rPr>
              <w:t>168</w:t>
            </w:r>
          </w:p>
        </w:tc>
        <w:tc>
          <w:tcPr>
            <w:tcW w:w="1084" w:type="dxa"/>
            <w:vAlign w:val="bottom"/>
          </w:tcPr>
          <w:p w:rsidR="00000000" w:rsidRDefault="00000000">
            <w:pPr>
              <w:tabs>
                <w:tab w:val="decimal" w:pos="805"/>
              </w:tabs>
              <w:rPr>
                <w:sz w:val="22"/>
              </w:rPr>
            </w:pPr>
            <w:r>
              <w:rPr>
                <w:sz w:val="22"/>
              </w:rPr>
              <w:t>195</w:t>
            </w:r>
          </w:p>
        </w:tc>
        <w:tc>
          <w:tcPr>
            <w:tcW w:w="1313" w:type="dxa"/>
            <w:vAlign w:val="bottom"/>
          </w:tcPr>
          <w:p w:rsidR="00000000" w:rsidRDefault="00000000">
            <w:pPr>
              <w:tabs>
                <w:tab w:val="decimal" w:pos="723"/>
              </w:tabs>
              <w:rPr>
                <w:sz w:val="22"/>
              </w:rPr>
            </w:pPr>
            <w:r>
              <w:rPr>
                <w:sz w:val="22"/>
              </w:rPr>
              <w:t>86,2</w:t>
            </w:r>
          </w:p>
        </w:tc>
      </w:tr>
      <w:tr w:rsidR="00000000">
        <w:trPr>
          <w:cantSplit/>
          <w:tblHeader/>
          <w:jc w:val="center"/>
        </w:trPr>
        <w:tc>
          <w:tcPr>
            <w:tcW w:w="2595" w:type="dxa"/>
            <w:vAlign w:val="center"/>
          </w:tcPr>
          <w:p w:rsidR="00000000" w:rsidRDefault="00000000">
            <w:pPr>
              <w:tabs>
                <w:tab w:val="left" w:pos="316"/>
              </w:tabs>
              <w:rPr>
                <w:bCs/>
                <w:sz w:val="22"/>
              </w:rPr>
            </w:pPr>
            <w:r>
              <w:rPr>
                <w:bCs/>
                <w:sz w:val="22"/>
              </w:rPr>
              <w:tab/>
              <w:t>Total parcial</w:t>
            </w:r>
          </w:p>
        </w:tc>
        <w:tc>
          <w:tcPr>
            <w:tcW w:w="1080" w:type="dxa"/>
            <w:vAlign w:val="bottom"/>
          </w:tcPr>
          <w:p w:rsidR="00000000" w:rsidRDefault="00000000">
            <w:pPr>
              <w:tabs>
                <w:tab w:val="decimal" w:pos="805"/>
              </w:tabs>
              <w:rPr>
                <w:sz w:val="22"/>
              </w:rPr>
            </w:pPr>
            <w:r>
              <w:rPr>
                <w:sz w:val="22"/>
              </w:rPr>
              <w:t>9.824</w:t>
            </w:r>
          </w:p>
        </w:tc>
        <w:tc>
          <w:tcPr>
            <w:tcW w:w="1082" w:type="dxa"/>
            <w:vAlign w:val="bottom"/>
          </w:tcPr>
          <w:p w:rsidR="00000000" w:rsidRDefault="00000000">
            <w:pPr>
              <w:tabs>
                <w:tab w:val="decimal" w:pos="805"/>
              </w:tabs>
              <w:rPr>
                <w:sz w:val="22"/>
              </w:rPr>
            </w:pPr>
            <w:r>
              <w:rPr>
                <w:sz w:val="22"/>
              </w:rPr>
              <w:t>9.414</w:t>
            </w:r>
          </w:p>
        </w:tc>
        <w:tc>
          <w:tcPr>
            <w:tcW w:w="1091" w:type="dxa"/>
            <w:vAlign w:val="bottom"/>
          </w:tcPr>
          <w:p w:rsidR="00000000" w:rsidRDefault="00000000">
            <w:pPr>
              <w:tabs>
                <w:tab w:val="decimal" w:pos="603"/>
              </w:tabs>
              <w:rPr>
                <w:sz w:val="22"/>
              </w:rPr>
            </w:pPr>
            <w:r>
              <w:rPr>
                <w:sz w:val="22"/>
              </w:rPr>
              <w:t>104,4</w:t>
            </w:r>
          </w:p>
        </w:tc>
        <w:tc>
          <w:tcPr>
            <w:tcW w:w="1078" w:type="dxa"/>
            <w:vAlign w:val="bottom"/>
          </w:tcPr>
          <w:p w:rsidR="00000000" w:rsidRDefault="00000000">
            <w:pPr>
              <w:tabs>
                <w:tab w:val="decimal" w:pos="805"/>
              </w:tabs>
              <w:rPr>
                <w:sz w:val="22"/>
              </w:rPr>
            </w:pPr>
            <w:r>
              <w:rPr>
                <w:sz w:val="22"/>
              </w:rPr>
              <w:t>9.849</w:t>
            </w:r>
          </w:p>
        </w:tc>
        <w:tc>
          <w:tcPr>
            <w:tcW w:w="1084" w:type="dxa"/>
            <w:vAlign w:val="bottom"/>
          </w:tcPr>
          <w:p w:rsidR="00000000" w:rsidRDefault="00000000">
            <w:pPr>
              <w:tabs>
                <w:tab w:val="decimal" w:pos="805"/>
              </w:tabs>
              <w:rPr>
                <w:sz w:val="22"/>
              </w:rPr>
            </w:pPr>
            <w:r>
              <w:rPr>
                <w:sz w:val="22"/>
              </w:rPr>
              <w:t>9.564</w:t>
            </w:r>
          </w:p>
        </w:tc>
        <w:tc>
          <w:tcPr>
            <w:tcW w:w="1313" w:type="dxa"/>
            <w:vAlign w:val="bottom"/>
          </w:tcPr>
          <w:p w:rsidR="00000000" w:rsidRDefault="00000000">
            <w:pPr>
              <w:tabs>
                <w:tab w:val="decimal" w:pos="723"/>
              </w:tabs>
              <w:rPr>
                <w:sz w:val="22"/>
              </w:rPr>
            </w:pPr>
            <w:r>
              <w:rPr>
                <w:sz w:val="22"/>
              </w:rPr>
              <w:t>103,0</w:t>
            </w:r>
          </w:p>
        </w:tc>
      </w:tr>
      <w:tr w:rsidR="00000000">
        <w:trPr>
          <w:cantSplit/>
          <w:tblHeader/>
          <w:jc w:val="center"/>
        </w:trPr>
        <w:tc>
          <w:tcPr>
            <w:tcW w:w="2595" w:type="dxa"/>
            <w:vAlign w:val="center"/>
          </w:tcPr>
          <w:p w:rsidR="00000000" w:rsidRDefault="00000000">
            <w:pPr>
              <w:rPr>
                <w:bCs/>
                <w:spacing w:val="-4"/>
                <w:sz w:val="22"/>
              </w:rPr>
            </w:pPr>
            <w:r>
              <w:rPr>
                <w:bCs/>
                <w:spacing w:val="-4"/>
                <w:sz w:val="22"/>
              </w:rPr>
              <w:t>Establecimientos regionales</w:t>
            </w:r>
            <w:r>
              <w:rPr>
                <w:b/>
                <w:spacing w:val="-4"/>
                <w:sz w:val="22"/>
                <w:vertAlign w:val="superscript"/>
              </w:rPr>
              <w:t>d</w:t>
            </w:r>
          </w:p>
        </w:tc>
        <w:tc>
          <w:tcPr>
            <w:tcW w:w="1080" w:type="dxa"/>
            <w:vAlign w:val="bottom"/>
          </w:tcPr>
          <w:p w:rsidR="00000000" w:rsidRDefault="00000000">
            <w:pPr>
              <w:tabs>
                <w:tab w:val="decimal" w:pos="805"/>
              </w:tabs>
              <w:rPr>
                <w:sz w:val="22"/>
              </w:rPr>
            </w:pPr>
            <w:r>
              <w:rPr>
                <w:sz w:val="22"/>
              </w:rPr>
              <w:t>3.811</w:t>
            </w:r>
          </w:p>
        </w:tc>
        <w:tc>
          <w:tcPr>
            <w:tcW w:w="1082" w:type="dxa"/>
            <w:vAlign w:val="bottom"/>
          </w:tcPr>
          <w:p w:rsidR="00000000" w:rsidRDefault="00000000">
            <w:pPr>
              <w:tabs>
                <w:tab w:val="decimal" w:pos="805"/>
              </w:tabs>
              <w:rPr>
                <w:sz w:val="22"/>
              </w:rPr>
            </w:pPr>
            <w:r>
              <w:rPr>
                <w:sz w:val="22"/>
              </w:rPr>
              <w:t>2.695</w:t>
            </w:r>
          </w:p>
        </w:tc>
        <w:tc>
          <w:tcPr>
            <w:tcW w:w="1091" w:type="dxa"/>
            <w:vAlign w:val="bottom"/>
          </w:tcPr>
          <w:p w:rsidR="00000000" w:rsidRDefault="00000000">
            <w:pPr>
              <w:tabs>
                <w:tab w:val="decimal" w:pos="603"/>
              </w:tabs>
              <w:rPr>
                <w:sz w:val="22"/>
              </w:rPr>
            </w:pPr>
            <w:r>
              <w:rPr>
                <w:sz w:val="22"/>
              </w:rPr>
              <w:t>141,4</w:t>
            </w:r>
          </w:p>
        </w:tc>
        <w:tc>
          <w:tcPr>
            <w:tcW w:w="1078" w:type="dxa"/>
            <w:vAlign w:val="bottom"/>
          </w:tcPr>
          <w:p w:rsidR="00000000" w:rsidRDefault="00000000">
            <w:pPr>
              <w:tabs>
                <w:tab w:val="decimal" w:pos="805"/>
              </w:tabs>
              <w:rPr>
                <w:sz w:val="22"/>
              </w:rPr>
            </w:pPr>
            <w:r>
              <w:rPr>
                <w:sz w:val="22"/>
              </w:rPr>
              <w:t>3.771</w:t>
            </w:r>
          </w:p>
        </w:tc>
        <w:tc>
          <w:tcPr>
            <w:tcW w:w="1084" w:type="dxa"/>
            <w:vAlign w:val="bottom"/>
          </w:tcPr>
          <w:p w:rsidR="00000000" w:rsidRDefault="00000000">
            <w:pPr>
              <w:tabs>
                <w:tab w:val="decimal" w:pos="805"/>
              </w:tabs>
              <w:rPr>
                <w:sz w:val="22"/>
              </w:rPr>
            </w:pPr>
            <w:r>
              <w:rPr>
                <w:sz w:val="22"/>
              </w:rPr>
              <w:t>2.711</w:t>
            </w:r>
          </w:p>
        </w:tc>
        <w:tc>
          <w:tcPr>
            <w:tcW w:w="1313" w:type="dxa"/>
            <w:vAlign w:val="bottom"/>
          </w:tcPr>
          <w:p w:rsidR="00000000" w:rsidRDefault="00000000">
            <w:pPr>
              <w:tabs>
                <w:tab w:val="decimal" w:pos="723"/>
              </w:tabs>
              <w:rPr>
                <w:sz w:val="22"/>
              </w:rPr>
            </w:pPr>
            <w:r>
              <w:rPr>
                <w:sz w:val="22"/>
              </w:rPr>
              <w:t>139,1</w:t>
            </w:r>
          </w:p>
        </w:tc>
      </w:tr>
      <w:tr w:rsidR="00000000">
        <w:trPr>
          <w:cantSplit/>
          <w:tblHeader/>
          <w:jc w:val="center"/>
        </w:trPr>
        <w:tc>
          <w:tcPr>
            <w:tcW w:w="2595" w:type="dxa"/>
            <w:vAlign w:val="center"/>
          </w:tcPr>
          <w:p w:rsidR="00000000" w:rsidRDefault="00000000">
            <w:pPr>
              <w:rPr>
                <w:sz w:val="22"/>
              </w:rPr>
            </w:pPr>
            <w:r>
              <w:rPr>
                <w:sz w:val="22"/>
              </w:rPr>
              <w:tab/>
              <w:t>Total</w:t>
            </w:r>
          </w:p>
        </w:tc>
        <w:tc>
          <w:tcPr>
            <w:tcW w:w="1080" w:type="dxa"/>
            <w:vAlign w:val="bottom"/>
          </w:tcPr>
          <w:p w:rsidR="00000000" w:rsidRDefault="00000000">
            <w:pPr>
              <w:jc w:val="center"/>
              <w:rPr>
                <w:sz w:val="22"/>
              </w:rPr>
            </w:pPr>
            <w:r>
              <w:rPr>
                <w:sz w:val="22"/>
              </w:rPr>
              <w:t>13.635</w:t>
            </w:r>
          </w:p>
        </w:tc>
        <w:tc>
          <w:tcPr>
            <w:tcW w:w="1082" w:type="dxa"/>
            <w:vAlign w:val="bottom"/>
          </w:tcPr>
          <w:p w:rsidR="00000000" w:rsidRDefault="00000000">
            <w:pPr>
              <w:jc w:val="center"/>
              <w:rPr>
                <w:sz w:val="22"/>
              </w:rPr>
            </w:pPr>
            <w:r>
              <w:rPr>
                <w:sz w:val="22"/>
              </w:rPr>
              <w:t>12.109</w:t>
            </w:r>
          </w:p>
        </w:tc>
        <w:tc>
          <w:tcPr>
            <w:tcW w:w="1091" w:type="dxa"/>
            <w:vAlign w:val="bottom"/>
          </w:tcPr>
          <w:p w:rsidR="00000000" w:rsidRDefault="00000000">
            <w:pPr>
              <w:jc w:val="center"/>
              <w:rPr>
                <w:sz w:val="22"/>
              </w:rPr>
            </w:pPr>
            <w:r>
              <w:rPr>
                <w:sz w:val="22"/>
              </w:rPr>
              <w:t>112,6</w:t>
            </w:r>
          </w:p>
        </w:tc>
        <w:tc>
          <w:tcPr>
            <w:tcW w:w="1078" w:type="dxa"/>
            <w:vAlign w:val="bottom"/>
          </w:tcPr>
          <w:p w:rsidR="00000000" w:rsidRDefault="00000000">
            <w:pPr>
              <w:jc w:val="center"/>
              <w:rPr>
                <w:sz w:val="22"/>
              </w:rPr>
            </w:pPr>
            <w:r>
              <w:rPr>
                <w:sz w:val="22"/>
              </w:rPr>
              <w:t>13.620</w:t>
            </w:r>
          </w:p>
        </w:tc>
        <w:tc>
          <w:tcPr>
            <w:tcW w:w="1084" w:type="dxa"/>
            <w:vAlign w:val="bottom"/>
          </w:tcPr>
          <w:p w:rsidR="00000000" w:rsidRDefault="00000000">
            <w:pPr>
              <w:jc w:val="center"/>
              <w:rPr>
                <w:sz w:val="22"/>
              </w:rPr>
            </w:pPr>
            <w:r>
              <w:rPr>
                <w:sz w:val="22"/>
              </w:rPr>
              <w:t>12.275</w:t>
            </w:r>
          </w:p>
        </w:tc>
        <w:tc>
          <w:tcPr>
            <w:tcW w:w="1313" w:type="dxa"/>
            <w:vAlign w:val="bottom"/>
          </w:tcPr>
          <w:p w:rsidR="00000000" w:rsidRDefault="00000000">
            <w:pPr>
              <w:jc w:val="center"/>
              <w:rPr>
                <w:sz w:val="22"/>
              </w:rPr>
            </w:pPr>
            <w:r>
              <w:rPr>
                <w:sz w:val="22"/>
              </w:rPr>
              <w:t>111,0</w:t>
            </w:r>
          </w:p>
        </w:tc>
      </w:tr>
    </w:tbl>
    <w:p w:rsidR="00000000" w:rsidRDefault="00000000">
      <w:pPr>
        <w:spacing w:before="240" w:after="240"/>
        <w:rPr>
          <w:sz w:val="22"/>
        </w:rPr>
      </w:pPr>
      <w:r>
        <w:rPr>
          <w:b/>
          <w:sz w:val="22"/>
          <w:vertAlign w:val="superscript"/>
        </w:rPr>
        <w:t>a</w:t>
      </w:r>
      <w:r>
        <w:rPr>
          <w:sz w:val="22"/>
        </w:rPr>
        <w:t xml:space="preserve"> Para 2004, los datos se han actualizado al 15 de junio.</w:t>
      </w:r>
    </w:p>
    <w:p w:rsidR="00000000" w:rsidRDefault="00000000">
      <w:pPr>
        <w:spacing w:after="240"/>
        <w:rPr>
          <w:sz w:val="22"/>
        </w:rPr>
      </w:pPr>
      <w:r>
        <w:rPr>
          <w:b/>
          <w:sz w:val="22"/>
          <w:vertAlign w:val="superscript"/>
        </w:rPr>
        <w:t>b</w:t>
      </w:r>
      <w:r>
        <w:rPr>
          <w:sz w:val="22"/>
        </w:rPr>
        <w:t xml:space="preserve"> El establecimiento de Carregueira únicamente empezó a funcionar en 2002 con una ocupación provisional; por tanto, las cifras se refieren únicamente a la fase intermedia de la actividad.</w:t>
      </w:r>
    </w:p>
    <w:p w:rsidR="00000000" w:rsidRDefault="00000000">
      <w:pPr>
        <w:spacing w:after="240"/>
        <w:rPr>
          <w:sz w:val="22"/>
        </w:rPr>
      </w:pPr>
      <w:r>
        <w:rPr>
          <w:b/>
          <w:sz w:val="22"/>
          <w:vertAlign w:val="superscript"/>
        </w:rPr>
        <w:t>c</w:t>
      </w:r>
      <w:r>
        <w:rPr>
          <w:sz w:val="22"/>
        </w:rPr>
        <w:t xml:space="preserve"> Para el Hospital de São João de Deus, en 2003 y en 2004 únicamente se cuentan los detenidos asignados y los internados para un tratamiento.</w:t>
      </w:r>
    </w:p>
    <w:p w:rsidR="00000000" w:rsidRDefault="00000000">
      <w:pPr>
        <w:spacing w:after="240"/>
        <w:rPr>
          <w:sz w:val="22"/>
        </w:rPr>
      </w:pPr>
      <w:r>
        <w:rPr>
          <w:b/>
          <w:sz w:val="22"/>
          <w:vertAlign w:val="superscript"/>
        </w:rPr>
        <w:t>d</w:t>
      </w:r>
      <w:r>
        <w:rPr>
          <w:bCs/>
          <w:sz w:val="22"/>
        </w:rPr>
        <w:t xml:space="preserve"> </w:t>
      </w:r>
      <w:r>
        <w:rPr>
          <w:sz w:val="22"/>
        </w:rPr>
        <w:t>Las cifras de los establecimientos regionales se han remitido al cuadro 7-B.</w:t>
      </w:r>
    </w:p>
    <w:p w:rsidR="00000000" w:rsidRDefault="00000000">
      <w:pPr>
        <w:spacing w:after="180"/>
        <w:jc w:val="center"/>
        <w:rPr>
          <w:b/>
          <w:bCs/>
          <w:sz w:val="22"/>
        </w:rPr>
      </w:pPr>
      <w:r>
        <w:rPr>
          <w:sz w:val="22"/>
        </w:rPr>
        <w:br w:type="page"/>
      </w:r>
      <w:r>
        <w:rPr>
          <w:b/>
          <w:bCs/>
          <w:sz w:val="22"/>
        </w:rPr>
        <w:t>Cuadro 7-B</w:t>
      </w:r>
    </w:p>
    <w:p w:rsidR="00000000" w:rsidRDefault="00000000">
      <w:pPr>
        <w:spacing w:after="180"/>
        <w:jc w:val="center"/>
        <w:rPr>
          <w:b/>
          <w:bCs/>
          <w:sz w:val="22"/>
        </w:rPr>
      </w:pPr>
      <w:r>
        <w:rPr>
          <w:b/>
          <w:bCs/>
          <w:sz w:val="22"/>
        </w:rPr>
        <w:t>Población carcelaria por establecimiento, ocupación y tasa de ocupación</w:t>
      </w:r>
      <w:r>
        <w:rPr>
          <w:b/>
          <w:bCs/>
          <w:sz w:val="22"/>
        </w:rPr>
        <w:br/>
        <w:t>(al 31 de diciembre de 2003 y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95"/>
        <w:gridCol w:w="1080"/>
        <w:gridCol w:w="1082"/>
        <w:gridCol w:w="1091"/>
        <w:gridCol w:w="1078"/>
        <w:gridCol w:w="1084"/>
        <w:gridCol w:w="1313"/>
      </w:tblGrid>
      <w:tr w:rsidR="00000000">
        <w:trPr>
          <w:cantSplit/>
          <w:tblHeader/>
          <w:jc w:val="center"/>
        </w:trPr>
        <w:tc>
          <w:tcPr>
            <w:tcW w:w="2595" w:type="dxa"/>
            <w:vMerge w:val="restart"/>
            <w:vAlign w:val="center"/>
          </w:tcPr>
          <w:p w:rsidR="00000000" w:rsidRDefault="00000000">
            <w:pPr>
              <w:jc w:val="center"/>
              <w:rPr>
                <w:sz w:val="22"/>
              </w:rPr>
            </w:pPr>
            <w:r>
              <w:rPr>
                <w:bCs/>
                <w:sz w:val="22"/>
              </w:rPr>
              <w:t>Establecimientos</w:t>
            </w:r>
          </w:p>
        </w:tc>
        <w:tc>
          <w:tcPr>
            <w:tcW w:w="3253" w:type="dxa"/>
            <w:gridSpan w:val="3"/>
            <w:vAlign w:val="center"/>
          </w:tcPr>
          <w:p w:rsidR="00000000" w:rsidRDefault="00000000">
            <w:pPr>
              <w:jc w:val="center"/>
              <w:rPr>
                <w:sz w:val="22"/>
              </w:rPr>
            </w:pPr>
            <w:r>
              <w:rPr>
                <w:sz w:val="22"/>
              </w:rPr>
              <w:t>2003</w:t>
            </w:r>
          </w:p>
        </w:tc>
        <w:tc>
          <w:tcPr>
            <w:tcW w:w="3475" w:type="dxa"/>
            <w:gridSpan w:val="3"/>
            <w:vAlign w:val="center"/>
          </w:tcPr>
          <w:p w:rsidR="00000000" w:rsidRDefault="00000000">
            <w:pPr>
              <w:jc w:val="center"/>
              <w:rPr>
                <w:b/>
                <w:bCs/>
                <w:sz w:val="22"/>
                <w:vertAlign w:val="superscript"/>
              </w:rPr>
            </w:pPr>
            <w:r>
              <w:rPr>
                <w:sz w:val="22"/>
              </w:rPr>
              <w:t>2004</w:t>
            </w:r>
            <w:r>
              <w:rPr>
                <w:b/>
                <w:bCs/>
                <w:sz w:val="22"/>
                <w:vertAlign w:val="superscript"/>
              </w:rPr>
              <w:t>a</w:t>
            </w:r>
          </w:p>
        </w:tc>
      </w:tr>
      <w:tr w:rsidR="00000000">
        <w:trPr>
          <w:cantSplit/>
          <w:tblHeader/>
          <w:jc w:val="center"/>
        </w:trPr>
        <w:tc>
          <w:tcPr>
            <w:tcW w:w="2595" w:type="dxa"/>
            <w:vMerge/>
            <w:vAlign w:val="center"/>
          </w:tcPr>
          <w:p w:rsidR="00000000" w:rsidRDefault="00000000">
            <w:pPr>
              <w:jc w:val="center"/>
              <w:rPr>
                <w:sz w:val="22"/>
              </w:rPr>
            </w:pPr>
          </w:p>
        </w:tc>
        <w:tc>
          <w:tcPr>
            <w:tcW w:w="1080" w:type="dxa"/>
            <w:vAlign w:val="center"/>
          </w:tcPr>
          <w:p w:rsidR="00000000" w:rsidRDefault="00000000">
            <w:pPr>
              <w:jc w:val="center"/>
              <w:rPr>
                <w:sz w:val="22"/>
              </w:rPr>
            </w:pPr>
            <w:r>
              <w:rPr>
                <w:bCs/>
                <w:sz w:val="22"/>
              </w:rPr>
              <w:t>Número de detenidos</w:t>
            </w:r>
          </w:p>
        </w:tc>
        <w:tc>
          <w:tcPr>
            <w:tcW w:w="1082" w:type="dxa"/>
            <w:vAlign w:val="center"/>
          </w:tcPr>
          <w:p w:rsidR="00000000" w:rsidRDefault="00000000">
            <w:pPr>
              <w:jc w:val="center"/>
              <w:rPr>
                <w:sz w:val="22"/>
              </w:rPr>
            </w:pPr>
            <w:r>
              <w:rPr>
                <w:sz w:val="22"/>
              </w:rPr>
              <w:t>Ocupación</w:t>
            </w:r>
          </w:p>
        </w:tc>
        <w:tc>
          <w:tcPr>
            <w:tcW w:w="1091" w:type="dxa"/>
            <w:vAlign w:val="center"/>
          </w:tcPr>
          <w:p w:rsidR="00000000" w:rsidRDefault="00000000">
            <w:pPr>
              <w:jc w:val="center"/>
              <w:rPr>
                <w:sz w:val="22"/>
              </w:rPr>
            </w:pPr>
            <w:r>
              <w:rPr>
                <w:sz w:val="22"/>
              </w:rPr>
              <w:t>Tasa de ocupación en %</w:t>
            </w:r>
          </w:p>
        </w:tc>
        <w:tc>
          <w:tcPr>
            <w:tcW w:w="1078" w:type="dxa"/>
            <w:vAlign w:val="center"/>
          </w:tcPr>
          <w:p w:rsidR="00000000" w:rsidRDefault="00000000">
            <w:pPr>
              <w:jc w:val="center"/>
              <w:rPr>
                <w:sz w:val="22"/>
              </w:rPr>
            </w:pPr>
            <w:r>
              <w:rPr>
                <w:bCs/>
                <w:sz w:val="22"/>
              </w:rPr>
              <w:t>Número de detenidos</w:t>
            </w:r>
          </w:p>
        </w:tc>
        <w:tc>
          <w:tcPr>
            <w:tcW w:w="1084" w:type="dxa"/>
            <w:vAlign w:val="center"/>
          </w:tcPr>
          <w:p w:rsidR="00000000" w:rsidRDefault="00000000">
            <w:pPr>
              <w:jc w:val="center"/>
              <w:rPr>
                <w:sz w:val="22"/>
              </w:rPr>
            </w:pPr>
            <w:r>
              <w:rPr>
                <w:sz w:val="22"/>
              </w:rPr>
              <w:t>Ocupación</w:t>
            </w:r>
          </w:p>
        </w:tc>
        <w:tc>
          <w:tcPr>
            <w:tcW w:w="1313" w:type="dxa"/>
            <w:vAlign w:val="center"/>
          </w:tcPr>
          <w:p w:rsidR="00000000" w:rsidRDefault="00000000">
            <w:pPr>
              <w:jc w:val="center"/>
              <w:rPr>
                <w:sz w:val="22"/>
              </w:rPr>
            </w:pPr>
            <w:r>
              <w:rPr>
                <w:sz w:val="22"/>
              </w:rPr>
              <w:t>Tasa de ocupación en %</w:t>
            </w:r>
          </w:p>
        </w:tc>
      </w:tr>
      <w:tr w:rsidR="00000000">
        <w:trPr>
          <w:cantSplit/>
          <w:tblHeader/>
          <w:jc w:val="center"/>
        </w:trPr>
        <w:tc>
          <w:tcPr>
            <w:tcW w:w="2595" w:type="dxa"/>
            <w:vAlign w:val="center"/>
          </w:tcPr>
          <w:p w:rsidR="00000000" w:rsidRDefault="00000000">
            <w:pPr>
              <w:rPr>
                <w:bCs/>
                <w:sz w:val="22"/>
              </w:rPr>
            </w:pPr>
            <w:r>
              <w:rPr>
                <w:bCs/>
                <w:sz w:val="22"/>
              </w:rPr>
              <w:t>Establecimientos regionales</w:t>
            </w:r>
          </w:p>
        </w:tc>
        <w:tc>
          <w:tcPr>
            <w:tcW w:w="1080" w:type="dxa"/>
            <w:vAlign w:val="bottom"/>
          </w:tcPr>
          <w:p w:rsidR="00000000" w:rsidRDefault="00000000">
            <w:pPr>
              <w:rPr>
                <w:sz w:val="22"/>
              </w:rPr>
            </w:pPr>
          </w:p>
        </w:tc>
        <w:tc>
          <w:tcPr>
            <w:tcW w:w="1082" w:type="dxa"/>
            <w:vAlign w:val="bottom"/>
          </w:tcPr>
          <w:p w:rsidR="00000000" w:rsidRDefault="00000000">
            <w:pPr>
              <w:rPr>
                <w:sz w:val="22"/>
              </w:rPr>
            </w:pPr>
          </w:p>
        </w:tc>
        <w:tc>
          <w:tcPr>
            <w:tcW w:w="1091" w:type="dxa"/>
            <w:vAlign w:val="bottom"/>
          </w:tcPr>
          <w:p w:rsidR="00000000" w:rsidRDefault="00000000">
            <w:pPr>
              <w:rPr>
                <w:sz w:val="22"/>
              </w:rPr>
            </w:pPr>
          </w:p>
        </w:tc>
        <w:tc>
          <w:tcPr>
            <w:tcW w:w="1078" w:type="dxa"/>
            <w:vAlign w:val="bottom"/>
          </w:tcPr>
          <w:p w:rsidR="00000000" w:rsidRDefault="00000000">
            <w:pPr>
              <w:tabs>
                <w:tab w:val="decimal" w:pos="763"/>
              </w:tabs>
              <w:rPr>
                <w:sz w:val="22"/>
              </w:rPr>
            </w:pPr>
          </w:p>
        </w:tc>
        <w:tc>
          <w:tcPr>
            <w:tcW w:w="1084" w:type="dxa"/>
            <w:vAlign w:val="bottom"/>
          </w:tcPr>
          <w:p w:rsidR="00000000" w:rsidRDefault="00000000">
            <w:pPr>
              <w:rPr>
                <w:sz w:val="22"/>
              </w:rPr>
            </w:pPr>
          </w:p>
        </w:tc>
        <w:tc>
          <w:tcPr>
            <w:tcW w:w="1313" w:type="dxa"/>
            <w:vAlign w:val="bottom"/>
          </w:tcPr>
          <w:p w:rsidR="00000000" w:rsidRDefault="00000000">
            <w:pPr>
              <w:rPr>
                <w:sz w:val="22"/>
              </w:rPr>
            </w:pPr>
          </w:p>
        </w:tc>
      </w:tr>
      <w:tr w:rsidR="00000000">
        <w:trPr>
          <w:cantSplit/>
          <w:tblHeader/>
          <w:jc w:val="center"/>
        </w:trPr>
        <w:tc>
          <w:tcPr>
            <w:tcW w:w="2595" w:type="dxa"/>
            <w:vAlign w:val="center"/>
          </w:tcPr>
          <w:p w:rsidR="00000000" w:rsidRDefault="00000000">
            <w:pPr>
              <w:rPr>
                <w:sz w:val="22"/>
              </w:rPr>
            </w:pPr>
            <w:r>
              <w:rPr>
                <w:sz w:val="22"/>
              </w:rPr>
              <w:t>Angra do Heroísmo</w:t>
            </w:r>
          </w:p>
        </w:tc>
        <w:tc>
          <w:tcPr>
            <w:tcW w:w="1080" w:type="dxa"/>
            <w:vAlign w:val="bottom"/>
          </w:tcPr>
          <w:p w:rsidR="00000000" w:rsidRDefault="00000000">
            <w:pPr>
              <w:tabs>
                <w:tab w:val="decimal" w:pos="763"/>
              </w:tabs>
              <w:rPr>
                <w:sz w:val="22"/>
              </w:rPr>
            </w:pPr>
            <w:r>
              <w:rPr>
                <w:sz w:val="22"/>
              </w:rPr>
              <w:t>72</w:t>
            </w:r>
          </w:p>
        </w:tc>
        <w:tc>
          <w:tcPr>
            <w:tcW w:w="1082" w:type="dxa"/>
            <w:vAlign w:val="bottom"/>
          </w:tcPr>
          <w:p w:rsidR="00000000" w:rsidRDefault="00000000">
            <w:pPr>
              <w:tabs>
                <w:tab w:val="decimal" w:pos="763"/>
              </w:tabs>
              <w:rPr>
                <w:sz w:val="22"/>
              </w:rPr>
            </w:pPr>
            <w:r>
              <w:rPr>
                <w:sz w:val="22"/>
              </w:rPr>
              <w:t>39</w:t>
            </w:r>
          </w:p>
        </w:tc>
        <w:tc>
          <w:tcPr>
            <w:tcW w:w="1091" w:type="dxa"/>
            <w:vAlign w:val="bottom"/>
          </w:tcPr>
          <w:p w:rsidR="00000000" w:rsidRDefault="00000000">
            <w:pPr>
              <w:tabs>
                <w:tab w:val="decimal" w:pos="603"/>
              </w:tabs>
              <w:rPr>
                <w:sz w:val="22"/>
              </w:rPr>
            </w:pPr>
            <w:r>
              <w:rPr>
                <w:sz w:val="22"/>
              </w:rPr>
              <w:t>184,6</w:t>
            </w:r>
          </w:p>
        </w:tc>
        <w:tc>
          <w:tcPr>
            <w:tcW w:w="1078" w:type="dxa"/>
            <w:vAlign w:val="bottom"/>
          </w:tcPr>
          <w:p w:rsidR="00000000" w:rsidRDefault="00000000">
            <w:pPr>
              <w:tabs>
                <w:tab w:val="decimal" w:pos="763"/>
              </w:tabs>
              <w:rPr>
                <w:sz w:val="22"/>
              </w:rPr>
            </w:pPr>
            <w:r>
              <w:rPr>
                <w:sz w:val="22"/>
              </w:rPr>
              <w:t>78</w:t>
            </w:r>
          </w:p>
        </w:tc>
        <w:tc>
          <w:tcPr>
            <w:tcW w:w="1084" w:type="dxa"/>
            <w:vAlign w:val="bottom"/>
          </w:tcPr>
          <w:p w:rsidR="00000000" w:rsidRDefault="00000000">
            <w:pPr>
              <w:tabs>
                <w:tab w:val="decimal" w:pos="763"/>
              </w:tabs>
              <w:rPr>
                <w:sz w:val="22"/>
              </w:rPr>
            </w:pPr>
            <w:r>
              <w:rPr>
                <w:sz w:val="22"/>
              </w:rPr>
              <w:t>39</w:t>
            </w:r>
          </w:p>
        </w:tc>
        <w:tc>
          <w:tcPr>
            <w:tcW w:w="1313" w:type="dxa"/>
            <w:vAlign w:val="bottom"/>
          </w:tcPr>
          <w:p w:rsidR="00000000" w:rsidRDefault="00000000">
            <w:pPr>
              <w:tabs>
                <w:tab w:val="decimal" w:pos="723"/>
              </w:tabs>
              <w:rPr>
                <w:sz w:val="22"/>
              </w:rPr>
            </w:pPr>
            <w:r>
              <w:rPr>
                <w:sz w:val="22"/>
              </w:rPr>
              <w:t>200,0</w:t>
            </w:r>
          </w:p>
        </w:tc>
      </w:tr>
      <w:tr w:rsidR="00000000">
        <w:trPr>
          <w:cantSplit/>
          <w:tblHeader/>
          <w:jc w:val="center"/>
        </w:trPr>
        <w:tc>
          <w:tcPr>
            <w:tcW w:w="2595" w:type="dxa"/>
            <w:vAlign w:val="center"/>
          </w:tcPr>
          <w:p w:rsidR="00000000" w:rsidRDefault="00000000">
            <w:pPr>
              <w:rPr>
                <w:sz w:val="22"/>
              </w:rPr>
            </w:pPr>
            <w:r>
              <w:rPr>
                <w:sz w:val="22"/>
              </w:rPr>
              <w:t>Prisión de apoyo de Horta</w:t>
            </w:r>
          </w:p>
        </w:tc>
        <w:tc>
          <w:tcPr>
            <w:tcW w:w="1080" w:type="dxa"/>
            <w:vAlign w:val="bottom"/>
          </w:tcPr>
          <w:p w:rsidR="00000000" w:rsidRDefault="00000000">
            <w:pPr>
              <w:tabs>
                <w:tab w:val="decimal" w:pos="763"/>
              </w:tabs>
              <w:rPr>
                <w:sz w:val="22"/>
              </w:rPr>
            </w:pPr>
            <w:r>
              <w:rPr>
                <w:sz w:val="22"/>
              </w:rPr>
              <w:t>33</w:t>
            </w:r>
          </w:p>
        </w:tc>
        <w:tc>
          <w:tcPr>
            <w:tcW w:w="1082" w:type="dxa"/>
            <w:vAlign w:val="bottom"/>
          </w:tcPr>
          <w:p w:rsidR="00000000" w:rsidRDefault="00000000">
            <w:pPr>
              <w:tabs>
                <w:tab w:val="decimal" w:pos="763"/>
              </w:tabs>
              <w:rPr>
                <w:sz w:val="22"/>
              </w:rPr>
            </w:pPr>
            <w:r>
              <w:rPr>
                <w:sz w:val="22"/>
              </w:rPr>
              <w:t>17</w:t>
            </w:r>
          </w:p>
        </w:tc>
        <w:tc>
          <w:tcPr>
            <w:tcW w:w="1091" w:type="dxa"/>
            <w:vAlign w:val="bottom"/>
          </w:tcPr>
          <w:p w:rsidR="00000000" w:rsidRDefault="00000000">
            <w:pPr>
              <w:tabs>
                <w:tab w:val="decimal" w:pos="603"/>
              </w:tabs>
              <w:rPr>
                <w:sz w:val="22"/>
              </w:rPr>
            </w:pPr>
            <w:r>
              <w:rPr>
                <w:sz w:val="22"/>
              </w:rPr>
              <w:t>194,1</w:t>
            </w:r>
          </w:p>
        </w:tc>
        <w:tc>
          <w:tcPr>
            <w:tcW w:w="1078" w:type="dxa"/>
            <w:vAlign w:val="bottom"/>
          </w:tcPr>
          <w:p w:rsidR="00000000" w:rsidRDefault="00000000">
            <w:pPr>
              <w:tabs>
                <w:tab w:val="decimal" w:pos="763"/>
              </w:tabs>
              <w:rPr>
                <w:sz w:val="22"/>
              </w:rPr>
            </w:pPr>
            <w:r>
              <w:rPr>
                <w:sz w:val="22"/>
              </w:rPr>
              <w:t>24</w:t>
            </w:r>
          </w:p>
        </w:tc>
        <w:tc>
          <w:tcPr>
            <w:tcW w:w="1084" w:type="dxa"/>
            <w:vAlign w:val="bottom"/>
          </w:tcPr>
          <w:p w:rsidR="00000000" w:rsidRDefault="00000000">
            <w:pPr>
              <w:tabs>
                <w:tab w:val="decimal" w:pos="763"/>
              </w:tabs>
              <w:rPr>
                <w:sz w:val="22"/>
              </w:rPr>
            </w:pPr>
            <w:r>
              <w:rPr>
                <w:sz w:val="22"/>
              </w:rPr>
              <w:t>17</w:t>
            </w:r>
          </w:p>
        </w:tc>
        <w:tc>
          <w:tcPr>
            <w:tcW w:w="1313" w:type="dxa"/>
            <w:vAlign w:val="bottom"/>
          </w:tcPr>
          <w:p w:rsidR="00000000" w:rsidRDefault="00000000">
            <w:pPr>
              <w:tabs>
                <w:tab w:val="decimal" w:pos="723"/>
              </w:tabs>
              <w:rPr>
                <w:sz w:val="22"/>
              </w:rPr>
            </w:pPr>
            <w:r>
              <w:rPr>
                <w:sz w:val="22"/>
              </w:rPr>
              <w:t>141,2</w:t>
            </w:r>
          </w:p>
        </w:tc>
      </w:tr>
      <w:tr w:rsidR="00000000">
        <w:trPr>
          <w:cantSplit/>
          <w:tblHeader/>
          <w:jc w:val="center"/>
        </w:trPr>
        <w:tc>
          <w:tcPr>
            <w:tcW w:w="2595" w:type="dxa"/>
            <w:vAlign w:val="center"/>
          </w:tcPr>
          <w:p w:rsidR="00000000" w:rsidRDefault="00000000">
            <w:pPr>
              <w:rPr>
                <w:sz w:val="22"/>
              </w:rPr>
            </w:pPr>
            <w:r>
              <w:rPr>
                <w:sz w:val="22"/>
              </w:rPr>
              <w:t>Aveiro</w:t>
            </w:r>
          </w:p>
        </w:tc>
        <w:tc>
          <w:tcPr>
            <w:tcW w:w="1080" w:type="dxa"/>
            <w:vAlign w:val="bottom"/>
          </w:tcPr>
          <w:p w:rsidR="00000000" w:rsidRDefault="00000000">
            <w:pPr>
              <w:tabs>
                <w:tab w:val="decimal" w:pos="763"/>
              </w:tabs>
              <w:rPr>
                <w:sz w:val="22"/>
              </w:rPr>
            </w:pPr>
            <w:r>
              <w:rPr>
                <w:sz w:val="22"/>
              </w:rPr>
              <w:t>131</w:t>
            </w:r>
          </w:p>
        </w:tc>
        <w:tc>
          <w:tcPr>
            <w:tcW w:w="1082" w:type="dxa"/>
            <w:vAlign w:val="bottom"/>
          </w:tcPr>
          <w:p w:rsidR="00000000" w:rsidRDefault="00000000">
            <w:pPr>
              <w:tabs>
                <w:tab w:val="decimal" w:pos="763"/>
              </w:tabs>
              <w:rPr>
                <w:sz w:val="22"/>
              </w:rPr>
            </w:pPr>
            <w:r>
              <w:rPr>
                <w:sz w:val="22"/>
              </w:rPr>
              <w:t>88</w:t>
            </w:r>
          </w:p>
        </w:tc>
        <w:tc>
          <w:tcPr>
            <w:tcW w:w="1091" w:type="dxa"/>
            <w:vAlign w:val="bottom"/>
          </w:tcPr>
          <w:p w:rsidR="00000000" w:rsidRDefault="00000000">
            <w:pPr>
              <w:tabs>
                <w:tab w:val="decimal" w:pos="603"/>
              </w:tabs>
              <w:rPr>
                <w:sz w:val="22"/>
              </w:rPr>
            </w:pPr>
            <w:r>
              <w:rPr>
                <w:sz w:val="22"/>
              </w:rPr>
              <w:t>148,9</w:t>
            </w:r>
          </w:p>
        </w:tc>
        <w:tc>
          <w:tcPr>
            <w:tcW w:w="1078" w:type="dxa"/>
            <w:vAlign w:val="bottom"/>
          </w:tcPr>
          <w:p w:rsidR="00000000" w:rsidRDefault="00000000">
            <w:pPr>
              <w:tabs>
                <w:tab w:val="decimal" w:pos="763"/>
              </w:tabs>
              <w:rPr>
                <w:sz w:val="22"/>
              </w:rPr>
            </w:pPr>
            <w:r>
              <w:rPr>
                <w:sz w:val="22"/>
              </w:rPr>
              <w:t>128</w:t>
            </w:r>
          </w:p>
        </w:tc>
        <w:tc>
          <w:tcPr>
            <w:tcW w:w="1084" w:type="dxa"/>
            <w:vAlign w:val="bottom"/>
          </w:tcPr>
          <w:p w:rsidR="00000000" w:rsidRDefault="00000000">
            <w:pPr>
              <w:tabs>
                <w:tab w:val="decimal" w:pos="763"/>
              </w:tabs>
              <w:rPr>
                <w:sz w:val="22"/>
              </w:rPr>
            </w:pPr>
            <w:r>
              <w:rPr>
                <w:sz w:val="22"/>
              </w:rPr>
              <w:t>88</w:t>
            </w:r>
          </w:p>
        </w:tc>
        <w:tc>
          <w:tcPr>
            <w:tcW w:w="1313" w:type="dxa"/>
            <w:vAlign w:val="bottom"/>
          </w:tcPr>
          <w:p w:rsidR="00000000" w:rsidRDefault="00000000">
            <w:pPr>
              <w:tabs>
                <w:tab w:val="decimal" w:pos="723"/>
              </w:tabs>
              <w:rPr>
                <w:sz w:val="22"/>
              </w:rPr>
            </w:pPr>
            <w:r>
              <w:rPr>
                <w:sz w:val="22"/>
              </w:rPr>
              <w:t>145,5</w:t>
            </w:r>
          </w:p>
        </w:tc>
      </w:tr>
      <w:tr w:rsidR="00000000">
        <w:trPr>
          <w:cantSplit/>
          <w:tblHeader/>
          <w:jc w:val="center"/>
        </w:trPr>
        <w:tc>
          <w:tcPr>
            <w:tcW w:w="2595" w:type="dxa"/>
            <w:vAlign w:val="center"/>
          </w:tcPr>
          <w:p w:rsidR="00000000" w:rsidRDefault="00000000">
            <w:pPr>
              <w:rPr>
                <w:sz w:val="22"/>
              </w:rPr>
            </w:pPr>
            <w:r>
              <w:rPr>
                <w:sz w:val="22"/>
              </w:rPr>
              <w:t>Beja</w:t>
            </w:r>
          </w:p>
        </w:tc>
        <w:tc>
          <w:tcPr>
            <w:tcW w:w="1080" w:type="dxa"/>
            <w:vAlign w:val="bottom"/>
          </w:tcPr>
          <w:p w:rsidR="00000000" w:rsidRDefault="00000000">
            <w:pPr>
              <w:tabs>
                <w:tab w:val="decimal" w:pos="763"/>
              </w:tabs>
              <w:rPr>
                <w:sz w:val="22"/>
              </w:rPr>
            </w:pPr>
            <w:r>
              <w:rPr>
                <w:sz w:val="22"/>
              </w:rPr>
              <w:t>92</w:t>
            </w:r>
          </w:p>
        </w:tc>
        <w:tc>
          <w:tcPr>
            <w:tcW w:w="1082" w:type="dxa"/>
            <w:vAlign w:val="bottom"/>
          </w:tcPr>
          <w:p w:rsidR="00000000" w:rsidRDefault="00000000">
            <w:pPr>
              <w:tabs>
                <w:tab w:val="decimal" w:pos="763"/>
              </w:tabs>
              <w:rPr>
                <w:sz w:val="22"/>
              </w:rPr>
            </w:pPr>
            <w:r>
              <w:rPr>
                <w:sz w:val="22"/>
              </w:rPr>
              <w:t>164</w:t>
            </w:r>
          </w:p>
        </w:tc>
        <w:tc>
          <w:tcPr>
            <w:tcW w:w="1091" w:type="dxa"/>
            <w:vAlign w:val="bottom"/>
          </w:tcPr>
          <w:p w:rsidR="00000000" w:rsidRDefault="00000000">
            <w:pPr>
              <w:tabs>
                <w:tab w:val="decimal" w:pos="603"/>
              </w:tabs>
              <w:rPr>
                <w:sz w:val="22"/>
              </w:rPr>
            </w:pPr>
            <w:r>
              <w:rPr>
                <w:sz w:val="22"/>
              </w:rPr>
              <w:t>56,1</w:t>
            </w:r>
          </w:p>
        </w:tc>
        <w:tc>
          <w:tcPr>
            <w:tcW w:w="1078" w:type="dxa"/>
            <w:vAlign w:val="bottom"/>
          </w:tcPr>
          <w:p w:rsidR="00000000" w:rsidRDefault="00000000">
            <w:pPr>
              <w:tabs>
                <w:tab w:val="decimal" w:pos="763"/>
              </w:tabs>
              <w:rPr>
                <w:sz w:val="22"/>
              </w:rPr>
            </w:pPr>
            <w:r>
              <w:rPr>
                <w:sz w:val="22"/>
              </w:rPr>
              <w:t>96</w:t>
            </w:r>
          </w:p>
        </w:tc>
        <w:tc>
          <w:tcPr>
            <w:tcW w:w="1084" w:type="dxa"/>
            <w:vAlign w:val="bottom"/>
          </w:tcPr>
          <w:p w:rsidR="00000000" w:rsidRDefault="00000000">
            <w:pPr>
              <w:tabs>
                <w:tab w:val="decimal" w:pos="763"/>
              </w:tabs>
              <w:rPr>
                <w:sz w:val="22"/>
              </w:rPr>
            </w:pPr>
            <w:r>
              <w:rPr>
                <w:sz w:val="22"/>
              </w:rPr>
              <w:t>164</w:t>
            </w:r>
          </w:p>
        </w:tc>
        <w:tc>
          <w:tcPr>
            <w:tcW w:w="1313" w:type="dxa"/>
            <w:vAlign w:val="bottom"/>
          </w:tcPr>
          <w:p w:rsidR="00000000" w:rsidRDefault="00000000">
            <w:pPr>
              <w:tabs>
                <w:tab w:val="decimal" w:pos="723"/>
              </w:tabs>
              <w:rPr>
                <w:sz w:val="22"/>
              </w:rPr>
            </w:pPr>
            <w:r>
              <w:rPr>
                <w:sz w:val="22"/>
              </w:rPr>
              <w:t>58,5</w:t>
            </w:r>
          </w:p>
        </w:tc>
      </w:tr>
      <w:tr w:rsidR="00000000">
        <w:trPr>
          <w:cantSplit/>
          <w:tblHeader/>
          <w:jc w:val="center"/>
        </w:trPr>
        <w:tc>
          <w:tcPr>
            <w:tcW w:w="2595" w:type="dxa"/>
            <w:vAlign w:val="center"/>
          </w:tcPr>
          <w:p w:rsidR="00000000" w:rsidRDefault="00000000">
            <w:pPr>
              <w:rPr>
                <w:sz w:val="22"/>
              </w:rPr>
            </w:pPr>
            <w:r>
              <w:rPr>
                <w:sz w:val="22"/>
              </w:rPr>
              <w:t>Braga</w:t>
            </w:r>
          </w:p>
        </w:tc>
        <w:tc>
          <w:tcPr>
            <w:tcW w:w="1080" w:type="dxa"/>
            <w:vAlign w:val="bottom"/>
          </w:tcPr>
          <w:p w:rsidR="00000000" w:rsidRDefault="00000000">
            <w:pPr>
              <w:tabs>
                <w:tab w:val="decimal" w:pos="763"/>
              </w:tabs>
              <w:rPr>
                <w:sz w:val="22"/>
              </w:rPr>
            </w:pPr>
            <w:r>
              <w:rPr>
                <w:sz w:val="22"/>
              </w:rPr>
              <w:t>157</w:t>
            </w:r>
          </w:p>
        </w:tc>
        <w:tc>
          <w:tcPr>
            <w:tcW w:w="1082" w:type="dxa"/>
            <w:vAlign w:val="bottom"/>
          </w:tcPr>
          <w:p w:rsidR="00000000" w:rsidRDefault="00000000">
            <w:pPr>
              <w:tabs>
                <w:tab w:val="decimal" w:pos="763"/>
              </w:tabs>
              <w:rPr>
                <w:sz w:val="22"/>
              </w:rPr>
            </w:pPr>
            <w:r>
              <w:rPr>
                <w:sz w:val="22"/>
              </w:rPr>
              <w:t>72</w:t>
            </w:r>
          </w:p>
        </w:tc>
        <w:tc>
          <w:tcPr>
            <w:tcW w:w="1091" w:type="dxa"/>
            <w:vAlign w:val="bottom"/>
          </w:tcPr>
          <w:p w:rsidR="00000000" w:rsidRDefault="00000000">
            <w:pPr>
              <w:tabs>
                <w:tab w:val="decimal" w:pos="603"/>
              </w:tabs>
              <w:rPr>
                <w:sz w:val="22"/>
              </w:rPr>
            </w:pPr>
            <w:r>
              <w:rPr>
                <w:sz w:val="22"/>
              </w:rPr>
              <w:t>218,1</w:t>
            </w:r>
          </w:p>
        </w:tc>
        <w:tc>
          <w:tcPr>
            <w:tcW w:w="1078" w:type="dxa"/>
            <w:vAlign w:val="bottom"/>
          </w:tcPr>
          <w:p w:rsidR="00000000" w:rsidRDefault="00000000">
            <w:pPr>
              <w:tabs>
                <w:tab w:val="decimal" w:pos="763"/>
              </w:tabs>
              <w:rPr>
                <w:sz w:val="22"/>
              </w:rPr>
            </w:pPr>
            <w:r>
              <w:rPr>
                <w:sz w:val="22"/>
              </w:rPr>
              <w:t>136</w:t>
            </w:r>
          </w:p>
        </w:tc>
        <w:tc>
          <w:tcPr>
            <w:tcW w:w="1084" w:type="dxa"/>
            <w:vAlign w:val="bottom"/>
          </w:tcPr>
          <w:p w:rsidR="00000000" w:rsidRDefault="00000000">
            <w:pPr>
              <w:tabs>
                <w:tab w:val="decimal" w:pos="763"/>
              </w:tabs>
              <w:rPr>
                <w:sz w:val="22"/>
              </w:rPr>
            </w:pPr>
            <w:r>
              <w:rPr>
                <w:sz w:val="22"/>
              </w:rPr>
              <w:t>72</w:t>
            </w:r>
          </w:p>
        </w:tc>
        <w:tc>
          <w:tcPr>
            <w:tcW w:w="1313" w:type="dxa"/>
            <w:vAlign w:val="bottom"/>
          </w:tcPr>
          <w:p w:rsidR="00000000" w:rsidRDefault="00000000">
            <w:pPr>
              <w:tabs>
                <w:tab w:val="decimal" w:pos="723"/>
              </w:tabs>
              <w:rPr>
                <w:sz w:val="22"/>
              </w:rPr>
            </w:pPr>
            <w:r>
              <w:rPr>
                <w:sz w:val="22"/>
              </w:rPr>
              <w:t>188,9</w:t>
            </w:r>
          </w:p>
        </w:tc>
      </w:tr>
      <w:tr w:rsidR="00000000">
        <w:trPr>
          <w:cantSplit/>
          <w:tblHeader/>
          <w:jc w:val="center"/>
        </w:trPr>
        <w:tc>
          <w:tcPr>
            <w:tcW w:w="2595" w:type="dxa"/>
            <w:vAlign w:val="center"/>
          </w:tcPr>
          <w:p w:rsidR="00000000" w:rsidRDefault="00000000">
            <w:pPr>
              <w:rPr>
                <w:sz w:val="22"/>
              </w:rPr>
            </w:pPr>
            <w:r>
              <w:rPr>
                <w:sz w:val="22"/>
              </w:rPr>
              <w:t>Bragança</w:t>
            </w:r>
          </w:p>
        </w:tc>
        <w:tc>
          <w:tcPr>
            <w:tcW w:w="1080" w:type="dxa"/>
            <w:vAlign w:val="bottom"/>
          </w:tcPr>
          <w:p w:rsidR="00000000" w:rsidRDefault="00000000">
            <w:pPr>
              <w:tabs>
                <w:tab w:val="decimal" w:pos="763"/>
              </w:tabs>
              <w:rPr>
                <w:sz w:val="22"/>
              </w:rPr>
            </w:pPr>
            <w:r>
              <w:rPr>
                <w:sz w:val="22"/>
              </w:rPr>
              <w:t>78</w:t>
            </w:r>
          </w:p>
        </w:tc>
        <w:tc>
          <w:tcPr>
            <w:tcW w:w="1082" w:type="dxa"/>
            <w:vAlign w:val="bottom"/>
          </w:tcPr>
          <w:p w:rsidR="00000000" w:rsidRDefault="00000000">
            <w:pPr>
              <w:tabs>
                <w:tab w:val="decimal" w:pos="763"/>
              </w:tabs>
              <w:rPr>
                <w:sz w:val="22"/>
              </w:rPr>
            </w:pPr>
            <w:r>
              <w:rPr>
                <w:sz w:val="22"/>
              </w:rPr>
              <w:t>75</w:t>
            </w:r>
          </w:p>
        </w:tc>
        <w:tc>
          <w:tcPr>
            <w:tcW w:w="1091" w:type="dxa"/>
            <w:vAlign w:val="bottom"/>
          </w:tcPr>
          <w:p w:rsidR="00000000" w:rsidRDefault="00000000">
            <w:pPr>
              <w:tabs>
                <w:tab w:val="decimal" w:pos="603"/>
              </w:tabs>
              <w:rPr>
                <w:sz w:val="22"/>
              </w:rPr>
            </w:pPr>
            <w:r>
              <w:rPr>
                <w:sz w:val="22"/>
              </w:rPr>
              <w:t>104,0</w:t>
            </w:r>
          </w:p>
        </w:tc>
        <w:tc>
          <w:tcPr>
            <w:tcW w:w="1078" w:type="dxa"/>
            <w:vAlign w:val="bottom"/>
          </w:tcPr>
          <w:p w:rsidR="00000000" w:rsidRDefault="00000000">
            <w:pPr>
              <w:tabs>
                <w:tab w:val="decimal" w:pos="763"/>
              </w:tabs>
              <w:rPr>
                <w:sz w:val="22"/>
              </w:rPr>
            </w:pPr>
            <w:r>
              <w:rPr>
                <w:sz w:val="22"/>
              </w:rPr>
              <w:t>78</w:t>
            </w:r>
          </w:p>
        </w:tc>
        <w:tc>
          <w:tcPr>
            <w:tcW w:w="1084" w:type="dxa"/>
            <w:vAlign w:val="bottom"/>
          </w:tcPr>
          <w:p w:rsidR="00000000" w:rsidRDefault="00000000">
            <w:pPr>
              <w:tabs>
                <w:tab w:val="decimal" w:pos="763"/>
              </w:tabs>
              <w:rPr>
                <w:sz w:val="22"/>
              </w:rPr>
            </w:pPr>
            <w:r>
              <w:rPr>
                <w:sz w:val="22"/>
              </w:rPr>
              <w:t>75</w:t>
            </w:r>
          </w:p>
        </w:tc>
        <w:tc>
          <w:tcPr>
            <w:tcW w:w="1313" w:type="dxa"/>
            <w:vAlign w:val="bottom"/>
          </w:tcPr>
          <w:p w:rsidR="00000000" w:rsidRDefault="00000000">
            <w:pPr>
              <w:tabs>
                <w:tab w:val="decimal" w:pos="723"/>
              </w:tabs>
              <w:rPr>
                <w:sz w:val="22"/>
              </w:rPr>
            </w:pPr>
            <w:r>
              <w:rPr>
                <w:sz w:val="22"/>
              </w:rPr>
              <w:t>104,5</w:t>
            </w:r>
          </w:p>
        </w:tc>
      </w:tr>
      <w:tr w:rsidR="00000000">
        <w:trPr>
          <w:cantSplit/>
          <w:tblHeader/>
          <w:jc w:val="center"/>
        </w:trPr>
        <w:tc>
          <w:tcPr>
            <w:tcW w:w="2595" w:type="dxa"/>
            <w:vAlign w:val="center"/>
          </w:tcPr>
          <w:p w:rsidR="00000000" w:rsidRDefault="00000000">
            <w:pPr>
              <w:rPr>
                <w:sz w:val="22"/>
              </w:rPr>
            </w:pPr>
            <w:r>
              <w:rPr>
                <w:sz w:val="22"/>
              </w:rPr>
              <w:t>Caldas da Raínha</w:t>
            </w:r>
          </w:p>
        </w:tc>
        <w:tc>
          <w:tcPr>
            <w:tcW w:w="1080" w:type="dxa"/>
            <w:vAlign w:val="bottom"/>
          </w:tcPr>
          <w:p w:rsidR="00000000" w:rsidRDefault="00000000">
            <w:pPr>
              <w:tabs>
                <w:tab w:val="decimal" w:pos="763"/>
              </w:tabs>
              <w:rPr>
                <w:sz w:val="22"/>
              </w:rPr>
            </w:pPr>
            <w:r>
              <w:rPr>
                <w:sz w:val="22"/>
              </w:rPr>
              <w:t>135</w:t>
            </w:r>
          </w:p>
        </w:tc>
        <w:tc>
          <w:tcPr>
            <w:tcW w:w="1082" w:type="dxa"/>
            <w:vAlign w:val="bottom"/>
          </w:tcPr>
          <w:p w:rsidR="00000000" w:rsidRDefault="00000000">
            <w:pPr>
              <w:tabs>
                <w:tab w:val="decimal" w:pos="763"/>
              </w:tabs>
              <w:rPr>
                <w:sz w:val="22"/>
              </w:rPr>
            </w:pPr>
            <w:r>
              <w:rPr>
                <w:sz w:val="22"/>
              </w:rPr>
              <w:t>104</w:t>
            </w:r>
          </w:p>
        </w:tc>
        <w:tc>
          <w:tcPr>
            <w:tcW w:w="1091" w:type="dxa"/>
            <w:vAlign w:val="bottom"/>
          </w:tcPr>
          <w:p w:rsidR="00000000" w:rsidRDefault="00000000">
            <w:pPr>
              <w:tabs>
                <w:tab w:val="decimal" w:pos="603"/>
              </w:tabs>
              <w:rPr>
                <w:sz w:val="22"/>
              </w:rPr>
            </w:pPr>
            <w:r>
              <w:rPr>
                <w:sz w:val="22"/>
              </w:rPr>
              <w:t>129,8</w:t>
            </w:r>
          </w:p>
        </w:tc>
        <w:tc>
          <w:tcPr>
            <w:tcW w:w="1078" w:type="dxa"/>
            <w:vAlign w:val="bottom"/>
          </w:tcPr>
          <w:p w:rsidR="00000000" w:rsidRDefault="00000000">
            <w:pPr>
              <w:tabs>
                <w:tab w:val="decimal" w:pos="763"/>
              </w:tabs>
              <w:rPr>
                <w:sz w:val="22"/>
              </w:rPr>
            </w:pPr>
            <w:r>
              <w:rPr>
                <w:sz w:val="22"/>
              </w:rPr>
              <w:t>133</w:t>
            </w:r>
          </w:p>
        </w:tc>
        <w:tc>
          <w:tcPr>
            <w:tcW w:w="1084" w:type="dxa"/>
            <w:vAlign w:val="bottom"/>
          </w:tcPr>
          <w:p w:rsidR="00000000" w:rsidRDefault="00000000">
            <w:pPr>
              <w:tabs>
                <w:tab w:val="decimal" w:pos="763"/>
              </w:tabs>
              <w:rPr>
                <w:sz w:val="22"/>
              </w:rPr>
            </w:pPr>
            <w:r>
              <w:rPr>
                <w:sz w:val="22"/>
              </w:rPr>
              <w:t>104</w:t>
            </w:r>
          </w:p>
        </w:tc>
        <w:tc>
          <w:tcPr>
            <w:tcW w:w="1313" w:type="dxa"/>
            <w:vAlign w:val="bottom"/>
          </w:tcPr>
          <w:p w:rsidR="00000000" w:rsidRDefault="00000000">
            <w:pPr>
              <w:tabs>
                <w:tab w:val="decimal" w:pos="723"/>
              </w:tabs>
              <w:rPr>
                <w:sz w:val="22"/>
              </w:rPr>
            </w:pPr>
            <w:r>
              <w:rPr>
                <w:sz w:val="22"/>
              </w:rPr>
              <w:t>127,9</w:t>
            </w:r>
          </w:p>
        </w:tc>
      </w:tr>
      <w:tr w:rsidR="00000000">
        <w:trPr>
          <w:cantSplit/>
          <w:tblHeader/>
          <w:jc w:val="center"/>
        </w:trPr>
        <w:tc>
          <w:tcPr>
            <w:tcW w:w="2595" w:type="dxa"/>
            <w:vAlign w:val="center"/>
          </w:tcPr>
          <w:p w:rsidR="00000000" w:rsidRDefault="00000000">
            <w:pPr>
              <w:rPr>
                <w:sz w:val="22"/>
              </w:rPr>
            </w:pPr>
            <w:r>
              <w:rPr>
                <w:sz w:val="22"/>
              </w:rPr>
              <w:t>Castelo Branco</w:t>
            </w:r>
          </w:p>
        </w:tc>
        <w:tc>
          <w:tcPr>
            <w:tcW w:w="1080" w:type="dxa"/>
            <w:vAlign w:val="bottom"/>
          </w:tcPr>
          <w:p w:rsidR="00000000" w:rsidRDefault="00000000">
            <w:pPr>
              <w:tabs>
                <w:tab w:val="decimal" w:pos="763"/>
              </w:tabs>
              <w:rPr>
                <w:sz w:val="22"/>
              </w:rPr>
            </w:pPr>
            <w:r>
              <w:rPr>
                <w:sz w:val="22"/>
              </w:rPr>
              <w:t>72</w:t>
            </w:r>
          </w:p>
        </w:tc>
        <w:tc>
          <w:tcPr>
            <w:tcW w:w="1082" w:type="dxa"/>
            <w:vAlign w:val="bottom"/>
          </w:tcPr>
          <w:p w:rsidR="00000000" w:rsidRDefault="00000000">
            <w:pPr>
              <w:tabs>
                <w:tab w:val="decimal" w:pos="763"/>
              </w:tabs>
              <w:rPr>
                <w:sz w:val="22"/>
              </w:rPr>
            </w:pPr>
            <w:r>
              <w:rPr>
                <w:sz w:val="22"/>
              </w:rPr>
              <w:t>31</w:t>
            </w:r>
          </w:p>
        </w:tc>
        <w:tc>
          <w:tcPr>
            <w:tcW w:w="1091" w:type="dxa"/>
            <w:vAlign w:val="bottom"/>
          </w:tcPr>
          <w:p w:rsidR="00000000" w:rsidRDefault="00000000">
            <w:pPr>
              <w:tabs>
                <w:tab w:val="decimal" w:pos="603"/>
              </w:tabs>
              <w:rPr>
                <w:sz w:val="22"/>
              </w:rPr>
            </w:pPr>
            <w:r>
              <w:rPr>
                <w:sz w:val="22"/>
              </w:rPr>
              <w:t>232,3</w:t>
            </w:r>
          </w:p>
        </w:tc>
        <w:tc>
          <w:tcPr>
            <w:tcW w:w="1078" w:type="dxa"/>
            <w:vAlign w:val="bottom"/>
          </w:tcPr>
          <w:p w:rsidR="00000000" w:rsidRDefault="00000000">
            <w:pPr>
              <w:tabs>
                <w:tab w:val="decimal" w:pos="763"/>
              </w:tabs>
              <w:rPr>
                <w:sz w:val="22"/>
              </w:rPr>
            </w:pPr>
            <w:r>
              <w:rPr>
                <w:sz w:val="22"/>
              </w:rPr>
              <w:t>70</w:t>
            </w:r>
          </w:p>
        </w:tc>
        <w:tc>
          <w:tcPr>
            <w:tcW w:w="1084" w:type="dxa"/>
            <w:vAlign w:val="bottom"/>
          </w:tcPr>
          <w:p w:rsidR="00000000" w:rsidRDefault="00000000">
            <w:pPr>
              <w:tabs>
                <w:tab w:val="decimal" w:pos="763"/>
              </w:tabs>
              <w:rPr>
                <w:sz w:val="22"/>
              </w:rPr>
            </w:pPr>
            <w:r>
              <w:rPr>
                <w:sz w:val="22"/>
              </w:rPr>
              <w:t>31</w:t>
            </w:r>
          </w:p>
        </w:tc>
        <w:tc>
          <w:tcPr>
            <w:tcW w:w="1313" w:type="dxa"/>
            <w:vAlign w:val="bottom"/>
          </w:tcPr>
          <w:p w:rsidR="00000000" w:rsidRDefault="00000000">
            <w:pPr>
              <w:tabs>
                <w:tab w:val="decimal" w:pos="723"/>
              </w:tabs>
              <w:rPr>
                <w:sz w:val="22"/>
              </w:rPr>
            </w:pPr>
            <w:r>
              <w:rPr>
                <w:sz w:val="22"/>
              </w:rPr>
              <w:t>225,8</w:t>
            </w:r>
          </w:p>
        </w:tc>
      </w:tr>
      <w:tr w:rsidR="00000000">
        <w:trPr>
          <w:cantSplit/>
          <w:tblHeader/>
          <w:jc w:val="center"/>
        </w:trPr>
        <w:tc>
          <w:tcPr>
            <w:tcW w:w="2595" w:type="dxa"/>
            <w:vAlign w:val="center"/>
          </w:tcPr>
          <w:p w:rsidR="00000000" w:rsidRDefault="00000000">
            <w:pPr>
              <w:rPr>
                <w:sz w:val="22"/>
              </w:rPr>
            </w:pPr>
            <w:r>
              <w:rPr>
                <w:sz w:val="22"/>
              </w:rPr>
              <w:t>Chaves</w:t>
            </w:r>
          </w:p>
        </w:tc>
        <w:tc>
          <w:tcPr>
            <w:tcW w:w="1080" w:type="dxa"/>
            <w:vAlign w:val="bottom"/>
          </w:tcPr>
          <w:p w:rsidR="00000000" w:rsidRDefault="00000000">
            <w:pPr>
              <w:tabs>
                <w:tab w:val="decimal" w:pos="763"/>
              </w:tabs>
              <w:rPr>
                <w:sz w:val="22"/>
              </w:rPr>
            </w:pPr>
            <w:r>
              <w:rPr>
                <w:sz w:val="22"/>
              </w:rPr>
              <w:t>51</w:t>
            </w:r>
          </w:p>
        </w:tc>
        <w:tc>
          <w:tcPr>
            <w:tcW w:w="1082" w:type="dxa"/>
            <w:vAlign w:val="bottom"/>
          </w:tcPr>
          <w:p w:rsidR="00000000" w:rsidRDefault="00000000">
            <w:pPr>
              <w:tabs>
                <w:tab w:val="decimal" w:pos="763"/>
              </w:tabs>
              <w:rPr>
                <w:sz w:val="22"/>
              </w:rPr>
            </w:pPr>
            <w:r>
              <w:rPr>
                <w:sz w:val="22"/>
              </w:rPr>
              <w:t>71</w:t>
            </w:r>
          </w:p>
        </w:tc>
        <w:tc>
          <w:tcPr>
            <w:tcW w:w="1091" w:type="dxa"/>
            <w:vAlign w:val="bottom"/>
          </w:tcPr>
          <w:p w:rsidR="00000000" w:rsidRDefault="00000000">
            <w:pPr>
              <w:tabs>
                <w:tab w:val="decimal" w:pos="603"/>
              </w:tabs>
              <w:rPr>
                <w:sz w:val="22"/>
              </w:rPr>
            </w:pPr>
            <w:r>
              <w:rPr>
                <w:sz w:val="22"/>
              </w:rPr>
              <w:t>71,8</w:t>
            </w:r>
          </w:p>
        </w:tc>
        <w:tc>
          <w:tcPr>
            <w:tcW w:w="1078" w:type="dxa"/>
            <w:vAlign w:val="bottom"/>
          </w:tcPr>
          <w:p w:rsidR="00000000" w:rsidRDefault="00000000">
            <w:pPr>
              <w:tabs>
                <w:tab w:val="decimal" w:pos="763"/>
              </w:tabs>
              <w:rPr>
                <w:sz w:val="22"/>
              </w:rPr>
            </w:pPr>
            <w:r>
              <w:rPr>
                <w:sz w:val="22"/>
              </w:rPr>
              <w:t>60</w:t>
            </w:r>
          </w:p>
        </w:tc>
        <w:tc>
          <w:tcPr>
            <w:tcW w:w="1084" w:type="dxa"/>
            <w:vAlign w:val="bottom"/>
          </w:tcPr>
          <w:p w:rsidR="00000000" w:rsidRDefault="00000000">
            <w:pPr>
              <w:tabs>
                <w:tab w:val="decimal" w:pos="763"/>
              </w:tabs>
              <w:rPr>
                <w:sz w:val="22"/>
              </w:rPr>
            </w:pPr>
            <w:r>
              <w:rPr>
                <w:sz w:val="22"/>
              </w:rPr>
              <w:t>71</w:t>
            </w:r>
          </w:p>
        </w:tc>
        <w:tc>
          <w:tcPr>
            <w:tcW w:w="1313" w:type="dxa"/>
            <w:vAlign w:val="bottom"/>
          </w:tcPr>
          <w:p w:rsidR="00000000" w:rsidRDefault="00000000">
            <w:pPr>
              <w:tabs>
                <w:tab w:val="decimal" w:pos="723"/>
              </w:tabs>
              <w:rPr>
                <w:sz w:val="22"/>
              </w:rPr>
            </w:pPr>
            <w:r>
              <w:rPr>
                <w:sz w:val="22"/>
              </w:rPr>
              <w:t>84,5</w:t>
            </w:r>
          </w:p>
        </w:tc>
      </w:tr>
      <w:tr w:rsidR="00000000">
        <w:trPr>
          <w:cantSplit/>
          <w:tblHeader/>
          <w:jc w:val="center"/>
        </w:trPr>
        <w:tc>
          <w:tcPr>
            <w:tcW w:w="2595" w:type="dxa"/>
            <w:vAlign w:val="center"/>
          </w:tcPr>
          <w:p w:rsidR="00000000" w:rsidRDefault="00000000">
            <w:pPr>
              <w:rPr>
                <w:sz w:val="22"/>
              </w:rPr>
            </w:pPr>
            <w:r>
              <w:rPr>
                <w:sz w:val="22"/>
              </w:rPr>
              <w:t>Coimbra</w:t>
            </w:r>
          </w:p>
        </w:tc>
        <w:tc>
          <w:tcPr>
            <w:tcW w:w="1080" w:type="dxa"/>
            <w:vAlign w:val="bottom"/>
          </w:tcPr>
          <w:p w:rsidR="00000000" w:rsidRDefault="00000000">
            <w:pPr>
              <w:tabs>
                <w:tab w:val="decimal" w:pos="763"/>
              </w:tabs>
              <w:rPr>
                <w:sz w:val="22"/>
              </w:rPr>
            </w:pPr>
            <w:r>
              <w:rPr>
                <w:sz w:val="22"/>
              </w:rPr>
              <w:t>217</w:t>
            </w:r>
          </w:p>
        </w:tc>
        <w:tc>
          <w:tcPr>
            <w:tcW w:w="1082" w:type="dxa"/>
            <w:vAlign w:val="bottom"/>
          </w:tcPr>
          <w:p w:rsidR="00000000" w:rsidRDefault="00000000">
            <w:pPr>
              <w:tabs>
                <w:tab w:val="decimal" w:pos="763"/>
              </w:tabs>
              <w:rPr>
                <w:sz w:val="22"/>
              </w:rPr>
            </w:pPr>
            <w:r>
              <w:rPr>
                <w:sz w:val="22"/>
              </w:rPr>
              <w:t>243</w:t>
            </w:r>
          </w:p>
        </w:tc>
        <w:tc>
          <w:tcPr>
            <w:tcW w:w="1091" w:type="dxa"/>
            <w:vAlign w:val="bottom"/>
          </w:tcPr>
          <w:p w:rsidR="00000000" w:rsidRDefault="00000000">
            <w:pPr>
              <w:tabs>
                <w:tab w:val="decimal" w:pos="603"/>
              </w:tabs>
              <w:rPr>
                <w:sz w:val="22"/>
              </w:rPr>
            </w:pPr>
            <w:r>
              <w:rPr>
                <w:sz w:val="22"/>
              </w:rPr>
              <w:t>89,3</w:t>
            </w:r>
          </w:p>
        </w:tc>
        <w:tc>
          <w:tcPr>
            <w:tcW w:w="1078" w:type="dxa"/>
            <w:vAlign w:val="bottom"/>
          </w:tcPr>
          <w:p w:rsidR="00000000" w:rsidRDefault="00000000">
            <w:pPr>
              <w:tabs>
                <w:tab w:val="decimal" w:pos="763"/>
              </w:tabs>
              <w:rPr>
                <w:sz w:val="22"/>
              </w:rPr>
            </w:pPr>
            <w:r>
              <w:rPr>
                <w:sz w:val="22"/>
              </w:rPr>
              <w:t>240</w:t>
            </w:r>
          </w:p>
        </w:tc>
        <w:tc>
          <w:tcPr>
            <w:tcW w:w="1084" w:type="dxa"/>
            <w:vAlign w:val="bottom"/>
          </w:tcPr>
          <w:p w:rsidR="00000000" w:rsidRDefault="00000000">
            <w:pPr>
              <w:tabs>
                <w:tab w:val="decimal" w:pos="763"/>
              </w:tabs>
              <w:rPr>
                <w:sz w:val="22"/>
              </w:rPr>
            </w:pPr>
            <w:r>
              <w:rPr>
                <w:sz w:val="22"/>
              </w:rPr>
              <w:t>243</w:t>
            </w:r>
          </w:p>
        </w:tc>
        <w:tc>
          <w:tcPr>
            <w:tcW w:w="1313" w:type="dxa"/>
            <w:vAlign w:val="bottom"/>
          </w:tcPr>
          <w:p w:rsidR="00000000" w:rsidRDefault="00000000">
            <w:pPr>
              <w:tabs>
                <w:tab w:val="decimal" w:pos="723"/>
              </w:tabs>
              <w:rPr>
                <w:sz w:val="22"/>
              </w:rPr>
            </w:pPr>
            <w:r>
              <w:rPr>
                <w:sz w:val="22"/>
              </w:rPr>
              <w:t>98,8</w:t>
            </w:r>
          </w:p>
        </w:tc>
      </w:tr>
      <w:tr w:rsidR="00000000">
        <w:trPr>
          <w:cantSplit/>
          <w:tblHeader/>
          <w:jc w:val="center"/>
        </w:trPr>
        <w:tc>
          <w:tcPr>
            <w:tcW w:w="2595" w:type="dxa"/>
            <w:vAlign w:val="center"/>
          </w:tcPr>
          <w:p w:rsidR="00000000" w:rsidRDefault="00000000">
            <w:pPr>
              <w:rPr>
                <w:sz w:val="22"/>
              </w:rPr>
            </w:pPr>
            <w:r>
              <w:rPr>
                <w:sz w:val="22"/>
              </w:rPr>
              <w:t>Covilhã</w:t>
            </w:r>
          </w:p>
        </w:tc>
        <w:tc>
          <w:tcPr>
            <w:tcW w:w="1080" w:type="dxa"/>
            <w:vAlign w:val="bottom"/>
          </w:tcPr>
          <w:p w:rsidR="00000000" w:rsidRDefault="00000000">
            <w:pPr>
              <w:tabs>
                <w:tab w:val="decimal" w:pos="763"/>
              </w:tabs>
              <w:rPr>
                <w:sz w:val="22"/>
              </w:rPr>
            </w:pPr>
            <w:r>
              <w:rPr>
                <w:sz w:val="22"/>
              </w:rPr>
              <w:t>142</w:t>
            </w:r>
          </w:p>
        </w:tc>
        <w:tc>
          <w:tcPr>
            <w:tcW w:w="1082" w:type="dxa"/>
            <w:vAlign w:val="bottom"/>
          </w:tcPr>
          <w:p w:rsidR="00000000" w:rsidRDefault="00000000">
            <w:pPr>
              <w:tabs>
                <w:tab w:val="decimal" w:pos="763"/>
              </w:tabs>
              <w:rPr>
                <w:sz w:val="22"/>
              </w:rPr>
            </w:pPr>
            <w:r>
              <w:rPr>
                <w:sz w:val="22"/>
              </w:rPr>
              <w:t>105</w:t>
            </w:r>
          </w:p>
        </w:tc>
        <w:tc>
          <w:tcPr>
            <w:tcW w:w="1091" w:type="dxa"/>
            <w:vAlign w:val="bottom"/>
          </w:tcPr>
          <w:p w:rsidR="00000000" w:rsidRDefault="00000000">
            <w:pPr>
              <w:tabs>
                <w:tab w:val="decimal" w:pos="603"/>
              </w:tabs>
              <w:rPr>
                <w:sz w:val="22"/>
              </w:rPr>
            </w:pPr>
            <w:r>
              <w:rPr>
                <w:sz w:val="22"/>
              </w:rPr>
              <w:t>135,2</w:t>
            </w:r>
          </w:p>
        </w:tc>
        <w:tc>
          <w:tcPr>
            <w:tcW w:w="1078" w:type="dxa"/>
            <w:vAlign w:val="bottom"/>
          </w:tcPr>
          <w:p w:rsidR="00000000" w:rsidRDefault="00000000">
            <w:pPr>
              <w:tabs>
                <w:tab w:val="decimal" w:pos="763"/>
              </w:tabs>
              <w:rPr>
                <w:sz w:val="22"/>
              </w:rPr>
            </w:pPr>
            <w:r>
              <w:rPr>
                <w:sz w:val="22"/>
              </w:rPr>
              <w:t>124</w:t>
            </w:r>
          </w:p>
        </w:tc>
        <w:tc>
          <w:tcPr>
            <w:tcW w:w="1084" w:type="dxa"/>
            <w:vAlign w:val="bottom"/>
          </w:tcPr>
          <w:p w:rsidR="00000000" w:rsidRDefault="00000000">
            <w:pPr>
              <w:tabs>
                <w:tab w:val="decimal" w:pos="763"/>
              </w:tabs>
              <w:rPr>
                <w:sz w:val="22"/>
              </w:rPr>
            </w:pPr>
            <w:r>
              <w:rPr>
                <w:sz w:val="22"/>
              </w:rPr>
              <w:t>105</w:t>
            </w:r>
          </w:p>
        </w:tc>
        <w:tc>
          <w:tcPr>
            <w:tcW w:w="1313" w:type="dxa"/>
            <w:vAlign w:val="bottom"/>
          </w:tcPr>
          <w:p w:rsidR="00000000" w:rsidRDefault="00000000">
            <w:pPr>
              <w:tabs>
                <w:tab w:val="decimal" w:pos="723"/>
              </w:tabs>
              <w:rPr>
                <w:sz w:val="22"/>
              </w:rPr>
            </w:pPr>
            <w:r>
              <w:rPr>
                <w:sz w:val="22"/>
              </w:rPr>
              <w:t>118,1</w:t>
            </w:r>
          </w:p>
        </w:tc>
      </w:tr>
      <w:tr w:rsidR="00000000">
        <w:trPr>
          <w:cantSplit/>
          <w:tblHeader/>
          <w:jc w:val="center"/>
        </w:trPr>
        <w:tc>
          <w:tcPr>
            <w:tcW w:w="2595" w:type="dxa"/>
            <w:vAlign w:val="center"/>
          </w:tcPr>
          <w:p w:rsidR="00000000" w:rsidRDefault="00000000">
            <w:pPr>
              <w:rPr>
                <w:sz w:val="22"/>
              </w:rPr>
            </w:pPr>
            <w:r>
              <w:rPr>
                <w:sz w:val="22"/>
              </w:rPr>
              <w:t>Elvas</w:t>
            </w:r>
          </w:p>
        </w:tc>
        <w:tc>
          <w:tcPr>
            <w:tcW w:w="1080" w:type="dxa"/>
            <w:vAlign w:val="bottom"/>
          </w:tcPr>
          <w:p w:rsidR="00000000" w:rsidRDefault="00000000">
            <w:pPr>
              <w:tabs>
                <w:tab w:val="decimal" w:pos="763"/>
              </w:tabs>
              <w:rPr>
                <w:sz w:val="22"/>
              </w:rPr>
            </w:pPr>
            <w:r>
              <w:rPr>
                <w:sz w:val="22"/>
              </w:rPr>
              <w:t>72</w:t>
            </w:r>
          </w:p>
        </w:tc>
        <w:tc>
          <w:tcPr>
            <w:tcW w:w="1082" w:type="dxa"/>
            <w:vAlign w:val="bottom"/>
          </w:tcPr>
          <w:p w:rsidR="00000000" w:rsidRDefault="00000000">
            <w:pPr>
              <w:tabs>
                <w:tab w:val="decimal" w:pos="763"/>
              </w:tabs>
              <w:rPr>
                <w:sz w:val="22"/>
              </w:rPr>
            </w:pPr>
            <w:r>
              <w:rPr>
                <w:sz w:val="22"/>
              </w:rPr>
              <w:t>29</w:t>
            </w:r>
          </w:p>
        </w:tc>
        <w:tc>
          <w:tcPr>
            <w:tcW w:w="1091" w:type="dxa"/>
            <w:vAlign w:val="bottom"/>
          </w:tcPr>
          <w:p w:rsidR="00000000" w:rsidRDefault="00000000">
            <w:pPr>
              <w:tabs>
                <w:tab w:val="decimal" w:pos="603"/>
              </w:tabs>
              <w:rPr>
                <w:sz w:val="22"/>
              </w:rPr>
            </w:pPr>
            <w:r>
              <w:rPr>
                <w:sz w:val="22"/>
              </w:rPr>
              <w:t>248,3</w:t>
            </w:r>
          </w:p>
        </w:tc>
        <w:tc>
          <w:tcPr>
            <w:tcW w:w="1078" w:type="dxa"/>
            <w:vAlign w:val="bottom"/>
          </w:tcPr>
          <w:p w:rsidR="00000000" w:rsidRDefault="00000000">
            <w:pPr>
              <w:tabs>
                <w:tab w:val="decimal" w:pos="763"/>
              </w:tabs>
              <w:rPr>
                <w:sz w:val="22"/>
              </w:rPr>
            </w:pPr>
            <w:r>
              <w:rPr>
                <w:sz w:val="22"/>
              </w:rPr>
              <w:t>70</w:t>
            </w:r>
          </w:p>
        </w:tc>
        <w:tc>
          <w:tcPr>
            <w:tcW w:w="1084" w:type="dxa"/>
            <w:vAlign w:val="bottom"/>
          </w:tcPr>
          <w:p w:rsidR="00000000" w:rsidRDefault="00000000">
            <w:pPr>
              <w:tabs>
                <w:tab w:val="decimal" w:pos="763"/>
              </w:tabs>
              <w:rPr>
                <w:sz w:val="22"/>
              </w:rPr>
            </w:pPr>
            <w:r>
              <w:rPr>
                <w:sz w:val="22"/>
              </w:rPr>
              <w:t>29</w:t>
            </w:r>
          </w:p>
        </w:tc>
        <w:tc>
          <w:tcPr>
            <w:tcW w:w="1313" w:type="dxa"/>
            <w:vAlign w:val="bottom"/>
          </w:tcPr>
          <w:p w:rsidR="00000000" w:rsidRDefault="00000000">
            <w:pPr>
              <w:tabs>
                <w:tab w:val="decimal" w:pos="723"/>
              </w:tabs>
              <w:rPr>
                <w:sz w:val="22"/>
              </w:rPr>
            </w:pPr>
            <w:r>
              <w:rPr>
                <w:sz w:val="22"/>
              </w:rPr>
              <w:t>241,4</w:t>
            </w:r>
          </w:p>
        </w:tc>
      </w:tr>
      <w:tr w:rsidR="00000000">
        <w:trPr>
          <w:cantSplit/>
          <w:tblHeader/>
          <w:jc w:val="center"/>
        </w:trPr>
        <w:tc>
          <w:tcPr>
            <w:tcW w:w="2595" w:type="dxa"/>
            <w:vAlign w:val="center"/>
          </w:tcPr>
          <w:p w:rsidR="00000000" w:rsidRDefault="00000000">
            <w:pPr>
              <w:rPr>
                <w:sz w:val="22"/>
              </w:rPr>
            </w:pPr>
            <w:r>
              <w:rPr>
                <w:sz w:val="22"/>
              </w:rPr>
              <w:t>Évora</w:t>
            </w:r>
          </w:p>
        </w:tc>
        <w:tc>
          <w:tcPr>
            <w:tcW w:w="1080" w:type="dxa"/>
            <w:vAlign w:val="bottom"/>
          </w:tcPr>
          <w:p w:rsidR="00000000" w:rsidRDefault="00000000">
            <w:pPr>
              <w:tabs>
                <w:tab w:val="decimal" w:pos="763"/>
              </w:tabs>
              <w:rPr>
                <w:sz w:val="22"/>
              </w:rPr>
            </w:pPr>
            <w:r>
              <w:rPr>
                <w:sz w:val="22"/>
              </w:rPr>
              <w:t>83</w:t>
            </w:r>
          </w:p>
        </w:tc>
        <w:tc>
          <w:tcPr>
            <w:tcW w:w="1082" w:type="dxa"/>
            <w:vAlign w:val="bottom"/>
          </w:tcPr>
          <w:p w:rsidR="00000000" w:rsidRDefault="00000000">
            <w:pPr>
              <w:tabs>
                <w:tab w:val="decimal" w:pos="763"/>
              </w:tabs>
              <w:rPr>
                <w:sz w:val="22"/>
              </w:rPr>
            </w:pPr>
            <w:r>
              <w:rPr>
                <w:sz w:val="22"/>
              </w:rPr>
              <w:t>46</w:t>
            </w:r>
          </w:p>
        </w:tc>
        <w:tc>
          <w:tcPr>
            <w:tcW w:w="1091" w:type="dxa"/>
            <w:vAlign w:val="bottom"/>
          </w:tcPr>
          <w:p w:rsidR="00000000" w:rsidRDefault="00000000">
            <w:pPr>
              <w:tabs>
                <w:tab w:val="decimal" w:pos="603"/>
              </w:tabs>
              <w:rPr>
                <w:sz w:val="22"/>
              </w:rPr>
            </w:pPr>
            <w:r>
              <w:rPr>
                <w:sz w:val="22"/>
              </w:rPr>
              <w:t>180,4</w:t>
            </w:r>
          </w:p>
        </w:tc>
        <w:tc>
          <w:tcPr>
            <w:tcW w:w="1078" w:type="dxa"/>
            <w:vAlign w:val="bottom"/>
          </w:tcPr>
          <w:p w:rsidR="00000000" w:rsidRDefault="00000000">
            <w:pPr>
              <w:tabs>
                <w:tab w:val="decimal" w:pos="763"/>
              </w:tabs>
              <w:rPr>
                <w:sz w:val="22"/>
              </w:rPr>
            </w:pPr>
            <w:r>
              <w:rPr>
                <w:sz w:val="22"/>
              </w:rPr>
              <w:t>82</w:t>
            </w:r>
          </w:p>
        </w:tc>
        <w:tc>
          <w:tcPr>
            <w:tcW w:w="1084" w:type="dxa"/>
            <w:vAlign w:val="bottom"/>
          </w:tcPr>
          <w:p w:rsidR="00000000" w:rsidRDefault="00000000">
            <w:pPr>
              <w:tabs>
                <w:tab w:val="decimal" w:pos="763"/>
              </w:tabs>
              <w:rPr>
                <w:sz w:val="22"/>
              </w:rPr>
            </w:pPr>
            <w:r>
              <w:rPr>
                <w:sz w:val="22"/>
              </w:rPr>
              <w:t>46</w:t>
            </w:r>
          </w:p>
        </w:tc>
        <w:tc>
          <w:tcPr>
            <w:tcW w:w="1313" w:type="dxa"/>
            <w:vAlign w:val="bottom"/>
          </w:tcPr>
          <w:p w:rsidR="00000000" w:rsidRDefault="00000000">
            <w:pPr>
              <w:tabs>
                <w:tab w:val="decimal" w:pos="723"/>
              </w:tabs>
              <w:rPr>
                <w:sz w:val="22"/>
              </w:rPr>
            </w:pPr>
            <w:r>
              <w:rPr>
                <w:sz w:val="22"/>
              </w:rPr>
              <w:t>178,3</w:t>
            </w:r>
          </w:p>
        </w:tc>
      </w:tr>
      <w:tr w:rsidR="00000000">
        <w:trPr>
          <w:cantSplit/>
          <w:tblHeader/>
          <w:jc w:val="center"/>
        </w:trPr>
        <w:tc>
          <w:tcPr>
            <w:tcW w:w="2595" w:type="dxa"/>
            <w:vAlign w:val="center"/>
          </w:tcPr>
          <w:p w:rsidR="00000000" w:rsidRDefault="00000000">
            <w:pPr>
              <w:rPr>
                <w:sz w:val="22"/>
              </w:rPr>
            </w:pPr>
            <w:r>
              <w:rPr>
                <w:sz w:val="22"/>
              </w:rPr>
              <w:t>Faro</w:t>
            </w:r>
            <w:r>
              <w:rPr>
                <w:bCs/>
                <w:sz w:val="22"/>
                <w:vertAlign w:val="superscript"/>
              </w:rPr>
              <w:t>b</w:t>
            </w:r>
          </w:p>
        </w:tc>
        <w:tc>
          <w:tcPr>
            <w:tcW w:w="1080" w:type="dxa"/>
            <w:vAlign w:val="bottom"/>
          </w:tcPr>
          <w:p w:rsidR="00000000" w:rsidRDefault="00000000">
            <w:pPr>
              <w:tabs>
                <w:tab w:val="decimal" w:pos="763"/>
              </w:tabs>
              <w:rPr>
                <w:sz w:val="22"/>
              </w:rPr>
            </w:pPr>
            <w:r>
              <w:rPr>
                <w:sz w:val="22"/>
              </w:rPr>
              <w:t>195</w:t>
            </w:r>
          </w:p>
        </w:tc>
        <w:tc>
          <w:tcPr>
            <w:tcW w:w="1082" w:type="dxa"/>
            <w:vAlign w:val="bottom"/>
          </w:tcPr>
          <w:p w:rsidR="00000000" w:rsidRDefault="00000000">
            <w:pPr>
              <w:tabs>
                <w:tab w:val="decimal" w:pos="763"/>
              </w:tabs>
              <w:rPr>
                <w:sz w:val="22"/>
              </w:rPr>
            </w:pPr>
            <w:r>
              <w:rPr>
                <w:sz w:val="22"/>
              </w:rPr>
              <w:t>120</w:t>
            </w:r>
          </w:p>
        </w:tc>
        <w:tc>
          <w:tcPr>
            <w:tcW w:w="1091" w:type="dxa"/>
            <w:vAlign w:val="bottom"/>
          </w:tcPr>
          <w:p w:rsidR="00000000" w:rsidRDefault="00000000">
            <w:pPr>
              <w:tabs>
                <w:tab w:val="decimal" w:pos="603"/>
              </w:tabs>
              <w:rPr>
                <w:sz w:val="22"/>
              </w:rPr>
            </w:pPr>
            <w:r>
              <w:rPr>
                <w:sz w:val="22"/>
              </w:rPr>
              <w:t>162,5</w:t>
            </w:r>
          </w:p>
        </w:tc>
        <w:tc>
          <w:tcPr>
            <w:tcW w:w="1078" w:type="dxa"/>
            <w:vAlign w:val="bottom"/>
          </w:tcPr>
          <w:p w:rsidR="00000000" w:rsidRDefault="00000000">
            <w:pPr>
              <w:tabs>
                <w:tab w:val="decimal" w:pos="763"/>
              </w:tabs>
              <w:rPr>
                <w:sz w:val="22"/>
              </w:rPr>
            </w:pPr>
            <w:r>
              <w:rPr>
                <w:sz w:val="22"/>
              </w:rPr>
              <w:t>177</w:t>
            </w:r>
          </w:p>
        </w:tc>
        <w:tc>
          <w:tcPr>
            <w:tcW w:w="1084" w:type="dxa"/>
            <w:vAlign w:val="bottom"/>
          </w:tcPr>
          <w:p w:rsidR="00000000" w:rsidRDefault="00000000">
            <w:pPr>
              <w:tabs>
                <w:tab w:val="decimal" w:pos="763"/>
              </w:tabs>
              <w:rPr>
                <w:sz w:val="22"/>
              </w:rPr>
            </w:pPr>
            <w:r>
              <w:rPr>
                <w:sz w:val="22"/>
              </w:rPr>
              <w:t>120</w:t>
            </w:r>
          </w:p>
        </w:tc>
        <w:tc>
          <w:tcPr>
            <w:tcW w:w="1313" w:type="dxa"/>
            <w:vAlign w:val="bottom"/>
          </w:tcPr>
          <w:p w:rsidR="00000000" w:rsidRDefault="00000000">
            <w:pPr>
              <w:tabs>
                <w:tab w:val="decimal" w:pos="723"/>
              </w:tabs>
              <w:rPr>
                <w:sz w:val="22"/>
              </w:rPr>
            </w:pPr>
            <w:r>
              <w:rPr>
                <w:sz w:val="22"/>
              </w:rPr>
              <w:t>147,5</w:t>
            </w:r>
          </w:p>
        </w:tc>
      </w:tr>
      <w:tr w:rsidR="00000000">
        <w:trPr>
          <w:cantSplit/>
          <w:tblHeader/>
          <w:jc w:val="center"/>
        </w:trPr>
        <w:tc>
          <w:tcPr>
            <w:tcW w:w="2595" w:type="dxa"/>
            <w:vAlign w:val="center"/>
          </w:tcPr>
          <w:p w:rsidR="00000000" w:rsidRDefault="00000000">
            <w:pPr>
              <w:rPr>
                <w:sz w:val="22"/>
              </w:rPr>
            </w:pPr>
            <w:r>
              <w:rPr>
                <w:sz w:val="22"/>
              </w:rPr>
              <w:t>Felgueiras</w:t>
            </w:r>
          </w:p>
        </w:tc>
        <w:tc>
          <w:tcPr>
            <w:tcW w:w="1080" w:type="dxa"/>
            <w:vAlign w:val="bottom"/>
          </w:tcPr>
          <w:p w:rsidR="00000000" w:rsidRDefault="00000000">
            <w:pPr>
              <w:tabs>
                <w:tab w:val="decimal" w:pos="763"/>
              </w:tabs>
              <w:rPr>
                <w:sz w:val="22"/>
              </w:rPr>
            </w:pPr>
            <w:r>
              <w:rPr>
                <w:sz w:val="22"/>
              </w:rPr>
              <w:t>45</w:t>
            </w:r>
          </w:p>
        </w:tc>
        <w:tc>
          <w:tcPr>
            <w:tcW w:w="1082" w:type="dxa"/>
            <w:vAlign w:val="bottom"/>
          </w:tcPr>
          <w:p w:rsidR="00000000" w:rsidRDefault="00000000">
            <w:pPr>
              <w:tabs>
                <w:tab w:val="decimal" w:pos="763"/>
              </w:tabs>
              <w:rPr>
                <w:sz w:val="22"/>
              </w:rPr>
            </w:pPr>
            <w:r>
              <w:rPr>
                <w:sz w:val="22"/>
              </w:rPr>
              <w:t>33</w:t>
            </w:r>
          </w:p>
        </w:tc>
        <w:tc>
          <w:tcPr>
            <w:tcW w:w="1091" w:type="dxa"/>
            <w:vAlign w:val="bottom"/>
          </w:tcPr>
          <w:p w:rsidR="00000000" w:rsidRDefault="00000000">
            <w:pPr>
              <w:tabs>
                <w:tab w:val="decimal" w:pos="603"/>
              </w:tabs>
              <w:rPr>
                <w:sz w:val="22"/>
              </w:rPr>
            </w:pPr>
            <w:r>
              <w:rPr>
                <w:sz w:val="22"/>
              </w:rPr>
              <w:t>136,4</w:t>
            </w:r>
          </w:p>
        </w:tc>
        <w:tc>
          <w:tcPr>
            <w:tcW w:w="1078" w:type="dxa"/>
            <w:vAlign w:val="bottom"/>
          </w:tcPr>
          <w:p w:rsidR="00000000" w:rsidRDefault="00000000">
            <w:pPr>
              <w:tabs>
                <w:tab w:val="decimal" w:pos="763"/>
              </w:tabs>
              <w:rPr>
                <w:sz w:val="22"/>
              </w:rPr>
            </w:pPr>
            <w:r>
              <w:rPr>
                <w:sz w:val="22"/>
              </w:rPr>
              <w:t>51</w:t>
            </w:r>
          </w:p>
        </w:tc>
        <w:tc>
          <w:tcPr>
            <w:tcW w:w="1084" w:type="dxa"/>
            <w:vAlign w:val="bottom"/>
          </w:tcPr>
          <w:p w:rsidR="00000000" w:rsidRDefault="00000000">
            <w:pPr>
              <w:tabs>
                <w:tab w:val="decimal" w:pos="763"/>
              </w:tabs>
              <w:rPr>
                <w:sz w:val="22"/>
              </w:rPr>
            </w:pPr>
            <w:r>
              <w:rPr>
                <w:sz w:val="22"/>
              </w:rPr>
              <w:t>33</w:t>
            </w:r>
          </w:p>
        </w:tc>
        <w:tc>
          <w:tcPr>
            <w:tcW w:w="1313" w:type="dxa"/>
            <w:vAlign w:val="bottom"/>
          </w:tcPr>
          <w:p w:rsidR="00000000" w:rsidRDefault="00000000">
            <w:pPr>
              <w:tabs>
                <w:tab w:val="decimal" w:pos="723"/>
              </w:tabs>
              <w:rPr>
                <w:sz w:val="22"/>
              </w:rPr>
            </w:pPr>
            <w:r>
              <w:rPr>
                <w:sz w:val="22"/>
              </w:rPr>
              <w:t>154,5</w:t>
            </w:r>
          </w:p>
        </w:tc>
      </w:tr>
      <w:tr w:rsidR="00000000">
        <w:trPr>
          <w:cantSplit/>
          <w:tblHeader/>
          <w:jc w:val="center"/>
        </w:trPr>
        <w:tc>
          <w:tcPr>
            <w:tcW w:w="2595" w:type="dxa"/>
            <w:vAlign w:val="center"/>
          </w:tcPr>
          <w:p w:rsidR="00000000" w:rsidRDefault="00000000">
            <w:pPr>
              <w:rPr>
                <w:sz w:val="22"/>
              </w:rPr>
            </w:pPr>
            <w:r>
              <w:rPr>
                <w:sz w:val="22"/>
              </w:rPr>
              <w:t>Funchal</w:t>
            </w:r>
          </w:p>
        </w:tc>
        <w:tc>
          <w:tcPr>
            <w:tcW w:w="1080" w:type="dxa"/>
            <w:vAlign w:val="bottom"/>
          </w:tcPr>
          <w:p w:rsidR="00000000" w:rsidRDefault="00000000">
            <w:pPr>
              <w:tabs>
                <w:tab w:val="decimal" w:pos="763"/>
              </w:tabs>
              <w:rPr>
                <w:sz w:val="22"/>
              </w:rPr>
            </w:pPr>
            <w:r>
              <w:rPr>
                <w:sz w:val="22"/>
              </w:rPr>
              <w:t>54</w:t>
            </w:r>
          </w:p>
        </w:tc>
        <w:tc>
          <w:tcPr>
            <w:tcW w:w="1082" w:type="dxa"/>
            <w:vAlign w:val="bottom"/>
          </w:tcPr>
          <w:p w:rsidR="00000000" w:rsidRDefault="00000000">
            <w:pPr>
              <w:tabs>
                <w:tab w:val="decimal" w:pos="763"/>
              </w:tabs>
              <w:rPr>
                <w:sz w:val="22"/>
              </w:rPr>
            </w:pPr>
            <w:r>
              <w:rPr>
                <w:sz w:val="22"/>
              </w:rPr>
              <w:t>100</w:t>
            </w:r>
          </w:p>
        </w:tc>
        <w:tc>
          <w:tcPr>
            <w:tcW w:w="1091" w:type="dxa"/>
            <w:vAlign w:val="bottom"/>
          </w:tcPr>
          <w:p w:rsidR="00000000" w:rsidRDefault="00000000">
            <w:pPr>
              <w:tabs>
                <w:tab w:val="decimal" w:pos="603"/>
              </w:tabs>
              <w:rPr>
                <w:sz w:val="22"/>
              </w:rPr>
            </w:pPr>
            <w:r>
              <w:rPr>
                <w:sz w:val="22"/>
              </w:rPr>
              <w:t>54,0</w:t>
            </w:r>
          </w:p>
        </w:tc>
        <w:tc>
          <w:tcPr>
            <w:tcW w:w="1078" w:type="dxa"/>
            <w:vAlign w:val="bottom"/>
          </w:tcPr>
          <w:p w:rsidR="00000000" w:rsidRDefault="00000000">
            <w:pPr>
              <w:tabs>
                <w:tab w:val="decimal" w:pos="763"/>
              </w:tabs>
              <w:rPr>
                <w:sz w:val="22"/>
              </w:rPr>
            </w:pPr>
            <w:r>
              <w:rPr>
                <w:sz w:val="22"/>
              </w:rPr>
              <w:t>52</w:t>
            </w:r>
          </w:p>
        </w:tc>
        <w:tc>
          <w:tcPr>
            <w:tcW w:w="1084" w:type="dxa"/>
            <w:vAlign w:val="bottom"/>
          </w:tcPr>
          <w:p w:rsidR="00000000" w:rsidRDefault="00000000">
            <w:pPr>
              <w:tabs>
                <w:tab w:val="decimal" w:pos="763"/>
              </w:tabs>
              <w:rPr>
                <w:sz w:val="22"/>
              </w:rPr>
            </w:pPr>
            <w:r>
              <w:rPr>
                <w:sz w:val="22"/>
              </w:rPr>
              <w:t>100</w:t>
            </w:r>
          </w:p>
        </w:tc>
        <w:tc>
          <w:tcPr>
            <w:tcW w:w="1313" w:type="dxa"/>
            <w:vAlign w:val="bottom"/>
          </w:tcPr>
          <w:p w:rsidR="00000000" w:rsidRDefault="00000000">
            <w:pPr>
              <w:tabs>
                <w:tab w:val="decimal" w:pos="723"/>
              </w:tabs>
              <w:rPr>
                <w:sz w:val="22"/>
              </w:rPr>
            </w:pPr>
            <w:r>
              <w:rPr>
                <w:sz w:val="22"/>
              </w:rPr>
              <w:t>52,0</w:t>
            </w:r>
          </w:p>
        </w:tc>
      </w:tr>
      <w:tr w:rsidR="00000000">
        <w:trPr>
          <w:cantSplit/>
          <w:tblHeader/>
          <w:jc w:val="center"/>
        </w:trPr>
        <w:tc>
          <w:tcPr>
            <w:tcW w:w="2595" w:type="dxa"/>
            <w:vAlign w:val="center"/>
          </w:tcPr>
          <w:p w:rsidR="00000000" w:rsidRDefault="00000000">
            <w:pPr>
              <w:rPr>
                <w:sz w:val="22"/>
              </w:rPr>
            </w:pPr>
            <w:r>
              <w:rPr>
                <w:sz w:val="22"/>
              </w:rPr>
              <w:t>Guarda</w:t>
            </w:r>
          </w:p>
        </w:tc>
        <w:tc>
          <w:tcPr>
            <w:tcW w:w="1080" w:type="dxa"/>
            <w:vAlign w:val="bottom"/>
          </w:tcPr>
          <w:p w:rsidR="00000000" w:rsidRDefault="00000000">
            <w:pPr>
              <w:tabs>
                <w:tab w:val="decimal" w:pos="763"/>
              </w:tabs>
              <w:rPr>
                <w:sz w:val="22"/>
              </w:rPr>
            </w:pPr>
            <w:r>
              <w:rPr>
                <w:sz w:val="22"/>
              </w:rPr>
              <w:t>175</w:t>
            </w:r>
          </w:p>
        </w:tc>
        <w:tc>
          <w:tcPr>
            <w:tcW w:w="1082" w:type="dxa"/>
            <w:vAlign w:val="bottom"/>
          </w:tcPr>
          <w:p w:rsidR="00000000" w:rsidRDefault="00000000">
            <w:pPr>
              <w:tabs>
                <w:tab w:val="decimal" w:pos="763"/>
              </w:tabs>
              <w:rPr>
                <w:sz w:val="22"/>
              </w:rPr>
            </w:pPr>
            <w:r>
              <w:rPr>
                <w:sz w:val="22"/>
              </w:rPr>
              <w:t>171</w:t>
            </w:r>
          </w:p>
        </w:tc>
        <w:tc>
          <w:tcPr>
            <w:tcW w:w="1091" w:type="dxa"/>
            <w:vAlign w:val="bottom"/>
          </w:tcPr>
          <w:p w:rsidR="00000000" w:rsidRDefault="00000000">
            <w:pPr>
              <w:tabs>
                <w:tab w:val="decimal" w:pos="603"/>
              </w:tabs>
              <w:rPr>
                <w:sz w:val="22"/>
              </w:rPr>
            </w:pPr>
            <w:r>
              <w:rPr>
                <w:sz w:val="22"/>
              </w:rPr>
              <w:t>102,3</w:t>
            </w:r>
          </w:p>
        </w:tc>
        <w:tc>
          <w:tcPr>
            <w:tcW w:w="1078" w:type="dxa"/>
            <w:vAlign w:val="bottom"/>
          </w:tcPr>
          <w:p w:rsidR="00000000" w:rsidRDefault="00000000">
            <w:pPr>
              <w:tabs>
                <w:tab w:val="decimal" w:pos="763"/>
              </w:tabs>
              <w:rPr>
                <w:sz w:val="22"/>
              </w:rPr>
            </w:pPr>
            <w:r>
              <w:rPr>
                <w:sz w:val="22"/>
              </w:rPr>
              <w:t>156</w:t>
            </w:r>
          </w:p>
        </w:tc>
        <w:tc>
          <w:tcPr>
            <w:tcW w:w="1084" w:type="dxa"/>
            <w:vAlign w:val="bottom"/>
          </w:tcPr>
          <w:p w:rsidR="00000000" w:rsidRDefault="00000000">
            <w:pPr>
              <w:tabs>
                <w:tab w:val="decimal" w:pos="763"/>
              </w:tabs>
              <w:rPr>
                <w:sz w:val="22"/>
              </w:rPr>
            </w:pPr>
            <w:r>
              <w:rPr>
                <w:sz w:val="22"/>
              </w:rPr>
              <w:t>171</w:t>
            </w:r>
          </w:p>
        </w:tc>
        <w:tc>
          <w:tcPr>
            <w:tcW w:w="1313" w:type="dxa"/>
            <w:vAlign w:val="bottom"/>
          </w:tcPr>
          <w:p w:rsidR="00000000" w:rsidRDefault="00000000">
            <w:pPr>
              <w:tabs>
                <w:tab w:val="decimal" w:pos="723"/>
              </w:tabs>
              <w:rPr>
                <w:sz w:val="22"/>
              </w:rPr>
            </w:pPr>
            <w:r>
              <w:rPr>
                <w:sz w:val="22"/>
              </w:rPr>
              <w:t>91,2</w:t>
            </w:r>
          </w:p>
        </w:tc>
      </w:tr>
      <w:tr w:rsidR="00000000">
        <w:trPr>
          <w:cantSplit/>
          <w:tblHeader/>
          <w:jc w:val="center"/>
        </w:trPr>
        <w:tc>
          <w:tcPr>
            <w:tcW w:w="2595" w:type="dxa"/>
            <w:vAlign w:val="center"/>
          </w:tcPr>
          <w:p w:rsidR="00000000" w:rsidRDefault="00000000">
            <w:pPr>
              <w:rPr>
                <w:sz w:val="22"/>
              </w:rPr>
            </w:pPr>
            <w:r>
              <w:rPr>
                <w:sz w:val="22"/>
              </w:rPr>
              <w:t>Guimarães</w:t>
            </w:r>
          </w:p>
        </w:tc>
        <w:tc>
          <w:tcPr>
            <w:tcW w:w="1080" w:type="dxa"/>
            <w:vAlign w:val="bottom"/>
          </w:tcPr>
          <w:p w:rsidR="00000000" w:rsidRDefault="00000000">
            <w:pPr>
              <w:tabs>
                <w:tab w:val="decimal" w:pos="763"/>
              </w:tabs>
              <w:rPr>
                <w:sz w:val="22"/>
              </w:rPr>
            </w:pPr>
            <w:r>
              <w:rPr>
                <w:sz w:val="22"/>
              </w:rPr>
              <w:t>104</w:t>
            </w:r>
          </w:p>
        </w:tc>
        <w:tc>
          <w:tcPr>
            <w:tcW w:w="1082" w:type="dxa"/>
            <w:vAlign w:val="bottom"/>
          </w:tcPr>
          <w:p w:rsidR="00000000" w:rsidRDefault="00000000">
            <w:pPr>
              <w:tabs>
                <w:tab w:val="decimal" w:pos="763"/>
              </w:tabs>
              <w:rPr>
                <w:sz w:val="22"/>
              </w:rPr>
            </w:pPr>
            <w:r>
              <w:rPr>
                <w:sz w:val="22"/>
              </w:rPr>
              <w:t>48</w:t>
            </w:r>
          </w:p>
        </w:tc>
        <w:tc>
          <w:tcPr>
            <w:tcW w:w="1091" w:type="dxa"/>
            <w:vAlign w:val="bottom"/>
          </w:tcPr>
          <w:p w:rsidR="00000000" w:rsidRDefault="00000000">
            <w:pPr>
              <w:tabs>
                <w:tab w:val="decimal" w:pos="603"/>
              </w:tabs>
              <w:rPr>
                <w:sz w:val="22"/>
              </w:rPr>
            </w:pPr>
            <w:r>
              <w:rPr>
                <w:sz w:val="22"/>
              </w:rPr>
              <w:t>216,7</w:t>
            </w:r>
          </w:p>
        </w:tc>
        <w:tc>
          <w:tcPr>
            <w:tcW w:w="1078" w:type="dxa"/>
            <w:vAlign w:val="bottom"/>
          </w:tcPr>
          <w:p w:rsidR="00000000" w:rsidRDefault="00000000">
            <w:pPr>
              <w:tabs>
                <w:tab w:val="decimal" w:pos="763"/>
              </w:tabs>
              <w:rPr>
                <w:sz w:val="22"/>
              </w:rPr>
            </w:pPr>
            <w:r>
              <w:rPr>
                <w:sz w:val="22"/>
              </w:rPr>
              <w:t>112</w:t>
            </w:r>
          </w:p>
        </w:tc>
        <w:tc>
          <w:tcPr>
            <w:tcW w:w="1084" w:type="dxa"/>
            <w:vAlign w:val="bottom"/>
          </w:tcPr>
          <w:p w:rsidR="00000000" w:rsidRDefault="00000000">
            <w:pPr>
              <w:tabs>
                <w:tab w:val="decimal" w:pos="763"/>
              </w:tabs>
              <w:rPr>
                <w:sz w:val="22"/>
              </w:rPr>
            </w:pPr>
            <w:r>
              <w:rPr>
                <w:sz w:val="22"/>
              </w:rPr>
              <w:t>48</w:t>
            </w:r>
          </w:p>
        </w:tc>
        <w:tc>
          <w:tcPr>
            <w:tcW w:w="1313" w:type="dxa"/>
            <w:vAlign w:val="bottom"/>
          </w:tcPr>
          <w:p w:rsidR="00000000" w:rsidRDefault="00000000">
            <w:pPr>
              <w:tabs>
                <w:tab w:val="decimal" w:pos="723"/>
              </w:tabs>
              <w:rPr>
                <w:sz w:val="22"/>
              </w:rPr>
            </w:pPr>
            <w:r>
              <w:rPr>
                <w:sz w:val="22"/>
              </w:rPr>
              <w:t>233,3</w:t>
            </w:r>
          </w:p>
        </w:tc>
      </w:tr>
      <w:tr w:rsidR="00000000">
        <w:trPr>
          <w:cantSplit/>
          <w:tblHeader/>
          <w:jc w:val="center"/>
        </w:trPr>
        <w:tc>
          <w:tcPr>
            <w:tcW w:w="2595" w:type="dxa"/>
            <w:vAlign w:val="center"/>
          </w:tcPr>
          <w:p w:rsidR="00000000" w:rsidRDefault="00000000">
            <w:pPr>
              <w:rPr>
                <w:sz w:val="22"/>
              </w:rPr>
            </w:pPr>
            <w:r>
              <w:rPr>
                <w:sz w:val="22"/>
              </w:rPr>
              <w:t>Lamego</w:t>
            </w:r>
          </w:p>
        </w:tc>
        <w:tc>
          <w:tcPr>
            <w:tcW w:w="1080" w:type="dxa"/>
            <w:vAlign w:val="bottom"/>
          </w:tcPr>
          <w:p w:rsidR="00000000" w:rsidRDefault="00000000">
            <w:pPr>
              <w:tabs>
                <w:tab w:val="decimal" w:pos="763"/>
              </w:tabs>
              <w:rPr>
                <w:sz w:val="22"/>
              </w:rPr>
            </w:pPr>
            <w:r>
              <w:rPr>
                <w:sz w:val="22"/>
              </w:rPr>
              <w:t>90</w:t>
            </w:r>
          </w:p>
        </w:tc>
        <w:tc>
          <w:tcPr>
            <w:tcW w:w="1082" w:type="dxa"/>
            <w:vAlign w:val="bottom"/>
          </w:tcPr>
          <w:p w:rsidR="00000000" w:rsidRDefault="00000000">
            <w:pPr>
              <w:tabs>
                <w:tab w:val="decimal" w:pos="763"/>
              </w:tabs>
              <w:rPr>
                <w:sz w:val="22"/>
              </w:rPr>
            </w:pPr>
            <w:r>
              <w:rPr>
                <w:sz w:val="22"/>
              </w:rPr>
              <w:t>67</w:t>
            </w:r>
          </w:p>
        </w:tc>
        <w:tc>
          <w:tcPr>
            <w:tcW w:w="1091" w:type="dxa"/>
            <w:vAlign w:val="bottom"/>
          </w:tcPr>
          <w:p w:rsidR="00000000" w:rsidRDefault="00000000">
            <w:pPr>
              <w:tabs>
                <w:tab w:val="decimal" w:pos="603"/>
              </w:tabs>
              <w:rPr>
                <w:sz w:val="22"/>
              </w:rPr>
            </w:pPr>
            <w:r>
              <w:rPr>
                <w:sz w:val="22"/>
              </w:rPr>
              <w:t>134,3</w:t>
            </w:r>
          </w:p>
        </w:tc>
        <w:tc>
          <w:tcPr>
            <w:tcW w:w="1078" w:type="dxa"/>
            <w:vAlign w:val="bottom"/>
          </w:tcPr>
          <w:p w:rsidR="00000000" w:rsidRDefault="00000000">
            <w:pPr>
              <w:tabs>
                <w:tab w:val="decimal" w:pos="763"/>
              </w:tabs>
              <w:rPr>
                <w:sz w:val="22"/>
              </w:rPr>
            </w:pPr>
            <w:r>
              <w:rPr>
                <w:sz w:val="22"/>
              </w:rPr>
              <w:t>76</w:t>
            </w:r>
          </w:p>
        </w:tc>
        <w:tc>
          <w:tcPr>
            <w:tcW w:w="1084" w:type="dxa"/>
            <w:vAlign w:val="bottom"/>
          </w:tcPr>
          <w:p w:rsidR="00000000" w:rsidRDefault="00000000">
            <w:pPr>
              <w:tabs>
                <w:tab w:val="decimal" w:pos="763"/>
              </w:tabs>
              <w:rPr>
                <w:sz w:val="22"/>
              </w:rPr>
            </w:pPr>
            <w:r>
              <w:rPr>
                <w:sz w:val="22"/>
              </w:rPr>
              <w:t>67</w:t>
            </w:r>
          </w:p>
        </w:tc>
        <w:tc>
          <w:tcPr>
            <w:tcW w:w="1313" w:type="dxa"/>
            <w:vAlign w:val="bottom"/>
          </w:tcPr>
          <w:p w:rsidR="00000000" w:rsidRDefault="00000000">
            <w:pPr>
              <w:tabs>
                <w:tab w:val="decimal" w:pos="723"/>
              </w:tabs>
              <w:rPr>
                <w:sz w:val="22"/>
              </w:rPr>
            </w:pPr>
            <w:r>
              <w:rPr>
                <w:sz w:val="22"/>
              </w:rPr>
              <w:t>113,4</w:t>
            </w:r>
          </w:p>
        </w:tc>
      </w:tr>
      <w:tr w:rsidR="00000000">
        <w:trPr>
          <w:cantSplit/>
          <w:tblHeader/>
          <w:jc w:val="center"/>
        </w:trPr>
        <w:tc>
          <w:tcPr>
            <w:tcW w:w="2595" w:type="dxa"/>
            <w:vAlign w:val="center"/>
          </w:tcPr>
          <w:p w:rsidR="00000000" w:rsidRDefault="00000000">
            <w:pPr>
              <w:rPr>
                <w:sz w:val="22"/>
              </w:rPr>
            </w:pPr>
            <w:r>
              <w:rPr>
                <w:sz w:val="22"/>
              </w:rPr>
              <w:t>Leiria</w:t>
            </w:r>
          </w:p>
        </w:tc>
        <w:tc>
          <w:tcPr>
            <w:tcW w:w="1080" w:type="dxa"/>
            <w:vAlign w:val="bottom"/>
          </w:tcPr>
          <w:p w:rsidR="00000000" w:rsidRDefault="00000000">
            <w:pPr>
              <w:tabs>
                <w:tab w:val="decimal" w:pos="763"/>
              </w:tabs>
              <w:rPr>
                <w:sz w:val="22"/>
              </w:rPr>
            </w:pPr>
            <w:r>
              <w:rPr>
                <w:sz w:val="22"/>
              </w:rPr>
              <w:t>235</w:t>
            </w:r>
          </w:p>
        </w:tc>
        <w:tc>
          <w:tcPr>
            <w:tcW w:w="1082" w:type="dxa"/>
            <w:vAlign w:val="bottom"/>
          </w:tcPr>
          <w:p w:rsidR="00000000" w:rsidRDefault="00000000">
            <w:pPr>
              <w:tabs>
                <w:tab w:val="decimal" w:pos="763"/>
              </w:tabs>
              <w:rPr>
                <w:sz w:val="22"/>
              </w:rPr>
            </w:pPr>
            <w:r>
              <w:rPr>
                <w:sz w:val="22"/>
              </w:rPr>
              <w:t>110</w:t>
            </w:r>
          </w:p>
        </w:tc>
        <w:tc>
          <w:tcPr>
            <w:tcW w:w="1091" w:type="dxa"/>
            <w:vAlign w:val="bottom"/>
          </w:tcPr>
          <w:p w:rsidR="00000000" w:rsidRDefault="00000000">
            <w:pPr>
              <w:tabs>
                <w:tab w:val="decimal" w:pos="603"/>
              </w:tabs>
              <w:rPr>
                <w:sz w:val="22"/>
              </w:rPr>
            </w:pPr>
            <w:r>
              <w:rPr>
                <w:sz w:val="22"/>
              </w:rPr>
              <w:t>213,6</w:t>
            </w:r>
          </w:p>
        </w:tc>
        <w:tc>
          <w:tcPr>
            <w:tcW w:w="1078" w:type="dxa"/>
            <w:vAlign w:val="bottom"/>
          </w:tcPr>
          <w:p w:rsidR="00000000" w:rsidRDefault="00000000">
            <w:pPr>
              <w:tabs>
                <w:tab w:val="decimal" w:pos="763"/>
              </w:tabs>
              <w:rPr>
                <w:sz w:val="22"/>
              </w:rPr>
            </w:pPr>
            <w:r>
              <w:rPr>
                <w:sz w:val="22"/>
              </w:rPr>
              <w:t>233</w:t>
            </w:r>
          </w:p>
        </w:tc>
        <w:tc>
          <w:tcPr>
            <w:tcW w:w="1084" w:type="dxa"/>
            <w:vAlign w:val="bottom"/>
          </w:tcPr>
          <w:p w:rsidR="00000000" w:rsidRDefault="00000000">
            <w:pPr>
              <w:tabs>
                <w:tab w:val="decimal" w:pos="763"/>
              </w:tabs>
              <w:rPr>
                <w:sz w:val="22"/>
              </w:rPr>
            </w:pPr>
            <w:r>
              <w:rPr>
                <w:sz w:val="22"/>
              </w:rPr>
              <w:t>110</w:t>
            </w:r>
          </w:p>
        </w:tc>
        <w:tc>
          <w:tcPr>
            <w:tcW w:w="1313" w:type="dxa"/>
            <w:vAlign w:val="bottom"/>
          </w:tcPr>
          <w:p w:rsidR="00000000" w:rsidRDefault="00000000">
            <w:pPr>
              <w:tabs>
                <w:tab w:val="decimal" w:pos="723"/>
              </w:tabs>
              <w:rPr>
                <w:sz w:val="22"/>
              </w:rPr>
            </w:pPr>
            <w:r>
              <w:rPr>
                <w:sz w:val="22"/>
              </w:rPr>
              <w:t>211,8</w:t>
            </w:r>
          </w:p>
        </w:tc>
      </w:tr>
      <w:tr w:rsidR="00000000">
        <w:trPr>
          <w:cantSplit/>
          <w:tblHeader/>
          <w:jc w:val="center"/>
        </w:trPr>
        <w:tc>
          <w:tcPr>
            <w:tcW w:w="2595" w:type="dxa"/>
            <w:vAlign w:val="center"/>
          </w:tcPr>
          <w:p w:rsidR="00000000" w:rsidRDefault="00000000">
            <w:pPr>
              <w:rPr>
                <w:sz w:val="22"/>
              </w:rPr>
            </w:pPr>
            <w:r>
              <w:rPr>
                <w:sz w:val="22"/>
              </w:rPr>
              <w:t>Monção</w:t>
            </w:r>
          </w:p>
        </w:tc>
        <w:tc>
          <w:tcPr>
            <w:tcW w:w="1080" w:type="dxa"/>
            <w:vAlign w:val="bottom"/>
          </w:tcPr>
          <w:p w:rsidR="00000000" w:rsidRDefault="00000000">
            <w:pPr>
              <w:tabs>
                <w:tab w:val="decimal" w:pos="763"/>
              </w:tabs>
              <w:rPr>
                <w:sz w:val="22"/>
              </w:rPr>
            </w:pPr>
            <w:r>
              <w:rPr>
                <w:sz w:val="22"/>
              </w:rPr>
              <w:t>51</w:t>
            </w:r>
          </w:p>
        </w:tc>
        <w:tc>
          <w:tcPr>
            <w:tcW w:w="1082" w:type="dxa"/>
            <w:vAlign w:val="bottom"/>
          </w:tcPr>
          <w:p w:rsidR="00000000" w:rsidRDefault="00000000">
            <w:pPr>
              <w:tabs>
                <w:tab w:val="decimal" w:pos="763"/>
              </w:tabs>
              <w:rPr>
                <w:sz w:val="22"/>
              </w:rPr>
            </w:pPr>
            <w:r>
              <w:rPr>
                <w:sz w:val="22"/>
              </w:rPr>
              <w:t>34</w:t>
            </w:r>
          </w:p>
        </w:tc>
        <w:tc>
          <w:tcPr>
            <w:tcW w:w="1091" w:type="dxa"/>
            <w:vAlign w:val="bottom"/>
          </w:tcPr>
          <w:p w:rsidR="00000000" w:rsidRDefault="00000000">
            <w:pPr>
              <w:tabs>
                <w:tab w:val="decimal" w:pos="603"/>
              </w:tabs>
              <w:rPr>
                <w:sz w:val="22"/>
              </w:rPr>
            </w:pPr>
            <w:r>
              <w:rPr>
                <w:sz w:val="22"/>
              </w:rPr>
              <w:t>150,0</w:t>
            </w:r>
          </w:p>
        </w:tc>
        <w:tc>
          <w:tcPr>
            <w:tcW w:w="1078" w:type="dxa"/>
            <w:vAlign w:val="bottom"/>
          </w:tcPr>
          <w:p w:rsidR="00000000" w:rsidRDefault="00000000">
            <w:pPr>
              <w:tabs>
                <w:tab w:val="decimal" w:pos="763"/>
              </w:tabs>
              <w:rPr>
                <w:sz w:val="22"/>
              </w:rPr>
            </w:pPr>
            <w:r>
              <w:rPr>
                <w:sz w:val="22"/>
              </w:rPr>
              <w:t>46</w:t>
            </w:r>
          </w:p>
        </w:tc>
        <w:tc>
          <w:tcPr>
            <w:tcW w:w="1084" w:type="dxa"/>
            <w:vAlign w:val="bottom"/>
          </w:tcPr>
          <w:p w:rsidR="00000000" w:rsidRDefault="00000000">
            <w:pPr>
              <w:tabs>
                <w:tab w:val="decimal" w:pos="763"/>
              </w:tabs>
              <w:rPr>
                <w:sz w:val="22"/>
              </w:rPr>
            </w:pPr>
            <w:r>
              <w:rPr>
                <w:sz w:val="22"/>
              </w:rPr>
              <w:t>34</w:t>
            </w:r>
          </w:p>
        </w:tc>
        <w:tc>
          <w:tcPr>
            <w:tcW w:w="1313" w:type="dxa"/>
            <w:vAlign w:val="bottom"/>
          </w:tcPr>
          <w:p w:rsidR="00000000" w:rsidRDefault="00000000">
            <w:pPr>
              <w:tabs>
                <w:tab w:val="decimal" w:pos="723"/>
              </w:tabs>
              <w:rPr>
                <w:sz w:val="22"/>
              </w:rPr>
            </w:pPr>
            <w:r>
              <w:rPr>
                <w:sz w:val="22"/>
              </w:rPr>
              <w:t>135,3</w:t>
            </w:r>
          </w:p>
        </w:tc>
      </w:tr>
      <w:tr w:rsidR="00000000">
        <w:trPr>
          <w:cantSplit/>
          <w:tblHeader/>
          <w:jc w:val="center"/>
        </w:trPr>
        <w:tc>
          <w:tcPr>
            <w:tcW w:w="2595" w:type="dxa"/>
            <w:vAlign w:val="center"/>
          </w:tcPr>
          <w:p w:rsidR="00000000" w:rsidRDefault="00000000">
            <w:pPr>
              <w:rPr>
                <w:sz w:val="22"/>
              </w:rPr>
            </w:pPr>
            <w:r>
              <w:rPr>
                <w:sz w:val="22"/>
              </w:rPr>
              <w:t>Montijo</w:t>
            </w:r>
          </w:p>
        </w:tc>
        <w:tc>
          <w:tcPr>
            <w:tcW w:w="1080" w:type="dxa"/>
            <w:vAlign w:val="bottom"/>
          </w:tcPr>
          <w:p w:rsidR="00000000" w:rsidRDefault="00000000">
            <w:pPr>
              <w:tabs>
                <w:tab w:val="decimal" w:pos="763"/>
              </w:tabs>
              <w:rPr>
                <w:sz w:val="22"/>
              </w:rPr>
            </w:pPr>
            <w:r>
              <w:rPr>
                <w:sz w:val="22"/>
              </w:rPr>
              <w:t>254</w:t>
            </w:r>
          </w:p>
        </w:tc>
        <w:tc>
          <w:tcPr>
            <w:tcW w:w="1082" w:type="dxa"/>
            <w:vAlign w:val="bottom"/>
          </w:tcPr>
          <w:p w:rsidR="00000000" w:rsidRDefault="00000000">
            <w:pPr>
              <w:tabs>
                <w:tab w:val="decimal" w:pos="763"/>
              </w:tabs>
              <w:rPr>
                <w:sz w:val="22"/>
              </w:rPr>
            </w:pPr>
            <w:r>
              <w:rPr>
                <w:sz w:val="22"/>
              </w:rPr>
              <w:t>105</w:t>
            </w:r>
          </w:p>
        </w:tc>
        <w:tc>
          <w:tcPr>
            <w:tcW w:w="1091" w:type="dxa"/>
            <w:vAlign w:val="bottom"/>
          </w:tcPr>
          <w:p w:rsidR="00000000" w:rsidRDefault="00000000">
            <w:pPr>
              <w:tabs>
                <w:tab w:val="decimal" w:pos="603"/>
              </w:tabs>
              <w:rPr>
                <w:sz w:val="22"/>
              </w:rPr>
            </w:pPr>
            <w:r>
              <w:rPr>
                <w:sz w:val="22"/>
              </w:rPr>
              <w:t>241,9</w:t>
            </w:r>
          </w:p>
        </w:tc>
        <w:tc>
          <w:tcPr>
            <w:tcW w:w="1078" w:type="dxa"/>
            <w:vAlign w:val="bottom"/>
          </w:tcPr>
          <w:p w:rsidR="00000000" w:rsidRDefault="00000000">
            <w:pPr>
              <w:tabs>
                <w:tab w:val="decimal" w:pos="763"/>
              </w:tabs>
              <w:rPr>
                <w:sz w:val="22"/>
              </w:rPr>
            </w:pPr>
            <w:r>
              <w:rPr>
                <w:sz w:val="22"/>
              </w:rPr>
              <w:t>250</w:t>
            </w:r>
          </w:p>
        </w:tc>
        <w:tc>
          <w:tcPr>
            <w:tcW w:w="1084" w:type="dxa"/>
            <w:vAlign w:val="bottom"/>
          </w:tcPr>
          <w:p w:rsidR="00000000" w:rsidRDefault="00000000">
            <w:pPr>
              <w:tabs>
                <w:tab w:val="decimal" w:pos="763"/>
              </w:tabs>
              <w:rPr>
                <w:sz w:val="22"/>
              </w:rPr>
            </w:pPr>
            <w:r>
              <w:rPr>
                <w:sz w:val="22"/>
              </w:rPr>
              <w:t>105</w:t>
            </w:r>
          </w:p>
        </w:tc>
        <w:tc>
          <w:tcPr>
            <w:tcW w:w="1313" w:type="dxa"/>
            <w:vAlign w:val="bottom"/>
          </w:tcPr>
          <w:p w:rsidR="00000000" w:rsidRDefault="00000000">
            <w:pPr>
              <w:tabs>
                <w:tab w:val="decimal" w:pos="723"/>
              </w:tabs>
              <w:rPr>
                <w:sz w:val="22"/>
              </w:rPr>
            </w:pPr>
            <w:r>
              <w:rPr>
                <w:sz w:val="22"/>
              </w:rPr>
              <w:t>238,1</w:t>
            </w:r>
          </w:p>
        </w:tc>
      </w:tr>
      <w:tr w:rsidR="00000000">
        <w:trPr>
          <w:cantSplit/>
          <w:tblHeader/>
          <w:jc w:val="center"/>
        </w:trPr>
        <w:tc>
          <w:tcPr>
            <w:tcW w:w="2595" w:type="dxa"/>
            <w:vAlign w:val="center"/>
          </w:tcPr>
          <w:p w:rsidR="00000000" w:rsidRDefault="00000000">
            <w:pPr>
              <w:rPr>
                <w:sz w:val="22"/>
              </w:rPr>
            </w:pPr>
            <w:r>
              <w:rPr>
                <w:sz w:val="22"/>
              </w:rPr>
              <w:t>Odemira</w:t>
            </w:r>
          </w:p>
        </w:tc>
        <w:tc>
          <w:tcPr>
            <w:tcW w:w="1080" w:type="dxa"/>
            <w:vAlign w:val="bottom"/>
          </w:tcPr>
          <w:p w:rsidR="00000000" w:rsidRDefault="00000000">
            <w:pPr>
              <w:tabs>
                <w:tab w:val="decimal" w:pos="763"/>
              </w:tabs>
              <w:rPr>
                <w:sz w:val="22"/>
              </w:rPr>
            </w:pPr>
            <w:r>
              <w:rPr>
                <w:sz w:val="22"/>
              </w:rPr>
              <w:t>88</w:t>
            </w:r>
          </w:p>
        </w:tc>
        <w:tc>
          <w:tcPr>
            <w:tcW w:w="1082" w:type="dxa"/>
            <w:vAlign w:val="bottom"/>
          </w:tcPr>
          <w:p w:rsidR="00000000" w:rsidRDefault="00000000">
            <w:pPr>
              <w:tabs>
                <w:tab w:val="decimal" w:pos="763"/>
              </w:tabs>
              <w:rPr>
                <w:sz w:val="22"/>
              </w:rPr>
            </w:pPr>
            <w:r>
              <w:rPr>
                <w:sz w:val="22"/>
              </w:rPr>
              <w:t>56</w:t>
            </w:r>
          </w:p>
        </w:tc>
        <w:tc>
          <w:tcPr>
            <w:tcW w:w="1091" w:type="dxa"/>
            <w:vAlign w:val="bottom"/>
          </w:tcPr>
          <w:p w:rsidR="00000000" w:rsidRDefault="00000000">
            <w:pPr>
              <w:tabs>
                <w:tab w:val="decimal" w:pos="603"/>
              </w:tabs>
              <w:rPr>
                <w:sz w:val="22"/>
              </w:rPr>
            </w:pPr>
            <w:r>
              <w:rPr>
                <w:sz w:val="22"/>
              </w:rPr>
              <w:t>157,1</w:t>
            </w:r>
          </w:p>
        </w:tc>
        <w:tc>
          <w:tcPr>
            <w:tcW w:w="1078" w:type="dxa"/>
            <w:vAlign w:val="bottom"/>
          </w:tcPr>
          <w:p w:rsidR="00000000" w:rsidRDefault="00000000">
            <w:pPr>
              <w:tabs>
                <w:tab w:val="decimal" w:pos="763"/>
              </w:tabs>
              <w:rPr>
                <w:sz w:val="22"/>
              </w:rPr>
            </w:pPr>
            <w:r>
              <w:rPr>
                <w:sz w:val="22"/>
              </w:rPr>
              <w:t>78</w:t>
            </w:r>
          </w:p>
        </w:tc>
        <w:tc>
          <w:tcPr>
            <w:tcW w:w="1084" w:type="dxa"/>
            <w:vAlign w:val="bottom"/>
          </w:tcPr>
          <w:p w:rsidR="00000000" w:rsidRDefault="00000000">
            <w:pPr>
              <w:tabs>
                <w:tab w:val="decimal" w:pos="763"/>
              </w:tabs>
              <w:rPr>
                <w:sz w:val="22"/>
              </w:rPr>
            </w:pPr>
            <w:r>
              <w:rPr>
                <w:sz w:val="22"/>
              </w:rPr>
              <w:t>56</w:t>
            </w:r>
          </w:p>
        </w:tc>
        <w:tc>
          <w:tcPr>
            <w:tcW w:w="1313" w:type="dxa"/>
            <w:vAlign w:val="bottom"/>
          </w:tcPr>
          <w:p w:rsidR="00000000" w:rsidRDefault="00000000">
            <w:pPr>
              <w:tabs>
                <w:tab w:val="decimal" w:pos="723"/>
              </w:tabs>
              <w:rPr>
                <w:sz w:val="22"/>
              </w:rPr>
            </w:pPr>
            <w:r>
              <w:rPr>
                <w:sz w:val="22"/>
              </w:rPr>
              <w:t>139,3</w:t>
            </w:r>
          </w:p>
        </w:tc>
      </w:tr>
      <w:tr w:rsidR="00000000">
        <w:trPr>
          <w:cantSplit/>
          <w:tblHeader/>
          <w:jc w:val="center"/>
        </w:trPr>
        <w:tc>
          <w:tcPr>
            <w:tcW w:w="2595" w:type="dxa"/>
            <w:vAlign w:val="center"/>
          </w:tcPr>
          <w:p w:rsidR="00000000" w:rsidRDefault="00000000">
            <w:pPr>
              <w:rPr>
                <w:sz w:val="22"/>
              </w:rPr>
            </w:pPr>
            <w:r>
              <w:rPr>
                <w:sz w:val="22"/>
              </w:rPr>
              <w:t>Olhão</w:t>
            </w:r>
            <w:r>
              <w:rPr>
                <w:b/>
                <w:sz w:val="22"/>
                <w:vertAlign w:val="superscript"/>
              </w:rPr>
              <w:t>b</w:t>
            </w:r>
          </w:p>
        </w:tc>
        <w:tc>
          <w:tcPr>
            <w:tcW w:w="1080" w:type="dxa"/>
            <w:vAlign w:val="bottom"/>
          </w:tcPr>
          <w:p w:rsidR="00000000" w:rsidRDefault="00000000">
            <w:pPr>
              <w:tabs>
                <w:tab w:val="decimal" w:pos="763"/>
              </w:tabs>
              <w:rPr>
                <w:sz w:val="22"/>
              </w:rPr>
            </w:pPr>
            <w:r>
              <w:rPr>
                <w:sz w:val="22"/>
              </w:rPr>
              <w:t>-</w:t>
            </w:r>
          </w:p>
        </w:tc>
        <w:tc>
          <w:tcPr>
            <w:tcW w:w="1082" w:type="dxa"/>
            <w:vAlign w:val="bottom"/>
          </w:tcPr>
          <w:p w:rsidR="00000000" w:rsidRDefault="00000000">
            <w:pPr>
              <w:tabs>
                <w:tab w:val="decimal" w:pos="763"/>
              </w:tabs>
              <w:rPr>
                <w:sz w:val="22"/>
              </w:rPr>
            </w:pPr>
            <w:r>
              <w:rPr>
                <w:sz w:val="22"/>
              </w:rPr>
              <w:t>42</w:t>
            </w:r>
          </w:p>
        </w:tc>
        <w:tc>
          <w:tcPr>
            <w:tcW w:w="1091" w:type="dxa"/>
            <w:vAlign w:val="bottom"/>
          </w:tcPr>
          <w:p w:rsidR="00000000" w:rsidRDefault="00000000">
            <w:pPr>
              <w:tabs>
                <w:tab w:val="decimal" w:pos="603"/>
              </w:tabs>
              <w:rPr>
                <w:sz w:val="22"/>
              </w:rPr>
            </w:pPr>
            <w:r>
              <w:rPr>
                <w:sz w:val="22"/>
              </w:rPr>
              <w:t>0,0</w:t>
            </w:r>
          </w:p>
        </w:tc>
        <w:tc>
          <w:tcPr>
            <w:tcW w:w="1078" w:type="dxa"/>
            <w:vAlign w:val="bottom"/>
          </w:tcPr>
          <w:p w:rsidR="00000000" w:rsidRDefault="00000000">
            <w:pPr>
              <w:tabs>
                <w:tab w:val="decimal" w:pos="763"/>
              </w:tabs>
              <w:rPr>
                <w:sz w:val="22"/>
              </w:rPr>
            </w:pPr>
            <w:r>
              <w:rPr>
                <w:sz w:val="22"/>
              </w:rPr>
              <w:t>-</w:t>
            </w:r>
          </w:p>
        </w:tc>
        <w:tc>
          <w:tcPr>
            <w:tcW w:w="1084" w:type="dxa"/>
            <w:vAlign w:val="bottom"/>
          </w:tcPr>
          <w:p w:rsidR="00000000" w:rsidRDefault="00000000">
            <w:pPr>
              <w:tabs>
                <w:tab w:val="decimal" w:pos="763"/>
              </w:tabs>
              <w:rPr>
                <w:sz w:val="22"/>
              </w:rPr>
            </w:pPr>
            <w:r>
              <w:rPr>
                <w:sz w:val="22"/>
              </w:rPr>
              <w:t>42</w:t>
            </w:r>
          </w:p>
        </w:tc>
        <w:tc>
          <w:tcPr>
            <w:tcW w:w="1313" w:type="dxa"/>
            <w:vAlign w:val="bottom"/>
          </w:tcPr>
          <w:p w:rsidR="00000000" w:rsidRDefault="00000000">
            <w:pPr>
              <w:tabs>
                <w:tab w:val="decimal" w:pos="723"/>
              </w:tabs>
              <w:rPr>
                <w:sz w:val="22"/>
              </w:rPr>
            </w:pPr>
            <w:r>
              <w:rPr>
                <w:sz w:val="22"/>
              </w:rPr>
              <w:t>0,0</w:t>
            </w:r>
          </w:p>
        </w:tc>
      </w:tr>
      <w:tr w:rsidR="00000000">
        <w:trPr>
          <w:cantSplit/>
          <w:tblHeader/>
          <w:jc w:val="center"/>
        </w:trPr>
        <w:tc>
          <w:tcPr>
            <w:tcW w:w="2595" w:type="dxa"/>
            <w:vAlign w:val="center"/>
          </w:tcPr>
          <w:p w:rsidR="00000000" w:rsidRDefault="00000000">
            <w:pPr>
              <w:rPr>
                <w:sz w:val="22"/>
              </w:rPr>
            </w:pPr>
            <w:r>
              <w:rPr>
                <w:sz w:val="22"/>
              </w:rPr>
              <w:t>Ponta Delgada</w:t>
            </w:r>
          </w:p>
        </w:tc>
        <w:tc>
          <w:tcPr>
            <w:tcW w:w="1080" w:type="dxa"/>
            <w:vAlign w:val="bottom"/>
          </w:tcPr>
          <w:p w:rsidR="00000000" w:rsidRDefault="00000000">
            <w:pPr>
              <w:tabs>
                <w:tab w:val="decimal" w:pos="763"/>
              </w:tabs>
              <w:rPr>
                <w:sz w:val="22"/>
              </w:rPr>
            </w:pPr>
            <w:r>
              <w:rPr>
                <w:sz w:val="22"/>
              </w:rPr>
              <w:t>174</w:t>
            </w:r>
          </w:p>
        </w:tc>
        <w:tc>
          <w:tcPr>
            <w:tcW w:w="1082" w:type="dxa"/>
            <w:vAlign w:val="bottom"/>
          </w:tcPr>
          <w:p w:rsidR="00000000" w:rsidRDefault="00000000">
            <w:pPr>
              <w:tabs>
                <w:tab w:val="decimal" w:pos="763"/>
              </w:tabs>
              <w:rPr>
                <w:sz w:val="22"/>
              </w:rPr>
            </w:pPr>
            <w:r>
              <w:rPr>
                <w:sz w:val="22"/>
              </w:rPr>
              <w:t>141</w:t>
            </w:r>
          </w:p>
        </w:tc>
        <w:tc>
          <w:tcPr>
            <w:tcW w:w="1091" w:type="dxa"/>
            <w:vAlign w:val="bottom"/>
          </w:tcPr>
          <w:p w:rsidR="00000000" w:rsidRDefault="00000000">
            <w:pPr>
              <w:tabs>
                <w:tab w:val="decimal" w:pos="603"/>
              </w:tabs>
              <w:rPr>
                <w:sz w:val="22"/>
              </w:rPr>
            </w:pPr>
            <w:r>
              <w:rPr>
                <w:sz w:val="22"/>
              </w:rPr>
              <w:t>123,4</w:t>
            </w:r>
          </w:p>
        </w:tc>
        <w:tc>
          <w:tcPr>
            <w:tcW w:w="1078" w:type="dxa"/>
            <w:vAlign w:val="bottom"/>
          </w:tcPr>
          <w:p w:rsidR="00000000" w:rsidRDefault="00000000">
            <w:pPr>
              <w:tabs>
                <w:tab w:val="decimal" w:pos="763"/>
              </w:tabs>
              <w:rPr>
                <w:sz w:val="22"/>
              </w:rPr>
            </w:pPr>
            <w:r>
              <w:rPr>
                <w:sz w:val="22"/>
              </w:rPr>
              <w:t>169</w:t>
            </w:r>
          </w:p>
        </w:tc>
        <w:tc>
          <w:tcPr>
            <w:tcW w:w="1084" w:type="dxa"/>
            <w:vAlign w:val="bottom"/>
          </w:tcPr>
          <w:p w:rsidR="00000000" w:rsidRDefault="00000000">
            <w:pPr>
              <w:tabs>
                <w:tab w:val="decimal" w:pos="763"/>
              </w:tabs>
              <w:rPr>
                <w:sz w:val="22"/>
              </w:rPr>
            </w:pPr>
            <w:r>
              <w:rPr>
                <w:sz w:val="22"/>
              </w:rPr>
              <w:t>141</w:t>
            </w:r>
          </w:p>
        </w:tc>
        <w:tc>
          <w:tcPr>
            <w:tcW w:w="1313" w:type="dxa"/>
            <w:vAlign w:val="bottom"/>
          </w:tcPr>
          <w:p w:rsidR="00000000" w:rsidRDefault="00000000">
            <w:pPr>
              <w:tabs>
                <w:tab w:val="decimal" w:pos="723"/>
              </w:tabs>
              <w:rPr>
                <w:sz w:val="22"/>
              </w:rPr>
            </w:pPr>
            <w:r>
              <w:rPr>
                <w:sz w:val="22"/>
              </w:rPr>
              <w:t>119,9</w:t>
            </w:r>
          </w:p>
        </w:tc>
      </w:tr>
      <w:tr w:rsidR="00000000">
        <w:trPr>
          <w:cantSplit/>
          <w:tblHeader/>
          <w:jc w:val="center"/>
        </w:trPr>
        <w:tc>
          <w:tcPr>
            <w:tcW w:w="2595" w:type="dxa"/>
            <w:vAlign w:val="center"/>
          </w:tcPr>
          <w:p w:rsidR="00000000" w:rsidRDefault="00000000">
            <w:pPr>
              <w:rPr>
                <w:sz w:val="22"/>
              </w:rPr>
            </w:pPr>
            <w:r>
              <w:rPr>
                <w:sz w:val="22"/>
              </w:rPr>
              <w:t>Portimão</w:t>
            </w:r>
          </w:p>
        </w:tc>
        <w:tc>
          <w:tcPr>
            <w:tcW w:w="1080" w:type="dxa"/>
            <w:vAlign w:val="bottom"/>
          </w:tcPr>
          <w:p w:rsidR="00000000" w:rsidRDefault="00000000">
            <w:pPr>
              <w:tabs>
                <w:tab w:val="decimal" w:pos="763"/>
              </w:tabs>
              <w:rPr>
                <w:sz w:val="22"/>
                <w:lang w:val="en-GB"/>
              </w:rPr>
            </w:pPr>
            <w:r>
              <w:rPr>
                <w:sz w:val="22"/>
                <w:lang w:val="en-GB"/>
              </w:rPr>
              <w:t>57</w:t>
            </w:r>
          </w:p>
        </w:tc>
        <w:tc>
          <w:tcPr>
            <w:tcW w:w="1082" w:type="dxa"/>
            <w:vAlign w:val="bottom"/>
          </w:tcPr>
          <w:p w:rsidR="00000000" w:rsidRDefault="00000000">
            <w:pPr>
              <w:tabs>
                <w:tab w:val="decimal" w:pos="763"/>
              </w:tabs>
              <w:rPr>
                <w:sz w:val="22"/>
                <w:lang w:val="en-GB"/>
              </w:rPr>
            </w:pPr>
            <w:r>
              <w:rPr>
                <w:sz w:val="22"/>
                <w:lang w:val="en-GB"/>
              </w:rPr>
              <w:t>28</w:t>
            </w:r>
          </w:p>
        </w:tc>
        <w:tc>
          <w:tcPr>
            <w:tcW w:w="1091" w:type="dxa"/>
            <w:vAlign w:val="bottom"/>
          </w:tcPr>
          <w:p w:rsidR="00000000" w:rsidRDefault="00000000">
            <w:pPr>
              <w:tabs>
                <w:tab w:val="decimal" w:pos="603"/>
              </w:tabs>
              <w:rPr>
                <w:sz w:val="22"/>
                <w:lang w:val="en-GB"/>
              </w:rPr>
            </w:pPr>
            <w:r>
              <w:rPr>
                <w:sz w:val="22"/>
                <w:lang w:val="en-GB"/>
              </w:rPr>
              <w:t>203,6</w:t>
            </w:r>
          </w:p>
        </w:tc>
        <w:tc>
          <w:tcPr>
            <w:tcW w:w="1078" w:type="dxa"/>
            <w:vAlign w:val="bottom"/>
          </w:tcPr>
          <w:p w:rsidR="00000000" w:rsidRDefault="00000000">
            <w:pPr>
              <w:tabs>
                <w:tab w:val="decimal" w:pos="763"/>
              </w:tabs>
              <w:rPr>
                <w:sz w:val="22"/>
                <w:lang w:val="en-GB"/>
              </w:rPr>
            </w:pPr>
            <w:r>
              <w:rPr>
                <w:sz w:val="22"/>
                <w:lang w:val="en-GB"/>
              </w:rPr>
              <w:t>71</w:t>
            </w:r>
          </w:p>
        </w:tc>
        <w:tc>
          <w:tcPr>
            <w:tcW w:w="1084" w:type="dxa"/>
            <w:vAlign w:val="bottom"/>
          </w:tcPr>
          <w:p w:rsidR="00000000" w:rsidRDefault="00000000">
            <w:pPr>
              <w:tabs>
                <w:tab w:val="decimal" w:pos="763"/>
              </w:tabs>
              <w:rPr>
                <w:sz w:val="22"/>
                <w:lang w:val="en-GB"/>
              </w:rPr>
            </w:pPr>
            <w:r>
              <w:rPr>
                <w:sz w:val="22"/>
                <w:lang w:val="en-GB"/>
              </w:rPr>
              <w:t>28</w:t>
            </w:r>
          </w:p>
        </w:tc>
        <w:tc>
          <w:tcPr>
            <w:tcW w:w="1313" w:type="dxa"/>
            <w:vAlign w:val="bottom"/>
          </w:tcPr>
          <w:p w:rsidR="00000000" w:rsidRDefault="00000000">
            <w:pPr>
              <w:tabs>
                <w:tab w:val="decimal" w:pos="723"/>
              </w:tabs>
              <w:rPr>
                <w:sz w:val="22"/>
                <w:lang w:val="en-GB"/>
              </w:rPr>
            </w:pPr>
            <w:r>
              <w:rPr>
                <w:sz w:val="22"/>
                <w:lang w:val="en-GB"/>
              </w:rPr>
              <w:t>253,6</w:t>
            </w:r>
          </w:p>
        </w:tc>
      </w:tr>
      <w:tr w:rsidR="00000000">
        <w:trPr>
          <w:cantSplit/>
          <w:tblHeader/>
          <w:jc w:val="center"/>
        </w:trPr>
        <w:tc>
          <w:tcPr>
            <w:tcW w:w="2595" w:type="dxa"/>
            <w:vAlign w:val="center"/>
          </w:tcPr>
          <w:p w:rsidR="00000000" w:rsidRDefault="00000000">
            <w:pPr>
              <w:rPr>
                <w:sz w:val="22"/>
                <w:lang w:val="en-GB"/>
              </w:rPr>
            </w:pPr>
            <w:r>
              <w:rPr>
                <w:sz w:val="22"/>
                <w:lang w:val="en-GB"/>
              </w:rPr>
              <w:t>S. Pedro do Sul</w:t>
            </w:r>
          </w:p>
        </w:tc>
        <w:tc>
          <w:tcPr>
            <w:tcW w:w="1080" w:type="dxa"/>
            <w:vAlign w:val="bottom"/>
          </w:tcPr>
          <w:p w:rsidR="00000000" w:rsidRDefault="00000000">
            <w:pPr>
              <w:tabs>
                <w:tab w:val="decimal" w:pos="763"/>
              </w:tabs>
              <w:rPr>
                <w:sz w:val="22"/>
              </w:rPr>
            </w:pPr>
            <w:r>
              <w:rPr>
                <w:sz w:val="22"/>
              </w:rPr>
              <w:t>62</w:t>
            </w:r>
          </w:p>
        </w:tc>
        <w:tc>
          <w:tcPr>
            <w:tcW w:w="1082" w:type="dxa"/>
            <w:vAlign w:val="bottom"/>
          </w:tcPr>
          <w:p w:rsidR="00000000" w:rsidRDefault="00000000">
            <w:pPr>
              <w:tabs>
                <w:tab w:val="decimal" w:pos="763"/>
              </w:tabs>
              <w:rPr>
                <w:sz w:val="22"/>
              </w:rPr>
            </w:pPr>
            <w:r>
              <w:rPr>
                <w:sz w:val="22"/>
              </w:rPr>
              <w:t>29</w:t>
            </w:r>
          </w:p>
        </w:tc>
        <w:tc>
          <w:tcPr>
            <w:tcW w:w="1091" w:type="dxa"/>
            <w:vAlign w:val="bottom"/>
          </w:tcPr>
          <w:p w:rsidR="00000000" w:rsidRDefault="00000000">
            <w:pPr>
              <w:tabs>
                <w:tab w:val="decimal" w:pos="603"/>
              </w:tabs>
              <w:rPr>
                <w:sz w:val="22"/>
              </w:rPr>
            </w:pPr>
            <w:r>
              <w:rPr>
                <w:sz w:val="22"/>
              </w:rPr>
              <w:t>213,8</w:t>
            </w:r>
          </w:p>
        </w:tc>
        <w:tc>
          <w:tcPr>
            <w:tcW w:w="1078" w:type="dxa"/>
            <w:vAlign w:val="bottom"/>
          </w:tcPr>
          <w:p w:rsidR="00000000" w:rsidRDefault="00000000">
            <w:pPr>
              <w:tabs>
                <w:tab w:val="decimal" w:pos="763"/>
              </w:tabs>
              <w:rPr>
                <w:sz w:val="22"/>
              </w:rPr>
            </w:pPr>
            <w:r>
              <w:rPr>
                <w:sz w:val="22"/>
              </w:rPr>
              <w:t>71</w:t>
            </w:r>
          </w:p>
        </w:tc>
        <w:tc>
          <w:tcPr>
            <w:tcW w:w="1084" w:type="dxa"/>
            <w:vAlign w:val="bottom"/>
          </w:tcPr>
          <w:p w:rsidR="00000000" w:rsidRDefault="00000000">
            <w:pPr>
              <w:tabs>
                <w:tab w:val="decimal" w:pos="763"/>
              </w:tabs>
              <w:rPr>
                <w:sz w:val="22"/>
              </w:rPr>
            </w:pPr>
            <w:r>
              <w:rPr>
                <w:sz w:val="22"/>
              </w:rPr>
              <w:t>29</w:t>
            </w:r>
          </w:p>
        </w:tc>
        <w:tc>
          <w:tcPr>
            <w:tcW w:w="1313" w:type="dxa"/>
            <w:vAlign w:val="bottom"/>
          </w:tcPr>
          <w:p w:rsidR="00000000" w:rsidRDefault="00000000">
            <w:pPr>
              <w:tabs>
                <w:tab w:val="decimal" w:pos="723"/>
              </w:tabs>
              <w:rPr>
                <w:sz w:val="22"/>
              </w:rPr>
            </w:pPr>
            <w:r>
              <w:rPr>
                <w:sz w:val="22"/>
              </w:rPr>
              <w:t>244,8</w:t>
            </w:r>
          </w:p>
        </w:tc>
      </w:tr>
      <w:tr w:rsidR="00000000">
        <w:trPr>
          <w:cantSplit/>
          <w:tblHeader/>
          <w:jc w:val="center"/>
        </w:trPr>
        <w:tc>
          <w:tcPr>
            <w:tcW w:w="2595" w:type="dxa"/>
            <w:vAlign w:val="center"/>
          </w:tcPr>
          <w:p w:rsidR="00000000" w:rsidRDefault="00000000">
            <w:pPr>
              <w:rPr>
                <w:sz w:val="22"/>
              </w:rPr>
            </w:pPr>
            <w:r>
              <w:rPr>
                <w:sz w:val="22"/>
              </w:rPr>
              <w:t>Setúbal</w:t>
            </w:r>
          </w:p>
        </w:tc>
        <w:tc>
          <w:tcPr>
            <w:tcW w:w="1080" w:type="dxa"/>
            <w:vAlign w:val="bottom"/>
          </w:tcPr>
          <w:p w:rsidR="00000000" w:rsidRDefault="00000000">
            <w:pPr>
              <w:tabs>
                <w:tab w:val="decimal" w:pos="763"/>
              </w:tabs>
              <w:rPr>
                <w:sz w:val="22"/>
              </w:rPr>
            </w:pPr>
            <w:r>
              <w:rPr>
                <w:sz w:val="22"/>
              </w:rPr>
              <w:t>299</w:t>
            </w:r>
          </w:p>
        </w:tc>
        <w:tc>
          <w:tcPr>
            <w:tcW w:w="1082" w:type="dxa"/>
            <w:vAlign w:val="bottom"/>
          </w:tcPr>
          <w:p w:rsidR="00000000" w:rsidRDefault="00000000">
            <w:pPr>
              <w:tabs>
                <w:tab w:val="decimal" w:pos="763"/>
              </w:tabs>
              <w:rPr>
                <w:sz w:val="22"/>
              </w:rPr>
            </w:pPr>
            <w:r>
              <w:rPr>
                <w:sz w:val="22"/>
              </w:rPr>
              <w:t>131</w:t>
            </w:r>
          </w:p>
        </w:tc>
        <w:tc>
          <w:tcPr>
            <w:tcW w:w="1091" w:type="dxa"/>
            <w:vAlign w:val="bottom"/>
          </w:tcPr>
          <w:p w:rsidR="00000000" w:rsidRDefault="00000000">
            <w:pPr>
              <w:tabs>
                <w:tab w:val="decimal" w:pos="603"/>
              </w:tabs>
              <w:rPr>
                <w:sz w:val="22"/>
              </w:rPr>
            </w:pPr>
            <w:r>
              <w:rPr>
                <w:sz w:val="22"/>
              </w:rPr>
              <w:t>228,2</w:t>
            </w:r>
          </w:p>
        </w:tc>
        <w:tc>
          <w:tcPr>
            <w:tcW w:w="1078" w:type="dxa"/>
            <w:vAlign w:val="bottom"/>
          </w:tcPr>
          <w:p w:rsidR="00000000" w:rsidRDefault="00000000">
            <w:pPr>
              <w:tabs>
                <w:tab w:val="decimal" w:pos="763"/>
              </w:tabs>
              <w:rPr>
                <w:sz w:val="22"/>
              </w:rPr>
            </w:pPr>
            <w:r>
              <w:rPr>
                <w:sz w:val="22"/>
              </w:rPr>
              <w:t>316</w:t>
            </w:r>
          </w:p>
        </w:tc>
        <w:tc>
          <w:tcPr>
            <w:tcW w:w="1084" w:type="dxa"/>
            <w:vAlign w:val="bottom"/>
          </w:tcPr>
          <w:p w:rsidR="00000000" w:rsidRDefault="00000000">
            <w:pPr>
              <w:tabs>
                <w:tab w:val="decimal" w:pos="763"/>
              </w:tabs>
              <w:rPr>
                <w:sz w:val="22"/>
              </w:rPr>
            </w:pPr>
            <w:r>
              <w:rPr>
                <w:sz w:val="22"/>
              </w:rPr>
              <w:t>131</w:t>
            </w:r>
          </w:p>
        </w:tc>
        <w:tc>
          <w:tcPr>
            <w:tcW w:w="1313" w:type="dxa"/>
            <w:vAlign w:val="bottom"/>
          </w:tcPr>
          <w:p w:rsidR="00000000" w:rsidRDefault="00000000">
            <w:pPr>
              <w:tabs>
                <w:tab w:val="decimal" w:pos="723"/>
              </w:tabs>
              <w:rPr>
                <w:sz w:val="22"/>
              </w:rPr>
            </w:pPr>
            <w:r>
              <w:rPr>
                <w:sz w:val="22"/>
              </w:rPr>
              <w:t>241,2</w:t>
            </w:r>
          </w:p>
        </w:tc>
      </w:tr>
      <w:tr w:rsidR="00000000">
        <w:trPr>
          <w:cantSplit/>
          <w:tblHeader/>
          <w:jc w:val="center"/>
        </w:trPr>
        <w:tc>
          <w:tcPr>
            <w:tcW w:w="2595" w:type="dxa"/>
            <w:vAlign w:val="center"/>
          </w:tcPr>
          <w:p w:rsidR="00000000" w:rsidRDefault="00000000">
            <w:pPr>
              <w:rPr>
                <w:sz w:val="22"/>
              </w:rPr>
            </w:pPr>
            <w:r>
              <w:rPr>
                <w:sz w:val="22"/>
              </w:rPr>
              <w:t>Silves</w:t>
            </w:r>
          </w:p>
        </w:tc>
        <w:tc>
          <w:tcPr>
            <w:tcW w:w="1080" w:type="dxa"/>
            <w:vAlign w:val="bottom"/>
          </w:tcPr>
          <w:p w:rsidR="00000000" w:rsidRDefault="00000000">
            <w:pPr>
              <w:tabs>
                <w:tab w:val="decimal" w:pos="763"/>
              </w:tabs>
              <w:rPr>
                <w:sz w:val="22"/>
              </w:rPr>
            </w:pPr>
            <w:r>
              <w:rPr>
                <w:sz w:val="22"/>
              </w:rPr>
              <w:t>79</w:t>
            </w:r>
          </w:p>
        </w:tc>
        <w:tc>
          <w:tcPr>
            <w:tcW w:w="1082" w:type="dxa"/>
            <w:vAlign w:val="bottom"/>
          </w:tcPr>
          <w:p w:rsidR="00000000" w:rsidRDefault="00000000">
            <w:pPr>
              <w:tabs>
                <w:tab w:val="decimal" w:pos="763"/>
              </w:tabs>
              <w:rPr>
                <w:sz w:val="22"/>
              </w:rPr>
            </w:pPr>
            <w:r>
              <w:rPr>
                <w:sz w:val="22"/>
              </w:rPr>
              <w:t>58</w:t>
            </w:r>
          </w:p>
        </w:tc>
        <w:tc>
          <w:tcPr>
            <w:tcW w:w="1091" w:type="dxa"/>
            <w:vAlign w:val="bottom"/>
          </w:tcPr>
          <w:p w:rsidR="00000000" w:rsidRDefault="00000000">
            <w:pPr>
              <w:tabs>
                <w:tab w:val="decimal" w:pos="603"/>
              </w:tabs>
              <w:rPr>
                <w:sz w:val="22"/>
              </w:rPr>
            </w:pPr>
            <w:r>
              <w:rPr>
                <w:sz w:val="22"/>
              </w:rPr>
              <w:t>136,2</w:t>
            </w:r>
          </w:p>
        </w:tc>
        <w:tc>
          <w:tcPr>
            <w:tcW w:w="1078" w:type="dxa"/>
            <w:vAlign w:val="bottom"/>
          </w:tcPr>
          <w:p w:rsidR="00000000" w:rsidRDefault="00000000">
            <w:pPr>
              <w:tabs>
                <w:tab w:val="decimal" w:pos="763"/>
              </w:tabs>
              <w:rPr>
                <w:sz w:val="22"/>
              </w:rPr>
            </w:pPr>
            <w:r>
              <w:rPr>
                <w:sz w:val="22"/>
              </w:rPr>
              <w:t>91</w:t>
            </w:r>
          </w:p>
        </w:tc>
        <w:tc>
          <w:tcPr>
            <w:tcW w:w="1084" w:type="dxa"/>
            <w:vAlign w:val="bottom"/>
          </w:tcPr>
          <w:p w:rsidR="00000000" w:rsidRDefault="00000000">
            <w:pPr>
              <w:tabs>
                <w:tab w:val="decimal" w:pos="763"/>
              </w:tabs>
              <w:rPr>
                <w:sz w:val="22"/>
              </w:rPr>
            </w:pPr>
            <w:r>
              <w:rPr>
                <w:sz w:val="22"/>
              </w:rPr>
              <w:t>58</w:t>
            </w:r>
          </w:p>
        </w:tc>
        <w:tc>
          <w:tcPr>
            <w:tcW w:w="1313" w:type="dxa"/>
            <w:vAlign w:val="bottom"/>
          </w:tcPr>
          <w:p w:rsidR="00000000" w:rsidRDefault="00000000">
            <w:pPr>
              <w:tabs>
                <w:tab w:val="decimal" w:pos="723"/>
              </w:tabs>
              <w:rPr>
                <w:sz w:val="22"/>
              </w:rPr>
            </w:pPr>
            <w:r>
              <w:rPr>
                <w:sz w:val="22"/>
              </w:rPr>
              <w:t>156,9</w:t>
            </w:r>
          </w:p>
        </w:tc>
      </w:tr>
      <w:tr w:rsidR="00000000">
        <w:trPr>
          <w:cantSplit/>
          <w:tblHeader/>
          <w:jc w:val="center"/>
        </w:trPr>
        <w:tc>
          <w:tcPr>
            <w:tcW w:w="2595" w:type="dxa"/>
            <w:vAlign w:val="center"/>
          </w:tcPr>
          <w:p w:rsidR="00000000" w:rsidRDefault="00000000">
            <w:pPr>
              <w:rPr>
                <w:sz w:val="22"/>
              </w:rPr>
            </w:pPr>
            <w:r>
              <w:rPr>
                <w:sz w:val="22"/>
              </w:rPr>
              <w:t>Torres Novas</w:t>
            </w:r>
          </w:p>
        </w:tc>
        <w:tc>
          <w:tcPr>
            <w:tcW w:w="1080" w:type="dxa"/>
            <w:vAlign w:val="bottom"/>
          </w:tcPr>
          <w:p w:rsidR="00000000" w:rsidRDefault="00000000">
            <w:pPr>
              <w:tabs>
                <w:tab w:val="decimal" w:pos="763"/>
              </w:tabs>
              <w:rPr>
                <w:sz w:val="22"/>
              </w:rPr>
            </w:pPr>
            <w:r>
              <w:rPr>
                <w:sz w:val="22"/>
              </w:rPr>
              <w:t>74</w:t>
            </w:r>
          </w:p>
        </w:tc>
        <w:tc>
          <w:tcPr>
            <w:tcW w:w="1082" w:type="dxa"/>
            <w:vAlign w:val="bottom"/>
          </w:tcPr>
          <w:p w:rsidR="00000000" w:rsidRDefault="00000000">
            <w:pPr>
              <w:tabs>
                <w:tab w:val="decimal" w:pos="763"/>
              </w:tabs>
              <w:rPr>
                <w:sz w:val="22"/>
              </w:rPr>
            </w:pPr>
            <w:r>
              <w:rPr>
                <w:sz w:val="22"/>
              </w:rPr>
              <w:t>38</w:t>
            </w:r>
          </w:p>
        </w:tc>
        <w:tc>
          <w:tcPr>
            <w:tcW w:w="1091" w:type="dxa"/>
            <w:vAlign w:val="bottom"/>
          </w:tcPr>
          <w:p w:rsidR="00000000" w:rsidRDefault="00000000">
            <w:pPr>
              <w:tabs>
                <w:tab w:val="decimal" w:pos="603"/>
              </w:tabs>
              <w:rPr>
                <w:sz w:val="22"/>
              </w:rPr>
            </w:pPr>
            <w:r>
              <w:rPr>
                <w:sz w:val="22"/>
              </w:rPr>
              <w:t>194,7</w:t>
            </w:r>
          </w:p>
        </w:tc>
        <w:tc>
          <w:tcPr>
            <w:tcW w:w="1078" w:type="dxa"/>
            <w:vAlign w:val="bottom"/>
          </w:tcPr>
          <w:p w:rsidR="00000000" w:rsidRDefault="00000000">
            <w:pPr>
              <w:tabs>
                <w:tab w:val="decimal" w:pos="763"/>
              </w:tabs>
              <w:rPr>
                <w:sz w:val="22"/>
              </w:rPr>
            </w:pPr>
            <w:r>
              <w:rPr>
                <w:sz w:val="22"/>
              </w:rPr>
              <w:t>68</w:t>
            </w:r>
          </w:p>
        </w:tc>
        <w:tc>
          <w:tcPr>
            <w:tcW w:w="1084" w:type="dxa"/>
            <w:vAlign w:val="bottom"/>
          </w:tcPr>
          <w:p w:rsidR="00000000" w:rsidRDefault="00000000">
            <w:pPr>
              <w:tabs>
                <w:tab w:val="decimal" w:pos="763"/>
              </w:tabs>
              <w:rPr>
                <w:sz w:val="22"/>
              </w:rPr>
            </w:pPr>
            <w:r>
              <w:rPr>
                <w:sz w:val="22"/>
              </w:rPr>
              <w:t>38</w:t>
            </w:r>
          </w:p>
        </w:tc>
        <w:tc>
          <w:tcPr>
            <w:tcW w:w="1313" w:type="dxa"/>
            <w:vAlign w:val="bottom"/>
          </w:tcPr>
          <w:p w:rsidR="00000000" w:rsidRDefault="00000000">
            <w:pPr>
              <w:tabs>
                <w:tab w:val="decimal" w:pos="723"/>
              </w:tabs>
              <w:rPr>
                <w:sz w:val="22"/>
              </w:rPr>
            </w:pPr>
            <w:r>
              <w:rPr>
                <w:sz w:val="22"/>
              </w:rPr>
              <w:t>178,9</w:t>
            </w:r>
          </w:p>
        </w:tc>
      </w:tr>
      <w:tr w:rsidR="00000000">
        <w:trPr>
          <w:cantSplit/>
          <w:tblHeader/>
          <w:jc w:val="center"/>
        </w:trPr>
        <w:tc>
          <w:tcPr>
            <w:tcW w:w="2595" w:type="dxa"/>
            <w:vAlign w:val="center"/>
          </w:tcPr>
          <w:p w:rsidR="00000000" w:rsidRDefault="00000000">
            <w:pPr>
              <w:rPr>
                <w:sz w:val="22"/>
              </w:rPr>
            </w:pPr>
            <w:r>
              <w:rPr>
                <w:sz w:val="22"/>
              </w:rPr>
              <w:t>Viana do Castelo</w:t>
            </w:r>
          </w:p>
        </w:tc>
        <w:tc>
          <w:tcPr>
            <w:tcW w:w="1080" w:type="dxa"/>
            <w:vAlign w:val="bottom"/>
          </w:tcPr>
          <w:p w:rsidR="00000000" w:rsidRDefault="00000000">
            <w:pPr>
              <w:tabs>
                <w:tab w:val="decimal" w:pos="763"/>
              </w:tabs>
              <w:rPr>
                <w:sz w:val="22"/>
              </w:rPr>
            </w:pPr>
            <w:r>
              <w:rPr>
                <w:sz w:val="22"/>
              </w:rPr>
              <w:t>105</w:t>
            </w:r>
          </w:p>
        </w:tc>
        <w:tc>
          <w:tcPr>
            <w:tcW w:w="1082" w:type="dxa"/>
            <w:vAlign w:val="bottom"/>
          </w:tcPr>
          <w:p w:rsidR="00000000" w:rsidRDefault="00000000">
            <w:pPr>
              <w:tabs>
                <w:tab w:val="decimal" w:pos="763"/>
              </w:tabs>
              <w:rPr>
                <w:sz w:val="22"/>
              </w:rPr>
            </w:pPr>
            <w:r>
              <w:rPr>
                <w:sz w:val="22"/>
              </w:rPr>
              <w:t>44</w:t>
            </w:r>
          </w:p>
        </w:tc>
        <w:tc>
          <w:tcPr>
            <w:tcW w:w="1091" w:type="dxa"/>
            <w:vAlign w:val="bottom"/>
          </w:tcPr>
          <w:p w:rsidR="00000000" w:rsidRDefault="00000000">
            <w:pPr>
              <w:tabs>
                <w:tab w:val="decimal" w:pos="603"/>
              </w:tabs>
              <w:rPr>
                <w:sz w:val="22"/>
              </w:rPr>
            </w:pPr>
            <w:r>
              <w:rPr>
                <w:sz w:val="22"/>
              </w:rPr>
              <w:t>238,6</w:t>
            </w:r>
          </w:p>
        </w:tc>
        <w:tc>
          <w:tcPr>
            <w:tcW w:w="1078" w:type="dxa"/>
            <w:vAlign w:val="bottom"/>
          </w:tcPr>
          <w:p w:rsidR="00000000" w:rsidRDefault="00000000">
            <w:pPr>
              <w:tabs>
                <w:tab w:val="decimal" w:pos="763"/>
              </w:tabs>
              <w:rPr>
                <w:sz w:val="22"/>
              </w:rPr>
            </w:pPr>
            <w:r>
              <w:rPr>
                <w:sz w:val="22"/>
              </w:rPr>
              <w:t>87</w:t>
            </w:r>
          </w:p>
        </w:tc>
        <w:tc>
          <w:tcPr>
            <w:tcW w:w="1084" w:type="dxa"/>
            <w:vAlign w:val="bottom"/>
          </w:tcPr>
          <w:p w:rsidR="00000000" w:rsidRDefault="00000000">
            <w:pPr>
              <w:tabs>
                <w:tab w:val="decimal" w:pos="763"/>
              </w:tabs>
              <w:rPr>
                <w:sz w:val="22"/>
              </w:rPr>
            </w:pPr>
            <w:r>
              <w:rPr>
                <w:sz w:val="22"/>
              </w:rPr>
              <w:t>44</w:t>
            </w:r>
          </w:p>
        </w:tc>
        <w:tc>
          <w:tcPr>
            <w:tcW w:w="1313" w:type="dxa"/>
            <w:vAlign w:val="bottom"/>
          </w:tcPr>
          <w:p w:rsidR="00000000" w:rsidRDefault="00000000">
            <w:pPr>
              <w:tabs>
                <w:tab w:val="decimal" w:pos="723"/>
              </w:tabs>
              <w:rPr>
                <w:sz w:val="22"/>
              </w:rPr>
            </w:pPr>
            <w:r>
              <w:rPr>
                <w:sz w:val="22"/>
              </w:rPr>
              <w:t>197,7</w:t>
            </w:r>
          </w:p>
        </w:tc>
      </w:tr>
      <w:tr w:rsidR="00000000">
        <w:trPr>
          <w:cantSplit/>
          <w:tblHeader/>
          <w:jc w:val="center"/>
        </w:trPr>
        <w:tc>
          <w:tcPr>
            <w:tcW w:w="2595" w:type="dxa"/>
            <w:vAlign w:val="center"/>
          </w:tcPr>
          <w:p w:rsidR="00000000" w:rsidRDefault="00000000">
            <w:pPr>
              <w:rPr>
                <w:sz w:val="22"/>
              </w:rPr>
            </w:pPr>
            <w:r>
              <w:rPr>
                <w:sz w:val="22"/>
              </w:rPr>
              <w:t>Vila Real</w:t>
            </w:r>
          </w:p>
        </w:tc>
        <w:tc>
          <w:tcPr>
            <w:tcW w:w="1080" w:type="dxa"/>
            <w:vAlign w:val="bottom"/>
          </w:tcPr>
          <w:p w:rsidR="00000000" w:rsidRDefault="00000000">
            <w:pPr>
              <w:tabs>
                <w:tab w:val="decimal" w:pos="763"/>
              </w:tabs>
              <w:rPr>
                <w:sz w:val="22"/>
              </w:rPr>
            </w:pPr>
            <w:r>
              <w:rPr>
                <w:sz w:val="22"/>
              </w:rPr>
              <w:t>108</w:t>
            </w:r>
          </w:p>
        </w:tc>
        <w:tc>
          <w:tcPr>
            <w:tcW w:w="1082" w:type="dxa"/>
            <w:vAlign w:val="bottom"/>
          </w:tcPr>
          <w:p w:rsidR="00000000" w:rsidRDefault="00000000">
            <w:pPr>
              <w:tabs>
                <w:tab w:val="decimal" w:pos="763"/>
              </w:tabs>
              <w:rPr>
                <w:sz w:val="22"/>
              </w:rPr>
            </w:pPr>
            <w:r>
              <w:rPr>
                <w:sz w:val="22"/>
              </w:rPr>
              <w:t>68</w:t>
            </w:r>
          </w:p>
        </w:tc>
        <w:tc>
          <w:tcPr>
            <w:tcW w:w="1091" w:type="dxa"/>
            <w:vAlign w:val="bottom"/>
          </w:tcPr>
          <w:p w:rsidR="00000000" w:rsidRDefault="00000000">
            <w:pPr>
              <w:tabs>
                <w:tab w:val="decimal" w:pos="603"/>
              </w:tabs>
              <w:rPr>
                <w:sz w:val="22"/>
              </w:rPr>
            </w:pPr>
            <w:r>
              <w:rPr>
                <w:sz w:val="22"/>
              </w:rPr>
              <w:t>158,8</w:t>
            </w:r>
          </w:p>
        </w:tc>
        <w:tc>
          <w:tcPr>
            <w:tcW w:w="1078" w:type="dxa"/>
            <w:vAlign w:val="bottom"/>
          </w:tcPr>
          <w:p w:rsidR="00000000" w:rsidRDefault="00000000">
            <w:pPr>
              <w:tabs>
                <w:tab w:val="decimal" w:pos="763"/>
              </w:tabs>
              <w:rPr>
                <w:sz w:val="22"/>
              </w:rPr>
            </w:pPr>
            <w:r>
              <w:rPr>
                <w:sz w:val="22"/>
              </w:rPr>
              <w:t>100</w:t>
            </w:r>
          </w:p>
        </w:tc>
        <w:tc>
          <w:tcPr>
            <w:tcW w:w="1084" w:type="dxa"/>
            <w:vAlign w:val="bottom"/>
          </w:tcPr>
          <w:p w:rsidR="00000000" w:rsidRDefault="00000000">
            <w:pPr>
              <w:tabs>
                <w:tab w:val="decimal" w:pos="763"/>
              </w:tabs>
              <w:rPr>
                <w:sz w:val="22"/>
              </w:rPr>
            </w:pPr>
            <w:r>
              <w:rPr>
                <w:sz w:val="22"/>
              </w:rPr>
              <w:t>68</w:t>
            </w:r>
          </w:p>
        </w:tc>
        <w:tc>
          <w:tcPr>
            <w:tcW w:w="1313" w:type="dxa"/>
            <w:vAlign w:val="bottom"/>
          </w:tcPr>
          <w:p w:rsidR="00000000" w:rsidRDefault="00000000">
            <w:pPr>
              <w:tabs>
                <w:tab w:val="decimal" w:pos="723"/>
              </w:tabs>
              <w:rPr>
                <w:sz w:val="22"/>
              </w:rPr>
            </w:pPr>
            <w:r>
              <w:rPr>
                <w:sz w:val="22"/>
              </w:rPr>
              <w:t>147,1</w:t>
            </w:r>
          </w:p>
        </w:tc>
      </w:tr>
      <w:tr w:rsidR="00000000">
        <w:trPr>
          <w:cantSplit/>
          <w:tblHeader/>
          <w:jc w:val="center"/>
        </w:trPr>
        <w:tc>
          <w:tcPr>
            <w:tcW w:w="2595" w:type="dxa"/>
            <w:vAlign w:val="center"/>
          </w:tcPr>
          <w:p w:rsidR="00000000" w:rsidRDefault="00000000">
            <w:pPr>
              <w:rPr>
                <w:sz w:val="22"/>
              </w:rPr>
            </w:pPr>
            <w:r>
              <w:rPr>
                <w:sz w:val="22"/>
              </w:rPr>
              <w:t>Viseu</w:t>
            </w:r>
          </w:p>
        </w:tc>
        <w:tc>
          <w:tcPr>
            <w:tcW w:w="1080" w:type="dxa"/>
            <w:vAlign w:val="bottom"/>
          </w:tcPr>
          <w:p w:rsidR="00000000" w:rsidRDefault="00000000">
            <w:pPr>
              <w:tabs>
                <w:tab w:val="decimal" w:pos="763"/>
              </w:tabs>
              <w:rPr>
                <w:sz w:val="22"/>
              </w:rPr>
            </w:pPr>
            <w:r>
              <w:rPr>
                <w:sz w:val="22"/>
              </w:rPr>
              <w:t>58</w:t>
            </w:r>
          </w:p>
        </w:tc>
        <w:tc>
          <w:tcPr>
            <w:tcW w:w="1082" w:type="dxa"/>
            <w:vAlign w:val="bottom"/>
          </w:tcPr>
          <w:p w:rsidR="00000000" w:rsidRDefault="00000000">
            <w:pPr>
              <w:tabs>
                <w:tab w:val="decimal" w:pos="763"/>
              </w:tabs>
              <w:rPr>
                <w:sz w:val="22"/>
              </w:rPr>
            </w:pPr>
            <w:r>
              <w:rPr>
                <w:sz w:val="22"/>
              </w:rPr>
              <w:t>46</w:t>
            </w:r>
          </w:p>
        </w:tc>
        <w:tc>
          <w:tcPr>
            <w:tcW w:w="1091" w:type="dxa"/>
            <w:vAlign w:val="bottom"/>
          </w:tcPr>
          <w:p w:rsidR="00000000" w:rsidRDefault="00000000">
            <w:pPr>
              <w:tabs>
                <w:tab w:val="decimal" w:pos="603"/>
              </w:tabs>
              <w:rPr>
                <w:sz w:val="22"/>
              </w:rPr>
            </w:pPr>
            <w:r>
              <w:rPr>
                <w:sz w:val="22"/>
              </w:rPr>
              <w:t>126,1</w:t>
            </w:r>
          </w:p>
        </w:tc>
        <w:tc>
          <w:tcPr>
            <w:tcW w:w="1078" w:type="dxa"/>
            <w:vAlign w:val="bottom"/>
          </w:tcPr>
          <w:p w:rsidR="00000000" w:rsidRDefault="00000000">
            <w:pPr>
              <w:tabs>
                <w:tab w:val="decimal" w:pos="763"/>
              </w:tabs>
              <w:rPr>
                <w:sz w:val="22"/>
              </w:rPr>
            </w:pPr>
            <w:r>
              <w:rPr>
                <w:sz w:val="22"/>
              </w:rPr>
              <w:t>56</w:t>
            </w:r>
          </w:p>
        </w:tc>
        <w:tc>
          <w:tcPr>
            <w:tcW w:w="1084" w:type="dxa"/>
            <w:vAlign w:val="bottom"/>
          </w:tcPr>
          <w:p w:rsidR="00000000" w:rsidRDefault="00000000">
            <w:pPr>
              <w:tabs>
                <w:tab w:val="decimal" w:pos="763"/>
              </w:tabs>
              <w:rPr>
                <w:sz w:val="22"/>
              </w:rPr>
            </w:pPr>
            <w:r>
              <w:rPr>
                <w:sz w:val="22"/>
              </w:rPr>
              <w:t>46</w:t>
            </w:r>
          </w:p>
        </w:tc>
        <w:tc>
          <w:tcPr>
            <w:tcW w:w="1313" w:type="dxa"/>
            <w:vAlign w:val="bottom"/>
          </w:tcPr>
          <w:p w:rsidR="00000000" w:rsidRDefault="00000000">
            <w:pPr>
              <w:tabs>
                <w:tab w:val="decimal" w:pos="723"/>
              </w:tabs>
              <w:rPr>
                <w:sz w:val="22"/>
              </w:rPr>
            </w:pPr>
            <w:r>
              <w:rPr>
                <w:sz w:val="22"/>
              </w:rPr>
              <w:t>121,7</w:t>
            </w:r>
          </w:p>
        </w:tc>
      </w:tr>
      <w:tr w:rsidR="00000000">
        <w:trPr>
          <w:cantSplit/>
          <w:tblHeader/>
          <w:jc w:val="center"/>
        </w:trPr>
        <w:tc>
          <w:tcPr>
            <w:tcW w:w="2595" w:type="dxa"/>
            <w:vAlign w:val="center"/>
          </w:tcPr>
          <w:p w:rsidR="00000000" w:rsidRDefault="00000000">
            <w:pPr>
              <w:rPr>
                <w:sz w:val="22"/>
              </w:rPr>
            </w:pPr>
            <w:r>
              <w:rPr>
                <w:sz w:val="22"/>
              </w:rPr>
              <w:t>P. J. Lisboa</w:t>
            </w:r>
          </w:p>
        </w:tc>
        <w:tc>
          <w:tcPr>
            <w:tcW w:w="1080" w:type="dxa"/>
            <w:vAlign w:val="bottom"/>
          </w:tcPr>
          <w:p w:rsidR="00000000" w:rsidRDefault="00000000">
            <w:pPr>
              <w:tabs>
                <w:tab w:val="decimal" w:pos="763"/>
              </w:tabs>
              <w:rPr>
                <w:sz w:val="22"/>
              </w:rPr>
            </w:pPr>
            <w:r>
              <w:rPr>
                <w:sz w:val="22"/>
              </w:rPr>
              <w:t>145</w:t>
            </w:r>
          </w:p>
        </w:tc>
        <w:tc>
          <w:tcPr>
            <w:tcW w:w="1082" w:type="dxa"/>
            <w:vAlign w:val="bottom"/>
          </w:tcPr>
          <w:p w:rsidR="00000000" w:rsidRDefault="00000000">
            <w:pPr>
              <w:tabs>
                <w:tab w:val="decimal" w:pos="763"/>
              </w:tabs>
              <w:rPr>
                <w:sz w:val="22"/>
              </w:rPr>
            </w:pPr>
            <w:r>
              <w:rPr>
                <w:sz w:val="22"/>
              </w:rPr>
              <w:t>110</w:t>
            </w:r>
          </w:p>
        </w:tc>
        <w:tc>
          <w:tcPr>
            <w:tcW w:w="1091" w:type="dxa"/>
            <w:vAlign w:val="bottom"/>
          </w:tcPr>
          <w:p w:rsidR="00000000" w:rsidRDefault="00000000">
            <w:pPr>
              <w:tabs>
                <w:tab w:val="decimal" w:pos="603"/>
              </w:tabs>
              <w:rPr>
                <w:sz w:val="22"/>
              </w:rPr>
            </w:pPr>
            <w:r>
              <w:rPr>
                <w:sz w:val="22"/>
              </w:rPr>
              <w:t>131,8</w:t>
            </w:r>
          </w:p>
        </w:tc>
        <w:tc>
          <w:tcPr>
            <w:tcW w:w="1078" w:type="dxa"/>
            <w:vAlign w:val="bottom"/>
          </w:tcPr>
          <w:p w:rsidR="00000000" w:rsidRDefault="00000000">
            <w:pPr>
              <w:tabs>
                <w:tab w:val="decimal" w:pos="763"/>
              </w:tabs>
              <w:rPr>
                <w:sz w:val="22"/>
              </w:rPr>
            </w:pPr>
            <w:r>
              <w:rPr>
                <w:sz w:val="22"/>
              </w:rPr>
              <w:t>158</w:t>
            </w:r>
          </w:p>
        </w:tc>
        <w:tc>
          <w:tcPr>
            <w:tcW w:w="1084" w:type="dxa"/>
            <w:vAlign w:val="bottom"/>
          </w:tcPr>
          <w:p w:rsidR="00000000" w:rsidRDefault="00000000">
            <w:pPr>
              <w:tabs>
                <w:tab w:val="decimal" w:pos="763"/>
              </w:tabs>
              <w:rPr>
                <w:sz w:val="22"/>
              </w:rPr>
            </w:pPr>
            <w:r>
              <w:rPr>
                <w:sz w:val="22"/>
              </w:rPr>
              <w:t>110</w:t>
            </w:r>
          </w:p>
        </w:tc>
        <w:tc>
          <w:tcPr>
            <w:tcW w:w="1313" w:type="dxa"/>
            <w:vAlign w:val="bottom"/>
          </w:tcPr>
          <w:p w:rsidR="00000000" w:rsidRDefault="00000000">
            <w:pPr>
              <w:tabs>
                <w:tab w:val="decimal" w:pos="723"/>
              </w:tabs>
              <w:rPr>
                <w:sz w:val="22"/>
              </w:rPr>
            </w:pPr>
            <w:r>
              <w:rPr>
                <w:sz w:val="22"/>
              </w:rPr>
              <w:t>143,6</w:t>
            </w:r>
          </w:p>
        </w:tc>
      </w:tr>
      <w:tr w:rsidR="00000000">
        <w:trPr>
          <w:cantSplit/>
          <w:tblHeader/>
          <w:jc w:val="center"/>
        </w:trPr>
        <w:tc>
          <w:tcPr>
            <w:tcW w:w="2595" w:type="dxa"/>
            <w:vAlign w:val="center"/>
          </w:tcPr>
          <w:p w:rsidR="00000000" w:rsidRDefault="00000000">
            <w:pPr>
              <w:rPr>
                <w:sz w:val="22"/>
              </w:rPr>
            </w:pPr>
            <w:r>
              <w:rPr>
                <w:sz w:val="22"/>
              </w:rPr>
              <w:t>P. J. Porto</w:t>
            </w:r>
          </w:p>
        </w:tc>
        <w:tc>
          <w:tcPr>
            <w:tcW w:w="1080" w:type="dxa"/>
            <w:vAlign w:val="bottom"/>
          </w:tcPr>
          <w:p w:rsidR="00000000" w:rsidRDefault="00000000">
            <w:pPr>
              <w:tabs>
                <w:tab w:val="decimal" w:pos="763"/>
              </w:tabs>
              <w:rPr>
                <w:sz w:val="22"/>
              </w:rPr>
            </w:pPr>
            <w:r>
              <w:rPr>
                <w:sz w:val="22"/>
              </w:rPr>
              <w:t>24</w:t>
            </w:r>
          </w:p>
        </w:tc>
        <w:tc>
          <w:tcPr>
            <w:tcW w:w="1082" w:type="dxa"/>
            <w:vAlign w:val="bottom"/>
          </w:tcPr>
          <w:p w:rsidR="00000000" w:rsidRDefault="00000000">
            <w:pPr>
              <w:tabs>
                <w:tab w:val="decimal" w:pos="763"/>
              </w:tabs>
              <w:rPr>
                <w:sz w:val="22"/>
              </w:rPr>
            </w:pPr>
            <w:r>
              <w:rPr>
                <w:sz w:val="22"/>
              </w:rPr>
              <w:t>32</w:t>
            </w:r>
          </w:p>
        </w:tc>
        <w:tc>
          <w:tcPr>
            <w:tcW w:w="1091" w:type="dxa"/>
            <w:vAlign w:val="bottom"/>
          </w:tcPr>
          <w:p w:rsidR="00000000" w:rsidRDefault="00000000">
            <w:pPr>
              <w:tabs>
                <w:tab w:val="decimal" w:pos="603"/>
              </w:tabs>
              <w:rPr>
                <w:sz w:val="22"/>
              </w:rPr>
            </w:pPr>
            <w:r>
              <w:rPr>
                <w:sz w:val="22"/>
              </w:rPr>
              <w:t>75,0</w:t>
            </w:r>
          </w:p>
        </w:tc>
        <w:tc>
          <w:tcPr>
            <w:tcW w:w="1078" w:type="dxa"/>
            <w:vAlign w:val="bottom"/>
          </w:tcPr>
          <w:p w:rsidR="00000000" w:rsidRDefault="00000000">
            <w:pPr>
              <w:tabs>
                <w:tab w:val="decimal" w:pos="763"/>
              </w:tabs>
              <w:rPr>
                <w:sz w:val="22"/>
              </w:rPr>
            </w:pPr>
            <w:r>
              <w:rPr>
                <w:sz w:val="22"/>
              </w:rPr>
              <w:t>34</w:t>
            </w:r>
          </w:p>
        </w:tc>
        <w:tc>
          <w:tcPr>
            <w:tcW w:w="1084" w:type="dxa"/>
            <w:vAlign w:val="bottom"/>
          </w:tcPr>
          <w:p w:rsidR="00000000" w:rsidRDefault="00000000">
            <w:pPr>
              <w:tabs>
                <w:tab w:val="decimal" w:pos="763"/>
              </w:tabs>
              <w:rPr>
                <w:sz w:val="22"/>
              </w:rPr>
            </w:pPr>
            <w:r>
              <w:rPr>
                <w:sz w:val="22"/>
              </w:rPr>
              <w:t>48</w:t>
            </w:r>
          </w:p>
        </w:tc>
        <w:tc>
          <w:tcPr>
            <w:tcW w:w="1313" w:type="dxa"/>
            <w:vAlign w:val="bottom"/>
          </w:tcPr>
          <w:p w:rsidR="00000000" w:rsidRDefault="00000000">
            <w:pPr>
              <w:tabs>
                <w:tab w:val="decimal" w:pos="723"/>
              </w:tabs>
              <w:rPr>
                <w:sz w:val="22"/>
              </w:rPr>
            </w:pPr>
            <w:r>
              <w:rPr>
                <w:sz w:val="22"/>
              </w:rPr>
              <w:t>70,8</w:t>
            </w:r>
          </w:p>
        </w:tc>
      </w:tr>
      <w:tr w:rsidR="00000000">
        <w:trPr>
          <w:cantSplit/>
          <w:tblHeader/>
          <w:jc w:val="center"/>
        </w:trPr>
        <w:tc>
          <w:tcPr>
            <w:tcW w:w="2595" w:type="dxa"/>
            <w:vAlign w:val="center"/>
          </w:tcPr>
          <w:p w:rsidR="00000000" w:rsidRDefault="00000000">
            <w:pPr>
              <w:rPr>
                <w:bCs/>
                <w:sz w:val="22"/>
              </w:rPr>
            </w:pPr>
            <w:r>
              <w:rPr>
                <w:bCs/>
                <w:sz w:val="22"/>
              </w:rPr>
              <w:tab/>
              <w:t>Total</w:t>
            </w:r>
            <w:r>
              <w:rPr>
                <w:b/>
                <w:sz w:val="22"/>
                <w:vertAlign w:val="superscript"/>
              </w:rPr>
              <w:t>c</w:t>
            </w:r>
          </w:p>
        </w:tc>
        <w:tc>
          <w:tcPr>
            <w:tcW w:w="1080" w:type="dxa"/>
            <w:vAlign w:val="bottom"/>
          </w:tcPr>
          <w:p w:rsidR="00000000" w:rsidRDefault="00000000">
            <w:pPr>
              <w:tabs>
                <w:tab w:val="decimal" w:pos="763"/>
              </w:tabs>
              <w:rPr>
                <w:sz w:val="22"/>
              </w:rPr>
            </w:pPr>
            <w:r>
              <w:rPr>
                <w:sz w:val="22"/>
              </w:rPr>
              <w:t>3.811</w:t>
            </w:r>
          </w:p>
        </w:tc>
        <w:tc>
          <w:tcPr>
            <w:tcW w:w="1082" w:type="dxa"/>
            <w:vAlign w:val="bottom"/>
          </w:tcPr>
          <w:p w:rsidR="00000000" w:rsidRDefault="00000000">
            <w:pPr>
              <w:tabs>
                <w:tab w:val="decimal" w:pos="763"/>
              </w:tabs>
              <w:rPr>
                <w:sz w:val="22"/>
              </w:rPr>
            </w:pPr>
            <w:r>
              <w:rPr>
                <w:sz w:val="22"/>
              </w:rPr>
              <w:t>2.695</w:t>
            </w:r>
          </w:p>
        </w:tc>
        <w:tc>
          <w:tcPr>
            <w:tcW w:w="1091" w:type="dxa"/>
            <w:vAlign w:val="bottom"/>
          </w:tcPr>
          <w:p w:rsidR="00000000" w:rsidRDefault="00000000">
            <w:pPr>
              <w:tabs>
                <w:tab w:val="decimal" w:pos="603"/>
              </w:tabs>
              <w:rPr>
                <w:sz w:val="22"/>
              </w:rPr>
            </w:pPr>
            <w:r>
              <w:rPr>
                <w:sz w:val="22"/>
              </w:rPr>
              <w:t>141,4</w:t>
            </w:r>
          </w:p>
        </w:tc>
        <w:tc>
          <w:tcPr>
            <w:tcW w:w="1078" w:type="dxa"/>
            <w:vAlign w:val="bottom"/>
          </w:tcPr>
          <w:p w:rsidR="00000000" w:rsidRDefault="00000000">
            <w:pPr>
              <w:tabs>
                <w:tab w:val="decimal" w:pos="763"/>
              </w:tabs>
              <w:rPr>
                <w:sz w:val="22"/>
              </w:rPr>
            </w:pPr>
            <w:r>
              <w:rPr>
                <w:sz w:val="22"/>
              </w:rPr>
              <w:t>3.771</w:t>
            </w:r>
          </w:p>
        </w:tc>
        <w:tc>
          <w:tcPr>
            <w:tcW w:w="1084" w:type="dxa"/>
            <w:vAlign w:val="bottom"/>
          </w:tcPr>
          <w:p w:rsidR="00000000" w:rsidRDefault="00000000">
            <w:pPr>
              <w:tabs>
                <w:tab w:val="decimal" w:pos="763"/>
              </w:tabs>
              <w:rPr>
                <w:sz w:val="22"/>
              </w:rPr>
            </w:pPr>
            <w:r>
              <w:rPr>
                <w:sz w:val="22"/>
              </w:rPr>
              <w:t>2.711</w:t>
            </w:r>
          </w:p>
        </w:tc>
        <w:tc>
          <w:tcPr>
            <w:tcW w:w="1313" w:type="dxa"/>
            <w:vAlign w:val="bottom"/>
          </w:tcPr>
          <w:p w:rsidR="00000000" w:rsidRDefault="00000000">
            <w:pPr>
              <w:tabs>
                <w:tab w:val="decimal" w:pos="723"/>
              </w:tabs>
              <w:rPr>
                <w:bCs/>
                <w:sz w:val="22"/>
              </w:rPr>
            </w:pPr>
            <w:r>
              <w:rPr>
                <w:bCs/>
                <w:sz w:val="22"/>
              </w:rPr>
              <w:t>139,1</w:t>
            </w:r>
          </w:p>
        </w:tc>
      </w:tr>
    </w:tbl>
    <w:p w:rsidR="00000000" w:rsidRDefault="00000000">
      <w:pPr>
        <w:spacing w:before="120" w:after="120"/>
        <w:rPr>
          <w:sz w:val="22"/>
        </w:rPr>
      </w:pPr>
      <w:r>
        <w:rPr>
          <w:b/>
          <w:sz w:val="22"/>
          <w:vertAlign w:val="superscript"/>
        </w:rPr>
        <w:t>a</w:t>
      </w:r>
      <w:r>
        <w:rPr>
          <w:sz w:val="22"/>
        </w:rPr>
        <w:t xml:space="preserve"> Para 2004, los datos están actualizados al 15 de junio.</w:t>
      </w:r>
    </w:p>
    <w:p w:rsidR="00000000" w:rsidRDefault="00000000">
      <w:pPr>
        <w:spacing w:before="120" w:after="120"/>
        <w:rPr>
          <w:sz w:val="22"/>
        </w:rPr>
      </w:pPr>
      <w:r>
        <w:rPr>
          <w:b/>
          <w:sz w:val="22"/>
          <w:vertAlign w:val="superscript"/>
        </w:rPr>
        <w:t>b</w:t>
      </w:r>
      <w:r>
        <w:rPr>
          <w:b/>
          <w:sz w:val="22"/>
        </w:rPr>
        <w:t xml:space="preserve"> </w:t>
      </w:r>
      <w:r>
        <w:rPr>
          <w:sz w:val="22"/>
        </w:rPr>
        <w:t>Los detenidos asignados al establecimiento de Olhão se cuentan con los del establecimiento de Faro.</w:t>
      </w:r>
    </w:p>
    <w:p w:rsidR="00000000" w:rsidRDefault="00000000">
      <w:pPr>
        <w:spacing w:before="120" w:after="120"/>
        <w:rPr>
          <w:sz w:val="22"/>
        </w:rPr>
      </w:pPr>
      <w:r>
        <w:rPr>
          <w:b/>
          <w:sz w:val="22"/>
          <w:vertAlign w:val="superscript"/>
        </w:rPr>
        <w:t>c</w:t>
      </w:r>
      <w:r>
        <w:rPr>
          <w:b/>
          <w:sz w:val="22"/>
        </w:rPr>
        <w:t xml:space="preserve"> </w:t>
      </w:r>
      <w:r>
        <w:rPr>
          <w:sz w:val="22"/>
        </w:rPr>
        <w:t>Estos totales se remiten a la penúltima línea del cuadro 7</w:t>
      </w:r>
      <w:r>
        <w:rPr>
          <w:sz w:val="22"/>
        </w:rPr>
        <w:noBreakHyphen/>
        <w:t>A.</w:t>
      </w:r>
    </w:p>
    <w:p w:rsidR="00000000" w:rsidRDefault="00000000">
      <w:pPr>
        <w:spacing w:after="240"/>
      </w:pPr>
      <w:r>
        <w:t>224.</w:t>
      </w:r>
      <w:r>
        <w:tab/>
        <w:t>Para mayor precisión, conviene mencionar el número de suicidios en los establecimientos penitenciarios.</w:t>
      </w:r>
    </w:p>
    <w:p w:rsidR="00000000" w:rsidRDefault="00000000">
      <w:pPr>
        <w:autoSpaceDE w:val="0"/>
        <w:autoSpaceDN w:val="0"/>
        <w:adjustRightInd w:val="0"/>
        <w:spacing w:after="240"/>
        <w:jc w:val="center"/>
        <w:rPr>
          <w:b/>
        </w:rPr>
      </w:pPr>
      <w:r>
        <w:rPr>
          <w:b/>
        </w:rPr>
        <w:t>Cuadro 8</w:t>
      </w:r>
    </w:p>
    <w:p w:rsidR="00000000" w:rsidRDefault="00000000">
      <w:pPr>
        <w:autoSpaceDE w:val="0"/>
        <w:autoSpaceDN w:val="0"/>
        <w:adjustRightInd w:val="0"/>
        <w:spacing w:after="240"/>
        <w:jc w:val="center"/>
        <w:rPr>
          <w:bCs/>
          <w:vertAlign w:val="superscript"/>
        </w:rPr>
      </w:pPr>
      <w:r>
        <w:rPr>
          <w:b/>
        </w:rPr>
        <w:t>Número de suicidios por año (1999-2004)</w:t>
      </w:r>
      <w:r>
        <w:rPr>
          <w:b/>
          <w:vertAlign w:val="superscript"/>
        </w:rPr>
        <w:t>a</w:t>
      </w:r>
    </w:p>
    <w:tbl>
      <w:tblPr>
        <w:tblW w:w="0" w:type="auto"/>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2188"/>
      </w:tblGrid>
      <w:tr w:rsidR="00000000">
        <w:trPr>
          <w:jc w:val="center"/>
        </w:trPr>
        <w:tc>
          <w:tcPr>
            <w:tcW w:w="2188" w:type="dxa"/>
            <w:vAlign w:val="center"/>
          </w:tcPr>
          <w:p w:rsidR="00000000" w:rsidRDefault="00000000">
            <w:r>
              <w:t>1999</w:t>
            </w:r>
          </w:p>
        </w:tc>
        <w:tc>
          <w:tcPr>
            <w:tcW w:w="2188" w:type="dxa"/>
            <w:vAlign w:val="center"/>
          </w:tcPr>
          <w:p w:rsidR="00000000" w:rsidRDefault="00000000">
            <w:pPr>
              <w:jc w:val="center"/>
            </w:pPr>
            <w:r>
              <w:t>13</w:t>
            </w:r>
          </w:p>
        </w:tc>
      </w:tr>
      <w:tr w:rsidR="00000000">
        <w:trPr>
          <w:jc w:val="center"/>
        </w:trPr>
        <w:tc>
          <w:tcPr>
            <w:tcW w:w="2188" w:type="dxa"/>
            <w:vAlign w:val="center"/>
          </w:tcPr>
          <w:p w:rsidR="00000000" w:rsidRDefault="00000000">
            <w:r>
              <w:t>2000</w:t>
            </w:r>
          </w:p>
        </w:tc>
        <w:tc>
          <w:tcPr>
            <w:tcW w:w="2188" w:type="dxa"/>
            <w:vAlign w:val="center"/>
          </w:tcPr>
          <w:p w:rsidR="00000000" w:rsidRDefault="00000000">
            <w:pPr>
              <w:jc w:val="center"/>
            </w:pPr>
            <w:r>
              <w:t>10</w:t>
            </w:r>
          </w:p>
        </w:tc>
      </w:tr>
      <w:tr w:rsidR="00000000">
        <w:trPr>
          <w:jc w:val="center"/>
        </w:trPr>
        <w:tc>
          <w:tcPr>
            <w:tcW w:w="2188" w:type="dxa"/>
            <w:vAlign w:val="center"/>
          </w:tcPr>
          <w:p w:rsidR="00000000" w:rsidRDefault="00000000">
            <w:r>
              <w:t>2001</w:t>
            </w:r>
          </w:p>
        </w:tc>
        <w:tc>
          <w:tcPr>
            <w:tcW w:w="2188" w:type="dxa"/>
            <w:vAlign w:val="center"/>
          </w:tcPr>
          <w:p w:rsidR="00000000" w:rsidRDefault="00000000">
            <w:pPr>
              <w:jc w:val="center"/>
            </w:pPr>
            <w:r>
              <w:t>23</w:t>
            </w:r>
          </w:p>
        </w:tc>
      </w:tr>
      <w:tr w:rsidR="00000000">
        <w:trPr>
          <w:jc w:val="center"/>
        </w:trPr>
        <w:tc>
          <w:tcPr>
            <w:tcW w:w="2188" w:type="dxa"/>
            <w:vAlign w:val="center"/>
          </w:tcPr>
          <w:p w:rsidR="00000000" w:rsidRDefault="00000000">
            <w:r>
              <w:t>2002</w:t>
            </w:r>
          </w:p>
        </w:tc>
        <w:tc>
          <w:tcPr>
            <w:tcW w:w="2188" w:type="dxa"/>
            <w:vAlign w:val="center"/>
          </w:tcPr>
          <w:p w:rsidR="00000000" w:rsidRDefault="00000000">
            <w:pPr>
              <w:jc w:val="center"/>
            </w:pPr>
            <w:r>
              <w:t>19</w:t>
            </w:r>
          </w:p>
        </w:tc>
      </w:tr>
      <w:tr w:rsidR="00000000">
        <w:trPr>
          <w:jc w:val="center"/>
        </w:trPr>
        <w:tc>
          <w:tcPr>
            <w:tcW w:w="2188" w:type="dxa"/>
            <w:vAlign w:val="center"/>
          </w:tcPr>
          <w:p w:rsidR="00000000" w:rsidRDefault="00000000">
            <w:r>
              <w:t>2003</w:t>
            </w:r>
          </w:p>
        </w:tc>
        <w:tc>
          <w:tcPr>
            <w:tcW w:w="2188" w:type="dxa"/>
            <w:vAlign w:val="center"/>
          </w:tcPr>
          <w:p w:rsidR="00000000" w:rsidRDefault="00000000">
            <w:pPr>
              <w:jc w:val="center"/>
            </w:pPr>
            <w:r>
              <w:t>14</w:t>
            </w:r>
          </w:p>
        </w:tc>
      </w:tr>
      <w:tr w:rsidR="00000000">
        <w:trPr>
          <w:jc w:val="center"/>
        </w:trPr>
        <w:tc>
          <w:tcPr>
            <w:tcW w:w="2188" w:type="dxa"/>
            <w:vAlign w:val="center"/>
          </w:tcPr>
          <w:p w:rsidR="00000000" w:rsidRDefault="00000000">
            <w:r>
              <w:t>2004</w:t>
            </w:r>
          </w:p>
        </w:tc>
        <w:tc>
          <w:tcPr>
            <w:tcW w:w="2188" w:type="dxa"/>
            <w:vAlign w:val="center"/>
          </w:tcPr>
          <w:p w:rsidR="00000000" w:rsidRDefault="00000000">
            <w:pPr>
              <w:jc w:val="center"/>
            </w:pPr>
            <w:r>
              <w:t>12</w:t>
            </w:r>
          </w:p>
        </w:tc>
      </w:tr>
    </w:tbl>
    <w:p w:rsidR="00000000" w:rsidRDefault="00000000">
      <w:pPr>
        <w:autoSpaceDE w:val="0"/>
        <w:autoSpaceDN w:val="0"/>
        <w:adjustRightInd w:val="0"/>
        <w:spacing w:before="240" w:after="480"/>
        <w:ind w:left="2492"/>
      </w:pPr>
      <w:r>
        <w:rPr>
          <w:rStyle w:val="FootnoteReference"/>
          <w:bCs/>
        </w:rPr>
        <w:t>a</w:t>
      </w:r>
      <w:r>
        <w:t xml:space="preserve"> Para 2004, los datos están actualizados</w:t>
      </w:r>
      <w:r>
        <w:br/>
        <w:t>al 15 de junio.</w:t>
      </w:r>
    </w:p>
    <w:p w:rsidR="00000000" w:rsidRDefault="00000000">
      <w:pPr>
        <w:autoSpaceDE w:val="0"/>
        <w:autoSpaceDN w:val="0"/>
        <w:adjustRightInd w:val="0"/>
        <w:spacing w:after="240"/>
      </w:pPr>
      <w:r>
        <w:t>225.</w:t>
      </w:r>
      <w:r>
        <w:tab/>
        <w:t>Cabe mencionar asimismo los casos de enfermedades infecciosas y de estupefacientes en los establecimientos penitenciarios y su tratamiento.  Así pues, en lo que respecta a las enfermedades infecciosas (cifras actualizadas al 1º de febrero 2004), sobre una población carcelaria de 13.503 detenidos, hay 1.180 (8,7%) seropositivos, de los cuales 766 siguen una terapia.  Por sexos, de 12.501 hombres, 1.136 son seropositivos; de las 1.002 mujeres detenidas, 44 son seropositivas.</w:t>
      </w:r>
    </w:p>
    <w:p w:rsidR="00000000" w:rsidRDefault="00000000">
      <w:pPr>
        <w:autoSpaceDE w:val="0"/>
        <w:autoSpaceDN w:val="0"/>
        <w:adjustRightInd w:val="0"/>
        <w:spacing w:after="240"/>
      </w:pPr>
      <w:r>
        <w:t>226.</w:t>
      </w:r>
      <w:r>
        <w:tab/>
        <w:t>Por lo que respecta a los análisis efectuados por el laboratorio de patología clínica del hospital penitenciario São João de Deus, en 2003 las cifras son las siguientes.</w:t>
      </w:r>
    </w:p>
    <w:p w:rsidR="00000000" w:rsidRDefault="00000000">
      <w:pPr>
        <w:autoSpaceDE w:val="0"/>
        <w:autoSpaceDN w:val="0"/>
        <w:adjustRightInd w:val="0"/>
        <w:spacing w:after="240"/>
        <w:jc w:val="center"/>
        <w:rPr>
          <w:b/>
        </w:rPr>
      </w:pPr>
      <w:r>
        <w:rPr>
          <w:b/>
        </w:rPr>
        <w:t>Cuadro 9</w:t>
      </w:r>
    </w:p>
    <w:tbl>
      <w:tblPr>
        <w:tblW w:w="0" w:type="auto"/>
        <w:jc w:val="center"/>
        <w:tblInd w:w="-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1"/>
        <w:gridCol w:w="1998"/>
        <w:gridCol w:w="1985"/>
      </w:tblGrid>
      <w:tr w:rsidR="00000000">
        <w:trPr>
          <w:jc w:val="center"/>
        </w:trPr>
        <w:tc>
          <w:tcPr>
            <w:tcW w:w="2351" w:type="dxa"/>
            <w:vAlign w:val="center"/>
          </w:tcPr>
          <w:p w:rsidR="00000000" w:rsidRDefault="00000000">
            <w:pPr>
              <w:jc w:val="center"/>
              <w:rPr>
                <w:bCs/>
              </w:rPr>
            </w:pPr>
            <w:r>
              <w:rPr>
                <w:bCs/>
              </w:rPr>
              <w:t>Enfermedades infecciosas</w:t>
            </w:r>
          </w:p>
        </w:tc>
        <w:tc>
          <w:tcPr>
            <w:tcW w:w="1998" w:type="dxa"/>
            <w:vAlign w:val="center"/>
          </w:tcPr>
          <w:p w:rsidR="00000000" w:rsidRDefault="00000000">
            <w:pPr>
              <w:jc w:val="center"/>
              <w:rPr>
                <w:bCs/>
              </w:rPr>
            </w:pPr>
            <w:r>
              <w:rPr>
                <w:bCs/>
              </w:rPr>
              <w:t>Número de detenidos</w:t>
            </w:r>
          </w:p>
        </w:tc>
        <w:tc>
          <w:tcPr>
            <w:tcW w:w="1985" w:type="dxa"/>
            <w:vAlign w:val="center"/>
          </w:tcPr>
          <w:p w:rsidR="00000000" w:rsidRDefault="00000000">
            <w:pPr>
              <w:jc w:val="center"/>
              <w:rPr>
                <w:bCs/>
              </w:rPr>
            </w:pPr>
            <w:r>
              <w:rPr>
                <w:bCs/>
              </w:rPr>
              <w:t>Análisis positivos</w:t>
            </w:r>
          </w:p>
        </w:tc>
      </w:tr>
      <w:tr w:rsidR="00000000">
        <w:trPr>
          <w:jc w:val="center"/>
        </w:trPr>
        <w:tc>
          <w:tcPr>
            <w:tcW w:w="2351" w:type="dxa"/>
            <w:vAlign w:val="center"/>
          </w:tcPr>
          <w:p w:rsidR="00000000" w:rsidRDefault="00000000">
            <w:r>
              <w:t>VIH</w:t>
            </w:r>
          </w:p>
        </w:tc>
        <w:tc>
          <w:tcPr>
            <w:tcW w:w="1998" w:type="dxa"/>
            <w:vAlign w:val="bottom"/>
          </w:tcPr>
          <w:p w:rsidR="00000000" w:rsidRDefault="00000000">
            <w:pPr>
              <w:jc w:val="center"/>
              <w:rPr>
                <w:lang w:val="en-GB"/>
              </w:rPr>
            </w:pPr>
            <w:r>
              <w:rPr>
                <w:lang w:val="en-GB"/>
              </w:rPr>
              <w:t>3.433</w:t>
            </w:r>
          </w:p>
        </w:tc>
        <w:tc>
          <w:tcPr>
            <w:tcW w:w="1985" w:type="dxa"/>
            <w:vAlign w:val="bottom"/>
          </w:tcPr>
          <w:p w:rsidR="00000000" w:rsidRDefault="00000000">
            <w:pPr>
              <w:ind w:firstLine="273"/>
              <w:rPr>
                <w:lang w:val="en-GB"/>
              </w:rPr>
            </w:pPr>
            <w:r>
              <w:rPr>
                <w:lang w:val="en-GB"/>
              </w:rPr>
              <w:t>524 (15,3%)</w:t>
            </w:r>
          </w:p>
        </w:tc>
      </w:tr>
      <w:tr w:rsidR="00000000">
        <w:trPr>
          <w:jc w:val="center"/>
        </w:trPr>
        <w:tc>
          <w:tcPr>
            <w:tcW w:w="2351" w:type="dxa"/>
            <w:vAlign w:val="center"/>
          </w:tcPr>
          <w:p w:rsidR="00000000" w:rsidRDefault="00000000">
            <w:pPr>
              <w:rPr>
                <w:lang w:val="en-GB"/>
              </w:rPr>
            </w:pPr>
            <w:r>
              <w:rPr>
                <w:lang w:val="en-GB"/>
              </w:rPr>
              <w:t>Hepatitis C</w:t>
            </w:r>
          </w:p>
        </w:tc>
        <w:tc>
          <w:tcPr>
            <w:tcW w:w="1998" w:type="dxa"/>
            <w:vAlign w:val="bottom"/>
          </w:tcPr>
          <w:p w:rsidR="00000000" w:rsidRDefault="00000000">
            <w:pPr>
              <w:jc w:val="center"/>
              <w:rPr>
                <w:lang w:val="en-GB"/>
              </w:rPr>
            </w:pPr>
            <w:r>
              <w:rPr>
                <w:lang w:val="en-GB"/>
              </w:rPr>
              <w:t>3.080</w:t>
            </w:r>
          </w:p>
        </w:tc>
        <w:tc>
          <w:tcPr>
            <w:tcW w:w="1985" w:type="dxa"/>
            <w:vAlign w:val="bottom"/>
          </w:tcPr>
          <w:p w:rsidR="00000000" w:rsidRDefault="00000000">
            <w:pPr>
              <w:ind w:firstLine="273"/>
              <w:rPr>
                <w:lang w:val="en-GB"/>
              </w:rPr>
            </w:pPr>
            <w:r>
              <w:rPr>
                <w:lang w:val="en-GB"/>
              </w:rPr>
              <w:t>864 (28%)</w:t>
            </w:r>
          </w:p>
        </w:tc>
      </w:tr>
      <w:tr w:rsidR="00000000">
        <w:trPr>
          <w:jc w:val="center"/>
        </w:trPr>
        <w:tc>
          <w:tcPr>
            <w:tcW w:w="2351" w:type="dxa"/>
            <w:vAlign w:val="center"/>
          </w:tcPr>
          <w:p w:rsidR="00000000" w:rsidRDefault="00000000">
            <w:pPr>
              <w:autoSpaceDE w:val="0"/>
              <w:autoSpaceDN w:val="0"/>
              <w:adjustRightInd w:val="0"/>
              <w:rPr>
                <w:lang w:val="en-GB"/>
              </w:rPr>
            </w:pPr>
            <w:r>
              <w:rPr>
                <w:lang w:val="en-GB"/>
              </w:rPr>
              <w:t>Hepatitis</w:t>
            </w:r>
            <w:r>
              <w:rPr>
                <w:lang w:val="de-CH"/>
              </w:rPr>
              <w:t xml:space="preserve"> B</w:t>
            </w:r>
          </w:p>
        </w:tc>
        <w:tc>
          <w:tcPr>
            <w:tcW w:w="1998" w:type="dxa"/>
            <w:vAlign w:val="bottom"/>
          </w:tcPr>
          <w:p w:rsidR="00000000" w:rsidRDefault="00000000">
            <w:pPr>
              <w:jc w:val="center"/>
            </w:pPr>
            <w:r>
              <w:t>3.273</w:t>
            </w:r>
          </w:p>
        </w:tc>
        <w:tc>
          <w:tcPr>
            <w:tcW w:w="1985" w:type="dxa"/>
            <w:vAlign w:val="bottom"/>
          </w:tcPr>
          <w:p w:rsidR="00000000" w:rsidRDefault="00000000">
            <w:pPr>
              <w:ind w:firstLine="273"/>
            </w:pPr>
            <w:r>
              <w:t>230 (7%)</w:t>
            </w:r>
          </w:p>
        </w:tc>
      </w:tr>
    </w:tbl>
    <w:p w:rsidR="00000000" w:rsidRDefault="00000000">
      <w:pPr>
        <w:autoSpaceDE w:val="0"/>
        <w:autoSpaceDN w:val="0"/>
        <w:adjustRightInd w:val="0"/>
        <w:spacing w:before="480" w:after="240"/>
      </w:pPr>
      <w:r>
        <w:t>Al 12 de febrero de 2004, el número de seropositivos y personas con SIDA internadas en el hospital penitenciario de São João de Deus era el siguiente:</w:t>
      </w:r>
    </w:p>
    <w:p w:rsidR="00000000" w:rsidRDefault="00000000">
      <w:pPr>
        <w:autoSpaceDE w:val="0"/>
        <w:autoSpaceDN w:val="0"/>
        <w:adjustRightInd w:val="0"/>
        <w:spacing w:after="240"/>
        <w:jc w:val="center"/>
        <w:rPr>
          <w:b/>
        </w:rPr>
      </w:pPr>
      <w:r>
        <w:rPr>
          <w:b/>
        </w:rPr>
        <w:t>Cuadro 10</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5"/>
        <w:gridCol w:w="2966"/>
        <w:gridCol w:w="2601"/>
      </w:tblGrid>
      <w:tr w:rsidR="00000000">
        <w:trPr>
          <w:trHeight w:val="20"/>
          <w:jc w:val="center"/>
        </w:trPr>
        <w:tc>
          <w:tcPr>
            <w:tcW w:w="3045" w:type="dxa"/>
            <w:vAlign w:val="center"/>
          </w:tcPr>
          <w:p w:rsidR="00000000" w:rsidRDefault="00000000">
            <w:pPr>
              <w:jc w:val="center"/>
              <w:rPr>
                <w:bCs/>
              </w:rPr>
            </w:pPr>
          </w:p>
        </w:tc>
        <w:tc>
          <w:tcPr>
            <w:tcW w:w="2966" w:type="dxa"/>
            <w:vAlign w:val="center"/>
          </w:tcPr>
          <w:p w:rsidR="00000000" w:rsidRDefault="00000000">
            <w:pPr>
              <w:jc w:val="center"/>
              <w:rPr>
                <w:bCs/>
              </w:rPr>
            </w:pPr>
            <w:r>
              <w:rPr>
                <w:bCs/>
              </w:rPr>
              <w:t>Seropositivos/VIH</w:t>
            </w:r>
          </w:p>
        </w:tc>
        <w:tc>
          <w:tcPr>
            <w:tcW w:w="2601" w:type="dxa"/>
            <w:vAlign w:val="center"/>
          </w:tcPr>
          <w:p w:rsidR="00000000" w:rsidRDefault="00000000">
            <w:pPr>
              <w:jc w:val="center"/>
              <w:rPr>
                <w:bCs/>
              </w:rPr>
            </w:pPr>
            <w:r>
              <w:rPr>
                <w:bCs/>
              </w:rPr>
              <w:t>Sida</w:t>
            </w:r>
          </w:p>
        </w:tc>
      </w:tr>
      <w:tr w:rsidR="00000000">
        <w:trPr>
          <w:trHeight w:val="20"/>
          <w:jc w:val="center"/>
        </w:trPr>
        <w:tc>
          <w:tcPr>
            <w:tcW w:w="3045" w:type="dxa"/>
          </w:tcPr>
          <w:p w:rsidR="00000000" w:rsidRDefault="00000000">
            <w:r>
              <w:t>Tercera Planta</w:t>
            </w:r>
          </w:p>
        </w:tc>
        <w:tc>
          <w:tcPr>
            <w:tcW w:w="2966" w:type="dxa"/>
          </w:tcPr>
          <w:p w:rsidR="00000000" w:rsidRDefault="00000000">
            <w:r>
              <w:t>1 hombre y 2 mujeres</w:t>
            </w:r>
          </w:p>
        </w:tc>
        <w:tc>
          <w:tcPr>
            <w:tcW w:w="2601" w:type="dxa"/>
          </w:tcPr>
          <w:p w:rsidR="00000000" w:rsidRDefault="00000000">
            <w:r>
              <w:t>18 hombres</w:t>
            </w:r>
          </w:p>
        </w:tc>
      </w:tr>
      <w:tr w:rsidR="00000000">
        <w:trPr>
          <w:trHeight w:val="20"/>
          <w:jc w:val="center"/>
        </w:trPr>
        <w:tc>
          <w:tcPr>
            <w:tcW w:w="3045" w:type="dxa"/>
          </w:tcPr>
          <w:p w:rsidR="00000000" w:rsidRDefault="00000000">
            <w:r>
              <w:t>Cuarta Planta</w:t>
            </w:r>
          </w:p>
        </w:tc>
        <w:tc>
          <w:tcPr>
            <w:tcW w:w="2966" w:type="dxa"/>
          </w:tcPr>
          <w:p w:rsidR="00000000" w:rsidRDefault="00000000">
            <w:r>
              <w:t>-</w:t>
            </w:r>
          </w:p>
        </w:tc>
        <w:tc>
          <w:tcPr>
            <w:tcW w:w="2601" w:type="dxa"/>
          </w:tcPr>
          <w:p w:rsidR="00000000" w:rsidRDefault="00000000">
            <w:r>
              <w:t>8 hombres</w:t>
            </w:r>
          </w:p>
        </w:tc>
      </w:tr>
      <w:tr w:rsidR="00000000">
        <w:trPr>
          <w:trHeight w:val="20"/>
          <w:jc w:val="center"/>
        </w:trPr>
        <w:tc>
          <w:tcPr>
            <w:tcW w:w="3045" w:type="dxa"/>
          </w:tcPr>
          <w:p w:rsidR="00000000" w:rsidRDefault="00000000">
            <w:r>
              <w:t>Quinta Planta</w:t>
            </w:r>
          </w:p>
        </w:tc>
        <w:tc>
          <w:tcPr>
            <w:tcW w:w="2966" w:type="dxa"/>
          </w:tcPr>
          <w:p w:rsidR="00000000" w:rsidRDefault="00000000">
            <w:r>
              <w:t>-</w:t>
            </w:r>
          </w:p>
        </w:tc>
        <w:tc>
          <w:tcPr>
            <w:tcW w:w="2601" w:type="dxa"/>
          </w:tcPr>
          <w:p w:rsidR="00000000" w:rsidRDefault="00000000">
            <w:r>
              <w:t>1 hombre</w:t>
            </w:r>
          </w:p>
        </w:tc>
      </w:tr>
      <w:tr w:rsidR="00000000">
        <w:trPr>
          <w:trHeight w:val="20"/>
          <w:jc w:val="center"/>
        </w:trPr>
        <w:tc>
          <w:tcPr>
            <w:tcW w:w="3045" w:type="dxa"/>
          </w:tcPr>
          <w:p w:rsidR="00000000" w:rsidRDefault="00000000">
            <w:r>
              <w:t>Servicio de Psiquiatría</w:t>
            </w:r>
          </w:p>
        </w:tc>
        <w:tc>
          <w:tcPr>
            <w:tcW w:w="2966" w:type="dxa"/>
          </w:tcPr>
          <w:p w:rsidR="00000000" w:rsidRDefault="00000000">
            <w:r>
              <w:t>4 hombres y 1 mujer</w:t>
            </w:r>
          </w:p>
        </w:tc>
        <w:tc>
          <w:tcPr>
            <w:tcW w:w="2601" w:type="dxa"/>
          </w:tcPr>
          <w:p w:rsidR="00000000" w:rsidRDefault="00000000">
            <w:r>
              <w:t>-</w:t>
            </w:r>
          </w:p>
        </w:tc>
      </w:tr>
    </w:tbl>
    <w:p w:rsidR="00000000" w:rsidRDefault="00000000">
      <w:pPr>
        <w:autoSpaceDE w:val="0"/>
        <w:autoSpaceDN w:val="0"/>
        <w:adjustRightInd w:val="0"/>
        <w:spacing w:after="240"/>
      </w:pPr>
      <w:r>
        <w:t>En el hospital penitenciario un 31% de las hospitalizaciones están relacionadas con una patología asociada al VIH.  De los 23 hospitalizados en psiquiatría, 5 son seropositivos, lo que corresponde a un 21,7% del total</w:t>
      </w:r>
    </w:p>
    <w:p w:rsidR="00000000" w:rsidRDefault="00000000">
      <w:pPr>
        <w:autoSpaceDE w:val="0"/>
        <w:autoSpaceDN w:val="0"/>
        <w:adjustRightInd w:val="0"/>
        <w:spacing w:after="240"/>
      </w:pPr>
      <w:r>
        <w:t>227.</w:t>
      </w:r>
      <w:r>
        <w:tab/>
        <w:t>Por lo que respecta a los casos de toxicomanía y su tratamiento, la situación es la siguiente:  en 2003, había en las estructuras penitenciarias un total de 815 detenidos en tratamiento.  En las estructuras de tratamiento del Instituto de la Droga y de la Toxicomanía (IDT), el número se elevaba a 522.  En los establecimientos penitenciarios, los programas orientados a la abstinencia incluyen las unidades libres de droga (ULD, espacios dentro de los establecimientos penitenciarios en los que, por elección de los detenidos, se atiende a los toxicómanos, mediante la abstinencia acompañada de atención psicológica; existen espacios de este tipo en Lisboa, Tires, Leiria, Oporto y Santa Cruz do Bispo), así como la Casa de Salida (Caldas da Rainha, establecimiento que acoge a toxicómanos que han logrado vencer su dependencia en ULD, condición indispensable para tener acceso a los programas generales de tratamiento de la toxicomanía, y que trabaja fuera del establecimiento).  Las cifras relativas a estos programas son las siguientes.</w:t>
      </w:r>
    </w:p>
    <w:p w:rsidR="00000000" w:rsidRDefault="00000000">
      <w:pPr>
        <w:autoSpaceDE w:val="0"/>
        <w:autoSpaceDN w:val="0"/>
        <w:adjustRightInd w:val="0"/>
        <w:spacing w:after="240"/>
        <w:jc w:val="center"/>
        <w:rPr>
          <w:b/>
        </w:rPr>
      </w:pPr>
      <w:r>
        <w:rPr>
          <w:b/>
        </w:rPr>
        <w:t>Cuadro 11</w:t>
      </w:r>
    </w:p>
    <w:p w:rsidR="00000000" w:rsidRDefault="00000000">
      <w:pPr>
        <w:autoSpaceDE w:val="0"/>
        <w:autoSpaceDN w:val="0"/>
        <w:adjustRightInd w:val="0"/>
        <w:spacing w:after="240"/>
        <w:jc w:val="center"/>
        <w:rPr>
          <w:b/>
        </w:rPr>
      </w:pPr>
      <w:r>
        <w:rPr>
          <w:b/>
        </w:rPr>
        <w:t>Programas orientados a la abstinencia:  unidades libres de droga (ULD)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1"/>
        <w:gridCol w:w="2640"/>
        <w:gridCol w:w="2444"/>
      </w:tblGrid>
      <w:tr w:rsidR="00000000">
        <w:trPr>
          <w:trHeight w:val="20"/>
          <w:jc w:val="center"/>
        </w:trPr>
        <w:tc>
          <w:tcPr>
            <w:tcW w:w="4151" w:type="dxa"/>
            <w:vAlign w:val="center"/>
          </w:tcPr>
          <w:p w:rsidR="00000000" w:rsidRDefault="00000000">
            <w:pPr>
              <w:jc w:val="center"/>
              <w:rPr>
                <w:bCs/>
              </w:rPr>
            </w:pPr>
            <w:r>
              <w:rPr>
                <w:bCs/>
              </w:rPr>
              <w:t>Establecimientos penitenciarios</w:t>
            </w:r>
          </w:p>
        </w:tc>
        <w:tc>
          <w:tcPr>
            <w:tcW w:w="2640" w:type="dxa"/>
            <w:vAlign w:val="center"/>
          </w:tcPr>
          <w:p w:rsidR="00000000" w:rsidRDefault="00000000">
            <w:pPr>
              <w:jc w:val="center"/>
              <w:rPr>
                <w:bCs/>
              </w:rPr>
            </w:pPr>
            <w:r>
              <w:rPr>
                <w:bCs/>
              </w:rPr>
              <w:t>Capacidad</w:t>
            </w:r>
          </w:p>
        </w:tc>
        <w:tc>
          <w:tcPr>
            <w:tcW w:w="2444" w:type="dxa"/>
            <w:vAlign w:val="center"/>
          </w:tcPr>
          <w:p w:rsidR="00000000" w:rsidRDefault="00000000">
            <w:pPr>
              <w:autoSpaceDE w:val="0"/>
              <w:autoSpaceDN w:val="0"/>
              <w:adjustRightInd w:val="0"/>
              <w:jc w:val="center"/>
              <w:rPr>
                <w:bCs/>
              </w:rPr>
            </w:pPr>
            <w:r>
              <w:rPr>
                <w:bCs/>
              </w:rPr>
              <w:t>Usuarios en 2003</w:t>
            </w:r>
          </w:p>
        </w:tc>
      </w:tr>
      <w:tr w:rsidR="00000000">
        <w:trPr>
          <w:trHeight w:val="20"/>
          <w:jc w:val="center"/>
        </w:trPr>
        <w:tc>
          <w:tcPr>
            <w:tcW w:w="4151" w:type="dxa"/>
            <w:vAlign w:val="center"/>
          </w:tcPr>
          <w:p w:rsidR="00000000" w:rsidRDefault="00000000">
            <w:r>
              <w:t>Lisboa - Ala G</w:t>
            </w:r>
            <w:r>
              <w:rPr>
                <w:b/>
                <w:vertAlign w:val="superscript"/>
              </w:rPr>
              <w:t>a</w:t>
            </w:r>
          </w:p>
        </w:tc>
        <w:tc>
          <w:tcPr>
            <w:tcW w:w="2640" w:type="dxa"/>
            <w:vAlign w:val="bottom"/>
          </w:tcPr>
          <w:p w:rsidR="00000000" w:rsidRDefault="00000000">
            <w:pPr>
              <w:tabs>
                <w:tab w:val="decimal" w:pos="1029"/>
              </w:tabs>
            </w:pPr>
            <w:r>
              <w:t>45 camas</w:t>
            </w:r>
          </w:p>
        </w:tc>
        <w:tc>
          <w:tcPr>
            <w:tcW w:w="2444" w:type="dxa"/>
            <w:vAlign w:val="bottom"/>
          </w:tcPr>
          <w:p w:rsidR="00000000" w:rsidRDefault="00000000">
            <w:pPr>
              <w:tabs>
                <w:tab w:val="decimal" w:pos="1244"/>
              </w:tabs>
            </w:pPr>
            <w:r>
              <w:t>64</w:t>
            </w:r>
          </w:p>
        </w:tc>
      </w:tr>
      <w:tr w:rsidR="00000000">
        <w:trPr>
          <w:trHeight w:val="20"/>
          <w:jc w:val="center"/>
        </w:trPr>
        <w:tc>
          <w:tcPr>
            <w:tcW w:w="4151" w:type="dxa"/>
            <w:vAlign w:val="center"/>
          </w:tcPr>
          <w:p w:rsidR="00000000" w:rsidRDefault="00000000">
            <w:r>
              <w:t>Lisboa - Ala G</w:t>
            </w:r>
            <w:r>
              <w:rPr>
                <w:b/>
                <w:vertAlign w:val="superscript"/>
              </w:rPr>
              <w:t>a</w:t>
            </w:r>
          </w:p>
        </w:tc>
        <w:tc>
          <w:tcPr>
            <w:tcW w:w="2640" w:type="dxa"/>
            <w:vAlign w:val="bottom"/>
          </w:tcPr>
          <w:p w:rsidR="00000000" w:rsidRDefault="00000000">
            <w:pPr>
              <w:tabs>
                <w:tab w:val="decimal" w:pos="1029"/>
              </w:tabs>
            </w:pPr>
            <w:r>
              <w:t>75 camas</w:t>
            </w:r>
          </w:p>
        </w:tc>
        <w:tc>
          <w:tcPr>
            <w:tcW w:w="2444" w:type="dxa"/>
            <w:vAlign w:val="bottom"/>
          </w:tcPr>
          <w:p w:rsidR="00000000" w:rsidRDefault="00000000">
            <w:pPr>
              <w:tabs>
                <w:tab w:val="decimal" w:pos="1244"/>
              </w:tabs>
            </w:pPr>
            <w:r>
              <w:t>113</w:t>
            </w:r>
          </w:p>
        </w:tc>
      </w:tr>
      <w:tr w:rsidR="00000000">
        <w:trPr>
          <w:trHeight w:val="20"/>
          <w:jc w:val="center"/>
        </w:trPr>
        <w:tc>
          <w:tcPr>
            <w:tcW w:w="4151" w:type="dxa"/>
            <w:vAlign w:val="center"/>
          </w:tcPr>
          <w:p w:rsidR="00000000" w:rsidRDefault="00000000">
            <w:r>
              <w:t>Tires</w:t>
            </w:r>
          </w:p>
        </w:tc>
        <w:tc>
          <w:tcPr>
            <w:tcW w:w="2640" w:type="dxa"/>
            <w:vAlign w:val="bottom"/>
          </w:tcPr>
          <w:p w:rsidR="00000000" w:rsidRDefault="00000000">
            <w:pPr>
              <w:tabs>
                <w:tab w:val="decimal" w:pos="1029"/>
              </w:tabs>
            </w:pPr>
            <w:r>
              <w:t>28 camas</w:t>
            </w:r>
          </w:p>
        </w:tc>
        <w:tc>
          <w:tcPr>
            <w:tcW w:w="2444" w:type="dxa"/>
            <w:vAlign w:val="bottom"/>
          </w:tcPr>
          <w:p w:rsidR="00000000" w:rsidRDefault="00000000">
            <w:pPr>
              <w:tabs>
                <w:tab w:val="decimal" w:pos="1244"/>
              </w:tabs>
            </w:pPr>
            <w:r>
              <w:t>43</w:t>
            </w:r>
          </w:p>
        </w:tc>
      </w:tr>
      <w:tr w:rsidR="00000000">
        <w:trPr>
          <w:trHeight w:val="20"/>
          <w:jc w:val="center"/>
        </w:trPr>
        <w:tc>
          <w:tcPr>
            <w:tcW w:w="4151" w:type="dxa"/>
            <w:vAlign w:val="center"/>
          </w:tcPr>
          <w:p w:rsidR="00000000" w:rsidRDefault="00000000">
            <w:r>
              <w:t>Leiria</w:t>
            </w:r>
          </w:p>
        </w:tc>
        <w:tc>
          <w:tcPr>
            <w:tcW w:w="2640" w:type="dxa"/>
            <w:vAlign w:val="bottom"/>
          </w:tcPr>
          <w:p w:rsidR="00000000" w:rsidRDefault="00000000">
            <w:pPr>
              <w:tabs>
                <w:tab w:val="decimal" w:pos="1029"/>
              </w:tabs>
            </w:pPr>
            <w:r>
              <w:t>29 camas</w:t>
            </w:r>
          </w:p>
        </w:tc>
        <w:tc>
          <w:tcPr>
            <w:tcW w:w="2444" w:type="dxa"/>
            <w:vAlign w:val="bottom"/>
          </w:tcPr>
          <w:p w:rsidR="00000000" w:rsidRDefault="00000000">
            <w:pPr>
              <w:tabs>
                <w:tab w:val="decimal" w:pos="1244"/>
              </w:tabs>
            </w:pPr>
            <w:r>
              <w:t>113</w:t>
            </w:r>
          </w:p>
        </w:tc>
      </w:tr>
      <w:tr w:rsidR="00000000">
        <w:trPr>
          <w:trHeight w:val="20"/>
          <w:jc w:val="center"/>
        </w:trPr>
        <w:tc>
          <w:tcPr>
            <w:tcW w:w="4151" w:type="dxa"/>
            <w:vAlign w:val="center"/>
          </w:tcPr>
          <w:p w:rsidR="00000000" w:rsidRDefault="00000000">
            <w:r>
              <w:t>Oporto</w:t>
            </w:r>
          </w:p>
        </w:tc>
        <w:tc>
          <w:tcPr>
            <w:tcW w:w="2640" w:type="dxa"/>
            <w:vAlign w:val="bottom"/>
          </w:tcPr>
          <w:p w:rsidR="00000000" w:rsidRDefault="00000000">
            <w:pPr>
              <w:tabs>
                <w:tab w:val="decimal" w:pos="1029"/>
              </w:tabs>
            </w:pPr>
            <w:r>
              <w:t>20 camas</w:t>
            </w:r>
          </w:p>
        </w:tc>
        <w:tc>
          <w:tcPr>
            <w:tcW w:w="2444" w:type="dxa"/>
            <w:vAlign w:val="bottom"/>
          </w:tcPr>
          <w:p w:rsidR="00000000" w:rsidRDefault="00000000">
            <w:pPr>
              <w:tabs>
                <w:tab w:val="decimal" w:pos="1244"/>
              </w:tabs>
            </w:pPr>
            <w:r>
              <w:t>34</w:t>
            </w:r>
          </w:p>
        </w:tc>
      </w:tr>
      <w:tr w:rsidR="00000000">
        <w:trPr>
          <w:trHeight w:val="20"/>
          <w:jc w:val="center"/>
        </w:trPr>
        <w:tc>
          <w:tcPr>
            <w:tcW w:w="4151" w:type="dxa"/>
            <w:tcBorders>
              <w:bottom w:val="single" w:sz="4" w:space="0" w:color="auto"/>
            </w:tcBorders>
            <w:vAlign w:val="center"/>
          </w:tcPr>
          <w:p w:rsidR="00000000" w:rsidRDefault="00000000">
            <w:r>
              <w:t>Santa Cruz do Bispo</w:t>
            </w:r>
          </w:p>
        </w:tc>
        <w:tc>
          <w:tcPr>
            <w:tcW w:w="2640" w:type="dxa"/>
            <w:tcBorders>
              <w:bottom w:val="single" w:sz="4" w:space="0" w:color="auto"/>
            </w:tcBorders>
            <w:vAlign w:val="bottom"/>
          </w:tcPr>
          <w:p w:rsidR="00000000" w:rsidRDefault="00000000">
            <w:pPr>
              <w:tabs>
                <w:tab w:val="decimal" w:pos="1029"/>
              </w:tabs>
            </w:pPr>
            <w:r>
              <w:t>20 camas</w:t>
            </w:r>
          </w:p>
        </w:tc>
        <w:tc>
          <w:tcPr>
            <w:tcW w:w="2444" w:type="dxa"/>
            <w:tcBorders>
              <w:bottom w:val="single" w:sz="4" w:space="0" w:color="auto"/>
            </w:tcBorders>
            <w:vAlign w:val="bottom"/>
          </w:tcPr>
          <w:p w:rsidR="00000000" w:rsidRDefault="00000000">
            <w:pPr>
              <w:tabs>
                <w:tab w:val="decimal" w:pos="1244"/>
              </w:tabs>
            </w:pPr>
            <w:r>
              <w:t>21</w:t>
            </w:r>
          </w:p>
        </w:tc>
      </w:tr>
      <w:tr w:rsidR="00000000">
        <w:trPr>
          <w:trHeight w:val="20"/>
          <w:jc w:val="center"/>
        </w:trPr>
        <w:tc>
          <w:tcPr>
            <w:tcW w:w="4151" w:type="dxa"/>
            <w:vAlign w:val="center"/>
          </w:tcPr>
          <w:p w:rsidR="00000000" w:rsidRDefault="00000000">
            <w:pPr>
              <w:rPr>
                <w:bCs/>
              </w:rPr>
            </w:pPr>
            <w:r>
              <w:rPr>
                <w:bCs/>
              </w:rPr>
              <w:tab/>
              <w:t>Total</w:t>
            </w:r>
          </w:p>
        </w:tc>
        <w:tc>
          <w:tcPr>
            <w:tcW w:w="2640" w:type="dxa"/>
            <w:vAlign w:val="bottom"/>
          </w:tcPr>
          <w:p w:rsidR="00000000" w:rsidRDefault="00000000">
            <w:pPr>
              <w:tabs>
                <w:tab w:val="decimal" w:pos="1029"/>
              </w:tabs>
              <w:rPr>
                <w:bCs/>
              </w:rPr>
            </w:pPr>
            <w:r>
              <w:rPr>
                <w:bCs/>
              </w:rPr>
              <w:t>217 camas</w:t>
            </w:r>
          </w:p>
        </w:tc>
        <w:tc>
          <w:tcPr>
            <w:tcW w:w="2444" w:type="dxa"/>
            <w:vAlign w:val="bottom"/>
          </w:tcPr>
          <w:p w:rsidR="00000000" w:rsidRDefault="00000000">
            <w:pPr>
              <w:tabs>
                <w:tab w:val="decimal" w:pos="1244"/>
              </w:tabs>
              <w:rPr>
                <w:bCs/>
              </w:rPr>
            </w:pPr>
            <w:r>
              <w:rPr>
                <w:bCs/>
              </w:rPr>
              <w:t>388</w:t>
            </w:r>
          </w:p>
        </w:tc>
      </w:tr>
    </w:tbl>
    <w:p w:rsidR="00000000" w:rsidRDefault="00000000">
      <w:pPr>
        <w:autoSpaceDE w:val="0"/>
        <w:autoSpaceDN w:val="0"/>
        <w:adjustRightInd w:val="0"/>
        <w:spacing w:before="240" w:after="480"/>
      </w:pPr>
      <w:r>
        <w:rPr>
          <w:b/>
          <w:vertAlign w:val="superscript"/>
        </w:rPr>
        <w:t>a</w:t>
      </w:r>
      <w:r>
        <w:t xml:space="preserve"> Los detenidos del ala G no consumen ningún tipo de sustancia psicotrópica.</w:t>
      </w:r>
    </w:p>
    <w:p w:rsidR="00000000" w:rsidRDefault="00000000">
      <w:pPr>
        <w:autoSpaceDE w:val="0"/>
        <w:autoSpaceDN w:val="0"/>
        <w:adjustRightInd w:val="0"/>
        <w:spacing w:after="240"/>
        <w:jc w:val="center"/>
        <w:rPr>
          <w:b/>
        </w:rPr>
      </w:pPr>
      <w:r>
        <w:rPr>
          <w:b/>
        </w:rPr>
        <w:t>Cuadro 12</w:t>
      </w:r>
    </w:p>
    <w:p w:rsidR="00000000" w:rsidRDefault="00000000">
      <w:pPr>
        <w:autoSpaceDE w:val="0"/>
        <w:autoSpaceDN w:val="0"/>
        <w:adjustRightInd w:val="0"/>
        <w:spacing w:after="240"/>
        <w:jc w:val="center"/>
        <w:rPr>
          <w:b/>
        </w:rPr>
      </w:pPr>
      <w:r>
        <w:rPr>
          <w:b/>
        </w:rPr>
        <w:t>Programas orientados a la abstinencia:  casas de salida</w:t>
      </w:r>
    </w:p>
    <w:tbl>
      <w:tblPr>
        <w:tblW w:w="0" w:type="auto"/>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8"/>
        <w:gridCol w:w="1442"/>
        <w:gridCol w:w="2004"/>
      </w:tblGrid>
      <w:tr w:rsidR="00000000">
        <w:trPr>
          <w:jc w:val="center"/>
        </w:trPr>
        <w:tc>
          <w:tcPr>
            <w:tcW w:w="5738" w:type="dxa"/>
            <w:vAlign w:val="center"/>
          </w:tcPr>
          <w:p w:rsidR="00000000" w:rsidRDefault="00000000">
            <w:pPr>
              <w:jc w:val="center"/>
              <w:rPr>
                <w:bCs/>
              </w:rPr>
            </w:pPr>
            <w:r>
              <w:rPr>
                <w:bCs/>
              </w:rPr>
              <w:t>Establecimiento penitenciario</w:t>
            </w:r>
          </w:p>
        </w:tc>
        <w:tc>
          <w:tcPr>
            <w:tcW w:w="1442" w:type="dxa"/>
            <w:vAlign w:val="center"/>
          </w:tcPr>
          <w:p w:rsidR="00000000" w:rsidRDefault="00000000">
            <w:pPr>
              <w:jc w:val="center"/>
              <w:rPr>
                <w:bCs/>
              </w:rPr>
            </w:pPr>
            <w:r>
              <w:rPr>
                <w:bCs/>
              </w:rPr>
              <w:t>Capacidad</w:t>
            </w:r>
          </w:p>
        </w:tc>
        <w:tc>
          <w:tcPr>
            <w:tcW w:w="2004" w:type="dxa"/>
            <w:vAlign w:val="center"/>
          </w:tcPr>
          <w:p w:rsidR="00000000" w:rsidRDefault="00000000">
            <w:pPr>
              <w:autoSpaceDE w:val="0"/>
              <w:autoSpaceDN w:val="0"/>
              <w:adjustRightInd w:val="0"/>
              <w:jc w:val="center"/>
            </w:pPr>
            <w:r>
              <w:rPr>
                <w:bCs/>
              </w:rPr>
              <w:t>Usuarios en 2003</w:t>
            </w:r>
          </w:p>
        </w:tc>
      </w:tr>
      <w:tr w:rsidR="00000000">
        <w:trPr>
          <w:jc w:val="center"/>
        </w:trPr>
        <w:tc>
          <w:tcPr>
            <w:tcW w:w="5738" w:type="dxa"/>
            <w:vAlign w:val="center"/>
          </w:tcPr>
          <w:p w:rsidR="00000000" w:rsidRDefault="00000000">
            <w:pPr>
              <w:rPr>
                <w:lang w:val="de-CH"/>
              </w:rPr>
            </w:pPr>
            <w:r>
              <w:rPr>
                <w:lang w:val="de-CH"/>
              </w:rPr>
              <w:t>Caldas da Rainha</w:t>
            </w:r>
          </w:p>
        </w:tc>
        <w:tc>
          <w:tcPr>
            <w:tcW w:w="1442" w:type="dxa"/>
            <w:vAlign w:val="center"/>
          </w:tcPr>
          <w:p w:rsidR="00000000" w:rsidRDefault="00000000">
            <w:pPr>
              <w:jc w:val="center"/>
            </w:pPr>
            <w:r>
              <w:t>12 camas</w:t>
            </w:r>
          </w:p>
        </w:tc>
        <w:tc>
          <w:tcPr>
            <w:tcW w:w="2004" w:type="dxa"/>
            <w:vAlign w:val="center"/>
          </w:tcPr>
          <w:p w:rsidR="00000000" w:rsidRDefault="00000000">
            <w:pPr>
              <w:jc w:val="center"/>
            </w:pPr>
            <w:r>
              <w:t>17</w:t>
            </w:r>
          </w:p>
        </w:tc>
      </w:tr>
    </w:tbl>
    <w:p w:rsidR="00000000" w:rsidRDefault="00000000">
      <w:pPr>
        <w:autoSpaceDE w:val="0"/>
        <w:autoSpaceDN w:val="0"/>
        <w:adjustRightInd w:val="0"/>
        <w:spacing w:before="480" w:after="240"/>
      </w:pPr>
      <w:r>
        <w:t>228.</w:t>
      </w:r>
      <w:r>
        <w:tab/>
        <w:t>Los programas basados en el empleo de medicamentos (metadona, subutex, antagonistas) se presentan de la siguiente forma:</w:t>
      </w:r>
    </w:p>
    <w:p w:rsidR="00000000" w:rsidRDefault="00000000">
      <w:pPr>
        <w:keepNext/>
        <w:keepLines/>
        <w:autoSpaceDE w:val="0"/>
        <w:autoSpaceDN w:val="0"/>
        <w:adjustRightInd w:val="0"/>
        <w:spacing w:after="240"/>
        <w:jc w:val="center"/>
        <w:rPr>
          <w:b/>
        </w:rPr>
      </w:pPr>
      <w:r>
        <w:rPr>
          <w:b/>
        </w:rPr>
        <w:t>Cuadro 13</w:t>
      </w:r>
    </w:p>
    <w:p w:rsidR="00000000" w:rsidRDefault="00000000">
      <w:pPr>
        <w:keepNext/>
        <w:keepLines/>
        <w:autoSpaceDE w:val="0"/>
        <w:autoSpaceDN w:val="0"/>
        <w:adjustRightInd w:val="0"/>
        <w:spacing w:after="240"/>
        <w:jc w:val="center"/>
        <w:rPr>
          <w:b/>
        </w:rPr>
      </w:pPr>
      <w:r>
        <w:rPr>
          <w:b/>
        </w:rPr>
        <w:t>Programas farmacológicos</w:t>
      </w:r>
    </w:p>
    <w:tbl>
      <w:tblPr>
        <w:tblW w:w="0" w:type="auto"/>
        <w:jc w:val="center"/>
        <w:tblInd w:w="1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9"/>
        <w:gridCol w:w="3033"/>
      </w:tblGrid>
      <w:tr w:rsidR="00000000">
        <w:trPr>
          <w:trHeight w:val="20"/>
          <w:jc w:val="center"/>
        </w:trPr>
        <w:tc>
          <w:tcPr>
            <w:tcW w:w="4239" w:type="dxa"/>
            <w:vAlign w:val="center"/>
          </w:tcPr>
          <w:p w:rsidR="00000000" w:rsidRDefault="00000000">
            <w:pPr>
              <w:keepNext/>
              <w:keepLines/>
              <w:jc w:val="center"/>
              <w:rPr>
                <w:bCs/>
              </w:rPr>
            </w:pPr>
            <w:r>
              <w:rPr>
                <w:bCs/>
              </w:rPr>
              <w:t>Establecimientos penitenciarios</w:t>
            </w:r>
          </w:p>
        </w:tc>
        <w:tc>
          <w:tcPr>
            <w:tcW w:w="3033" w:type="dxa"/>
            <w:vAlign w:val="center"/>
          </w:tcPr>
          <w:p w:rsidR="00000000" w:rsidRDefault="00000000">
            <w:pPr>
              <w:keepNext/>
              <w:keepLines/>
              <w:jc w:val="center"/>
              <w:rPr>
                <w:bCs/>
              </w:rPr>
            </w:pPr>
            <w:r>
              <w:rPr>
                <w:bCs/>
              </w:rPr>
              <w:t>Usuarios en 2003</w:t>
            </w:r>
          </w:p>
        </w:tc>
      </w:tr>
      <w:tr w:rsidR="00000000">
        <w:trPr>
          <w:trHeight w:val="20"/>
          <w:jc w:val="center"/>
        </w:trPr>
        <w:tc>
          <w:tcPr>
            <w:tcW w:w="4239" w:type="dxa"/>
            <w:vAlign w:val="center"/>
          </w:tcPr>
          <w:p w:rsidR="00000000" w:rsidRDefault="00000000">
            <w:r>
              <w:t>Caxias</w:t>
            </w:r>
          </w:p>
        </w:tc>
        <w:tc>
          <w:tcPr>
            <w:tcW w:w="3033" w:type="dxa"/>
            <w:vAlign w:val="bottom"/>
          </w:tcPr>
          <w:p w:rsidR="00000000" w:rsidRDefault="00000000">
            <w:pPr>
              <w:tabs>
                <w:tab w:val="decimal" w:pos="1801"/>
              </w:tabs>
            </w:pPr>
            <w:r>
              <w:t>63</w:t>
            </w:r>
          </w:p>
        </w:tc>
      </w:tr>
      <w:tr w:rsidR="00000000">
        <w:trPr>
          <w:trHeight w:val="20"/>
          <w:jc w:val="center"/>
        </w:trPr>
        <w:tc>
          <w:tcPr>
            <w:tcW w:w="4239" w:type="dxa"/>
            <w:vAlign w:val="center"/>
          </w:tcPr>
          <w:p w:rsidR="00000000" w:rsidRDefault="00000000">
            <w:r>
              <w:t>Lisboa</w:t>
            </w:r>
          </w:p>
        </w:tc>
        <w:tc>
          <w:tcPr>
            <w:tcW w:w="3033" w:type="dxa"/>
            <w:vAlign w:val="bottom"/>
          </w:tcPr>
          <w:p w:rsidR="00000000" w:rsidRDefault="00000000">
            <w:pPr>
              <w:tabs>
                <w:tab w:val="decimal" w:pos="1801"/>
              </w:tabs>
            </w:pPr>
            <w:r>
              <w:t>105</w:t>
            </w:r>
          </w:p>
        </w:tc>
      </w:tr>
      <w:tr w:rsidR="00000000">
        <w:trPr>
          <w:trHeight w:val="20"/>
          <w:jc w:val="center"/>
        </w:trPr>
        <w:tc>
          <w:tcPr>
            <w:tcW w:w="4239" w:type="dxa"/>
            <w:vAlign w:val="center"/>
          </w:tcPr>
          <w:p w:rsidR="00000000" w:rsidRDefault="00000000">
            <w:pPr>
              <w:autoSpaceDE w:val="0"/>
              <w:autoSpaceDN w:val="0"/>
              <w:adjustRightInd w:val="0"/>
            </w:pPr>
            <w:r>
              <w:t>Oporto</w:t>
            </w:r>
          </w:p>
        </w:tc>
        <w:tc>
          <w:tcPr>
            <w:tcW w:w="3033" w:type="dxa"/>
            <w:vAlign w:val="bottom"/>
          </w:tcPr>
          <w:p w:rsidR="00000000" w:rsidRDefault="00000000">
            <w:pPr>
              <w:tabs>
                <w:tab w:val="decimal" w:pos="1801"/>
              </w:tabs>
            </w:pPr>
            <w:r>
              <w:t>215</w:t>
            </w:r>
          </w:p>
        </w:tc>
      </w:tr>
      <w:tr w:rsidR="00000000">
        <w:trPr>
          <w:trHeight w:val="20"/>
          <w:jc w:val="center"/>
        </w:trPr>
        <w:tc>
          <w:tcPr>
            <w:tcW w:w="4239" w:type="dxa"/>
            <w:tcBorders>
              <w:bottom w:val="single" w:sz="4" w:space="0" w:color="auto"/>
            </w:tcBorders>
            <w:vAlign w:val="center"/>
          </w:tcPr>
          <w:p w:rsidR="00000000" w:rsidRDefault="00000000">
            <w:r>
              <w:t>Tires</w:t>
            </w:r>
          </w:p>
        </w:tc>
        <w:tc>
          <w:tcPr>
            <w:tcW w:w="3033" w:type="dxa"/>
            <w:tcBorders>
              <w:bottom w:val="single" w:sz="4" w:space="0" w:color="auto"/>
            </w:tcBorders>
            <w:vAlign w:val="bottom"/>
          </w:tcPr>
          <w:p w:rsidR="00000000" w:rsidRDefault="00000000">
            <w:pPr>
              <w:tabs>
                <w:tab w:val="decimal" w:pos="1801"/>
              </w:tabs>
            </w:pPr>
            <w:r>
              <w:t>28</w:t>
            </w:r>
          </w:p>
        </w:tc>
      </w:tr>
      <w:tr w:rsidR="00000000">
        <w:trPr>
          <w:trHeight w:val="20"/>
          <w:jc w:val="center"/>
        </w:trPr>
        <w:tc>
          <w:tcPr>
            <w:tcW w:w="4239" w:type="dxa"/>
            <w:vAlign w:val="center"/>
          </w:tcPr>
          <w:p w:rsidR="00000000" w:rsidRDefault="00000000">
            <w:pPr>
              <w:rPr>
                <w:bCs/>
              </w:rPr>
            </w:pPr>
            <w:r>
              <w:rPr>
                <w:bCs/>
              </w:rPr>
              <w:tab/>
              <w:t>Total</w:t>
            </w:r>
          </w:p>
        </w:tc>
        <w:tc>
          <w:tcPr>
            <w:tcW w:w="3033" w:type="dxa"/>
            <w:vAlign w:val="bottom"/>
          </w:tcPr>
          <w:p w:rsidR="00000000" w:rsidRDefault="00000000">
            <w:pPr>
              <w:tabs>
                <w:tab w:val="decimal" w:pos="1801"/>
              </w:tabs>
              <w:rPr>
                <w:bCs/>
              </w:rPr>
            </w:pPr>
            <w:r>
              <w:rPr>
                <w:bCs/>
              </w:rPr>
              <w:t>410</w:t>
            </w:r>
          </w:p>
        </w:tc>
      </w:tr>
    </w:tbl>
    <w:p w:rsidR="00000000" w:rsidRDefault="00000000">
      <w:pPr>
        <w:autoSpaceDE w:val="0"/>
        <w:autoSpaceDN w:val="0"/>
        <w:adjustRightInd w:val="0"/>
        <w:spacing w:before="480" w:after="240"/>
      </w:pPr>
      <w:r>
        <w:t>En tres establecimientos (Lisboa, Oporto y Tires), la coordinación de los programas está a cargo del equipo técnico del establecimiento.  En el establecimiento de Caxias, la prescripción es responsabilidad del centro de acogida a los toxicómanos de referencia y la asistencia psicológica incumbe al  establecimiento penitenciario.</w:t>
      </w:r>
    </w:p>
    <w:p w:rsidR="00000000" w:rsidRDefault="00000000">
      <w:pPr>
        <w:autoSpaceDE w:val="0"/>
        <w:autoSpaceDN w:val="0"/>
        <w:adjustRightInd w:val="0"/>
        <w:spacing w:after="240"/>
      </w:pPr>
      <w:r>
        <w:t>229.</w:t>
      </w:r>
      <w:r>
        <w:tab/>
        <w:t>Por lo que respecta a los detenidos que siguen los programas de tratamiento farmacológico (metadona, subutex, antagonistas) bajo la orientación de los centros de acogida a los toxicómanos/IDT, la situación es la siguiente.</w:t>
      </w:r>
    </w:p>
    <w:p w:rsidR="00000000" w:rsidRDefault="00000000">
      <w:pPr>
        <w:autoSpaceDE w:val="0"/>
        <w:autoSpaceDN w:val="0"/>
        <w:adjustRightInd w:val="0"/>
        <w:spacing w:after="240"/>
        <w:jc w:val="center"/>
        <w:rPr>
          <w:b/>
        </w:rPr>
      </w:pPr>
      <w:r>
        <w:rPr>
          <w:b/>
        </w:rPr>
        <w:t>Cuadro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3041"/>
      </w:tblGrid>
      <w:tr w:rsidR="00000000">
        <w:trPr>
          <w:trHeight w:val="20"/>
          <w:jc w:val="center"/>
        </w:trPr>
        <w:tc>
          <w:tcPr>
            <w:tcW w:w="4198" w:type="dxa"/>
            <w:vAlign w:val="center"/>
          </w:tcPr>
          <w:p w:rsidR="00000000" w:rsidRDefault="00000000">
            <w:pPr>
              <w:jc w:val="center"/>
              <w:rPr>
                <w:bCs/>
              </w:rPr>
            </w:pPr>
            <w:r>
              <w:rPr>
                <w:bCs/>
              </w:rPr>
              <w:t>Establecimientos penitenciarios</w:t>
            </w:r>
          </w:p>
        </w:tc>
        <w:tc>
          <w:tcPr>
            <w:tcW w:w="3041" w:type="dxa"/>
            <w:vAlign w:val="center"/>
          </w:tcPr>
          <w:p w:rsidR="00000000" w:rsidRDefault="00000000">
            <w:pPr>
              <w:jc w:val="center"/>
              <w:rPr>
                <w:bCs/>
              </w:rPr>
            </w:pPr>
            <w:r>
              <w:rPr>
                <w:bCs/>
              </w:rPr>
              <w:t>Usuarios</w:t>
            </w:r>
          </w:p>
        </w:tc>
      </w:tr>
      <w:tr w:rsidR="00000000">
        <w:trPr>
          <w:trHeight w:val="20"/>
          <w:jc w:val="center"/>
        </w:trPr>
        <w:tc>
          <w:tcPr>
            <w:tcW w:w="4198" w:type="dxa"/>
          </w:tcPr>
          <w:p w:rsidR="00000000" w:rsidRDefault="00000000">
            <w:pPr>
              <w:autoSpaceDE w:val="0"/>
              <w:autoSpaceDN w:val="0"/>
              <w:adjustRightInd w:val="0"/>
            </w:pPr>
            <w:r>
              <w:t>Centrales y especiales</w:t>
            </w:r>
          </w:p>
        </w:tc>
        <w:tc>
          <w:tcPr>
            <w:tcW w:w="3041" w:type="dxa"/>
          </w:tcPr>
          <w:p w:rsidR="00000000" w:rsidRDefault="00000000">
            <w:pPr>
              <w:jc w:val="center"/>
            </w:pPr>
            <w:r>
              <w:t>272</w:t>
            </w:r>
          </w:p>
        </w:tc>
      </w:tr>
      <w:tr w:rsidR="00000000">
        <w:trPr>
          <w:trHeight w:val="20"/>
          <w:jc w:val="center"/>
        </w:trPr>
        <w:tc>
          <w:tcPr>
            <w:tcW w:w="4198" w:type="dxa"/>
          </w:tcPr>
          <w:p w:rsidR="00000000" w:rsidRDefault="00000000">
            <w:pPr>
              <w:autoSpaceDE w:val="0"/>
              <w:autoSpaceDN w:val="0"/>
              <w:adjustRightInd w:val="0"/>
              <w:rPr>
                <w:bCs/>
              </w:rPr>
            </w:pPr>
            <w:r>
              <w:t>Regionales</w:t>
            </w:r>
          </w:p>
        </w:tc>
        <w:tc>
          <w:tcPr>
            <w:tcW w:w="3041" w:type="dxa"/>
          </w:tcPr>
          <w:p w:rsidR="00000000" w:rsidRDefault="00000000">
            <w:pPr>
              <w:jc w:val="center"/>
            </w:pPr>
            <w:r>
              <w:t>250</w:t>
            </w:r>
          </w:p>
        </w:tc>
      </w:tr>
      <w:tr w:rsidR="00000000">
        <w:trPr>
          <w:trHeight w:val="20"/>
          <w:jc w:val="center"/>
        </w:trPr>
        <w:tc>
          <w:tcPr>
            <w:tcW w:w="4198" w:type="dxa"/>
            <w:vAlign w:val="center"/>
          </w:tcPr>
          <w:p w:rsidR="00000000" w:rsidRDefault="00000000">
            <w:pPr>
              <w:rPr>
                <w:bCs/>
              </w:rPr>
            </w:pPr>
            <w:r>
              <w:rPr>
                <w:bCs/>
              </w:rPr>
              <w:tab/>
              <w:t>Total</w:t>
            </w:r>
          </w:p>
        </w:tc>
        <w:tc>
          <w:tcPr>
            <w:tcW w:w="3041" w:type="dxa"/>
            <w:vAlign w:val="center"/>
          </w:tcPr>
          <w:p w:rsidR="00000000" w:rsidRDefault="00000000">
            <w:pPr>
              <w:jc w:val="center"/>
              <w:rPr>
                <w:bCs/>
              </w:rPr>
            </w:pPr>
            <w:r>
              <w:rPr>
                <w:bCs/>
              </w:rPr>
              <w:t>522</w:t>
            </w:r>
          </w:p>
        </w:tc>
      </w:tr>
    </w:tbl>
    <w:p w:rsidR="00000000" w:rsidRDefault="00000000">
      <w:pPr>
        <w:autoSpaceDE w:val="0"/>
        <w:autoSpaceDN w:val="0"/>
        <w:adjustRightInd w:val="0"/>
        <w:spacing w:before="240" w:after="480"/>
        <w:ind w:left="1064" w:right="1040"/>
      </w:pPr>
      <w:r>
        <w:rPr>
          <w:i/>
          <w:iCs/>
        </w:rPr>
        <w:t>Nota</w:t>
      </w:r>
      <w:r>
        <w:t>:  Han seguido programas de sustitución 369 detenidos asignados a 10 establecimientos penitenciarios centrales, 1 establecimiento especial y 31 establecimientos regionales; los programas de sustitución tienen por objeto sustituir el consumo de drogas; los programas de antagonistas tienen por objeto bloquear el efecto de la droga.  Han seguido programas de antagonistas 153 detenidos asignados a 9 establecimientos penitenciarios centrales y a 10 establecimientos penitenciarios regionales.  Los centros de acogida a los toxicómanos son estructuras que dependen del Instituto de la Droga y de la Toxicomanía del Ministerio de Sanidad.  No funcionan únicamente para el sistema penitenciario, sino también para toda la sociedad civil.  Los programas de tratamiento en estas casas de acogida son seguidos en libertad por los detenidos.</w:t>
      </w:r>
    </w:p>
    <w:p w:rsidR="00000000" w:rsidRDefault="00000000">
      <w:pPr>
        <w:autoSpaceDE w:val="0"/>
        <w:autoSpaceDN w:val="0"/>
        <w:adjustRightInd w:val="0"/>
        <w:spacing w:after="240"/>
        <w:jc w:val="center"/>
        <w:rPr>
          <w:b/>
        </w:rPr>
      </w:pPr>
      <w:r>
        <w:rPr>
          <w:b/>
        </w:rPr>
        <w:t>V.  EL DERECHO A LA REPARACIÓN</w:t>
      </w:r>
    </w:p>
    <w:p w:rsidR="00000000" w:rsidRDefault="00000000">
      <w:pPr>
        <w:autoSpaceDE w:val="0"/>
        <w:autoSpaceDN w:val="0"/>
        <w:adjustRightInd w:val="0"/>
        <w:spacing w:after="240"/>
      </w:pPr>
      <w:r>
        <w:t>230.</w:t>
      </w:r>
      <w:r>
        <w:tab/>
        <w:t>En el artículo 14 de la Convención contra la Tortura se dispone lo siguiente:</w:t>
      </w:r>
    </w:p>
    <w:p w:rsidR="00000000" w:rsidRDefault="00000000">
      <w:pPr>
        <w:spacing w:after="240"/>
        <w:ind w:left="567"/>
      </w:pPr>
      <w:r>
        <w:tab/>
        <w:t>"Todo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000000" w:rsidRDefault="00000000">
      <w:pPr>
        <w:autoSpaceDE w:val="0"/>
        <w:autoSpaceDN w:val="0"/>
        <w:adjustRightInd w:val="0"/>
        <w:spacing w:after="240"/>
      </w:pPr>
      <w:r>
        <w:t>231.</w:t>
      </w:r>
      <w:r>
        <w:tab/>
        <w:t>El Decreto-ley Nº 423/91 de 30 de octubre sigue siendo el texto legislativo de Portugal más importante en la materia.  El párrafo 1 del artículo 1 reza:</w:t>
      </w:r>
    </w:p>
    <w:p w:rsidR="00000000" w:rsidRDefault="00000000">
      <w:pPr>
        <w:autoSpaceDE w:val="0"/>
        <w:autoSpaceDN w:val="0"/>
        <w:adjustRightInd w:val="0"/>
        <w:spacing w:after="240"/>
        <w:ind w:left="567"/>
      </w:pPr>
      <w:r>
        <w:tab/>
        <w:t>"1.</w:t>
      </w:r>
      <w:r>
        <w:tab/>
        <w:t>Las víctimas de lesiones corporales graves resultantes directamente de actos intencionales de violencia cometidos en territorio portugués o a bordo de buques o aeronaves portuguesas, así como, en caso de defunción, las personas a las que la legislación civil reconoce el derecho a cobrar una pensión, pueden solicitar al Estado el pago de una indemnización, aunque no estén constituidas o no puedan constituirse como asistentes en procedimiento penal, siempre y cuando:</w:t>
      </w:r>
    </w:p>
    <w:p w:rsidR="00000000" w:rsidRDefault="00000000">
      <w:pPr>
        <w:autoSpaceDE w:val="0"/>
        <w:autoSpaceDN w:val="0"/>
        <w:adjustRightInd w:val="0"/>
        <w:spacing w:after="240"/>
        <w:ind w:left="567"/>
      </w:pPr>
      <w:r>
        <w:tab/>
        <w:t>a)</w:t>
      </w:r>
      <w:r>
        <w:tab/>
        <w:t>De la lesión resulte una incapacidad permanente, temporal y absoluta para el trabajo de un mínimo de 30 días, o la defunción;</w:t>
      </w:r>
    </w:p>
    <w:p w:rsidR="00000000" w:rsidRDefault="00000000">
      <w:pPr>
        <w:autoSpaceDE w:val="0"/>
        <w:autoSpaceDN w:val="0"/>
        <w:adjustRightInd w:val="0"/>
        <w:spacing w:after="240"/>
        <w:ind w:left="567"/>
      </w:pPr>
      <w:r>
        <w:tab/>
        <w:t>b)</w:t>
      </w:r>
      <w:r>
        <w:tab/>
        <w:t>El perjuicio provoque una perturbación considerable del nivel de vida de la víctima o de las personas con derecho cobrar una pensión alimentaria;</w:t>
      </w:r>
    </w:p>
    <w:p w:rsidR="00000000" w:rsidRDefault="00000000">
      <w:pPr>
        <w:autoSpaceDE w:val="0"/>
        <w:autoSpaceDN w:val="0"/>
        <w:adjustRightInd w:val="0"/>
        <w:spacing w:after="240"/>
        <w:ind w:left="567"/>
      </w:pPr>
      <w:r>
        <w:tab/>
        <w:t>c)</w:t>
      </w:r>
      <w:r>
        <w:tab/>
        <w:t>Las víctimas no hayan obtenido una reparación efectiva del daño en aplicación de la decisión condenatoria pronunciada ante una demanda, establecida en términos de lo dispuesto en los artículos 71 a 84 del Código de Procedimiento Penal, o si es razonable prever que el delincuente y los responsables civiles no repararán el daño, sin que sea posible obtener de otra fuente una reparación equitativa y suficiente."</w:t>
      </w:r>
    </w:p>
    <w:p w:rsidR="00000000" w:rsidRDefault="00000000">
      <w:pPr>
        <w:autoSpaceDE w:val="0"/>
        <w:autoSpaceDN w:val="0"/>
        <w:adjustRightInd w:val="0"/>
        <w:spacing w:after="240"/>
      </w:pPr>
      <w:r>
        <w:t>232.</w:t>
      </w:r>
      <w:r>
        <w:tab/>
        <w:t>En virtud de lo dispuesto en el artículo 2, la indemnización del Estado se limita al daño patrimonial resultante de la lesión y se fija en términos de equidad, con un límite máximo, para cada perjudicado, del monto correspondiente al doble del importe que fija la competencia del Tribunal de Apelación, en los casos de defunción o de lesiones corporales graves.</w:t>
      </w:r>
    </w:p>
    <w:p w:rsidR="00000000" w:rsidRDefault="00000000">
      <w:pPr>
        <w:autoSpaceDE w:val="0"/>
        <w:autoSpaceDN w:val="0"/>
        <w:adjustRightInd w:val="0"/>
        <w:spacing w:after="240"/>
      </w:pPr>
      <w:r>
        <w:t>233.</w:t>
      </w:r>
      <w:r>
        <w:tab/>
        <w:t>En los casos de defunción o de lesión de varias personas por el mismo acto, la indemnización del Estado tiene como límite máximo el monto correspondiente a dos veces el monto equivalente al doble del importe que fija la competencia del Tribunal de Apelación para cada una de ellas, dentro del máximo total de seis veces el monto equivalente de ese importe.</w:t>
      </w:r>
    </w:p>
    <w:p w:rsidR="00000000" w:rsidRDefault="00000000">
      <w:pPr>
        <w:autoSpaceDE w:val="0"/>
        <w:autoSpaceDN w:val="0"/>
        <w:adjustRightInd w:val="0"/>
        <w:spacing w:after="240"/>
      </w:pPr>
      <w:r>
        <w:t>234.</w:t>
      </w:r>
      <w:r>
        <w:tab/>
        <w:t>Esta nueva formulación fue introducida por el Decreto-ley Nº 62/2004 de 22 de marzo.  Por lo demás, el régimen de reparación y protección de las víctimas de delitos violentos sigue siendo el mismo.</w:t>
      </w:r>
    </w:p>
    <w:p w:rsidR="00000000" w:rsidRDefault="00000000">
      <w:pPr>
        <w:autoSpaceDE w:val="0"/>
        <w:autoSpaceDN w:val="0"/>
        <w:adjustRightInd w:val="0"/>
        <w:spacing w:after="240"/>
        <w:jc w:val="center"/>
        <w:rPr>
          <w:b/>
        </w:rPr>
      </w:pPr>
      <w:r>
        <w:rPr>
          <w:b/>
        </w:rPr>
        <w:t>CONCLUSIÓN</w:t>
      </w:r>
    </w:p>
    <w:p w:rsidR="00000000" w:rsidRDefault="00000000">
      <w:pPr>
        <w:autoSpaceDE w:val="0"/>
        <w:autoSpaceDN w:val="0"/>
        <w:adjustRightInd w:val="0"/>
        <w:spacing w:after="240"/>
      </w:pPr>
      <w:r>
        <w:t>235.</w:t>
      </w:r>
      <w:r>
        <w:tab/>
        <w:t>Portugal, que siempre ha celebrado el diálogo fructífero que mantiene con el Comité contra la Tortura, hace votos, al presentar este cuarto informe periódico, por que este diálogo perdure.  Lo manifiesta en particular al presentar datos materiales, ya que su intención es dar una imagen más concreta del funcionamiento de su sistema judicial, en lo que respecta a la lucha cotidiana contra la tortura.  Teniendo en cuenta que los progresos obtenidos sobre el terreno no son perfectos, Portugal deja a la discreción del Comité la apreciación de este informe y de esos datos.</w:t>
      </w:r>
    </w:p>
    <w:p w:rsidR="00000000" w:rsidRDefault="00000000">
      <w:pPr>
        <w:autoSpaceDE w:val="0"/>
        <w:autoSpaceDN w:val="0"/>
        <w:adjustRightInd w:val="0"/>
        <w:spacing w:after="240"/>
        <w:jc w:val="center"/>
        <w:rPr>
          <w:b/>
        </w:rPr>
      </w:pPr>
      <w:r>
        <w:rPr>
          <w:b/>
        </w:rPr>
        <w:t>LISTA DE ANEXOS</w:t>
      </w:r>
      <w:r>
        <w:rPr>
          <w:rStyle w:val="FootnoteReference"/>
          <w:bCs/>
        </w:rPr>
        <w:footnoteReference w:customMarkFollows="1" w:id="6"/>
        <w:t>a</w:t>
      </w:r>
    </w:p>
    <w:p w:rsidR="00000000" w:rsidRDefault="00000000">
      <w:pPr>
        <w:autoSpaceDE w:val="0"/>
        <w:autoSpaceDN w:val="0"/>
        <w:adjustRightInd w:val="0"/>
        <w:spacing w:after="240"/>
        <w:ind w:left="567" w:hanging="567"/>
      </w:pPr>
      <w:r>
        <w:t>I.</w:t>
      </w:r>
      <w:r>
        <w:tab/>
        <w:t>Quejas presentadas ante la IGAI entre 1998 y 2003 inclusive, que dieron lugar a procesos administrativos, de investigación, disciplinarios y de indagación.</w:t>
      </w:r>
    </w:p>
    <w:p w:rsidR="00000000" w:rsidRDefault="00000000">
      <w:pPr>
        <w:autoSpaceDE w:val="0"/>
        <w:autoSpaceDN w:val="0"/>
        <w:adjustRightInd w:val="0"/>
        <w:spacing w:after="240"/>
        <w:ind w:left="567" w:hanging="567"/>
      </w:pPr>
      <w:r>
        <w:t>II.</w:t>
      </w:r>
      <w:r>
        <w:tab/>
        <w:t>Número de delitos cometidos en acto de servicio; tipos de delitos denunciados; agentes detenidos por órganos de policía - cifras de 1991 a 2003.</w:t>
      </w:r>
    </w:p>
    <w:p w:rsidR="00000000" w:rsidRDefault="00000000">
      <w:pPr>
        <w:autoSpaceDE w:val="0"/>
        <w:autoSpaceDN w:val="0"/>
        <w:adjustRightInd w:val="0"/>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Para el informe inicial presentado por el Gobierno de Portugal, véase el documento CAT/C/9/Add.5; para su examen por el Comité, véanse los documentos CAT/C/SR.166, 167 y 167/Add.1, así como </w:t>
      </w:r>
      <w:r>
        <w:rPr>
          <w:i/>
          <w:iCs/>
        </w:rPr>
        <w:t>Documentos Oficiales de la Asamblea General, cuadragésimo noveno período de sesiones, Suplemento Nº 44</w:t>
      </w:r>
      <w:r>
        <w:t xml:space="preserve"> (A/49/44, párrs. 106 a 117).  Para el segundo informe periódico, véase el documento CAT/C/25/Add.10; para su examen, los documentos CAT/C/SR.305, 306 y 308 y </w:t>
      </w:r>
      <w:r>
        <w:rPr>
          <w:i/>
          <w:iCs/>
        </w:rPr>
        <w:t>Documentos Oficiales de la Asamblea General, quincuagésimo tercer período de sesiones, Suplemento Nº 44</w:t>
      </w:r>
      <w:r>
        <w:t xml:space="preserve"> (A/53/44, párrs. </w:t>
      </w:r>
      <w:r>
        <w:rPr>
          <w:lang w:val="es-ES_tradnl"/>
        </w:rPr>
        <w:t xml:space="preserve">70 a 79).  Para el tercer informe periódico, véase el documento CAT/C/44/Add.7; para su examen, los documentos CAT/C/SR.414, 417 y 421, así como </w:t>
      </w:r>
      <w:r>
        <w:rPr>
          <w:i/>
          <w:iCs/>
          <w:lang w:val="es-ES_tradnl"/>
        </w:rPr>
        <w:t>Documentos Oficiales de la Asamblea General, quincuagésimo quinto período de sesiones, Suplemento Nº 44</w:t>
      </w:r>
      <w:r>
        <w:rPr>
          <w:lang w:val="es-ES_tradnl"/>
        </w:rPr>
        <w:t>.º</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GE.05-42196  (S)    060306    100306</w:t>
      </w:r>
    </w:p>
  </w:footnote>
  <w:footnote w:id="2">
    <w:p w:rsidR="00000000" w:rsidRDefault="00000000">
      <w:pPr>
        <w:pStyle w:val="FootnoteText"/>
        <w:spacing w:line="240" w:lineRule="auto"/>
      </w:pPr>
      <w:r>
        <w:rPr>
          <w:rStyle w:val="FootnoteReference"/>
        </w:rPr>
        <w:t>a</w:t>
      </w:r>
      <w:r>
        <w:t xml:space="preserve"> Los anexos estadísticos pueden consultarse en la secretaría del Comité contra la Tortura.</w:t>
      </w:r>
    </w:p>
  </w:footnote>
  <w:footnote w:id="3">
    <w:p w:rsidR="00000000" w:rsidRDefault="00000000">
      <w:pPr>
        <w:pStyle w:val="FootnoteText"/>
        <w:spacing w:after="0" w:line="240" w:lineRule="auto"/>
      </w:pPr>
      <w:r>
        <w:rPr>
          <w:rStyle w:val="FootnoteReference"/>
        </w:rPr>
        <w:footnoteRef/>
      </w:r>
      <w:r>
        <w:t xml:space="preserve"> </w:t>
      </w:r>
      <w:r>
        <w:rPr>
          <w:szCs w:val="24"/>
        </w:rPr>
        <w:t>Existen tres tipos de procesos personales, y un tipo de proceso al servicio o a un servicio.  El proceso disciplinario tiene por objeto determinar concretamente el agente y el hecho, las indagaciones tienen por objeto descubrir a los autores de un hecho determinado, los procesos de investigación tratan de descubrir a la vez los hechos y los autores, sobre la base de datos que aún no ha sido verificados.  Las</w:t>
      </w:r>
      <w:r>
        <w:rPr>
          <w:i/>
        </w:rPr>
        <w:t xml:space="preserve"> sindicâncias</w:t>
      </w:r>
      <w:r>
        <w:rPr>
          <w:szCs w:val="24"/>
        </w:rPr>
        <w:t xml:space="preserve"> son procesos de investigación que se aplican a todo un servicio.</w:t>
      </w:r>
    </w:p>
  </w:footnote>
  <w:footnote w:id="4">
    <w:p w:rsidR="00000000" w:rsidRDefault="00000000">
      <w:pPr>
        <w:pStyle w:val="FootnoteText"/>
        <w:spacing w:line="240" w:lineRule="auto"/>
      </w:pPr>
      <w:r>
        <w:rPr>
          <w:rStyle w:val="FootnoteReference"/>
        </w:rPr>
        <w:footnoteRef/>
      </w:r>
      <w:r>
        <w:t xml:space="preserve"> Véase "</w:t>
      </w:r>
      <w:r>
        <w:rPr>
          <w:i/>
          <w:iCs/>
        </w:rPr>
        <w:t>O uso de armas de fogo pelos agentes policias, alguns aspectos</w:t>
      </w:r>
      <w:r>
        <w:t xml:space="preserve">" de Maria José R. Leitão Nogueira, magistrada, subinspectora general del l'IGAI, disponible en </w:t>
      </w:r>
      <w:r>
        <w:rPr>
          <w:u w:val="single"/>
        </w:rPr>
        <w:t>http://www.igai.pt</w:t>
      </w:r>
      <w:r>
        <w:t>.</w:t>
      </w:r>
    </w:p>
  </w:footnote>
  <w:footnote w:id="5">
    <w:p w:rsidR="00000000" w:rsidRDefault="00000000">
      <w:pPr>
        <w:pStyle w:val="FootnoteText"/>
        <w:spacing w:line="240" w:lineRule="auto"/>
      </w:pPr>
      <w:r>
        <w:rPr>
          <w:rStyle w:val="FootnoteReference"/>
        </w:rPr>
        <w:t>*</w:t>
      </w:r>
      <w:r>
        <w:t xml:space="preserve"> Los anexos estadísticos pueden consultarse en la secretaría del Comité contra la Tortura.</w:t>
      </w:r>
    </w:p>
  </w:footnote>
  <w:footnote w:id="6">
    <w:p w:rsidR="00000000" w:rsidRDefault="00000000">
      <w:pPr>
        <w:autoSpaceDE w:val="0"/>
        <w:autoSpaceDN w:val="0"/>
        <w:adjustRightInd w:val="0"/>
      </w:pPr>
      <w:r>
        <w:rPr>
          <w:rStyle w:val="FootnoteReference"/>
        </w:rPr>
        <w:t>a</w:t>
      </w:r>
      <w:r>
        <w:t xml:space="preserve"> Estos anexos estadísticos pueden consultarse en la secretaría del Comité contra la Tortura.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CAT/C/67/Add.6</w:t>
    </w:r>
  </w:p>
  <w:p w:rsidR="00000000" w:rsidRDefault="00000000">
    <w:pPr>
      <w:pStyle w:val="Header"/>
    </w:pPr>
    <w:r>
      <w:t xml:space="preserve">página </w:t>
    </w:r>
    <w:r>
      <w:fldChar w:fldCharType="begin"/>
    </w:r>
    <w:r>
      <w:instrText xml:space="preserve"> PAGE  \* MERGEFORMAT </w:instrText>
    </w:r>
    <w:r>
      <w:fldChar w:fldCharType="separate"/>
    </w:r>
    <w:r>
      <w:rPr>
        <w:noProof/>
      </w:rPr>
      <w:t>68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CAT/C/67/Add.6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7B25E22"/>
    <w:lvl w:ilvl="0">
      <w:numFmt w:val="bullet"/>
      <w:lvlText w:val="*"/>
      <w:lvlJc w:val="left"/>
    </w:lvl>
  </w:abstractNum>
  <w:abstractNum w:abstractNumId="1">
    <w:nsid w:val="44B64474"/>
    <w:multiLevelType w:val="hybridMultilevel"/>
    <w:tmpl w:val="F78EC2D6"/>
    <w:lvl w:ilvl="0" w:tplc="0CC8A3EA">
      <w:start w:val="7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6B810BDC"/>
    <w:multiLevelType w:val="hybridMultilevel"/>
    <w:tmpl w:val="6EDA1FB6"/>
    <w:lvl w:ilvl="0" w:tplc="0150AF30">
      <w:start w:val="57"/>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autoSpaceDE w:val="0"/>
      <w:autoSpaceDN w:val="0"/>
      <w:adjustRightInd w:val="0"/>
      <w:spacing w:line="840" w:lineRule="auto"/>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69</Pages>
  <Words>25515</Words>
  <Characters>145436</Characters>
  <Application>Microsoft Office Word</Application>
  <DocSecurity>4</DocSecurity>
  <Lines>1211</Lines>
  <Paragraphs>290</Paragraphs>
  <ScaleCrop>false</ScaleCrop>
  <HeadingPairs>
    <vt:vector size="2" baseType="variant">
      <vt:variant>
        <vt:lpstr>Título</vt:lpstr>
      </vt:variant>
      <vt:variant>
        <vt:i4>1</vt:i4>
      </vt:variant>
    </vt:vector>
  </HeadingPairs>
  <TitlesOfParts>
    <vt:vector size="1" baseType="lpstr">
      <vt:lpstr>CAT/C/67/Add.6  05-42196</vt:lpstr>
    </vt:vector>
  </TitlesOfParts>
  <Company>ONU</Company>
  <LinksUpToDate>false</LinksUpToDate>
  <CharactersWithSpaces>178605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CAT/C/67/Add.6  05-42196</dc:title>
  <dc:subject>final</dc:subject>
  <dc:creator>GLORIA DE LA ROSA</dc:creator>
  <cp:keywords/>
  <dc:description/>
  <cp:lastModifiedBy>PDF</cp:lastModifiedBy>
  <cp:revision>2</cp:revision>
  <cp:lastPrinted>2006-03-10T15:37:00Z</cp:lastPrinted>
  <dcterms:created xsi:type="dcterms:W3CDTF">2006-03-10T15:42:00Z</dcterms:created>
  <dcterms:modified xsi:type="dcterms:W3CDTF">2006-03-10T15:42:00Z</dcterms:modified>
</cp:coreProperties>
</file>