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695.65pt;width:198pt;height:18pt;z-index:1;mso-position-horizontal-relative:margin" filled="f" stroked="f">
            <v:textbox style="mso-next-textbox:#_x0000_s1027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260602    260602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CAT/C/CR/28/1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12 June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Двадцать восьмая сессия</w:t>
      </w:r>
    </w:p>
    <w:p w:rsidR="00000000" w:rsidRDefault="00000000">
      <w:r>
        <w:t>29 апреля - 17 мая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Выводы и рекомендации Комитета против пыток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Дания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r>
        <w:t>1.</w:t>
      </w:r>
      <w:r>
        <w:tab/>
        <w:t>Комитет рассмотрел четвертый периодический доклад Дании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.2) на своих 508, 510 и 518-м заседаниях 2, 3 и 10 мая 2002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.508, 510 и 518) и принял нижеследующие выводы и рекомендации.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/>
    <w:p w:rsidR="00000000" w:rsidRDefault="00000000">
      <w:r>
        <w:t>2.</w:t>
      </w:r>
      <w:r>
        <w:tab/>
        <w:t>Комитет приветствует четвертый периодический доклад Дании, представленный в установленный срок и полностью отвечающий руководящим принципам Комитета, касающимся подготовки периодических докладов государств-участников.  В частности, Комитет приветствует то, что в отдельной части доклада государство-участник конкретно затронуло предыдущие рекомендации Комитета.  Комитет также приветствует плодотворный и открытый диалог, который у него состоялся с представителями государства-участника.</w:t>
      </w:r>
    </w:p>
    <w:p w:rsidR="00000000" w:rsidRDefault="00000000"/>
    <w:p w:rsidR="00000000" w:rsidRDefault="00000000">
      <w:pPr>
        <w:pStyle w:val="16"/>
      </w:pPr>
      <w:r>
        <w:br w:type="page"/>
        <w:t>В.</w:t>
      </w:r>
      <w:r>
        <w:tab/>
        <w:t>Позитивные аспекты</w:t>
      </w:r>
    </w:p>
    <w:p w:rsidR="00000000" w:rsidRDefault="00000000"/>
    <w:p w:rsidR="00000000" w:rsidRDefault="00000000">
      <w:r>
        <w:t>3.</w:t>
      </w:r>
      <w:r>
        <w:tab/>
        <w:t>Комитет высказывает удовлетворение по поводу высокого уровня соблюдения прав человека в целом и выполнения государством-участником своих обязательств по Конвенции в частности, а также отмечает его активную роль в международном плане в области борьбы с пытками.</w:t>
      </w:r>
    </w:p>
    <w:p w:rsidR="00000000" w:rsidRDefault="00000000"/>
    <w:p w:rsidR="00000000" w:rsidRDefault="00000000">
      <w:r>
        <w:t>4.</w:t>
      </w:r>
      <w:r>
        <w:tab/>
        <w:t>Комитет приветствует рекомендацию, вынесенную Комитетом, который был учрежден министерством юстиции, о включении трех основных договоров Организации Объединенных Наций по правам человека, включая саму Конвенцию, во внутреннее законодательство Дании.</w:t>
      </w:r>
    </w:p>
    <w:p w:rsidR="00000000" w:rsidRDefault="00000000"/>
    <w:p w:rsidR="00000000" w:rsidRDefault="00000000">
      <w:r>
        <w:t>5.</w:t>
      </w:r>
      <w:r>
        <w:tab/>
        <w:t>Комитет также с удовлетворением отмечает: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принятие поправки к Закону об отправлении правосудия, которая резко ужесточила контроль за применением практики одиночного тюремного заключения, существенно ее сократив, а также обеспечив судебный надзор за применением одиночного заключения при возвращении под стражу;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циркуляры Национального комиссара полиции, предусматривающие, в частности, доступ членов семьи на более ранней стадии к задержанным, обязательное медицинское обследование всех лиц, находящихся под арестом, и незамедлительный доступ к адвокату и переводчику;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принятие законодательства, предоставляющего более высокую степень защиты лицам, ищущим убежища;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усилия, предпринятые в области образовательных программ для полицейских;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многодисциплинарный подход к проживающим в Дании лицам, которые стали жертвами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увеличение размера взноса государства-участника в Фонд добровольных взносов Организации Объединенных Наций для жертв пыток и дальнейшую поддержку национальных центров реабилитации для жертв пыток.</w:t>
      </w:r>
    </w:p>
    <w:p w:rsidR="00000000" w:rsidRDefault="00000000"/>
    <w:p w:rsidR="00000000" w:rsidRDefault="00000000">
      <w:pPr>
        <w:pStyle w:val="16"/>
      </w:pPr>
      <w:r>
        <w:br w:type="page"/>
        <w:t>С.</w:t>
      </w:r>
      <w:r>
        <w:tab/>
        <w:t>Проблемы, вызывающие озабоченность</w:t>
      </w:r>
    </w:p>
    <w:p w:rsidR="00000000" w:rsidRDefault="00000000"/>
    <w:p w:rsidR="00000000" w:rsidRDefault="00000000">
      <w:r>
        <w:t>6.</w:t>
      </w:r>
      <w:r>
        <w:tab/>
        <w:t>Комитет выражает озабоченность по поводу следующего: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 xml:space="preserve">отсутствия определения пытки, предусматриваемого статьей 1 Конвенции, в уголовном законодательстве государства-участника, а также отсутствия конкретного преступления в виде пытки, предусматривающего соответствующее наказание, как того требует пункт 2 статьи 4 Конвенции; 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отсутствия эффективных процедур правовой защиты в случае решений о применении одиночного заключения к лицам, отбывающим наказание;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предлагаемой поправки к Закону об иностранцах, предполагающей, что иностранцы, которым отказано в предоставлении вида на жительство, должны незамедлительно покинуть страну после отклонения их заявления.  Строгое применение данного положения может подрывать эффективность статьи 22 Конвенции.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Рекомендации</w:t>
      </w:r>
    </w:p>
    <w:p w:rsidR="00000000" w:rsidRDefault="00000000"/>
    <w:p w:rsidR="00000000" w:rsidRDefault="00000000">
      <w:r>
        <w:t>7.</w:t>
      </w:r>
      <w:r>
        <w:tab/>
        <w:t>Комитет рекомендует: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государству-участнику обеспечить скорейшее выполнение рекомендации Специального комитета относительно включения Конвенции во внутреннее законодательство Дании;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Дании установить в своем уголовном законодательстве надлежащие положения, придающие, как это указано в статье 1 Конвенции, практике применения пыток характер уголовно наказуемого деяния в соответствии с пунктом 2 статьи 4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государству-участнику продолжить контролировать последствия одиночного заключения для задержанных и действенность нового законопроекта, который сократил количество оснований, по которым может быть применено одиночное заключение и его продолжительность;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обеспечить, чтобы закон, регулирующий применение одиночного заключения в отношении осужденных заключенных устанавливал надлежащие механизмы пересмотра принимаемых решений и продолжительность такого заключения;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государству-участнику обеспечить, чтобы предлагаемая поправка к Закону об иностранцах не подрывала эффективности практики обращения иностранцев к Комитету, как это предусмотрено в статье 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государству-участнику широко распространить в стране выводы и рекомендации Комитета на всех соответствующих языках.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CAT/C/CR/28/1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CAT/C/CR/28/1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17</TotalTime>
  <Pages>1</Pages>
  <Words>720</Words>
  <Characters>4105</Characters>
  <Application>Microsoft Office Word</Application>
  <DocSecurity>4</DocSecurity>
  <Lines>34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0242561.doc</vt:lpstr>
    </vt:vector>
  </TitlesOfParts>
  <Company> 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0242561.doc</dc:title>
  <dc:subject/>
  <dc:creator>Svetlana PROKOUDINA</dc:creator>
  <cp:keywords/>
  <dc:description/>
  <cp:lastModifiedBy>auboin</cp:lastModifiedBy>
  <cp:revision>5</cp:revision>
  <cp:lastPrinted>2002-07-01T07:32:00Z</cp:lastPrinted>
  <dcterms:created xsi:type="dcterms:W3CDTF">2002-06-26T13:54:00Z</dcterms:created>
  <dcterms:modified xsi:type="dcterms:W3CDTF">2002-07-01T07:33:00Z</dcterms:modified>
</cp:coreProperties>
</file>