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bookmarkStart w:id="1" w:name="_Toc85174871"/>
      <w:r>
        <w:t>Комитет по ликвидации дискриминации</w:t>
      </w:r>
      <w:bookmarkEnd w:id="1"/>
    </w:p>
    <w:p w:rsidR="00000000" w:rsidRDefault="00000000">
      <w:pPr>
        <w:pStyle w:val="H1"/>
      </w:pPr>
      <w:bookmarkStart w:id="2" w:name="_Toc85174872"/>
      <w:r>
        <w:t>в отношении женщин</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 w:name="_Toc85174873"/>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 w:name="_Toc85174874"/>
      <w:r>
        <w:t xml:space="preserve">Сводный пятый и шестой периодический доклад </w:t>
      </w:r>
      <w:r>
        <w:br/>
        <w:t>государств-участников</w:t>
      </w:r>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spacing w:val="4"/>
          <w:sz w:val="24"/>
        </w:rPr>
        <w:tab/>
      </w:r>
      <w:r>
        <w:rPr>
          <w:spacing w:val="4"/>
          <w:sz w:val="24"/>
        </w:rPr>
        <w:tab/>
      </w:r>
      <w:bookmarkStart w:id="5" w:name="_Toc85174875"/>
      <w:r>
        <w:t>Филиппины</w:t>
      </w:r>
      <w:r>
        <w:rPr>
          <w:rStyle w:val="FootnoteReference"/>
          <w:b w:val="0"/>
        </w:rPr>
        <w:footnoteReference w:customMarkFollows="1" w:id="1"/>
        <w:t>*</w:t>
      </w:r>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p>
    <w:p w:rsidR="00000000" w:rsidRDefault="00000000">
      <w:pPr>
        <w:pStyle w:val="TOC1"/>
        <w:ind w:left="851"/>
        <w:rPr>
          <w:b/>
          <w:sz w:val="28"/>
        </w:rPr>
      </w:pPr>
      <w:r>
        <w:rPr>
          <w:b/>
          <w:sz w:val="28"/>
        </w:rPr>
        <w:t>Содержание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s>
        <w:spacing w:after="0" w:line="240" w:lineRule="auto"/>
        <w:ind w:left="1264" w:right="778"/>
        <w:jc w:val="right"/>
        <w:rPr>
          <w:i/>
        </w:rPr>
      </w:pPr>
      <w:r>
        <w:rPr>
          <w:i/>
        </w:rPr>
        <w:t>Страницы</w:t>
      </w:r>
    </w:p>
    <w:p w:rsidR="00000000" w:rsidRDefault="00000000">
      <w:pPr>
        <w:pStyle w:val="TOC1"/>
        <w:spacing w:before="120"/>
        <w:ind w:left="1843" w:hanging="579"/>
        <w:rPr>
          <w:spacing w:val="0"/>
          <w:w w:val="100"/>
          <w:kern w:val="0"/>
          <w:sz w:val="24"/>
        </w:rPr>
      </w:pPr>
      <w:r>
        <w:fldChar w:fldCharType="begin"/>
      </w:r>
      <w:r>
        <w:instrText xml:space="preserve"> TOC \h \z \t "_ H __M;1;_ H_1;1;_ H _Ch;1;_ H_2/3;1" </w:instrText>
      </w:r>
      <w:r>
        <w:fldChar w:fldCharType="separate"/>
      </w:r>
      <w:r>
        <w:rPr>
          <w:rStyle w:val="Hyperlink"/>
        </w:rPr>
        <w:fldChar w:fldCharType="begin"/>
      </w:r>
      <w:r>
        <w:rPr>
          <w:rStyle w:val="Hyperlink"/>
        </w:rPr>
        <w:instrText xml:space="preserve"> </w:instrText>
      </w:r>
      <w:r>
        <w:instrText>HYPERLINK \l "_Toc85174876"</w:instrText>
      </w:r>
      <w:r>
        <w:rPr>
          <w:rStyle w:val="Hyperlink"/>
        </w:rPr>
        <w:instrText xml:space="preserve"> </w:instrText>
      </w:r>
      <w:r>
        <w:rPr>
          <w:color w:val="0000FF"/>
          <w:u w:val="single"/>
        </w:rPr>
      </w:r>
      <w:r>
        <w:rPr>
          <w:rStyle w:val="Hyperlink"/>
        </w:rPr>
        <w:fldChar w:fldCharType="separate"/>
      </w:r>
      <w:r>
        <w:rPr>
          <w:rStyle w:val="Hyperlink"/>
        </w:rPr>
        <w:t>Акроним</w:t>
      </w:r>
      <w:r>
        <w:rPr>
          <w:rStyle w:val="Hyperlink"/>
        </w:rPr>
        <w:t>ы</w:t>
      </w:r>
      <w:r>
        <w:tab/>
      </w:r>
      <w:r>
        <w:fldChar w:fldCharType="begin"/>
      </w:r>
      <w:r>
        <w:instrText xml:space="preserve"> PAGEREF _Toc85174876 \h </w:instrText>
      </w:r>
      <w:r>
        <w:fldChar w:fldCharType="separate"/>
      </w:r>
      <w:r>
        <w:t>3</w:t>
      </w:r>
      <w:r>
        <w:fldChar w:fldCharType="end"/>
      </w:r>
      <w:r>
        <w:rPr>
          <w:rStyle w:val="Hyperlink"/>
        </w:rPr>
        <w:fldChar w:fldCharType="end"/>
      </w:r>
    </w:p>
    <w:p w:rsidR="00000000" w:rsidRDefault="00000000">
      <w:pPr>
        <w:pStyle w:val="TOC1"/>
        <w:spacing w:before="120"/>
        <w:ind w:left="1843" w:hanging="579"/>
        <w:rPr>
          <w:spacing w:val="0"/>
          <w:w w:val="100"/>
          <w:kern w:val="0"/>
          <w:sz w:val="24"/>
        </w:rPr>
      </w:pPr>
      <w:hyperlink w:anchor="_Toc85174877" w:history="1">
        <w:r>
          <w:rPr>
            <w:rStyle w:val="Hyperlink"/>
          </w:rPr>
          <w:t>Выра</w:t>
        </w:r>
        <w:bookmarkStart w:id="6" w:name="_Hlt85604143"/>
        <w:r>
          <w:rPr>
            <w:rStyle w:val="Hyperlink"/>
          </w:rPr>
          <w:t>ж</w:t>
        </w:r>
        <w:bookmarkEnd w:id="6"/>
        <w:r>
          <w:rPr>
            <w:rStyle w:val="Hyperlink"/>
          </w:rPr>
          <w:t>ение признательности</w:t>
        </w:r>
        <w:r>
          <w:tab/>
        </w:r>
        <w:r>
          <w:fldChar w:fldCharType="begin"/>
        </w:r>
        <w:r>
          <w:instrText xml:space="preserve"> PAGEREF _Toc85174877 \h </w:instrText>
        </w:r>
        <w:r>
          <w:fldChar w:fldCharType="separate"/>
        </w:r>
        <w:r>
          <w:t>3</w:t>
        </w:r>
        <w:r>
          <w:fldChar w:fldCharType="end"/>
        </w:r>
      </w:hyperlink>
    </w:p>
    <w:p w:rsidR="00000000" w:rsidRDefault="00000000">
      <w:pPr>
        <w:pStyle w:val="TOC1"/>
        <w:spacing w:before="120"/>
        <w:ind w:left="1843" w:hanging="579"/>
        <w:rPr>
          <w:b/>
          <w:spacing w:val="0"/>
          <w:w w:val="100"/>
          <w:kern w:val="0"/>
          <w:sz w:val="24"/>
        </w:rPr>
      </w:pPr>
      <w:hyperlink w:anchor="_Toc85174878" w:history="1">
        <w:r>
          <w:rPr>
            <w:rStyle w:val="Hyperlink"/>
            <w:b/>
          </w:rPr>
          <w:t>Часть I: Основные политические программные меры в ответ на заключительные замечания КЛДЖ по четвертому докладу Филиппин</w:t>
        </w:r>
        <w:r>
          <w:tab/>
        </w:r>
        <w:r>
          <w:fldChar w:fldCharType="begin"/>
        </w:r>
        <w:r>
          <w:instrText xml:space="preserve"> PAGEREF _Toc85174878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79" w:history="1">
        <w:r>
          <w:rPr>
            <w:rStyle w:val="Hyperlink"/>
          </w:rPr>
          <w:t>Проведение политики, направленной на создание безопасных и защищенных рабочих мест для женщин</w:t>
        </w:r>
        <w:r>
          <w:tab/>
        </w:r>
        <w:r>
          <w:fldChar w:fldCharType="begin"/>
        </w:r>
        <w:r>
          <w:instrText xml:space="preserve"> PAGEREF _Toc85174879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0" w:history="1">
        <w:r>
          <w:rPr>
            <w:rStyle w:val="Hyperlink"/>
          </w:rPr>
          <w:t>Предоставление информации и оказание помощи женщинам, работающим за границей</w:t>
        </w:r>
        <w:r>
          <w:tab/>
        </w:r>
        <w:r>
          <w:fldChar w:fldCharType="begin"/>
        </w:r>
        <w:r>
          <w:instrText xml:space="preserve"> PAGEREF _Toc85174880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1" w:history="1">
        <w:r>
          <w:rPr>
            <w:rStyle w:val="Hyperlink"/>
          </w:rPr>
          <w:t>Данные в разбивке по полу и оценка последствий правительственной политики и программ</w:t>
        </w:r>
        <w:r>
          <w:tab/>
        </w:r>
        <w:r>
          <w:fldChar w:fldCharType="begin"/>
        </w:r>
        <w:r>
          <w:instrText xml:space="preserve"> PAGEREF _Toc85174881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2" w:history="1">
        <w:r>
          <w:rPr>
            <w:rStyle w:val="Hyperlink"/>
          </w:rPr>
          <w:t>Гендерная дискриминация в законодательстве о проституции и альтернативные возможности в области трудоустройства для женщин</w:t>
        </w:r>
        <w:r>
          <w:tab/>
        </w:r>
        <w:r>
          <w:fldChar w:fldCharType="begin"/>
        </w:r>
        <w:r>
          <w:instrText xml:space="preserve"> PAGEREF _Toc85174882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3" w:history="1">
        <w:r>
          <w:rPr>
            <w:rStyle w:val="Hyperlink"/>
          </w:rPr>
          <w:t>Насилие в отношении женщин</w:t>
        </w:r>
        <w:r>
          <w:tab/>
        </w:r>
        <w:r>
          <w:fldChar w:fldCharType="begin"/>
        </w:r>
        <w:r>
          <w:instrText xml:space="preserve"> PAGEREF _Toc85174883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4" w:history="1">
        <w:r>
          <w:rPr>
            <w:rStyle w:val="Hyperlink"/>
          </w:rPr>
          <w:t>Службы по вопросам репродуктивного здоровья и половой жизни для всех женщин во всех районах</w:t>
        </w:r>
        <w:r>
          <w:tab/>
        </w:r>
        <w:r>
          <w:fldChar w:fldCharType="begin"/>
        </w:r>
        <w:r>
          <w:instrText xml:space="preserve"> PAGEREF _Toc85174884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5" w:history="1">
        <w:r>
          <w:rPr>
            <w:rStyle w:val="Hyperlink"/>
          </w:rPr>
          <w:t>Необходимость расширить участие женщин в политической и общественной жизни</w:t>
        </w:r>
        <w:r>
          <w:tab/>
        </w:r>
        <w:r>
          <w:fldChar w:fldCharType="begin"/>
        </w:r>
        <w:r>
          <w:instrText xml:space="preserve"> PAGEREF _Toc85174885 \h </w:instrText>
        </w:r>
        <w:r>
          <w:fldChar w:fldCharType="separate"/>
        </w:r>
        <w:r>
          <w:t>3</w:t>
        </w:r>
        <w:r>
          <w:fldChar w:fldCharType="end"/>
        </w:r>
      </w:hyperlink>
    </w:p>
    <w:p w:rsidR="00000000" w:rsidRDefault="00000000">
      <w:pPr>
        <w:pStyle w:val="TOC1"/>
        <w:spacing w:before="120"/>
        <w:ind w:left="1843" w:hanging="579"/>
        <w:rPr>
          <w:b/>
          <w:spacing w:val="0"/>
          <w:w w:val="100"/>
          <w:kern w:val="0"/>
          <w:sz w:val="24"/>
        </w:rPr>
      </w:pPr>
      <w:hyperlink w:anchor="_Toc85174886" w:history="1">
        <w:r>
          <w:rPr>
            <w:rStyle w:val="Hyperlink"/>
            <w:b/>
          </w:rPr>
          <w:t>Часть II: Резюме достигнутого прогре</w:t>
        </w:r>
        <w:r>
          <w:rPr>
            <w:rStyle w:val="Hyperlink"/>
            <w:b/>
          </w:rPr>
          <w:t>с</w:t>
        </w:r>
        <w:r>
          <w:rPr>
            <w:rStyle w:val="Hyperlink"/>
            <w:b/>
          </w:rPr>
          <w:t>са</w:t>
        </w:r>
        <w:r>
          <w:tab/>
        </w:r>
        <w:r>
          <w:fldChar w:fldCharType="begin"/>
        </w:r>
        <w:r>
          <w:instrText xml:space="preserve"> PAGEREF _Toc85174886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7" w:history="1">
        <w:r>
          <w:rPr>
            <w:rStyle w:val="Hyperlink"/>
          </w:rPr>
          <w:t>Контекст</w:t>
        </w:r>
        <w:r>
          <w:tab/>
        </w:r>
        <w:r>
          <w:fldChar w:fldCharType="begin"/>
        </w:r>
        <w:r>
          <w:instrText xml:space="preserve"> PAGEREF _Toc85174887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8" w:history="1">
        <w:r>
          <w:rPr>
            <w:rStyle w:val="Hyperlink"/>
          </w:rPr>
          <w:t>I.</w:t>
        </w:r>
        <w:r>
          <w:rPr>
            <w:spacing w:val="0"/>
            <w:w w:val="100"/>
            <w:kern w:val="0"/>
            <w:sz w:val="24"/>
          </w:rPr>
          <w:tab/>
        </w:r>
        <w:r>
          <w:rPr>
            <w:rStyle w:val="Hyperlink"/>
          </w:rPr>
          <w:t>Общие тенденции в политической, экономической, социальной и культурной областях</w:t>
        </w:r>
        <w:r>
          <w:tab/>
        </w:r>
        <w:r>
          <w:fldChar w:fldCharType="begin"/>
        </w:r>
        <w:r>
          <w:instrText xml:space="preserve"> PAGEREF _Toc85174888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89" w:history="1">
        <w:r>
          <w:rPr>
            <w:rStyle w:val="Hyperlink"/>
          </w:rPr>
          <w:t xml:space="preserve">II. </w:t>
        </w:r>
        <w:r>
          <w:rPr>
            <w:spacing w:val="0"/>
            <w:w w:val="100"/>
            <w:kern w:val="0"/>
            <w:sz w:val="24"/>
          </w:rPr>
          <w:tab/>
        </w:r>
        <w:r>
          <w:rPr>
            <w:rStyle w:val="Hyperlink"/>
          </w:rPr>
          <w:t>Изменения в положении женщин</w:t>
        </w:r>
        <w:r>
          <w:tab/>
        </w:r>
        <w:r>
          <w:fldChar w:fldCharType="begin"/>
        </w:r>
        <w:r>
          <w:instrText xml:space="preserve"> PAGEREF _Toc85174889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90" w:history="1">
        <w:r>
          <w:rPr>
            <w:rStyle w:val="Hyperlink"/>
          </w:rPr>
          <w:t xml:space="preserve">III. </w:t>
        </w:r>
        <w:r>
          <w:rPr>
            <w:spacing w:val="0"/>
            <w:w w:val="100"/>
            <w:kern w:val="0"/>
            <w:sz w:val="24"/>
          </w:rPr>
          <w:tab/>
        </w:r>
        <w:r>
          <w:rPr>
            <w:rStyle w:val="Hyperlink"/>
          </w:rPr>
          <w:t>Рамки политики и программ: актуализация гендерной проблематики</w:t>
        </w:r>
        <w:r>
          <w:tab/>
        </w:r>
        <w:r>
          <w:fldChar w:fldCharType="begin"/>
        </w:r>
        <w:r>
          <w:instrText xml:space="preserve"> PAGEREF _Toc85174890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91" w:history="1">
        <w:r>
          <w:rPr>
            <w:rStyle w:val="Hyperlink"/>
          </w:rPr>
          <w:t xml:space="preserve">IV. </w:t>
        </w:r>
        <w:r>
          <w:rPr>
            <w:spacing w:val="0"/>
            <w:w w:val="100"/>
            <w:kern w:val="0"/>
            <w:sz w:val="24"/>
          </w:rPr>
          <w:tab/>
        </w:r>
        <w:r>
          <w:rPr>
            <w:rStyle w:val="Hyperlink"/>
          </w:rPr>
          <w:t>Остающиеся вопросы и трудности, с которыми сталкиваются филиппинские женщины</w:t>
        </w:r>
        <w:r>
          <w:tab/>
        </w:r>
        <w:r>
          <w:fldChar w:fldCharType="begin"/>
        </w:r>
        <w:r>
          <w:instrText xml:space="preserve"> PAGEREF _Toc85174891 \h </w:instrText>
        </w:r>
        <w:r>
          <w:fldChar w:fldCharType="separate"/>
        </w:r>
        <w:r>
          <w:t>3</w:t>
        </w:r>
        <w:r>
          <w:fldChar w:fldCharType="end"/>
        </w:r>
      </w:hyperlink>
    </w:p>
    <w:p w:rsidR="00000000" w:rsidRDefault="00000000">
      <w:pPr>
        <w:pStyle w:val="TOC1"/>
        <w:spacing w:before="120"/>
        <w:ind w:left="1843" w:hanging="579"/>
        <w:rPr>
          <w:b/>
          <w:spacing w:val="0"/>
          <w:w w:val="100"/>
          <w:kern w:val="0"/>
          <w:sz w:val="24"/>
        </w:rPr>
      </w:pPr>
      <w:hyperlink w:anchor="_Toc85174892" w:history="1">
        <w:r>
          <w:rPr>
            <w:rStyle w:val="Hyperlink"/>
            <w:b/>
          </w:rPr>
          <w:t>Часть III: Информация по каждой статье конвенции</w:t>
        </w:r>
        <w:r>
          <w:tab/>
        </w:r>
        <w:r>
          <w:fldChar w:fldCharType="begin"/>
        </w:r>
        <w:r>
          <w:instrText xml:space="preserve"> PAGEREF _Toc85174892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93" w:history="1">
        <w:r>
          <w:rPr>
            <w:rStyle w:val="Hyperlink"/>
          </w:rPr>
          <w:t>Статья 1. Определение дискриминации в отношении женщин</w:t>
        </w:r>
        <w:r>
          <w:tab/>
        </w:r>
        <w:r>
          <w:fldChar w:fldCharType="begin"/>
        </w:r>
        <w:r>
          <w:instrText xml:space="preserve"> PAGEREF _Toc85174893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896" w:history="1">
        <w:r>
          <w:rPr>
            <w:rStyle w:val="Hyperlink"/>
          </w:rPr>
          <w:t>Статья 2. Обязательства ликвидировать дискриминацию</w:t>
        </w:r>
        <w:r>
          <w:tab/>
        </w:r>
        <w:r>
          <w:fldChar w:fldCharType="begin"/>
        </w:r>
        <w:r>
          <w:instrText xml:space="preserve"> PAGEREF _Toc85174896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01" w:history="1">
        <w:r>
          <w:rPr>
            <w:rStyle w:val="Hyperlink"/>
          </w:rPr>
          <w:t>Статья 3. Развитие и улучшение положения женщин</w:t>
        </w:r>
        <w:r>
          <w:tab/>
        </w:r>
        <w:r>
          <w:fldChar w:fldCharType="begin"/>
        </w:r>
        <w:r>
          <w:instrText xml:space="preserve"> PAGEREF _Toc85174901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05" w:history="1">
        <w:r>
          <w:rPr>
            <w:rStyle w:val="Hyperlink"/>
          </w:rPr>
          <w:t>Статья 4. Ускорение установления равенства между мужчинами и женщинами</w:t>
        </w:r>
        <w:r>
          <w:tab/>
        </w:r>
        <w:r>
          <w:fldChar w:fldCharType="begin"/>
        </w:r>
        <w:r>
          <w:instrText xml:space="preserve"> PAGEREF _Toc85174905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09" w:history="1">
        <w:r>
          <w:rPr>
            <w:rStyle w:val="Hyperlink"/>
          </w:rPr>
          <w:t>Статья 5. Сексуальные роли и стереотипы</w:t>
        </w:r>
        <w:r>
          <w:tab/>
        </w:r>
        <w:r>
          <w:fldChar w:fldCharType="begin"/>
        </w:r>
        <w:r>
          <w:instrText xml:space="preserve"> PAGEREF _Toc85174909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13" w:history="1">
        <w:r>
          <w:rPr>
            <w:rStyle w:val="Hyperlink"/>
          </w:rPr>
          <w:t>Статья 6. Эксплуатация женщин</w:t>
        </w:r>
        <w:r>
          <w:tab/>
        </w:r>
        <w:r>
          <w:fldChar w:fldCharType="begin"/>
        </w:r>
        <w:r>
          <w:instrText xml:space="preserve"> PAGEREF _Toc85174913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17" w:history="1">
        <w:r>
          <w:rPr>
            <w:rStyle w:val="Hyperlink"/>
          </w:rPr>
          <w:t>Статья 7. Политическая и общественная жизнь</w:t>
        </w:r>
        <w:r>
          <w:tab/>
        </w:r>
        <w:r>
          <w:fldChar w:fldCharType="begin"/>
        </w:r>
        <w:r>
          <w:instrText xml:space="preserve"> PAGEREF _Toc85174917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21" w:history="1">
        <w:r>
          <w:rPr>
            <w:rStyle w:val="Hyperlink"/>
          </w:rPr>
          <w:t>Статья 8. Представительство и участие на международном уровне</w:t>
        </w:r>
        <w:r>
          <w:tab/>
        </w:r>
        <w:r>
          <w:fldChar w:fldCharType="begin"/>
        </w:r>
        <w:r>
          <w:instrText xml:space="preserve"> PAGEREF _Toc85174921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25" w:history="1">
        <w:r>
          <w:rPr>
            <w:rStyle w:val="Hyperlink"/>
          </w:rPr>
          <w:t>Статья 9.</w:t>
        </w:r>
        <w:r>
          <w:tab/>
        </w:r>
        <w:r>
          <w:fldChar w:fldCharType="begin"/>
        </w:r>
        <w:r>
          <w:instrText xml:space="preserve"> PAGEREF _Toc85174925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29" w:history="1">
        <w:r>
          <w:rPr>
            <w:rStyle w:val="Hyperlink"/>
          </w:rPr>
          <w:t>Статья 10.</w:t>
        </w:r>
        <w:r>
          <w:tab/>
        </w:r>
        <w:r>
          <w:fldChar w:fldCharType="begin"/>
        </w:r>
        <w:r>
          <w:instrText xml:space="preserve"> PAGEREF _Toc85174929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32" w:history="1">
        <w:r>
          <w:rPr>
            <w:rStyle w:val="Hyperlink"/>
          </w:rPr>
          <w:t>Статья 11.</w:t>
        </w:r>
        <w:r>
          <w:tab/>
        </w:r>
        <w:r>
          <w:fldChar w:fldCharType="begin"/>
        </w:r>
        <w:r>
          <w:instrText xml:space="preserve"> PAGEREF _Toc85174932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36" w:history="1">
        <w:r>
          <w:rPr>
            <w:rStyle w:val="Hyperlink"/>
          </w:rPr>
          <w:t>Статья 12. Равный доступ к услугам в области здравоохранения</w:t>
        </w:r>
        <w:r>
          <w:tab/>
        </w:r>
        <w:r>
          <w:fldChar w:fldCharType="begin"/>
        </w:r>
        <w:r>
          <w:instrText xml:space="preserve"> PAGEREF _Toc85174936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40" w:history="1">
        <w:r>
          <w:rPr>
            <w:rStyle w:val="Hyperlink"/>
          </w:rPr>
          <w:t>Статья 13. Социальные и эко номические пособия</w:t>
        </w:r>
        <w:r>
          <w:tab/>
        </w:r>
        <w:r>
          <w:fldChar w:fldCharType="begin"/>
        </w:r>
        <w:r>
          <w:instrText xml:space="preserve"> PAGEREF _Toc85174940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44" w:history="1">
        <w:r>
          <w:rPr>
            <w:rStyle w:val="Hyperlink"/>
          </w:rPr>
          <w:t>Статья 14. Сельские женщины</w:t>
        </w:r>
        <w:r>
          <w:tab/>
        </w:r>
        <w:r>
          <w:fldChar w:fldCharType="begin"/>
        </w:r>
        <w:r>
          <w:instrText xml:space="preserve"> PAGEREF _Toc85174944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48" w:history="1">
        <w:r>
          <w:rPr>
            <w:rStyle w:val="Hyperlink"/>
          </w:rPr>
          <w:t>Статья 15. Равенство перед законом и в гражданских делах</w:t>
        </w:r>
        <w:r>
          <w:tab/>
        </w:r>
        <w:r>
          <w:fldChar w:fldCharType="begin"/>
        </w:r>
        <w:r>
          <w:instrText xml:space="preserve"> PAGEREF _Toc85174948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52" w:history="1">
        <w:r>
          <w:rPr>
            <w:rStyle w:val="Hyperlink"/>
          </w:rPr>
          <w:t>Статья 16. Равенство в браке и равноправие по семейному праву</w:t>
        </w:r>
        <w:r>
          <w:tab/>
        </w:r>
        <w:r>
          <w:fldChar w:fldCharType="begin"/>
        </w:r>
        <w:r>
          <w:instrText xml:space="preserve"> PAGEREF _Toc85174952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55" w:history="1">
        <w:r>
          <w:rPr>
            <w:rStyle w:val="Hyperlink"/>
          </w:rPr>
          <w:t>Справочный материал</w:t>
        </w:r>
        <w:r>
          <w:tab/>
        </w:r>
        <w:r>
          <w:fldChar w:fldCharType="begin"/>
        </w:r>
        <w:r>
          <w:instrText xml:space="preserve"> PAGEREF _Toc85174955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56" w:history="1">
        <w:r>
          <w:rPr>
            <w:rStyle w:val="Hyperlink"/>
          </w:rPr>
          <w:t>Ведомственные источники информации</w:t>
        </w:r>
        <w:r>
          <w:tab/>
        </w:r>
        <w:r>
          <w:fldChar w:fldCharType="begin"/>
        </w:r>
        <w:r>
          <w:instrText xml:space="preserve"> PAGEREF _Toc85174956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57" w:history="1">
        <w:r>
          <w:rPr>
            <w:rStyle w:val="Hyperlink"/>
          </w:rPr>
          <w:t>Приложение A: Сопроводительные таблицы</w:t>
        </w:r>
        <w:r>
          <w:tab/>
        </w:r>
        <w:r>
          <w:fldChar w:fldCharType="begin"/>
        </w:r>
        <w:r>
          <w:instrText xml:space="preserve"> PAGEREF _Toc85174957 \h </w:instrText>
        </w:r>
        <w:r>
          <w:fldChar w:fldCharType="separate"/>
        </w:r>
        <w:r>
          <w:t>3</w:t>
        </w:r>
        <w:r>
          <w:fldChar w:fldCharType="end"/>
        </w:r>
      </w:hyperlink>
    </w:p>
    <w:p w:rsidR="00000000" w:rsidRDefault="00000000">
      <w:pPr>
        <w:pStyle w:val="TOC1"/>
        <w:spacing w:before="120"/>
        <w:ind w:left="1843" w:hanging="579"/>
        <w:rPr>
          <w:spacing w:val="0"/>
          <w:w w:val="100"/>
          <w:kern w:val="0"/>
          <w:sz w:val="24"/>
        </w:rPr>
      </w:pPr>
      <w:hyperlink w:anchor="_Toc85174962" w:history="1">
        <w:r>
          <w:rPr>
            <w:rStyle w:val="Hyperlink"/>
          </w:rPr>
          <w:t>Приложение B: Доклад Филиппин (2001-2003 годы) о ходе осуществления пекинской платформы действий и итогового документа</w:t>
        </w:r>
        <w:r>
          <w:tab/>
        </w:r>
        <w:r>
          <w:fldChar w:fldCharType="begin"/>
        </w:r>
        <w:r>
          <w:instrText xml:space="preserve"> PAGEREF _Toc85174962 \h </w:instrText>
        </w:r>
        <w:r>
          <w:fldChar w:fldCharType="separate"/>
        </w:r>
        <w:r>
          <w:t>3</w:t>
        </w:r>
        <w:r>
          <w:fldChar w:fldCharType="end"/>
        </w:r>
      </w:hyperlink>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1831"/>
          <w:tab w:val="left" w:pos="2217"/>
          <w:tab w:val="left" w:pos="2398"/>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 w:val="right" w:leader="dot" w:pos="9072"/>
        </w:tabs>
        <w:spacing w:before="120" w:after="0" w:line="240" w:lineRule="auto"/>
        <w:ind w:left="1843" w:right="1701" w:hanging="579"/>
        <w:rPr>
          <w:lang w:val="en-US"/>
        </w:rPr>
      </w:pPr>
      <w:r>
        <w:rPr>
          <w:lang w:val="en-US"/>
        </w:rPr>
        <w:fldChar w:fldCharType="end"/>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1831"/>
          <w:tab w:val="left" w:pos="2217"/>
          <w:tab w:val="left" w:pos="2398"/>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 w:val="right" w:leader="dot" w:pos="9072"/>
        </w:tabs>
        <w:spacing w:before="120" w:after="0" w:line="240" w:lineRule="auto"/>
        <w:ind w:left="1843" w:right="1701" w:hanging="579"/>
        <w:rPr>
          <w:b/>
        </w:rPr>
      </w:pPr>
      <w:r>
        <w:rPr>
          <w:b/>
        </w:rPr>
        <w:t>Перечень таблиц</w:t>
      </w:r>
    </w:p>
    <w:p w:rsidR="00000000" w:rsidRDefault="00000000">
      <w:pPr>
        <w:pStyle w:val="TableofFigures"/>
        <w:tabs>
          <w:tab w:val="right" w:leader="dot" w:pos="9072"/>
        </w:tabs>
        <w:spacing w:before="120"/>
        <w:ind w:left="1831" w:right="1701" w:hanging="567"/>
        <w:rPr>
          <w:noProof/>
          <w:spacing w:val="0"/>
          <w:w w:val="100"/>
          <w:kern w:val="0"/>
          <w:sz w:val="24"/>
        </w:rPr>
      </w:pPr>
      <w:r>
        <w:fldChar w:fldCharType="begin"/>
      </w:r>
      <w:r>
        <w:instrText xml:space="preserve"> TOC \h \z \t "table" \c </w:instrText>
      </w:r>
      <w:r>
        <w:fldChar w:fldCharType="separate"/>
      </w:r>
      <w:hyperlink w:anchor="_Toc85175492" w:history="1">
        <w:r>
          <w:rPr>
            <w:rStyle w:val="Hyperlink"/>
            <w:noProof/>
          </w:rPr>
          <w:t xml:space="preserve">Приложение. Таблица B10.1. Численность поступающих в школу детей и численность продолжающих учиться в школе детей с разбивкой на мальчиков </w:t>
        </w:r>
        <w:r>
          <w:rPr>
            <w:rStyle w:val="Hyperlink"/>
            <w:noProof/>
          </w:rPr>
          <w:t>и</w:t>
        </w:r>
        <w:r>
          <w:rPr>
            <w:rStyle w:val="Hyperlink"/>
            <w:noProof/>
          </w:rPr>
          <w:t xml:space="preserve"> девочек по уровню образования</w:t>
        </w:r>
        <w:r>
          <w:rPr>
            <w:noProof/>
          </w:rPr>
          <w:tab/>
        </w:r>
        <w:r>
          <w:rPr>
            <w:noProof/>
          </w:rPr>
          <w:fldChar w:fldCharType="begin"/>
        </w:r>
        <w:r>
          <w:rPr>
            <w:noProof/>
          </w:rPr>
          <w:instrText xml:space="preserve"> PAGEREF _Toc85175492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3" w:history="1">
        <w:r>
          <w:rPr>
            <w:rStyle w:val="Hyperlink"/>
            <w:noProof/>
          </w:rPr>
          <w:t>Приложение. Таблица B10.2. Число учащихся в высших учебных заведениях с разбивкой по полу по отдельным годам</w:t>
        </w:r>
        <w:r>
          <w:rPr>
            <w:noProof/>
          </w:rPr>
          <w:tab/>
        </w:r>
        <w:r>
          <w:rPr>
            <w:noProof/>
          </w:rPr>
          <w:fldChar w:fldCharType="begin"/>
        </w:r>
        <w:r>
          <w:rPr>
            <w:noProof/>
          </w:rPr>
          <w:instrText xml:space="preserve"> PAGEREF _Toc85175493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4" w:history="1">
        <w:r>
          <w:rPr>
            <w:rStyle w:val="Hyperlink"/>
            <w:noProof/>
          </w:rPr>
          <w:t>Приложение. Таблица B10.3. Отдельные дезагригированные по признаку пола статистические данные о количестве учащихся в высших учебных заведениях</w:t>
        </w:r>
        <w:r>
          <w:rPr>
            <w:noProof/>
          </w:rPr>
          <w:tab/>
        </w:r>
        <w:r>
          <w:rPr>
            <w:noProof/>
          </w:rPr>
          <w:fldChar w:fldCharType="begin"/>
        </w:r>
        <w:r>
          <w:rPr>
            <w:noProof/>
          </w:rPr>
          <w:instrText xml:space="preserve"> PAGEREF _Toc85175494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5" w:history="1">
        <w:r>
          <w:rPr>
            <w:rStyle w:val="Hyperlink"/>
            <w:noProof/>
          </w:rPr>
          <w:t>Приложение. Таблица B10.4. Стипендия КВО с разбивкой по программам и полу, 2002-03 год</w:t>
        </w:r>
        <w:r>
          <w:rPr>
            <w:noProof/>
          </w:rPr>
          <w:tab/>
        </w:r>
        <w:r>
          <w:rPr>
            <w:noProof/>
          </w:rPr>
          <w:fldChar w:fldCharType="begin"/>
        </w:r>
        <w:r>
          <w:rPr>
            <w:noProof/>
          </w:rPr>
          <w:instrText xml:space="preserve"> PAGEREF _Toc85175495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6" w:history="1">
        <w:r>
          <w:rPr>
            <w:rStyle w:val="Hyperlink"/>
            <w:noProof/>
          </w:rPr>
          <w:t>Приложение. Таблица B10.5. Число женщин-выпускниц учебных курсов ТЕСДА по нетрадиционным специальностям, 1998-2001 годы</w:t>
        </w:r>
        <w:r>
          <w:rPr>
            <w:noProof/>
          </w:rPr>
          <w:tab/>
        </w:r>
        <w:r>
          <w:rPr>
            <w:noProof/>
          </w:rPr>
          <w:fldChar w:fldCharType="begin"/>
        </w:r>
        <w:r>
          <w:rPr>
            <w:noProof/>
          </w:rPr>
          <w:instrText xml:space="preserve"> PAGEREF _Toc85175496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7" w:history="1">
        <w:r>
          <w:rPr>
            <w:rStyle w:val="Hyperlink"/>
            <w:noProof/>
          </w:rPr>
          <w:t>Приложение. Таблица 11.1. Доля самодеятельного населения (в процентах) для городских и сельских районов с разбивкой по полу (данные октябрьского обследования округлены)</w:t>
        </w:r>
        <w:r>
          <w:rPr>
            <w:noProof/>
          </w:rPr>
          <w:tab/>
        </w:r>
        <w:r>
          <w:rPr>
            <w:noProof/>
          </w:rPr>
          <w:fldChar w:fldCharType="begin"/>
        </w:r>
        <w:r>
          <w:rPr>
            <w:noProof/>
          </w:rPr>
          <w:instrText xml:space="preserve"> PAGEREF _Toc85175497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8" w:history="1">
        <w:r>
          <w:rPr>
            <w:rStyle w:val="Hyperlink"/>
            <w:noProof/>
          </w:rPr>
          <w:t>Приложение. Таблица 11.2. Доля самодеятельного населения (в процентах) с разбивкой по возрасту и полу (данные октябрьского обследования округлены)</w:t>
        </w:r>
        <w:r>
          <w:rPr>
            <w:noProof/>
          </w:rPr>
          <w:tab/>
        </w:r>
        <w:r>
          <w:rPr>
            <w:noProof/>
          </w:rPr>
          <w:fldChar w:fldCharType="begin"/>
        </w:r>
        <w:r>
          <w:rPr>
            <w:noProof/>
          </w:rPr>
          <w:instrText xml:space="preserve"> PAGEREF _Toc85175498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499" w:history="1">
        <w:r>
          <w:rPr>
            <w:rStyle w:val="Hyperlink"/>
            <w:noProof/>
          </w:rPr>
          <w:t>Приложение. Таблица B11.3. Доля работающих женщин в потенциальной рабочей силе (в общей численности населения в возрасте 15 лет и старше), рабочей силе (РС) и занятом населении (ЗН) с разбивкой по возрастным группам, 1996, 2000 и 2002 годы</w:t>
        </w:r>
        <w:r>
          <w:rPr>
            <w:noProof/>
          </w:rPr>
          <w:tab/>
        </w:r>
        <w:r>
          <w:rPr>
            <w:noProof/>
          </w:rPr>
          <w:fldChar w:fldCharType="begin"/>
        </w:r>
        <w:r>
          <w:rPr>
            <w:noProof/>
          </w:rPr>
          <w:instrText xml:space="preserve"> PAGEREF _Toc85175499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0" w:history="1">
        <w:r>
          <w:rPr>
            <w:rStyle w:val="Hyperlink"/>
            <w:noProof/>
          </w:rPr>
          <w:t>Таблица 11.4. Процент занятости для городских и сельских районов с разбивкой по полу (данные октябрьского обследования округлены)</w:t>
        </w:r>
        <w:r>
          <w:rPr>
            <w:noProof/>
          </w:rPr>
          <w:tab/>
        </w:r>
        <w:r>
          <w:rPr>
            <w:noProof/>
          </w:rPr>
          <w:fldChar w:fldCharType="begin"/>
        </w:r>
        <w:r>
          <w:rPr>
            <w:noProof/>
          </w:rPr>
          <w:instrText xml:space="preserve"> PAGEREF _Toc85175500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1" w:history="1">
        <w:r>
          <w:rPr>
            <w:rStyle w:val="Hyperlink"/>
            <w:noProof/>
          </w:rPr>
          <w:t>Приложение. Таблица B11.5. Процентная доля работающих женщин в общей численности трудящихся с разбивкой по категориям трудящихся (данные октябрьского обследования округлены)</w:t>
        </w:r>
        <w:r>
          <w:rPr>
            <w:noProof/>
          </w:rPr>
          <w:tab/>
        </w:r>
        <w:r>
          <w:rPr>
            <w:noProof/>
          </w:rPr>
          <w:fldChar w:fldCharType="begin"/>
        </w:r>
        <w:r>
          <w:rPr>
            <w:noProof/>
          </w:rPr>
          <w:instrText xml:space="preserve"> PAGEREF _Toc85175501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2" w:history="1">
        <w:r>
          <w:rPr>
            <w:rStyle w:val="Hyperlink"/>
            <w:noProof/>
          </w:rPr>
          <w:t>Приложение. Таблица B11.6. Среднее количество рабочих часов в неделю для лиц, работающих в сельских и городских районах, с разбивкой по полу (данные октябрьского обследования округлены)</w:t>
        </w:r>
        <w:r>
          <w:rPr>
            <w:noProof/>
          </w:rPr>
          <w:tab/>
        </w:r>
        <w:r>
          <w:rPr>
            <w:noProof/>
          </w:rPr>
          <w:fldChar w:fldCharType="begin"/>
        </w:r>
        <w:r>
          <w:rPr>
            <w:noProof/>
          </w:rPr>
          <w:instrText xml:space="preserve"> PAGEREF _Toc85175502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3" w:history="1">
        <w:r>
          <w:rPr>
            <w:rStyle w:val="Hyperlink"/>
            <w:noProof/>
          </w:rPr>
          <w:t>Приложение. Таблица B11.7. Отдельные статистические данные по лицам, занятым неполный рабочий день</w:t>
        </w:r>
        <w:r>
          <w:rPr>
            <w:noProof/>
          </w:rPr>
          <w:tab/>
        </w:r>
        <w:r>
          <w:rPr>
            <w:noProof/>
          </w:rPr>
          <w:fldChar w:fldCharType="begin"/>
        </w:r>
        <w:r>
          <w:rPr>
            <w:noProof/>
          </w:rPr>
          <w:instrText xml:space="preserve"> PAGEREF _Toc85175503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4" w:history="1">
        <w:r>
          <w:rPr>
            <w:rStyle w:val="Hyperlink"/>
            <w:noProof/>
          </w:rPr>
          <w:t>Приложение. Таблица B11.8. Численность рабочей силы в неформальном секторе, лиц, занятых индивидуальной трудовой деятельностью, и неоплачиваемых домашних работников (в тысячах), с разбивкой по полу</w:t>
        </w:r>
        <w:r>
          <w:rPr>
            <w:noProof/>
          </w:rPr>
          <w:tab/>
        </w:r>
        <w:r>
          <w:rPr>
            <w:noProof/>
          </w:rPr>
          <w:fldChar w:fldCharType="begin"/>
        </w:r>
        <w:r>
          <w:rPr>
            <w:noProof/>
          </w:rPr>
          <w:instrText xml:space="preserve"> PAGEREF _Toc85175504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5" w:history="1">
        <w:r>
          <w:rPr>
            <w:rStyle w:val="Hyperlink"/>
            <w:noProof/>
          </w:rPr>
          <w:t>Приложение. Таблица B13.1. Выборочная информация о займах, предоставленных женщинам Банком развития Филиппин (БРФ) и Земельным банком Филиппин (ЗБФ), 1998-2001 годы</w:t>
        </w:r>
        <w:r>
          <w:rPr>
            <w:noProof/>
          </w:rPr>
          <w:tab/>
        </w:r>
        <w:r>
          <w:rPr>
            <w:noProof/>
          </w:rPr>
          <w:fldChar w:fldCharType="begin"/>
        </w:r>
        <w:r>
          <w:rPr>
            <w:noProof/>
          </w:rPr>
          <w:instrText xml:space="preserve"> PAGEREF _Toc85175505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6" w:history="1">
        <w:r>
          <w:rPr>
            <w:rStyle w:val="Hyperlink"/>
            <w:noProof/>
          </w:rPr>
          <w:t>Приложение. Таблица B13.2. Лица, прошедшие обучение в рамках программ профессиональной подготовки министерства торговли и промышленности, 2001 год</w:t>
        </w:r>
        <w:r>
          <w:rPr>
            <w:noProof/>
          </w:rPr>
          <w:tab/>
        </w:r>
        <w:r>
          <w:rPr>
            <w:noProof/>
          </w:rPr>
          <w:fldChar w:fldCharType="begin"/>
        </w:r>
        <w:r>
          <w:rPr>
            <w:noProof/>
          </w:rPr>
          <w:instrText xml:space="preserve"> PAGEREF _Toc85175506 \h </w:instrText>
        </w:r>
        <w:r>
          <w:rPr>
            <w:noProof/>
          </w:rPr>
        </w:r>
        <w:r>
          <w:rPr>
            <w:noProof/>
          </w:rPr>
          <w:fldChar w:fldCharType="separate"/>
        </w:r>
        <w:r>
          <w:rPr>
            <w:noProof/>
          </w:rPr>
          <w:t>3</w:t>
        </w:r>
        <w:r>
          <w:rPr>
            <w:noProof/>
          </w:rPr>
          <w:fldChar w:fldCharType="end"/>
        </w:r>
      </w:hyperlink>
    </w:p>
    <w:p w:rsidR="00000000" w:rsidRDefault="00000000">
      <w:pPr>
        <w:pStyle w:val="TableofFigures"/>
        <w:tabs>
          <w:tab w:val="right" w:leader="dot" w:pos="9072"/>
        </w:tabs>
        <w:spacing w:before="120"/>
        <w:ind w:left="1831" w:right="1701" w:hanging="567"/>
        <w:rPr>
          <w:noProof/>
          <w:spacing w:val="0"/>
          <w:w w:val="100"/>
          <w:kern w:val="0"/>
          <w:sz w:val="24"/>
        </w:rPr>
      </w:pPr>
      <w:hyperlink w:anchor="_Toc85175507" w:history="1">
        <w:r>
          <w:rPr>
            <w:rStyle w:val="Hyperlink"/>
            <w:noProof/>
          </w:rPr>
          <w:t>Приложение. Таблица B14.1. Выборочные налогово-бюджетные показатели</w:t>
        </w:r>
        <w:r>
          <w:rPr>
            <w:noProof/>
          </w:rPr>
          <w:tab/>
        </w:r>
        <w:r>
          <w:rPr>
            <w:noProof/>
          </w:rPr>
          <w:fldChar w:fldCharType="begin"/>
        </w:r>
        <w:r>
          <w:rPr>
            <w:noProof/>
          </w:rPr>
          <w:instrText xml:space="preserve"> PAGEREF _Toc85175507 \h </w:instrText>
        </w:r>
        <w:r>
          <w:rPr>
            <w:noProof/>
          </w:rPr>
        </w:r>
        <w:r>
          <w:rPr>
            <w:noProof/>
          </w:rPr>
          <w:fldChar w:fldCharType="separate"/>
        </w:r>
        <w:r>
          <w:rPr>
            <w:noProof/>
          </w:rPr>
          <w:t>3</w:t>
        </w:r>
        <w:r>
          <w:rPr>
            <w:noProof/>
          </w:rPr>
          <w:fldChar w:fldCharType="end"/>
        </w:r>
      </w:hyperlink>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leader="dot" w:pos="9072"/>
        </w:tabs>
        <w:spacing w:before="120" w:after="0" w:line="240" w:lineRule="auto"/>
        <w:ind w:left="1831" w:right="1701" w:hanging="567"/>
      </w:pPr>
      <w:r>
        <w:fldChar w:fldCharType="end"/>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7" w:name="_Toc85174876"/>
      <w:r>
        <w:t>Акронимы</w:t>
      </w:r>
      <w:bookmarkEnd w:id="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АБР</w:t>
      </w:r>
      <w:r>
        <w:rPr>
          <w:snapToGrid w:val="0"/>
        </w:rPr>
        <w:tab/>
        <w:t>Азиатский банк развития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АГПДТ</w:t>
      </w:r>
      <w:r>
        <w:rPr>
          <w:snapToGrid w:val="0"/>
        </w:rPr>
        <w:tab/>
        <w:t>Активные граждане против детского труда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агр</w:t>
      </w:r>
      <w:r>
        <w:rPr>
          <w:caps/>
          <w:snapToGrid w:val="0"/>
        </w:rPr>
        <w:tab/>
      </w:r>
      <w:r>
        <w:rPr>
          <w:snapToGrid w:val="0"/>
        </w:rPr>
        <w:t>Артист, гастролирующий за рубежом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Адвс</w:t>
      </w:r>
      <w:r>
        <w:rPr>
          <w:caps/>
          <w:snapToGrid w:val="0"/>
        </w:rPr>
        <w:tab/>
      </w:r>
      <w:r>
        <w:rPr>
          <w:snapToGrid w:val="0"/>
        </w:rPr>
        <w:t>Аннотированные доклады верховного суда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ап</w:t>
      </w:r>
      <w:r>
        <w:rPr>
          <w:caps/>
          <w:snapToGrid w:val="0"/>
        </w:rPr>
        <w:tab/>
      </w:r>
      <w:r>
        <w:rPr>
          <w:snapToGrid w:val="0"/>
        </w:rPr>
        <w:t>Административное постановление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ариат</w:t>
      </w:r>
      <w:r>
        <w:rPr>
          <w:caps/>
          <w:snapToGrid w:val="0"/>
        </w:rPr>
        <w:tab/>
      </w:r>
      <w:r>
        <w:rPr>
          <w:snapToGrid w:val="0"/>
        </w:rPr>
        <w:t>Азиатская региональная инициатива по борьбе с торговлей женщ</w:t>
      </w:r>
      <w:r>
        <w:rPr>
          <w:snapToGrid w:val="0"/>
        </w:rPr>
        <w:t>и</w:t>
      </w:r>
      <w:r>
        <w:rPr>
          <w:snapToGrid w:val="0"/>
        </w:rPr>
        <w:t>нами и детьми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АРММ</w:t>
      </w:r>
      <w:r>
        <w:rPr>
          <w:caps/>
          <w:snapToGrid w:val="0"/>
          <w:spacing w:val="0"/>
          <w:w w:val="100"/>
          <w:kern w:val="0"/>
          <w:lang w:eastAsia="en-US"/>
        </w:rPr>
        <w:tab/>
      </w:r>
      <w:r>
        <w:rPr>
          <w:snapToGrid w:val="0"/>
        </w:rPr>
        <w:t>Автономный регион мусульманского Минданао</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асеан</w:t>
      </w:r>
      <w:r>
        <w:rPr>
          <w:caps/>
          <w:snapToGrid w:val="0"/>
        </w:rPr>
        <w:tab/>
      </w:r>
      <w:r>
        <w:rPr>
          <w:snapToGrid w:val="0"/>
        </w:rPr>
        <w:t>Ассоциация государств Юго-Восточной Азии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атэс</w:t>
      </w:r>
      <w:r>
        <w:rPr>
          <w:caps/>
          <w:snapToGrid w:val="0"/>
        </w:rPr>
        <w:tab/>
      </w:r>
      <w:r>
        <w:rPr>
          <w:snapToGrid w:val="0"/>
        </w:rPr>
        <w:t>Азиатско-Тихоокеанское экономическое сотрудничество</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афта</w:t>
      </w:r>
      <w:r>
        <w:rPr>
          <w:caps/>
          <w:snapToGrid w:val="0"/>
        </w:rPr>
        <w:tab/>
      </w:r>
      <w:r>
        <w:rPr>
          <w:snapToGrid w:val="0"/>
        </w:rPr>
        <w:t>Зона свободной торговли АСЕАН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бдно</w:t>
      </w:r>
      <w:r>
        <w:rPr>
          <w:caps/>
          <w:snapToGrid w:val="0"/>
        </w:rPr>
        <w:tab/>
      </w:r>
      <w:r>
        <w:rPr>
          <w:snapToGrid w:val="0"/>
        </w:rPr>
        <w:t>Бюро по делам неформального образования, министерство образов</w:t>
      </w:r>
      <w:r>
        <w:rPr>
          <w:snapToGrid w:val="0"/>
        </w:rPr>
        <w:t>а</w:t>
      </w:r>
      <w:r>
        <w:rPr>
          <w:snapToGrid w:val="0"/>
        </w:rPr>
        <w:t>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БЖМТ</w:t>
      </w:r>
      <w:r>
        <w:rPr>
          <w:snapToGrid w:val="0"/>
        </w:rPr>
        <w:tab/>
        <w:t>Бюро по делам женщин и молодых трудящихся, министерство труда и з</w:t>
      </w:r>
      <w:r>
        <w:rPr>
          <w:snapToGrid w:val="0"/>
        </w:rPr>
        <w:t>а</w:t>
      </w:r>
      <w:r>
        <w:rPr>
          <w:snapToGrid w:val="0"/>
        </w:rPr>
        <w:t>нятости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бпре</w:t>
      </w:r>
      <w:r>
        <w:rPr>
          <w:caps/>
          <w:snapToGrid w:val="0"/>
        </w:rPr>
        <w:tab/>
      </w:r>
      <w:r>
        <w:rPr>
          <w:snapToGrid w:val="0"/>
        </w:rPr>
        <w:t>Бюро исследований и информационной деятельности по вопросам сохранения урожая, министерство сельского хозяйства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БРТЗП</w:t>
      </w:r>
      <w:r>
        <w:rPr>
          <w:snapToGrid w:val="0"/>
        </w:rPr>
        <w:tab/>
        <w:t>Бюро регулирования торговли и защиты потребителей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бстз</w:t>
      </w:r>
      <w:r>
        <w:rPr>
          <w:caps/>
          <w:snapToGrid w:val="0"/>
        </w:rPr>
        <w:tab/>
      </w:r>
      <w:r>
        <w:rPr>
          <w:snapToGrid w:val="0"/>
        </w:rPr>
        <w:t>Бюро статистики труда и занятости, министерство труда и зан</w:t>
      </w:r>
      <w:r>
        <w:rPr>
          <w:snapToGrid w:val="0"/>
        </w:rPr>
        <w:t>я</w:t>
      </w:r>
      <w:r>
        <w:rPr>
          <w:snapToGrid w:val="0"/>
        </w:rPr>
        <w:t>тости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вб</w:t>
      </w:r>
      <w:r>
        <w:rPr>
          <w:caps/>
          <w:snapToGrid w:val="0"/>
        </w:rPr>
        <w:tab/>
      </w:r>
      <w:r>
        <w:rPr>
          <w:snapToGrid w:val="0"/>
        </w:rPr>
        <w:t>Всемирный банк</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ввп</w:t>
      </w:r>
      <w:r>
        <w:rPr>
          <w:caps/>
          <w:snapToGrid w:val="0"/>
        </w:rPr>
        <w:tab/>
      </w:r>
      <w:r>
        <w:rPr>
          <w:snapToGrid w:val="0"/>
        </w:rPr>
        <w:t>Валовой внутренний продукт</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ведпро</w:t>
      </w:r>
      <w:r>
        <w:rPr>
          <w:caps/>
          <w:snapToGrid w:val="0"/>
        </w:rPr>
        <w:tab/>
      </w:r>
      <w:r>
        <w:rPr>
          <w:snapToGrid w:val="0"/>
        </w:rPr>
        <w:t>Организация по вопросам женского образования, продуктивности разв</w:t>
      </w:r>
      <w:r>
        <w:rPr>
          <w:snapToGrid w:val="0"/>
        </w:rPr>
        <w:t>и</w:t>
      </w:r>
      <w:r>
        <w:rPr>
          <w:snapToGrid w:val="0"/>
        </w:rPr>
        <w:t>тия и научных исследований, инк.</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вич</w:t>
      </w:r>
      <w:r>
        <w:rPr>
          <w:caps/>
          <w:snapToGrid w:val="0"/>
        </w:rPr>
        <w:tab/>
      </w:r>
      <w:r>
        <w:rPr>
          <w:snapToGrid w:val="0"/>
        </w:rPr>
        <w:t>Вирус иммунодефицита человека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ВКОСУ</w:t>
      </w:r>
      <w:r>
        <w:rPr>
          <w:caps/>
          <w:snapToGrid w:val="0"/>
        </w:rPr>
        <w:tab/>
      </w:r>
      <w:r>
        <w:rPr>
          <w:snapToGrid w:val="0"/>
        </w:rPr>
        <w:t>Всеобъемлющее и комплексное оказание социальных услуг</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 xml:space="preserve">ВНП </w:t>
      </w:r>
      <w:r>
        <w:rPr>
          <w:caps/>
          <w:snapToGrid w:val="0"/>
          <w:spacing w:val="0"/>
          <w:w w:val="100"/>
          <w:kern w:val="0"/>
          <w:lang w:eastAsia="en-US"/>
        </w:rPr>
        <w:tab/>
      </w:r>
      <w:r>
        <w:rPr>
          <w:snapToGrid w:val="0"/>
        </w:rPr>
        <w:t>Валовой национальный продукт</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вс</w:t>
      </w:r>
      <w:r>
        <w:rPr>
          <w:caps/>
          <w:snapToGrid w:val="0"/>
        </w:rPr>
        <w:tab/>
      </w:r>
      <w:r>
        <w:rPr>
          <w:snapToGrid w:val="0"/>
        </w:rPr>
        <w:t>Верховный суд</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вср</w:t>
      </w:r>
      <w:r>
        <w:rPr>
          <w:caps/>
          <w:snapToGrid w:val="0"/>
        </w:rPr>
        <w:tab/>
      </w:r>
      <w:r>
        <w:rPr>
          <w:snapToGrid w:val="0"/>
        </w:rPr>
        <w:t>Выгодоприобретатель от сельскохозяйственной реформы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ВСФ</w:t>
      </w:r>
      <w:r>
        <w:rPr>
          <w:caps/>
          <w:snapToGrid w:val="0"/>
          <w:spacing w:val="0"/>
          <w:w w:val="100"/>
          <w:kern w:val="0"/>
          <w:lang w:eastAsia="en-US"/>
        </w:rPr>
        <w:tab/>
      </w:r>
      <w:r>
        <w:rPr>
          <w:snapToGrid w:val="0"/>
        </w:rPr>
        <w:t>Вооруженные силы Филиппин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вто</w:t>
      </w:r>
      <w:r>
        <w:rPr>
          <w:caps/>
          <w:snapToGrid w:val="0"/>
        </w:rPr>
        <w:tab/>
      </w:r>
      <w:r>
        <w:rPr>
          <w:snapToGrid w:val="0"/>
        </w:rPr>
        <w:t>Всемирная торговая организация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гбр</w:t>
      </w:r>
      <w:r>
        <w:rPr>
          <w:caps/>
          <w:snapToGrid w:val="0"/>
        </w:rPr>
        <w:tab/>
      </w:r>
      <w:r>
        <w:rPr>
          <w:snapToGrid w:val="0"/>
        </w:rPr>
        <w:t>Группа быстрого реагирования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гдл</w:t>
      </w:r>
      <w:r>
        <w:rPr>
          <w:caps/>
          <w:snapToGrid w:val="0"/>
        </w:rPr>
        <w:tab/>
      </w:r>
      <w:r>
        <w:rPr>
          <w:snapToGrid w:val="0"/>
        </w:rPr>
        <w:t>Главное должностное лицо</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гпх</w:t>
      </w:r>
      <w:r>
        <w:rPr>
          <w:caps/>
          <w:snapToGrid w:val="0"/>
        </w:rPr>
        <w:tab/>
      </w:r>
      <w:r>
        <w:rPr>
          <w:snapToGrid w:val="0"/>
        </w:rPr>
        <w:t>Гипохромия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гэ</w:t>
      </w:r>
      <w:r>
        <w:rPr>
          <w:caps/>
          <w:snapToGrid w:val="0"/>
        </w:rPr>
        <w:tab/>
      </w:r>
      <w:r>
        <w:rPr>
          <w:snapToGrid w:val="0"/>
        </w:rPr>
        <w:t>Грамота об эмансипации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дрч</w:t>
      </w:r>
      <w:r>
        <w:rPr>
          <w:caps/>
          <w:snapToGrid w:val="0"/>
        </w:rPr>
        <w:tab/>
      </w:r>
      <w:r>
        <w:rPr>
          <w:snapToGrid w:val="0"/>
        </w:rPr>
        <w:t>Доклад о развитии человека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дсрс</w:t>
      </w:r>
      <w:r>
        <w:rPr>
          <w:caps/>
          <w:snapToGrid w:val="0"/>
        </w:rPr>
        <w:tab/>
      </w:r>
      <w:r>
        <w:rPr>
          <w:snapToGrid w:val="0"/>
        </w:rPr>
        <w:t>Доля среди рабочей силы</w:t>
      </w:r>
    </w:p>
    <w:p w:rsidR="00000000" w:rsidRDefault="00000000">
      <w:pPr>
        <w:pStyle w:val="SingleTxt"/>
        <w:tabs>
          <w:tab w:val="clear" w:pos="1267"/>
          <w:tab w:val="clear" w:pos="1742"/>
          <w:tab w:val="clear" w:pos="2218"/>
          <w:tab w:val="clear" w:pos="2693"/>
        </w:tabs>
        <w:suppressAutoHyphens/>
        <w:ind w:left="3119" w:hanging="1852"/>
        <w:jc w:val="left"/>
      </w:pPr>
      <w:r>
        <w:rPr>
          <w:caps/>
          <w:snapToGrid w:val="0"/>
        </w:rPr>
        <w:t>едса</w:t>
      </w:r>
      <w:r>
        <w:rPr>
          <w:b/>
          <w:i/>
          <w:caps/>
          <w:snapToGrid w:val="0"/>
        </w:rPr>
        <w:tab/>
      </w:r>
      <w:r>
        <w:t>Епифаньо де лос сантос авенью</w:t>
      </w:r>
    </w:p>
    <w:p w:rsidR="00000000" w:rsidRDefault="00000000">
      <w:pPr>
        <w:pStyle w:val="SingleTxt"/>
        <w:tabs>
          <w:tab w:val="clear" w:pos="1267"/>
          <w:tab w:val="clear" w:pos="1742"/>
          <w:tab w:val="clear" w:pos="2218"/>
          <w:tab w:val="clear" w:pos="2693"/>
        </w:tabs>
        <w:suppressAutoHyphens/>
        <w:ind w:left="3119" w:hanging="1852"/>
        <w:jc w:val="left"/>
        <w:rPr>
          <w:i/>
        </w:rPr>
      </w:pPr>
      <w:r>
        <w:rPr>
          <w:caps/>
          <w:snapToGrid w:val="0"/>
        </w:rPr>
        <w:t>Еспат фил.</w:t>
      </w:r>
      <w:r>
        <w:rPr>
          <w:b/>
          <w:i/>
          <w:caps/>
          <w:snapToGrid w:val="0"/>
        </w:rPr>
        <w:tab/>
      </w:r>
      <w:r>
        <w:rPr>
          <w:i/>
        </w:rPr>
        <w:t>Положить конец детской проституции, детской порнографии и торговле детьми в сексуальных целях на Фили</w:t>
      </w:r>
      <w:r>
        <w:rPr>
          <w:i/>
        </w:rPr>
        <w:t>п</w:t>
      </w:r>
      <w:r>
        <w:rPr>
          <w:i/>
        </w:rPr>
        <w:t>пинах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ждсф</w:t>
      </w:r>
      <w:r>
        <w:rPr>
          <w:caps/>
          <w:snapToGrid w:val="0"/>
        </w:rPr>
        <w:tab/>
      </w:r>
      <w:r>
        <w:rPr>
          <w:snapToGrid w:val="0"/>
        </w:rPr>
        <w:t>Женский деловой совет Филиппин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жкц</w:t>
      </w:r>
      <w:r>
        <w:rPr>
          <w:caps/>
          <w:snapToGrid w:val="0"/>
        </w:rPr>
        <w:tab/>
      </w:r>
      <w:r>
        <w:rPr>
          <w:snapToGrid w:val="0"/>
        </w:rPr>
        <w:t>Женский кризисный центр</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жото</w:t>
      </w:r>
      <w:r>
        <w:rPr>
          <w:caps/>
          <w:snapToGrid w:val="0"/>
        </w:rPr>
        <w:tab/>
      </w:r>
      <w:r>
        <w:rPr>
          <w:snapToGrid w:val="0"/>
        </w:rPr>
        <w:t>Женщины в особо трудных обстоятельствах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жюб</w:t>
      </w:r>
      <w:r>
        <w:rPr>
          <w:caps/>
          <w:snapToGrid w:val="0"/>
        </w:rPr>
        <w:tab/>
      </w:r>
      <w:r>
        <w:rPr>
          <w:snapToGrid w:val="0"/>
        </w:rPr>
        <w:t>Женское юридическое бюро</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ЗМСР</w:t>
      </w:r>
      <w:r>
        <w:rPr>
          <w:snapToGrid w:val="0"/>
        </w:rPr>
        <w:tab/>
        <w:t>Закон о модернизации сельского хозяйства и рыболовства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зоа</w:t>
      </w:r>
      <w:r>
        <w:rPr>
          <w:caps/>
          <w:snapToGrid w:val="0"/>
        </w:rPr>
        <w:tab/>
      </w:r>
      <w:r>
        <w:rPr>
          <w:snapToGrid w:val="0"/>
        </w:rPr>
        <w:t>Закон об общих ассигнованиях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зпп</w:t>
      </w:r>
      <w:r>
        <w:rPr>
          <w:caps/>
          <w:snapToGrid w:val="0"/>
        </w:rPr>
        <w:tab/>
      </w:r>
      <w:r>
        <w:rPr>
          <w:snapToGrid w:val="0"/>
        </w:rPr>
        <w:t>Заболевания, передаваемые половым путем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икт</w:t>
      </w:r>
      <w:r>
        <w:rPr>
          <w:caps/>
          <w:snapToGrid w:val="0"/>
        </w:rPr>
        <w:tab/>
      </w:r>
      <w:r>
        <w:rPr>
          <w:snapToGrid w:val="0"/>
        </w:rPr>
        <w:t>Информационно-коммуникационная технология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ИМИЗ</w:t>
      </w:r>
      <w:r>
        <w:rPr>
          <w:snapToGrid w:val="0"/>
        </w:rPr>
        <w:tab/>
        <w:t>Инициативы «Меры в интересах здоровья», инк.</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инн</w:t>
      </w:r>
      <w:r>
        <w:rPr>
          <w:caps/>
          <w:snapToGrid w:val="0"/>
        </w:rPr>
        <w:tab/>
      </w:r>
      <w:r>
        <w:rPr>
          <w:snapToGrid w:val="0"/>
        </w:rPr>
        <w:t>Индекс нищеты населения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ипек</w:t>
      </w:r>
      <w:r>
        <w:rPr>
          <w:caps/>
          <w:snapToGrid w:val="0"/>
        </w:rPr>
        <w:tab/>
      </w:r>
      <w:r>
        <w:rPr>
          <w:snapToGrid w:val="0"/>
        </w:rPr>
        <w:t>Международная программа по упразднению детского труда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ипжп</w:t>
      </w:r>
      <w:r>
        <w:rPr>
          <w:caps/>
          <w:snapToGrid w:val="0"/>
        </w:rPr>
        <w:tab/>
      </w:r>
      <w:r>
        <w:rPr>
          <w:snapToGrid w:val="0"/>
        </w:rPr>
        <w:t>Институт по проблемам женщин и пола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ИПП</w:t>
      </w:r>
      <w:r>
        <w:rPr>
          <w:caps/>
          <w:snapToGrid w:val="0"/>
          <w:spacing w:val="0"/>
          <w:w w:val="100"/>
          <w:kern w:val="0"/>
          <w:lang w:eastAsia="en-US"/>
        </w:rPr>
        <w:tab/>
      </w:r>
      <w:r>
        <w:rPr>
          <w:snapToGrid w:val="0"/>
        </w:rPr>
        <w:t>Инфекции, передаваемые половым путем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ИРГА</w:t>
      </w:r>
      <w:r>
        <w:rPr>
          <w:caps/>
          <w:snapToGrid w:val="0"/>
        </w:rPr>
        <w:tab/>
      </w:r>
      <w:r>
        <w:rPr>
          <w:snapToGrid w:val="0"/>
        </w:rPr>
        <w:t>Индекс развития с учетом гендерных аспектов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ирт</w:t>
      </w:r>
      <w:r>
        <w:rPr>
          <w:caps/>
          <w:snapToGrid w:val="0"/>
        </w:rPr>
        <w:tab/>
      </w:r>
      <w:r>
        <w:rPr>
          <w:snapToGrid w:val="0"/>
        </w:rPr>
        <w:t>Инфекция репродуктивного тракта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ИРЧП</w:t>
      </w:r>
      <w:r>
        <w:rPr>
          <w:caps/>
          <w:snapToGrid w:val="0"/>
          <w:spacing w:val="0"/>
          <w:w w:val="100"/>
          <w:kern w:val="0"/>
          <w:lang w:eastAsia="en-US"/>
        </w:rPr>
        <w:tab/>
      </w:r>
      <w:r>
        <w:rPr>
          <w:snapToGrid w:val="0"/>
        </w:rPr>
        <w:t>Индекс развития человеческого потенциала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исим</w:t>
      </w:r>
      <w:r>
        <w:rPr>
          <w:caps/>
          <w:snapToGrid w:val="0"/>
        </w:rPr>
        <w:tab/>
      </w:r>
      <w:r>
        <w:rPr>
          <w:snapToGrid w:val="0"/>
        </w:rPr>
        <w:t>Институт социальных исследований и мероприятий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итс</w:t>
      </w:r>
      <w:r>
        <w:rPr>
          <w:caps/>
          <w:snapToGrid w:val="0"/>
        </w:rPr>
        <w:tab/>
      </w:r>
      <w:r>
        <w:rPr>
          <w:snapToGrid w:val="0"/>
        </w:rPr>
        <w:t>Институт трудовых исследований, министерство труда и зан</w:t>
      </w:r>
      <w:r>
        <w:rPr>
          <w:snapToGrid w:val="0"/>
        </w:rPr>
        <w:t>я</w:t>
      </w:r>
      <w:r>
        <w:rPr>
          <w:snapToGrid w:val="0"/>
        </w:rPr>
        <w:t>тости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ифом</w:t>
      </w:r>
      <w:r>
        <w:rPr>
          <w:caps/>
          <w:snapToGrid w:val="0"/>
        </w:rPr>
        <w:tab/>
      </w:r>
      <w:r>
        <w:rPr>
          <w:snapToGrid w:val="0"/>
        </w:rPr>
        <w:t>Исламский фронт освобождения Моро</w:t>
      </w:r>
    </w:p>
    <w:p w:rsidR="00000000" w:rsidRDefault="00000000">
      <w:pPr>
        <w:pStyle w:val="SingleTxt"/>
        <w:tabs>
          <w:tab w:val="clear" w:pos="1267"/>
          <w:tab w:val="clear" w:pos="1742"/>
          <w:tab w:val="clear" w:pos="2218"/>
          <w:tab w:val="clear" w:pos="2693"/>
        </w:tabs>
        <w:suppressAutoHyphens/>
        <w:ind w:left="3119" w:hanging="1852"/>
        <w:jc w:val="left"/>
        <w:rPr>
          <w:i/>
          <w:snapToGrid w:val="0"/>
        </w:rPr>
      </w:pPr>
      <w:r>
        <w:rPr>
          <w:caps/>
          <w:snapToGrid w:val="0"/>
        </w:rPr>
        <w:t>калакасан</w:t>
      </w:r>
      <w:r>
        <w:rPr>
          <w:caps/>
          <w:snapToGrid w:val="0"/>
        </w:rPr>
        <w:tab/>
      </w:r>
      <w:r>
        <w:rPr>
          <w:i/>
          <w:snapToGrid w:val="0"/>
        </w:rPr>
        <w:t>Кабабайхан лаба са карахасан</w:t>
      </w:r>
    </w:p>
    <w:p w:rsidR="00000000" w:rsidRDefault="00000000">
      <w:pPr>
        <w:pStyle w:val="SingleTxt"/>
        <w:tabs>
          <w:tab w:val="clear" w:pos="1267"/>
          <w:tab w:val="clear" w:pos="1742"/>
          <w:tab w:val="clear" w:pos="2218"/>
          <w:tab w:val="clear" w:pos="2693"/>
        </w:tabs>
        <w:suppressAutoHyphens/>
        <w:ind w:left="3119" w:hanging="1852"/>
        <w:jc w:val="left"/>
        <w:rPr>
          <w:i/>
          <w:snapToGrid w:val="0"/>
        </w:rPr>
      </w:pPr>
      <w:r>
        <w:rPr>
          <w:caps/>
          <w:snapToGrid w:val="0"/>
        </w:rPr>
        <w:t>калахи</w:t>
      </w:r>
      <w:r>
        <w:rPr>
          <w:caps/>
          <w:snapToGrid w:val="0"/>
        </w:rPr>
        <w:tab/>
      </w:r>
      <w:r>
        <w:rPr>
          <w:i/>
          <w:snapToGrid w:val="0"/>
        </w:rPr>
        <w:t>Капит бисиг лабан са кахирапан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кАмр</w:t>
      </w:r>
      <w:r>
        <w:rPr>
          <w:caps/>
          <w:snapToGrid w:val="0"/>
        </w:rPr>
        <w:tab/>
      </w:r>
      <w:r>
        <w:rPr>
          <w:snapToGrid w:val="0"/>
        </w:rPr>
        <w:t>Канадское агентство по международному развитию</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кво</w:t>
      </w:r>
      <w:r>
        <w:rPr>
          <w:caps/>
          <w:snapToGrid w:val="0"/>
        </w:rPr>
        <w:tab/>
      </w:r>
      <w:r>
        <w:rPr>
          <w:snapToGrid w:val="0"/>
        </w:rPr>
        <w:t>Комиссия по делам высшего образования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кгс</w:t>
      </w:r>
      <w:r>
        <w:rPr>
          <w:caps/>
          <w:snapToGrid w:val="0"/>
        </w:rPr>
        <w:tab/>
      </w:r>
      <w:r>
        <w:rPr>
          <w:snapToGrid w:val="0"/>
        </w:rPr>
        <w:t>Комиссия по гражданской службе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кгфмб</w:t>
      </w:r>
      <w:r>
        <w:rPr>
          <w:caps/>
          <w:snapToGrid w:val="0"/>
        </w:rPr>
        <w:tab/>
      </w:r>
      <w:r>
        <w:rPr>
          <w:snapToGrid w:val="0"/>
        </w:rPr>
        <w:t>Корпорация по гарантированию и финансированию малого би</w:t>
      </w:r>
      <w:r>
        <w:rPr>
          <w:snapToGrid w:val="0"/>
        </w:rPr>
        <w:t>з</w:t>
      </w:r>
      <w:r>
        <w:rPr>
          <w:snapToGrid w:val="0"/>
        </w:rPr>
        <w:t>неса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кзмдтм</w:t>
      </w:r>
      <w:r>
        <w:rPr>
          <w:caps/>
          <w:snapToGrid w:val="0"/>
        </w:rPr>
        <w:tab/>
      </w:r>
      <w:r>
        <w:rPr>
          <w:snapToGrid w:val="0"/>
        </w:rPr>
        <w:t xml:space="preserve">Канцелярия заместителя министра по делам трудящихся-мигрантов, министерство внутренних дел </w:t>
      </w:r>
      <w:r>
        <w:rPr>
          <w:snapToGrid w:val="0"/>
          <w:lang w:val="en-US"/>
        </w:rPr>
        <w:t>DOLE</w:t>
      </w:r>
      <w:r>
        <w:rPr>
          <w:snapToGrid w:val="0"/>
        </w:rPr>
        <w:t>-</w:t>
      </w:r>
      <w:r>
        <w:rPr>
          <w:snapToGrid w:val="0"/>
          <w:lang w:val="en-US"/>
        </w:rPr>
        <w:t>Bureau</w:t>
      </w:r>
      <w:r>
        <w:rPr>
          <w:snapToGrid w:val="0"/>
        </w:rPr>
        <w:t xml:space="preserve"> </w:t>
      </w:r>
      <w:r>
        <w:rPr>
          <w:snapToGrid w:val="0"/>
          <w:lang w:val="en-US"/>
        </w:rPr>
        <w:t>of</w:t>
      </w:r>
      <w:r>
        <w:rPr>
          <w:snapToGrid w:val="0"/>
        </w:rPr>
        <w:t xml:space="preserve"> </w:t>
      </w:r>
      <w:r>
        <w:rPr>
          <w:snapToGrid w:val="0"/>
          <w:lang w:val="en-US"/>
        </w:rPr>
        <w:t>Women</w:t>
      </w:r>
      <w:r>
        <w:rPr>
          <w:snapToGrid w:val="0"/>
        </w:rPr>
        <w:t xml:space="preserve"> </w:t>
      </w:r>
      <w:r>
        <w:rPr>
          <w:snapToGrid w:val="0"/>
          <w:lang w:val="en-US"/>
        </w:rPr>
        <w:t>and</w:t>
      </w:r>
      <w:r>
        <w:rPr>
          <w:snapToGrid w:val="0"/>
        </w:rPr>
        <w:t xml:space="preserve"> </w:t>
      </w:r>
      <w:r>
        <w:rPr>
          <w:snapToGrid w:val="0"/>
          <w:lang w:val="en-US"/>
        </w:rPr>
        <w:t>Young</w:t>
      </w:r>
      <w:r>
        <w:rPr>
          <w:snapToGrid w:val="0"/>
        </w:rPr>
        <w:t xml:space="preserve"> </w:t>
      </w:r>
      <w:r>
        <w:rPr>
          <w:snapToGrid w:val="0"/>
          <w:lang w:val="en-US"/>
        </w:rPr>
        <w:t>Workers</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кисМ</w:t>
      </w:r>
      <w:r>
        <w:rPr>
          <w:caps/>
          <w:snapToGrid w:val="0"/>
        </w:rPr>
        <w:tab/>
      </w:r>
      <w:r>
        <w:rPr>
          <w:snapToGrid w:val="0"/>
        </w:rPr>
        <w:t>Консультативно-информационная сеть для мигрантов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ккнож</w:t>
      </w:r>
      <w:r>
        <w:rPr>
          <w:caps/>
          <w:snapToGrid w:val="0"/>
        </w:rPr>
        <w:tab/>
      </w:r>
      <w:r>
        <w:rPr>
          <w:snapToGrid w:val="0"/>
        </w:rPr>
        <w:t>Координационный комитет по борьбе с насилием в отношении же</w:t>
      </w:r>
      <w:r>
        <w:rPr>
          <w:snapToGrid w:val="0"/>
        </w:rPr>
        <w:t>н</w:t>
      </w:r>
      <w:r>
        <w:rPr>
          <w:snapToGrid w:val="0"/>
        </w:rPr>
        <w:t>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ккс</w:t>
      </w:r>
      <w:r>
        <w:rPr>
          <w:caps/>
          <w:snapToGrid w:val="0"/>
        </w:rPr>
        <w:tab/>
      </w:r>
      <w:r>
        <w:rPr>
          <w:snapToGrid w:val="0"/>
        </w:rPr>
        <w:t>Комиссия по компенсациям для служащих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клдж</w:t>
      </w:r>
      <w:r>
        <w:rPr>
          <w:caps/>
          <w:snapToGrid w:val="0"/>
        </w:rPr>
        <w:tab/>
      </w:r>
      <w:r>
        <w:t>Комитет по ликвидации всех форм дискриминации в отношении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комбат</w:t>
      </w:r>
      <w:r>
        <w:rPr>
          <w:caps/>
          <w:snapToGrid w:val="0"/>
        </w:rPr>
        <w:tab/>
      </w:r>
      <w:r>
        <w:rPr>
          <w:snapToGrid w:val="0"/>
        </w:rPr>
        <w:t>Общинный подход к НОЖ</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КПОР</w:t>
      </w:r>
      <w:r>
        <w:rPr>
          <w:snapToGrid w:val="0"/>
        </w:rPr>
        <w:tab/>
        <w:t>Комплексная программа ориентации для работников увеселительных з</w:t>
      </w:r>
      <w:r>
        <w:rPr>
          <w:snapToGrid w:val="0"/>
        </w:rPr>
        <w:t>а</w:t>
      </w:r>
      <w:r>
        <w:rPr>
          <w:snapToGrid w:val="0"/>
        </w:rPr>
        <w:t>ведений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КПР</w:t>
      </w:r>
      <w:r>
        <w:rPr>
          <w:caps/>
          <w:snapToGrid w:val="0"/>
          <w:spacing w:val="0"/>
          <w:w w:val="100"/>
          <w:kern w:val="0"/>
          <w:lang w:eastAsia="en-US"/>
        </w:rPr>
        <w:tab/>
      </w:r>
      <w:r>
        <w:rPr>
          <w:snapToGrid w:val="0"/>
        </w:rPr>
        <w:t>Конвенция о правах ребенка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КПРИ</w:t>
      </w:r>
      <w:r>
        <w:rPr>
          <w:caps/>
          <w:snapToGrid w:val="0"/>
          <w:spacing w:val="0"/>
          <w:w w:val="100"/>
          <w:kern w:val="0"/>
          <w:lang w:eastAsia="en-US"/>
        </w:rPr>
        <w:tab/>
      </w:r>
      <w:r>
        <w:rPr>
          <w:snapToGrid w:val="0"/>
        </w:rPr>
        <w:t>Комитет по правилам и расследованиям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КПСР</w:t>
      </w:r>
      <w:r>
        <w:rPr>
          <w:caps/>
          <w:snapToGrid w:val="0"/>
          <w:spacing w:val="0"/>
          <w:w w:val="100"/>
          <w:kern w:val="0"/>
          <w:lang w:eastAsia="en-US"/>
        </w:rPr>
        <w:tab/>
      </w:r>
      <w:r>
        <w:rPr>
          <w:snapToGrid w:val="0"/>
        </w:rPr>
        <w:t>Комплексная программа сельскохозяйственной реформы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КПТЖАТ</w:t>
      </w:r>
      <w:r>
        <w:rPr>
          <w:snapToGrid w:val="0"/>
        </w:rPr>
        <w:tab/>
        <w:t>Коалиция против торговли женщинами в Азиатско-Тихоокеанском регионе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КПФ-ННА</w:t>
      </w:r>
      <w:r>
        <w:rPr>
          <w:snapToGrid w:val="0"/>
        </w:rPr>
        <w:tab/>
        <w:t>Коммунистическая партия Филиппин – Новая народная армия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КСГА</w:t>
      </w:r>
      <w:r>
        <w:rPr>
          <w:caps/>
          <w:snapToGrid w:val="0"/>
        </w:rPr>
        <w:tab/>
      </w:r>
      <w:r>
        <w:rPr>
          <w:snapToGrid w:val="0"/>
        </w:rPr>
        <w:t>Комитет по судопроизводству с учетом гендерных аспектов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КСИ</w:t>
      </w:r>
      <w:r>
        <w:rPr>
          <w:caps/>
          <w:snapToGrid w:val="0"/>
        </w:rPr>
        <w:tab/>
      </w:r>
      <w:r>
        <w:rPr>
          <w:snapToGrid w:val="0"/>
        </w:rPr>
        <w:t>Карьерная служба в исполнительных органах власти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кспмп</w:t>
      </w:r>
      <w:r>
        <w:rPr>
          <w:caps/>
          <w:snapToGrid w:val="0"/>
        </w:rPr>
        <w:tab/>
      </w:r>
      <w:r>
        <w:rPr>
          <w:snapToGrid w:val="0"/>
        </w:rPr>
        <w:t>Канцелярия советника президента по вопросам мирного пр</w:t>
      </w:r>
      <w:r>
        <w:rPr>
          <w:snapToGrid w:val="0"/>
        </w:rPr>
        <w:t>о</w:t>
      </w:r>
      <w:r>
        <w:rPr>
          <w:snapToGrid w:val="0"/>
        </w:rPr>
        <w:t>цесса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ксфп</w:t>
      </w:r>
      <w:r>
        <w:rPr>
          <w:caps/>
          <w:snapToGrid w:val="0"/>
        </w:rPr>
        <w:tab/>
      </w:r>
      <w:r>
        <w:rPr>
          <w:snapToGrid w:val="0"/>
        </w:rPr>
        <w:t>Контрольный совет Филиппины-Пекин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ктд</w:t>
      </w:r>
      <w:r>
        <w:rPr>
          <w:caps/>
          <w:snapToGrid w:val="0"/>
        </w:rPr>
        <w:tab/>
      </w:r>
      <w:r>
        <w:rPr>
          <w:snapToGrid w:val="0"/>
        </w:rPr>
        <w:t>Коллективный трудовой договор</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 xml:space="preserve">КУГТЗ </w:t>
      </w:r>
      <w:r>
        <w:rPr>
          <w:snapToGrid w:val="0"/>
        </w:rPr>
        <w:tab/>
        <w:t>Кооператив по комплексным услугам в области гендерных те</w:t>
      </w:r>
      <w:r>
        <w:rPr>
          <w:snapToGrid w:val="0"/>
        </w:rPr>
        <w:t>х</w:t>
      </w:r>
      <w:r>
        <w:rPr>
          <w:snapToGrid w:val="0"/>
        </w:rPr>
        <w:t>нологий и технологий здравоохранения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кфр</w:t>
      </w:r>
      <w:r>
        <w:rPr>
          <w:caps/>
          <w:snapToGrid w:val="0"/>
        </w:rPr>
        <w:tab/>
      </w:r>
      <w:r>
        <w:rPr>
          <w:snapToGrid w:val="0"/>
        </w:rPr>
        <w:t>Комиссия по делам филиппинцев за рубежом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мбу</w:t>
      </w:r>
      <w:r>
        <w:rPr>
          <w:caps/>
          <w:snapToGrid w:val="0"/>
        </w:rPr>
        <w:tab/>
      </w:r>
      <w:r>
        <w:rPr>
          <w:snapToGrid w:val="0"/>
        </w:rPr>
        <w:t>Министерство бюджета и управления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мвдмс</w:t>
      </w:r>
      <w:r>
        <w:rPr>
          <w:caps/>
          <w:snapToGrid w:val="0"/>
        </w:rPr>
        <w:tab/>
      </w:r>
      <w:r>
        <w:rPr>
          <w:snapToGrid w:val="0"/>
        </w:rPr>
        <w:t>Министерство внутренних дел и местного самоуправления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мдп</w:t>
      </w:r>
      <w:r>
        <w:rPr>
          <w:caps/>
          <w:snapToGrid w:val="0"/>
        </w:rPr>
        <w:tab/>
      </w:r>
      <w:r>
        <w:rPr>
          <w:snapToGrid w:val="0"/>
        </w:rPr>
        <w:t>Многодонорская программа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мз</w:t>
      </w:r>
      <w:r>
        <w:rPr>
          <w:caps/>
          <w:snapToGrid w:val="0"/>
        </w:rPr>
        <w:tab/>
      </w:r>
      <w:r>
        <w:rPr>
          <w:snapToGrid w:val="0"/>
        </w:rPr>
        <w:t>Министерство здравоохранения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мид</w:t>
      </w:r>
      <w:r>
        <w:rPr>
          <w:caps/>
          <w:snapToGrid w:val="0"/>
        </w:rPr>
        <w:tab/>
      </w:r>
      <w:r>
        <w:rPr>
          <w:snapToGrid w:val="0"/>
        </w:rPr>
        <w:t>Министерство иностранных дел</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мкбт</w:t>
      </w:r>
      <w:r>
        <w:rPr>
          <w:caps/>
          <w:snapToGrid w:val="0"/>
        </w:rPr>
        <w:tab/>
      </w:r>
      <w:r>
        <w:rPr>
          <w:snapToGrid w:val="0"/>
        </w:rPr>
        <w:t>Межучрежденческий комитет по борьбе с торговлей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мо</w:t>
      </w:r>
      <w:r>
        <w:rPr>
          <w:caps/>
          <w:snapToGrid w:val="0"/>
        </w:rPr>
        <w:tab/>
      </w:r>
      <w:r>
        <w:rPr>
          <w:snapToGrid w:val="0"/>
        </w:rPr>
        <w:t>Министерство образования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мом</w:t>
      </w:r>
      <w:r>
        <w:rPr>
          <w:caps/>
          <w:snapToGrid w:val="0"/>
        </w:rPr>
        <w:tab/>
      </w:r>
      <w:r>
        <w:rPr>
          <w:snapToGrid w:val="0"/>
        </w:rPr>
        <w:t>Международная организация по миграции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моп</w:t>
      </w:r>
      <w:r>
        <w:rPr>
          <w:caps/>
          <w:snapToGrid w:val="0"/>
        </w:rPr>
        <w:tab/>
      </w:r>
      <w:r>
        <w:rPr>
          <w:snapToGrid w:val="0"/>
        </w:rPr>
        <w:t>Минимальные основные потребности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моспр</w:t>
      </w:r>
      <w:r>
        <w:rPr>
          <w:caps/>
          <w:snapToGrid w:val="0"/>
        </w:rPr>
        <w:tab/>
      </w:r>
      <w:r>
        <w:rPr>
          <w:snapToGrid w:val="0"/>
        </w:rPr>
        <w:t>Министерство окружающей среды и природных ресурсов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мот</w:t>
      </w:r>
      <w:r>
        <w:rPr>
          <w:caps/>
          <w:snapToGrid w:val="0"/>
        </w:rPr>
        <w:tab/>
      </w:r>
      <w:r>
        <w:rPr>
          <w:snapToGrid w:val="0"/>
        </w:rPr>
        <w:t>Международная организация труда</w:t>
      </w:r>
    </w:p>
    <w:p w:rsidR="00000000" w:rsidRDefault="00000000">
      <w:pPr>
        <w:pStyle w:val="SingleTxt"/>
        <w:tabs>
          <w:tab w:val="clear" w:pos="1267"/>
          <w:tab w:val="clear" w:pos="1742"/>
          <w:tab w:val="clear" w:pos="2218"/>
          <w:tab w:val="clear" w:pos="2693"/>
        </w:tabs>
        <w:suppressAutoHyphens/>
        <w:ind w:left="3119" w:hanging="1852"/>
        <w:jc w:val="left"/>
        <w:rPr>
          <w:caps/>
        </w:rPr>
      </w:pPr>
      <w:r>
        <w:rPr>
          <w:caps/>
        </w:rPr>
        <w:t>МПБ</w:t>
      </w:r>
      <w:r>
        <w:tab/>
      </w:r>
      <w:r>
        <w:rPr>
          <w:caps/>
        </w:rPr>
        <w:t>Медицинский пункт в барангвае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МРВЖ</w:t>
      </w:r>
      <w:r>
        <w:rPr>
          <w:caps/>
          <w:snapToGrid w:val="0"/>
        </w:rPr>
        <w:tab/>
      </w:r>
      <w:r>
        <w:rPr>
          <w:snapToGrid w:val="0"/>
        </w:rPr>
        <w:t>Меры по расширению возможностей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мсбт</w:t>
      </w:r>
      <w:r>
        <w:rPr>
          <w:caps/>
          <w:snapToGrid w:val="0"/>
        </w:rPr>
        <w:tab/>
      </w:r>
      <w:r>
        <w:rPr>
          <w:snapToGrid w:val="0"/>
        </w:rPr>
        <w:t>Межсекторальная сеть по борьбе с торговлей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мсор</w:t>
      </w:r>
      <w:r>
        <w:rPr>
          <w:caps/>
          <w:snapToGrid w:val="0"/>
        </w:rPr>
        <w:tab/>
      </w:r>
      <w:r>
        <w:rPr>
          <w:snapToGrid w:val="0"/>
        </w:rPr>
        <w:t>Министерство социального обеспечения и развития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мсп</w:t>
      </w:r>
      <w:r>
        <w:rPr>
          <w:caps/>
          <w:snapToGrid w:val="0"/>
        </w:rPr>
        <w:tab/>
      </w:r>
      <w:r>
        <w:rPr>
          <w:snapToGrid w:val="0"/>
        </w:rPr>
        <w:t>Малые и средние предприятия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мср</w:t>
      </w:r>
      <w:r>
        <w:rPr>
          <w:caps/>
          <w:snapToGrid w:val="0"/>
        </w:rPr>
        <w:tab/>
      </w:r>
      <w:r>
        <w:rPr>
          <w:snapToGrid w:val="0"/>
        </w:rPr>
        <w:t>Министерство сельскохозяйственной реформы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мсх</w:t>
      </w:r>
      <w:r>
        <w:rPr>
          <w:caps/>
          <w:snapToGrid w:val="0"/>
        </w:rPr>
        <w:tab/>
      </w:r>
      <w:r>
        <w:rPr>
          <w:snapToGrid w:val="0"/>
        </w:rPr>
        <w:t>Министерство сельского хозяйства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мсхр</w:t>
      </w:r>
      <w:r>
        <w:rPr>
          <w:caps/>
          <w:snapToGrid w:val="0"/>
        </w:rPr>
        <w:tab/>
      </w:r>
      <w:r>
        <w:rPr>
          <w:snapToGrid w:val="0"/>
        </w:rPr>
        <w:t>Муниципальный совет по сельскому хозяйству и рыболовству</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мтз</w:t>
      </w:r>
      <w:r>
        <w:rPr>
          <w:caps/>
          <w:snapToGrid w:val="0"/>
        </w:rPr>
        <w:tab/>
      </w:r>
      <w:r>
        <w:rPr>
          <w:snapToGrid w:val="0"/>
        </w:rPr>
        <w:t>Министерство труда и занятости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мтп</w:t>
      </w:r>
      <w:r>
        <w:rPr>
          <w:caps/>
          <w:snapToGrid w:val="0"/>
        </w:rPr>
        <w:tab/>
      </w:r>
      <w:r>
        <w:rPr>
          <w:snapToGrid w:val="0"/>
        </w:rPr>
        <w:t>Министерство торговли и промышленности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нбр</w:t>
      </w:r>
      <w:r>
        <w:rPr>
          <w:caps/>
          <w:snapToGrid w:val="0"/>
        </w:rPr>
        <w:tab/>
      </w:r>
      <w:r>
        <w:rPr>
          <w:snapToGrid w:val="0"/>
        </w:rPr>
        <w:t>Национальное бюро расследований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ниокр</w:t>
      </w:r>
      <w:r>
        <w:rPr>
          <w:caps/>
          <w:snapToGrid w:val="0"/>
        </w:rPr>
        <w:tab/>
      </w:r>
      <w:r>
        <w:rPr>
          <w:snapToGrid w:val="0"/>
        </w:rPr>
        <w:t>Научные исследования и опытно-конструкторские разработки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нкбн</w:t>
      </w:r>
      <w:r>
        <w:rPr>
          <w:caps/>
          <w:snapToGrid w:val="0"/>
        </w:rPr>
        <w:tab/>
      </w:r>
      <w:r>
        <w:rPr>
          <w:snapToGrid w:val="0"/>
        </w:rPr>
        <w:t>Национальная комиссия по борьбе с нищетой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нкпфж</w:t>
      </w:r>
      <w:r>
        <w:rPr>
          <w:caps/>
          <w:snapToGrid w:val="0"/>
        </w:rPr>
        <w:tab/>
      </w:r>
      <w:r>
        <w:rPr>
          <w:snapToGrid w:val="0"/>
        </w:rPr>
        <w:t>Национальная комиссия по положению филиппинских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нкто</w:t>
      </w:r>
      <w:r>
        <w:rPr>
          <w:caps/>
          <w:snapToGrid w:val="0"/>
        </w:rPr>
        <w:tab/>
      </w:r>
      <w:r>
        <w:rPr>
          <w:snapToGrid w:val="0"/>
        </w:rPr>
        <w:t>Национальная комиссия по трудовым отношениям, министерс</w:t>
      </w:r>
      <w:r>
        <w:rPr>
          <w:snapToGrid w:val="0"/>
        </w:rPr>
        <w:t>т</w:t>
      </w:r>
      <w:r>
        <w:rPr>
          <w:snapToGrid w:val="0"/>
        </w:rPr>
        <w:t>во труда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нож</w:t>
      </w:r>
      <w:r>
        <w:rPr>
          <w:caps/>
          <w:snapToGrid w:val="0"/>
        </w:rPr>
        <w:tab/>
      </w:r>
      <w:r>
        <w:rPr>
          <w:snapToGrid w:val="0"/>
        </w:rPr>
        <w:t>Насилие в отношении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ножд</w:t>
      </w:r>
      <w:r>
        <w:rPr>
          <w:caps/>
          <w:snapToGrid w:val="0"/>
        </w:rPr>
        <w:tab/>
      </w:r>
      <w:r>
        <w:rPr>
          <w:snapToGrid w:val="0"/>
        </w:rPr>
        <w:t>Насилие в отношении женщин и детей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нпидт</w:t>
      </w:r>
      <w:r>
        <w:rPr>
          <w:caps/>
          <w:snapToGrid w:val="0"/>
        </w:rPr>
        <w:tab/>
      </w:r>
      <w:r>
        <w:rPr>
          <w:snapToGrid w:val="0"/>
        </w:rPr>
        <w:t>Национальная программа по искоренению детского труда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нпк</w:t>
      </w:r>
      <w:r>
        <w:rPr>
          <w:caps/>
          <w:snapToGrid w:val="0"/>
        </w:rPr>
        <w:tab/>
      </w:r>
      <w:r>
        <w:rPr>
          <w:snapToGrid w:val="0"/>
        </w:rPr>
        <w:t>Национальная полицейская комиссия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нпмС</w:t>
      </w:r>
      <w:r>
        <w:rPr>
          <w:caps/>
          <w:snapToGrid w:val="0"/>
        </w:rPr>
        <w:tab/>
      </w:r>
      <w:r>
        <w:rPr>
          <w:snapToGrid w:val="0"/>
        </w:rPr>
        <w:t>Национальная программа медицинского страхования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нпо</w:t>
      </w:r>
      <w:r>
        <w:rPr>
          <w:caps/>
          <w:snapToGrid w:val="0"/>
        </w:rPr>
        <w:tab/>
      </w:r>
      <w:r>
        <w:rPr>
          <w:snapToGrid w:val="0"/>
        </w:rPr>
        <w:t>Неправительственная организация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нсв</w:t>
      </w:r>
      <w:r>
        <w:rPr>
          <w:caps/>
          <w:snapToGrid w:val="0"/>
        </w:rPr>
        <w:tab/>
      </w:r>
      <w:r>
        <w:rPr>
          <w:snapToGrid w:val="0"/>
        </w:rPr>
        <w:t>Нормативный совет по видеограммам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НСКПК</w:t>
      </w:r>
      <w:r>
        <w:rPr>
          <w:snapToGrid w:val="0"/>
        </w:rPr>
        <w:tab/>
        <w:t>Находящаяся в собственности и под контролем правительства корпорация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нскс</w:t>
      </w:r>
      <w:r>
        <w:rPr>
          <w:caps/>
          <w:snapToGrid w:val="0"/>
        </w:rPr>
        <w:tab/>
      </w:r>
      <w:r>
        <w:rPr>
          <w:snapToGrid w:val="0"/>
        </w:rPr>
        <w:t>Национальный статистический координационный совет</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нсои</w:t>
      </w:r>
      <w:r>
        <w:rPr>
          <w:caps/>
          <w:snapToGrid w:val="0"/>
        </w:rPr>
        <w:tab/>
      </w:r>
      <w:r>
        <w:rPr>
          <w:snapToGrid w:val="0"/>
        </w:rPr>
        <w:t>Национальный совет по социальному обеспечению инвалидов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нсу</w:t>
      </w:r>
      <w:r>
        <w:rPr>
          <w:caps/>
          <w:snapToGrid w:val="0"/>
        </w:rPr>
        <w:tab/>
      </w:r>
      <w:r>
        <w:rPr>
          <w:snapToGrid w:val="0"/>
        </w:rPr>
        <w:t>Национальное статистическое управление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нуэр</w:t>
      </w:r>
      <w:r>
        <w:rPr>
          <w:caps/>
          <w:snapToGrid w:val="0"/>
        </w:rPr>
        <w:tab/>
      </w:r>
      <w:r>
        <w:rPr>
          <w:snapToGrid w:val="0"/>
        </w:rPr>
        <w:t>Национальное управление по экономике и развитию</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нфом</w:t>
      </w:r>
      <w:r>
        <w:rPr>
          <w:caps/>
          <w:snapToGrid w:val="0"/>
        </w:rPr>
        <w:tab/>
      </w:r>
      <w:r>
        <w:rPr>
          <w:snapToGrid w:val="0"/>
        </w:rPr>
        <w:t>Национальный фронт освобождения Моро</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нфос</w:t>
      </w:r>
      <w:r>
        <w:rPr>
          <w:caps/>
          <w:snapToGrid w:val="0"/>
        </w:rPr>
        <w:tab/>
      </w:r>
      <w:r>
        <w:rPr>
          <w:snapToGrid w:val="0"/>
        </w:rPr>
        <w:t>Национальный фонд по обеспечению средств к существованию</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нфт</w:t>
      </w:r>
      <w:r>
        <w:rPr>
          <w:caps/>
          <w:snapToGrid w:val="0"/>
        </w:rPr>
        <w:tab/>
      </w:r>
      <w:r>
        <w:rPr>
          <w:snapToGrid w:val="0"/>
        </w:rPr>
        <w:t>Национальная федерация труда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ога</w:t>
      </w:r>
      <w:r>
        <w:rPr>
          <w:caps/>
          <w:snapToGrid w:val="0"/>
        </w:rPr>
        <w:tab/>
      </w:r>
      <w:r>
        <w:rPr>
          <w:snapToGrid w:val="0"/>
        </w:rPr>
        <w:t>Обучение с особым упором на гендерные аспекты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ож</w:t>
      </w:r>
      <w:r>
        <w:rPr>
          <w:caps/>
          <w:snapToGrid w:val="0"/>
        </w:rPr>
        <w:tab/>
      </w:r>
      <w:r>
        <w:rPr>
          <w:snapToGrid w:val="0"/>
        </w:rPr>
        <w:t>Обездоленные женщины (коалиция)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озжд</w:t>
      </w:r>
      <w:r>
        <w:rPr>
          <w:caps/>
          <w:snapToGrid w:val="0"/>
        </w:rPr>
        <w:tab/>
      </w:r>
      <w:r>
        <w:rPr>
          <w:snapToGrid w:val="0"/>
        </w:rPr>
        <w:t>Отдел по защите женщин и детей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ООН</w:t>
      </w:r>
      <w:r>
        <w:rPr>
          <w:caps/>
          <w:snapToGrid w:val="0"/>
        </w:rPr>
        <w:tab/>
      </w:r>
      <w:r>
        <w:rPr>
          <w:snapToGrid w:val="0"/>
        </w:rPr>
        <w:t>Организация Объединенных Наций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пдср</w:t>
      </w:r>
      <w:r>
        <w:rPr>
          <w:caps/>
          <w:snapToGrid w:val="0"/>
        </w:rPr>
        <w:tab/>
      </w:r>
      <w:r>
        <w:rPr>
          <w:snapToGrid w:val="0"/>
        </w:rPr>
        <w:t>Повестка дня социальной реформы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пир</w:t>
      </w:r>
      <w:r>
        <w:rPr>
          <w:caps/>
          <w:snapToGrid w:val="0"/>
        </w:rPr>
        <w:tab/>
      </w:r>
      <w:r>
        <w:rPr>
          <w:snapToGrid w:val="0"/>
        </w:rPr>
        <w:t>Пол и развитие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пис</w:t>
      </w:r>
      <w:r>
        <w:rPr>
          <w:caps/>
          <w:snapToGrid w:val="0"/>
        </w:rPr>
        <w:tab/>
      </w:r>
      <w:r>
        <w:rPr>
          <w:snapToGrid w:val="0"/>
        </w:rPr>
        <w:t>Помощь в интересах самозанятости-Каунларан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пкАррд</w:t>
      </w:r>
      <w:r>
        <w:rPr>
          <w:caps/>
          <w:snapToGrid w:val="0"/>
        </w:rPr>
        <w:tab/>
      </w:r>
      <w:r>
        <w:rPr>
          <w:snapToGrid w:val="0"/>
        </w:rPr>
        <w:t xml:space="preserve">Филиппинский совет по </w:t>
      </w:r>
      <w:r>
        <w:rPr>
          <w:caps/>
          <w:snapToGrid w:val="0"/>
        </w:rPr>
        <w:t>ниокр</w:t>
      </w:r>
      <w:r>
        <w:rPr>
          <w:snapToGrid w:val="0"/>
        </w:rPr>
        <w:t xml:space="preserve"> в области сельского хозяйства, лесов</w:t>
      </w:r>
      <w:r>
        <w:rPr>
          <w:snapToGrid w:val="0"/>
        </w:rPr>
        <w:t>о</w:t>
      </w:r>
      <w:r>
        <w:rPr>
          <w:snapToGrid w:val="0"/>
        </w:rPr>
        <w:t>дства и национальных ресурсов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ПКРЖГС</w:t>
      </w:r>
      <w:r>
        <w:rPr>
          <w:snapToGrid w:val="0"/>
        </w:rPr>
        <w:tab/>
        <w:t>Программа карьерного роста для женщин на государственной службе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ппд</w:t>
      </w:r>
      <w:r>
        <w:rPr>
          <w:caps/>
          <w:snapToGrid w:val="0"/>
        </w:rPr>
        <w:tab/>
      </w:r>
      <w:r>
        <w:rPr>
          <w:snapToGrid w:val="0"/>
        </w:rPr>
        <w:t>Пекинская платформа действий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ппомс</w:t>
      </w:r>
      <w:r>
        <w:rPr>
          <w:caps/>
          <w:snapToGrid w:val="0"/>
        </w:rPr>
        <w:tab/>
      </w:r>
      <w:r>
        <w:rPr>
          <w:snapToGrid w:val="0"/>
        </w:rPr>
        <w:t>Программа поддержки органов местного самоуправления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ппс</w:t>
      </w:r>
      <w:r>
        <w:rPr>
          <w:caps/>
          <w:snapToGrid w:val="0"/>
        </w:rPr>
        <w:tab/>
      </w:r>
      <w:r>
        <w:rPr>
          <w:snapToGrid w:val="0"/>
        </w:rPr>
        <w:t>Послание о положении в стране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ПРДРВ</w:t>
      </w:r>
      <w:r>
        <w:rPr>
          <w:snapToGrid w:val="0"/>
        </w:rPr>
        <w:tab/>
        <w:t>Проект по развитию детей в раннем возрасте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проон</w:t>
      </w:r>
      <w:r>
        <w:rPr>
          <w:caps/>
          <w:snapToGrid w:val="0"/>
        </w:rPr>
        <w:tab/>
      </w:r>
      <w:r>
        <w:rPr>
          <w:snapToGrid w:val="0"/>
        </w:rPr>
        <w:t>Программа развития Организации Объединенных Наций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псхр</w:t>
      </w:r>
      <w:r>
        <w:rPr>
          <w:caps/>
          <w:snapToGrid w:val="0"/>
        </w:rPr>
        <w:tab/>
      </w:r>
      <w:r>
        <w:rPr>
          <w:snapToGrid w:val="0"/>
        </w:rPr>
        <w:t>Провинциальный совет по делам сельского хозяйства и рыб</w:t>
      </w:r>
      <w:r>
        <w:rPr>
          <w:snapToGrid w:val="0"/>
        </w:rPr>
        <w:t>о</w:t>
      </w:r>
      <w:r>
        <w:rPr>
          <w:snapToGrid w:val="0"/>
        </w:rPr>
        <w:t>ловства</w:t>
      </w:r>
    </w:p>
    <w:p w:rsidR="00000000" w:rsidRDefault="00000000">
      <w:pPr>
        <w:pStyle w:val="SingleTxt"/>
        <w:tabs>
          <w:tab w:val="clear" w:pos="1267"/>
          <w:tab w:val="clear" w:pos="1742"/>
          <w:tab w:val="clear" w:pos="2218"/>
          <w:tab w:val="clear" w:pos="2693"/>
        </w:tabs>
        <w:suppressAutoHyphens/>
        <w:ind w:left="3119" w:hanging="1852"/>
        <w:jc w:val="left"/>
      </w:pPr>
      <w:r>
        <w:rPr>
          <w:caps/>
          <w:snapToGrid w:val="0"/>
        </w:rPr>
        <w:t>птоп</w:t>
      </w:r>
      <w:r>
        <w:rPr>
          <w:i/>
          <w:caps/>
          <w:snapToGrid w:val="0"/>
        </w:rPr>
        <w:tab/>
      </w:r>
      <w:r>
        <w:t>Профессионально-техническое образование и подготовка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ПУЗПМ</w:t>
      </w:r>
      <w:r>
        <w:rPr>
          <w:caps/>
          <w:snapToGrid w:val="0"/>
        </w:rPr>
        <w:tab/>
      </w:r>
      <w:r>
        <w:rPr>
          <w:snapToGrid w:val="0"/>
        </w:rPr>
        <w:t>Программа укрепления здоровья подростков и молодежи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ПФ</w:t>
      </w:r>
      <w:r>
        <w:rPr>
          <w:caps/>
          <w:snapToGrid w:val="0"/>
          <w:spacing w:val="0"/>
          <w:w w:val="100"/>
          <w:kern w:val="0"/>
          <w:lang w:eastAsia="en-US"/>
        </w:rPr>
        <w:tab/>
      </w:r>
      <w:r>
        <w:rPr>
          <w:snapToGrid w:val="0"/>
        </w:rPr>
        <w:t>Правительство Филиппин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пфи</w:t>
      </w:r>
      <w:r>
        <w:rPr>
          <w:caps/>
          <w:snapToGrid w:val="0"/>
        </w:rPr>
        <w:tab/>
      </w:r>
      <w:r>
        <w:rPr>
          <w:snapToGrid w:val="0"/>
        </w:rPr>
        <w:t>Правительственные финансовые учреждения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пфпс</w:t>
      </w:r>
      <w:r>
        <w:rPr>
          <w:caps/>
          <w:snapToGrid w:val="0"/>
        </w:rPr>
        <w:tab/>
      </w:r>
      <w:r>
        <w:rPr>
          <w:snapToGrid w:val="0"/>
        </w:rPr>
        <w:t>Программа финансовой помощи студентам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РВПРО</w:t>
      </w:r>
      <w:r>
        <w:rPr>
          <w:snapToGrid w:val="0"/>
        </w:rPr>
        <w:tab/>
        <w:t>Расширение возможностей и подтверждение родительских об</w:t>
      </w:r>
      <w:r>
        <w:rPr>
          <w:snapToGrid w:val="0"/>
        </w:rPr>
        <w:t>я</w:t>
      </w:r>
      <w:r>
        <w:rPr>
          <w:snapToGrid w:val="0"/>
        </w:rPr>
        <w:t>занностей</w:t>
      </w:r>
    </w:p>
    <w:p w:rsidR="00000000" w:rsidRDefault="00000000">
      <w:pPr>
        <w:pStyle w:val="SingleTxt"/>
        <w:tabs>
          <w:tab w:val="clear" w:pos="1267"/>
          <w:tab w:val="clear" w:pos="1742"/>
          <w:tab w:val="clear" w:pos="2218"/>
          <w:tab w:val="clear" w:pos="2693"/>
        </w:tabs>
        <w:suppressAutoHyphens/>
        <w:ind w:left="3119" w:hanging="1852"/>
        <w:jc w:val="left"/>
        <w:rPr>
          <w:i/>
        </w:rPr>
      </w:pPr>
      <w:r>
        <w:rPr>
          <w:caps/>
          <w:snapToGrid w:val="0"/>
        </w:rPr>
        <w:t>ргсгс</w:t>
      </w:r>
      <w:r>
        <w:rPr>
          <w:b/>
          <w:i/>
          <w:caps/>
          <w:snapToGrid w:val="0"/>
        </w:rPr>
        <w:tab/>
      </w:r>
      <w:r>
        <w:rPr>
          <w:i/>
        </w:rPr>
        <w:t>Рабочая группа старших государственных служащих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РЗ</w:t>
      </w:r>
      <w:r>
        <w:rPr>
          <w:caps/>
          <w:snapToGrid w:val="0"/>
        </w:rPr>
        <w:tab/>
      </w:r>
      <w:r>
        <w:rPr>
          <w:snapToGrid w:val="0"/>
        </w:rPr>
        <w:t>Республиканский закон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рзрф</w:t>
      </w:r>
      <w:r>
        <w:rPr>
          <w:caps/>
          <w:snapToGrid w:val="0"/>
        </w:rPr>
        <w:tab/>
      </w:r>
      <w:r>
        <w:rPr>
          <w:snapToGrid w:val="0"/>
        </w:rPr>
        <w:t>Работающий за рубежом филиппинец</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РОАГП</w:t>
      </w:r>
      <w:r>
        <w:rPr>
          <w:snapToGrid w:val="0"/>
        </w:rPr>
        <w:tab/>
        <w:t>Рамки для оценки актуализации гендерной проблематики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рпж</w:t>
      </w:r>
      <w:r>
        <w:rPr>
          <w:caps/>
          <w:snapToGrid w:val="0"/>
        </w:rPr>
        <w:tab/>
      </w:r>
      <w:r>
        <w:rPr>
          <w:snapToGrid w:val="0"/>
        </w:rPr>
        <w:t>Рамочный план для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 xml:space="preserve">рпнож </w:t>
      </w:r>
      <w:r>
        <w:rPr>
          <w:caps/>
          <w:snapToGrid w:val="0"/>
        </w:rPr>
        <w:tab/>
      </w:r>
      <w:r>
        <w:rPr>
          <w:snapToGrid w:val="0"/>
        </w:rPr>
        <w:t>Развитие производственных навыков у обездоленных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рс</w:t>
      </w:r>
      <w:r>
        <w:rPr>
          <w:caps/>
          <w:snapToGrid w:val="0"/>
        </w:rPr>
        <w:tab/>
      </w:r>
      <w:r>
        <w:rPr>
          <w:snapToGrid w:val="0"/>
        </w:rPr>
        <w:t>Рабочая сила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рсхр</w:t>
      </w:r>
      <w:r>
        <w:rPr>
          <w:caps/>
          <w:snapToGrid w:val="0"/>
        </w:rPr>
        <w:tab/>
      </w:r>
      <w:r>
        <w:rPr>
          <w:snapToGrid w:val="0"/>
        </w:rPr>
        <w:t>Региональный совет по делам сельского хозяйства и рыболовс</w:t>
      </w:r>
      <w:r>
        <w:rPr>
          <w:snapToGrid w:val="0"/>
        </w:rPr>
        <w:t>т</w:t>
      </w:r>
      <w:r>
        <w:rPr>
          <w:snapToGrid w:val="0"/>
        </w:rPr>
        <w:t>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рцфт</w:t>
      </w:r>
      <w:r>
        <w:rPr>
          <w:caps/>
          <w:snapToGrid w:val="0"/>
        </w:rPr>
        <w:tab/>
      </w:r>
      <w:r>
        <w:rPr>
          <w:snapToGrid w:val="0"/>
        </w:rPr>
        <w:t>Ресурсный центр для филиппинских трудящихся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сакоп</w:t>
      </w:r>
      <w:r>
        <w:rPr>
          <w:caps/>
          <w:snapToGrid w:val="0"/>
        </w:rPr>
        <w:tab/>
      </w:r>
      <w:r>
        <w:rPr>
          <w:snapToGrid w:val="0"/>
        </w:rPr>
        <w:t>Совет по социализации Пампанга</w:t>
      </w:r>
    </w:p>
    <w:p w:rsidR="00000000" w:rsidRDefault="00000000">
      <w:pPr>
        <w:pStyle w:val="SingleTxt"/>
        <w:tabs>
          <w:tab w:val="clear" w:pos="1267"/>
          <w:tab w:val="clear" w:pos="1742"/>
          <w:tab w:val="clear" w:pos="2218"/>
          <w:tab w:val="clear" w:pos="2693"/>
        </w:tabs>
        <w:suppressAutoHyphens/>
        <w:ind w:left="3119" w:hanging="1852"/>
        <w:jc w:val="left"/>
        <w:rPr>
          <w:i/>
          <w:snapToGrid w:val="0"/>
        </w:rPr>
      </w:pPr>
      <w:r>
        <w:rPr>
          <w:caps/>
          <w:snapToGrid w:val="0"/>
        </w:rPr>
        <w:t>салиган</w:t>
      </w:r>
      <w:r>
        <w:rPr>
          <w:caps/>
          <w:snapToGrid w:val="0"/>
        </w:rPr>
        <w:tab/>
      </w:r>
      <w:r>
        <w:rPr>
          <w:i/>
          <w:snapToGrid w:val="0"/>
        </w:rPr>
        <w:t>Сентро нг алтернатибонг лингап панлегаль</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санс/ОД</w:t>
      </w:r>
      <w:r>
        <w:rPr>
          <w:caps/>
          <w:snapToGrid w:val="0"/>
        </w:rPr>
        <w:tab/>
      </w:r>
      <w:r>
        <w:rPr>
          <w:snapToGrid w:val="0"/>
        </w:rPr>
        <w:t>Специальные адвокаты, назначенные судом/опекуны по дол</w:t>
      </w:r>
      <w:r>
        <w:rPr>
          <w:snapToGrid w:val="0"/>
        </w:rPr>
        <w:t>ж</w:t>
      </w:r>
      <w:r>
        <w:rPr>
          <w:snapToGrid w:val="0"/>
        </w:rPr>
        <w:t>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свап</w:t>
      </w:r>
      <w:r>
        <w:rPr>
          <w:caps/>
          <w:snapToGrid w:val="0"/>
        </w:rPr>
        <w:tab/>
      </w:r>
      <w:r>
        <w:rPr>
          <w:snapToGrid w:val="0"/>
        </w:rPr>
        <w:t>Программа оказания помощи в области трудоустройства СВАП</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сзмр</w:t>
      </w:r>
      <w:r>
        <w:rPr>
          <w:caps/>
          <w:snapToGrid w:val="0"/>
        </w:rPr>
        <w:tab/>
      </w:r>
      <w:r>
        <w:rPr>
          <w:snapToGrid w:val="0"/>
        </w:rPr>
        <w:t>Специальная зона для мира и развития</w:t>
      </w:r>
    </w:p>
    <w:p w:rsidR="00000000" w:rsidRDefault="00000000">
      <w:pPr>
        <w:pStyle w:val="SingleTxt"/>
        <w:tabs>
          <w:tab w:val="clear" w:pos="1267"/>
          <w:tab w:val="clear" w:pos="1742"/>
          <w:tab w:val="clear" w:pos="2218"/>
          <w:tab w:val="clear" w:pos="2693"/>
        </w:tabs>
        <w:suppressAutoHyphens/>
        <w:ind w:left="3119" w:hanging="1852"/>
        <w:jc w:val="left"/>
      </w:pPr>
      <w:r>
        <w:rPr>
          <w:caps/>
          <w:snapToGrid w:val="0"/>
        </w:rPr>
        <w:t>сибол</w:t>
      </w:r>
      <w:r>
        <w:rPr>
          <w:b/>
          <w:i/>
          <w:caps/>
          <w:snapToGrid w:val="0"/>
        </w:rPr>
        <w:tab/>
      </w:r>
      <w:r>
        <w:t>Сама-саманг инисуятиба нг кабабаиахан са пагбабаго нг батас aт л</w:t>
      </w:r>
      <w:r>
        <w:t>и</w:t>
      </w:r>
      <w:r>
        <w:t>пунан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СКСИ</w:t>
      </w:r>
      <w:r>
        <w:rPr>
          <w:caps/>
          <w:snapToGrid w:val="0"/>
        </w:rPr>
        <w:tab/>
      </w:r>
      <w:r>
        <w:rPr>
          <w:snapToGrid w:val="0"/>
        </w:rPr>
        <w:t>Совет карьерной службы в исполнительных органах власти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слн</w:t>
      </w:r>
      <w:r>
        <w:rPr>
          <w:caps/>
          <w:snapToGrid w:val="0"/>
        </w:rPr>
        <w:tab/>
      </w:r>
      <w:r>
        <w:rPr>
          <w:snapToGrid w:val="0"/>
        </w:rPr>
        <w:t>Служба ликвидации неграмотности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снуц</w:t>
      </w:r>
      <w:r>
        <w:rPr>
          <w:caps/>
          <w:snapToGrid w:val="0"/>
        </w:rPr>
        <w:tab/>
      </w:r>
      <w:r>
        <w:rPr>
          <w:snapToGrid w:val="0"/>
        </w:rPr>
        <w:t>Статистический научно-исследовательский и учебный центр</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СОД</w:t>
      </w:r>
      <w:r>
        <w:rPr>
          <w:caps/>
          <w:snapToGrid w:val="0"/>
          <w:spacing w:val="0"/>
          <w:w w:val="100"/>
          <w:kern w:val="0"/>
          <w:lang w:eastAsia="en-US"/>
        </w:rPr>
        <w:tab/>
      </w:r>
      <w:r>
        <w:rPr>
          <w:snapToGrid w:val="0"/>
        </w:rPr>
        <w:t>Совет по делам социального обеспечения детей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сопс</w:t>
      </w:r>
      <w:r>
        <w:rPr>
          <w:caps/>
          <w:snapToGrid w:val="0"/>
        </w:rPr>
        <w:tab/>
      </w:r>
      <w:r>
        <w:rPr>
          <w:snapToGrid w:val="0"/>
        </w:rPr>
        <w:t>Семинар по ориентации для покидающих страну</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СПВЗ</w:t>
      </w:r>
      <w:r>
        <w:rPr>
          <w:snapToGrid w:val="0"/>
        </w:rPr>
        <w:tab/>
        <w:t>Сертификат о праве на владение землей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спж</w:t>
      </w:r>
      <w:r>
        <w:rPr>
          <w:caps/>
          <w:snapToGrid w:val="0"/>
        </w:rPr>
        <w:tab/>
      </w:r>
      <w:r>
        <w:rPr>
          <w:snapToGrid w:val="0"/>
        </w:rPr>
        <w:t>Служба по положению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СПИД</w:t>
      </w:r>
      <w:r>
        <w:rPr>
          <w:caps/>
          <w:snapToGrid w:val="0"/>
          <w:spacing w:val="0"/>
          <w:w w:val="100"/>
          <w:kern w:val="0"/>
          <w:lang w:eastAsia="en-US"/>
        </w:rPr>
        <w:tab/>
      </w:r>
      <w:r>
        <w:rPr>
          <w:snapToGrid w:val="0"/>
        </w:rPr>
        <w:t>Синдром приобретенного иммунодефицита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СПИЖ</w:t>
      </w:r>
      <w:r>
        <w:rPr>
          <w:snapToGrid w:val="0"/>
        </w:rPr>
        <w:tab/>
        <w:t>Синдром подвергшейся избиениям жены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спр</w:t>
      </w:r>
      <w:r>
        <w:rPr>
          <w:caps/>
          <w:snapToGrid w:val="0"/>
        </w:rPr>
        <w:tab/>
      </w:r>
      <w:r>
        <w:rPr>
          <w:snapToGrid w:val="0"/>
        </w:rPr>
        <w:t>Социальная помощь в целях развития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спрФ</w:t>
      </w:r>
      <w:r>
        <w:rPr>
          <w:caps/>
          <w:snapToGrid w:val="0"/>
        </w:rPr>
        <w:tab/>
      </w:r>
      <w:r>
        <w:rPr>
          <w:snapToGrid w:val="0"/>
        </w:rPr>
        <w:t>Среднесрочный план развития Филиппин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ссгс</w:t>
      </w:r>
      <w:r>
        <w:rPr>
          <w:caps/>
          <w:snapToGrid w:val="0"/>
        </w:rPr>
        <w:tab/>
      </w:r>
      <w:r>
        <w:rPr>
          <w:snapToGrid w:val="0"/>
        </w:rPr>
        <w:t>Система страхования государственных служащих</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сср</w:t>
      </w:r>
      <w:r>
        <w:rPr>
          <w:caps/>
          <w:snapToGrid w:val="0"/>
        </w:rPr>
        <w:tab/>
      </w:r>
      <w:r>
        <w:rPr>
          <w:snapToGrid w:val="0"/>
        </w:rPr>
        <w:t>Сообщество сельскохозяйственной реформы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ссс</w:t>
      </w:r>
      <w:r>
        <w:rPr>
          <w:caps/>
          <w:snapToGrid w:val="0"/>
        </w:rPr>
        <w:tab/>
      </w:r>
      <w:r>
        <w:rPr>
          <w:snapToGrid w:val="0"/>
        </w:rPr>
        <w:t>Система социального страхования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сулонг</w:t>
      </w:r>
      <w:r>
        <w:rPr>
          <w:caps/>
          <w:snapToGrid w:val="0"/>
        </w:rPr>
        <w:tab/>
      </w:r>
      <w:r>
        <w:rPr>
          <w:snapToGrid w:val="0"/>
        </w:rPr>
        <w:t>Единые возможности для кредитования МСП в интересах н</w:t>
      </w:r>
      <w:r>
        <w:rPr>
          <w:snapToGrid w:val="0"/>
        </w:rPr>
        <w:t>а</w:t>
      </w:r>
      <w:r>
        <w:rPr>
          <w:snapToGrid w:val="0"/>
        </w:rPr>
        <w:t>ционального развития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сфрз</w:t>
      </w:r>
      <w:r>
        <w:rPr>
          <w:caps/>
          <w:snapToGrid w:val="0"/>
        </w:rPr>
        <w:tab/>
      </w:r>
      <w:r>
        <w:rPr>
          <w:snapToGrid w:val="0"/>
        </w:rPr>
        <w:t>Сотрудник по делам филиппинцев, работающих за рубежом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тжрпн</w:t>
      </w:r>
      <w:r>
        <w:rPr>
          <w:caps/>
          <w:snapToGrid w:val="0"/>
        </w:rPr>
        <w:tab/>
      </w:r>
      <w:r>
        <w:rPr>
          <w:snapToGrid w:val="0"/>
        </w:rPr>
        <w:t>Трудоустройство женщин и развитие предпринимательских н</w:t>
      </w:r>
      <w:r>
        <w:rPr>
          <w:snapToGrid w:val="0"/>
        </w:rPr>
        <w:t>а</w:t>
      </w:r>
      <w:r>
        <w:rPr>
          <w:snapToGrid w:val="0"/>
        </w:rPr>
        <w:t>выков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трф</w:t>
      </w:r>
      <w:r>
        <w:rPr>
          <w:caps/>
          <w:snapToGrid w:val="0"/>
        </w:rPr>
        <w:tab/>
      </w:r>
      <w:r>
        <w:rPr>
          <w:snapToGrid w:val="0"/>
        </w:rPr>
        <w:t>Технология регулирования фертильности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ТЦКП</w:t>
      </w:r>
      <w:r>
        <w:rPr>
          <w:caps/>
          <w:snapToGrid w:val="0"/>
        </w:rPr>
        <w:tab/>
      </w:r>
      <w:r>
        <w:rPr>
          <w:snapToGrid w:val="0"/>
        </w:rPr>
        <w:t>Технологический центр кустарного производства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уг</w:t>
      </w:r>
      <w:r>
        <w:rPr>
          <w:caps/>
          <w:snapToGrid w:val="0"/>
        </w:rPr>
        <w:tab/>
      </w:r>
      <w:r>
        <w:rPr>
          <w:snapToGrid w:val="0"/>
        </w:rPr>
        <w:t>Учебный год</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УДРВР</w:t>
      </w:r>
      <w:r>
        <w:rPr>
          <w:snapToGrid w:val="0"/>
        </w:rPr>
        <w:tab/>
        <w:t>Уход за детьми в раннем возрасте и их развитие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укоз</w:t>
      </w:r>
      <w:r>
        <w:rPr>
          <w:caps/>
          <w:snapToGrid w:val="0"/>
        </w:rPr>
        <w:tab/>
      </w:r>
      <w:r>
        <w:rPr>
          <w:snapToGrid w:val="0"/>
        </w:rPr>
        <w:t>Учебный корпус офицеров запаса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уОгс</w:t>
      </w:r>
      <w:r>
        <w:rPr>
          <w:caps/>
          <w:snapToGrid w:val="0"/>
        </w:rPr>
        <w:tab/>
      </w:r>
      <w:r>
        <w:rPr>
          <w:snapToGrid w:val="0"/>
        </w:rPr>
        <w:t>Управление по обслуживанию государственных органов</w:t>
      </w:r>
    </w:p>
    <w:p w:rsidR="00000000" w:rsidRDefault="00000000">
      <w:pPr>
        <w:pStyle w:val="SingleTxt"/>
        <w:tabs>
          <w:tab w:val="clear" w:pos="1267"/>
          <w:tab w:val="clear" w:pos="1742"/>
          <w:tab w:val="clear" w:pos="2218"/>
          <w:tab w:val="clear" w:pos="2693"/>
        </w:tabs>
        <w:suppressAutoHyphens/>
        <w:ind w:left="3119" w:hanging="1852"/>
        <w:jc w:val="left"/>
        <w:rPr>
          <w:caps/>
        </w:rPr>
      </w:pPr>
      <w:r>
        <w:rPr>
          <w:caps/>
        </w:rPr>
        <w:t>упрнч</w:t>
      </w:r>
      <w:r>
        <w:tab/>
        <w:t>Учебная программа развития навыков чтения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урс</w:t>
      </w:r>
      <w:r>
        <w:rPr>
          <w:caps/>
          <w:snapToGrid w:val="0"/>
        </w:rPr>
        <w:tab/>
      </w:r>
      <w:r>
        <w:rPr>
          <w:snapToGrid w:val="0"/>
        </w:rPr>
        <w:t>Управление по развитию на основе сотрудничества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усог</w:t>
      </w:r>
      <w:r>
        <w:rPr>
          <w:caps/>
          <w:snapToGrid w:val="0"/>
        </w:rPr>
        <w:tab/>
      </w:r>
      <w:r>
        <w:rPr>
          <w:snapToGrid w:val="0"/>
        </w:rPr>
        <w:t>Учебная служба по социальному обеспечению граждан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усорз</w:t>
      </w:r>
      <w:r>
        <w:rPr>
          <w:caps/>
          <w:snapToGrid w:val="0"/>
        </w:rPr>
        <w:tab/>
      </w:r>
      <w:r>
        <w:rPr>
          <w:snapToGrid w:val="0"/>
        </w:rPr>
        <w:t>Управление по социальному обеспечению работающих за руб</w:t>
      </w:r>
      <w:r>
        <w:rPr>
          <w:snapToGrid w:val="0"/>
        </w:rPr>
        <w:t>е</w:t>
      </w:r>
      <w:r>
        <w:rPr>
          <w:snapToGrid w:val="0"/>
        </w:rPr>
        <w:t>жом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уторн</w:t>
      </w:r>
      <w:r>
        <w:rPr>
          <w:caps/>
          <w:snapToGrid w:val="0"/>
        </w:rPr>
        <w:tab/>
      </w:r>
      <w:r>
        <w:rPr>
          <w:snapToGrid w:val="0"/>
        </w:rPr>
        <w:t>Управление по техническому образованию и развитию навыков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уфэз</w:t>
      </w:r>
      <w:r>
        <w:rPr>
          <w:caps/>
          <w:snapToGrid w:val="0"/>
        </w:rPr>
        <w:tab/>
      </w:r>
      <w:r>
        <w:rPr>
          <w:snapToGrid w:val="0"/>
        </w:rPr>
        <w:t>Управление по делам филиппинской экономической зоны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фажи</w:t>
      </w:r>
      <w:r>
        <w:rPr>
          <w:caps/>
          <w:snapToGrid w:val="0"/>
        </w:rPr>
        <w:tab/>
      </w:r>
      <w:r>
        <w:rPr>
          <w:snapToGrid w:val="0"/>
        </w:rPr>
        <w:t>Филиппинская ассоциация женских исследований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фаут</w:t>
      </w:r>
      <w:r>
        <w:rPr>
          <w:caps/>
          <w:snapToGrid w:val="0"/>
        </w:rPr>
        <w:tab/>
      </w:r>
      <w:r>
        <w:rPr>
          <w:snapToGrid w:val="0"/>
        </w:rPr>
        <w:t>Филиппинская ассоциация учебного театра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фбр</w:t>
      </w:r>
      <w:r>
        <w:rPr>
          <w:caps/>
          <w:snapToGrid w:val="0"/>
        </w:rPr>
        <w:tab/>
      </w:r>
      <w:r>
        <w:rPr>
          <w:snapToGrid w:val="0"/>
        </w:rPr>
        <w:t>Филиппинский банк развития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фзб</w:t>
      </w:r>
      <w:r>
        <w:rPr>
          <w:caps/>
          <w:snapToGrid w:val="0"/>
        </w:rPr>
        <w:tab/>
      </w:r>
      <w:r>
        <w:rPr>
          <w:snapToGrid w:val="0"/>
        </w:rPr>
        <w:t>Филиппинский земельный банк</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фкнк</w:t>
      </w:r>
      <w:r>
        <w:rPr>
          <w:caps/>
          <w:snapToGrid w:val="0"/>
        </w:rPr>
        <w:tab/>
      </w:r>
      <w:r>
        <w:rPr>
          <w:snapToGrid w:val="0"/>
        </w:rPr>
        <w:t>Финансовая корпорация народного кредита</w:t>
      </w:r>
    </w:p>
    <w:p w:rsidR="00000000" w:rsidRDefault="00000000">
      <w:pPr>
        <w:pStyle w:val="SingleTxt"/>
        <w:tabs>
          <w:tab w:val="clear" w:pos="1267"/>
          <w:tab w:val="clear" w:pos="1742"/>
          <w:tab w:val="clear" w:pos="2218"/>
          <w:tab w:val="clear" w:pos="2693"/>
        </w:tabs>
        <w:suppressAutoHyphens/>
        <w:ind w:left="3119" w:hanging="1852"/>
        <w:jc w:val="left"/>
      </w:pPr>
      <w:r>
        <w:rPr>
          <w:caps/>
          <w:snapToGrid w:val="0"/>
        </w:rPr>
        <w:t>фкп</w:t>
      </w:r>
      <w:r>
        <w:rPr>
          <w:i/>
          <w:caps/>
          <w:snapToGrid w:val="0"/>
        </w:rPr>
        <w:tab/>
      </w:r>
      <w:r>
        <w:t>Филиппинский конгресс профсоюзов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фкпч</w:t>
      </w:r>
      <w:r>
        <w:rPr>
          <w:caps/>
          <w:snapToGrid w:val="0"/>
        </w:rPr>
        <w:tab/>
      </w:r>
      <w:r>
        <w:rPr>
          <w:snapToGrid w:val="0"/>
        </w:rPr>
        <w:t>Филиппинская комиссия по правам человека</w:t>
      </w:r>
    </w:p>
    <w:p w:rsidR="00000000" w:rsidRDefault="00000000">
      <w:pPr>
        <w:pStyle w:val="SingleTxt"/>
        <w:tabs>
          <w:tab w:val="clear" w:pos="1267"/>
          <w:tab w:val="clear" w:pos="1742"/>
          <w:tab w:val="clear" w:pos="2218"/>
          <w:tab w:val="clear" w:pos="2693"/>
        </w:tabs>
        <w:suppressAutoHyphens/>
        <w:ind w:left="3119" w:hanging="1852"/>
        <w:jc w:val="left"/>
      </w:pPr>
      <w:r>
        <w:t>ФЛЕММС</w:t>
      </w:r>
      <w:r>
        <w:rPr>
          <w:i/>
          <w:caps/>
          <w:snapToGrid w:val="0"/>
          <w:spacing w:val="0"/>
          <w:w w:val="100"/>
          <w:kern w:val="0"/>
          <w:lang w:eastAsia="en-US"/>
        </w:rPr>
        <w:tab/>
      </w:r>
      <w:r>
        <w:t>Обследование в области функциональной грамотности, обр</w:t>
      </w:r>
      <w:r>
        <w:t>а</w:t>
      </w:r>
      <w:r>
        <w:t>зования и СМИ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фнп</w:t>
      </w:r>
      <w:r>
        <w:rPr>
          <w:caps/>
          <w:snapToGrid w:val="0"/>
        </w:rPr>
        <w:tab/>
      </w:r>
      <w:r>
        <w:rPr>
          <w:snapToGrid w:val="0"/>
        </w:rPr>
        <w:t>Филиппинская национальная полиция</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фпрга</w:t>
      </w:r>
      <w:r>
        <w:rPr>
          <w:caps/>
          <w:snapToGrid w:val="0"/>
        </w:rPr>
        <w:tab/>
      </w:r>
      <w:r>
        <w:rPr>
          <w:snapToGrid w:val="0"/>
        </w:rPr>
        <w:t>Филиппинский план развития с учетом гендерных аспектов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фпрж</w:t>
      </w:r>
      <w:r>
        <w:rPr>
          <w:caps/>
          <w:snapToGrid w:val="0"/>
        </w:rPr>
        <w:tab/>
      </w:r>
      <w:r>
        <w:rPr>
          <w:snapToGrid w:val="0"/>
        </w:rPr>
        <w:t>Филиппинский план развития для женщин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фтуц</w:t>
      </w:r>
      <w:r>
        <w:rPr>
          <w:caps/>
          <w:snapToGrid w:val="0"/>
        </w:rPr>
        <w:tab/>
      </w:r>
      <w:r>
        <w:rPr>
          <w:snapToGrid w:val="0"/>
        </w:rPr>
        <w:t>Филиппинский торговый и учебный центр</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фуФз</w:t>
      </w:r>
      <w:r>
        <w:rPr>
          <w:caps/>
          <w:snapToGrid w:val="0"/>
        </w:rPr>
        <w:tab/>
      </w:r>
      <w:r>
        <w:rPr>
          <w:snapToGrid w:val="0"/>
        </w:rPr>
        <w:t>Филиппинское управление по трудоустройству за рубежом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фцжр</w:t>
      </w:r>
      <w:r>
        <w:rPr>
          <w:caps/>
          <w:snapToGrid w:val="0"/>
        </w:rPr>
        <w:tab/>
      </w:r>
      <w:r>
        <w:rPr>
          <w:snapToGrid w:val="0"/>
        </w:rPr>
        <w:t>Филиппинский центр журналистских расследований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фцтп</w:t>
      </w:r>
      <w:r>
        <w:rPr>
          <w:caps/>
          <w:snapToGrid w:val="0"/>
        </w:rPr>
        <w:tab/>
      </w:r>
      <w:r>
        <w:rPr>
          <w:snapToGrid w:val="0"/>
        </w:rPr>
        <w:t>Филиппинский центр по транснациональной преступности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хавен</w:t>
      </w:r>
      <w:r>
        <w:rPr>
          <w:caps/>
          <w:snapToGrid w:val="0"/>
        </w:rPr>
        <w:tab/>
      </w:r>
      <w:r>
        <w:rPr>
          <w:snapToGrid w:val="0"/>
        </w:rPr>
        <w:t>Кризисное вмешательство на базе медицинских учреждений в интересах потерпевших женщин/переживших нас</w:t>
      </w:r>
      <w:r>
        <w:rPr>
          <w:snapToGrid w:val="0"/>
        </w:rPr>
        <w:t>и</w:t>
      </w:r>
      <w:r>
        <w:rPr>
          <w:snapToGrid w:val="0"/>
        </w:rPr>
        <w:t>лие</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хасик</w:t>
      </w:r>
      <w:r>
        <w:rPr>
          <w:caps/>
          <w:snapToGrid w:val="0"/>
        </w:rPr>
        <w:tab/>
      </w:r>
      <w:r>
        <w:rPr>
          <w:snapToGrid w:val="0"/>
        </w:rPr>
        <w:t>Внедрение инициатив, предусматривающих опору на собстве</w:t>
      </w:r>
      <w:r>
        <w:rPr>
          <w:snapToGrid w:val="0"/>
        </w:rPr>
        <w:t>н</w:t>
      </w:r>
      <w:r>
        <w:rPr>
          <w:snapToGrid w:val="0"/>
        </w:rPr>
        <w:t>ные силы</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t>ЦБГТ</w:t>
      </w:r>
      <w:r>
        <w:rPr>
          <w:caps/>
          <w:snapToGrid w:val="0"/>
          <w:spacing w:val="0"/>
          <w:w w:val="100"/>
          <w:kern w:val="0"/>
          <w:lang w:eastAsia="en-US"/>
        </w:rPr>
        <w:tab/>
      </w:r>
      <w:r>
        <w:rPr>
          <w:snapToGrid w:val="0"/>
        </w:rPr>
        <w:t>Центр по безопасности и гигиене труда, министерство труда и занятости</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цгр</w:t>
      </w:r>
      <w:r>
        <w:rPr>
          <w:caps/>
          <w:snapToGrid w:val="0"/>
        </w:rPr>
        <w:tab/>
      </w:r>
      <w:r>
        <w:rPr>
          <w:snapToGrid w:val="0"/>
        </w:rPr>
        <w:t>Центр гендерных ресурсов</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snapToGrid w:val="0"/>
        </w:rPr>
        <w:t>ЦЖАТРП</w:t>
      </w:r>
      <w:r>
        <w:rPr>
          <w:snapToGrid w:val="0"/>
        </w:rPr>
        <w:tab/>
        <w:t>Центр для женщин в Азиатско-Тихоокеанском регионе, занимающихся п</w:t>
      </w:r>
      <w:r>
        <w:rPr>
          <w:snapToGrid w:val="0"/>
        </w:rPr>
        <w:t>о</w:t>
      </w:r>
      <w:r>
        <w:rPr>
          <w:snapToGrid w:val="0"/>
        </w:rPr>
        <w:t>литикой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црз</w:t>
      </w:r>
      <w:r>
        <w:rPr>
          <w:caps/>
          <w:snapToGrid w:val="0"/>
        </w:rPr>
        <w:tab/>
      </w:r>
      <w:r>
        <w:rPr>
          <w:snapToGrid w:val="0"/>
        </w:rPr>
        <w:t>Центр разработки законодательства</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цфужс</w:t>
      </w:r>
      <w:r>
        <w:rPr>
          <w:caps/>
          <w:snapToGrid w:val="0"/>
        </w:rPr>
        <w:tab/>
      </w:r>
      <w:r>
        <w:rPr>
          <w:snapToGrid w:val="0"/>
        </w:rPr>
        <w:t>Центр филиппинского университета по женским исследованиям</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юнисеф</w:t>
      </w:r>
      <w:r>
        <w:rPr>
          <w:caps/>
          <w:snapToGrid w:val="0"/>
        </w:rPr>
        <w:tab/>
      </w:r>
      <w:r>
        <w:rPr>
          <w:snapToGrid w:val="0"/>
        </w:rPr>
        <w:t>Детский фонд Организации Объединенных Наций</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юнифем</w:t>
      </w:r>
      <w:r>
        <w:rPr>
          <w:caps/>
          <w:snapToGrid w:val="0"/>
        </w:rPr>
        <w:tab/>
      </w:r>
      <w:r>
        <w:rPr>
          <w:snapToGrid w:val="0"/>
        </w:rPr>
        <w:t>Фонд Организации Объединенных Наций для развития в интересах же</w:t>
      </w:r>
      <w:r>
        <w:rPr>
          <w:snapToGrid w:val="0"/>
        </w:rPr>
        <w:t>н</w:t>
      </w:r>
      <w:r>
        <w:rPr>
          <w:snapToGrid w:val="0"/>
        </w:rPr>
        <w:t>щин</w:t>
      </w:r>
    </w:p>
    <w:p w:rsidR="00000000" w:rsidRDefault="00000000">
      <w:pPr>
        <w:pStyle w:val="SingleTxt"/>
        <w:tabs>
          <w:tab w:val="clear" w:pos="1267"/>
          <w:tab w:val="clear" w:pos="1742"/>
          <w:tab w:val="clear" w:pos="2218"/>
          <w:tab w:val="clear" w:pos="2693"/>
        </w:tabs>
        <w:suppressAutoHyphens/>
        <w:ind w:left="3119" w:hanging="1852"/>
        <w:jc w:val="left"/>
        <w:rPr>
          <w:snapToGrid w:val="0"/>
        </w:rPr>
      </w:pPr>
      <w:r>
        <w:rPr>
          <w:caps/>
          <w:snapToGrid w:val="0"/>
        </w:rPr>
        <w:t>юнфпа</w:t>
      </w:r>
      <w:r>
        <w:rPr>
          <w:caps/>
          <w:snapToGrid w:val="0"/>
        </w:rPr>
        <w:tab/>
      </w:r>
      <w:r>
        <w:rPr>
          <w:snapToGrid w:val="0"/>
        </w:rPr>
        <w:t>Фонд в области народонаселения Организации Объединенных Наций</w:t>
      </w:r>
    </w:p>
    <w:p w:rsidR="00000000" w:rsidRDefault="00000000">
      <w:pPr>
        <w:rPr>
          <w:sz w:val="24"/>
        </w:rPr>
      </w:pPr>
    </w:p>
    <w:p w:rsidR="00000000" w:rsidRDefault="00000000">
      <w:pP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pPr>
      <w:bookmarkStart w:id="8" w:name="_Toc85174877"/>
      <w:r>
        <w:t>Выражение признательности</w:t>
      </w:r>
      <w:bookmarkEnd w:id="8"/>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napToGrid w:val="0"/>
          <w:color w:val="000000"/>
        </w:rPr>
      </w:pPr>
      <w:r>
        <w:rPr>
          <w:snapToGrid w:val="0"/>
          <w:color w:val="000000"/>
        </w:rPr>
        <w:t>Национальная комиссия по положению филиппинских женщин (НКПФЖ) х</w:t>
      </w:r>
      <w:r>
        <w:rPr>
          <w:snapToGrid w:val="0"/>
          <w:color w:val="000000"/>
        </w:rPr>
        <w:t>о</w:t>
      </w:r>
      <w:r>
        <w:rPr>
          <w:snapToGrid w:val="0"/>
          <w:color w:val="000000"/>
        </w:rPr>
        <w:t>тела бы выразить признательность следующим правительственным учрежд</w:t>
      </w:r>
      <w:r>
        <w:rPr>
          <w:snapToGrid w:val="0"/>
          <w:color w:val="000000"/>
        </w:rPr>
        <w:t>е</w:t>
      </w:r>
      <w:r>
        <w:rPr>
          <w:snapToGrid w:val="0"/>
          <w:color w:val="000000"/>
        </w:rPr>
        <w:t>ниям, которые внесли значительный вклад в подготовку настоящего доклада и проверку изложенных в нем фактов:</w:t>
      </w:r>
    </w:p>
    <w:p w:rsidR="00000000" w:rsidRDefault="00000000">
      <w:pPr>
        <w:pStyle w:val="SingleTxt"/>
        <w:tabs>
          <w:tab w:val="clear" w:pos="1267"/>
        </w:tabs>
        <w:suppressAutoHyphens/>
        <w:ind w:left="1701"/>
        <w:rPr>
          <w:snapToGrid w:val="0"/>
          <w:color w:val="000000"/>
        </w:rPr>
      </w:pPr>
      <w:r>
        <w:rPr>
          <w:snapToGrid w:val="0"/>
          <w:color w:val="000000"/>
        </w:rPr>
        <w:t>Комиссия по гражданской службе</w:t>
      </w:r>
    </w:p>
    <w:p w:rsidR="00000000" w:rsidRDefault="00000000">
      <w:pPr>
        <w:pStyle w:val="SingleTxt"/>
        <w:tabs>
          <w:tab w:val="clear" w:pos="1267"/>
        </w:tabs>
        <w:suppressAutoHyphens/>
        <w:ind w:left="1701"/>
      </w:pPr>
      <w:r>
        <w:t>Совет по делам служащих испо</w:t>
      </w:r>
      <w:r>
        <w:t>л</w:t>
      </w:r>
      <w:r>
        <w:t>нительных органов власти</w:t>
      </w:r>
    </w:p>
    <w:p w:rsidR="00000000" w:rsidRDefault="00000000">
      <w:pPr>
        <w:pStyle w:val="SingleTxt"/>
        <w:tabs>
          <w:tab w:val="clear" w:pos="1267"/>
        </w:tabs>
        <w:suppressAutoHyphens/>
        <w:ind w:left="1701"/>
        <w:rPr>
          <w:snapToGrid w:val="0"/>
          <w:color w:val="000000"/>
        </w:rPr>
      </w:pPr>
      <w:r>
        <w:rPr>
          <w:snapToGrid w:val="0"/>
          <w:color w:val="000000"/>
        </w:rPr>
        <w:t>Комиссия по выборам</w:t>
      </w:r>
    </w:p>
    <w:p w:rsidR="00000000" w:rsidRDefault="00000000">
      <w:pPr>
        <w:pStyle w:val="SingleTxt"/>
        <w:tabs>
          <w:tab w:val="clear" w:pos="1267"/>
        </w:tabs>
        <w:suppressAutoHyphens/>
        <w:ind w:left="1701"/>
        <w:rPr>
          <w:snapToGrid w:val="0"/>
          <w:color w:val="000000"/>
        </w:rPr>
      </w:pPr>
      <w:r>
        <w:rPr>
          <w:snapToGrid w:val="0"/>
          <w:color w:val="000000"/>
        </w:rPr>
        <w:t>Комиссия по делам филиппинцев, прож</w:t>
      </w:r>
      <w:r>
        <w:rPr>
          <w:snapToGrid w:val="0"/>
          <w:color w:val="000000"/>
        </w:rPr>
        <w:t>и</w:t>
      </w:r>
      <w:r>
        <w:rPr>
          <w:snapToGrid w:val="0"/>
          <w:color w:val="000000"/>
        </w:rPr>
        <w:t>вающих за рубежом</w:t>
      </w:r>
    </w:p>
    <w:p w:rsidR="00000000" w:rsidRDefault="00000000">
      <w:pPr>
        <w:pStyle w:val="SingleTxt"/>
        <w:tabs>
          <w:tab w:val="clear" w:pos="1267"/>
        </w:tabs>
        <w:suppressAutoHyphens/>
        <w:ind w:left="1701"/>
      </w:pPr>
      <w:r>
        <w:t>Комиссия по высшему образованию</w:t>
      </w:r>
    </w:p>
    <w:p w:rsidR="00000000" w:rsidRDefault="00000000">
      <w:pPr>
        <w:pStyle w:val="SingleTxt"/>
        <w:tabs>
          <w:tab w:val="clear" w:pos="1267"/>
        </w:tabs>
        <w:suppressAutoHyphens/>
        <w:ind w:left="1701"/>
        <w:rPr>
          <w:snapToGrid w:val="0"/>
          <w:color w:val="000000"/>
        </w:rPr>
      </w:pPr>
      <w:r>
        <w:rPr>
          <w:snapToGrid w:val="0"/>
          <w:color w:val="000000"/>
        </w:rPr>
        <w:t>Комиссия по правам человека</w:t>
      </w:r>
    </w:p>
    <w:p w:rsidR="00000000" w:rsidRDefault="00000000">
      <w:pPr>
        <w:pStyle w:val="SingleTxt"/>
        <w:tabs>
          <w:tab w:val="clear" w:pos="1267"/>
        </w:tabs>
        <w:suppressAutoHyphens/>
        <w:ind w:left="1701"/>
        <w:rPr>
          <w:snapToGrid w:val="0"/>
          <w:color w:val="000000"/>
        </w:rPr>
      </w:pPr>
      <w:r>
        <w:rPr>
          <w:snapToGrid w:val="0"/>
          <w:color w:val="000000"/>
        </w:rPr>
        <w:t>Комиссия по народонаселению</w:t>
      </w:r>
    </w:p>
    <w:p w:rsidR="00000000" w:rsidRDefault="00000000">
      <w:pPr>
        <w:pStyle w:val="SingleTxt"/>
        <w:tabs>
          <w:tab w:val="clear" w:pos="1267"/>
        </w:tabs>
        <w:suppressAutoHyphens/>
        <w:ind w:left="1701"/>
        <w:rPr>
          <w:snapToGrid w:val="0"/>
          <w:color w:val="000000"/>
        </w:rPr>
      </w:pPr>
      <w:r>
        <w:rPr>
          <w:snapToGrid w:val="0"/>
          <w:color w:val="000000"/>
        </w:rPr>
        <w:t>Министерство по сельскохозяйственной реформе</w:t>
      </w:r>
    </w:p>
    <w:p w:rsidR="00000000" w:rsidRDefault="00000000">
      <w:pPr>
        <w:pStyle w:val="SingleTxt"/>
        <w:tabs>
          <w:tab w:val="clear" w:pos="1267"/>
        </w:tabs>
        <w:suppressAutoHyphens/>
        <w:ind w:left="1701"/>
        <w:rPr>
          <w:snapToGrid w:val="0"/>
          <w:color w:val="000000"/>
        </w:rPr>
      </w:pPr>
      <w:r>
        <w:rPr>
          <w:snapToGrid w:val="0"/>
          <w:color w:val="000000"/>
        </w:rPr>
        <w:t>Министерство сельского хозяйства</w:t>
      </w:r>
    </w:p>
    <w:p w:rsidR="00000000" w:rsidRDefault="00000000">
      <w:pPr>
        <w:pStyle w:val="SingleTxt"/>
        <w:tabs>
          <w:tab w:val="clear" w:pos="1267"/>
        </w:tabs>
        <w:suppressAutoHyphens/>
        <w:ind w:left="1701"/>
        <w:rPr>
          <w:snapToGrid w:val="0"/>
          <w:color w:val="000000"/>
        </w:rPr>
      </w:pPr>
      <w:r>
        <w:rPr>
          <w:snapToGrid w:val="0"/>
          <w:color w:val="000000"/>
        </w:rPr>
        <w:t>Министерство бюджета и управления</w:t>
      </w:r>
    </w:p>
    <w:p w:rsidR="00000000" w:rsidRDefault="00000000">
      <w:pPr>
        <w:pStyle w:val="SingleTxt"/>
        <w:tabs>
          <w:tab w:val="clear" w:pos="1267"/>
        </w:tabs>
        <w:suppressAutoHyphens/>
        <w:ind w:left="1701"/>
        <w:rPr>
          <w:snapToGrid w:val="0"/>
          <w:color w:val="000000"/>
        </w:rPr>
      </w:pPr>
      <w:r>
        <w:rPr>
          <w:snapToGrid w:val="0"/>
          <w:color w:val="000000"/>
        </w:rPr>
        <w:t>Министерство образования</w:t>
      </w:r>
    </w:p>
    <w:p w:rsidR="00000000" w:rsidRDefault="00000000">
      <w:pPr>
        <w:pStyle w:val="SingleTxt"/>
        <w:tabs>
          <w:tab w:val="clear" w:pos="1267"/>
        </w:tabs>
        <w:suppressAutoHyphens/>
        <w:ind w:left="1701"/>
        <w:rPr>
          <w:snapToGrid w:val="0"/>
          <w:color w:val="000000"/>
        </w:rPr>
      </w:pPr>
      <w:r>
        <w:rPr>
          <w:snapToGrid w:val="0"/>
          <w:color w:val="000000"/>
        </w:rPr>
        <w:t>Министерство по окружающей среде и природным ресурсам</w:t>
      </w:r>
    </w:p>
    <w:p w:rsidR="00000000" w:rsidRDefault="00000000">
      <w:pPr>
        <w:pStyle w:val="SingleTxt"/>
        <w:tabs>
          <w:tab w:val="clear" w:pos="1267"/>
        </w:tabs>
        <w:suppressAutoHyphens/>
        <w:ind w:left="1701"/>
        <w:rPr>
          <w:snapToGrid w:val="0"/>
          <w:color w:val="000000"/>
        </w:rPr>
      </w:pPr>
      <w:r>
        <w:rPr>
          <w:snapToGrid w:val="0"/>
          <w:color w:val="000000"/>
        </w:rPr>
        <w:t>Министерство финансов</w:t>
      </w:r>
    </w:p>
    <w:p w:rsidR="00000000" w:rsidRDefault="00000000">
      <w:pPr>
        <w:pStyle w:val="SingleTxt"/>
        <w:tabs>
          <w:tab w:val="clear" w:pos="1267"/>
        </w:tabs>
        <w:suppressAutoHyphens/>
        <w:ind w:left="1701"/>
        <w:rPr>
          <w:snapToGrid w:val="0"/>
          <w:color w:val="000000"/>
        </w:rPr>
      </w:pPr>
      <w:r>
        <w:rPr>
          <w:snapToGrid w:val="0"/>
          <w:color w:val="000000"/>
        </w:rPr>
        <w:t>Министерство иностранных дел</w:t>
      </w:r>
    </w:p>
    <w:p w:rsidR="00000000" w:rsidRDefault="00000000">
      <w:pPr>
        <w:pStyle w:val="SingleTxt"/>
        <w:tabs>
          <w:tab w:val="clear" w:pos="1267"/>
        </w:tabs>
        <w:suppressAutoHyphens/>
        <w:ind w:left="1701"/>
        <w:rPr>
          <w:snapToGrid w:val="0"/>
          <w:color w:val="000000"/>
        </w:rPr>
      </w:pPr>
      <w:r>
        <w:rPr>
          <w:snapToGrid w:val="0"/>
          <w:color w:val="000000"/>
        </w:rPr>
        <w:t>Министерство здравоохранения</w:t>
      </w:r>
    </w:p>
    <w:p w:rsidR="00000000" w:rsidRDefault="00000000">
      <w:pPr>
        <w:pStyle w:val="SingleTxt"/>
        <w:tabs>
          <w:tab w:val="clear" w:pos="1267"/>
        </w:tabs>
        <w:suppressAutoHyphens/>
        <w:ind w:left="1701"/>
      </w:pPr>
      <w:r>
        <w:t>Министерство</w:t>
      </w:r>
      <w:r>
        <w:rPr>
          <w:snapToGrid w:val="0"/>
          <w:color w:val="000000"/>
        </w:rPr>
        <w:t xml:space="preserve"> </w:t>
      </w:r>
      <w:r>
        <w:t>внутренних дел и местных органов власти</w:t>
      </w:r>
    </w:p>
    <w:p w:rsidR="00000000" w:rsidRDefault="00000000">
      <w:pPr>
        <w:pStyle w:val="SingleTxt"/>
        <w:tabs>
          <w:tab w:val="clear" w:pos="1267"/>
        </w:tabs>
        <w:suppressAutoHyphens/>
        <w:ind w:left="1701"/>
        <w:rPr>
          <w:snapToGrid w:val="0"/>
          <w:color w:val="000000"/>
        </w:rPr>
      </w:pPr>
      <w:r>
        <w:rPr>
          <w:snapToGrid w:val="0"/>
          <w:color w:val="000000"/>
        </w:rPr>
        <w:t>Бюро управления тюрьмами и пенологии</w:t>
      </w:r>
    </w:p>
    <w:p w:rsidR="00000000" w:rsidRDefault="00000000">
      <w:pPr>
        <w:pStyle w:val="SingleTxt"/>
        <w:tabs>
          <w:tab w:val="clear" w:pos="1267"/>
        </w:tabs>
        <w:suppressAutoHyphens/>
        <w:ind w:left="1701"/>
      </w:pPr>
      <w:r>
        <w:t>Министерство юстиции</w:t>
      </w:r>
    </w:p>
    <w:p w:rsidR="00000000" w:rsidRDefault="00000000">
      <w:pPr>
        <w:pStyle w:val="SingleTxt"/>
        <w:tabs>
          <w:tab w:val="clear" w:pos="1267"/>
        </w:tabs>
        <w:suppressAutoHyphens/>
        <w:ind w:left="1701"/>
      </w:pPr>
      <w:r>
        <w:t>Бюро по вопросам иммиграции</w:t>
      </w:r>
    </w:p>
    <w:p w:rsidR="00000000" w:rsidRDefault="00000000">
      <w:pPr>
        <w:pStyle w:val="SingleTxt"/>
        <w:tabs>
          <w:tab w:val="clear" w:pos="1267"/>
        </w:tabs>
        <w:suppressAutoHyphens/>
        <w:ind w:left="1701"/>
        <w:rPr>
          <w:snapToGrid w:val="0"/>
          <w:color w:val="000000"/>
        </w:rPr>
      </w:pPr>
      <w:r>
        <w:rPr>
          <w:snapToGrid w:val="0"/>
          <w:color w:val="000000"/>
        </w:rPr>
        <w:t>Министерство труда и занятости</w:t>
      </w:r>
    </w:p>
    <w:p w:rsidR="00000000" w:rsidRDefault="00000000">
      <w:pPr>
        <w:pStyle w:val="SingleTxt"/>
        <w:tabs>
          <w:tab w:val="clear" w:pos="1267"/>
        </w:tabs>
        <w:suppressAutoHyphens/>
        <w:ind w:left="1701"/>
        <w:rPr>
          <w:snapToGrid w:val="0"/>
          <w:color w:val="000000"/>
        </w:rPr>
      </w:pPr>
      <w:r>
        <w:rPr>
          <w:snapToGrid w:val="0"/>
          <w:color w:val="000000"/>
        </w:rPr>
        <w:t>Бюро по вопросам трудовых отношений</w:t>
      </w:r>
    </w:p>
    <w:p w:rsidR="00000000" w:rsidRDefault="00000000">
      <w:pPr>
        <w:pStyle w:val="SingleTxt"/>
        <w:tabs>
          <w:tab w:val="clear" w:pos="1267"/>
        </w:tabs>
        <w:suppressAutoHyphens/>
        <w:ind w:left="1701"/>
        <w:rPr>
          <w:snapToGrid w:val="0"/>
          <w:color w:val="000000"/>
        </w:rPr>
      </w:pPr>
      <w:r>
        <w:rPr>
          <w:snapToGrid w:val="0"/>
          <w:color w:val="000000"/>
        </w:rPr>
        <w:t>Бюро по делам женщин и молодых трудящихся</w:t>
      </w:r>
    </w:p>
    <w:p w:rsidR="00000000" w:rsidRDefault="00000000">
      <w:pPr>
        <w:pStyle w:val="SingleTxt"/>
        <w:tabs>
          <w:tab w:val="clear" w:pos="1267"/>
        </w:tabs>
        <w:suppressAutoHyphens/>
        <w:ind w:left="1701"/>
        <w:rPr>
          <w:snapToGrid w:val="0"/>
          <w:color w:val="000000"/>
        </w:rPr>
      </w:pPr>
      <w:r>
        <w:rPr>
          <w:snapToGrid w:val="0"/>
          <w:color w:val="000000"/>
        </w:rPr>
        <w:t>Институт трудовых исследований</w:t>
      </w:r>
    </w:p>
    <w:p w:rsidR="00000000" w:rsidRDefault="00000000">
      <w:pPr>
        <w:pStyle w:val="SingleTxt"/>
        <w:tabs>
          <w:tab w:val="clear" w:pos="1267"/>
        </w:tabs>
        <w:suppressAutoHyphens/>
        <w:ind w:left="1701"/>
        <w:rPr>
          <w:snapToGrid w:val="0"/>
          <w:color w:val="000000"/>
        </w:rPr>
      </w:pPr>
      <w:r>
        <w:rPr>
          <w:snapToGrid w:val="0"/>
          <w:color w:val="000000"/>
        </w:rPr>
        <w:t>Национальная комиссия по трудовым отношениям</w:t>
      </w:r>
    </w:p>
    <w:p w:rsidR="00000000" w:rsidRDefault="00000000">
      <w:pPr>
        <w:pStyle w:val="SingleTxt"/>
        <w:tabs>
          <w:tab w:val="clear" w:pos="1267"/>
        </w:tabs>
        <w:suppressAutoHyphens/>
        <w:ind w:left="1701"/>
        <w:rPr>
          <w:snapToGrid w:val="0"/>
          <w:color w:val="000000"/>
        </w:rPr>
      </w:pPr>
      <w:r>
        <w:rPr>
          <w:snapToGrid w:val="0"/>
          <w:color w:val="000000"/>
        </w:rPr>
        <w:t>Центр по технике безопасности и гигиене труда</w:t>
      </w:r>
    </w:p>
    <w:p w:rsidR="00000000" w:rsidRDefault="00000000">
      <w:pPr>
        <w:pStyle w:val="SingleTxt"/>
        <w:tabs>
          <w:tab w:val="clear" w:pos="1267"/>
        </w:tabs>
        <w:suppressAutoHyphens/>
        <w:ind w:left="1701"/>
        <w:rPr>
          <w:snapToGrid w:val="0"/>
          <w:color w:val="000000"/>
        </w:rPr>
      </w:pPr>
      <w:r>
        <w:rPr>
          <w:snapToGrid w:val="0"/>
          <w:color w:val="000000"/>
        </w:rPr>
        <w:t>Управлению по социальному обеспечению работающих за рубежом</w:t>
      </w:r>
    </w:p>
    <w:p w:rsidR="00000000" w:rsidRDefault="00000000">
      <w:pPr>
        <w:pStyle w:val="SingleTxt"/>
        <w:tabs>
          <w:tab w:val="clear" w:pos="1267"/>
        </w:tabs>
        <w:suppressAutoHyphens/>
        <w:ind w:left="1701"/>
        <w:rPr>
          <w:snapToGrid w:val="0"/>
          <w:color w:val="000000"/>
        </w:rPr>
      </w:pPr>
      <w:r>
        <w:rPr>
          <w:snapToGrid w:val="0"/>
          <w:color w:val="000000"/>
        </w:rPr>
        <w:t>Управление по вопросам трудоустройства филиппинцев за рубежом</w:t>
      </w:r>
    </w:p>
    <w:p w:rsidR="00000000" w:rsidRDefault="00000000">
      <w:pPr>
        <w:pStyle w:val="SingleTxt"/>
        <w:tabs>
          <w:tab w:val="clear" w:pos="1267"/>
        </w:tabs>
        <w:suppressAutoHyphens/>
        <w:ind w:left="1701"/>
        <w:rPr>
          <w:snapToGrid w:val="0"/>
          <w:color w:val="000000"/>
        </w:rPr>
      </w:pPr>
      <w:r>
        <w:rPr>
          <w:snapToGrid w:val="0"/>
          <w:color w:val="000000"/>
        </w:rPr>
        <w:t>Управление по техническому образованию и развитию навыков</w:t>
      </w:r>
    </w:p>
    <w:p w:rsidR="00000000" w:rsidRDefault="00000000">
      <w:pPr>
        <w:pStyle w:val="SingleTxt"/>
        <w:tabs>
          <w:tab w:val="clear" w:pos="1267"/>
        </w:tabs>
        <w:suppressAutoHyphens/>
        <w:ind w:left="1701"/>
        <w:rPr>
          <w:snapToGrid w:val="0"/>
          <w:color w:val="000000"/>
        </w:rPr>
      </w:pPr>
      <w:r>
        <w:rPr>
          <w:snapToGrid w:val="0"/>
          <w:color w:val="000000"/>
        </w:rPr>
        <w:t>Министерство национальной обороны</w:t>
      </w:r>
    </w:p>
    <w:p w:rsidR="00000000" w:rsidRDefault="00000000">
      <w:pPr>
        <w:pStyle w:val="SingleTxt"/>
        <w:tabs>
          <w:tab w:val="clear" w:pos="1267"/>
        </w:tabs>
        <w:suppressAutoHyphens/>
        <w:ind w:left="1701"/>
        <w:rPr>
          <w:snapToGrid w:val="0"/>
          <w:color w:val="000000"/>
        </w:rPr>
      </w:pPr>
      <w:r>
        <w:rPr>
          <w:snapToGrid w:val="0"/>
          <w:color w:val="000000"/>
        </w:rPr>
        <w:t>Министерство общественных работ и автодорог</w:t>
      </w:r>
    </w:p>
    <w:p w:rsidR="00000000" w:rsidRDefault="00000000">
      <w:pPr>
        <w:pStyle w:val="SingleTxt"/>
        <w:tabs>
          <w:tab w:val="clear" w:pos="1267"/>
        </w:tabs>
        <w:suppressAutoHyphens/>
        <w:ind w:left="1701"/>
        <w:rPr>
          <w:snapToGrid w:val="0"/>
          <w:color w:val="000000"/>
        </w:rPr>
      </w:pPr>
      <w:r>
        <w:rPr>
          <w:snapToGrid w:val="0"/>
          <w:color w:val="000000"/>
        </w:rPr>
        <w:t>Министерство науки и техники</w:t>
      </w:r>
    </w:p>
    <w:p w:rsidR="00000000" w:rsidRDefault="00000000">
      <w:pPr>
        <w:pStyle w:val="SingleTxt"/>
        <w:tabs>
          <w:tab w:val="clear" w:pos="1267"/>
        </w:tabs>
        <w:suppressAutoHyphens/>
        <w:ind w:left="1701"/>
        <w:rPr>
          <w:snapToGrid w:val="0"/>
          <w:color w:val="000000"/>
        </w:rPr>
      </w:pPr>
      <w:r>
        <w:rPr>
          <w:snapToGrid w:val="0"/>
          <w:color w:val="000000"/>
        </w:rPr>
        <w:t>Министерство социального обеспечения и развития</w:t>
      </w:r>
    </w:p>
    <w:p w:rsidR="00000000" w:rsidRDefault="00000000">
      <w:pPr>
        <w:pStyle w:val="SingleTxt"/>
        <w:tabs>
          <w:tab w:val="clear" w:pos="1267"/>
        </w:tabs>
        <w:suppressAutoHyphens/>
        <w:ind w:left="1701"/>
        <w:rPr>
          <w:snapToGrid w:val="0"/>
          <w:color w:val="000000"/>
        </w:rPr>
      </w:pPr>
      <w:r>
        <w:rPr>
          <w:snapToGrid w:val="0"/>
          <w:color w:val="000000"/>
        </w:rPr>
        <w:t>Министерство туризма</w:t>
      </w:r>
    </w:p>
    <w:p w:rsidR="00000000" w:rsidRDefault="00000000">
      <w:pPr>
        <w:pStyle w:val="SingleTxt"/>
        <w:tabs>
          <w:tab w:val="clear" w:pos="1267"/>
        </w:tabs>
        <w:suppressAutoHyphens/>
        <w:ind w:left="1701"/>
        <w:rPr>
          <w:snapToGrid w:val="0"/>
          <w:color w:val="000000"/>
        </w:rPr>
      </w:pPr>
      <w:r>
        <w:rPr>
          <w:snapToGrid w:val="0"/>
          <w:color w:val="000000"/>
        </w:rPr>
        <w:t>Министерство торговли и промышленности</w:t>
      </w:r>
    </w:p>
    <w:p w:rsidR="00000000" w:rsidRDefault="00000000">
      <w:pPr>
        <w:pStyle w:val="SingleTxt"/>
        <w:tabs>
          <w:tab w:val="clear" w:pos="1267"/>
        </w:tabs>
        <w:suppressAutoHyphens/>
        <w:ind w:left="1701"/>
        <w:rPr>
          <w:snapToGrid w:val="0"/>
          <w:color w:val="000000"/>
        </w:rPr>
      </w:pPr>
      <w:r>
        <w:rPr>
          <w:snapToGrid w:val="0"/>
          <w:color w:val="000000"/>
        </w:rPr>
        <w:t>Министерство транспорта и связи</w:t>
      </w:r>
    </w:p>
    <w:p w:rsidR="00000000" w:rsidRDefault="00000000">
      <w:pPr>
        <w:pStyle w:val="SingleTxt"/>
        <w:tabs>
          <w:tab w:val="clear" w:pos="1267"/>
        </w:tabs>
        <w:suppressAutoHyphens/>
        <w:ind w:left="1701"/>
        <w:rPr>
          <w:snapToGrid w:val="0"/>
          <w:color w:val="000000"/>
        </w:rPr>
      </w:pPr>
      <w:r>
        <w:rPr>
          <w:snapToGrid w:val="0"/>
          <w:color w:val="000000"/>
        </w:rPr>
        <w:t>Комитет по делам женщин палаты представителей</w:t>
      </w:r>
    </w:p>
    <w:p w:rsidR="00000000" w:rsidRDefault="00000000">
      <w:pPr>
        <w:pStyle w:val="SingleTxt"/>
        <w:tabs>
          <w:tab w:val="clear" w:pos="1267"/>
        </w:tabs>
        <w:suppressAutoHyphens/>
        <w:ind w:left="1701"/>
        <w:rPr>
          <w:snapToGrid w:val="0"/>
          <w:color w:val="000000"/>
        </w:rPr>
      </w:pPr>
      <w:r>
        <w:rPr>
          <w:snapToGrid w:val="0"/>
          <w:color w:val="000000"/>
        </w:rPr>
        <w:t>Академия местных органов власти</w:t>
      </w:r>
    </w:p>
    <w:p w:rsidR="00000000" w:rsidRDefault="00000000">
      <w:pPr>
        <w:pStyle w:val="SingleTxt"/>
        <w:tabs>
          <w:tab w:val="clear" w:pos="1267"/>
        </w:tabs>
        <w:suppressAutoHyphens/>
        <w:ind w:left="1701"/>
        <w:rPr>
          <w:snapToGrid w:val="0"/>
          <w:color w:val="000000"/>
        </w:rPr>
      </w:pPr>
      <w:r>
        <w:rPr>
          <w:snapToGrid w:val="0"/>
          <w:color w:val="000000"/>
        </w:rPr>
        <w:t>Местное самоуправление в Давао Дель Норте</w:t>
      </w:r>
    </w:p>
    <w:p w:rsidR="00000000" w:rsidRDefault="00000000">
      <w:pPr>
        <w:pStyle w:val="SingleTxt"/>
        <w:tabs>
          <w:tab w:val="clear" w:pos="1267"/>
        </w:tabs>
        <w:suppressAutoHyphens/>
        <w:ind w:left="1701"/>
        <w:rPr>
          <w:snapToGrid w:val="0"/>
          <w:color w:val="000000"/>
        </w:rPr>
      </w:pPr>
      <w:r>
        <w:rPr>
          <w:snapToGrid w:val="0"/>
          <w:color w:val="000000"/>
        </w:rPr>
        <w:t>Национальная комиссия по борьбе с нищетой</w:t>
      </w:r>
    </w:p>
    <w:p w:rsidR="00000000" w:rsidRDefault="00000000">
      <w:pPr>
        <w:pStyle w:val="SingleTxt"/>
        <w:tabs>
          <w:tab w:val="clear" w:pos="1267"/>
        </w:tabs>
        <w:suppressAutoHyphens/>
        <w:ind w:left="1701"/>
        <w:rPr>
          <w:snapToGrid w:val="0"/>
          <w:color w:val="000000"/>
        </w:rPr>
      </w:pPr>
      <w:r>
        <w:rPr>
          <w:snapToGrid w:val="0"/>
          <w:color w:val="000000"/>
        </w:rPr>
        <w:t>Национальное бюро расследований</w:t>
      </w:r>
    </w:p>
    <w:p w:rsidR="00000000" w:rsidRDefault="00000000">
      <w:pPr>
        <w:pStyle w:val="SingleTxt"/>
        <w:tabs>
          <w:tab w:val="clear" w:pos="1267"/>
        </w:tabs>
        <w:suppressAutoHyphens/>
        <w:ind w:left="1701"/>
        <w:rPr>
          <w:snapToGrid w:val="0"/>
          <w:color w:val="000000"/>
        </w:rPr>
      </w:pPr>
      <w:r>
        <w:rPr>
          <w:snapToGrid w:val="0"/>
          <w:color w:val="000000"/>
        </w:rPr>
        <w:t>Национальная комиссия по делам коренных народов</w:t>
      </w:r>
    </w:p>
    <w:p w:rsidR="00000000" w:rsidRDefault="00000000">
      <w:pPr>
        <w:pStyle w:val="SingleTxt"/>
        <w:tabs>
          <w:tab w:val="clear" w:pos="1267"/>
        </w:tabs>
        <w:suppressAutoHyphens/>
        <w:ind w:left="1701"/>
        <w:rPr>
          <w:snapToGrid w:val="0"/>
          <w:color w:val="000000"/>
        </w:rPr>
      </w:pPr>
      <w:r>
        <w:rPr>
          <w:snapToGrid w:val="0"/>
          <w:color w:val="000000"/>
        </w:rPr>
        <w:t>Управление по вопросам национального экономического ра</w:t>
      </w:r>
      <w:r>
        <w:rPr>
          <w:snapToGrid w:val="0"/>
          <w:color w:val="000000"/>
        </w:rPr>
        <w:t>з</w:t>
      </w:r>
      <w:r>
        <w:rPr>
          <w:snapToGrid w:val="0"/>
          <w:color w:val="000000"/>
        </w:rPr>
        <w:t>вития</w:t>
      </w:r>
    </w:p>
    <w:p w:rsidR="00000000" w:rsidRDefault="00000000">
      <w:pPr>
        <w:pStyle w:val="SingleTxt"/>
        <w:tabs>
          <w:tab w:val="clear" w:pos="1267"/>
        </w:tabs>
        <w:suppressAutoHyphens/>
        <w:ind w:left="1701"/>
        <w:rPr>
          <w:snapToGrid w:val="0"/>
          <w:color w:val="000000"/>
        </w:rPr>
      </w:pPr>
      <w:r>
        <w:rPr>
          <w:snapToGrid w:val="0"/>
          <w:color w:val="000000"/>
        </w:rPr>
        <w:t>Национальный статистический координационный совет</w:t>
      </w:r>
    </w:p>
    <w:p w:rsidR="00000000" w:rsidRDefault="00000000">
      <w:pPr>
        <w:pStyle w:val="SingleTxt"/>
        <w:tabs>
          <w:tab w:val="clear" w:pos="1267"/>
        </w:tabs>
        <w:suppressAutoHyphens/>
        <w:ind w:left="1701"/>
        <w:rPr>
          <w:snapToGrid w:val="0"/>
          <w:color w:val="000000"/>
        </w:rPr>
      </w:pPr>
      <w:r>
        <w:rPr>
          <w:snapToGrid w:val="0"/>
          <w:color w:val="000000"/>
        </w:rPr>
        <w:t>Управление национальной статистики</w:t>
      </w:r>
    </w:p>
    <w:p w:rsidR="00000000" w:rsidRDefault="00000000">
      <w:pPr>
        <w:pStyle w:val="SingleTxt"/>
        <w:tabs>
          <w:tab w:val="clear" w:pos="1267"/>
        </w:tabs>
        <w:suppressAutoHyphens/>
        <w:ind w:left="1701"/>
        <w:rPr>
          <w:snapToGrid w:val="0"/>
          <w:color w:val="000000"/>
        </w:rPr>
      </w:pPr>
      <w:r>
        <w:t>Национальная комиссия по делам молодежи</w:t>
      </w:r>
    </w:p>
    <w:p w:rsidR="00000000" w:rsidRDefault="00000000">
      <w:pPr>
        <w:pStyle w:val="SingleTxt"/>
        <w:tabs>
          <w:tab w:val="clear" w:pos="1267"/>
        </w:tabs>
        <w:suppressAutoHyphens/>
        <w:ind w:left="1701"/>
        <w:rPr>
          <w:snapToGrid w:val="0"/>
          <w:color w:val="000000"/>
        </w:rPr>
      </w:pPr>
      <w:r>
        <w:rPr>
          <w:snapToGrid w:val="0"/>
          <w:color w:val="000000"/>
        </w:rPr>
        <w:t>Пангасинанский государственный университет</w:t>
      </w:r>
    </w:p>
    <w:p w:rsidR="00000000" w:rsidRDefault="00000000">
      <w:pPr>
        <w:pStyle w:val="SingleTxt"/>
        <w:tabs>
          <w:tab w:val="clear" w:pos="1267"/>
        </w:tabs>
        <w:suppressAutoHyphens/>
        <w:ind w:left="1701"/>
      </w:pPr>
      <w:r>
        <w:t>Управление по вопросам филиппинской эконом</w:t>
      </w:r>
      <w:r>
        <w:t>и</w:t>
      </w:r>
      <w:r>
        <w:t>ческой зоны</w:t>
      </w:r>
    </w:p>
    <w:p w:rsidR="00000000" w:rsidRDefault="00000000">
      <w:pPr>
        <w:pStyle w:val="SingleTxt"/>
        <w:tabs>
          <w:tab w:val="clear" w:pos="1267"/>
        </w:tabs>
        <w:suppressAutoHyphens/>
        <w:ind w:left="1701"/>
        <w:rPr>
          <w:snapToGrid w:val="0"/>
          <w:color w:val="000000"/>
        </w:rPr>
      </w:pPr>
      <w:r>
        <w:rPr>
          <w:snapToGrid w:val="0"/>
          <w:color w:val="000000"/>
        </w:rPr>
        <w:t>Филиппинское информационное агентство</w:t>
      </w:r>
    </w:p>
    <w:p w:rsidR="00000000" w:rsidRDefault="00000000">
      <w:pPr>
        <w:pStyle w:val="SingleTxt"/>
        <w:tabs>
          <w:tab w:val="clear" w:pos="1267"/>
        </w:tabs>
        <w:suppressAutoHyphens/>
        <w:ind w:left="1701"/>
        <w:rPr>
          <w:snapToGrid w:val="0"/>
          <w:color w:val="000000"/>
        </w:rPr>
      </w:pPr>
      <w:r>
        <w:rPr>
          <w:snapToGrid w:val="0"/>
          <w:color w:val="000000"/>
        </w:rPr>
        <w:t>Филиппинская военная академия</w:t>
      </w:r>
    </w:p>
    <w:p w:rsidR="00000000" w:rsidRDefault="00000000">
      <w:pPr>
        <w:pStyle w:val="SingleTxt"/>
        <w:tabs>
          <w:tab w:val="clear" w:pos="1267"/>
        </w:tabs>
        <w:suppressAutoHyphens/>
        <w:ind w:left="1701"/>
        <w:rPr>
          <w:snapToGrid w:val="0"/>
          <w:color w:val="000000"/>
        </w:rPr>
      </w:pPr>
      <w:r>
        <w:rPr>
          <w:snapToGrid w:val="0"/>
          <w:color w:val="000000"/>
        </w:rPr>
        <w:t>Филиппинская национальная полиция</w:t>
      </w:r>
    </w:p>
    <w:p w:rsidR="00000000" w:rsidRDefault="00000000">
      <w:pPr>
        <w:pStyle w:val="SingleTxt"/>
        <w:tabs>
          <w:tab w:val="clear" w:pos="1267"/>
        </w:tabs>
        <w:suppressAutoHyphens/>
        <w:ind w:left="1701"/>
        <w:rPr>
          <w:snapToGrid w:val="0"/>
          <w:color w:val="000000"/>
        </w:rPr>
      </w:pPr>
      <w:r>
        <w:t>Филиппинская комиссия по делам спорта</w:t>
      </w:r>
    </w:p>
    <w:p w:rsidR="00000000" w:rsidRDefault="00000000">
      <w:pPr>
        <w:pStyle w:val="SingleTxt"/>
        <w:tabs>
          <w:tab w:val="clear" w:pos="1267"/>
        </w:tabs>
        <w:suppressAutoHyphens/>
        <w:ind w:left="1701"/>
        <w:rPr>
          <w:snapToGrid w:val="0"/>
          <w:color w:val="000000"/>
        </w:rPr>
      </w:pPr>
      <w:r>
        <w:rPr>
          <w:snapToGrid w:val="0"/>
          <w:color w:val="000000"/>
        </w:rPr>
        <w:t>Филиппинский политехнический университет</w:t>
      </w:r>
    </w:p>
    <w:p w:rsidR="00000000" w:rsidRDefault="00000000">
      <w:pPr>
        <w:pStyle w:val="SingleTxt"/>
        <w:tabs>
          <w:tab w:val="clear" w:pos="1267"/>
        </w:tabs>
        <w:suppressAutoHyphens/>
        <w:ind w:left="1701"/>
        <w:rPr>
          <w:snapToGrid w:val="0"/>
          <w:color w:val="000000"/>
        </w:rPr>
      </w:pPr>
      <w:r>
        <w:rPr>
          <w:snapToGrid w:val="0"/>
          <w:color w:val="000000"/>
        </w:rPr>
        <w:t>Управление по вопросам социального обеспечения и развития провинций (Д</w:t>
      </w:r>
      <w:r>
        <w:rPr>
          <w:snapToGrid w:val="0"/>
          <w:color w:val="000000"/>
        </w:rPr>
        <w:t>а</w:t>
      </w:r>
      <w:r>
        <w:rPr>
          <w:snapToGrid w:val="0"/>
          <w:color w:val="000000"/>
        </w:rPr>
        <w:t>вао Дель Норте)</w:t>
      </w:r>
    </w:p>
    <w:p w:rsidR="00000000" w:rsidRDefault="00000000">
      <w:pPr>
        <w:pStyle w:val="SingleTxt"/>
        <w:tabs>
          <w:tab w:val="clear" w:pos="1267"/>
        </w:tabs>
        <w:suppressAutoHyphens/>
        <w:ind w:left="1701"/>
        <w:rPr>
          <w:snapToGrid w:val="0"/>
          <w:color w:val="000000"/>
        </w:rPr>
      </w:pPr>
      <w:r>
        <w:rPr>
          <w:snapToGrid w:val="0"/>
          <w:color w:val="000000"/>
        </w:rPr>
        <w:t>Комитет сената по делам молодежи, женщин и семейным о</w:t>
      </w:r>
      <w:r>
        <w:rPr>
          <w:snapToGrid w:val="0"/>
          <w:color w:val="000000"/>
        </w:rPr>
        <w:t>т</w:t>
      </w:r>
      <w:r>
        <w:rPr>
          <w:snapToGrid w:val="0"/>
          <w:color w:val="000000"/>
        </w:rPr>
        <w:t>ношениям</w:t>
      </w:r>
    </w:p>
    <w:p w:rsidR="00000000" w:rsidRDefault="00000000">
      <w:pPr>
        <w:pStyle w:val="SingleTxt"/>
        <w:tabs>
          <w:tab w:val="clear" w:pos="1267"/>
        </w:tabs>
        <w:suppressAutoHyphens/>
        <w:ind w:left="1701"/>
        <w:rPr>
          <w:snapToGrid w:val="0"/>
          <w:color w:val="000000"/>
        </w:rPr>
      </w:pPr>
      <w:r>
        <w:rPr>
          <w:snapToGrid w:val="0"/>
          <w:color w:val="000000"/>
        </w:rPr>
        <w:t>Система социального обеспечения</w:t>
      </w:r>
    </w:p>
    <w:p w:rsidR="00000000" w:rsidRDefault="00000000">
      <w:pPr>
        <w:pStyle w:val="SingleTxt"/>
        <w:tabs>
          <w:tab w:val="clear" w:pos="1267"/>
        </w:tabs>
        <w:suppressAutoHyphens/>
        <w:ind w:left="1701" w:right="1264"/>
      </w:pPr>
      <w:r>
        <w:t>Верховный суд-совет судебных адвокатов</w:t>
      </w:r>
    </w:p>
    <w:p w:rsidR="00000000" w:rsidRDefault="00000000">
      <w:pPr>
        <w:pStyle w:val="SingleTxt"/>
        <w:tabs>
          <w:tab w:val="clear" w:pos="1267"/>
        </w:tabs>
        <w:suppressAutoHyphens/>
        <w:ind w:left="1701"/>
        <w:rPr>
          <w:snapToGrid w:val="0"/>
          <w:color w:val="000000"/>
        </w:rPr>
      </w:pPr>
      <w:r>
        <w:rPr>
          <w:snapToGrid w:val="0"/>
          <w:color w:val="000000"/>
        </w:rPr>
        <w:t>Филиппинский университет-Центр исследований по женской проблематике</w:t>
      </w:r>
    </w:p>
    <w:p w:rsidR="00000000" w:rsidRDefault="00000000">
      <w:pPr>
        <w:pStyle w:val="SingleTxt"/>
        <w:tabs>
          <w:tab w:val="clear" w:pos="1267"/>
        </w:tabs>
        <w:suppressAutoHyphens/>
        <w:ind w:left="1701"/>
        <w:rPr>
          <w:snapToGrid w:val="0"/>
          <w:color w:val="000000"/>
        </w:rPr>
      </w:pPr>
      <w:r>
        <w:rPr>
          <w:snapToGrid w:val="0"/>
          <w:color w:val="000000"/>
        </w:rPr>
        <w:t>Филиппинский университет Лос Баньос</w:t>
      </w:r>
    </w:p>
    <w:p w:rsidR="00000000" w:rsidRDefault="00000000">
      <w:pPr>
        <w:pStyle w:val="SingleTxt"/>
        <w:tabs>
          <w:tab w:val="clear" w:pos="1267"/>
        </w:tabs>
        <w:suppressAutoHyphens/>
        <w:ind w:left="1701"/>
        <w:rPr>
          <w:snapToGrid w:val="0"/>
          <w:color w:val="000000"/>
        </w:rPr>
      </w:pPr>
      <w:r>
        <w:rPr>
          <w:snapToGrid w:val="0"/>
          <w:color w:val="000000"/>
        </w:rPr>
        <w:t>Руководящий совет видеограмм</w:t>
      </w:r>
    </w:p>
    <w:p w:rsidR="00000000" w:rsidRDefault="00000000">
      <w:pPr>
        <w:pStyle w:val="SingleTxt"/>
        <w:keepNext/>
        <w:ind w:left="1264" w:right="1264"/>
        <w:rPr>
          <w:snapToGrid w:val="0"/>
          <w:color w:val="000000"/>
        </w:rPr>
      </w:pPr>
      <w:r>
        <w:rPr>
          <w:snapToGrid w:val="0"/>
          <w:color w:val="000000"/>
        </w:rPr>
        <w:t>НКПФЖ также хотела бы выразить искреннюю признательность следующим неправительственным организациям за их исключительно важную помощь и участие в подготовке настоящего доклада:</w:t>
      </w:r>
    </w:p>
    <w:p w:rsidR="00000000" w:rsidRDefault="00000000">
      <w:pPr>
        <w:pStyle w:val="SingleTxt"/>
        <w:tabs>
          <w:tab w:val="clear" w:pos="1267"/>
        </w:tabs>
        <w:suppressAutoHyphens/>
        <w:ind w:left="1701" w:right="1264"/>
        <w:rPr>
          <w:snapToGrid w:val="0"/>
          <w:color w:val="000000"/>
        </w:rPr>
      </w:pPr>
      <w:r>
        <w:rPr>
          <w:snapToGrid w:val="0"/>
          <w:color w:val="000000"/>
        </w:rPr>
        <w:t>Абансе! Пинай</w:t>
      </w:r>
    </w:p>
    <w:p w:rsidR="00000000" w:rsidRDefault="00000000">
      <w:pPr>
        <w:pStyle w:val="SingleTxt"/>
        <w:tabs>
          <w:tab w:val="clear" w:pos="1267"/>
        </w:tabs>
        <w:suppressAutoHyphens/>
        <w:ind w:left="1701" w:right="1264"/>
      </w:pPr>
      <w:r>
        <w:t>Инициативы "Меры в интересах здоровья", инк. (МИЗ)</w:t>
      </w:r>
    </w:p>
    <w:p w:rsidR="00000000" w:rsidRDefault="00000000">
      <w:pPr>
        <w:pStyle w:val="SingleTxt"/>
        <w:tabs>
          <w:tab w:val="clear" w:pos="1267"/>
        </w:tabs>
        <w:suppressAutoHyphens/>
        <w:ind w:left="1701" w:right="1264"/>
      </w:pPr>
      <w:r>
        <w:t>Филиппинский союз учителей – активистов</w:t>
      </w:r>
    </w:p>
    <w:p w:rsidR="00000000" w:rsidRDefault="00000000">
      <w:pPr>
        <w:pStyle w:val="SingleTxt"/>
        <w:tabs>
          <w:tab w:val="clear" w:pos="1267"/>
        </w:tabs>
        <w:suppressAutoHyphens/>
        <w:ind w:left="1701" w:right="1264"/>
        <w:rPr>
          <w:snapToGrid w:val="0"/>
          <w:color w:val="000000"/>
        </w:rPr>
      </w:pPr>
      <w:r>
        <w:rPr>
          <w:snapToGrid w:val="0"/>
          <w:color w:val="000000"/>
        </w:rPr>
        <w:t>Форум сотрудничества азиатских женщин</w:t>
      </w:r>
    </w:p>
    <w:p w:rsidR="00000000" w:rsidRDefault="00000000">
      <w:pPr>
        <w:pStyle w:val="SingleTxt"/>
        <w:tabs>
          <w:tab w:val="clear" w:pos="1267"/>
        </w:tabs>
        <w:suppressAutoHyphens/>
        <w:ind w:left="1701" w:right="1264"/>
        <w:rPr>
          <w:snapToGrid w:val="0"/>
          <w:color w:val="000000"/>
        </w:rPr>
      </w:pPr>
      <w:r>
        <w:rPr>
          <w:snapToGrid w:val="0"/>
          <w:color w:val="000000"/>
        </w:rPr>
        <w:t>Ассоциация фондов</w:t>
      </w:r>
    </w:p>
    <w:p w:rsidR="00000000" w:rsidRDefault="00000000">
      <w:pPr>
        <w:pStyle w:val="SingleTxt"/>
        <w:tabs>
          <w:tab w:val="clear" w:pos="1267"/>
        </w:tabs>
        <w:suppressAutoHyphens/>
        <w:ind w:left="1701" w:right="1264"/>
      </w:pPr>
      <w:r>
        <w:t>Фонд «Баликатан са Каюнларан»</w:t>
      </w:r>
    </w:p>
    <w:p w:rsidR="00000000" w:rsidRDefault="00000000">
      <w:pPr>
        <w:pStyle w:val="SingleTxt"/>
        <w:tabs>
          <w:tab w:val="clear" w:pos="1267"/>
        </w:tabs>
        <w:suppressAutoHyphens/>
        <w:ind w:left="1701" w:right="1264"/>
        <w:rPr>
          <w:snapToGrid w:val="0"/>
          <w:color w:val="000000"/>
        </w:rPr>
      </w:pPr>
      <w:r>
        <w:rPr>
          <w:snapToGrid w:val="0"/>
          <w:color w:val="000000"/>
        </w:rPr>
        <w:t>Буклод</w:t>
      </w:r>
    </w:p>
    <w:p w:rsidR="00000000" w:rsidRDefault="00000000">
      <w:pPr>
        <w:pStyle w:val="SingleTxt"/>
        <w:tabs>
          <w:tab w:val="clear" w:pos="1267"/>
        </w:tabs>
        <w:suppressAutoHyphens/>
        <w:ind w:left="1701" w:right="1264"/>
      </w:pPr>
      <w:r>
        <w:t>Центр женщин-политиков из Азиатско-Тихоокеанского региона (КАТВ-П)</w:t>
      </w:r>
    </w:p>
    <w:p w:rsidR="00000000" w:rsidRDefault="00000000">
      <w:pPr>
        <w:pStyle w:val="SingleTxt"/>
        <w:tabs>
          <w:tab w:val="clear" w:pos="1267"/>
        </w:tabs>
        <w:suppressAutoHyphens/>
        <w:ind w:left="1701" w:right="1264"/>
      </w:pPr>
      <w:r>
        <w:t>Центр разработки законодательства</w:t>
      </w:r>
    </w:p>
    <w:p w:rsidR="00000000" w:rsidRDefault="00000000">
      <w:pPr>
        <w:pStyle w:val="SingleTxt"/>
        <w:tabs>
          <w:tab w:val="clear" w:pos="1267"/>
        </w:tabs>
        <w:suppressAutoHyphens/>
        <w:ind w:left="1701" w:right="1264"/>
      </w:pPr>
      <w:r>
        <w:t>Коалиция по борьбе с торговлей женщинами в Азиатско-Тихоокеанском реги</w:t>
      </w:r>
      <w:r>
        <w:t>о</w:t>
      </w:r>
      <w:r>
        <w:t>не (КАПВИП)</w:t>
      </w:r>
    </w:p>
    <w:p w:rsidR="00000000" w:rsidRDefault="00000000">
      <w:pPr>
        <w:pStyle w:val="SingleTxt"/>
        <w:tabs>
          <w:tab w:val="clear" w:pos="1267"/>
        </w:tabs>
        <w:suppressAutoHyphens/>
        <w:ind w:left="1701" w:right="1264"/>
      </w:pPr>
      <w:r>
        <w:t>Сеть мероприятий в области развития в интересах женщин (ДАВН)</w:t>
      </w:r>
    </w:p>
    <w:p w:rsidR="00000000" w:rsidRDefault="00000000">
      <w:pPr>
        <w:pStyle w:val="SingleTxt"/>
        <w:tabs>
          <w:tab w:val="clear" w:pos="1267"/>
        </w:tabs>
        <w:suppressAutoHyphens/>
        <w:ind w:left="1701" w:right="1264"/>
        <w:rPr>
          <w:snapToGrid w:val="0"/>
          <w:color w:val="000000"/>
        </w:rPr>
      </w:pPr>
      <w:r>
        <w:rPr>
          <w:snapToGrid w:val="0"/>
          <w:color w:val="000000"/>
        </w:rPr>
        <w:t>Филиппинское отделение международного фонда развития сельского хозяйс</w:t>
      </w:r>
      <w:r>
        <w:rPr>
          <w:snapToGrid w:val="0"/>
          <w:color w:val="000000"/>
        </w:rPr>
        <w:t>т</w:t>
      </w:r>
      <w:r>
        <w:rPr>
          <w:snapToGrid w:val="0"/>
          <w:color w:val="000000"/>
        </w:rPr>
        <w:t>ва, инк. (МФСР)</w:t>
      </w:r>
    </w:p>
    <w:p w:rsidR="00000000" w:rsidRDefault="00000000">
      <w:pPr>
        <w:pStyle w:val="SingleTxt"/>
        <w:tabs>
          <w:tab w:val="clear" w:pos="1267"/>
        </w:tabs>
        <w:suppressAutoHyphens/>
        <w:ind w:left="1701" w:right="1264"/>
      </w:pPr>
      <w:r>
        <w:t>Женская сеть федерации работающих не по найму – женская сеть</w:t>
      </w:r>
    </w:p>
    <w:p w:rsidR="00000000" w:rsidRDefault="00000000">
      <w:pPr>
        <w:pStyle w:val="SingleTxt"/>
        <w:tabs>
          <w:tab w:val="clear" w:pos="1267"/>
        </w:tabs>
        <w:suppressAutoHyphens/>
        <w:ind w:left="1701" w:right="1264"/>
      </w:pPr>
      <w:r>
        <w:t>Филиппинские девочки-скауты (ФДС)</w:t>
      </w:r>
    </w:p>
    <w:p w:rsidR="00000000" w:rsidRDefault="00000000">
      <w:pPr>
        <w:pStyle w:val="SingleTxt"/>
        <w:tabs>
          <w:tab w:val="clear" w:pos="1267"/>
        </w:tabs>
        <w:suppressAutoHyphens/>
        <w:ind w:left="1701" w:right="1264"/>
        <w:rPr>
          <w:snapToGrid w:val="0"/>
          <w:color w:val="000000"/>
        </w:rPr>
      </w:pPr>
      <w:r>
        <w:rPr>
          <w:snapToGrid w:val="0"/>
          <w:color w:val="000000"/>
        </w:rPr>
        <w:t>Фонд «Инг Макабабаянг Аксуон, инк.» (ИМА)</w:t>
      </w:r>
    </w:p>
    <w:p w:rsidR="00000000" w:rsidRDefault="00000000">
      <w:pPr>
        <w:pStyle w:val="SingleTxt"/>
        <w:tabs>
          <w:tab w:val="clear" w:pos="1267"/>
        </w:tabs>
        <w:suppressAutoHyphens/>
        <w:ind w:left="1701" w:right="1264"/>
      </w:pPr>
      <w:r>
        <w:t>Институт политики и управления</w:t>
      </w:r>
    </w:p>
    <w:p w:rsidR="00000000" w:rsidRDefault="00000000">
      <w:pPr>
        <w:pStyle w:val="SingleTxt"/>
        <w:tabs>
          <w:tab w:val="clear" w:pos="1267"/>
        </w:tabs>
        <w:suppressAutoHyphens/>
        <w:ind w:left="1701" w:right="1264"/>
        <w:rPr>
          <w:snapToGrid w:val="0"/>
          <w:color w:val="000000"/>
        </w:rPr>
      </w:pPr>
      <w:r>
        <w:rPr>
          <w:snapToGrid w:val="0"/>
          <w:color w:val="000000"/>
        </w:rPr>
        <w:t>Исис Интернэшнл Манила</w:t>
      </w:r>
    </w:p>
    <w:p w:rsidR="00000000" w:rsidRDefault="00000000">
      <w:pPr>
        <w:pStyle w:val="SingleTxt"/>
        <w:suppressAutoHyphens/>
        <w:ind w:left="1701" w:right="1264"/>
        <w:rPr>
          <w:snapToGrid w:val="0"/>
          <w:color w:val="000000"/>
        </w:rPr>
      </w:pPr>
      <w:r>
        <w:rPr>
          <w:snapToGrid w:val="0"/>
          <w:color w:val="000000"/>
        </w:rPr>
        <w:t>Кабаликат</w:t>
      </w:r>
    </w:p>
    <w:p w:rsidR="00000000" w:rsidRDefault="00000000">
      <w:pPr>
        <w:pStyle w:val="SingleTxt"/>
        <w:suppressAutoHyphens/>
        <w:ind w:left="1701" w:right="1264"/>
      </w:pPr>
      <w:r>
        <w:t>Филиппинские адвокаты-лесбиянки (ЛеАП!)</w:t>
      </w:r>
    </w:p>
    <w:p w:rsidR="00000000" w:rsidRDefault="00000000">
      <w:pPr>
        <w:pStyle w:val="SingleTxt"/>
        <w:suppressAutoHyphens/>
        <w:ind w:left="1701" w:right="1264"/>
        <w:rPr>
          <w:snapToGrid w:val="0"/>
          <w:color w:val="000000"/>
        </w:rPr>
      </w:pPr>
      <w:r>
        <w:rPr>
          <w:snapToGrid w:val="0"/>
          <w:color w:val="000000"/>
        </w:rPr>
        <w:t>Метро Манила Баликатан</w:t>
      </w:r>
    </w:p>
    <w:p w:rsidR="00000000" w:rsidRDefault="00000000">
      <w:pPr>
        <w:pStyle w:val="SingleTxt"/>
        <w:suppressAutoHyphens/>
        <w:ind w:left="1701" w:right="1264"/>
        <w:rPr>
          <w:snapToGrid w:val="0"/>
          <w:color w:val="000000"/>
        </w:rPr>
      </w:pPr>
      <w:r>
        <w:rPr>
          <w:snapToGrid w:val="0"/>
          <w:color w:val="000000"/>
        </w:rPr>
        <w:t>Национальная конфедерация кооперативов (НАТТКО)</w:t>
      </w:r>
    </w:p>
    <w:p w:rsidR="00000000" w:rsidRDefault="00000000">
      <w:pPr>
        <w:pStyle w:val="SingleTxt"/>
        <w:suppressAutoHyphens/>
        <w:ind w:left="1701" w:right="1264"/>
        <w:rPr>
          <w:snapToGrid w:val="0"/>
          <w:color w:val="000000"/>
        </w:rPr>
      </w:pPr>
      <w:r>
        <w:rPr>
          <w:snapToGrid w:val="0"/>
          <w:color w:val="000000"/>
        </w:rPr>
        <w:t>Национальный совет по вопросам социального развития</w:t>
      </w:r>
    </w:p>
    <w:p w:rsidR="00000000" w:rsidRDefault="00000000">
      <w:pPr>
        <w:pStyle w:val="SingleTxt"/>
        <w:suppressAutoHyphens/>
        <w:ind w:left="1701" w:right="1264"/>
      </w:pPr>
      <w:r>
        <w:t>Национальная федерация женских клубов</w:t>
      </w:r>
    </w:p>
    <w:p w:rsidR="00000000" w:rsidRDefault="00000000">
      <w:pPr>
        <w:pStyle w:val="SingleTxt"/>
        <w:suppressAutoHyphens/>
        <w:ind w:left="1701" w:right="1264"/>
      </w:pPr>
      <w:r>
        <w:t>Фонд НОРФИЛ, инк.</w:t>
      </w:r>
    </w:p>
    <w:p w:rsidR="00000000" w:rsidRDefault="00000000">
      <w:pPr>
        <w:pStyle w:val="SingleTxt"/>
        <w:suppressAutoHyphens/>
        <w:ind w:left="1701" w:right="1264"/>
        <w:rPr>
          <w:snapToGrid w:val="0"/>
          <w:color w:val="000000"/>
        </w:rPr>
      </w:pPr>
      <w:r>
        <w:t xml:space="preserve">Филиппинское партнерство по развитию людских ресурсов в сельских районах </w:t>
      </w:r>
      <w:r>
        <w:rPr>
          <w:snapToGrid w:val="0"/>
          <w:color w:val="000000"/>
        </w:rPr>
        <w:t>(ФПРЛРСР)</w:t>
      </w:r>
    </w:p>
    <w:p w:rsidR="00000000" w:rsidRDefault="00000000">
      <w:pPr>
        <w:pStyle w:val="SingleTxt"/>
        <w:suppressAutoHyphens/>
        <w:ind w:left="1701" w:right="1264"/>
        <w:rPr>
          <w:snapToGrid w:val="0"/>
          <w:color w:val="000000"/>
        </w:rPr>
      </w:pPr>
      <w:r>
        <w:rPr>
          <w:snapToGrid w:val="0"/>
          <w:color w:val="000000"/>
        </w:rPr>
        <w:t xml:space="preserve">Совет </w:t>
      </w:r>
      <w:r>
        <w:t>филиппинских НПО в области народонаселения, здравоохранения</w:t>
      </w:r>
      <w:r>
        <w:rPr>
          <w:snapToGrid w:val="0"/>
          <w:color w:val="000000"/>
        </w:rPr>
        <w:t xml:space="preserve"> и социал</w:t>
      </w:r>
      <w:r>
        <w:rPr>
          <w:snapToGrid w:val="0"/>
          <w:color w:val="000000"/>
        </w:rPr>
        <w:t>ь</w:t>
      </w:r>
      <w:r>
        <w:rPr>
          <w:snapToGrid w:val="0"/>
          <w:color w:val="000000"/>
        </w:rPr>
        <w:t>ного обеспечения (ПНГОК)</w:t>
      </w:r>
    </w:p>
    <w:p w:rsidR="00000000" w:rsidRDefault="00000000">
      <w:pPr>
        <w:pStyle w:val="SingleTxt"/>
        <w:suppressAutoHyphens/>
        <w:ind w:left="1701" w:right="1264"/>
        <w:rPr>
          <w:snapToGrid w:val="0"/>
          <w:color w:val="000000"/>
        </w:rPr>
      </w:pPr>
      <w:r>
        <w:t xml:space="preserve">Филиппинские предприниматели за социальный прогресс </w:t>
      </w:r>
      <w:r>
        <w:rPr>
          <w:snapToGrid w:val="0"/>
          <w:color w:val="000000"/>
        </w:rPr>
        <w:t>(ФПСП)</w:t>
      </w:r>
    </w:p>
    <w:p w:rsidR="00000000" w:rsidRDefault="00000000">
      <w:pPr>
        <w:pStyle w:val="SingleTxt"/>
        <w:suppressAutoHyphens/>
        <w:ind w:left="1701" w:right="1264"/>
      </w:pPr>
      <w:r>
        <w:t>Сеть филиппинских женщин-политиков и руководителей</w:t>
      </w:r>
    </w:p>
    <w:p w:rsidR="00000000" w:rsidRDefault="00000000">
      <w:pPr>
        <w:pStyle w:val="SingleTxt"/>
        <w:suppressAutoHyphens/>
        <w:ind w:left="1701" w:right="1264"/>
        <w:rPr>
          <w:snapToGrid w:val="0"/>
          <w:color w:val="000000"/>
        </w:rPr>
      </w:pPr>
      <w:r>
        <w:t xml:space="preserve">Филиппинская ассоциация межкультурного развития </w:t>
      </w:r>
      <w:r>
        <w:rPr>
          <w:snapToGrid w:val="0"/>
          <w:color w:val="000000"/>
        </w:rPr>
        <w:t>(ФАМР)</w:t>
      </w:r>
    </w:p>
    <w:p w:rsidR="00000000" w:rsidRDefault="00000000">
      <w:pPr>
        <w:pStyle w:val="SingleTxt"/>
        <w:suppressAutoHyphens/>
        <w:ind w:left="1701" w:right="1264"/>
        <w:rPr>
          <w:snapToGrid w:val="0"/>
          <w:color w:val="000000"/>
        </w:rPr>
      </w:pPr>
      <w:r>
        <w:rPr>
          <w:snapToGrid w:val="0"/>
          <w:color w:val="000000"/>
        </w:rPr>
        <w:t>Фонд Ремедиос-СПИД (РАФ)</w:t>
      </w:r>
    </w:p>
    <w:p w:rsidR="00000000" w:rsidRDefault="00000000">
      <w:pPr>
        <w:pStyle w:val="SingleTxt"/>
        <w:suppressAutoHyphens/>
        <w:ind w:left="1701" w:right="1264"/>
      </w:pPr>
      <w:r>
        <w:t>Ресурсная группа по вопросам репродуктивных прав (3РГ)</w:t>
      </w:r>
    </w:p>
    <w:p w:rsidR="00000000" w:rsidRDefault="00000000">
      <w:pPr>
        <w:pStyle w:val="SingleTxt"/>
        <w:suppressAutoHyphens/>
        <w:ind w:left="1701" w:right="1264"/>
      </w:pPr>
      <w:r>
        <w:t>Сарилья</w:t>
      </w:r>
    </w:p>
    <w:p w:rsidR="00000000" w:rsidRDefault="00000000">
      <w:pPr>
        <w:pStyle w:val="SingleTxt"/>
        <w:suppressAutoHyphens/>
        <w:ind w:left="1701" w:right="1264"/>
        <w:rPr>
          <w:snapToGrid w:val="0"/>
          <w:color w:val="000000"/>
        </w:rPr>
      </w:pPr>
      <w:r>
        <w:rPr>
          <w:snapToGrid w:val="0"/>
          <w:color w:val="000000"/>
        </w:rPr>
        <w:t>Сентро нг Альтернатибонг Лингап Панлегал (САЛИГАН)</w:t>
      </w:r>
    </w:p>
    <w:p w:rsidR="00000000" w:rsidRDefault="00000000">
      <w:pPr>
        <w:pStyle w:val="SingleTxt"/>
        <w:suppressAutoHyphens/>
        <w:ind w:left="1701" w:right="1264"/>
        <w:rPr>
          <w:snapToGrid w:val="0"/>
          <w:color w:val="000000"/>
        </w:rPr>
      </w:pPr>
      <w:r>
        <w:rPr>
          <w:snapToGrid w:val="0"/>
          <w:color w:val="000000"/>
        </w:rPr>
        <w:t>Сама-саманг Инисуатиба нг Кабабаихан са Пагбабаго нг Батас в Липунане</w:t>
      </w:r>
    </w:p>
    <w:p w:rsidR="00000000" w:rsidRDefault="00000000">
      <w:pPr>
        <w:pStyle w:val="SingleTxt"/>
        <w:suppressAutoHyphens/>
        <w:ind w:left="1701" w:right="1264"/>
        <w:rPr>
          <w:snapToGrid w:val="0"/>
          <w:color w:val="000000"/>
        </w:rPr>
      </w:pPr>
      <w:r>
        <w:rPr>
          <w:snapToGrid w:val="0"/>
          <w:color w:val="000000"/>
        </w:rPr>
        <w:t>(СИБОЛ)</w:t>
      </w:r>
    </w:p>
    <w:p w:rsidR="00000000" w:rsidRDefault="00000000">
      <w:pPr>
        <w:pStyle w:val="SingleTxt"/>
        <w:suppressAutoHyphens/>
        <w:ind w:left="1701" w:right="1264"/>
      </w:pPr>
      <w:r>
        <w:t>Центр солидарности филиппинского конгресса профессиональных союзов</w:t>
      </w:r>
    </w:p>
    <w:p w:rsidR="00000000" w:rsidRDefault="00000000">
      <w:pPr>
        <w:pStyle w:val="SingleTxt"/>
        <w:suppressAutoHyphens/>
        <w:ind w:left="1701" w:right="1264"/>
      </w:pPr>
      <w:r>
        <w:t>Угнаян нг Кабабэйхан са Пулитика (УКП)</w:t>
      </w:r>
    </w:p>
    <w:p w:rsidR="00000000" w:rsidRDefault="00000000">
      <w:pPr>
        <w:pStyle w:val="SingleTxt"/>
        <w:suppressAutoHyphens/>
        <w:ind w:left="1701" w:right="1264"/>
      </w:pPr>
      <w:r>
        <w:t>(ВАНД)</w:t>
      </w:r>
    </w:p>
    <w:p w:rsidR="00000000" w:rsidRDefault="00000000">
      <w:pPr>
        <w:pStyle w:val="SingleTxt"/>
        <w:suppressAutoHyphens/>
        <w:ind w:left="1701" w:right="1264"/>
      </w:pPr>
      <w:r>
        <w:t>Деловой совет женщин</w:t>
      </w:r>
    </w:p>
    <w:p w:rsidR="00000000" w:rsidRDefault="00000000">
      <w:pPr>
        <w:pStyle w:val="SingleTxt"/>
        <w:suppressAutoHyphens/>
        <w:ind w:left="1701" w:right="1264"/>
      </w:pPr>
      <w:r>
        <w:t>Инициатива женщин в области устойчивых экономических мероприятий, инк. (ИЖУЭК)</w:t>
      </w:r>
    </w:p>
    <w:p w:rsidR="00000000" w:rsidRDefault="00000000">
      <w:pPr>
        <w:pStyle w:val="SingleTxt"/>
        <w:suppressAutoHyphens/>
        <w:ind w:left="1701" w:right="1264"/>
      </w:pPr>
      <w:r>
        <w:t>Женский кризисный центр</w:t>
      </w:r>
    </w:p>
    <w:p w:rsidR="00000000" w:rsidRDefault="00000000">
      <w:pPr>
        <w:pStyle w:val="SingleTxt"/>
        <w:suppressAutoHyphens/>
        <w:ind w:left="1701" w:right="1264"/>
        <w:rPr>
          <w:snapToGrid w:val="0"/>
          <w:color w:val="000000"/>
        </w:rPr>
      </w:pPr>
      <w:r>
        <w:rPr>
          <w:snapToGrid w:val="0"/>
          <w:color w:val="000000"/>
        </w:rPr>
        <w:t>Информационная служба по положению женщин</w:t>
      </w:r>
    </w:p>
    <w:p w:rsidR="00000000" w:rsidRDefault="00000000">
      <w:pPr>
        <w:pStyle w:val="SingleTxt"/>
        <w:suppressAutoHyphens/>
        <w:ind w:left="1701" w:right="1264"/>
      </w:pPr>
      <w:r>
        <w:t>"Здоровье филиппинских женщин"</w:t>
      </w:r>
    </w:p>
    <w:p w:rsidR="00000000" w:rsidRDefault="00000000">
      <w:pPr>
        <w:pStyle w:val="SingleTxt"/>
        <w:suppressAutoHyphens/>
        <w:ind w:left="1701" w:right="1264"/>
        <w:rPr>
          <w:snapToGrid w:val="0"/>
          <w:color w:val="000000"/>
        </w:rPr>
      </w:pPr>
      <w:r>
        <w:rPr>
          <w:snapToGrid w:val="0"/>
          <w:color w:val="000000"/>
        </w:rPr>
        <w:t>Фонд женщин-сотрудников СМИ</w:t>
      </w:r>
    </w:p>
    <w:p w:rsidR="00000000" w:rsidRDefault="00000000">
      <w:pPr>
        <w:pStyle w:val="SingleTxt"/>
        <w:suppressAutoHyphens/>
        <w:ind w:left="1701" w:right="1264"/>
      </w:pPr>
      <w:r>
        <w:t>Фонд женского юридического образования, консультирования и защиты, инк. (ВименЛИД)</w:t>
      </w:r>
    </w:p>
    <w:p w:rsidR="00000000" w:rsidRDefault="00000000">
      <w:pPr>
        <w:pStyle w:val="SingleTxt"/>
        <w:suppressAutoHyphens/>
        <w:ind w:left="1701" w:right="1264"/>
      </w:pPr>
      <w:r>
        <w:rPr>
          <w:snapToGrid w:val="0"/>
          <w:color w:val="000000"/>
        </w:rPr>
        <w:t>Юридическое бюро женщин</w:t>
      </w:r>
    </w:p>
    <w:p w:rsidR="00000000" w:rsidRDefault="00000000">
      <w:pPr>
        <w:pStyle w:val="SingleTxt"/>
        <w:suppressAutoHyphens/>
        <w:ind w:left="1701" w:right="1264"/>
      </w:pPr>
      <w:r>
        <w:t>Женщины в процессе государственного строительства</w:t>
      </w:r>
    </w:p>
    <w:p w:rsidR="00000000" w:rsidRDefault="00000000">
      <w:pPr>
        <w:pStyle w:val="SingleTxt"/>
        <w:suppressAutoHyphens/>
        <w:ind w:left="1701" w:right="1264"/>
      </w:pPr>
      <w:r>
        <w:t>Филиппинская ассоциация исследований по женской проблематике (ВСАП)</w:t>
      </w:r>
    </w:p>
    <w:p w:rsidR="00000000" w:rsidRDefault="00000000">
      <w:pPr>
        <w:pStyle w:val="SingleTxt"/>
      </w:pPr>
      <w:r>
        <w:t>НКПФЖ хотела бы признать тот вклад, который лично внесли в подготовку н</w:t>
      </w:r>
      <w:r>
        <w:t>а</w:t>
      </w:r>
      <w:r>
        <w:t>стоящего доклада следующие консультанты: Жан Франс Илло, Розанита Се</w:t>
      </w:r>
      <w:r>
        <w:t>р</w:t>
      </w:r>
      <w:r>
        <w:t>рано и Мануэла Силва.</w:t>
      </w:r>
    </w:p>
    <w:p w:rsidR="00000000" w:rsidRDefault="00000000">
      <w:pPr>
        <w:pStyle w:val="SingleTxt"/>
      </w:pPr>
      <w:r>
        <w:t>I.1.</w:t>
      </w:r>
      <w:r>
        <w:tab/>
        <w:t>Настоящий доклад представляет собой сводный пятый и шестой доклады Филиппин об осуществлении Конвенции Организации Объединенных Наций о ликвидации всех форм дискриминации в отношении женщин (Конвенция о женщинах). Он охватывает период с момента представления четвертого докл</w:t>
      </w:r>
      <w:r>
        <w:t>а</w:t>
      </w:r>
      <w:r>
        <w:t>да в декабре 199</w:t>
      </w:r>
      <w:r>
        <w:rPr>
          <w:i/>
        </w:rPr>
        <w:t>5 </w:t>
      </w:r>
      <w:r>
        <w:t>года до декабря 2003 года.</w:t>
      </w:r>
    </w:p>
    <w:p w:rsidR="00000000" w:rsidRDefault="00000000">
      <w:pPr>
        <w:pStyle w:val="SingleTxt"/>
      </w:pPr>
      <w:r>
        <w:t xml:space="preserve">I.2. </w:t>
      </w:r>
      <w:r>
        <w:tab/>
        <w:t>Как это происходило и в прошлом, в процессе подготовки настоящего доклада приняли участие заинтересованные правительственные учреждения и неправительственные организации (НПО). Для того, чтобы ускорить подгото</w:t>
      </w:r>
      <w:r>
        <w:t>в</w:t>
      </w:r>
      <w:r>
        <w:t xml:space="preserve">ку настоящего доклада </w:t>
      </w:r>
      <w:r>
        <w:rPr>
          <w:caps/>
        </w:rPr>
        <w:t>н</w:t>
      </w:r>
      <w:r>
        <w:t>ациональная комиссия по положению филиппинских женщин (НКПФЖ), которая является национальным механизмом по улучш</w:t>
      </w:r>
      <w:r>
        <w:t>е</w:t>
      </w:r>
      <w:r>
        <w:t>нию положения женщин в стране, учредила технический комитет и ряд подк</w:t>
      </w:r>
      <w:r>
        <w:t>о</w:t>
      </w:r>
      <w:r>
        <w:t>митетов. В сотрудничестве с министерством иностранных дел (МИД) НКПФЖ организовала брифинг для правительства и НПО по Конвенции о женщинах, ее положениям и по комитету ООН, ответственному за осуществление контроля за ходом реализации Конвенции о женщинах. В интересах подготовки насто</w:t>
      </w:r>
      <w:r>
        <w:t>я</w:t>
      </w:r>
      <w:r>
        <w:t>щего доклада было проведено несколько технических совещаний с представ</w:t>
      </w:r>
      <w:r>
        <w:t>и</w:t>
      </w:r>
      <w:r>
        <w:t>телями правительства и НПО. Наконец, был проведен консультативный пра</w:t>
      </w:r>
      <w:r>
        <w:t>к</w:t>
      </w:r>
      <w:r>
        <w:t>тикум с участием представителей правительств и НПО для оценки степени полноты и точности информации и анализа, содержащихся в докладе. Кроме того, на финальном этапе подготовки проекта доклада он был рассмотрен группой экспертов, представля</w:t>
      </w:r>
      <w:r>
        <w:t>в</w:t>
      </w:r>
      <w:r>
        <w:t>ших правительство и НПО.</w:t>
      </w:r>
    </w:p>
    <w:p w:rsidR="00000000" w:rsidRDefault="00000000">
      <w:pPr>
        <w:pStyle w:val="SingleTxt"/>
      </w:pPr>
      <w:r>
        <w:t xml:space="preserve">I.3. </w:t>
      </w:r>
      <w:r>
        <w:tab/>
        <w:t>В соответствии с форматом, указанным в новых руководящих принципах представления докладов по Конвенции о женщинах, настоящий доклад состоит из трех частей: в первой части излагаются ответы на заключительные замеч</w:t>
      </w:r>
      <w:r>
        <w:t>а</w:t>
      </w:r>
      <w:r>
        <w:t>ния и рекомендации, сформулированные Комитетом по ликвидации всех форм дискриминации в отношении женщин Организации Объединенных Наций (КЛДЖ ООН) в связи с четвертым докладом, представленным правительством Филиппин. Во второй части, а именно в резюме, приведены новейшие данные, касающиеся политического и социально-экономического положения Фили</w:t>
      </w:r>
      <w:r>
        <w:t>п</w:t>
      </w:r>
      <w:r>
        <w:t>пин, в том числе новейшие данные о положении филиппинских женщин. В этой части также вкратце изложены основные политические программные и</w:t>
      </w:r>
      <w:r>
        <w:t>з</w:t>
      </w:r>
      <w:r>
        <w:t>менения, связанные прежде всего с решением тех проблем, с которыми сталк</w:t>
      </w:r>
      <w:r>
        <w:t>и</w:t>
      </w:r>
      <w:r>
        <w:t>ваются женщины, и особо выделяются остающиеся вопросы и препятствия на пути к обеспечению полномасштабного участия женщин в развитии. В третьей части приводится конкретная информация, касающаяся осуществления статей 1-16 Конве</w:t>
      </w:r>
      <w:r>
        <w:t>н</w:t>
      </w:r>
      <w:r>
        <w:t>ции о женщинах.</w:t>
      </w:r>
    </w:p>
    <w:p w:rsidR="00000000" w:rsidRDefault="00000000">
      <w:pPr>
        <w:pStyle w:val="SingleTxt"/>
      </w:pPr>
      <w:r>
        <w:t>I.4.</w:t>
      </w:r>
      <w:r>
        <w:tab/>
        <w:t>В качестве страны – подписанта Филиппины привержены делу осущест</w:t>
      </w:r>
      <w:r>
        <w:t>в</w:t>
      </w:r>
      <w:r>
        <w:t>ления Конвенции, а также других международных соглашений в целях улу</w:t>
      </w:r>
      <w:r>
        <w:t>ч</w:t>
      </w:r>
      <w:r>
        <w:t>шения положений женщин во всем мире, таких, например, как Пекинская де</w:t>
      </w:r>
      <w:r>
        <w:t>к</w:t>
      </w:r>
      <w:r>
        <w:t>ларация и Платформа действий (ПД) и Пекинский итоговый документ «Пять плюс». Таким образом, в настоящем докладе приведена обновленная информ</w:t>
      </w:r>
      <w:r>
        <w:t>а</w:t>
      </w:r>
      <w:r>
        <w:t>ция о законодательстве, политике и программах, которые были нацелены на решение проблем и вопросов, касающихся различных статей конвенции, а та</w:t>
      </w:r>
      <w:r>
        <w:t>к</w:t>
      </w:r>
      <w:r>
        <w:t>же соответствующих положений пекинских деклараций на период 2001-2003 годов.</w:t>
      </w:r>
    </w:p>
    <w:p w:rsidR="00000000" w:rsidRDefault="00000000">
      <w:pPr>
        <w:pStyle w:val="SingleTxt"/>
      </w:pPr>
      <w:r>
        <w:t>I.5.</w:t>
      </w:r>
      <w:r>
        <w:tab/>
        <w:t>КЛДЖ ООН предлагается обращаться к прилагаемому перечню справо</w:t>
      </w:r>
      <w:r>
        <w:t>ч</w:t>
      </w:r>
      <w:r>
        <w:t>ных материалов, акронимов и таблиц, использованных в докладе.</w:t>
      </w:r>
    </w:p>
    <w:p w:rsidR="00000000" w:rsidRDefault="00000000">
      <w:pPr>
        <w:pStyle w:val="SingleTxt"/>
        <w:pageBreakBefore/>
        <w:spacing w:after="0"/>
        <w:ind w:left="1264" w:right="1264"/>
      </w:pPr>
    </w:p>
    <w:p w:rsidR="00000000" w:rsidRDefault="00000000">
      <w:pPr>
        <w:pStyle w:val="HCh"/>
      </w:pPr>
      <w:bookmarkStart w:id="9" w:name="_Toc85174878"/>
      <w:r>
        <w:t xml:space="preserve">Часть </w:t>
      </w:r>
      <w:r>
        <w:rPr>
          <w:lang w:val="en-US"/>
        </w:rPr>
        <w:t>I</w:t>
      </w:r>
      <w:r>
        <w:t>: Основные политические программные меры в ответ на заключительные замечания КЛДЖ по четвертому докладу Филиппин</w:t>
      </w:r>
      <w:bookmarkEnd w:id="9"/>
    </w:p>
    <w:p w:rsidR="00000000" w:rsidRDefault="00000000">
      <w:pPr>
        <w:pStyle w:val="SingleTxt"/>
        <w:spacing w:after="0" w:line="240" w:lineRule="auto"/>
        <w:ind w:left="1264" w:right="1264"/>
        <w:rPr>
          <w:sz w:val="10"/>
        </w:rPr>
      </w:pPr>
    </w:p>
    <w:p w:rsidR="00000000" w:rsidRDefault="00000000">
      <w:pPr>
        <w:pStyle w:val="SingleTxt"/>
        <w:spacing w:after="0" w:line="240" w:lineRule="auto"/>
        <w:ind w:left="1264" w:right="1264"/>
        <w:rPr>
          <w:sz w:val="10"/>
        </w:rPr>
      </w:pPr>
    </w:p>
    <w:p w:rsidR="00000000" w:rsidRDefault="00000000">
      <w:pPr>
        <w:pStyle w:val="SingleTxt"/>
      </w:pPr>
      <w:r>
        <w:t>1.</w:t>
      </w:r>
      <w:r>
        <w:tab/>
        <w:t>Правительство Республики Филиппины приветствовало предложения и рекомендации, сформулированные Комитетом по ликвидации всех форм ди</w:t>
      </w:r>
      <w:r>
        <w:t>с</w:t>
      </w:r>
      <w:r>
        <w:t>криминации в отношении женщин Организации Объединенных Наций (КЛДЖ ООН) в связи с его четвертым периодическим докладом, представленным дел</w:t>
      </w:r>
      <w:r>
        <w:t>е</w:t>
      </w:r>
      <w:r>
        <w:t>гацией Филиппин 27 января 1997 года. Заключительные замечания КЛДЖ ООН, в которых было объективно рассмотрено положение филиппинских женщин и приоритетные направления деятельности, были доведены до свед</w:t>
      </w:r>
      <w:r>
        <w:t>е</w:t>
      </w:r>
      <w:r>
        <w:t>ния всех заинтересованных правительственных учреждений, в рамках манд</w:t>
      </w:r>
      <w:r>
        <w:t>а</w:t>
      </w:r>
      <w:r>
        <w:t>тов и программ которых эти замечания можно было бы учесть. Кроме того, н</w:t>
      </w:r>
      <w:r>
        <w:t>а</w:t>
      </w:r>
      <w:r>
        <w:t>циональная комиссия по положению филиппинских женщин (НКПФЖ) озн</w:t>
      </w:r>
      <w:r>
        <w:t>а</w:t>
      </w:r>
      <w:r>
        <w:t>комила с данными заключительными замечаниями неправительственные орг</w:t>
      </w:r>
      <w:r>
        <w:t>а</w:t>
      </w:r>
      <w:r>
        <w:t>низации (НПО) и всех тех, кто принимал участие в по</w:t>
      </w:r>
      <w:r>
        <w:t>д</w:t>
      </w:r>
      <w:r>
        <w:t>готовке доклада.</w:t>
      </w:r>
    </w:p>
    <w:p w:rsidR="00000000" w:rsidRDefault="00000000">
      <w:pPr>
        <w:pStyle w:val="SingleTxt"/>
        <w:rPr>
          <w:spacing w:val="-2"/>
        </w:rPr>
      </w:pPr>
      <w:r>
        <w:rPr>
          <w:spacing w:val="-2"/>
        </w:rPr>
        <w:t>2.</w:t>
      </w:r>
      <w:r>
        <w:rPr>
          <w:spacing w:val="-2"/>
        </w:rPr>
        <w:tab/>
        <w:t>В ответ правительство Филиппин информирует КЛДЖ ООН о том, что его з</w:t>
      </w:r>
      <w:r>
        <w:rPr>
          <w:spacing w:val="-2"/>
        </w:rPr>
        <w:t>а</w:t>
      </w:r>
      <w:r>
        <w:rPr>
          <w:spacing w:val="-2"/>
        </w:rPr>
        <w:t>ключительные замечания были учтены при разработке ежегодных планов в области пола и развития (ПИР) соответствующими правительственными учреждениями. По закону каждое учреждение обязано представлять план в области ПИР, в котором подробно излагается то, каким образом оно намерено осуществить свой мандат с</w:t>
      </w:r>
      <w:r>
        <w:rPr>
          <w:spacing w:val="-2"/>
        </w:rPr>
        <w:t>о</w:t>
      </w:r>
      <w:r>
        <w:rPr>
          <w:spacing w:val="-2"/>
        </w:rPr>
        <w:t>гласно плану развития Филиппин с учетом гендерных аспектов (ПРФГА), рамочн</w:t>
      </w:r>
      <w:r>
        <w:rPr>
          <w:spacing w:val="-2"/>
        </w:rPr>
        <w:t>о</w:t>
      </w:r>
      <w:r>
        <w:rPr>
          <w:spacing w:val="-2"/>
        </w:rPr>
        <w:t>му плану для женщин, бюджетной политики в области ПИР, законодательству по вопросам гендерного равенства и международным соглашениям.</w:t>
      </w:r>
    </w:p>
    <w:p w:rsidR="00000000" w:rsidRDefault="00000000">
      <w:pPr>
        <w:pStyle w:val="SingleTxt"/>
      </w:pPr>
      <w:r>
        <w:t>3.</w:t>
      </w:r>
      <w:r>
        <w:tab/>
        <w:t>С тем, чтобы содействовать осуществлению Конвенции о женщинах и других международных соглашений на Филиппинах были разработаны планы развития в интересах женщин. В этих планах на основе положений междун</w:t>
      </w:r>
      <w:r>
        <w:t>а</w:t>
      </w:r>
      <w:r>
        <w:t>родных соглашений предусматриваются конкретные политические и пр</w:t>
      </w:r>
      <w:r>
        <w:t>о</w:t>
      </w:r>
      <w:r>
        <w:t>граммные меры. Кроме того, эти планы нацелены на то, чтобы обеспечить б</w:t>
      </w:r>
      <w:r>
        <w:t>о</w:t>
      </w:r>
      <w:r>
        <w:t>лее полное выполнение вышеупомянутых соглашений и снабдить информацией прошлых и будущих руководителей правительства, которая им необходима для принятия мер в области развития в интересах женщин. Первым планом, разр</w:t>
      </w:r>
      <w:r>
        <w:t>а</w:t>
      </w:r>
      <w:r>
        <w:t>ботанным в период пребывания у власти бывшего президента Корасон Акино, был филиппинский план развития для женщин (1989-1992), вслед за которым был разработан 30-летний перспективный план, план развития Филиппин с учетом гендерных аспектов (ПРФГА) (1995-2025) в период правления бывшего президента Фиделя Рамоса. На основе ПРФГА был разработан рамочный план для женщин (РПЖ). В РПЖ, входящем в состав ПРФГА, изложены меры в и</w:t>
      </w:r>
      <w:r>
        <w:t>н</w:t>
      </w:r>
      <w:r>
        <w:t>тересах женщин, которые примет администрация президента Глории Макап</w:t>
      </w:r>
      <w:r>
        <w:t>а</w:t>
      </w:r>
      <w:r>
        <w:t>гал Арроя для удовлетворения насущных и новых потребностей женщин в трех проблемных областях, а именно: (a) расширение экономических возможностей женщин, (b) права человека женщин и (c) управление с учетом гендерных а</w:t>
      </w:r>
      <w:r>
        <w:t>с</w:t>
      </w:r>
      <w:r>
        <w:t>пектов.</w:t>
      </w:r>
    </w:p>
    <w:p w:rsidR="00000000" w:rsidRDefault="00000000">
      <w:pPr>
        <w:pStyle w:val="SingleTxt"/>
        <w:rPr>
          <w:spacing w:val="-2"/>
        </w:rPr>
      </w:pPr>
      <w:r>
        <w:t>4.</w:t>
      </w:r>
      <w:r>
        <w:tab/>
        <w:t>При поддержке со стороны женских организаций и других групп гра</w:t>
      </w:r>
      <w:r>
        <w:t>ж</w:t>
      </w:r>
      <w:r>
        <w:t>данского общества исполнительные органы власти филиппинского правител</w:t>
      </w:r>
      <w:r>
        <w:t>ь</w:t>
      </w:r>
      <w:r>
        <w:t>ства убедили законодательные органы власти принять законодательство, обе</w:t>
      </w:r>
      <w:r>
        <w:t>с</w:t>
      </w:r>
      <w:r>
        <w:t>печивающее защиту прав женщин, связанное, например, с родителями одино</w:t>
      </w:r>
      <w:r>
        <w:t>ч</w:t>
      </w:r>
      <w:r>
        <w:t>ками, противодействием изнасилованиям, торговлей женщинами и насилием в семье, а также с жестоким обращением в женщинами в ходе половых снош</w:t>
      </w:r>
      <w:r>
        <w:t>е</w:t>
      </w:r>
      <w:r>
        <w:t>ний. Кроме того, исполнительные органы власти оказали содействие распр</w:t>
      </w:r>
      <w:r>
        <w:t>о</w:t>
      </w:r>
      <w:r>
        <w:t>странению информации и составлению планов в области ПИР судебными о</w:t>
      </w:r>
      <w:r>
        <w:t>р</w:t>
      </w:r>
      <w:r>
        <w:t>ганами для обеспечения эффективного осуществления законодательства, к</w:t>
      </w:r>
      <w:r>
        <w:t>а</w:t>
      </w:r>
      <w:r>
        <w:t>сающегося прав человека женщин.</w:t>
      </w:r>
    </w:p>
    <w:p w:rsidR="00000000" w:rsidRDefault="00000000">
      <w:pPr>
        <w:pStyle w:val="SingleTxt"/>
        <w:rPr>
          <w:spacing w:val="-2"/>
        </w:rPr>
      </w:pPr>
      <w:r>
        <w:rPr>
          <w:spacing w:val="-2"/>
        </w:rPr>
        <w:t>5.</w:t>
      </w:r>
      <w:r>
        <w:rPr>
          <w:spacing w:val="-2"/>
        </w:rPr>
        <w:tab/>
        <w:t>Ниже приводится подробная информация о том, какие меры приняло прав</w:t>
      </w:r>
      <w:r>
        <w:rPr>
          <w:spacing w:val="-2"/>
        </w:rPr>
        <w:t>и</w:t>
      </w:r>
      <w:r>
        <w:rPr>
          <w:spacing w:val="-2"/>
        </w:rPr>
        <w:t>тельство в соответствии с замечаниями и рекомендациями КЛДЖ ООН в период п</w:t>
      </w:r>
      <w:r>
        <w:rPr>
          <w:spacing w:val="-2"/>
        </w:rPr>
        <w:t>о</w:t>
      </w:r>
      <w:r>
        <w:rPr>
          <w:spacing w:val="-2"/>
        </w:rPr>
        <w:t>сле 1996 года и что оно намерено предпринять в соответствии с РПЖ в период до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10" w:name="_Toc85174879"/>
      <w:r>
        <w:t>Проведение политики, направленной на создание безопасных и защищенных рабочих мест для женщин</w:t>
      </w:r>
      <w:bookmarkEnd w:id="10"/>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«Комитет выразил серьезную озабоченность по поводу экономических реформ, которые привели, с одной стороны, к положительному росту валового наци</w:t>
      </w:r>
      <w:r>
        <w:rPr>
          <w:i/>
        </w:rPr>
        <w:t>о</w:t>
      </w:r>
      <w:r>
        <w:rPr>
          <w:i/>
        </w:rPr>
        <w:t>нального продукта (ВНП), и, с другой стороны, к увеличению разрыва в доле безработных среди мужчин и женщин и экономической маргинализации же</w:t>
      </w:r>
      <w:r>
        <w:rPr>
          <w:i/>
        </w:rPr>
        <w:t>н</w:t>
      </w:r>
      <w:r>
        <w:rPr>
          <w:i/>
        </w:rPr>
        <w:t>щин. Этот негативный фактор, пусть даже краткосрочного характера, б</w:t>
      </w:r>
      <w:r>
        <w:rPr>
          <w:i/>
        </w:rPr>
        <w:t>у</w:t>
      </w:r>
      <w:r>
        <w:rPr>
          <w:i/>
        </w:rPr>
        <w:t>дет все труднее исправить. Как представляется, из-за отсутствия эконом</w:t>
      </w:r>
      <w:r>
        <w:rPr>
          <w:i/>
        </w:rPr>
        <w:t>и</w:t>
      </w:r>
      <w:r>
        <w:rPr>
          <w:i/>
        </w:rPr>
        <w:t>ческих условий для жизни сельские женщины мигрируют в городские районы, где и без того высокий уровень безработицы, и это может обуславливать н</w:t>
      </w:r>
      <w:r>
        <w:rPr>
          <w:i/>
        </w:rPr>
        <w:t>а</w:t>
      </w:r>
      <w:r>
        <w:rPr>
          <w:i/>
        </w:rPr>
        <w:t>личие большого числа работников индустрии секса, занимающихся незаконной проституцией, а также большой доли женщин, мигрирующих за границу для работы.» (пункт 18, КЛДЖ, 1997)</w:t>
      </w:r>
    </w:p>
    <w:p w:rsidR="00000000" w:rsidRDefault="00000000">
      <w:pPr>
        <w:pStyle w:val="SingleTxt"/>
        <w:rPr>
          <w:b/>
          <w:i/>
        </w:rPr>
      </w:pPr>
      <w:r>
        <w:rPr>
          <w:i/>
        </w:rPr>
        <w:t>«Комитет настоятельно призвал правительство Филиппин принять приор</w:t>
      </w:r>
      <w:r>
        <w:rPr>
          <w:i/>
        </w:rPr>
        <w:t>и</w:t>
      </w:r>
      <w:r>
        <w:rPr>
          <w:i/>
        </w:rPr>
        <w:t>тетные меры по созданию безопасных и охраняемых рабочих мест для же</w:t>
      </w:r>
      <w:r>
        <w:rPr>
          <w:i/>
        </w:rPr>
        <w:t>н</w:t>
      </w:r>
      <w:r>
        <w:rPr>
          <w:i/>
        </w:rPr>
        <w:t>щин и их участию в качестве субподрядчиков и занятости в неформальном секторе, в качестве работниц зон свободной торговли или лиц, занимающихся предоставлением платных сексуальных услуг, или трудящихся-мигрантов, р</w:t>
      </w:r>
      <w:r>
        <w:rPr>
          <w:i/>
        </w:rPr>
        <w:t>а</w:t>
      </w:r>
      <w:r>
        <w:rPr>
          <w:i/>
        </w:rPr>
        <w:t>ботающих за границей по контрактам». (пункт 23, КЛДЖ, 1997)</w:t>
      </w:r>
    </w:p>
    <w:p w:rsidR="00000000" w:rsidRDefault="00000000">
      <w:pPr>
        <w:pStyle w:val="SingleTxt"/>
        <w:rPr>
          <w:i/>
        </w:rPr>
      </w:pPr>
      <w:r>
        <w:rPr>
          <w:i/>
        </w:rPr>
        <w:t>«Комитет предложил правительству пересмотреть свою экономическую п</w:t>
      </w:r>
      <w:r>
        <w:rPr>
          <w:i/>
        </w:rPr>
        <w:t>о</w:t>
      </w:r>
      <w:r>
        <w:rPr>
          <w:i/>
        </w:rPr>
        <w:t>литику в свете тревожных признаков того, что экономический рост происх</w:t>
      </w:r>
      <w:r>
        <w:rPr>
          <w:i/>
        </w:rPr>
        <w:t>о</w:t>
      </w:r>
      <w:r>
        <w:rPr>
          <w:i/>
        </w:rPr>
        <w:t>дит одновременно с широким распространением маргинализации и эксплуат</w:t>
      </w:r>
      <w:r>
        <w:rPr>
          <w:i/>
        </w:rPr>
        <w:t>а</w:t>
      </w:r>
      <w:r>
        <w:rPr>
          <w:i/>
        </w:rPr>
        <w:t>ции женщин, с одной стороны, и тем, что они вынуждены покидать свои д</w:t>
      </w:r>
      <w:r>
        <w:rPr>
          <w:i/>
        </w:rPr>
        <w:t>о</w:t>
      </w:r>
      <w:r>
        <w:rPr>
          <w:i/>
        </w:rPr>
        <w:t>ма и семьи для работы за границей, с другой стороны». (пункт 24, КЛДЖ, 1997)</w:t>
      </w:r>
    </w:p>
    <w:p w:rsidR="00000000" w:rsidRDefault="00000000">
      <w:pPr>
        <w:pStyle w:val="SingleTxt"/>
      </w:pPr>
      <w:r>
        <w:t>6.</w:t>
      </w:r>
      <w:r>
        <w:tab/>
        <w:t>Проводимая государством политика направлена на то, чтобы обеспечить участие женщин в процессе развития и использования ими его результатов на равной основе с мужчинами. Основанная на положениях о равенстве полов филиппинской конституции 1987 года, эта политика отражена в таких закон</w:t>
      </w:r>
      <w:r>
        <w:t>о</w:t>
      </w:r>
      <w:r>
        <w:t>дательных актах, как Республиканский закон (РЗ) № 7192, или Закон об уч</w:t>
      </w:r>
      <w:r>
        <w:t>а</w:t>
      </w:r>
      <w:r>
        <w:t>стии женщин в развитии и укреплении государства 1992 года. Благодаря при</w:t>
      </w:r>
      <w:r>
        <w:t>н</w:t>
      </w:r>
      <w:r>
        <w:t>ципу сочетания экономического роста с обеспечением социального равенства, лежащему в основе экономической политики рассматриваемых органов, были созданы политические условия, благоприятствующие соблюдению прав му</w:t>
      </w:r>
      <w:r>
        <w:t>ж</w:t>
      </w:r>
      <w:r>
        <w:t>чин и женщин, живущих в сельских районах и работающих в неформальном секторе, а также тех, кто ведет домашнее хозяйство и работает за границей, и удовлетворению потребностей таких мужчин и женщин. Правительство Ф</w:t>
      </w:r>
      <w:r>
        <w:t>и</w:t>
      </w:r>
      <w:r>
        <w:t>липпин непрестанно обеспокоено реализацией права женщин на труд, включая гигиену труда и личную безопасность на рабочем месте. Кроме того, крайнюю обеспокоенность вызывает и обеспечение средствами к существованию мал</w:t>
      </w:r>
      <w:r>
        <w:t>о</w:t>
      </w:r>
      <w:r>
        <w:t>имущих и удовлетворение их минимальных базовых потребностей.</w:t>
      </w:r>
    </w:p>
    <w:p w:rsidR="00000000" w:rsidRDefault="00000000">
      <w:pPr>
        <w:pStyle w:val="SingleTxt"/>
        <w:rPr>
          <w:spacing w:val="-2"/>
        </w:rPr>
      </w:pPr>
      <w:r>
        <w:rPr>
          <w:spacing w:val="-2"/>
        </w:rPr>
        <w:t>7.</w:t>
      </w:r>
      <w:r>
        <w:rPr>
          <w:spacing w:val="-2"/>
        </w:rPr>
        <w:tab/>
        <w:t xml:space="preserve">Как отмечено в разделе настоящего доклада, посвященном статье 8, </w:t>
      </w:r>
      <w:r>
        <w:t>в качестве председателя АТЭС в</w:t>
      </w:r>
      <w:r>
        <w:rPr>
          <w:spacing w:val="-2"/>
        </w:rPr>
        <w:t xml:space="preserve"> 1996 году Филиппины совместно с Канадой провели первое совещание сети женщин-руководителей АТЭС, после которого лидеры стран АТЭС заявили о своей приверженности делу обеспечения «полномасштабного участия женщин и молодежи» в программах, процессах и мероприятиях АТЭС. На посл</w:t>
      </w:r>
      <w:r>
        <w:rPr>
          <w:spacing w:val="-2"/>
        </w:rPr>
        <w:t>е</w:t>
      </w:r>
      <w:r>
        <w:rPr>
          <w:spacing w:val="-2"/>
        </w:rPr>
        <w:t>дующих совещаниях лидеров это первоначальное обязательство было подтвержд</w:t>
      </w:r>
      <w:r>
        <w:rPr>
          <w:spacing w:val="-2"/>
        </w:rPr>
        <w:t>е</w:t>
      </w:r>
      <w:r>
        <w:rPr>
          <w:spacing w:val="-2"/>
        </w:rPr>
        <w:t>но, и в настоящее время в АТЭС гендерные аспекты неизменно рассматриваются в качестве междисциплинарной темы. Филиппины сыграли ключевую роль в этом процессе. Они организовали первое совещание на уровне министров стран АТЭС по проблемам женщин в 1999 году, на котором обсуждались потенциальные негати</w:t>
      </w:r>
      <w:r>
        <w:rPr>
          <w:spacing w:val="-2"/>
        </w:rPr>
        <w:t>в</w:t>
      </w:r>
      <w:r>
        <w:rPr>
          <w:spacing w:val="-2"/>
        </w:rPr>
        <w:t>ные последствия либерализации торговли и сокращения масштабов государственн</w:t>
      </w:r>
      <w:r>
        <w:rPr>
          <w:spacing w:val="-2"/>
        </w:rPr>
        <w:t>о</w:t>
      </w:r>
      <w:r>
        <w:rPr>
          <w:spacing w:val="-2"/>
        </w:rPr>
        <w:t>го вмешательства в экономику для женщин и других уязвимых секторов. Для втор</w:t>
      </w:r>
      <w:r>
        <w:rPr>
          <w:spacing w:val="-2"/>
        </w:rPr>
        <w:t>о</w:t>
      </w:r>
      <w:r>
        <w:rPr>
          <w:spacing w:val="-2"/>
        </w:rPr>
        <w:t>го совещания на уровне министров стран АТЭС по проблемам женщин, состоявш</w:t>
      </w:r>
      <w:r>
        <w:rPr>
          <w:spacing w:val="-2"/>
        </w:rPr>
        <w:t>е</w:t>
      </w:r>
      <w:r>
        <w:rPr>
          <w:spacing w:val="-2"/>
        </w:rPr>
        <w:t>гося в сентябре 2002 года в городе Гвадалахара, Мексика (АТЭС, 2002), Филиппины совместно с Новой Зеландией подготовили справочный документ о последствиях политики либерализации торговли для женщин. В этом документе были особо отм</w:t>
      </w:r>
      <w:r>
        <w:rPr>
          <w:spacing w:val="-2"/>
        </w:rPr>
        <w:t>е</w:t>
      </w:r>
      <w:r>
        <w:rPr>
          <w:spacing w:val="-2"/>
        </w:rPr>
        <w:t>чены негативные последствия политики либерализации торговли для женщин. В нем было рекомендовано пересмотреть вышеуказанную политику с тем, чтобы обеспечить защиту и соблюдение экономических, социальных и политических прав же</w:t>
      </w:r>
      <w:r>
        <w:rPr>
          <w:spacing w:val="-2"/>
        </w:rPr>
        <w:t>н</w:t>
      </w:r>
      <w:r>
        <w:rPr>
          <w:spacing w:val="-2"/>
        </w:rPr>
        <w:t>щин.</w:t>
      </w:r>
    </w:p>
    <w:p w:rsidR="00000000" w:rsidRDefault="00000000">
      <w:pPr>
        <w:pStyle w:val="SingleTxt"/>
      </w:pPr>
      <w:r>
        <w:t>8.</w:t>
      </w:r>
      <w:r>
        <w:tab/>
      </w:r>
      <w:r>
        <w:rPr>
          <w:u w:val="single"/>
        </w:rPr>
        <w:t>Меры, принятые согласно РПЖ</w:t>
      </w:r>
      <w:r>
        <w:t>. В 2001-2004 годах правительство более активно занималось защитой прав женщин в экономике в соответствии с ук</w:t>
      </w:r>
      <w:r>
        <w:t>а</w:t>
      </w:r>
      <w:r>
        <w:t>заниями, изложенными в РПЖ. Оно уделяет первоочередное внимание «ра</w:t>
      </w:r>
      <w:r>
        <w:t>с</w:t>
      </w:r>
      <w:r>
        <w:t>ширению экономических возможностей женщин на основе доступа к капиталу, рынку, обучению, информации, технологии и технической помощи, справедл</w:t>
      </w:r>
      <w:r>
        <w:t>и</w:t>
      </w:r>
      <w:r>
        <w:t>вой заработной плате и пособиям, защите от эксплуатации, участия в процессе принятия экономических решений и безопасных условий труда». Новые меры включают: a) повышение информированности женщин об их экономических правах и участие общины в обеспечении экономических прав женщин, b) ра</w:t>
      </w:r>
      <w:r>
        <w:t>с</w:t>
      </w:r>
      <w:r>
        <w:t>ширение возможностей работодателей по реализации касающегося женщин трудов</w:t>
      </w:r>
      <w:r>
        <w:t>о</w:t>
      </w:r>
      <w:r>
        <w:t>го законодательства, c) развитие сотрудничества между женщинами -наемными работниками и женщинами-владельцами и руководителями пре</w:t>
      </w:r>
      <w:r>
        <w:t>д</w:t>
      </w:r>
      <w:r>
        <w:t>приятий, и d) поощрение участия женщин в экономическом управлении путем оказания поддержки созданию женских организаций в государственном и предпринимательском секторе.</w:t>
      </w:r>
    </w:p>
    <w:p w:rsidR="00000000" w:rsidRDefault="00000000">
      <w:pPr>
        <w:pStyle w:val="SingleTxt"/>
      </w:pPr>
      <w:r>
        <w:t>9.</w:t>
      </w:r>
      <w:r>
        <w:tab/>
        <w:t>В стране продолжается просветительская деятельность, нацеленная на обеспечение учета гендерных аспектов в процессе разработки экономической политики. Деловой совет филиппинских женщин стал главным партнером пр</w:t>
      </w:r>
      <w:r>
        <w:t>а</w:t>
      </w:r>
      <w:r>
        <w:t>вительства в диалоге, посвященном тому, как сказываются экономические пр</w:t>
      </w:r>
      <w:r>
        <w:t>о</w:t>
      </w:r>
      <w:r>
        <w:t>блемы на положении женщин. Другие ресурсные группы подготовили полит</w:t>
      </w:r>
      <w:r>
        <w:t>и</w:t>
      </w:r>
      <w:r>
        <w:t>ческие исследования по таким вопросам, как воздействие глобализации и эк</w:t>
      </w:r>
      <w:r>
        <w:t>о</w:t>
      </w:r>
      <w:r>
        <w:t>номического кризиса 1997 года на положение женщин. Они сыграли далеко не последнюю роль в усилиях правительства по защите экономических прав же</w:t>
      </w:r>
      <w:r>
        <w:t>н</w:t>
      </w:r>
      <w:r>
        <w:t>щин.</w:t>
      </w:r>
    </w:p>
    <w:p w:rsidR="00000000" w:rsidRDefault="00000000">
      <w:pPr>
        <w:pStyle w:val="SingleTxt"/>
      </w:pPr>
      <w:r>
        <w:t>10.</w:t>
      </w:r>
      <w:r>
        <w:tab/>
        <w:t>Как указывается в разделе настоящего доклада, посвященном статье 11, ведутся переговоры по заключению двухсторонних и многосторонних согл</w:t>
      </w:r>
      <w:r>
        <w:t>а</w:t>
      </w:r>
      <w:r>
        <w:t>шений по защите прав работающих за границей лиц, включая женщин. В нек</w:t>
      </w:r>
      <w:r>
        <w:t>о</w:t>
      </w:r>
      <w:r>
        <w:t>торых странах для этого созданы соответствующие механизмы. С некоторыми принимающими странами (такими, например, как Соединенное Королевство, Швейцария, Бельгия, Кувейт) заключены двухсторонние соглашения об и</w:t>
      </w:r>
      <w:r>
        <w:t>с</w:t>
      </w:r>
      <w:r>
        <w:t>пользовании стандартных трудовых договоров и об охвате системами социал</w:t>
      </w:r>
      <w:r>
        <w:t>ь</w:t>
      </w:r>
      <w:r>
        <w:t>ного обеспечения.</w:t>
      </w:r>
    </w:p>
    <w:p w:rsidR="00000000" w:rsidRDefault="00000000">
      <w:pPr>
        <w:pStyle w:val="SingleTxt"/>
      </w:pPr>
      <w:r>
        <w:t>11.</w:t>
      </w:r>
      <w:r>
        <w:tab/>
        <w:t>Были приняты меры с тем, чтобы повысить уровень подотчетности агентств по трудоустройству и должностных лиц, занимающихся проблемами работающих за рубежом филиппинцев, в плане защиты работающих за руб</w:t>
      </w:r>
      <w:r>
        <w:t>е</w:t>
      </w:r>
      <w:r>
        <w:t>жом филиппинцев (РЗРФ). Более жесткие правила были приняты в отношении создания новых агентств по трудоустройству и были предусмотрены более ж</w:t>
      </w:r>
      <w:r>
        <w:t>е</w:t>
      </w:r>
      <w:r>
        <w:t>сткие сан</w:t>
      </w:r>
      <w:r>
        <w:t>к</w:t>
      </w:r>
      <w:r>
        <w:t>ции для нарушителей.</w:t>
      </w:r>
    </w:p>
    <w:p w:rsidR="00000000" w:rsidRDefault="00000000">
      <w:pPr>
        <w:pStyle w:val="SingleTxt"/>
      </w:pPr>
      <w:r>
        <w:t>12.</w:t>
      </w:r>
      <w:r>
        <w:tab/>
        <w:t>Правительство активно занимается модернизацией секторов рыболовства и сельского хозяйства в соответствии с принятым законом о модернизации се</w:t>
      </w:r>
      <w:r>
        <w:t>к</w:t>
      </w:r>
      <w:r>
        <w:t>торов сельского хозяйства и рыболовства от 1997 года. Предполагается, что эти программы обеспечат повышение уровня доходов сельских жителей и прод</w:t>
      </w:r>
      <w:r>
        <w:t>о</w:t>
      </w:r>
      <w:r>
        <w:t>вольственной безопасности, а также будут способствовать развитию сельских районов.</w:t>
      </w:r>
    </w:p>
    <w:p w:rsidR="00000000" w:rsidRDefault="00000000">
      <w:pPr>
        <w:pStyle w:val="SingleTxt"/>
      </w:pPr>
      <w:r>
        <w:t>13.</w:t>
      </w:r>
      <w:r>
        <w:tab/>
        <w:t>Министерство труда, совместно с правительственными и неправительс</w:t>
      </w:r>
      <w:r>
        <w:t>т</w:t>
      </w:r>
      <w:r>
        <w:t>венными заинтересованными сторонами, подготовило страновую программу, касающуюся неформального сектора, нацеленную на то, чтобы институцион</w:t>
      </w:r>
      <w:r>
        <w:t>а</w:t>
      </w:r>
      <w:r>
        <w:t>лизировать программы и политику в отношении неформального сектора с п</w:t>
      </w:r>
      <w:r>
        <w:t>о</w:t>
      </w:r>
      <w:r>
        <w:t>мощью органов местного самоуправления (подробная информация приведена в разделе настоящего доклада, посвященном статье 11). Программа, которая б</w:t>
      </w:r>
      <w:r>
        <w:t>ы</w:t>
      </w:r>
      <w:r>
        <w:t>ла утверждена комитетом кабинета по социальному развитию в июле 2003 года, основана на экспериментальном опыте, включая создание потенци</w:t>
      </w:r>
      <w:r>
        <w:t>а</w:t>
      </w:r>
      <w:r>
        <w:t>ла местных органов власти по оказанию поддержки их соответствующим н</w:t>
      </w:r>
      <w:r>
        <w:t>е</w:t>
      </w:r>
      <w:r>
        <w:t>формальным секторам, в частности в сельских районах, и укрепление орган</w:t>
      </w:r>
      <w:r>
        <w:t>и</w:t>
      </w:r>
      <w:r>
        <w:t>заций, объед</w:t>
      </w:r>
      <w:r>
        <w:t>и</w:t>
      </w:r>
      <w:r>
        <w:t>няющих работников неформальных секторов на местном уровне.</w:t>
      </w:r>
    </w:p>
    <w:p w:rsidR="00000000" w:rsidRDefault="00000000">
      <w:pPr>
        <w:pStyle w:val="SingleTxt"/>
      </w:pPr>
      <w:r>
        <w:t>14.</w:t>
      </w:r>
      <w:r>
        <w:tab/>
        <w:t>Как указано в разделах настоящего доклада, посвященных статье 13 и статье 14, правительство Филиппин, будучи осведомлено о тех угрозах, кот</w:t>
      </w:r>
      <w:r>
        <w:t>о</w:t>
      </w:r>
      <w:r>
        <w:t>рые сокращение масштабов государственного вмешательства в экономику и либерализация торговли представляют для некоторых секторов экономики, у</w:t>
      </w:r>
      <w:r>
        <w:t>с</w:t>
      </w:r>
      <w:r>
        <w:t>корило реализацию программ по созданию альтернативных возможностей в области занятости. Национальная стратегия включает, в том числе, следующие элеме</w:t>
      </w:r>
      <w:r>
        <w:t>н</w:t>
      </w:r>
      <w:r>
        <w:t>ты:</w:t>
      </w:r>
    </w:p>
    <w:p w:rsidR="00000000" w:rsidRDefault="00000000">
      <w:pPr>
        <w:pStyle w:val="SingleTxt"/>
        <w:tabs>
          <w:tab w:val="clear" w:pos="2693"/>
        </w:tabs>
        <w:ind w:left="1740" w:right="1264" w:hanging="476"/>
      </w:pPr>
      <w:r>
        <w:rPr>
          <w:lang w:val="en-US"/>
        </w:rPr>
        <w:t>a</w:t>
      </w:r>
      <w:r>
        <w:t>)</w:t>
      </w:r>
      <w:r>
        <w:tab/>
        <w:t>обеспечение доступа к финансированию мужчин и женщин, работающих на малых и средних предприятиях (МСП), а также на микро- и домашних пре</w:t>
      </w:r>
      <w:r>
        <w:t>д</w:t>
      </w:r>
      <w:r>
        <w:t>приятиях,</w:t>
      </w:r>
    </w:p>
    <w:p w:rsidR="00000000" w:rsidRDefault="00000000">
      <w:pPr>
        <w:pStyle w:val="SingleTxt"/>
        <w:ind w:left="1740" w:right="1264" w:hanging="476"/>
      </w:pPr>
      <w:r>
        <w:rPr>
          <w:lang w:val="en-US"/>
        </w:rPr>
        <w:t>b</w:t>
      </w:r>
      <w:r>
        <w:t>)</w:t>
      </w:r>
      <w:r>
        <w:tab/>
        <w:t>развитие предпринимательских навыков и навыков в области промы</w:t>
      </w:r>
      <w:r>
        <w:t>ш</w:t>
      </w:r>
      <w:r>
        <w:t>ленного производства у женщин в секторах микропредприятий, домашних предприятий и МСП,</w:t>
      </w:r>
    </w:p>
    <w:p w:rsidR="00000000" w:rsidRDefault="00000000">
      <w:pPr>
        <w:pStyle w:val="SingleTxt"/>
        <w:ind w:left="1740" w:right="1264" w:hanging="476"/>
      </w:pPr>
      <w:r>
        <w:rPr>
          <w:spacing w:val="-2"/>
          <w:lang w:val="en-US"/>
        </w:rPr>
        <w:t>c</w:t>
      </w:r>
      <w:r>
        <w:rPr>
          <w:spacing w:val="-2"/>
        </w:rPr>
        <w:t>)</w:t>
      </w:r>
      <w:r>
        <w:rPr>
          <w:spacing w:val="-2"/>
        </w:rPr>
        <w:tab/>
        <w:t>техническая помощь для повышения производительности труда и улучшения условий труда на малых предприятиях с уделением должного внимания тем предприятиям, где преобладают женщины, таким, например, как в секторах текстильных и юв</w:t>
      </w:r>
      <w:r>
        <w:rPr>
          <w:spacing w:val="-2"/>
        </w:rPr>
        <w:t>е</w:t>
      </w:r>
      <w:r>
        <w:rPr>
          <w:spacing w:val="-2"/>
        </w:rPr>
        <w:t>лирных изделий,</w:t>
      </w:r>
    </w:p>
    <w:p w:rsidR="00000000" w:rsidRDefault="00000000">
      <w:pPr>
        <w:pStyle w:val="SingleTxt"/>
        <w:ind w:left="1740" w:right="1264" w:hanging="476"/>
      </w:pPr>
      <w:r>
        <w:rPr>
          <w:lang w:val="en-US"/>
        </w:rPr>
        <w:t>d</w:t>
      </w:r>
      <w:r>
        <w:t>)</w:t>
      </w:r>
      <w:r>
        <w:tab/>
        <w:t>расширение занятости сельских жителей на основе индивидуальной тр</w:t>
      </w:r>
      <w:r>
        <w:t>у</w:t>
      </w:r>
      <w:r>
        <w:t>довой деятельности и предпринимательства, а также</w:t>
      </w:r>
    </w:p>
    <w:p w:rsidR="00000000" w:rsidRDefault="00000000">
      <w:pPr>
        <w:pStyle w:val="SingleTxt"/>
        <w:ind w:left="1740" w:right="1264" w:hanging="476"/>
      </w:pPr>
      <w:r>
        <w:rPr>
          <w:lang w:val="en-US"/>
        </w:rPr>
        <w:t>e</w:t>
      </w:r>
      <w:r>
        <w:t>)</w:t>
      </w:r>
      <w:r>
        <w:tab/>
        <w:t>содействие трудоустройству в пределах страны и за рубежом с помощью "Филджобнет" (служба обеспечения занятости в сети "Интернет"), а та</w:t>
      </w:r>
      <w:r>
        <w:t>к</w:t>
      </w:r>
      <w:r>
        <w:t>же доступ к другим правительственным услугам, таким, например, как кредитование и обучение с помощью отделений государственной службы зан</w:t>
      </w:r>
      <w:r>
        <w:t>я</w:t>
      </w:r>
      <w:r>
        <w:t>тости (ПЕСО) на местном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rPr>
          <w:b w:val="0"/>
        </w:rPr>
      </w:pPr>
      <w:bookmarkStart w:id="11" w:name="_Toc85174880"/>
      <w:r>
        <w:t>Предоставление информации и оказание помощи женщинам, работающим за границей</w:t>
      </w:r>
      <w:bookmarkEnd w:id="11"/>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«Комитет настоятельно рекомендует правительству создать специальный национальный координационный центр для предоставления информации и ок</w:t>
      </w:r>
      <w:r>
        <w:rPr>
          <w:i/>
        </w:rPr>
        <w:t>а</w:t>
      </w:r>
      <w:r>
        <w:rPr>
          <w:i/>
        </w:rPr>
        <w:t>зания помощи женщинам до их отъезда на работу за границу, а также, в сл</w:t>
      </w:r>
      <w:r>
        <w:rPr>
          <w:i/>
        </w:rPr>
        <w:t>у</w:t>
      </w:r>
      <w:r>
        <w:rPr>
          <w:i/>
        </w:rPr>
        <w:t>чае необходимости, – центры в принимающих странах». (пункт 25)</w:t>
      </w:r>
    </w:p>
    <w:p w:rsidR="00000000" w:rsidRDefault="00000000">
      <w:pPr>
        <w:pStyle w:val="SingleTxt"/>
      </w:pPr>
      <w:r>
        <w:t>15.</w:t>
      </w:r>
      <w:r>
        <w:tab/>
        <w:t>В течение рассматриваемого периода стал полностью применяться закон о рабочих-мигрантах и живущих за рубежом филиппинцах от 199</w:t>
      </w:r>
      <w:r>
        <w:rPr>
          <w:i/>
        </w:rPr>
        <w:t>5 </w:t>
      </w:r>
      <w:r>
        <w:t>года. В с</w:t>
      </w:r>
      <w:r>
        <w:t>о</w:t>
      </w:r>
      <w:r>
        <w:t>ответствии с этим законом в середине 200</w:t>
      </w:r>
      <w:r>
        <w:rPr>
          <w:i/>
        </w:rPr>
        <w:t>1 </w:t>
      </w:r>
      <w:r>
        <w:t>года президент ввел в состав совета управляющих филиппинского управления по вопросам трудоустройства за р</w:t>
      </w:r>
      <w:r>
        <w:t>у</w:t>
      </w:r>
      <w:r>
        <w:t>бежом (ФУТР), являющегося официальным органом, регулирующим трудоус</w:t>
      </w:r>
      <w:r>
        <w:t>т</w:t>
      </w:r>
      <w:r>
        <w:t>ройство за рубежом, женщину, которая ранее была трудящимся-мигрантом. Другие ключевые меры, которые были приняты, включают предоставление д</w:t>
      </w:r>
      <w:r>
        <w:t>о</w:t>
      </w:r>
      <w:r>
        <w:t>полнительных услуг в области социального обеспечения филиппинцам, раб</w:t>
      </w:r>
      <w:r>
        <w:t>о</w:t>
      </w:r>
      <w:r>
        <w:t>тающим за рубежом, начиная с 2002 года по программе «Услуги по междун</w:t>
      </w:r>
      <w:r>
        <w:t>а</w:t>
      </w:r>
      <w:r>
        <w:t>родному социальному обеспечению филиппинцев» министерства социального обеспечения. В рамках этой программы министерство направило первую гру</w:t>
      </w:r>
      <w:r>
        <w:t>п</w:t>
      </w:r>
      <w:r>
        <w:t>пу работников системы социального обеспечения в пять ближневосточных стран (Абу-Даби, Дубаи, Кувейт, Катар и Саудовская Аравия) и три азиатские страны (Сингапур, Гонконг и Тайвань); и, кроме того, направило атташе по в</w:t>
      </w:r>
      <w:r>
        <w:t>о</w:t>
      </w:r>
      <w:r>
        <w:t>просам социального обеспечения в Малайзию, а социальных работников – в Японию. Они должны заниматься непосредственным обслуживанием (тран</w:t>
      </w:r>
      <w:r>
        <w:t>с</w:t>
      </w:r>
      <w:r>
        <w:t>порт, жилье и питание); работать с конкретными людьми, включая направление к другим социальным службам, консультирование, групповую терапию и вед</w:t>
      </w:r>
      <w:r>
        <w:t>е</w:t>
      </w:r>
      <w:r>
        <w:t>ние досье; посещение тюрем и больниц; моральную поддержку и развитие н</w:t>
      </w:r>
      <w:r>
        <w:t>а</w:t>
      </w:r>
      <w:r>
        <w:t>выков; а также просвещение и социальную мобилизацию. В течение года после того, как они были направлены, сотрудники системы социального обеспечения смогли оказать помощь 6 429 филиппинцам в Малайзии, 3 820 филиппинцам в Японии, 158 филиппинцам в Гонконге и 2 45</w:t>
      </w:r>
      <w:r>
        <w:rPr>
          <w:i/>
        </w:rPr>
        <w:t>1 </w:t>
      </w:r>
      <w:r>
        <w:t>филиппинцу в других странах, в которых эти должностные лица выполняли функции технических помощников атташе по трудовым вопросам. Примерно 90 процентов их клиентов – это женщины в возрасте от 22 до 40 лет, а остальные – это мужчины и дети.</w:t>
      </w:r>
    </w:p>
    <w:p w:rsidR="00000000" w:rsidRDefault="00000000">
      <w:pPr>
        <w:pStyle w:val="SingleTxt"/>
      </w:pPr>
      <w:r>
        <w:t>16.</w:t>
      </w:r>
      <w:r>
        <w:tab/>
      </w:r>
      <w:r>
        <w:rPr>
          <w:u w:val="single"/>
        </w:rPr>
        <w:t>Информирование филиппинцев, выезжающих на работу за границу, и ок</w:t>
      </w:r>
      <w:r>
        <w:rPr>
          <w:u w:val="single"/>
        </w:rPr>
        <w:t>а</w:t>
      </w:r>
      <w:r>
        <w:rPr>
          <w:u w:val="single"/>
        </w:rPr>
        <w:t>зание им помощи</w:t>
      </w:r>
    </w:p>
    <w:p w:rsidR="00000000" w:rsidRDefault="00000000">
      <w:pPr>
        <w:pStyle w:val="SingleTxt"/>
        <w:tabs>
          <w:tab w:val="clear" w:pos="1267"/>
        </w:tabs>
        <w:ind w:left="1740" w:right="1264" w:hanging="476"/>
      </w:pPr>
      <w:r>
        <w:rPr>
          <w:spacing w:val="-2"/>
          <w:lang w:val="en-US"/>
        </w:rPr>
        <w:t>a</w:t>
      </w:r>
      <w:r>
        <w:rPr>
          <w:spacing w:val="-2"/>
        </w:rPr>
        <w:t>)</w:t>
      </w:r>
      <w:r>
        <w:rPr>
          <w:spacing w:val="-2"/>
        </w:rPr>
        <w:tab/>
        <w:t>Для того, чтобы эффективно распространять информацию о связанных с м</w:t>
      </w:r>
      <w:r>
        <w:rPr>
          <w:spacing w:val="-2"/>
        </w:rPr>
        <w:t>и</w:t>
      </w:r>
      <w:r>
        <w:rPr>
          <w:spacing w:val="-2"/>
        </w:rPr>
        <w:t>грацией проблемах среди общественности, комиссия по делам филиппинцев за рубежом создала сеть консультирования и информирования мигрантов (СКИМ). Отделения СКИМ были созданы на региональном, провинциальном, городском, муниципальном уровне и на уровне барангаев, а в различных р</w:t>
      </w:r>
      <w:r>
        <w:rPr>
          <w:spacing w:val="-2"/>
        </w:rPr>
        <w:t>е</w:t>
      </w:r>
      <w:r>
        <w:rPr>
          <w:spacing w:val="-2"/>
        </w:rPr>
        <w:t>гионах были развернуты информационные кампании. НПО активно занялись распространением информации, просвещением и об</w:t>
      </w:r>
      <w:r>
        <w:rPr>
          <w:spacing w:val="-2"/>
        </w:rPr>
        <w:t>у</w:t>
      </w:r>
      <w:r>
        <w:rPr>
          <w:spacing w:val="-2"/>
        </w:rPr>
        <w:t>чением.</w:t>
      </w:r>
    </w:p>
    <w:p w:rsidR="00000000" w:rsidRDefault="00000000">
      <w:pPr>
        <w:pStyle w:val="SingleTxt"/>
        <w:ind w:left="1740" w:right="1264" w:hanging="476"/>
        <w:rPr>
          <w:b/>
          <w:i/>
        </w:rPr>
      </w:pPr>
      <w:r>
        <w:rPr>
          <w:lang w:val="en-US"/>
        </w:rPr>
        <w:t>b</w:t>
      </w:r>
      <w:r>
        <w:t>)</w:t>
      </w:r>
      <w:r>
        <w:tab/>
        <w:t>Для филиппинских женщин, работающих за рубежом в качестве дома</w:t>
      </w:r>
      <w:r>
        <w:t>ш</w:t>
      </w:r>
      <w:r>
        <w:t>ней прислуги, которые могут подвергаться жестокому обращению, пр</w:t>
      </w:r>
      <w:r>
        <w:t>и</w:t>
      </w:r>
      <w:r>
        <w:t>нуждению и другим формам насилия, ФУТР разработало программу ор</w:t>
      </w:r>
      <w:r>
        <w:t>и</w:t>
      </w:r>
      <w:r>
        <w:t>ентации до отъезда с учетом конкретных навыков и стран назначения и занималось ее осуществлением с помощью аккредитованных НПО. Уче</w:t>
      </w:r>
      <w:r>
        <w:t>б</w:t>
      </w:r>
      <w:r>
        <w:t>ный план включает модули, посвященные здравоохранению и сексуал</w:t>
      </w:r>
      <w:r>
        <w:t>ь</w:t>
      </w:r>
      <w:r>
        <w:t>ным отношениям, ВИЧ/СПИД, приемам самообороны и другим особым информационным потребностям работа</w:t>
      </w:r>
      <w:r>
        <w:t>ю</w:t>
      </w:r>
      <w:r>
        <w:t>щих женщин.</w:t>
      </w:r>
    </w:p>
    <w:p w:rsidR="00000000" w:rsidRDefault="00000000">
      <w:pPr>
        <w:pStyle w:val="SingleTxt"/>
        <w:ind w:left="1740" w:right="1264" w:hanging="476"/>
        <w:rPr>
          <w:b/>
          <w:i/>
        </w:rPr>
      </w:pPr>
      <w:r>
        <w:rPr>
          <w:lang w:val="en-US"/>
        </w:rPr>
        <w:t>c</w:t>
      </w:r>
      <w:r>
        <w:t>)</w:t>
      </w:r>
      <w:r>
        <w:tab/>
        <w:t>Для артистов эстрады и работников увеселительных заведений, среди к</w:t>
      </w:r>
      <w:r>
        <w:t>о</w:t>
      </w:r>
      <w:r>
        <w:t>торых много женщин, была разработана комплексная программа ориент</w:t>
      </w:r>
      <w:r>
        <w:t>а</w:t>
      </w:r>
      <w:r>
        <w:t>ции работников увеселительных заведений (КОПЕ) с тем, чтобы подгот</w:t>
      </w:r>
      <w:r>
        <w:t>о</w:t>
      </w:r>
      <w:r>
        <w:t>вить их к работе и повысить уровень их информированности о своих пр</w:t>
      </w:r>
      <w:r>
        <w:t>а</w:t>
      </w:r>
      <w:r>
        <w:t>вах, здоровье, нелегальном найме, торговле, самосовершенствовании, б</w:t>
      </w:r>
      <w:r>
        <w:t>о</w:t>
      </w:r>
      <w:r>
        <w:t>лее привлекательных возмо</w:t>
      </w:r>
      <w:r>
        <w:t>ж</w:t>
      </w:r>
      <w:r>
        <w:t>ностях для продвижения по службе.</w:t>
      </w:r>
    </w:p>
    <w:p w:rsidR="00000000" w:rsidRDefault="00000000">
      <w:pPr>
        <w:pStyle w:val="SingleTxt"/>
        <w:rPr>
          <w:spacing w:val="-2"/>
        </w:rPr>
      </w:pPr>
      <w:r>
        <w:rPr>
          <w:spacing w:val="-2"/>
        </w:rPr>
        <w:t>17.</w:t>
      </w:r>
      <w:r>
        <w:rPr>
          <w:spacing w:val="-2"/>
        </w:rPr>
        <w:tab/>
      </w:r>
      <w:r>
        <w:rPr>
          <w:spacing w:val="-2"/>
          <w:u w:val="single"/>
        </w:rPr>
        <w:t>Система оказания помощи с учетом гендерных аспектов в принимающих стр</w:t>
      </w:r>
      <w:r>
        <w:rPr>
          <w:spacing w:val="-2"/>
          <w:u w:val="single"/>
        </w:rPr>
        <w:t>а</w:t>
      </w:r>
      <w:r>
        <w:rPr>
          <w:spacing w:val="-2"/>
          <w:u w:val="single"/>
        </w:rPr>
        <w:t>нах</w:t>
      </w:r>
      <w:r>
        <w:rPr>
          <w:spacing w:val="-2"/>
        </w:rPr>
        <w:t>. Сотрудники по делам филиппинок, работающих за рубежом, и сотрудники по вопросам социального обеспечения женщин направляются в те страны, где имеются крупные группы работающих филиппинок. Кроме того, филиппинское управление по трудоустройству за рубежом (ФУТР) занимается реализацией ряда программ для обеспечения безопасности и социальной защиты филиппинок и филиппинцев, раб</w:t>
      </w:r>
      <w:r>
        <w:rPr>
          <w:spacing w:val="-2"/>
        </w:rPr>
        <w:t>о</w:t>
      </w:r>
      <w:r>
        <w:rPr>
          <w:spacing w:val="-2"/>
        </w:rPr>
        <w:t>тающих за рубежом: оказание помощи на местах, включая помощь в репатриации тем работающим за рубежом филипинцев, кто попал в трудное положение, и ко</w:t>
      </w:r>
      <w:r>
        <w:rPr>
          <w:spacing w:val="-2"/>
        </w:rPr>
        <w:t>н</w:t>
      </w:r>
      <w:r>
        <w:rPr>
          <w:spacing w:val="-2"/>
        </w:rPr>
        <w:t>сультирование их по юридическим вопросам; страховое покрытие для всех раб</w:t>
      </w:r>
      <w:r>
        <w:rPr>
          <w:spacing w:val="-2"/>
        </w:rPr>
        <w:t>о</w:t>
      </w:r>
      <w:r>
        <w:rPr>
          <w:spacing w:val="-2"/>
        </w:rPr>
        <w:t>тающих за рубежом филиппинцев, которые уплачивали вознаграждение ФУТР. В рамках этих программ помощь была оказана тысячам филиппинцев, работающих за рубежом. В разделе настоящего доклада, посвященном статье 11, приведена подро</w:t>
      </w:r>
      <w:r>
        <w:rPr>
          <w:spacing w:val="-2"/>
        </w:rPr>
        <w:t>б</w:t>
      </w:r>
      <w:r>
        <w:rPr>
          <w:spacing w:val="-2"/>
        </w:rPr>
        <w:t>ная информация о тех мерах, которые были приняты правительством для защиты работающих за рубежом филиппинцев и других категорий филиппинцев, живущих за рубежом, включая филиппи</w:t>
      </w:r>
      <w:r>
        <w:rPr>
          <w:spacing w:val="-2"/>
        </w:rPr>
        <w:t>н</w:t>
      </w:r>
      <w:r>
        <w:rPr>
          <w:spacing w:val="-2"/>
        </w:rPr>
        <w:t>ских женщин, выходящих замуж за иностранцев.</w:t>
      </w:r>
    </w:p>
    <w:p w:rsidR="00000000" w:rsidRDefault="00000000">
      <w:pPr>
        <w:pStyle w:val="SingleTxt"/>
      </w:pPr>
      <w:r>
        <w:t>18.</w:t>
      </w:r>
      <w:r>
        <w:tab/>
      </w:r>
      <w:r>
        <w:rPr>
          <w:u w:val="single"/>
        </w:rPr>
        <w:t>Меры, принятые согласно РПЖ</w:t>
      </w:r>
      <w:r>
        <w:t>. Одна из целей РПЖ заключается в том, чтобы обеспечить реализацию прав филиппинок, работающих за рубежом, и женщин, ставших объектами торговли. В связи с этим правительство будет продолжать проводить политику и принимать другие меры по защите раб</w:t>
      </w:r>
      <w:r>
        <w:t>о</w:t>
      </w:r>
      <w:r>
        <w:t>тающих за рубежом филиппинцев и других работающих женщин, а также по предотвращении торговли.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12" w:name="_Toc85174881"/>
      <w:r>
        <w:t>Данные в разбивке по полу и оценка последствий правительственной политики и программ</w:t>
      </w:r>
      <w:bookmarkEnd w:id="1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rPr>
          <w:i/>
        </w:rPr>
      </w:pPr>
      <w:r>
        <w:rPr>
          <w:i/>
        </w:rPr>
        <w:t>«Комитет указал на насущную необходимость подготовки статистических данных во всех областях с разбивкой по полу». (пункт 30) … Для содействия осуществлению конвенции комитет рекомендовал разработать механизмы и показатели контроля для определения воздействия государственной политики и программ».</w:t>
      </w:r>
    </w:p>
    <w:p w:rsidR="00000000" w:rsidRDefault="00000000">
      <w:pPr>
        <w:pStyle w:val="SingleTxt"/>
        <w:rPr>
          <w:spacing w:val="-2"/>
        </w:rPr>
      </w:pPr>
      <w:r>
        <w:rPr>
          <w:spacing w:val="-2"/>
        </w:rPr>
        <w:t>19.</w:t>
      </w:r>
      <w:r>
        <w:rPr>
          <w:spacing w:val="-2"/>
        </w:rPr>
        <w:tab/>
        <w:t xml:space="preserve">Ключевой элемент подхода правительства к учету гендерной проблематики – это разработка системы показателей, касающихся ПИР, для a) оценки изменений в жизни женщин и того, насколько полно они пользуются своими правами, b) оценки хода осуществления политики учета гендерной проблематики и c) отслеживания конкретных гендерных проблем, связанных, например, с насилием в отношении женщин и работой, за которую женщины не получают вознаграждение. Эта система разрабатывалась и внедрялась совместно НКПФЖ и ключевыми государственными статистическими организациями. К числу таких учреждений относится </w:t>
      </w:r>
      <w:r>
        <w:rPr>
          <w:caps/>
          <w:spacing w:val="-2"/>
        </w:rPr>
        <w:t>н</w:t>
      </w:r>
      <w:r>
        <w:rPr>
          <w:spacing w:val="-2"/>
        </w:rPr>
        <w:t>ационал</w:t>
      </w:r>
      <w:r>
        <w:rPr>
          <w:spacing w:val="-2"/>
        </w:rPr>
        <w:t>ь</w:t>
      </w:r>
      <w:r>
        <w:rPr>
          <w:spacing w:val="-2"/>
        </w:rPr>
        <w:t xml:space="preserve">ный статистический координационный совет (НСКС), разрабатывающий политику в области сбора статистических данных и координирующий его, </w:t>
      </w:r>
      <w:r>
        <w:rPr>
          <w:caps/>
          <w:spacing w:val="-2"/>
        </w:rPr>
        <w:t>н</w:t>
      </w:r>
      <w:r>
        <w:rPr>
          <w:spacing w:val="-2"/>
        </w:rPr>
        <w:t>ациональное стат</w:t>
      </w:r>
      <w:r>
        <w:rPr>
          <w:spacing w:val="-2"/>
        </w:rPr>
        <w:t>и</w:t>
      </w:r>
      <w:r>
        <w:rPr>
          <w:spacing w:val="-2"/>
        </w:rPr>
        <w:t>стическое управление (НСУ), которое проводит основные исследования и собирает ключевые статистические данные, а также Статистический н</w:t>
      </w:r>
      <w:r>
        <w:rPr>
          <w:spacing w:val="-2"/>
        </w:rPr>
        <w:t>а</w:t>
      </w:r>
      <w:r>
        <w:rPr>
          <w:spacing w:val="-2"/>
        </w:rPr>
        <w:t>учно-исследовательский и учебный центр (СНИУЦ), который реализует программы по</w:t>
      </w:r>
      <w:r>
        <w:rPr>
          <w:spacing w:val="-2"/>
        </w:rPr>
        <w:t>д</w:t>
      </w:r>
      <w:r>
        <w:rPr>
          <w:spacing w:val="-2"/>
        </w:rPr>
        <w:t>готовки в области статистики. Эти учреждения занимаются поиском финансовых средств или частично используют средства из своих бюджетов для опубликования ключевых статистических данных и организации обучения сотрудников статистич</w:t>
      </w:r>
      <w:r>
        <w:rPr>
          <w:spacing w:val="-2"/>
        </w:rPr>
        <w:t>е</w:t>
      </w:r>
      <w:r>
        <w:rPr>
          <w:spacing w:val="-2"/>
        </w:rPr>
        <w:t>ских отделений линейных учреждений и местных органов государственной власти.</w:t>
      </w:r>
    </w:p>
    <w:p w:rsidR="00000000" w:rsidRDefault="00000000">
      <w:pPr>
        <w:pStyle w:val="SingleTxt"/>
      </w:pPr>
      <w:r>
        <w:t>20.</w:t>
      </w:r>
      <w:r>
        <w:tab/>
      </w:r>
      <w:r>
        <w:rPr>
          <w:u w:val="single"/>
        </w:rPr>
        <w:t>Ключевые показатели, касающиеся ПИР</w:t>
      </w:r>
      <w:r>
        <w:t>. С помощью субсидии Канадск</w:t>
      </w:r>
      <w:r>
        <w:t>о</w:t>
      </w:r>
      <w:r>
        <w:t xml:space="preserve">го агентства международного развития (СИДА) </w:t>
      </w:r>
      <w:r>
        <w:rPr>
          <w:caps/>
        </w:rPr>
        <w:t>нкпфж</w:t>
      </w:r>
      <w:r>
        <w:t xml:space="preserve"> и НСУ публикуют информационные бюллетени, содержащие определенные показатели в разбивке по полу, касающиеся народонаселения, занятости, образования, здравоохран</w:t>
      </w:r>
      <w:r>
        <w:t>е</w:t>
      </w:r>
      <w:r>
        <w:t>ния и насилия в отношении женщин. После консультаций с правительственн</w:t>
      </w:r>
      <w:r>
        <w:t>ы</w:t>
      </w:r>
      <w:r>
        <w:t>ми учреждениями и с гражданским обществом была определена группа из 32 ключевых показателей, характеризующих положение женщин и реализацию женщинами своих прав. Исполнительный совет НКПФЖ принял резолюцию, в соответствии с которой государственные статистические учреждения обязаны регулярно с</w:t>
      </w:r>
      <w:r>
        <w:t>о</w:t>
      </w:r>
      <w:r>
        <w:t>бирать/обнародовать и распространять данные в разбивке по полу.</w:t>
      </w:r>
    </w:p>
    <w:p w:rsidR="00000000" w:rsidRDefault="00000000">
      <w:pPr>
        <w:pStyle w:val="SingleTxt"/>
      </w:pPr>
      <w:r>
        <w:t>21.</w:t>
      </w:r>
      <w:r>
        <w:tab/>
      </w:r>
      <w:r>
        <w:rPr>
          <w:u w:val="single"/>
        </w:rPr>
        <w:t>Рамки оценки учета гендерной проблематики (РОУГП)</w:t>
      </w:r>
      <w:r>
        <w:t>. В РОУГП, я</w:t>
      </w:r>
      <w:r>
        <w:t>в</w:t>
      </w:r>
      <w:r>
        <w:t>ляющихся публикацией НКПФЖ, цитируемой в работе «Руководство по учету гендерной проблематики: каких успехов мы добились?», рассматривается пр</w:t>
      </w:r>
      <w:r>
        <w:t>о</w:t>
      </w:r>
      <w:r>
        <w:t>гресс, достигнутый правительственными учреждениями в деле учета генде</w:t>
      </w:r>
      <w:r>
        <w:t>р</w:t>
      </w:r>
      <w:r>
        <w:t>ной проблематики, и закладывается основа, с помощью которой любое учре</w:t>
      </w:r>
      <w:r>
        <w:t>ж</w:t>
      </w:r>
      <w:r>
        <w:t>дение может разрабатывать свою собственную стратегию учета гендерной пр</w:t>
      </w:r>
      <w:r>
        <w:t>о</w:t>
      </w:r>
      <w:r>
        <w:t>блематики. В РОУГП, разрабатывавшихся с учетом того обширного опыта, к</w:t>
      </w:r>
      <w:r>
        <w:t>о</w:t>
      </w:r>
      <w:r>
        <w:t>торый был накоплен Филиппинами в деле учета гендерной проблематики, си</w:t>
      </w:r>
      <w:r>
        <w:t>с</w:t>
      </w:r>
      <w:r>
        <w:t>тематизируется то, что ранее предпринималось лишь на экспериментальной основе и спонтанно. В них изучаются те финансовые и людские ресурсы, кот</w:t>
      </w:r>
      <w:r>
        <w:t>о</w:t>
      </w:r>
      <w:r>
        <w:t>рые выделялись для обеспечения учета гендерной проблематики и реализации учитывавших гендерные аспекты программ, проектов и мероприятий; а также общий потенциал учреждения и его персонала в области планирования, осущ</w:t>
      </w:r>
      <w:r>
        <w:t>е</w:t>
      </w:r>
      <w:r>
        <w:t>ствления, контроля и оценки с учетом гендерных аспектов. НКПФЖ использ</w:t>
      </w:r>
      <w:r>
        <w:t>у</w:t>
      </w:r>
      <w:r>
        <w:t>ет РОУГП для того, чтобы контролировать соблюдение государственными у</w:t>
      </w:r>
      <w:r>
        <w:t>ч</w:t>
      </w:r>
      <w:r>
        <w:t>реждениями принципа учета гендерных аспектов, включая обязательство в</w:t>
      </w:r>
      <w:r>
        <w:t>ы</w:t>
      </w:r>
      <w:r>
        <w:t xml:space="preserve">делять </w:t>
      </w:r>
      <w:r>
        <w:rPr>
          <w:i/>
        </w:rPr>
        <w:t>5 </w:t>
      </w:r>
      <w:r>
        <w:t>процентов средств из бюджета учреждения на цели учета гендерных аспе</w:t>
      </w:r>
      <w:r>
        <w:t>к</w:t>
      </w:r>
      <w:r>
        <w:t>тов.</w:t>
      </w:r>
    </w:p>
    <w:p w:rsidR="00000000" w:rsidRDefault="00000000">
      <w:pPr>
        <w:pStyle w:val="SingleTxt"/>
        <w:keepNext/>
        <w:ind w:left="1264" w:right="1264"/>
      </w:pPr>
      <w:r>
        <w:t>22.</w:t>
      </w:r>
      <w:r>
        <w:tab/>
      </w:r>
      <w:r>
        <w:rPr>
          <w:u w:val="single"/>
        </w:rPr>
        <w:t>Определение конкретных гендерных проблем</w:t>
      </w:r>
    </w:p>
    <w:p w:rsidR="00000000" w:rsidRDefault="00000000">
      <w:pPr>
        <w:pStyle w:val="SingleTxt"/>
        <w:ind w:left="1740" w:right="1264" w:hanging="476"/>
        <w:rPr>
          <w:i/>
        </w:rPr>
      </w:pPr>
      <w:r>
        <w:rPr>
          <w:lang w:val="en-US"/>
        </w:rPr>
        <w:t>a</w:t>
      </w:r>
      <w:r>
        <w:t>)</w:t>
      </w:r>
      <w:r>
        <w:tab/>
        <w:t>НСКС координировал реализацию проекта по сбору статистических да</w:t>
      </w:r>
      <w:r>
        <w:t>н</w:t>
      </w:r>
      <w:r>
        <w:t>ных, касающихся насилия в отношении женщин и детей (НОЖД). Благ</w:t>
      </w:r>
      <w:r>
        <w:t>о</w:t>
      </w:r>
      <w:r>
        <w:t>даря этому проекту были подготовлены: (a) глоссарий и соответствующие концепции для обеспечения общего понимания и истолкования статист</w:t>
      </w:r>
      <w:r>
        <w:t>и</w:t>
      </w:r>
      <w:r>
        <w:t>ческих данных по НОЖД; (b) статистический справочник по НОЖД, с</w:t>
      </w:r>
      <w:r>
        <w:t>о</w:t>
      </w:r>
      <w:r>
        <w:t>держащий данные о масштабах НОЖД; (c) статистические рамки для НОЖД, которые должны предусматривать эффективную методологию подготовки статистических данных; и (d) оценка существующей админ</w:t>
      </w:r>
      <w:r>
        <w:t>и</w:t>
      </w:r>
      <w:r>
        <w:t>стративной системы представления данных о НОЖД, которая закладывает основу для объединения усилий заинтересованных учреждений по обе</w:t>
      </w:r>
      <w:r>
        <w:t>с</w:t>
      </w:r>
      <w:r>
        <w:t>печению регулярной подготовки данных, касающихся НОЖД. Она нац</w:t>
      </w:r>
      <w:r>
        <w:t>е</w:t>
      </w:r>
      <w:r>
        <w:t>лена на то, чтобы систематизировать процедуру сбора и обработки ра</w:t>
      </w:r>
      <w:r>
        <w:t>з</w:t>
      </w:r>
      <w:r>
        <w:t>личными правительственными учреждениями данных о жертвах насилия из числа женщин и детей с тем, чтобы обеспечить по всей системе ко</w:t>
      </w:r>
      <w:r>
        <w:t>н</w:t>
      </w:r>
      <w:r>
        <w:t>троль за тем, как обстоит дело в тех или иных конкретных случаях.</w:t>
      </w:r>
    </w:p>
    <w:p w:rsidR="00000000" w:rsidRDefault="00000000">
      <w:pPr>
        <w:pStyle w:val="SingleTxt"/>
        <w:ind w:left="1740" w:right="1264" w:hanging="476"/>
      </w:pPr>
      <w:r>
        <w:rPr>
          <w:lang w:val="en-US"/>
        </w:rPr>
        <w:t>b</w:t>
      </w:r>
      <w:r>
        <w:t>)</w:t>
      </w:r>
      <w:r>
        <w:tab/>
        <w:t>Кроме того, НСКС разработал рамки для учета всех оплачиваемых и н</w:t>
      </w:r>
      <w:r>
        <w:t>е</w:t>
      </w:r>
      <w:r>
        <w:t>оплачиваемых видов работы мужчин и женщин в счетах национального дохода. НСУ провело экспериментальную проверку концепции и инстр</w:t>
      </w:r>
      <w:r>
        <w:t>у</w:t>
      </w:r>
      <w:r>
        <w:t>ментов национального обследования, посвященного структуре использ</w:t>
      </w:r>
      <w:r>
        <w:t>о</w:t>
      </w:r>
      <w:r>
        <w:t>вания времени, с тем, чтобы оценить экономическую роль выполняемой бесплатно работы, и завершило их подготовку. Все эти меры соответс</w:t>
      </w:r>
      <w:r>
        <w:t>т</w:t>
      </w:r>
      <w:r>
        <w:t>вуют региональным инициативам по обеспечению полномасштабного учета бесплатно выполняемой мужчинами и женщинами работы в рамках национал</w:t>
      </w:r>
      <w:r>
        <w:t>ь</w:t>
      </w:r>
      <w:r>
        <w:t>ной политики.</w:t>
      </w:r>
    </w:p>
    <w:p w:rsidR="00000000" w:rsidRDefault="00000000">
      <w:pPr>
        <w:pStyle w:val="SingleTxt"/>
        <w:rPr>
          <w:u w:val="single"/>
        </w:rPr>
      </w:pPr>
      <w:r>
        <w:rPr>
          <w:spacing w:val="-2"/>
        </w:rPr>
        <w:t>23.</w:t>
      </w:r>
      <w:r>
        <w:rPr>
          <w:spacing w:val="-2"/>
        </w:rPr>
        <w:tab/>
      </w:r>
      <w:r>
        <w:rPr>
          <w:spacing w:val="-2"/>
          <w:u w:val="single"/>
        </w:rPr>
        <w:t>Реализация на уровне местного самоуправления</w:t>
      </w:r>
      <w:r>
        <w:rPr>
          <w:spacing w:val="-2"/>
        </w:rPr>
        <w:t>. В президентской директиве от 4 сентября 1998 года предусматривается ассигнование средств на подготовку данных в разбивке по полу на уровне провинций. СНИУЦ и комиссия по народон</w:t>
      </w:r>
      <w:r>
        <w:rPr>
          <w:spacing w:val="-2"/>
        </w:rPr>
        <w:t>а</w:t>
      </w:r>
      <w:r>
        <w:rPr>
          <w:spacing w:val="-2"/>
        </w:rPr>
        <w:t>селению разработали руководство об использовании данных для составления пл</w:t>
      </w:r>
      <w:r>
        <w:rPr>
          <w:spacing w:val="-2"/>
        </w:rPr>
        <w:t>а</w:t>
      </w:r>
      <w:r>
        <w:rPr>
          <w:spacing w:val="-2"/>
        </w:rPr>
        <w:t>нов в области ПИР и ключевую группу показателей для планирования и контроля на местном уровне с учетом гендерных аспектов в области народонаселения и разв</w:t>
      </w:r>
      <w:r>
        <w:rPr>
          <w:spacing w:val="-2"/>
        </w:rPr>
        <w:t>и</w:t>
      </w:r>
      <w:r>
        <w:rPr>
          <w:spacing w:val="-2"/>
        </w:rPr>
        <w:t>тия.</w:t>
      </w:r>
    </w:p>
    <w:p w:rsidR="00000000" w:rsidRDefault="00000000">
      <w:pPr>
        <w:pStyle w:val="SingleTxt"/>
      </w:pPr>
      <w:r>
        <w:t>24.</w:t>
      </w:r>
      <w:r>
        <w:tab/>
        <w:t>НКПФЖ не только координирует и оказывает поддержку усилиям фили</w:t>
      </w:r>
      <w:r>
        <w:t>п</w:t>
      </w:r>
      <w:r>
        <w:t>пинской статистической системы, но и руководит работой своего собственного информационного центра, который распространяет ключевые статистические данные и другие информационные материалы, касающиеся положения женщин и законодательства, программ, проектов, мероприятий и учреждений, связа</w:t>
      </w:r>
      <w:r>
        <w:t>н</w:t>
      </w:r>
      <w:r>
        <w:t>ных с решением гендерных проблем; ведет компьютеризированную базу да</w:t>
      </w:r>
      <w:r>
        <w:t>н</w:t>
      </w:r>
      <w:r>
        <w:t>ных статистического и качественного характера и публикует информационные бюллетени, касающиеся женщин, и другие специальные доклады. Кроме того, НКПФЖ сыграла свою роль в создании ресурсных центров, занимающихся проблемами пола и развития (РЦПР) в других частях страны для оказания ан</w:t>
      </w:r>
      <w:r>
        <w:t>а</w:t>
      </w:r>
      <w:r>
        <w:t>логичных услуг. НКПФЖ также разработала учитывающую гендерные аспекты базу данных в Компостелла вэлли, пользоваться которой могут и другие орг</w:t>
      </w:r>
      <w:r>
        <w:t>а</w:t>
      </w:r>
      <w:r>
        <w:t>ны местного самоуправления, принимая свои собственные меры по учету ге</w:t>
      </w:r>
      <w:r>
        <w:t>н</w:t>
      </w:r>
      <w:r>
        <w:t>де</w:t>
      </w:r>
      <w:r>
        <w:t>р</w:t>
      </w:r>
      <w:r>
        <w:t>ных аспектов.</w:t>
      </w:r>
    </w:p>
    <w:p w:rsidR="00000000" w:rsidRDefault="00000000">
      <w:pPr>
        <w:pStyle w:val="SingleTxt"/>
      </w:pPr>
      <w:r>
        <w:t>25.</w:t>
      </w:r>
      <w:r>
        <w:tab/>
      </w:r>
      <w:r>
        <w:rPr>
          <w:u w:val="single"/>
        </w:rPr>
        <w:t>Меры, принимаемые согласно РПЖ</w:t>
      </w:r>
      <w:r>
        <w:t>. Правительство планирует завершить осуществление своей программы по учету гендерных аспектов в статистике с тем, чтобы контролировать изменения в положении женщин и реализацию их прав человека.</w:t>
      </w:r>
    </w:p>
    <w:p w:rsidR="00000000" w:rsidRDefault="00000000">
      <w:pPr>
        <w:pStyle w:val="SingleTxt"/>
        <w:ind w:left="1740" w:right="1264" w:hanging="476"/>
      </w:pPr>
      <w:r>
        <w:rPr>
          <w:lang w:val="en-US"/>
        </w:rPr>
        <w:t>a</w:t>
      </w:r>
      <w:r>
        <w:t>)</w:t>
      </w:r>
      <w:r>
        <w:tab/>
        <w:t>Приоритетные меры включают: i) утверждение НСКС ключевых показ</w:t>
      </w:r>
      <w:r>
        <w:t>а</w:t>
      </w:r>
      <w:r>
        <w:t>телей в области ПИР и ассигнование средств на их внедрение, а также ii) принятие на основе президентской директивы итоговых мер в связи с проектом по подготовке статистических данных о насилии в отношении женщин и, таким образом, их полное и скоординированное внедрение ф</w:t>
      </w:r>
      <w:r>
        <w:t>и</w:t>
      </w:r>
      <w:r>
        <w:t>липпинской национальной полицией, министерствами здравоохранения и социального обеспечения, мес</w:t>
      </w:r>
      <w:r>
        <w:t>т</w:t>
      </w:r>
      <w:r>
        <w:t>ными органами власти и НПО.</w:t>
      </w:r>
    </w:p>
    <w:p w:rsidR="00000000" w:rsidRDefault="00000000">
      <w:pPr>
        <w:pStyle w:val="SingleTxt"/>
        <w:ind w:left="1740" w:right="1264" w:hanging="476"/>
        <w:rPr>
          <w:spacing w:val="-2"/>
        </w:rPr>
      </w:pPr>
      <w:r>
        <w:rPr>
          <w:spacing w:val="-2"/>
          <w:lang w:val="en-US"/>
        </w:rPr>
        <w:t>b</w:t>
      </w:r>
      <w:r>
        <w:rPr>
          <w:spacing w:val="-2"/>
        </w:rPr>
        <w:t>)</w:t>
      </w:r>
      <w:r>
        <w:rPr>
          <w:spacing w:val="-2"/>
        </w:rPr>
        <w:tab/>
        <w:t>НСУ, при поддержке со стороны Национального управления экономики и ра</w:t>
      </w:r>
      <w:r>
        <w:rPr>
          <w:spacing w:val="-2"/>
        </w:rPr>
        <w:t>з</w:t>
      </w:r>
      <w:r>
        <w:rPr>
          <w:spacing w:val="-2"/>
        </w:rPr>
        <w:t>вития (НУЭР), НКПФЖ и женских организаций, пытается создать спрос на данные для оценки роли бесплатно выполняемой мужчинами и женщинами работы в экономике. Предполагается, что это приведет к ассигнованию средств на проведение национального обследования, посвященного структуре испол</w:t>
      </w:r>
      <w:r>
        <w:rPr>
          <w:spacing w:val="-2"/>
        </w:rPr>
        <w:t>ь</w:t>
      </w:r>
      <w:r>
        <w:rPr>
          <w:spacing w:val="-2"/>
        </w:rPr>
        <w:t>зов</w:t>
      </w:r>
      <w:r>
        <w:rPr>
          <w:spacing w:val="-2"/>
        </w:rPr>
        <w:t>а</w:t>
      </w:r>
      <w:r>
        <w:rPr>
          <w:spacing w:val="-2"/>
        </w:rPr>
        <w:t>ния времени.</w:t>
      </w:r>
    </w:p>
    <w:p w:rsidR="00000000" w:rsidRDefault="00000000">
      <w:pPr>
        <w:pStyle w:val="SingleTxt"/>
        <w:ind w:left="1740" w:right="1264" w:hanging="476"/>
      </w:pPr>
      <w:r>
        <w:rPr>
          <w:lang w:val="en-US"/>
        </w:rPr>
        <w:t>c</w:t>
      </w:r>
      <w:r>
        <w:t>)</w:t>
      </w:r>
      <w:r>
        <w:tab/>
        <w:t>Три ключевых статистических учреждения, совместно с НКПФЖ, план</w:t>
      </w:r>
      <w:r>
        <w:t>и</w:t>
      </w:r>
      <w:r>
        <w:t>руют оказать помощь линейным учреждениям и местным органам власти в деле внедрения системы показателей, посвященных ПИР. В дальнейшем усилия будут сосредоточены на необходимости в регулярном использов</w:t>
      </w:r>
      <w:r>
        <w:t>а</w:t>
      </w:r>
      <w:r>
        <w:t>нии этих данных в процессе осуществления контроля за осуществлением учреждениями планов в области ПИР, а также гендерного анализа наци</w:t>
      </w:r>
      <w:r>
        <w:t>о</w:t>
      </w:r>
      <w:r>
        <w:t>нальных и местных бюджетов.</w:t>
      </w:r>
    </w:p>
    <w:p w:rsidR="00000000" w:rsidRDefault="00000000">
      <w:pPr>
        <w:pStyle w:val="SingleTxt"/>
        <w:ind w:left="1740" w:right="1264" w:hanging="476"/>
      </w:pPr>
      <w:r>
        <w:rPr>
          <w:lang w:val="en-US"/>
        </w:rPr>
        <w:t>d</w:t>
      </w:r>
      <w:r>
        <w:t>)</w:t>
      </w:r>
      <w:r>
        <w:tab/>
        <w:t>Для того, чтобы получать надлежащие данные о состоянии и ходе его осуществления, РПЖ предусматривает систему контроля и оценки, кот</w:t>
      </w:r>
      <w:r>
        <w:t>о</w:t>
      </w:r>
      <w:r>
        <w:t>рая объединяет инициативы в области контроля за проведением гендерной политики и реализацией гендерных программ с государственной системой контроля и оценки учета гендерных аспектов. Эта система предназначена для создания информации, касающейся принятых мер, полученных р</w:t>
      </w:r>
      <w:r>
        <w:t>е</w:t>
      </w:r>
      <w:r>
        <w:t>зультатов, итогов и последс</w:t>
      </w:r>
      <w:r>
        <w:t>т</w:t>
      </w:r>
      <w:r>
        <w:t>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13" w:name="_Toc85174882"/>
      <w:r>
        <w:t>Гендерная дискриминация в законодательстве о проституции и</w:t>
      </w:r>
      <w:r>
        <w:rPr>
          <w:lang w:val="en-US"/>
        </w:rPr>
        <w:t> </w:t>
      </w:r>
      <w:r>
        <w:t>альтернативные возможности в области трудоустройства для женщин</w:t>
      </w:r>
      <w:bookmarkEnd w:id="1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«Комитет высказал свои замечания по поводу дискриминационного примен</w:t>
      </w:r>
      <w:r>
        <w:rPr>
          <w:i/>
        </w:rPr>
        <w:t>е</w:t>
      </w:r>
      <w:r>
        <w:rPr>
          <w:i/>
        </w:rPr>
        <w:t>ния законов против проституции, которые применяются против работников индустрии секса, а не против мужчин, занимающихся торговлей женщинами, сводников и клиентов, и отметил далее, что принудительное медицинское о</w:t>
      </w:r>
      <w:r>
        <w:rPr>
          <w:i/>
        </w:rPr>
        <w:t>б</w:t>
      </w:r>
      <w:r>
        <w:rPr>
          <w:i/>
        </w:rPr>
        <w:t>следование женщин без уделения аналогичного внимания клиентам-мужчинам не является эффективной мерой здравоохранения. (пункт 19) … Комитет ук</w:t>
      </w:r>
      <w:r>
        <w:rPr>
          <w:i/>
        </w:rPr>
        <w:t>а</w:t>
      </w:r>
      <w:r>
        <w:rPr>
          <w:i/>
        </w:rPr>
        <w:t>зал, что соответствующие меры по решению проблемы проституции должны быть направлены на наказание торговцев женщинами и на создание альте</w:t>
      </w:r>
      <w:r>
        <w:rPr>
          <w:i/>
        </w:rPr>
        <w:t>р</w:t>
      </w:r>
      <w:r>
        <w:rPr>
          <w:i/>
        </w:rPr>
        <w:t>нативных возможностей работы для женщин». (пункт 26)</w:t>
      </w:r>
    </w:p>
    <w:p w:rsidR="00000000" w:rsidRDefault="00000000">
      <w:pPr>
        <w:pStyle w:val="SingleTxt"/>
        <w:rPr>
          <w:spacing w:val="-2"/>
        </w:rPr>
      </w:pPr>
      <w:r>
        <w:t>26.</w:t>
      </w:r>
      <w:r>
        <w:tab/>
        <w:t>Филиппинскому правительству, при активной поддержке со стороны же</w:t>
      </w:r>
      <w:r>
        <w:t>н</w:t>
      </w:r>
      <w:r>
        <w:t>ского движения, удалось добиться принятия конгрессом закона о борьбе с то</w:t>
      </w:r>
      <w:r>
        <w:t>р</w:t>
      </w:r>
      <w:r>
        <w:t>говлей людьми 2003 года (РЗ 9208). Данный всеобъемлющий закон, одобре</w:t>
      </w:r>
      <w:r>
        <w:t>н</w:t>
      </w:r>
      <w:r>
        <w:t>ный в мае 2003 года, закладывает основу политики, направленной на ликвид</w:t>
      </w:r>
      <w:r>
        <w:t>а</w:t>
      </w:r>
      <w:r>
        <w:t>цию торговли людьми, в частности женщинами и детьми, создает необходимые организационные механизмы для защиты объектов торговли и оказания им п</w:t>
      </w:r>
      <w:r>
        <w:t>о</w:t>
      </w:r>
      <w:r>
        <w:t>мощи, а также устанавливает санкции и меры наказания для торговцев, тех, кто способствует торговле, а также тех лиц, которые приобретают услуги объектов торговли, связанные с проституцией, или пользуются такими услугами. Кл</w:t>
      </w:r>
      <w:r>
        <w:t>ю</w:t>
      </w:r>
      <w:r>
        <w:t>чевые аспекты этого закона изложены в разделе настоящего доклада, посв</w:t>
      </w:r>
      <w:r>
        <w:t>я</w:t>
      </w:r>
      <w:r>
        <w:t>щенном статье 6.</w:t>
      </w:r>
    </w:p>
    <w:p w:rsidR="00000000" w:rsidRDefault="00000000">
      <w:pPr>
        <w:pStyle w:val="SingleTxt"/>
        <w:rPr>
          <w:spacing w:val="-2"/>
        </w:rPr>
      </w:pPr>
      <w:r>
        <w:rPr>
          <w:spacing w:val="-2"/>
        </w:rPr>
        <w:t>27.</w:t>
      </w:r>
      <w:r>
        <w:rPr>
          <w:spacing w:val="-2"/>
        </w:rPr>
        <w:tab/>
        <w:t>Министерство социального обеспечения и ряд НПО осуществляют программы по предоставлению альтернативных рабочих мест женщинам, занимающимся пр</w:t>
      </w:r>
      <w:r>
        <w:rPr>
          <w:spacing w:val="-2"/>
        </w:rPr>
        <w:t>о</w:t>
      </w:r>
      <w:r>
        <w:rPr>
          <w:spacing w:val="-2"/>
        </w:rPr>
        <w:t>ституцией, которые принимают решение сменить род занятий, или которым удается вырваться из «белого» рабства и из рук тех, кто занимается их сексуальной эксплу</w:t>
      </w:r>
      <w:r>
        <w:rPr>
          <w:spacing w:val="-2"/>
        </w:rPr>
        <w:t>а</w:t>
      </w:r>
      <w:r>
        <w:rPr>
          <w:spacing w:val="-2"/>
        </w:rPr>
        <w:t>тацией. НПО играют весьма немаловажную роль, связанную с объединением же</w:t>
      </w:r>
      <w:r>
        <w:rPr>
          <w:spacing w:val="-2"/>
        </w:rPr>
        <w:t>н</w:t>
      </w:r>
      <w:r>
        <w:rPr>
          <w:spacing w:val="-2"/>
        </w:rPr>
        <w:t>щин, информированием их об их правах и оказанием им юридических и консульт</w:t>
      </w:r>
      <w:r>
        <w:rPr>
          <w:spacing w:val="-2"/>
        </w:rPr>
        <w:t>а</w:t>
      </w:r>
      <w:r>
        <w:rPr>
          <w:spacing w:val="-2"/>
        </w:rPr>
        <w:t>тивных услуг.</w:t>
      </w:r>
    </w:p>
    <w:p w:rsidR="00000000" w:rsidRDefault="00000000">
      <w:pPr>
        <w:pStyle w:val="SingleTxt"/>
        <w:rPr>
          <w:spacing w:val="-2"/>
        </w:rPr>
      </w:pPr>
      <w:r>
        <w:rPr>
          <w:spacing w:val="-2"/>
        </w:rPr>
        <w:t>28.</w:t>
      </w:r>
      <w:r>
        <w:rPr>
          <w:spacing w:val="-2"/>
        </w:rPr>
        <w:tab/>
      </w:r>
      <w:r>
        <w:rPr>
          <w:spacing w:val="-2"/>
          <w:u w:val="single"/>
        </w:rPr>
        <w:t>Меры, принимаемые согласно РПЖ</w:t>
      </w:r>
      <w:r>
        <w:rPr>
          <w:spacing w:val="-2"/>
        </w:rPr>
        <w:t>. Правительство продолжает добиваться принятия закона о борьбе с проституцией, в соответствии с которым от уголовной ответственности освобождаются лица, эксплуатируемые в целях проституции, а с</w:t>
      </w:r>
      <w:r>
        <w:rPr>
          <w:spacing w:val="-2"/>
        </w:rPr>
        <w:t>а</w:t>
      </w:r>
      <w:r>
        <w:rPr>
          <w:spacing w:val="-2"/>
        </w:rPr>
        <w:t>ма проституция определяется в качестве виктимизации лиц, «будь то женщины, мужчины или дети в целях получения сексуального удовлетворения, эксплуатации или другой услуги в обмен на наличные деньги, выгоду или любое другое вознагр</w:t>
      </w:r>
      <w:r>
        <w:rPr>
          <w:spacing w:val="-2"/>
        </w:rPr>
        <w:t>а</w:t>
      </w:r>
      <w:r>
        <w:rPr>
          <w:spacing w:val="-2"/>
        </w:rPr>
        <w:t>ждение». При том, что в законе о борьбе с торговлей проституция определяется тем же самым образом, в предлагаемом законе о борьбе с проституцией «любое дейс</w:t>
      </w:r>
      <w:r>
        <w:rPr>
          <w:spacing w:val="-2"/>
        </w:rPr>
        <w:t>т</w:t>
      </w:r>
      <w:r>
        <w:rPr>
          <w:spacing w:val="-2"/>
        </w:rPr>
        <w:t>вие, которое способствует или содействует совершению вышеуказанных действий», также считается проституцией. Освобождение от уголовного наказания занима</w:t>
      </w:r>
      <w:r>
        <w:rPr>
          <w:spacing w:val="-2"/>
        </w:rPr>
        <w:t>ю</w:t>
      </w:r>
      <w:r>
        <w:rPr>
          <w:spacing w:val="-2"/>
        </w:rPr>
        <w:t>щихся проституцией женщин отвечает поставленной в РПЖ задаче, заключающейся в том, чтобы сформулировать и принять «законодательные меры, благодаря которым будет ликвидирована дискриминация по признаку пола». С тем, чтобы содейств</w:t>
      </w:r>
      <w:r>
        <w:rPr>
          <w:spacing w:val="-2"/>
        </w:rPr>
        <w:t>о</w:t>
      </w:r>
      <w:r>
        <w:rPr>
          <w:spacing w:val="-2"/>
        </w:rPr>
        <w:t>вать принятию закона о борьбе с проституцией и аналогичных законодательных мер правительство, при поддержке со стороны других сторонников планов в области ПИР, разработало планы принятия следующих стратегий и мер.</w:t>
      </w:r>
    </w:p>
    <w:p w:rsidR="00000000" w:rsidRDefault="00000000">
      <w:pPr>
        <w:pStyle w:val="SingleTxt"/>
        <w:ind w:left="1740" w:right="1264" w:hanging="476"/>
      </w:pPr>
      <w:r>
        <w:rPr>
          <w:lang w:val="en-US"/>
        </w:rPr>
        <w:t>a</w:t>
      </w:r>
      <w:r>
        <w:t>)</w:t>
      </w:r>
      <w:r>
        <w:tab/>
        <w:t>стратегии: i) расширение возможностей местных и национальных закон</w:t>
      </w:r>
      <w:r>
        <w:t>о</w:t>
      </w:r>
      <w:r>
        <w:t>дательных органов в том, что касается формулирования соответствующих законодательных мер в области ПИР, ii) принятие активных мер для того, чтобы обеспечит планы в области ПИР законодательной поддержкой, и iii) укрепление женских групп для того, чтобы они способствовали принятию законод</w:t>
      </w:r>
      <w:r>
        <w:t>а</w:t>
      </w:r>
      <w:r>
        <w:t>тельных мер.</w:t>
      </w:r>
    </w:p>
    <w:p w:rsidR="00000000" w:rsidRDefault="00000000">
      <w:pPr>
        <w:pStyle w:val="SingleTxt"/>
        <w:ind w:left="1740" w:right="1264" w:hanging="476"/>
        <w:rPr>
          <w:spacing w:val="-2"/>
        </w:rPr>
      </w:pPr>
      <w:r>
        <w:rPr>
          <w:spacing w:val="-2"/>
          <w:lang w:val="en-US"/>
        </w:rPr>
        <w:t>b</w:t>
      </w:r>
      <w:r>
        <w:rPr>
          <w:spacing w:val="-2"/>
        </w:rPr>
        <w:t>)</w:t>
      </w:r>
      <w:r>
        <w:rPr>
          <w:spacing w:val="-2"/>
        </w:rPr>
        <w:tab/>
        <w:t>Меры: i) проведение семинаров для членов законодательных органов всех уровней, посвященных повышению осведомленности о гендерной проблем</w:t>
      </w:r>
      <w:r>
        <w:rPr>
          <w:spacing w:val="-2"/>
        </w:rPr>
        <w:t>а</w:t>
      </w:r>
      <w:r>
        <w:rPr>
          <w:spacing w:val="-2"/>
        </w:rPr>
        <w:t>тике; ii) создание или укрепление координационных центров по вопросам ПИР в законодательных органах, iii) изучение местных постановлений и законод</w:t>
      </w:r>
      <w:r>
        <w:rPr>
          <w:spacing w:val="-2"/>
        </w:rPr>
        <w:t>а</w:t>
      </w:r>
      <w:r>
        <w:rPr>
          <w:spacing w:val="-2"/>
        </w:rPr>
        <w:t>тельных актов на предмет возможного наличия в них дискриминации по пр</w:t>
      </w:r>
      <w:r>
        <w:rPr>
          <w:spacing w:val="-2"/>
        </w:rPr>
        <w:t>и</w:t>
      </w:r>
      <w:r>
        <w:rPr>
          <w:spacing w:val="-2"/>
        </w:rPr>
        <w:t>знаку пола и соответствующих пробелов, iv) принятие постановлений и зак</w:t>
      </w:r>
      <w:r>
        <w:rPr>
          <w:spacing w:val="-2"/>
        </w:rPr>
        <w:t>о</w:t>
      </w:r>
      <w:r>
        <w:rPr>
          <w:spacing w:val="-2"/>
        </w:rPr>
        <w:t>нодательных актов, отвечающих интересам женщин и предусматривающих равное отношение к представителям обоих полов, v) организация обучения для представителей женских групп по вопросам консультирования и лоббиров</w:t>
      </w:r>
      <w:r>
        <w:rPr>
          <w:spacing w:val="-2"/>
        </w:rPr>
        <w:t>а</w:t>
      </w:r>
      <w:r>
        <w:rPr>
          <w:spacing w:val="-2"/>
        </w:rPr>
        <w:t>ния, vi) создание или укрепление сетей, объединяющих правительство, НПО и гражданское общество, в интересах обеспечения законодательной инициативы, и vii) формирование общественного мнения относительно законодательных пре</w:t>
      </w:r>
      <w:r>
        <w:rPr>
          <w:spacing w:val="-2"/>
        </w:rPr>
        <w:t>д</w:t>
      </w:r>
      <w:r>
        <w:rPr>
          <w:spacing w:val="-2"/>
        </w:rPr>
        <w:t>ложений посредством использования трех видов СМИ.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14" w:name="_Toc85174883"/>
      <w:r>
        <w:t>Насилие в отношении женщин</w:t>
      </w:r>
      <w:bookmarkEnd w:id="1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b/>
        </w:rPr>
      </w:pPr>
      <w:r>
        <w:rPr>
          <w:i/>
        </w:rPr>
        <w:t>«Комитет выразил глубокую обеспокоенность недостатками в правовой си</w:t>
      </w:r>
      <w:r>
        <w:rPr>
          <w:i/>
        </w:rPr>
        <w:t>с</w:t>
      </w:r>
      <w:r>
        <w:rPr>
          <w:i/>
        </w:rPr>
        <w:t>теме в отношении насилия против женщин, учитывая тот факт, что нак</w:t>
      </w:r>
      <w:r>
        <w:rPr>
          <w:i/>
        </w:rPr>
        <w:t>а</w:t>
      </w:r>
      <w:r>
        <w:rPr>
          <w:i/>
        </w:rPr>
        <w:t>зание за инцест и бытовое насилие конкретно не предусматривается законом и эти факты замалчиваются». (пункт 20)… «Комитет настоятельно призвал правительство издать надлежащие законы с целью борьбы с насилием против женщин и собирать соответствующие данные». (пункт 27)</w:t>
      </w:r>
    </w:p>
    <w:p w:rsidR="00000000" w:rsidRDefault="00000000">
      <w:pPr>
        <w:pStyle w:val="SingleTxt"/>
        <w:rPr>
          <w:spacing w:val="-2"/>
        </w:rPr>
      </w:pPr>
      <w:r>
        <w:rPr>
          <w:spacing w:val="-2"/>
        </w:rPr>
        <w:t>29.</w:t>
      </w:r>
      <w:r>
        <w:rPr>
          <w:spacing w:val="-2"/>
        </w:rPr>
        <w:tab/>
        <w:t>Закон о борьбе с насилием в отношении женщин, включая закон о борьбе с торговлей, был совместно принят исполнительными и законодательными органами власти в ходе национальной встречи на высшем уровне по социально-экономическим вопросам в 2001 году.</w:t>
      </w:r>
    </w:p>
    <w:p w:rsidR="00000000" w:rsidRDefault="00000000">
      <w:pPr>
        <w:pStyle w:val="SingleTxt"/>
        <w:rPr>
          <w:spacing w:val="-2"/>
        </w:rPr>
      </w:pPr>
      <w:r>
        <w:rPr>
          <w:spacing w:val="-2"/>
        </w:rPr>
        <w:t>30.</w:t>
      </w:r>
      <w:r>
        <w:rPr>
          <w:spacing w:val="-2"/>
        </w:rPr>
        <w:tab/>
        <w:t>Кроме того, в ходе этой встречи на высшем уровне президент поручил НКПФЖ усилить свою деятельность по осуществлению надзора в области насилия в отношении женщин (НОЖ). В связи с этим НКПФЖ создала координационный комитет по НОЖ (ККНОЖ), который несет ответственность за систематизацию и синхронизацию оказания услуг и помощи женщинам, пострадавшим от насилия, а также за сбор данных и систематизацию собранных данных, касающихся насилия в отношении женщин и бытового насилия.</w:t>
      </w:r>
    </w:p>
    <w:p w:rsidR="00000000" w:rsidRDefault="00000000">
      <w:pPr>
        <w:pStyle w:val="SingleTxt"/>
      </w:pPr>
      <w:r>
        <w:t>31.</w:t>
      </w:r>
      <w:r>
        <w:tab/>
        <w:t>Что касается последних двух лет, то благодаря шестнадцатидневной ка</w:t>
      </w:r>
      <w:r>
        <w:t>м</w:t>
      </w:r>
      <w:r>
        <w:t>пании, посвященной гендерному насилию, были приняты такие законы, пред</w:t>
      </w:r>
      <w:r>
        <w:t>у</w:t>
      </w:r>
      <w:r>
        <w:t>сматривающие уголовную ответственность за насилие в отношении женщин, как закон о борьбе с насилием в отношении женщин и их детей от 2004 года и закон о борьбе с торговлей людьми 2003 года. Кроме того, правительство пр</w:t>
      </w:r>
      <w:r>
        <w:t>и</w:t>
      </w:r>
      <w:r>
        <w:t>няло законы, предусматривающие уголовную ответственность за изнасилов</w:t>
      </w:r>
      <w:r>
        <w:t>а</w:t>
      </w:r>
      <w:r>
        <w:t>ние и половые посягательства, в 1997 году, законы, предусматривающие созд</w:t>
      </w:r>
      <w:r>
        <w:t>а</w:t>
      </w:r>
      <w:r>
        <w:t>ние судов по семейным делам (Закон о судах по семейным делам 1997 года), создание кризисных центров по всей стране и оказание помощи потерпевшим в результате изнасилования и их защиту (Закон об оказании помощи потерпе</w:t>
      </w:r>
      <w:r>
        <w:t>в</w:t>
      </w:r>
      <w:r>
        <w:t>шим от изнасилования 1998 года). Подробная информация о вышеуказанных законах приведена в разделе настоящего доклада, посв</w:t>
      </w:r>
      <w:r>
        <w:t>я</w:t>
      </w:r>
      <w:r>
        <w:t>щенном статье 6.</w:t>
      </w:r>
    </w:p>
    <w:p w:rsidR="00000000" w:rsidRDefault="00000000">
      <w:pPr>
        <w:pStyle w:val="SingleTxt"/>
      </w:pPr>
      <w:r>
        <w:t>32.</w:t>
      </w:r>
      <w:r>
        <w:tab/>
      </w:r>
      <w:r>
        <w:rPr>
          <w:u w:val="single"/>
        </w:rPr>
        <w:t>Меры, принимаемые согласно РПЖ</w:t>
      </w:r>
      <w:r>
        <w:t>. РПЖ нацелен на то, чтобы «поо</w:t>
      </w:r>
      <w:r>
        <w:t>щ</w:t>
      </w:r>
      <w:r>
        <w:t>рять учет гендерных аспектов при отправлении правосудия в интересах же</w:t>
      </w:r>
      <w:r>
        <w:t>н</w:t>
      </w:r>
      <w:r>
        <w:t>щин, пострадавших от насилия».</w:t>
      </w:r>
    </w:p>
    <w:p w:rsidR="00000000" w:rsidRDefault="00000000">
      <w:pPr>
        <w:pStyle w:val="SingleTxt"/>
        <w:ind w:left="1740" w:right="1264" w:hanging="476"/>
      </w:pPr>
      <w:r>
        <w:rPr>
          <w:lang w:val="en-US"/>
        </w:rPr>
        <w:t>a</w:t>
      </w:r>
      <w:r>
        <w:t>)</w:t>
      </w:r>
      <w:r>
        <w:tab/>
        <w:t>Для достижения этой цели РПЖ предусматривает следующие стратегии: i) создание или укрепление организационных механизмов борьбы с НОЖ, ii) актуализация гендерной проблематики в рамках системы уголовного судопроизводства, iii) создание новых или модернизация уже существу</w:t>
      </w:r>
      <w:r>
        <w:t>ю</w:t>
      </w:r>
      <w:r>
        <w:t>щих механизмов с тем, чтобы они в большей степени отвечали интересам женщин, и iv) укрепление или расширение программ консультирования и повышения информирова</w:t>
      </w:r>
      <w:r>
        <w:t>н</w:t>
      </w:r>
      <w:r>
        <w:t>ности потерпевших и правонарушителей.</w:t>
      </w:r>
    </w:p>
    <w:p w:rsidR="00000000" w:rsidRDefault="00000000">
      <w:pPr>
        <w:pStyle w:val="SingleTxt"/>
        <w:ind w:left="1740" w:right="1264" w:hanging="476"/>
        <w:rPr>
          <w:spacing w:val="-2"/>
        </w:rPr>
      </w:pPr>
      <w:r>
        <w:rPr>
          <w:spacing w:val="-2"/>
          <w:lang w:val="en-US"/>
        </w:rPr>
        <w:t>b</w:t>
      </w:r>
      <w:r>
        <w:rPr>
          <w:spacing w:val="-2"/>
        </w:rPr>
        <w:t>)</w:t>
      </w:r>
      <w:r>
        <w:rPr>
          <w:spacing w:val="-2"/>
        </w:rPr>
        <w:tab/>
        <w:t>Кроме того, принимаемые меры включают i) агитацию за принятие законод</w:t>
      </w:r>
      <w:r>
        <w:rPr>
          <w:spacing w:val="-2"/>
        </w:rPr>
        <w:t>а</w:t>
      </w:r>
      <w:r>
        <w:rPr>
          <w:spacing w:val="-2"/>
        </w:rPr>
        <w:t>тельства, направленного на борьбу с НОЖ; ii) организацию семинаров для п</w:t>
      </w:r>
      <w:r>
        <w:rPr>
          <w:spacing w:val="-2"/>
        </w:rPr>
        <w:t>о</w:t>
      </w:r>
      <w:r>
        <w:rPr>
          <w:spacing w:val="-2"/>
        </w:rPr>
        <w:t>вышения осведомленности должностных лиц и сотрудников суда; iii) включ</w:t>
      </w:r>
      <w:r>
        <w:rPr>
          <w:spacing w:val="-2"/>
        </w:rPr>
        <w:t>е</w:t>
      </w:r>
      <w:r>
        <w:rPr>
          <w:spacing w:val="-2"/>
        </w:rPr>
        <w:t>ние гендерных принципов в судебные протоколы и нормы отправления прав</w:t>
      </w:r>
      <w:r>
        <w:rPr>
          <w:spacing w:val="-2"/>
        </w:rPr>
        <w:t>о</w:t>
      </w:r>
      <w:r>
        <w:rPr>
          <w:spacing w:val="-2"/>
        </w:rPr>
        <w:t>судия; iv) модернизацию или создание механизмов с учетом интересов поте</w:t>
      </w:r>
      <w:r>
        <w:rPr>
          <w:spacing w:val="-2"/>
        </w:rPr>
        <w:t>р</w:t>
      </w:r>
      <w:r>
        <w:rPr>
          <w:spacing w:val="-2"/>
        </w:rPr>
        <w:t>певших; v) учебные семинары, посвященные консультированию в отношении НОЖ, для консультантов в общинах и больницах; vi) программу создания п</w:t>
      </w:r>
      <w:r>
        <w:rPr>
          <w:spacing w:val="-2"/>
        </w:rPr>
        <w:t>о</w:t>
      </w:r>
      <w:r>
        <w:rPr>
          <w:spacing w:val="-2"/>
        </w:rPr>
        <w:t>тенциала в плане расследования конкретных дел с учетом гендерных аспектов для судебных социальных работников, судей и сотрудников полиции; vii) фо</w:t>
      </w:r>
      <w:r>
        <w:rPr>
          <w:spacing w:val="-2"/>
        </w:rPr>
        <w:t>р</w:t>
      </w:r>
      <w:r>
        <w:rPr>
          <w:spacing w:val="-2"/>
        </w:rPr>
        <w:t>мирование отделений по защите женщин и детей в 44 больницах и наращив</w:t>
      </w:r>
      <w:r>
        <w:rPr>
          <w:spacing w:val="-2"/>
        </w:rPr>
        <w:t>а</w:t>
      </w:r>
      <w:r>
        <w:rPr>
          <w:spacing w:val="-2"/>
        </w:rPr>
        <w:t>ние потенциала их сотрудников; viii) повышение качества услуг, оказываемых секторами по делам женщин в полицейских участках и аналогичных местах; ix) создание кризисных центров помощи потерпевшим в результате изнасил</w:t>
      </w:r>
      <w:r>
        <w:rPr>
          <w:spacing w:val="-2"/>
        </w:rPr>
        <w:t>о</w:t>
      </w:r>
      <w:r>
        <w:rPr>
          <w:spacing w:val="-2"/>
        </w:rPr>
        <w:t>вания и x) разработку норм в области гуманного обращения с женщинами, ок</w:t>
      </w:r>
      <w:r>
        <w:rPr>
          <w:spacing w:val="-2"/>
        </w:rPr>
        <w:t>а</w:t>
      </w:r>
      <w:r>
        <w:rPr>
          <w:spacing w:val="-2"/>
        </w:rPr>
        <w:t>завш</w:t>
      </w:r>
      <w:r>
        <w:rPr>
          <w:spacing w:val="-2"/>
        </w:rPr>
        <w:t>и</w:t>
      </w:r>
      <w:r>
        <w:rPr>
          <w:spacing w:val="-2"/>
        </w:rPr>
        <w:t>мися в заключении и в особо трудных обстоятельствах.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15" w:name="_Toc85174884"/>
      <w:r>
        <w:t>Службы по вопросам репродуктивного здоровья и половой жизни для всех женщин во всех районах</w:t>
      </w:r>
      <w:bookmarkEnd w:id="1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«Комитет выразил сожаление по поводу децентрализации служб по вопросам населения и развития и передачи соответствующих функций от национал</w:t>
      </w:r>
      <w:r>
        <w:rPr>
          <w:i/>
        </w:rPr>
        <w:t>ь</w:t>
      </w:r>
      <w:r>
        <w:rPr>
          <w:i/>
        </w:rPr>
        <w:t>ных – местным органам управления, что, как представляется, привело к з</w:t>
      </w:r>
      <w:r>
        <w:rPr>
          <w:i/>
        </w:rPr>
        <w:t>а</w:t>
      </w:r>
      <w:r>
        <w:rPr>
          <w:i/>
        </w:rPr>
        <w:t>прещению противозачаточных средств в одной из провинций в нарушение Конвенции (статья 12 и пункт е) статьи 16)» (пункт 21) Комитет рекоме</w:t>
      </w:r>
      <w:r>
        <w:rPr>
          <w:i/>
        </w:rPr>
        <w:t>н</w:t>
      </w:r>
      <w:r>
        <w:rPr>
          <w:i/>
        </w:rPr>
        <w:t>довал обеспечить наличие и доступность для всех женщин во всех районах служб по вопросам репр</w:t>
      </w:r>
      <w:r>
        <w:rPr>
          <w:i/>
        </w:rPr>
        <w:t>о</w:t>
      </w:r>
      <w:r>
        <w:rPr>
          <w:i/>
        </w:rPr>
        <w:t>дуктивного здоровья и половой жизни». (пункт 28)</w:t>
      </w:r>
    </w:p>
    <w:p w:rsidR="00000000" w:rsidRDefault="00000000">
      <w:pPr>
        <w:pStyle w:val="SingleTxt"/>
      </w:pPr>
      <w:r>
        <w:t>33.</w:t>
      </w:r>
      <w:r>
        <w:tab/>
        <w:t>В контексте децентрализации национальное правительство реализует программы по созданию потенциала местных органов власти в области оказ</w:t>
      </w:r>
      <w:r>
        <w:t>а</w:t>
      </w:r>
      <w:r>
        <w:t>ния медицинской помощи, включая полный комплект, посвященный репроду</w:t>
      </w:r>
      <w:r>
        <w:t>к</w:t>
      </w:r>
      <w:r>
        <w:t>тивному здоровью (подробная информация проведена в разделе настоящего доклада, посвященном статье 12). Используя зарубежную помощь в целях ра</w:t>
      </w:r>
      <w:r>
        <w:t>з</w:t>
      </w:r>
      <w:r>
        <w:t>вития, в январе 2000 года министерство здравоохранения приступило к реал</w:t>
      </w:r>
      <w:r>
        <w:t>и</w:t>
      </w:r>
      <w:r>
        <w:t>зации пятилетнего проекта, нацеленного на расширение возможностей мес</w:t>
      </w:r>
      <w:r>
        <w:t>т</w:t>
      </w:r>
      <w:r>
        <w:t>ных органов власти в том, что касается реализации комплексных программ в области народонаселения, планирования семьи, безопасного материнства и выживания детей, а также разработки комплексных услуг в области семейного здравоохранения для местных общин. Однако, начиная с 2002 года, президент и министерство здравоохранения стали отдавать предпочтение естественному порядку планирования семьи. Тем не менее, местные органы власти могут вн</w:t>
      </w:r>
      <w:r>
        <w:t>е</w:t>
      </w:r>
      <w:r>
        <w:t>дрять свои со</w:t>
      </w:r>
      <w:r>
        <w:t>б</w:t>
      </w:r>
      <w:r>
        <w:t>ственные стратегии и программы в области планирования семьи.</w:t>
      </w:r>
    </w:p>
    <w:p w:rsidR="00000000" w:rsidRDefault="00000000">
      <w:pPr>
        <w:pStyle w:val="SingleTxt"/>
      </w:pPr>
      <w:r>
        <w:t>34.</w:t>
      </w:r>
      <w:r>
        <w:tab/>
        <w:t>С тем, чтобы помочь местным органам власти в определении потребн</w:t>
      </w:r>
      <w:r>
        <w:t>о</w:t>
      </w:r>
      <w:r>
        <w:t>стей и условий в своем округе была разработана система показателей репр</w:t>
      </w:r>
      <w:r>
        <w:t>о</w:t>
      </w:r>
      <w:r>
        <w:t>дуктивного здоровья. Комиссия по народонаселению консультирует местные органы власти по вопросам внедрения этой системы и оказывает им соответс</w:t>
      </w:r>
      <w:r>
        <w:t>т</w:t>
      </w:r>
      <w:r>
        <w:t>вующую поддержку.</w:t>
      </w:r>
    </w:p>
    <w:p w:rsidR="00000000" w:rsidRDefault="00000000">
      <w:pPr>
        <w:pStyle w:val="SingleTxt"/>
      </w:pPr>
      <w:r>
        <w:t>35.</w:t>
      </w:r>
      <w:r>
        <w:tab/>
        <w:t>Предлагаемые поправки к Кодексу местного самоуправления предусма</w:t>
      </w:r>
      <w:r>
        <w:t>т</w:t>
      </w:r>
      <w:r>
        <w:t>ривают создание постоянной должности сотрудника по вопросам народонас</w:t>
      </w:r>
      <w:r>
        <w:t>е</w:t>
      </w:r>
      <w:r>
        <w:t>ления в каждом местном органе государственного управления. Эти поправки пока еще не утверждены законодательной властью.</w:t>
      </w:r>
    </w:p>
    <w:p w:rsidR="00000000" w:rsidRDefault="00000000">
      <w:pPr>
        <w:pStyle w:val="SingleTxt"/>
        <w:rPr>
          <w:spacing w:val="-2"/>
        </w:rPr>
      </w:pPr>
      <w:r>
        <w:rPr>
          <w:spacing w:val="-2"/>
        </w:rPr>
        <w:t>36.</w:t>
      </w:r>
      <w:r>
        <w:rPr>
          <w:spacing w:val="-2"/>
        </w:rPr>
        <w:tab/>
        <w:t>Кроме того, законодательной властью рассматриваются и законопроекты в о</w:t>
      </w:r>
      <w:r>
        <w:rPr>
          <w:spacing w:val="-2"/>
        </w:rPr>
        <w:t>б</w:t>
      </w:r>
      <w:r>
        <w:rPr>
          <w:spacing w:val="-2"/>
        </w:rPr>
        <w:t>ласти репродуктивного здравоохранения. Эти законопроекты нацелены на то, чтобы повысить уровень благосостояния филиппинцев посредством разработки комплек</w:t>
      </w:r>
      <w:r>
        <w:rPr>
          <w:spacing w:val="-2"/>
        </w:rPr>
        <w:t>с</w:t>
      </w:r>
      <w:r>
        <w:rPr>
          <w:spacing w:val="-2"/>
        </w:rPr>
        <w:t>ной национальной политики и программы в области репродуктивного здоровья, в которой признаются репродуктивные права женщин и равноправие полов, а также обеспечивается всеобщий доступ к услугам репродуктивного здравоохранения, и</w:t>
      </w:r>
      <w:r>
        <w:rPr>
          <w:spacing w:val="-2"/>
        </w:rPr>
        <w:t>н</w:t>
      </w:r>
      <w:r>
        <w:rPr>
          <w:spacing w:val="-2"/>
        </w:rPr>
        <w:t>формации и образованию. Кроме того, эти законопроекты предусматривают увел</w:t>
      </w:r>
      <w:r>
        <w:rPr>
          <w:spacing w:val="-2"/>
        </w:rPr>
        <w:t>и</w:t>
      </w:r>
      <w:r>
        <w:rPr>
          <w:spacing w:val="-2"/>
        </w:rPr>
        <w:t>чение числа лиц, охваченных национальной программой медицинского страхования, включая малоимущих, а также охват полного спектра услуг и продуктов служб по вопросам п</w:t>
      </w:r>
      <w:r>
        <w:rPr>
          <w:spacing w:val="-2"/>
        </w:rPr>
        <w:t>о</w:t>
      </w:r>
      <w:r>
        <w:rPr>
          <w:spacing w:val="-2"/>
        </w:rPr>
        <w:t>ловой жизни и репродуктивного здоровья.</w:t>
      </w:r>
    </w:p>
    <w:p w:rsidR="00000000" w:rsidRDefault="00000000">
      <w:pPr>
        <w:pStyle w:val="SingleTxt"/>
      </w:pPr>
      <w:r>
        <w:t>37.</w:t>
      </w:r>
      <w:r>
        <w:tab/>
      </w:r>
      <w:r>
        <w:rPr>
          <w:u w:val="single"/>
        </w:rPr>
        <w:t>Меры, принимаемые согласно РПЖ</w:t>
      </w:r>
      <w:r>
        <w:t>.</w:t>
      </w:r>
    </w:p>
    <w:p w:rsidR="00000000" w:rsidRDefault="00000000">
      <w:pPr>
        <w:pStyle w:val="SingleTxt"/>
      </w:pPr>
      <w:r>
        <w:t>Стратегии в области здравоохранения и питания включают: i) расширение во</w:t>
      </w:r>
      <w:r>
        <w:t>з</w:t>
      </w:r>
      <w:r>
        <w:t>можностей женщин в области доступа к основным социальным услугам, вкл</w:t>
      </w:r>
      <w:r>
        <w:t>ю</w:t>
      </w:r>
      <w:r>
        <w:t>чая здоровье и питание женщин во всех их аспектах; ii) повышение качества комплексной медицинской помощи женщинам с учетом гендерных аспектов на всем протяжении жизненного цикла и iii) повышение осведомленности же</w:t>
      </w:r>
      <w:r>
        <w:t>н</w:t>
      </w:r>
      <w:r>
        <w:t>щин о своем здоровье и продуманном пов</w:t>
      </w:r>
      <w:r>
        <w:t>е</w:t>
      </w:r>
      <w:r>
        <w:t>дении.</w:t>
      </w:r>
    </w:p>
    <w:p w:rsidR="00000000" w:rsidRDefault="00000000">
      <w:pPr>
        <w:pStyle w:val="SingleTxt"/>
        <w:rPr>
          <w:spacing w:val="-2"/>
        </w:rPr>
      </w:pPr>
      <w:r>
        <w:rPr>
          <w:spacing w:val="-2"/>
        </w:rPr>
        <w:t>38.</w:t>
      </w:r>
      <w:r>
        <w:rPr>
          <w:spacing w:val="-2"/>
        </w:rPr>
        <w:tab/>
        <w:t>Принимаемые меры связаны прежде всего с ключевыми вопросами регулир</w:t>
      </w:r>
      <w:r>
        <w:rPr>
          <w:spacing w:val="-2"/>
        </w:rPr>
        <w:t>о</w:t>
      </w:r>
      <w:r>
        <w:rPr>
          <w:spacing w:val="-2"/>
        </w:rPr>
        <w:t>вания народонаселения и комплексного здоровья и питания женщин и включают: i) информационно-пропагандистские кампании и информационные инициативы, ii) пропагандистская деятельность, связанная со стратегиями и бюджетом местных о</w:t>
      </w:r>
      <w:r>
        <w:rPr>
          <w:spacing w:val="-2"/>
        </w:rPr>
        <w:t>р</w:t>
      </w:r>
      <w:r>
        <w:rPr>
          <w:spacing w:val="-2"/>
        </w:rPr>
        <w:t>ганов власти, и iii) разработку информационных, просветительских и коммуникац</w:t>
      </w:r>
      <w:r>
        <w:rPr>
          <w:spacing w:val="-2"/>
        </w:rPr>
        <w:t>и</w:t>
      </w:r>
      <w:r>
        <w:rPr>
          <w:spacing w:val="-2"/>
        </w:rPr>
        <w:t>онных материалов по вопросам народонаселения, комплексного здоровья женщин и питания. Они также включают iv) подготовку медицинского персонала по вопросам учета норм в области качества оказываемой помощи и ключевых проблем при ок</w:t>
      </w:r>
      <w:r>
        <w:rPr>
          <w:spacing w:val="-2"/>
        </w:rPr>
        <w:t>а</w:t>
      </w:r>
      <w:r>
        <w:rPr>
          <w:spacing w:val="-2"/>
        </w:rPr>
        <w:t>зании своих услуг и v) оказание основных видов медицинской помощи, включая комплексную медицинскую помощь женщинам, базирующейся на ответственном отношении к родительским обязанностям; и vi) повышение уровня продовольстве</w:t>
      </w:r>
      <w:r>
        <w:rPr>
          <w:spacing w:val="-2"/>
        </w:rPr>
        <w:t>н</w:t>
      </w:r>
      <w:r>
        <w:rPr>
          <w:spacing w:val="-2"/>
        </w:rPr>
        <w:t>ной безопасности в интересах обеспечения здоровья и пит</w:t>
      </w:r>
      <w:r>
        <w:rPr>
          <w:spacing w:val="-2"/>
        </w:rPr>
        <w:t>а</w:t>
      </w:r>
      <w:r>
        <w:rPr>
          <w:spacing w:val="-2"/>
        </w:rPr>
        <w:t>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16" w:name="_Toc85174885"/>
      <w:r>
        <w:t>Необходимость расширить участие женщин в политической и общественной жизни</w:t>
      </w:r>
      <w:bookmarkEnd w:id="1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«Комитет далее с обеспокоенностью отметил, что, несмотря на увеличение участия женщин в процессе принятия решений в общественной сфере в ра</w:t>
      </w:r>
      <w:r>
        <w:rPr>
          <w:i/>
        </w:rPr>
        <w:t>м</w:t>
      </w:r>
      <w:r>
        <w:rPr>
          <w:i/>
        </w:rPr>
        <w:t>ках НПО, по-прежнему имеет место недостаточная представленность же</w:t>
      </w:r>
      <w:r>
        <w:rPr>
          <w:i/>
        </w:rPr>
        <w:t>н</w:t>
      </w:r>
      <w:r>
        <w:rPr>
          <w:i/>
        </w:rPr>
        <w:t>щин в политической сфере, на высоких уровнях управления и в судебной сист</w:t>
      </w:r>
      <w:r>
        <w:rPr>
          <w:i/>
        </w:rPr>
        <w:t>е</w:t>
      </w:r>
      <w:r>
        <w:rPr>
          <w:i/>
        </w:rPr>
        <w:t>ме». (пункт 22)</w:t>
      </w:r>
    </w:p>
    <w:p w:rsidR="00000000" w:rsidRDefault="00000000">
      <w:pPr>
        <w:pStyle w:val="SingleTxt"/>
        <w:rPr>
          <w:i/>
        </w:rPr>
      </w:pPr>
      <w:r>
        <w:rPr>
          <w:i/>
        </w:rPr>
        <w:t>«Комитет рекомендовал принять временные специальные меры для повышения участия женщин в работе государственных директивных органов на высоком уровне». (пункт 29)</w:t>
      </w:r>
    </w:p>
    <w:p w:rsidR="00000000" w:rsidRDefault="00000000">
      <w:pPr>
        <w:pStyle w:val="SingleTxt"/>
        <w:rPr>
          <w:i/>
        </w:rPr>
      </w:pPr>
      <w:r>
        <w:t>39.</w:t>
      </w:r>
      <w:r>
        <w:tab/>
        <w:t>В партнерстве с различными правительственными и научными учрежд</w:t>
      </w:r>
      <w:r>
        <w:t>е</w:t>
      </w:r>
      <w:r>
        <w:t>ниями НКПФЖ проводила мероприятия по созданию потенциала женщин из числа местных руководящих работников и местных законодателей. В ходе н</w:t>
      </w:r>
      <w:r>
        <w:t>а</w:t>
      </w:r>
      <w:r>
        <w:t>ционального саммита женщин</w:t>
      </w:r>
      <w:r>
        <w:rPr>
          <w:lang w:val="en-US"/>
        </w:rPr>
        <w:t> </w:t>
      </w:r>
      <w:r>
        <w:t>– местных руководителей и советников, была принята Манильская декларация, в которой участники взяли на себя обязател</w:t>
      </w:r>
      <w:r>
        <w:t>ь</w:t>
      </w:r>
      <w:r>
        <w:t>ство расширять участие женщин в процессе принятия политических решений.</w:t>
      </w:r>
    </w:p>
    <w:p w:rsidR="00000000" w:rsidRDefault="00000000">
      <w:pPr>
        <w:pStyle w:val="SingleTxt"/>
      </w:pPr>
      <w:r>
        <w:t>40.</w:t>
      </w:r>
      <w:r>
        <w:tab/>
        <w:t>В качестве конституционного органа, ответственного за осуществление надзора за положением государственных служащих, Комиссия по гражданской службе (КГС) издала записку-циркуляр о равной представленности женщин и мужчин на должностях третьего уровня (или на исполнительном уровне). Н</w:t>
      </w:r>
      <w:r>
        <w:t>е</w:t>
      </w:r>
      <w:r>
        <w:t>обходимо добиться того, чтобы среди государственных служащих женщин и мужчин было поровну. КГС предписала государственным учреждениям рег</w:t>
      </w:r>
      <w:r>
        <w:t>у</w:t>
      </w:r>
      <w:r>
        <w:t>лярно докладывать о количестве женщин, назначенных на должности третьего уровня, общем количестве должностей, занимаемых женщинами, и об общем количестве назначенных женщин в сравнении с количеством назначенных мужчин. По состоянию на 1999 год женщины в государственном аппарате з</w:t>
      </w:r>
      <w:r>
        <w:t>а</w:t>
      </w:r>
      <w:r>
        <w:t>нимали 34,8 процента должностей третьего уровня.</w:t>
      </w:r>
    </w:p>
    <w:p w:rsidR="00000000" w:rsidRDefault="00000000">
      <w:pPr>
        <w:pStyle w:val="SingleTxt"/>
      </w:pPr>
      <w:r>
        <w:t>41.</w:t>
      </w:r>
      <w:r>
        <w:tab/>
        <w:t>В РЗ 8551, или Законе о национальной полицейской комиссии и реорган</w:t>
      </w:r>
      <w:r>
        <w:t>и</w:t>
      </w:r>
      <w:r>
        <w:t>зации филиппинской национальной полиции от 1998 года, сформулирована н</w:t>
      </w:r>
      <w:r>
        <w:t>а</w:t>
      </w:r>
      <w:r>
        <w:t>циональная политика предоставления женщинам равных возможностей в орг</w:t>
      </w:r>
      <w:r>
        <w:t>а</w:t>
      </w:r>
      <w:r>
        <w:t>нах полиции, предотвращения сексуальных домогательств на рабочем месте и запрет на дискриминацию по признаку пола и сексуальной ориентации. Для ежегодного набора персонала в филиппинскую национальную полицию, ее учебных и образовательных программ этот закон устанавливает квоту женщин на уровне десяти процентов.</w:t>
      </w:r>
    </w:p>
    <w:p w:rsidR="00000000" w:rsidRDefault="00000000">
      <w:pPr>
        <w:pStyle w:val="SingleTxt"/>
      </w:pPr>
      <w:r>
        <w:t>42.</w:t>
      </w:r>
      <w:r>
        <w:tab/>
        <w:t>В разделе настоящего доклада, посвященном статье 7, указывается, что в некоторых филиппинских законах, направленных на защиту прав маргинализ</w:t>
      </w:r>
      <w:r>
        <w:t>и</w:t>
      </w:r>
      <w:r>
        <w:t>рованных секторов, содержится положение о признании права женщин в этих секторах на участие в процессах принятия решений. В качестве примера мо</w:t>
      </w:r>
      <w:r>
        <w:t>ж</w:t>
      </w:r>
      <w:r>
        <w:t>но привести Закон о правах коренного населения от 1997 года (РЗ 8371), кот</w:t>
      </w:r>
      <w:r>
        <w:t>о</w:t>
      </w:r>
      <w:r>
        <w:t>рый содержит требование об участии женщин из числа коренных жителей в процессе принятия решений на всех уровнях. В Законе о социальной реформе и борьбе с нищетой (РЗ 8425) содержится призыв к образованию советов в и</w:t>
      </w:r>
      <w:r>
        <w:t>н</w:t>
      </w:r>
      <w:r>
        <w:t>тересах целевого базисного или маргинализированного сектора, включая выд</w:t>
      </w:r>
      <w:r>
        <w:t>е</w:t>
      </w:r>
      <w:r>
        <w:t>ление женщин в отдельный сектор, и выделяется место для представителя се</w:t>
      </w:r>
      <w:r>
        <w:t>к</w:t>
      </w:r>
      <w:r>
        <w:t>тора женщин в Национальной комиссии по борьбе с нищетой. Закон о рыб</w:t>
      </w:r>
      <w:r>
        <w:t>о</w:t>
      </w:r>
      <w:r>
        <w:t>ловстве 1998 года (РЗ 8850) требует закрепления за женщинами мест в составе муниципальных или городских советов по рыболовству и использованию пр</w:t>
      </w:r>
      <w:r>
        <w:t>и</w:t>
      </w:r>
      <w:r>
        <w:t>брежных ресурсов.</w:t>
      </w:r>
    </w:p>
    <w:p w:rsidR="00000000" w:rsidRDefault="00000000">
      <w:pPr>
        <w:pStyle w:val="SingleTxt"/>
      </w:pPr>
      <w:r>
        <w:t>43.</w:t>
      </w:r>
      <w:r>
        <w:tab/>
        <w:t>На рассмотрении обеих палат филиппинского конгресса находятся зак</w:t>
      </w:r>
      <w:r>
        <w:t>о</w:t>
      </w:r>
      <w:r>
        <w:t>нопроекты, предусматривающие принятие временных специальных мер. Как отмечается в разделе настоящего доклада, посвященном статье 4, речь идет о законопроектах в поддержку предлагаемого закона о расширении возможн</w:t>
      </w:r>
      <w:r>
        <w:t>о</w:t>
      </w:r>
      <w:r>
        <w:t>стей женщин, который будет предусматривать требование о минимальном 30-процентном представительстве женщин на всех руководящих должностях в правительстве, и о парламентском законопроекте № 5708 "Закон о гендерном балансе в сфере политического участия и представительства", нацеленном на постепенное увеличение доли женщин на выборных и назначаемых должн</w:t>
      </w:r>
      <w:r>
        <w:t>о</w:t>
      </w:r>
      <w:r>
        <w:t>стях до, как минимум, 33 процентов и 50 процентов к 2012 году на исполн</w:t>
      </w:r>
      <w:r>
        <w:t>и</w:t>
      </w:r>
      <w:r>
        <w:t>тельном уровне. Во втором законе также содержится требование о том, что п</w:t>
      </w:r>
      <w:r>
        <w:t>о</w:t>
      </w:r>
      <w:r>
        <w:t>литические партии должны закреплять за женщинами не менее одной трети мест в своем партийном списке официальных кандидатов на национальных и местных выборах с тем, чтобы получить аккредитацию избирательной коми</w:t>
      </w:r>
      <w:r>
        <w:t>с</w:t>
      </w:r>
      <w:r>
        <w:t>сии. Эти законопроекты вряд ли будут приняты, поскольку поддерживает их лишь незначительное меньшинство законодателей. Еще один предлагаемый з</w:t>
      </w:r>
      <w:r>
        <w:t>а</w:t>
      </w:r>
      <w:r>
        <w:t>конодательный акт предусматривает возможности для представительства же</w:t>
      </w:r>
      <w:r>
        <w:t>н</w:t>
      </w:r>
      <w:r>
        <w:t>ского сектора в местных советах, что введет в действие положение Кодекса м</w:t>
      </w:r>
      <w:r>
        <w:t>е</w:t>
      </w:r>
      <w:r>
        <w:t>стного самоуправления 1991 года о представленности женского сектора.</w:t>
      </w:r>
    </w:p>
    <w:p w:rsidR="00000000" w:rsidRDefault="00000000">
      <w:pPr>
        <w:pStyle w:val="SingleTxt"/>
        <w:rPr>
          <w:u w:val="single"/>
        </w:rPr>
      </w:pPr>
      <w:r>
        <w:t>44.</w:t>
      </w:r>
      <w:r>
        <w:tab/>
      </w:r>
      <w:r>
        <w:rPr>
          <w:u w:val="single"/>
        </w:rPr>
        <w:t>Меры, принимаемые согласно РПЖ</w:t>
      </w:r>
    </w:p>
    <w:p w:rsidR="00000000" w:rsidRDefault="00000000">
      <w:pPr>
        <w:pStyle w:val="SingleTxt"/>
        <w:ind w:left="1740" w:right="1264" w:hanging="476"/>
      </w:pPr>
      <w:r>
        <w:rPr>
          <w:lang w:val="en-US"/>
        </w:rPr>
        <w:t>a</w:t>
      </w:r>
      <w:r>
        <w:t>)</w:t>
      </w:r>
      <w:r>
        <w:tab/>
        <w:t>В рамочном плане для женщин подтверждается обязательство правител</w:t>
      </w:r>
      <w:r>
        <w:t>ь</w:t>
      </w:r>
      <w:r>
        <w:t>ства "увеличить число женщин на руководящих должностях и их участие в процессе принятия решений". (Задача 3.2 РПЖ) Стратегии достижения этой цели имеют два аспекта: i) обеспечение равного участия женщин в процессе принятия решений на местном, национальном и международном уровне; и ii) поощрение управления с учетом гендерного аспекта и гибк</w:t>
      </w:r>
      <w:r>
        <w:t>о</w:t>
      </w:r>
      <w:r>
        <w:t>го руководства. Как указывается в разделе настоящего доклада, посв</w:t>
      </w:r>
      <w:r>
        <w:t>я</w:t>
      </w:r>
      <w:r>
        <w:t>щенном статье 7, ряд соответс</w:t>
      </w:r>
      <w:r>
        <w:t>т</w:t>
      </w:r>
      <w:r>
        <w:t>вующих мер уже принят.</w:t>
      </w:r>
    </w:p>
    <w:p w:rsidR="00000000" w:rsidRDefault="00000000">
      <w:pPr>
        <w:pStyle w:val="SingleTxt"/>
        <w:ind w:left="1740" w:right="1264" w:hanging="476"/>
        <w:rPr>
          <w:spacing w:val="-2"/>
        </w:rPr>
      </w:pPr>
      <w:r>
        <w:rPr>
          <w:spacing w:val="-2"/>
          <w:lang w:val="en-US"/>
        </w:rPr>
        <w:t>b</w:t>
      </w:r>
      <w:r>
        <w:rPr>
          <w:spacing w:val="-2"/>
        </w:rPr>
        <w:t>)</w:t>
      </w:r>
      <w:r>
        <w:rPr>
          <w:spacing w:val="-2"/>
        </w:rPr>
        <w:tab/>
        <w:t>Принятые меры включают: i) подготовку женщин к исполнению руководящих функций, ii) агитационно-пропагандистскую работу для увеличения числа женщин среди кандидатов на выборах, iii) оказание материальной поддержки женщинам на низовом уровне, которые хотят заняться политической деятел</w:t>
      </w:r>
      <w:r>
        <w:rPr>
          <w:spacing w:val="-2"/>
        </w:rPr>
        <w:t>ь</w:t>
      </w:r>
      <w:r>
        <w:rPr>
          <w:spacing w:val="-2"/>
        </w:rPr>
        <w:t>ностью, iv) исследования с уделением первоочередного внимания передовому или полезному опыту и разработке моделей управления и руководства с учетом гендерных аспектов, v) проведение обучения по вопросам управления и рук</w:t>
      </w:r>
      <w:r>
        <w:rPr>
          <w:spacing w:val="-2"/>
        </w:rPr>
        <w:t>о</w:t>
      </w:r>
      <w:r>
        <w:rPr>
          <w:spacing w:val="-2"/>
        </w:rPr>
        <w:t>водства с учетом гендерных аспектов, vi) реализацию политики по обеспеч</w:t>
      </w:r>
      <w:r>
        <w:rPr>
          <w:spacing w:val="-2"/>
        </w:rPr>
        <w:t>е</w:t>
      </w:r>
      <w:r>
        <w:rPr>
          <w:spacing w:val="-2"/>
        </w:rPr>
        <w:t>нию представленности женщин в местных советах, vii) создание механизмов на местах в интересах женщин, и viii) наращивание управленческого поте</w:t>
      </w:r>
      <w:r>
        <w:rPr>
          <w:spacing w:val="-2"/>
        </w:rPr>
        <w:t>н</w:t>
      </w:r>
      <w:r>
        <w:rPr>
          <w:spacing w:val="-2"/>
        </w:rPr>
        <w:t>циала механизмов на местах в интересах женщин.</w:t>
      </w:r>
    </w:p>
    <w:p w:rsidR="00000000" w:rsidRDefault="00000000">
      <w:pPr>
        <w:pStyle w:val="SingleTxt"/>
      </w:pPr>
      <w:r>
        <w:t>45.</w:t>
      </w:r>
      <w:r>
        <w:tab/>
        <w:t>Из предшествующих пунктов видно, что правительство республики Ф</w:t>
      </w:r>
      <w:r>
        <w:t>и</w:t>
      </w:r>
      <w:r>
        <w:t>липпины предприняло немало усилий для того, чтобы отреагировать на зам</w:t>
      </w:r>
      <w:r>
        <w:t>е</w:t>
      </w:r>
      <w:r>
        <w:t>чания КЛДЖ ООН, во многих областях охваченных конвенцией о женщинах. Однако также очевидно, что Филиппины сталкиваются со значительными трудностями в деле достижения этих целей и решения старых, как и новых проблем, речь о которых идет в предшествующих ча</w:t>
      </w:r>
      <w:r>
        <w:t>с</w:t>
      </w:r>
      <w:r>
        <w:t>тях настоящего доклада.</w:t>
      </w:r>
    </w:p>
    <w:p w:rsidR="00000000" w:rsidRDefault="00000000">
      <w:pPr>
        <w:pStyle w:val="SingleTxt"/>
        <w:pageBreakBefore/>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17" w:name="_Toc85174886"/>
      <w:r>
        <w:t>Часть II: Резюме достигнутого прогресса</w:t>
      </w:r>
      <w:bookmarkEnd w:id="1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18" w:name="_Toc85174887"/>
      <w:r>
        <w:t>Контекст</w:t>
      </w:r>
      <w:bookmarkEnd w:id="18"/>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19" w:name="_Toc85174888"/>
      <w:r>
        <w:t>I.</w:t>
      </w:r>
      <w:r>
        <w:tab/>
        <w:t>Общие тенденции в политической, экономической, социальной и культурной областях</w:t>
      </w:r>
      <w:bookmarkEnd w:id="1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46.</w:t>
      </w:r>
      <w:r>
        <w:tab/>
        <w:t>Численность филиппинского населения в 199</w:t>
      </w:r>
      <w:r>
        <w:rPr>
          <w:i/>
        </w:rPr>
        <w:t>5 </w:t>
      </w:r>
      <w:r>
        <w:t>году составляла 68,6 млн. человек, а в 2000 – 76,</w:t>
      </w:r>
      <w:r>
        <w:rPr>
          <w:i/>
        </w:rPr>
        <w:t>5 </w:t>
      </w:r>
      <w:r>
        <w:t>млн. человек, т.е. ежегодно увеличивалась более чем на 1,</w:t>
      </w:r>
      <w:r>
        <w:rPr>
          <w:i/>
        </w:rPr>
        <w:t>5 </w:t>
      </w:r>
      <w:r>
        <w:t>млн. человек. По прогнозам Национального статистического управления, в 2003 году население должно составить 81,1 млн. человек при ежегодных те</w:t>
      </w:r>
      <w:r>
        <w:t>м</w:t>
      </w:r>
      <w:r>
        <w:t>пах роста его численности за пятилетний период на уровне 2,36 процента. Эти темпы по-прежнему являются самыми высокими в азиатском регионе. В обоих случаях женщины составляли 49,6 процента нас</w:t>
      </w:r>
      <w:r>
        <w:t>е</w:t>
      </w:r>
      <w:r>
        <w:t>ления (НСУ, 1995, 2000 годы).</w:t>
      </w:r>
    </w:p>
    <w:p w:rsidR="00000000" w:rsidRDefault="00000000">
      <w:pPr>
        <w:pStyle w:val="SingleTxt"/>
      </w:pPr>
      <w:r>
        <w:rPr>
          <w:spacing w:val="-2"/>
        </w:rPr>
        <w:t>47.</w:t>
      </w:r>
      <w:r>
        <w:rPr>
          <w:spacing w:val="-2"/>
        </w:rPr>
        <w:tab/>
        <w:t>Население страны отличается весьма большим разнообразием: в его состав входят порядка 111 языковых, культурных и этнических групп. Многие из этих групп, включая манобо, магинданао, маранао, таусут, самал, субанон, билаан и баг</w:t>
      </w:r>
      <w:r>
        <w:rPr>
          <w:spacing w:val="-2"/>
        </w:rPr>
        <w:t>о</w:t>
      </w:r>
      <w:r>
        <w:rPr>
          <w:spacing w:val="-2"/>
        </w:rPr>
        <w:t>бо, проживают в Минданао. Вместе с мигрантами с островов Лузон и Висаяс в Минданао в 1995 году проживало в общей сложности 16,2 млн. человек, или 23,6 процента населения страны (НСУ, 1995 год). В 2000 году этот показатель с</w:t>
      </w:r>
      <w:r>
        <w:rPr>
          <w:spacing w:val="-2"/>
        </w:rPr>
        <w:t>о</w:t>
      </w:r>
      <w:r>
        <w:rPr>
          <w:spacing w:val="-2"/>
        </w:rPr>
        <w:t>ставлял порядка 18,1 млн. человек, или 23,7 процента от общей численности нас</w:t>
      </w:r>
      <w:r>
        <w:rPr>
          <w:spacing w:val="-2"/>
        </w:rPr>
        <w:t>е</w:t>
      </w:r>
      <w:r>
        <w:rPr>
          <w:spacing w:val="-2"/>
        </w:rPr>
        <w:t>ления (НСУ, 2000 год).</w:t>
      </w:r>
      <w:r>
        <w:t xml:space="preserve"> </w:t>
      </w:r>
      <w:r>
        <w:rPr>
          <w:spacing w:val="-2"/>
        </w:rPr>
        <w:t>Господствующей религией является католицизм, который, согласно имеющейся информации, исповедуют более 80 процентов населения. На долю протестантов и мусульман приходится по 5 процентов. Необходимо, однако, отметить, что среди христиан и среди мусульман, равно как и между христианами и мусульманами, с</w:t>
      </w:r>
      <w:r>
        <w:rPr>
          <w:spacing w:val="-2"/>
        </w:rPr>
        <w:t>у</w:t>
      </w:r>
      <w:r>
        <w:rPr>
          <w:spacing w:val="-2"/>
        </w:rPr>
        <w:t>ществуют различия.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Политическая ситуация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48.</w:t>
      </w:r>
      <w:r>
        <w:tab/>
        <w:t>Президентами Филиппин в период 1996 года по средину 2003 года были Фидель В.</w:t>
      </w:r>
      <w:r>
        <w:rPr>
          <w:lang w:val="en-GB"/>
        </w:rPr>
        <w:t> </w:t>
      </w:r>
      <w:r>
        <w:t>Рамос (1992-1998 годы), Джозеф Эстрада (1998-2000 годы) и Глория Макапагал-Арройо (2001-2004 годы). Все три президента для удовлетворения потребностей бедных слоев населения, на долю которых приходилось 31-34 процента населения, осуществляли программы борьбы с нищетой.</w:t>
      </w:r>
    </w:p>
    <w:p w:rsidR="00000000" w:rsidRDefault="00000000">
      <w:pPr>
        <w:pStyle w:val="SingleTxt"/>
      </w:pPr>
      <w:r>
        <w:t>49.</w:t>
      </w:r>
      <w:r>
        <w:tab/>
        <w:t>Выборы 1998 года прошли сравнительно мирно, создав условия для сп</w:t>
      </w:r>
      <w:r>
        <w:t>о</w:t>
      </w:r>
      <w:r>
        <w:t>койной передачи власти. Эстрада должен был выполнять обязанности през</w:t>
      </w:r>
      <w:r>
        <w:t>и</w:t>
      </w:r>
      <w:r>
        <w:t>дента до 2004 года. Однако по прошествии неполных трех лет его администр</w:t>
      </w:r>
      <w:r>
        <w:t>а</w:t>
      </w:r>
      <w:r>
        <w:t>ция была отстранена от власти в результате скандала, ставшего пусковым м</w:t>
      </w:r>
      <w:r>
        <w:t>е</w:t>
      </w:r>
      <w:r>
        <w:t>ханизмом для инициирования филиппинским конгрессом судебного разбир</w:t>
      </w:r>
      <w:r>
        <w:t>а</w:t>
      </w:r>
      <w:r>
        <w:t>тельства в рамках процедуры импичмента. Из-за растущего недоверия к разб</w:t>
      </w:r>
      <w:r>
        <w:t>и</w:t>
      </w:r>
      <w:r>
        <w:t>рательству со стороны общественности оно не было доведено до конца. Ма</w:t>
      </w:r>
      <w:r>
        <w:t>с</w:t>
      </w:r>
      <w:r>
        <w:t>совые протесты, вылившиеся в пятидневную мирную революцию «Власть н</w:t>
      </w:r>
      <w:r>
        <w:t>а</w:t>
      </w:r>
      <w:r>
        <w:t>рода – II» (чаще называемую ЭДСА-II)</w:t>
      </w:r>
      <w:r>
        <w:rPr>
          <w:rStyle w:val="FootnoteReference"/>
        </w:rPr>
        <w:footnoteReference w:id="2"/>
      </w:r>
      <w:r>
        <w:t>, в конечном итоге вынудили президе</w:t>
      </w:r>
      <w:r>
        <w:t>н</w:t>
      </w:r>
      <w:r>
        <w:t>та Эстраду уйти со своего поста. После приведения к присяге в 2001 году и</w:t>
      </w:r>
      <w:r>
        <w:t>з</w:t>
      </w:r>
      <w:r>
        <w:t>бранной ранее вице-президентом Арройо, президентом Филиппин во второй раз стала же</w:t>
      </w:r>
      <w:r>
        <w:t>н</w:t>
      </w:r>
      <w:r>
        <w:t>щина.</w:t>
      </w:r>
    </w:p>
    <w:p w:rsidR="00000000" w:rsidRDefault="00000000">
      <w:pPr>
        <w:pStyle w:val="SingleTxt"/>
      </w:pPr>
      <w:r>
        <w:t>50.</w:t>
      </w:r>
      <w:r>
        <w:tab/>
        <w:t>Президент Арройо обновила состав кабинета. В отличие от своих пре</w:t>
      </w:r>
      <w:r>
        <w:t>д</w:t>
      </w:r>
      <w:r>
        <w:t>шественников она увеличила число женщин в ключевых ведомствах (бюджет, трудовые отношения и занятость, социальное обеспечение, наука и техника) и других правительственных органах (Комиссия гражданской службы, Система социального страхования, Президентская комиссия по благому управлению и Национальная комиссия по борьбе с нищетой).</w:t>
      </w:r>
    </w:p>
    <w:p w:rsidR="00000000" w:rsidRDefault="00000000">
      <w:pPr>
        <w:pStyle w:val="SingleTxt"/>
      </w:pPr>
      <w:r>
        <w:t>51.</w:t>
      </w:r>
      <w:r>
        <w:tab/>
        <w:t>Программа нынешней администрации в области борьбы с нищетой охв</w:t>
      </w:r>
      <w:r>
        <w:t>а</w:t>
      </w:r>
      <w:r>
        <w:t>тывает пять основных стратегий: 1) реформа имущественных отношений; 2) оказание услуг в области развития людских ресурсов; 3) создание условий для трудоустройства и обеспечения источников средств к существованию; 4) уч</w:t>
      </w:r>
      <w:r>
        <w:t>а</w:t>
      </w:r>
      <w:r>
        <w:t>стие основного сектора в управлении; и 5) обеспечение социальной защиты и без</w:t>
      </w:r>
      <w:r>
        <w:t>о</w:t>
      </w:r>
      <w:r>
        <w:t>пасности в рамках борьбы с насилием.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Мир и правопорядок</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52.</w:t>
      </w:r>
      <w:r>
        <w:tab/>
        <w:t>Вооруженный конфликт на Филиппинах, который имеет свои историч</w:t>
      </w:r>
      <w:r>
        <w:t>е</w:t>
      </w:r>
      <w:r>
        <w:t>ские и структурные корни, выливается в спорадические столкновения между правительственными войсками и исламистскими сепаратистскими группиро</w:t>
      </w:r>
      <w:r>
        <w:t>в</w:t>
      </w:r>
      <w:r>
        <w:t>ками на юге страны и прокоммунистически настроенными партизанами в др</w:t>
      </w:r>
      <w:r>
        <w:t>у</w:t>
      </w:r>
      <w:r>
        <w:t>гих ее частях.</w:t>
      </w:r>
      <w:r>
        <w:rPr>
          <w:rStyle w:val="FootnoteReference"/>
        </w:rPr>
        <w:footnoteReference w:id="3"/>
      </w:r>
      <w:r>
        <w:t xml:space="preserve"> Со времени прихода к власти администрации Акино в конце 1980-х годов национальное правительство проводит серию мирных перегов</w:t>
      </w:r>
      <w:r>
        <w:t>о</w:t>
      </w:r>
      <w:r>
        <w:t>ров с различными повстанческими группировками. После заключения в 1996 году мирного соглашения между правительством Рамоса и Фронтом н</w:t>
      </w:r>
      <w:r>
        <w:t>а</w:t>
      </w:r>
      <w:r>
        <w:t>ционального освобождения Моро (ФНОМ) национальное правительство пр</w:t>
      </w:r>
      <w:r>
        <w:t>о</w:t>
      </w:r>
      <w:r>
        <w:t>вело успешную работу по формированию Автономного региона мусульманск</w:t>
      </w:r>
      <w:r>
        <w:t>о</w:t>
      </w:r>
      <w:r>
        <w:t>го Минданао (АРММ), создав в нем региональные структуры управления и собственный бюджет. Создание Особой зоны мира и развития (ОЗМО) в р</w:t>
      </w:r>
      <w:r>
        <w:t>е</w:t>
      </w:r>
      <w:r>
        <w:t>зультате мирного процесса на Минданао привлекло помощь на цели развития и инвестиционные ресурсы на остров. Приоритетными задачами программ по</w:t>
      </w:r>
      <w:r>
        <w:t>д</w:t>
      </w:r>
      <w:r>
        <w:t>держки региона стали укрепление потенциала в области управления, формир</w:t>
      </w:r>
      <w:r>
        <w:t>о</w:t>
      </w:r>
      <w:r>
        <w:t>вание культуры мира и обеспечения мужчин и женщин АРММ устойчивыми источниками средств к существованию. Однако мир был недолгим.</w:t>
      </w:r>
    </w:p>
    <w:p w:rsidR="00000000" w:rsidRDefault="00000000">
      <w:pPr>
        <w:pStyle w:val="SingleTxt"/>
      </w:pPr>
      <w:r>
        <w:t>53.</w:t>
      </w:r>
      <w:r>
        <w:tab/>
        <w:t>Мирное соглашение 1996 года и проводившиеся правительством камп</w:t>
      </w:r>
      <w:r>
        <w:t>а</w:t>
      </w:r>
      <w:r>
        <w:t>нии по борьбе с преступностью на несколько лет принесли мир. Наблюдалось снижение уровня преступности с 1995  (112,8) по 1998 годы (97,8; НСКС, 2003a). Однако сепаратистский Исламский фронт освобождения Моро (ИФОМ) и Абу-Сайяф продолжали свою вооруженную борьбу, а группировка Абу-Сайяф занималась похищением людей ради получения выкупа, что весьма широко освещалось средствами массовой информации. Это привело к эскал</w:t>
      </w:r>
      <w:r>
        <w:t>а</w:t>
      </w:r>
      <w:r>
        <w:t>ции конфликта между правительством и ИФОМ в центральных провинциях Минданао, а также с группировкой Абу-Сайяф и другими незаконными гру</w:t>
      </w:r>
      <w:r>
        <w:t>п</w:t>
      </w:r>
      <w:r>
        <w:t>пировками в АРММ и других частях Минданао. Между правительством А</w:t>
      </w:r>
      <w:r>
        <w:t>р</w:t>
      </w:r>
      <w:r>
        <w:t>ройо и ИФОМ было достигнуто мирное соглашение. Однако в центральном Минданао, где находятся силы ИФОМ численностью 12 500 человек, спорад</w:t>
      </w:r>
      <w:r>
        <w:t>и</w:t>
      </w:r>
      <w:r>
        <w:t>ческие вспышки насилия по-прежнему не ослабевали. Ситуация ухудшилась в феврале 2003 года, когда филиппинские военные, обвинив ИФОМ в укрыв</w:t>
      </w:r>
      <w:r>
        <w:t>а</w:t>
      </w:r>
      <w:r>
        <w:t>тельстве членов банды «Пентагон», занимающейся похищением людей, пре</w:t>
      </w:r>
      <w:r>
        <w:t>д</w:t>
      </w:r>
      <w:r>
        <w:t>приняли новое наступление.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Воздействие вооруженного конфликта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54.</w:t>
      </w:r>
      <w:r>
        <w:tab/>
        <w:t>Столкновения военных с ИФОМ и Абу-Сайяфом приносят лишения гра</w:t>
      </w:r>
      <w:r>
        <w:t>ж</w:t>
      </w:r>
      <w:r>
        <w:t>данскому населению, особенно женщинам и детям, которые не в состоянии з</w:t>
      </w:r>
      <w:r>
        <w:t>а</w:t>
      </w:r>
      <w:r>
        <w:t>щитить себя. Конфликт на Минданао привел к расширению масштабов пер</w:t>
      </w:r>
      <w:r>
        <w:t>е</w:t>
      </w:r>
      <w:r>
        <w:t>мещения гражданского населения с 7 224 человек в 1998 году до 304 908 (около 51 000 семей) в 1999 году (Ferrer, 2003). По данным Всемирного банка, за 2000 год боевыми действиями было охвачено в общей сложности 456 барангаев (почти 5 процентов общего числа барангаев на Минданао) и б</w:t>
      </w:r>
      <w:r>
        <w:t>о</w:t>
      </w:r>
      <w:r>
        <w:t>лее одного миллиона человек. Из них полмиллиона, в том числе большое кол</w:t>
      </w:r>
      <w:r>
        <w:t>и</w:t>
      </w:r>
      <w:r>
        <w:t>чество женщин и детей, были охвачены процессом перемещения. Впоследс</w:t>
      </w:r>
      <w:r>
        <w:t>т</w:t>
      </w:r>
      <w:r>
        <w:t>вии количество перемещенных лиц сократилось по крайней мере до 135 000 человек в 2001 году и примерно до 100 000 в 2002. Однако многие не желают возвр</w:t>
      </w:r>
      <w:r>
        <w:t>а</w:t>
      </w:r>
      <w:r>
        <w:t>щаться в свои общины, поскольку мир по-прежнему неустойчив.</w:t>
      </w:r>
    </w:p>
    <w:p w:rsidR="00000000" w:rsidRDefault="00000000">
      <w:pPr>
        <w:pStyle w:val="SingleTxt"/>
      </w:pPr>
      <w:r>
        <w:t>55.</w:t>
      </w:r>
      <w:r>
        <w:tab/>
        <w:t>Отсутствие уверенности в устойчивости мира и правопорядка во многих районах ведет к длительной и затяжной эвакуации населения. Нередко семьи возвращаются в свои дома только для того, чтобы вновь покинуть их из-за н</w:t>
      </w:r>
      <w:r>
        <w:t>о</w:t>
      </w:r>
      <w:r>
        <w:t>вых столкновений между правительственными войсками и ИФОМ. Разрушение домов и отсутствие источников средств к существованию также вынуждают людей оставаться в созданных для беженцев центрах с их многочисленными проблемами, включая недостаточное продовольственное снабжение, отсутс</w:t>
      </w:r>
      <w:r>
        <w:t>т</w:t>
      </w:r>
      <w:r>
        <w:t>вие благоустроенного жилья и систем медицинского обслуживания и санит</w:t>
      </w:r>
      <w:r>
        <w:t>а</w:t>
      </w:r>
      <w:r>
        <w:t>рии, а также организованной работы с детьми и взрослыми.</w:t>
      </w:r>
      <w:r>
        <w:rPr>
          <w:rStyle w:val="FootnoteReference"/>
        </w:rPr>
        <w:footnoteReference w:id="4"/>
      </w:r>
    </w:p>
    <w:p w:rsidR="00000000" w:rsidRDefault="00000000">
      <w:pPr>
        <w:pStyle w:val="SingleTxt"/>
        <w:rPr>
          <w:spacing w:val="-2"/>
        </w:rPr>
      </w:pPr>
      <w:r>
        <w:t>56.</w:t>
      </w:r>
      <w:r>
        <w:tab/>
        <w:t>Женщины</w:t>
      </w:r>
      <w:r>
        <w:rPr>
          <w:spacing w:val="-2"/>
        </w:rPr>
        <w:t>, которые оказались затронуты войной с терроризмом, не в состо</w:t>
      </w:r>
      <w:r>
        <w:rPr>
          <w:spacing w:val="-2"/>
        </w:rPr>
        <w:t>я</w:t>
      </w:r>
      <w:r>
        <w:rPr>
          <w:spacing w:val="-2"/>
        </w:rPr>
        <w:t>нии выразить свои озабоченности, так как заняты борьбой с лишениями, которые приносит эта война, или недостаточно представлены на различных форумах или в дискуссионных группах. Кроме того, гендерный аспект конфликта в лучшем случае редко затрагивается в ходе мирных переговоров или учитывается в усилиях по уст</w:t>
      </w:r>
      <w:r>
        <w:rPr>
          <w:spacing w:val="-2"/>
        </w:rPr>
        <w:t>а</w:t>
      </w:r>
      <w:r>
        <w:rPr>
          <w:spacing w:val="-2"/>
        </w:rPr>
        <w:t>новл</w:t>
      </w:r>
      <w:r>
        <w:rPr>
          <w:spacing w:val="-2"/>
        </w:rPr>
        <w:t>е</w:t>
      </w:r>
      <w:r>
        <w:rPr>
          <w:spacing w:val="-2"/>
        </w:rPr>
        <w:t>нию мира и развитию.</w:t>
      </w:r>
    </w:p>
    <w:p w:rsidR="00000000" w:rsidRDefault="00000000">
      <w:pPr>
        <w:pStyle w:val="SingleTxt"/>
        <w:rPr>
          <w:spacing w:val="-2"/>
        </w:rPr>
      </w:pPr>
      <w:r>
        <w:rPr>
          <w:spacing w:val="-2"/>
        </w:rPr>
        <w:t>57.</w:t>
      </w:r>
      <w:r>
        <w:rPr>
          <w:spacing w:val="-2"/>
        </w:rPr>
        <w:tab/>
        <w:t>Через десять лет после согласования условий мира между правительством и Коммунистической партией Филиппин – Новой Народной армией (КПФ-ННА) ра</w:t>
      </w:r>
      <w:r>
        <w:rPr>
          <w:spacing w:val="-2"/>
        </w:rPr>
        <w:t>с</w:t>
      </w:r>
      <w:r>
        <w:rPr>
          <w:spacing w:val="-2"/>
        </w:rPr>
        <w:t>кольнические прокоммунистические вооруженные группы начали проявлять акти</w:t>
      </w:r>
      <w:r>
        <w:rPr>
          <w:spacing w:val="-2"/>
        </w:rPr>
        <w:t>в</w:t>
      </w:r>
      <w:r>
        <w:rPr>
          <w:spacing w:val="-2"/>
        </w:rPr>
        <w:t>ность во многих районах. Росла численность вооруженных прокоммунистических групп: приблизительно с 7 670 человек в 1994 году (что, однако, ниже 25 000 в 1986 году) до 10 238 – в 2001 году. В результате столкновений между повстанцами и военными имели место жертвы среди мирного населения: примерно 63 человека в 1994 году, 191 – в 2001 и 84 – за первую половину 2002 года (Ferrer 2003).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Уровень преступности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58.</w:t>
      </w:r>
      <w:r>
        <w:rPr>
          <w:spacing w:val="-2"/>
        </w:rPr>
        <w:tab/>
        <w:t>Как представляется, общая ситуация в области безопасности и правопорядка ухудшилась в 1999 году, когда уровень преступности (подскочивший в результате «тяжких преступлений, не подлежащих статистическому учету</w:t>
      </w:r>
      <w:r>
        <w:rPr>
          <w:rStyle w:val="FootnoteReference"/>
          <w:spacing w:val="-2"/>
        </w:rPr>
        <w:footnoteReference w:id="5"/>
      </w:r>
      <w:r>
        <w:rPr>
          <w:spacing w:val="-2"/>
        </w:rPr>
        <w:t>») поднялся до 110,5, прежде чем снизиться до 104,7 в 2000 году и 98,8 в 2001 году (НСКС, 2003a). Рост преступности в период с 1999 по 2001 годы можно объяснить резким увеличением количества инцидентов, связанных с наркотиками и повлекших арест 20 110 человек в 1999 году и 18 367 – в 2001 году, в то время как в 1998 году было арестовано 2 722 человек. За пределами Минданао практика похищения людей ради получения выкупа (что относится к «тяжким преступлениям, подлежащим статистическому учету</w:t>
      </w:r>
      <w:r>
        <w:rPr>
          <w:rStyle w:val="FootnoteReference"/>
          <w:spacing w:val="-2"/>
        </w:rPr>
        <w:footnoteReference w:id="6"/>
      </w:r>
      <w:r>
        <w:rPr>
          <w:spacing w:val="-2"/>
        </w:rPr>
        <w:t>»), по всей видимости, идет на убыль.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Военные столкновения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59.</w:t>
      </w:r>
      <w:r>
        <w:rPr>
          <w:spacing w:val="-2"/>
        </w:rPr>
        <w:tab/>
        <w:t>Попытки части филиппинских военных захватить власть, которые имели место несколько раз в конце 1980-х – начале 1990-х годов, прекратились. Иными словами, их не было до 26-27 июля 2003 года, когда группа младших офицеров и военносл</w:t>
      </w:r>
      <w:r>
        <w:rPr>
          <w:spacing w:val="-2"/>
        </w:rPr>
        <w:t>у</w:t>
      </w:r>
      <w:r>
        <w:rPr>
          <w:spacing w:val="-2"/>
        </w:rPr>
        <w:t>жащих срочной службы подняла мятеж. Предполагаемые и неудавшиеся перевор</w:t>
      </w:r>
      <w:r>
        <w:rPr>
          <w:spacing w:val="-2"/>
        </w:rPr>
        <w:t>о</w:t>
      </w:r>
      <w:r>
        <w:rPr>
          <w:spacing w:val="-2"/>
        </w:rPr>
        <w:t>ты, продолжающиеся столкновения между военными и повстанцами на Минданао, террористические взрывы на Минданао и похищение людей ради получения вык</w:t>
      </w:r>
      <w:r>
        <w:rPr>
          <w:spacing w:val="-2"/>
        </w:rPr>
        <w:t>у</w:t>
      </w:r>
      <w:r>
        <w:rPr>
          <w:spacing w:val="-2"/>
        </w:rPr>
        <w:t>па, организуемое группами изменников, подорвали веру инвесторов и туристов в экономическую и политическую стабильность, поставив под сомнение попытки правительственных чиновников, отвечающих за экономику, преодолеть последствия финансового и экономического кризиса, поразившего страну в середине 1997 года. Кроме того, проблемы, связанные с обеспечением безопасности и правопорядка, з</w:t>
      </w:r>
      <w:r>
        <w:rPr>
          <w:spacing w:val="-2"/>
        </w:rPr>
        <w:t>а</w:t>
      </w:r>
      <w:r>
        <w:rPr>
          <w:spacing w:val="-2"/>
        </w:rPr>
        <w:t>ставили правительство увеличить расходы на военные цели, что привело к истощ</w:t>
      </w:r>
      <w:r>
        <w:rPr>
          <w:spacing w:val="-2"/>
        </w:rPr>
        <w:t>е</w:t>
      </w:r>
      <w:r>
        <w:rPr>
          <w:spacing w:val="-2"/>
        </w:rPr>
        <w:t>нию и без того скудных ресурсов правительства и неблагоприятно сказалось на ок</w:t>
      </w:r>
      <w:r>
        <w:rPr>
          <w:spacing w:val="-2"/>
        </w:rPr>
        <w:t>а</w:t>
      </w:r>
      <w:r>
        <w:rPr>
          <w:spacing w:val="-2"/>
        </w:rPr>
        <w:t>зании жизненно важных услуг бедным слоям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Экономика и нищета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60.</w:t>
      </w:r>
      <w:r>
        <w:rPr>
          <w:spacing w:val="-2"/>
        </w:rPr>
        <w:tab/>
        <w:t>Охватываемый настоящим обзором период правления трех президентов хара</w:t>
      </w:r>
      <w:r>
        <w:rPr>
          <w:spacing w:val="-2"/>
        </w:rPr>
        <w:t>к</w:t>
      </w:r>
      <w:r>
        <w:rPr>
          <w:spacing w:val="-2"/>
        </w:rPr>
        <w:t>теризовался усилиями, направленными на обеспечение экономической либерализ</w:t>
      </w:r>
      <w:r>
        <w:rPr>
          <w:spacing w:val="-2"/>
        </w:rPr>
        <w:t>а</w:t>
      </w:r>
      <w:r>
        <w:rPr>
          <w:spacing w:val="-2"/>
        </w:rPr>
        <w:t>ции, макроэкономической стабильности, облегчение бремени или сокращение ма</w:t>
      </w:r>
      <w:r>
        <w:rPr>
          <w:spacing w:val="-2"/>
        </w:rPr>
        <w:t>с</w:t>
      </w:r>
      <w:r>
        <w:rPr>
          <w:spacing w:val="-2"/>
        </w:rPr>
        <w:t>штабов нищеты и вовлечение населения в сферу управления. При президенте Рам</w:t>
      </w:r>
      <w:r>
        <w:rPr>
          <w:spacing w:val="-2"/>
        </w:rPr>
        <w:t>о</w:t>
      </w:r>
      <w:r>
        <w:rPr>
          <w:spacing w:val="-2"/>
        </w:rPr>
        <w:t>се, в частности, равное внимание уделялось расширению прав и возможностей н</w:t>
      </w:r>
      <w:r>
        <w:rPr>
          <w:spacing w:val="-2"/>
        </w:rPr>
        <w:t>а</w:t>
      </w:r>
      <w:r>
        <w:rPr>
          <w:spacing w:val="-2"/>
        </w:rPr>
        <w:t>селения и обеспечению конкурентоспособности страны на мировом уровне в рамках ориентированной на рынок программы экономической либерализации. После 1998 года администрации Эстрады и Арройо занимались вопросами модернизации секторов сельского хозяйства и рыболовства, комплексного развития людских р</w:t>
      </w:r>
      <w:r>
        <w:rPr>
          <w:spacing w:val="-2"/>
        </w:rPr>
        <w:t>е</w:t>
      </w:r>
      <w:r>
        <w:rPr>
          <w:spacing w:val="-2"/>
        </w:rPr>
        <w:t>сурсов и борьбы с нищетой, а также благого управления и обеспечения законности.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Приверженность торговым аспектам деятельности многосторонних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rPr>
          <w:spacing w:val="-2"/>
        </w:rPr>
        <w:t>61.</w:t>
      </w:r>
      <w:r>
        <w:rPr>
          <w:spacing w:val="-2"/>
        </w:rPr>
        <w:tab/>
        <w:t>Филиппины являются членом таких многосторонних торговых организаций, как Ассоциация стран Юго-Восточной Азии (АСЕАН), Зона свободной торговли АСЕАН (АФТА), Азиатско-Тихоокеанское экономическое сотрудничество (АТЭС) и Всемирная торговая организация (ВТО), каждая из которых выступает за сокращ</w:t>
      </w:r>
      <w:r>
        <w:rPr>
          <w:spacing w:val="-2"/>
        </w:rPr>
        <w:t>е</w:t>
      </w:r>
      <w:r>
        <w:rPr>
          <w:spacing w:val="-2"/>
        </w:rPr>
        <w:t>ние торговых и неторговых барьеров между странами-членами. Выполнение обяз</w:t>
      </w:r>
      <w:r>
        <w:rPr>
          <w:spacing w:val="-2"/>
        </w:rPr>
        <w:t>а</w:t>
      </w:r>
      <w:r>
        <w:rPr>
          <w:spacing w:val="-2"/>
        </w:rPr>
        <w:t>тельств в рамках ВТО было связано с дерегулированием экономики и либерализац</w:t>
      </w:r>
      <w:r>
        <w:rPr>
          <w:spacing w:val="-2"/>
        </w:rPr>
        <w:t>и</w:t>
      </w:r>
      <w:r>
        <w:rPr>
          <w:spacing w:val="-2"/>
        </w:rPr>
        <w:t>ей торговли в большей степени, чем в какой-либо из предшествовавших периодов. Это содействовало активному экономическому росту, повышению показателей зан</w:t>
      </w:r>
      <w:r>
        <w:rPr>
          <w:spacing w:val="-2"/>
        </w:rPr>
        <w:t>я</w:t>
      </w:r>
      <w:r>
        <w:rPr>
          <w:spacing w:val="-2"/>
        </w:rPr>
        <w:t>тости и незначительному сокращению масштабов нищеты в середине 1990-х годов. Однако дерегулирование финансового рынка вызвало неустойчивость текущих сч</w:t>
      </w:r>
      <w:r>
        <w:rPr>
          <w:spacing w:val="-2"/>
        </w:rPr>
        <w:t>е</w:t>
      </w:r>
      <w:r>
        <w:rPr>
          <w:spacing w:val="-2"/>
        </w:rPr>
        <w:t>тов национального платежного баланса, что сделало Филиппины уязвимыми перед спекулятивным натиском на их национальную валюту, что имело место в июле 1997 года. Из-за слабости макроэкономической базы страны финансовый кризис вылился в экономический кризис (Illo 1999, Lim 2000). Кризис вызвал резкое пад</w:t>
      </w:r>
      <w:r>
        <w:rPr>
          <w:spacing w:val="-2"/>
        </w:rPr>
        <w:t>е</w:t>
      </w:r>
      <w:r>
        <w:rPr>
          <w:spacing w:val="-2"/>
        </w:rPr>
        <w:t>ние стоимости песо по отношению к доллару США с 26,38 в 1997 году до 51,40 в 2001 году, 53,10 в 2002 году и порядка 55,57 к концу 2003 года (BSP 2004).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Валовой внутренний продукт</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62.</w:t>
      </w:r>
      <w:r>
        <w:rPr>
          <w:spacing w:val="-2"/>
        </w:rPr>
        <w:tab/>
        <w:t>В начале рассматриваемого периода экономика Филиппин находилась на своей высшей точке, когда впервые за десять лет ее валовой внутренний продукт (ВВП) увеличился на 5,8 процента, (НСУ, 2002). В 1998 году на пике финансового кризиса ВВП сократился на 0,6 процента. В дальнейшем, в период 1999-2001 годов, он рос более чем на 3,4 процента в год. Согласно оценкам, в 2002-2003 годах ВВП увел</w:t>
      </w:r>
      <w:r>
        <w:rPr>
          <w:spacing w:val="-2"/>
        </w:rPr>
        <w:t>и</w:t>
      </w:r>
      <w:r>
        <w:rPr>
          <w:spacing w:val="-2"/>
        </w:rPr>
        <w:t>чился на 4,5 процента (НСКС, 2003b).</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Задолженность и дефицит</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63.</w:t>
      </w:r>
      <w:r>
        <w:tab/>
        <w:t xml:space="preserve">Наблюдался постоянный рост внешней задолженности страны с 30,6 млрд. долл. США в 1990 году до 53,9 млрд. долл. США к концу 2002 года. </w:t>
      </w:r>
      <w:r>
        <w:rPr>
          <w:caps/>
        </w:rPr>
        <w:t>н</w:t>
      </w:r>
      <w:r>
        <w:t>ачиная по крайней мере с 1998 года, внешний долг Филиппин составляет как минимум 60 процентов ВВП этой страны и более чем вдвое превышает ее эк</w:t>
      </w:r>
      <w:r>
        <w:t>с</w:t>
      </w:r>
      <w:r>
        <w:t>порт (АзБР, 2003). Долговое бремя по-прежнему затрудняет осуществление правительственных программ роста и борьбы с нищетой, поскольку выплата процентов по обслуживанию долга требует все большей доли национального бюджета.</w:t>
      </w:r>
    </w:p>
    <w:p w:rsidR="00000000" w:rsidRDefault="00000000">
      <w:pPr>
        <w:pStyle w:val="SingleTxt"/>
      </w:pPr>
      <w:r>
        <w:t>64.</w:t>
      </w:r>
      <w:r>
        <w:tab/>
        <w:t>Начиная с 2000 года, увеличиваются расходы на обслуживание долга, так что к концу 2002 года они составили 45 процентов бюджета 2000 года. Одн</w:t>
      </w:r>
      <w:r>
        <w:t>о</w:t>
      </w:r>
      <w:r>
        <w:t>временно бюджет экономической сферы сократился на 6 процентов, а социал</w:t>
      </w:r>
      <w:r>
        <w:t>ь</w:t>
      </w:r>
      <w:r>
        <w:t>ной увеличился на 9 процентов. Только в отношении оборонного бюджета б</w:t>
      </w:r>
      <w:r>
        <w:t>ы</w:t>
      </w:r>
      <w:r>
        <w:t>ло отмечено двузначное изменение по сравнению с показателями 2000 года. Интересно отметить, что в течение ряда лет средства, которые шли на обсл</w:t>
      </w:r>
      <w:r>
        <w:t>у</w:t>
      </w:r>
      <w:r>
        <w:t>живание долга, превышали объем национального дефицита. Относительное сокращение объема социальных услуг может повлиять на объем работы, ос</w:t>
      </w:r>
      <w:r>
        <w:t>у</w:t>
      </w:r>
      <w:r>
        <w:t>ществляемой женщинами в неофициальной сфере экономики, связанной с ух</w:t>
      </w:r>
      <w:r>
        <w:t>о</w:t>
      </w:r>
      <w:r>
        <w:t>дом, поскольку они стремятся предоставлять услуги, которые должно было бы оказывать правительство (например, медицинское обслуживание и обеспечение ухода в дневное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Масштабы нищеты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65.</w:t>
      </w:r>
      <w:r>
        <w:tab/>
        <w:t>Низкая эффективность экономики и продолжающиеся политические кр</w:t>
      </w:r>
      <w:r>
        <w:t>и</w:t>
      </w:r>
      <w:r>
        <w:t>зисы замедляют прогресс, который отмечался в течение короткого времени в 1996 и 1997 годах, в том числе сокращение масштабов бедности по уровню д</w:t>
      </w:r>
      <w:r>
        <w:t>о</w:t>
      </w:r>
      <w:r>
        <w:t>ходов среди филиппинских семей в период</w:t>
      </w:r>
      <w:r>
        <w:rPr>
          <w:spacing w:val="-2"/>
        </w:rPr>
        <w:t xml:space="preserve"> 1994-1997 годов (с 35,5 процента до 31,8 процентов; БСТЗ, 2002 год).</w:t>
      </w:r>
      <w:r>
        <w:rPr>
          <w:rStyle w:val="FootnoteReference"/>
          <w:spacing w:val="-2"/>
        </w:rPr>
        <w:footnoteReference w:id="7"/>
      </w:r>
      <w:r>
        <w:rPr>
          <w:spacing w:val="-2"/>
        </w:rPr>
        <w:t xml:space="preserve"> В 2000 году масштабы нищеты увеличились до 34,2 процента (НСУ, 2003a). </w:t>
      </w:r>
      <w:r>
        <w:t>Это означает, что по сравнению с уровнем 1997 года в 2000 году количество бедных семей возросло на 704 000, достигнув в целом 5,2 млн. Критики правительства утверждают, что на самом деле проблема н</w:t>
      </w:r>
      <w:r>
        <w:t>и</w:t>
      </w:r>
      <w:r>
        <w:t xml:space="preserve">щеты стоит еще острее. Согласно результатам опросов общественного мнения </w:t>
      </w:r>
      <w:r>
        <w:rPr>
          <w:spacing w:val="-2"/>
        </w:rPr>
        <w:t>относительно самостоятельной оценки показателей нищеты, соответствующая ци</w:t>
      </w:r>
      <w:r>
        <w:rPr>
          <w:spacing w:val="-2"/>
        </w:rPr>
        <w:t>ф</w:t>
      </w:r>
      <w:r>
        <w:rPr>
          <w:spacing w:val="-2"/>
        </w:rPr>
        <w:t>ра на 16 процентных пунктов превышает официальную. Если в качестве показателей использовать не только уровень доходов, то в соответствии с индексом нищеты н</w:t>
      </w:r>
      <w:r>
        <w:rPr>
          <w:spacing w:val="-2"/>
        </w:rPr>
        <w:t>а</w:t>
      </w:r>
      <w:r>
        <w:rPr>
          <w:spacing w:val="-2"/>
        </w:rPr>
        <w:t>селения (</w:t>
      </w:r>
      <w:r>
        <w:t>ИНС), в период 1998-2001 годов страна располагалась в первой трети (менее бедная) списка развивающихся стран (доклады ПРООН о развитии ч</w:t>
      </w:r>
      <w:r>
        <w:t>е</w:t>
      </w:r>
      <w:r>
        <w:t>лов</w:t>
      </w:r>
      <w:r>
        <w:t>е</w:t>
      </w:r>
      <w:r>
        <w:t>ка за различные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Нищета в сельской местности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66.</w:t>
      </w:r>
      <w:r>
        <w:tab/>
        <w:t>Ситуация</w:t>
      </w:r>
      <w:r>
        <w:rPr>
          <w:spacing w:val="-2"/>
        </w:rPr>
        <w:t xml:space="preserve"> в сельских районах по-прежнему является более сложной, чем в г</w:t>
      </w:r>
      <w:r>
        <w:rPr>
          <w:spacing w:val="-2"/>
        </w:rPr>
        <w:t>о</w:t>
      </w:r>
      <w:r>
        <w:rPr>
          <w:spacing w:val="-2"/>
        </w:rPr>
        <w:t>родах. Сокращение масштабов нищеты в период 1994-1997 годов (с 47,0 процентов до 44,4 процента) было полностью сведено на нет, когда в 2000 году показатель н</w:t>
      </w:r>
      <w:r>
        <w:rPr>
          <w:spacing w:val="-2"/>
        </w:rPr>
        <w:t>и</w:t>
      </w:r>
      <w:r>
        <w:rPr>
          <w:spacing w:val="-2"/>
        </w:rPr>
        <w:t>щеты в сельской местности поднялся до 47,4 процента (НСУ, 2003a). Наивысшие показатели нищеты отмечаются в Автономном регионе мусульманского Минданао, где в 1997 году он составлял 57,3 процента, а в 2000 – 68,8 процента, что объясняе</w:t>
      </w:r>
      <w:r>
        <w:rPr>
          <w:spacing w:val="-2"/>
        </w:rPr>
        <w:t>т</w:t>
      </w:r>
      <w:r>
        <w:rPr>
          <w:spacing w:val="-2"/>
        </w:rPr>
        <w:t>ся хронической проблемой обеспечения безопасности и правопорядка, которая по</w:t>
      </w:r>
      <w:r>
        <w:rPr>
          <w:spacing w:val="-2"/>
        </w:rPr>
        <w:t>д</w:t>
      </w:r>
      <w:r>
        <w:rPr>
          <w:spacing w:val="-2"/>
        </w:rPr>
        <w:t>рывает экономику региона. Нищета в сельских районах по-прежнему является тем важнейшим фактором, который гонит людей в города, создавая проблемы с жильем, здравоохранением, санитарией, а также с трудоустройством; или в другие страны в качестве труд</w:t>
      </w:r>
      <w:r>
        <w:rPr>
          <w:spacing w:val="-2"/>
        </w:rPr>
        <w:t>я</w:t>
      </w:r>
      <w:r>
        <w:rPr>
          <w:spacing w:val="-2"/>
        </w:rPr>
        <w:t>щихся-мигрантов.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Распределение доходов</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rPr>
          <w:spacing w:val="-2"/>
        </w:rPr>
        <w:t>67.</w:t>
      </w:r>
      <w:r>
        <w:rPr>
          <w:spacing w:val="-2"/>
        </w:rPr>
        <w:tab/>
        <w:t>С 1980-х годов ситуация с распределением доходов ухудшается. По данным НСУ, коэффициент Джини в 1994 году составлял 0,45; в 1997 году он снизился до 0,486, а в 2000 году составил 0,482 (цитируется по Reyes 2003).</w:t>
      </w:r>
      <w:r>
        <w:rPr>
          <w:rStyle w:val="FootnoteReference"/>
          <w:spacing w:val="-2"/>
        </w:rPr>
        <w:footnoteReference w:id="8"/>
      </w:r>
      <w:r>
        <w:rPr>
          <w:spacing w:val="-2"/>
        </w:rPr>
        <w:t xml:space="preserve"> В течение рассма</w:t>
      </w:r>
      <w:r>
        <w:rPr>
          <w:spacing w:val="-2"/>
        </w:rPr>
        <w:t>т</w:t>
      </w:r>
      <w:r>
        <w:rPr>
          <w:spacing w:val="-2"/>
        </w:rPr>
        <w:t>риваемого периода доля наиболее бедных 30 процентов населения в доходах соста</w:t>
      </w:r>
      <w:r>
        <w:rPr>
          <w:spacing w:val="-2"/>
        </w:rPr>
        <w:t>в</w:t>
      </w:r>
      <w:r>
        <w:rPr>
          <w:spacing w:val="-2"/>
        </w:rPr>
        <w:t>ляла всего порядка 8 процентов, в то время как наиболее богатые 10 процентов н</w:t>
      </w:r>
      <w:r>
        <w:rPr>
          <w:spacing w:val="-2"/>
        </w:rPr>
        <w:t>а</w:t>
      </w:r>
      <w:r>
        <w:rPr>
          <w:spacing w:val="-2"/>
        </w:rPr>
        <w:t>селения имели почти две пятых общего объема доходов (39,3 процента в 1997 году и 38,9 процента в 2000 году; НСУ, 2002). Улучшение ситуации с обеспечением раве</w:t>
      </w:r>
      <w:r>
        <w:rPr>
          <w:spacing w:val="-2"/>
        </w:rPr>
        <w:t>н</w:t>
      </w:r>
      <w:r>
        <w:rPr>
          <w:spacing w:val="-2"/>
        </w:rPr>
        <w:t>ства в распределении доходов, которое могли бы дать правительственные програ</w:t>
      </w:r>
      <w:r>
        <w:rPr>
          <w:spacing w:val="-2"/>
        </w:rPr>
        <w:t>м</w:t>
      </w:r>
      <w:r>
        <w:rPr>
          <w:spacing w:val="-2"/>
        </w:rPr>
        <w:t>мы земельной рефо</w:t>
      </w:r>
      <w:r>
        <w:rPr>
          <w:spacing w:val="-2"/>
        </w:rPr>
        <w:t>р</w:t>
      </w:r>
      <w:r>
        <w:rPr>
          <w:spacing w:val="-2"/>
        </w:rPr>
        <w:t>мы и сокращения масштабов нищеты, пока не ощущается.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Филиппинские трудящиеся, работающие за рубежом</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68.</w:t>
      </w:r>
      <w:r>
        <w:tab/>
        <w:t>Как отмечалось выше, финансовый и экономический кризис конца 1990-х годов и последующие годы медленного роста способствовали расширению масштабов существующей в стране нищеты. Благодаря долларовым переводам филиппинских трудящихся, работающих за рубежом, удалось избежать самых тяжких последствий кризиса для филиппинских домашних хозяйств. В 1994 году правительство направило для работы по контрактам в страны Бли</w:t>
      </w:r>
      <w:r>
        <w:t>ж</w:t>
      </w:r>
      <w:r>
        <w:t>него Востока и Европы более полумиллиона трудящихся (БСТЗ, 2002). В дал</w:t>
      </w:r>
      <w:r>
        <w:t>ь</w:t>
      </w:r>
      <w:r>
        <w:t>нейшем правительство направило на работу еще порядка 218 200 человек, 59 процентов которых составляют женщины (POEA, цитируется по Alcid 2002:108). Они составляют часть работающих по контракту за рубежом труд</w:t>
      </w:r>
      <w:r>
        <w:t>я</w:t>
      </w:r>
      <w:r>
        <w:t>щихся, ежегодно направляемых правительством. Численность этой категории трудящихся увеличилась с 795 000 человек в 1995 году до 1,01 млн. – в 1997 году, снизилась до 0,9 млн. в 1998 в результате кризиса и вновь увелич</w:t>
      </w:r>
      <w:r>
        <w:t>и</w:t>
      </w:r>
      <w:r>
        <w:t>лась в 2002 году, достигнув 1,06 млн. человек (НСУ, 2003b). В отличие от 1996 года, когда женщины составляли всего 44 процента всех работающих по контракту за рубежом трудящихся, после кризиса на их долю приходится 46-49 процентов. Соответственно, денежные переводы работающих за рубежом трудящихся возросли с 3,9 млрд. долл. США в 1995 году до 5,7 долл. США в 1997 году, резко сократились до 4,9 млрд. долл. США в 1998 году, однако в дальнейшем отмечался их рост: до 6.8 млрд. долл. США в 1999 году, и небол</w:t>
      </w:r>
      <w:r>
        <w:t>ь</w:t>
      </w:r>
      <w:r>
        <w:t>шое сокращение до 6,05 млрд. долл. США в 2000 году (БСТЗ, 2002). В течение рассматриваемого периода эти денежные переводы составляли более 5 процентов ВВП, поднявшись с 6,2 процента валового национального дохода в 1997 году до 8,1 процента в 2000 году (БСТЗ, 2002 год, и Всемирный банк, 2003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Воздействие миграции рабочей силы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69.</w:t>
      </w:r>
      <w:r>
        <w:tab/>
        <w:t>Миграция рабочей силы, содействуя развитию экономики Филиппин, о</w:t>
      </w:r>
      <w:r>
        <w:t>д</w:t>
      </w:r>
      <w:r>
        <w:t>новременно возлагает бремя на общество. В невиданных прежде масштабах она разрушает определенные ценности филиппинцев, такие, как приоритетная значимость единства семьи и роль родителей в формировании характера своих детей. В странах назначения мигранты постоянно сталкиваются с различными проблемами: от невыплаты заработной платы и нарушения условий контрактов до незаконного задержания, грубого физического обращения и сексуального надругательства, что ведет к психологическому и эмоциональному стрессу, в</w:t>
      </w:r>
      <w:r>
        <w:t>ы</w:t>
      </w:r>
      <w:r>
        <w:t>званному разлукой с семьей. Они также уязвимы в политическом смысле, что, порой, приводит к их высылке, о чем свидетельствует опыт филиппинских м</w:t>
      </w:r>
      <w:r>
        <w:t>и</w:t>
      </w:r>
      <w:r>
        <w:t>грантов в Сабахе, Малайзия, в 2002 году.</w:t>
      </w:r>
    </w:p>
    <w:p w:rsidR="00000000" w:rsidRDefault="00000000">
      <w:pPr>
        <w:pStyle w:val="SingleTxt"/>
      </w:pPr>
      <w:r>
        <w:t>70.</w:t>
      </w:r>
      <w:r>
        <w:tab/>
        <w:t>Правительство направляет немалые усилия и ресурсы на решение этих проблем. Оно создает центры социального обеспечения, проводит двусторо</w:t>
      </w:r>
      <w:r>
        <w:t>н</w:t>
      </w:r>
      <w:r>
        <w:t>ние переговоры с принимающими странами и лоббирует реформу политики и программы защиты трудящихся-мигрантов на международных форумах. Пре</w:t>
      </w:r>
      <w:r>
        <w:t>д</w:t>
      </w:r>
      <w:r>
        <w:t>ставители Филиппин активно участвуют в международных и региональных дискуссиях (например, в Организации Объединенных Наций, АСЕАН, АТЭС), касающихся вопросов миграции и торговли людьми. Они также выступают в поддержку программ и проектов повышения уровня осведомленности в ге</w:t>
      </w:r>
      <w:r>
        <w:t>н</w:t>
      </w:r>
      <w:r>
        <w:t>дерных вопросах и вопросах развития путем подготовки кадров и укрепления поте</w:t>
      </w:r>
      <w:r>
        <w:t>н</w:t>
      </w:r>
      <w:r>
        <w:t>циала соответствующего персонала, работающего в АСЕАН и АТЭС.</w:t>
      </w:r>
    </w:p>
    <w:p w:rsidR="00000000" w:rsidRDefault="00000000">
      <w:pPr>
        <w:pStyle w:val="SingleTxt"/>
      </w:pPr>
      <w:r>
        <w:t>71.</w:t>
      </w:r>
      <w:r>
        <w:tab/>
        <w:t>Миграция рабочей силы по-прежнему является привлекательным вариа</w:t>
      </w:r>
      <w:r>
        <w:t>н</w:t>
      </w:r>
      <w:r>
        <w:t>том для многих трудящихся, поскольку в течение рассматриваемого периода положение в области занятости ухудшилось. Только в течение 1999-2000 годов показатель участия рабочей силы снизился с 66,4 процента до 64,9 процента в связи с тем, что сложилось представление об отсутствии возможностей в о</w:t>
      </w:r>
      <w:r>
        <w:t>т</w:t>
      </w:r>
      <w:r>
        <w:t>ношении трудоус</w:t>
      </w:r>
      <w:r>
        <w:t>т</w:t>
      </w:r>
      <w:r>
        <w:t>ройства, что расхолаживает людей в поисках работы.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Занятость в секторах сельского хозяйства, промышленности и услуг</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72.</w:t>
      </w:r>
      <w:r>
        <w:tab/>
        <w:t>В период 1996-2000 годов в сельском хозяйстве было потеряно порядка одного миллиона рабочих мест, хотя в 2001 году это падение было компенс</w:t>
      </w:r>
      <w:r>
        <w:t>и</w:t>
      </w:r>
      <w:r>
        <w:t>ровано на 80 процентов (НСУ, 2002). Несмотря на подъем, который был отм</w:t>
      </w:r>
      <w:r>
        <w:t>е</w:t>
      </w:r>
      <w:r>
        <w:t>чен в сельскохозяйственном секторе, сельское хозяйство продолжает утрач</w:t>
      </w:r>
      <w:r>
        <w:t>и</w:t>
      </w:r>
      <w:r>
        <w:t>вать свою значимость в Филиппинах. К 1990-м годам оно перестало быть чи</w:t>
      </w:r>
      <w:r>
        <w:t>с</w:t>
      </w:r>
      <w:r>
        <w:t>тым источником иностранной валюты. Стихийные бедствия в сочетании с ни</w:t>
      </w:r>
      <w:r>
        <w:t>з</w:t>
      </w:r>
      <w:r>
        <w:t>кими мировыми ценами на сельскохозяйственную продукцию истощают п</w:t>
      </w:r>
      <w:r>
        <w:t>о</w:t>
      </w:r>
      <w:r>
        <w:t>тенциал роста сельского хозяйства Филиппин. Кроме того, неуклонно снижае</w:t>
      </w:r>
      <w:r>
        <w:t>т</w:t>
      </w:r>
      <w:r>
        <w:t>ся его способность поглощать рабочую силу. В противоположность этому с</w:t>
      </w:r>
      <w:r>
        <w:t>а</w:t>
      </w:r>
      <w:r>
        <w:t>мым динамичным сектором, который в весьма значительной степени способс</w:t>
      </w:r>
      <w:r>
        <w:t>т</w:t>
      </w:r>
      <w:r>
        <w:t>вует развитию филиппинской экономики, по-прежнему является сфера услуг, где с точки зрения численности работающих женщины занимают лидирующие позиции. На долю промышленности приходится, по меньшей мере, треть ВВП, однако по численности занятого в ней населения она намного отстает от сферы услуг и сельского хозяйства. По данным министерства труда, касающимся з</w:t>
      </w:r>
      <w:r>
        <w:t>а</w:t>
      </w:r>
      <w:r>
        <w:t>нятости в промышленности, до кризиса 889 предприятий с числом работа</w:t>
      </w:r>
      <w:r>
        <w:t>ю</w:t>
      </w:r>
      <w:r>
        <w:t>щих 39 263 человека вынуждены были прибегнуть к закрытию и сокращению. В 2000 году эта цифра возросла почти в три раза, затронув 67 624 наемных р</w:t>
      </w:r>
      <w:r>
        <w:t>а</w:t>
      </w:r>
      <w:r>
        <w:t>ботника. Сильнее всего пострадали малые предприятия (с числом работающих менее 50 человек), поскольку они составили половину тех, которые сократили число работающих или закрылись (БСТЗ, 2002 год). Коэффициент безработицы поднялся с 7,4 процента в 1996 году до 9,6 процента в 1998 году и 10,1 процента в 2001 и 2002 годах. За исключением одного-двух лет коэффиц</w:t>
      </w:r>
      <w:r>
        <w:t>и</w:t>
      </w:r>
      <w:r>
        <w:t>ент безработицы среди женщин был неизменно выше соответствующего пок</w:t>
      </w:r>
      <w:r>
        <w:t>а</w:t>
      </w:r>
      <w:r>
        <w:t>зателя для мужчин</w:t>
      </w:r>
      <w:r>
        <w:rPr>
          <w:spacing w:val="-2"/>
        </w:rPr>
        <w:t xml:space="preserve"> (НСУ, 2003c).</w:t>
      </w:r>
    </w:p>
    <w:p w:rsidR="00000000" w:rsidRDefault="00000000">
      <w:pPr>
        <w:pStyle w:val="SingleTxt"/>
        <w:rPr>
          <w:spacing w:val="-2"/>
        </w:rPr>
      </w:pPr>
      <w:r>
        <w:t>73.</w:t>
      </w:r>
      <w:r>
        <w:tab/>
        <w:t>Для</w:t>
      </w:r>
      <w:r>
        <w:rPr>
          <w:spacing w:val="-2"/>
        </w:rPr>
        <w:t xml:space="preserve"> решения существующих экономических проблем правительство созвало в декабре 2001 года Национальный социально-экономический саммит, на котором был выработан исполнительно-законодательный пакт о мерах по решению приор</w:t>
      </w:r>
      <w:r>
        <w:rPr>
          <w:spacing w:val="-2"/>
        </w:rPr>
        <w:t>и</w:t>
      </w:r>
      <w:r>
        <w:rPr>
          <w:spacing w:val="-2"/>
        </w:rPr>
        <w:t>тетных вопросов страны. Речь идет о необходимости улучшения положения в обла</w:t>
      </w:r>
      <w:r>
        <w:rPr>
          <w:spacing w:val="-2"/>
        </w:rPr>
        <w:t>с</w:t>
      </w:r>
      <w:r>
        <w:rPr>
          <w:spacing w:val="-2"/>
        </w:rPr>
        <w:t>ти поддержания мира и правопорядка, укрепления процессов и механизмов обесп</w:t>
      </w:r>
      <w:r>
        <w:rPr>
          <w:spacing w:val="-2"/>
        </w:rPr>
        <w:t>е</w:t>
      </w:r>
      <w:r>
        <w:rPr>
          <w:spacing w:val="-2"/>
        </w:rPr>
        <w:t>чения безопасности и мирного разрешения конфликтов, незамедлительного прес</w:t>
      </w:r>
      <w:r>
        <w:rPr>
          <w:spacing w:val="-2"/>
        </w:rPr>
        <w:t>е</w:t>
      </w:r>
      <w:r>
        <w:rPr>
          <w:spacing w:val="-2"/>
        </w:rPr>
        <w:t>чения терроризма, особенно на Минданао, и активизации усилий по восстановл</w:t>
      </w:r>
      <w:r>
        <w:rPr>
          <w:spacing w:val="-2"/>
        </w:rPr>
        <w:t>е</w:t>
      </w:r>
      <w:r>
        <w:rPr>
          <w:spacing w:val="-2"/>
        </w:rPr>
        <w:t>нию мира и правопорядка в этом регионе; повышения качества базовых социальных услуг (включая жилье), укрепления и защиты уязвимых слоев населения, особенно нуждающихся, перемещенных трудящихся и женщин, ставших жертвами насилия; повышения конкурентоспособности, производительности и социальной справедл</w:t>
      </w:r>
      <w:r>
        <w:rPr>
          <w:spacing w:val="-2"/>
        </w:rPr>
        <w:t>и</w:t>
      </w:r>
      <w:r>
        <w:rPr>
          <w:spacing w:val="-2"/>
        </w:rPr>
        <w:t>вости в сельском хозяйстве, промышленности и сфере услуг; содействия занятости, расширения прав трудящихся, социального диалога и мира в сфере промышленн</w:t>
      </w:r>
      <w:r>
        <w:rPr>
          <w:spacing w:val="-2"/>
        </w:rPr>
        <w:t>о</w:t>
      </w:r>
      <w:r>
        <w:rPr>
          <w:spacing w:val="-2"/>
        </w:rPr>
        <w:t>сти; а также обеспечения более эффективного и действенного управления и борьбы со всеми формами коррупции; и обеспечения экономической стабильности путем разумного макроэкономического управления; сохранения приверженности реформе имущественных отношений; и поддержания и укрепления постоянного диалога о стратегиях, программах и парадигмах развития.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Положение в социальной и гуманитарной областях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74.</w:t>
      </w:r>
      <w:r>
        <w:rPr>
          <w:spacing w:val="-2"/>
        </w:rPr>
        <w:tab/>
        <w:t>После успешного свержения диктатора в 1986 году филиппинцы стали проя</w:t>
      </w:r>
      <w:r>
        <w:rPr>
          <w:spacing w:val="-2"/>
        </w:rPr>
        <w:t>в</w:t>
      </w:r>
      <w:r>
        <w:rPr>
          <w:spacing w:val="-2"/>
        </w:rPr>
        <w:t>лять бόльшую социальную и политическую бдительность и продолжают активно интересоваться делами государства. Изменилась также роль организаций гражда</w:t>
      </w:r>
      <w:r>
        <w:rPr>
          <w:spacing w:val="-2"/>
        </w:rPr>
        <w:t>н</w:t>
      </w:r>
      <w:r>
        <w:rPr>
          <w:spacing w:val="-2"/>
        </w:rPr>
        <w:t>ского общества и частного сектора: отойдя от позиций просто циничных критиков, они стали важнейшими партнерами в деле более значимых преобразований. Об этом участии свидетельствует второй этап движения «Власть народа», которое вынудило президента Эстраду покинуть свой пост.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Тенденции в области информационно-коммуникационных технологий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rPr>
          <w:spacing w:val="-2"/>
        </w:rPr>
        <w:t>75.</w:t>
      </w:r>
      <w:r>
        <w:rPr>
          <w:spacing w:val="-2"/>
        </w:rPr>
        <w:tab/>
        <w:t>Благодаря быстрому технологическому развитию, особенно в области эле</w:t>
      </w:r>
      <w:r>
        <w:rPr>
          <w:spacing w:val="-2"/>
        </w:rPr>
        <w:t>к</w:t>
      </w:r>
      <w:r>
        <w:rPr>
          <w:spacing w:val="-2"/>
        </w:rPr>
        <w:t>тронной коммуникации и компьютерной технологии, упрочилась связь филиппи</w:t>
      </w:r>
      <w:r>
        <w:rPr>
          <w:spacing w:val="-2"/>
        </w:rPr>
        <w:t>н</w:t>
      </w:r>
      <w:r>
        <w:rPr>
          <w:spacing w:val="-2"/>
        </w:rPr>
        <w:t>цев с остальным миром. Всемирный банк отметил увеличение тиража газет, колич</w:t>
      </w:r>
      <w:r>
        <w:rPr>
          <w:spacing w:val="-2"/>
        </w:rPr>
        <w:t>е</w:t>
      </w:r>
      <w:r>
        <w:rPr>
          <w:spacing w:val="-2"/>
        </w:rPr>
        <w:t xml:space="preserve">ства абонентов или владельцев сотовых телефонов и посещений </w:t>
      </w:r>
      <w:r>
        <w:rPr>
          <w:caps/>
          <w:spacing w:val="-2"/>
        </w:rPr>
        <w:t>и</w:t>
      </w:r>
      <w:r>
        <w:rPr>
          <w:spacing w:val="-2"/>
        </w:rPr>
        <w:t>нтернета в период с середины 1990-х годов до 1997/1999 года (цитируется по Illo 2002a). Более знач</w:t>
      </w:r>
      <w:r>
        <w:rPr>
          <w:spacing w:val="-2"/>
        </w:rPr>
        <w:t>и</w:t>
      </w:r>
      <w:r>
        <w:rPr>
          <w:spacing w:val="-2"/>
        </w:rPr>
        <w:t>мые изменения произошли в период между 1997 и 2000/2001 годами, когда колич</w:t>
      </w:r>
      <w:r>
        <w:rPr>
          <w:spacing w:val="-2"/>
        </w:rPr>
        <w:t>е</w:t>
      </w:r>
      <w:r>
        <w:rPr>
          <w:spacing w:val="-2"/>
        </w:rPr>
        <w:t>ство стационарных линий и мобильных телефонов в расчете на 1000 человек по</w:t>
      </w:r>
      <w:r>
        <w:rPr>
          <w:spacing w:val="-2"/>
        </w:rPr>
        <w:t>д</w:t>
      </w:r>
      <w:r>
        <w:rPr>
          <w:spacing w:val="-2"/>
        </w:rPr>
        <w:t xml:space="preserve">скочило с 47,2 до 124,4 в 2000 году и до 192,0 в 2001 году; количество владельцев персональных компьютеров увеличилось в расчете на 1000 человек с 13,4 до 21,7 в 2001 году; и значительно возросло число пользователей </w:t>
      </w:r>
      <w:r>
        <w:rPr>
          <w:caps/>
          <w:spacing w:val="-2"/>
        </w:rPr>
        <w:t>и</w:t>
      </w:r>
      <w:r>
        <w:rPr>
          <w:spacing w:val="-2"/>
        </w:rPr>
        <w:t>нтернета: со 100 000 до 1,5 млн. в 2000 году и до 2,0 млн. в 2001 году (доклад ПРООН о развитии человека за 2003 год, Всемирный банк, 2003 год). Согласно имеющимся данным, к 2003 году число абонентов сотовых телефонов достигло 22 млн. человек, что составляет ув</w:t>
      </w:r>
      <w:r>
        <w:rPr>
          <w:spacing w:val="-2"/>
        </w:rPr>
        <w:t>е</w:t>
      </w:r>
      <w:r>
        <w:rPr>
          <w:spacing w:val="-2"/>
        </w:rPr>
        <w:t xml:space="preserve">личение на 9,4 млн. по сравнению с 2001 годом, а число абонентов </w:t>
      </w:r>
      <w:r>
        <w:rPr>
          <w:caps/>
          <w:spacing w:val="-2"/>
        </w:rPr>
        <w:t>и</w:t>
      </w:r>
      <w:r>
        <w:rPr>
          <w:spacing w:val="-2"/>
        </w:rPr>
        <w:t>нтернета до</w:t>
      </w:r>
      <w:r>
        <w:rPr>
          <w:spacing w:val="-2"/>
        </w:rPr>
        <w:t>с</w:t>
      </w:r>
      <w:r>
        <w:rPr>
          <w:spacing w:val="-2"/>
        </w:rPr>
        <w:t>тигло 2,2 млн. человек, в то время как в 2001 году этот показатель составлял 500 000 (Посл</w:t>
      </w:r>
      <w:r>
        <w:rPr>
          <w:spacing w:val="-2"/>
        </w:rPr>
        <w:t>а</w:t>
      </w:r>
      <w:r>
        <w:rPr>
          <w:spacing w:val="-2"/>
        </w:rPr>
        <w:t>ние о положении страны, 2004 год).</w:t>
      </w:r>
    </w:p>
    <w:p w:rsidR="00000000" w:rsidRDefault="00000000">
      <w:pPr>
        <w:pStyle w:val="SingleTxt"/>
        <w:rPr>
          <w:spacing w:val="-4"/>
        </w:rPr>
      </w:pPr>
      <w:r>
        <w:rPr>
          <w:spacing w:val="-2"/>
        </w:rPr>
        <w:t>76.</w:t>
      </w:r>
      <w:r>
        <w:rPr>
          <w:spacing w:val="-2"/>
        </w:rPr>
        <w:tab/>
        <w:t>Ежедневно филиппинцы наблюдают контрасты нищеты и процветания, волн</w:t>
      </w:r>
      <w:r>
        <w:rPr>
          <w:spacing w:val="-2"/>
        </w:rPr>
        <w:t>е</w:t>
      </w:r>
      <w:r>
        <w:rPr>
          <w:spacing w:val="-2"/>
        </w:rPr>
        <w:t>ний и мира, справедливости и неравенства, безразличия и активного участия. Растет число компьютерных классов, все чаще компьютерные дисциплины включаются в системы начального, среднего и высшего образования (научный или професси</w:t>
      </w:r>
      <w:r>
        <w:rPr>
          <w:spacing w:val="-2"/>
        </w:rPr>
        <w:t>о</w:t>
      </w:r>
      <w:r>
        <w:rPr>
          <w:spacing w:val="-2"/>
        </w:rPr>
        <w:t>нально-технический уровень), и все больше филиппинцев профессионально влад</w:t>
      </w:r>
      <w:r>
        <w:rPr>
          <w:spacing w:val="-2"/>
        </w:rPr>
        <w:t>е</w:t>
      </w:r>
      <w:r>
        <w:rPr>
          <w:spacing w:val="-2"/>
        </w:rPr>
        <w:t>ют компьютерной, электронной и информационной технологией. Сегодня сотовый телефон уже не роскошь, а необходимый элемент деловой и личной жизни. Согла</w:t>
      </w:r>
      <w:r>
        <w:rPr>
          <w:spacing w:val="-2"/>
        </w:rPr>
        <w:t>с</w:t>
      </w:r>
      <w:r>
        <w:rPr>
          <w:spacing w:val="-2"/>
        </w:rPr>
        <w:t>но имеющейся информации, второй этап движения «Власть народа» возник благ</w:t>
      </w:r>
      <w:r>
        <w:rPr>
          <w:spacing w:val="-2"/>
        </w:rPr>
        <w:t>о</w:t>
      </w:r>
      <w:r>
        <w:rPr>
          <w:spacing w:val="-2"/>
        </w:rPr>
        <w:t>даря такому средству быстрой связи, как сотовый телефон. Кроме того, предпочт</w:t>
      </w:r>
      <w:r>
        <w:rPr>
          <w:spacing w:val="-2"/>
        </w:rPr>
        <w:t>е</w:t>
      </w:r>
      <w:r>
        <w:rPr>
          <w:spacing w:val="-2"/>
        </w:rPr>
        <w:t>ния филиппинцев в плане моделей потребления и образа жизни формируются под воздействием рекламы и</w:t>
      </w:r>
      <w:r>
        <w:rPr>
          <w:spacing w:val="-4"/>
        </w:rPr>
        <w:t xml:space="preserve"> культуры различных стран мира, а также работающих за р</w:t>
      </w:r>
      <w:r>
        <w:rPr>
          <w:spacing w:val="-4"/>
        </w:rPr>
        <w:t>у</w:t>
      </w:r>
      <w:r>
        <w:rPr>
          <w:spacing w:val="-4"/>
        </w:rPr>
        <w:t>бежом родственников, которые посылают или привозят с собой товары и новый образ жизни. Развитие информационно-коммуникационных технологий имеет свою отриц</w:t>
      </w:r>
      <w:r>
        <w:rPr>
          <w:spacing w:val="-4"/>
        </w:rPr>
        <w:t>а</w:t>
      </w:r>
      <w:r>
        <w:rPr>
          <w:spacing w:val="-4"/>
        </w:rPr>
        <w:t>тельную сторону, поскольку они широко используются людьми, связанными с пед</w:t>
      </w:r>
      <w:r>
        <w:rPr>
          <w:spacing w:val="-4"/>
        </w:rPr>
        <w:t>о</w:t>
      </w:r>
      <w:r>
        <w:rPr>
          <w:spacing w:val="-4"/>
        </w:rPr>
        <w:t>филией, торговлей людьми и проституцией.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Здравоохранение и питание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77.</w:t>
      </w:r>
      <w:r>
        <w:tab/>
        <w:t>Как явствует из разделов, посвященных статье 12, положение дел в обла</w:t>
      </w:r>
      <w:r>
        <w:t>с</w:t>
      </w:r>
      <w:r>
        <w:t>ти здравоохранения и питания значительно улучшилось. Официальные данные о средней ожидаемой продолжительности жизни, младенческой и детской смертности, а также материнской смертности, свидетельствуют о позитивных тенденциях. Средняя ожидаемая продолжительность жизни женщин увелич</w:t>
      </w:r>
      <w:r>
        <w:t>и</w:t>
      </w:r>
      <w:r>
        <w:t>лась с 70,1 лет в 1995 году до 72,5 – в 2003 году. Соответствующие показатели для мужчин – 64,8 и 66,2 лет. Показатель материнской смертности снизился с 209 смертей на 100 000 живорождений в 1990 году до 180 – в 1995 и 172 – в 1998 годах.</w:t>
      </w:r>
      <w:r>
        <w:rPr>
          <w:rStyle w:val="FootnoteReference"/>
        </w:rPr>
        <w:footnoteReference w:id="9"/>
      </w:r>
      <w:r>
        <w:t xml:space="preserve"> Резко снизились показатели младенческой и детской смертности, причем в целом для девочек они ниже, чем для мальчиков. Однако усилия в о</w:t>
      </w:r>
      <w:r>
        <w:t>б</w:t>
      </w:r>
      <w:r>
        <w:t>ласти здравоохранения постоянно сталкиваются с трудностями, связанными с повышением стоимости медицинских услуг и лекарственных препаратов, сл</w:t>
      </w:r>
      <w:r>
        <w:t>а</w:t>
      </w:r>
      <w:r>
        <w:t>бым охватом системой медицинского страхования, широким распространением болезней, расширением масштабов недоедания и быстрыми темпами роста численности населения. Состояние здоровья людей в значительной степени определяется принадлежностью к той или иной группе населения, уровнем д</w:t>
      </w:r>
      <w:r>
        <w:t>о</w:t>
      </w:r>
      <w:r>
        <w:t>ходов и географическим районом. Серьезными проблемами являются нарком</w:t>
      </w:r>
      <w:r>
        <w:t>а</w:t>
      </w:r>
      <w:r>
        <w:t>ния и насилие в отношении женщин.</w:t>
      </w:r>
    </w:p>
    <w:p w:rsidR="00000000" w:rsidRDefault="00000000">
      <w:pPr>
        <w:pStyle w:val="SingleTxt"/>
      </w:pPr>
      <w:r>
        <w:t>78.</w:t>
      </w:r>
      <w:r>
        <w:tab/>
        <w:t>Как отмечалось в разделе, посвященном статье 12, программа оказания помощи супружеским парам в достижении их целей, связанных с деторожд</w:t>
      </w:r>
      <w:r>
        <w:t>е</w:t>
      </w:r>
      <w:r>
        <w:t>нием, и воспитания у людей ответственного отношения к выполнению в буд</w:t>
      </w:r>
      <w:r>
        <w:t>у</w:t>
      </w:r>
      <w:r>
        <w:t>щем родительских функций, не позволила сократить разрыв между желаемым и фактическим размером семьи. Реализацию программы затрудняли такие пр</w:t>
      </w:r>
      <w:r>
        <w:t>о</w:t>
      </w:r>
      <w:r>
        <w:t>блемы, как неспособность удовлетворить многие потребности, узкие масштабы использования противозачаточных средств, слабое участие мужчин в деятел</w:t>
      </w:r>
      <w:r>
        <w:t>ь</w:t>
      </w:r>
      <w:r>
        <w:t>ности, связанной с репродуктивным здоровьем; все более частые случаи бер</w:t>
      </w:r>
      <w:r>
        <w:t>е</w:t>
      </w:r>
      <w:r>
        <w:t>менности среди несовершеннолетних и отсутствие устойчивых механизмов предоставления услуг в области медицинского обслуживания и планирования семьи в сельской местн</w:t>
      </w:r>
      <w:r>
        <w:t>о</w:t>
      </w:r>
      <w:r>
        <w:t>сти (ССПРФ на 2001-2004 годы). В период 1997-2000 годов более 47 процентов женщин в возрасте от 15 до 49 лет применяли методы планирования семьи (НСУ, 2003e). В последующие годы этот показ</w:t>
      </w:r>
      <w:r>
        <w:t>а</w:t>
      </w:r>
      <w:r>
        <w:t>тель увеличился, но оставался низким (49,5 процента в 2001 году и 48,8 процента в 2002). Основным методом планирования семьи по-прежнему были противозачаточные таблетки, которые в 2001 году использовали 14,1 процента н</w:t>
      </w:r>
      <w:r>
        <w:t>а</w:t>
      </w:r>
      <w:r>
        <w:t>селения, а в 2002 – 15,3 процента (НСУ, 2003f, 2003g).</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Образование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79.</w:t>
      </w:r>
      <w:r>
        <w:tab/>
        <w:t>Финансовый кризис в странах Азии и явление «Эль-Ниньо» в 1997 году резко ограничили доступ нуждающихся семей к образованию, особенно к высшему образованию, где правительству принадлежат лишь 19 процентов высших учебных заведений, в то время как для средних и начальных школ этот показатель составляет соответственно 60 процентов и 91 процент. Всего 53 процента выпускников средней школы 1997/1998 года смогли поступить в колледж, 75 процентов из которых стали студентами частных колледжей и ун</w:t>
      </w:r>
      <w:r>
        <w:t>и</w:t>
      </w:r>
      <w:r>
        <w:t>верситетов. Та же тенденция наблюдалась в другие годы. Увеличился конти</w:t>
      </w:r>
      <w:r>
        <w:t>н</w:t>
      </w:r>
      <w:r>
        <w:t>гент учащихся на уровне базового образования (AзБР/Всемирный банк, 1999 год), за исключением 2000/2001 учебного года, когда количество учащи</w:t>
      </w:r>
      <w:r>
        <w:t>х</w:t>
      </w:r>
      <w:r>
        <w:t>ся начальной школы уменьшилось до 96,8 процента по сравнению с 97,0 процента годом ранее (Рейес, 2003 год). Однако послекризисный показ</w:t>
      </w:r>
      <w:r>
        <w:t>а</w:t>
      </w:r>
      <w:r>
        <w:t>тель роста был ниже докризисного. Данные, собранные Национальным стат</w:t>
      </w:r>
      <w:r>
        <w:t>и</w:t>
      </w:r>
      <w:r>
        <w:t>стическим координационным советом, свидетельствуют о некоторых различиях с точки зрения успеваемости мальчиков и девочек в зависимости от уровня о</w:t>
      </w:r>
      <w:r>
        <w:t>б</w:t>
      </w:r>
      <w:r>
        <w:t>разования.</w:t>
      </w:r>
    </w:p>
    <w:p w:rsidR="00000000" w:rsidRDefault="00000000">
      <w:pPr>
        <w:pStyle w:val="SingleTxt"/>
        <w:rPr>
          <w:spacing w:val="-2"/>
        </w:rPr>
      </w:pPr>
      <w:r>
        <w:rPr>
          <w:spacing w:val="-2"/>
        </w:rPr>
        <w:t>80.</w:t>
      </w:r>
      <w:r>
        <w:rPr>
          <w:spacing w:val="-2"/>
        </w:rPr>
        <w:tab/>
        <w:t>Как отмечалось в оценке, касающейся статьи 10, наблюдается некоторое улучшение положения с точки зрения развития образования и людских ресурсов. Основным направлением деятельности правительства в этом секторе является пр</w:t>
      </w:r>
      <w:r>
        <w:rPr>
          <w:spacing w:val="-2"/>
        </w:rPr>
        <w:t>о</w:t>
      </w:r>
      <w:r>
        <w:rPr>
          <w:spacing w:val="-2"/>
        </w:rPr>
        <w:t>ведение реформ в целях повышения эффективности системы образования, сове</w:t>
      </w:r>
      <w:r>
        <w:rPr>
          <w:spacing w:val="-2"/>
        </w:rPr>
        <w:t>р</w:t>
      </w:r>
      <w:r>
        <w:rPr>
          <w:spacing w:val="-2"/>
        </w:rPr>
        <w:t>шенствования процесса преподавания-познавания и повышения квалификации в интересах укрепления конкурентоспособности, а также обеспечения равенства в о</w:t>
      </w:r>
      <w:r>
        <w:rPr>
          <w:spacing w:val="-2"/>
        </w:rPr>
        <w:t>б</w:t>
      </w:r>
      <w:r>
        <w:rPr>
          <w:spacing w:val="-2"/>
        </w:rPr>
        <w:t>ласти базового образования. Нынешняя программа образования направлена на обе</w:t>
      </w:r>
      <w:r>
        <w:rPr>
          <w:spacing w:val="-2"/>
        </w:rPr>
        <w:t>с</w:t>
      </w:r>
      <w:r>
        <w:rPr>
          <w:spacing w:val="-2"/>
        </w:rPr>
        <w:t>печение большей доступности как формального, так и неформального образования, особенно высшего образования и профессионально-технической подготовки, с ц</w:t>
      </w:r>
      <w:r>
        <w:rPr>
          <w:spacing w:val="-2"/>
        </w:rPr>
        <w:t>е</w:t>
      </w:r>
      <w:r>
        <w:rPr>
          <w:spacing w:val="-2"/>
        </w:rPr>
        <w:t>лью прив</w:t>
      </w:r>
      <w:r>
        <w:rPr>
          <w:spacing w:val="-2"/>
        </w:rPr>
        <w:t>и</w:t>
      </w:r>
      <w:r>
        <w:rPr>
          <w:spacing w:val="-2"/>
        </w:rPr>
        <w:t>тия всем филиппинцам навыков жизни в новых экономических условиях.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Базовые социальные услуги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rPr>
          <w:spacing w:val="-2"/>
        </w:rPr>
        <w:t>81.</w:t>
      </w:r>
      <w:r>
        <w:rPr>
          <w:spacing w:val="-2"/>
        </w:rPr>
        <w:tab/>
        <w:t>Правительство стремится повысить качество базовых услуг. Благодаря этому несколько увеличился процент семей, имеющих доступ к безопасной воде (с 76,9 процента в 1997 году до 78,5 процента в 2000), отвечающим требованиям сан</w:t>
      </w:r>
      <w:r>
        <w:rPr>
          <w:spacing w:val="-2"/>
        </w:rPr>
        <w:t>и</w:t>
      </w:r>
      <w:r>
        <w:rPr>
          <w:spacing w:val="-2"/>
        </w:rPr>
        <w:t>тарии туалетам (74,9 процента в 1994 году, 77,2 процента в 1997 и 82,5 процента – в 2000) и электричеству (70,4 процента в 1997 году и 75,4 процента – в 2000; НСУ, 2003d). Стоимость коммунальных услуг, однако, по-прежнему высока, несмотря на прин</w:t>
      </w:r>
      <w:r>
        <w:rPr>
          <w:spacing w:val="-2"/>
        </w:rPr>
        <w:t>я</w:t>
      </w:r>
      <w:r>
        <w:rPr>
          <w:spacing w:val="-2"/>
        </w:rPr>
        <w:t>тие законов о ее снижении.</w:t>
      </w:r>
    </w:p>
    <w:p w:rsidR="00000000" w:rsidRDefault="00000000">
      <w:pPr>
        <w:pStyle w:val="SingleTxt"/>
        <w:rPr>
          <w:spacing w:val="-2"/>
        </w:rPr>
      </w:pPr>
      <w:r>
        <w:rPr>
          <w:spacing w:val="-2"/>
        </w:rPr>
        <w:t>82.</w:t>
      </w:r>
      <w:r>
        <w:rPr>
          <w:spacing w:val="-2"/>
        </w:rPr>
        <w:tab/>
        <w:t>В то же время сохраняются многочисленные проблемы, связанные с оказанием других видов услуг. Например, по-прежнему остро стоит вопрос нехватки жилья. Согласно оценкам, в период 1999-2004 годов в жилье будут нуждаться в общей сложности 3,3 млн. семей, из которых 1,1 млн. были включены в эту категорию до 1999 года, а 2,2 млн. семей нуждаются в новом жилье в связи с быстрым ростом численности населения и созданием новых домашних хозяйств (НСУ, 2002:576). Кроме того, в условиях, когда значительная часть бюджета идет на обслуживание долга, создание рабочих мест и подержание мира и правопорядка, государственные инвестиции в сферу социальных услуг сокращаются.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Индекс развития человека</w:t>
      </w:r>
      <w:r>
        <w:rPr>
          <w:rStyle w:val="FootnoteReference"/>
          <w:i w:val="0"/>
        </w:rPr>
        <w:footnoteReference w:id="10"/>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83.</w:t>
      </w:r>
      <w:r>
        <w:tab/>
        <w:t>В целом Филиппины достигли немалых успехов в области развития чел</w:t>
      </w:r>
      <w:r>
        <w:t>о</w:t>
      </w:r>
      <w:r>
        <w:t>века. На протяжении последних примерно 25 лет в стране отмечался постоя</w:t>
      </w:r>
      <w:r>
        <w:t>н</w:t>
      </w:r>
      <w:r>
        <w:t>ный рост индекса развития человека (ИРЧ), однако по сравнению с многими странами темпы роста были медленными (Доклад ПРООН о развитии человека за различные годы). Относясь к категории «стран со средними темпами разв</w:t>
      </w:r>
      <w:r>
        <w:t>и</w:t>
      </w:r>
      <w:r>
        <w:t>тия человека», Филиппины, тем не менее, постоянно котируются не высоко. Они занимали 67-е место среди 140 стран в 1995 году, 70-е – из 162 стран в 1999 году, а затем скатились до 77-го места из 173 стран в 2000 году и 85-го из 175 – в 2001. Однако с точки зрения демократической системы управления страна занимает 8 место из 10, если речь идет о защите гражданских и полит</w:t>
      </w:r>
      <w:r>
        <w:t>и</w:t>
      </w:r>
      <w:r>
        <w:t>ческих свобод и о «в высшей степени свободной прессе» (Доклад ПРООН о развитии человека, 2002 год). В 2001 году она достигла «практически всеобщ</w:t>
      </w:r>
      <w:r>
        <w:t>е</w:t>
      </w:r>
      <w:r>
        <w:t>го охвата начальным и средним образованием», что является весьма заметным достиж</w:t>
      </w:r>
      <w:r>
        <w:t>е</w:t>
      </w:r>
      <w:r>
        <w:t>нием, учитывая нехватку национальных ресурсов.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Гендерный индекс развития и гендерный индекс расширения прав и возможностей</w:t>
      </w:r>
      <w:r>
        <w:rPr>
          <w:rStyle w:val="FootnoteReference"/>
          <w:i w:val="0"/>
        </w:rPr>
        <w:footnoteReference w:id="11"/>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84.</w:t>
      </w:r>
      <w:r>
        <w:tab/>
        <w:t>С точки зрения гендерного индекса расширения прав и возможностей Ф</w:t>
      </w:r>
      <w:r>
        <w:t>и</w:t>
      </w:r>
      <w:r>
        <w:t>липпины занимают 35-е место среди 70 стран, т.е. более высокое положение, чем такие азиатские страны, как Япония, Малайзия и Таиланд. В то же время с точки зрения гендерного индекса развития Филиппины занимают 66-е место среди 144 стран.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Культура и нормы отношений между мужчинами и женщин</w:t>
      </w:r>
      <w:r>
        <w:t>а</w:t>
      </w:r>
      <w:r>
        <w:t>ми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85.</w:t>
      </w:r>
      <w:r>
        <w:tab/>
        <w:t>Гендерный фактор играет важную роль в социальной изоляции, приводя к дискриминации по признаку пола. Для разных этнических и религиозных групп характерны свои культурные традиции. Это находит свое проявление в сл</w:t>
      </w:r>
      <w:r>
        <w:t>е</w:t>
      </w:r>
      <w:r>
        <w:t>дующем.</w:t>
      </w:r>
      <w:r>
        <w:rPr>
          <w:rStyle w:val="FootnoteReference"/>
        </w:rPr>
        <w:footnoteReference w:id="12"/>
      </w:r>
    </w:p>
    <w:p w:rsidR="00000000" w:rsidRDefault="00000000">
      <w:pPr>
        <w:pStyle w:val="SingleTxt"/>
        <w:ind w:left="1740" w:right="1264" w:hanging="476"/>
      </w:pPr>
      <w:r>
        <w:t>a)</w:t>
      </w:r>
      <w:r>
        <w:tab/>
        <w:t>Доступ к образованию. В филиппинской конституции закреплено право ребенка, будь то мальчик или девочка, на базовое образование и пред</w:t>
      </w:r>
      <w:r>
        <w:t>у</w:t>
      </w:r>
      <w:r>
        <w:t>смотрено обязательство государства обеспечить бесплатное базовое обр</w:t>
      </w:r>
      <w:r>
        <w:t>а</w:t>
      </w:r>
      <w:r>
        <w:t>зование для всех. На уровне социальной и культурной практики генде</w:t>
      </w:r>
      <w:r>
        <w:t>р</w:t>
      </w:r>
      <w:r>
        <w:t>ные различия с точки зрения инвестиций в сферу образования не носят системного характера и, как правило, родители отправляют в школу всех своих детей, если могут это позволить себе. Однако для различных кул</w:t>
      </w:r>
      <w:r>
        <w:t>ь</w:t>
      </w:r>
      <w:r>
        <w:t>турных групп характерны свои проявления гендерного неравенства. Н</w:t>
      </w:r>
      <w:r>
        <w:t>а</w:t>
      </w:r>
      <w:r>
        <w:t>пример, группы лумадов (коренное население) и мусульман традиционно предпочитают отправлять и удерживать в школе своих сыновей, а девочек держать дома (Uy 1990). Однако борьба, которую ведут мусульмане, сер</w:t>
      </w:r>
      <w:r>
        <w:t>ь</w:t>
      </w:r>
      <w:r>
        <w:t>езно влияет на образование мальчиков и мужчин, которые втягиваются в эту борьбу на стороне той или иной мусульманской повстанческой гру</w:t>
      </w:r>
      <w:r>
        <w:t>п</w:t>
      </w:r>
      <w:r>
        <w:t>пировки (Abitona 2002). Если в других регионах Филиппин простые к</w:t>
      </w:r>
      <w:r>
        <w:t>о</w:t>
      </w:r>
      <w:r>
        <w:t>эффициенты грамотности среди населения в возрасте от 10 лет и старше достигают порядка 90 процентов и выше, то для Автономного региона мусульманского Минданао этот показатель составляет всего 74,5 процента, причем коэффициент грамотности среди мужчин (75,6 процента) превышает соответствующий показатель для женщин (71,4 пр</w:t>
      </w:r>
      <w:r>
        <w:t>о</w:t>
      </w:r>
      <w:r>
        <w:t>цента).</w:t>
      </w:r>
    </w:p>
    <w:p w:rsidR="00000000" w:rsidRDefault="00000000">
      <w:pPr>
        <w:pStyle w:val="SingleTxt"/>
        <w:ind w:left="1740" w:right="1264" w:hanging="476"/>
      </w:pPr>
      <w:r>
        <w:rPr>
          <w:lang w:val="en-US"/>
        </w:rPr>
        <w:t>b</w:t>
      </w:r>
      <w:r>
        <w:t>)</w:t>
      </w:r>
      <w:r>
        <w:tab/>
        <w:t>Имущественные права. Хотя филиппинские законы предусматривают обеспечение гендерного равенства в вопросах имущественных прав, на практике основными собственниками имущества считаются мужчины. Имеются определенные свидетельства того, что состоятельные родители оставляют земли своим сыновьям, но обеспечивают будущее дочерей, вкладывая средства в их образование (Quisumbing 1990). Это дает во</w:t>
      </w:r>
      <w:r>
        <w:t>з</w:t>
      </w:r>
      <w:r>
        <w:t>можность мужчинам получать доступ к более высоким, обеспеченным займам, ограничивая при этом доступ женщин к кредитам небольшими займами. Кроме того, хотя по закону женщины вправе заключать контра</w:t>
      </w:r>
      <w:r>
        <w:t>к</w:t>
      </w:r>
      <w:r>
        <w:t>ты без письменного согласия своего супруга, многие финансовые учре</w:t>
      </w:r>
      <w:r>
        <w:t>ж</w:t>
      </w:r>
      <w:r>
        <w:t>дения по-прежнему требуют подписи мужчин-партнеров на контрактах. В других частях страны также действует преимущественно обычное право, которое традиционно проводит дискриминацию в отношении женщин и девушек, как отмечается в разделе, посвященном статье 15.</w:t>
      </w:r>
    </w:p>
    <w:p w:rsidR="00000000" w:rsidRDefault="00000000">
      <w:pPr>
        <w:pStyle w:val="SingleTxt"/>
        <w:ind w:left="1740" w:right="1264" w:hanging="476"/>
      </w:pPr>
      <w:r>
        <w:rPr>
          <w:lang w:val="en-US"/>
        </w:rPr>
        <w:t>c</w:t>
      </w:r>
      <w:r>
        <w:t>)</w:t>
      </w:r>
      <w:r>
        <w:tab/>
        <w:t>Работа и гендерное разделение труда. Во многих районах страны ответс</w:t>
      </w:r>
      <w:r>
        <w:t>т</w:t>
      </w:r>
      <w:r>
        <w:t>венность за управление или ведение домашних хозяйств и удовлетворение потребностей членов семьи возлагается на женщин. Низкая заработная плата и высокая стоимость жилья вынуждает многие супружеские пары работать, причем свой вклад в семейный бюджет вносят дети, работая где только можно. В семьях с малолетними детьми, требующими интенсивн</w:t>
      </w:r>
      <w:r>
        <w:t>о</w:t>
      </w:r>
      <w:r>
        <w:t>го ухода, женщины работают на дому по крайней мере, вдвое больше, чем мужчины (Illo 1997). Если эти часы добавить ко времени работы женщин в сфере наемного труда и/или в сфере рыночного производства, то по</w:t>
      </w:r>
      <w:r>
        <w:t>д</w:t>
      </w:r>
      <w:r>
        <w:t>тверждается факт двойного бремени, возлагаемого на женщин, о котором так много говорится. За последние примерно 10 лет все большее число супружеских пар, живущих в городах, поручают уход за своими детьми дедушкам и бабушкам, живущим в сельской местности, довольствуясь п</w:t>
      </w:r>
      <w:r>
        <w:t>о</w:t>
      </w:r>
      <w:r>
        <w:t>сещением их в выходные дни. Такая практика стала необходимой для с</w:t>
      </w:r>
      <w:r>
        <w:t>е</w:t>
      </w:r>
      <w:r>
        <w:t>мей, которые не могут позволить себе домашнюю прислугу и в которых супруги находятся вне дома с раннего утра до позднего вечера из-за ухудшающейся ситуации с транспортом в городах. В некоторых мусул</w:t>
      </w:r>
      <w:r>
        <w:t>ь</w:t>
      </w:r>
      <w:r>
        <w:t>манских группах мобильность женщин вне дома ограничена, что огран</w:t>
      </w:r>
      <w:r>
        <w:t>и</w:t>
      </w:r>
      <w:r>
        <w:t>чивает их доступ к доходной работе, включая торговлю. Более низкий о</w:t>
      </w:r>
      <w:r>
        <w:t>б</w:t>
      </w:r>
      <w:r>
        <w:t>разовательный уровень многих мусульманских женщин и женщин из чи</w:t>
      </w:r>
      <w:r>
        <w:t>с</w:t>
      </w:r>
      <w:r>
        <w:t>ла коренного населения также серьезно затрудняет получение высокоо</w:t>
      </w:r>
      <w:r>
        <w:t>п</w:t>
      </w:r>
      <w:r>
        <w:t>лачиваемой работы. Нормы, касающиеся разделения труда по признаку пола, соблюдаются не только в домашних хозяйствах, но и на фирмах, а также работодателями. Об этом свидетельствует распределение функций на работе и предпочтение, отдаваемое работодателями представителям того или иного пола в отношении определенных функций.</w:t>
      </w:r>
    </w:p>
    <w:p w:rsidR="00000000" w:rsidRDefault="00000000">
      <w:pPr>
        <w:pStyle w:val="SingleTxt"/>
        <w:ind w:left="1740" w:right="1264" w:hanging="476"/>
      </w:pPr>
      <w:r>
        <w:rPr>
          <w:lang w:val="en-US"/>
        </w:rPr>
        <w:t>d</w:t>
      </w:r>
      <w:r>
        <w:t>)</w:t>
      </w:r>
      <w:r>
        <w:tab/>
        <w:t>Размер семьи и охрана здоровья женщин. На Филиппинах отмечаются стабильно высокие темпы роста численности населения, значительно превышающие соответствующие показатели соседних стран. В стране, являющейся преимущественно католической, использование искусстве</w:t>
      </w:r>
      <w:r>
        <w:t>н</w:t>
      </w:r>
      <w:r>
        <w:t>ных противозачаточных средств как одного из методов планирования с</w:t>
      </w:r>
      <w:r>
        <w:t>е</w:t>
      </w:r>
      <w:r>
        <w:t>мьи или управления численностью населения вызывает споры, что иногда создает напряженность в отношениях между католической церковью и г</w:t>
      </w:r>
      <w:r>
        <w:t>о</w:t>
      </w:r>
      <w:r>
        <w:t>сударством. Программы планирования семьи, как правило, бывают п</w:t>
      </w:r>
      <w:r>
        <w:t>о</w:t>
      </w:r>
      <w:r>
        <w:t>священы вопросам женской плодовитости, а информационные кампании ориентированы исключительно на женщин, хотя решение об использов</w:t>
      </w:r>
      <w:r>
        <w:t>а</w:t>
      </w:r>
      <w:r>
        <w:t>нии противозачаточных средств зачастую зависит от мужчин. Такая н</w:t>
      </w:r>
      <w:r>
        <w:t>а</w:t>
      </w:r>
      <w:r>
        <w:t>правленность программ закрепляет цепь событий, влияющих на участие женщин как фактора рабочей силы в сфере занятости: частая береме</w:t>
      </w:r>
      <w:r>
        <w:t>н</w:t>
      </w:r>
      <w:r>
        <w:t>ность, большие размеры семьи и необходимость постоянно уделять вн</w:t>
      </w:r>
      <w:r>
        <w:t>и</w:t>
      </w:r>
      <w:r>
        <w:t>мание уходу за детьми. В последние годы правительство приняло подход, отстаиваемый католической церковью, пропагандируя ответственное о</w:t>
      </w:r>
      <w:r>
        <w:t>т</w:t>
      </w:r>
      <w:r>
        <w:t>ношение к родительским функциям и выступая против практики испол</w:t>
      </w:r>
      <w:r>
        <w:t>ь</w:t>
      </w:r>
      <w:r>
        <w:t>зования естественных методов планирования семьи, которые неблагопр</w:t>
      </w:r>
      <w:r>
        <w:t>и</w:t>
      </w:r>
      <w:r>
        <w:t>ятно сказываются на национальной программе планирования семьи и препятствуют осуществлению этой пр</w:t>
      </w:r>
      <w:r>
        <w:t>о</w:t>
      </w:r>
      <w:r>
        <w:t>граммы.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0" w:name="_Toc85174889"/>
      <w:r>
        <w:t xml:space="preserve">II. </w:t>
      </w:r>
      <w:r>
        <w:tab/>
        <w:t>Изменения в положении женщин</w:t>
      </w:r>
      <w:bookmarkEnd w:id="2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Позитивные тенденции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Признание в филиппинской конституции роли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86.</w:t>
      </w:r>
      <w:r>
        <w:tab/>
        <w:t>Признание в филиппинской конституции роли женщин в формировании нации создает солидную основу для того, чтобы женщины рассматривались как самостоятельная группа общества, имеющая право на представительство в различных директивных органах. Отнесение их к маргинализированным гру</w:t>
      </w:r>
      <w:r>
        <w:t>п</w:t>
      </w:r>
      <w:r>
        <w:t>пам, вместе с другими социально-экономическими группами, такими, как фе</w:t>
      </w:r>
      <w:r>
        <w:t>р</w:t>
      </w:r>
      <w:r>
        <w:t>меры, рабочие и коренные народы, дает им право на получение пятидесяти (50) мест, зарезервированных за маргинализированными группами в палате пре</w:t>
      </w:r>
      <w:r>
        <w:t>д</w:t>
      </w:r>
      <w:r>
        <w:t>ставителей. Женщины также представлены в таких важных государственных учреждениях, как Национальная комиссия по борьбе с нищетой, которая коо</w:t>
      </w:r>
      <w:r>
        <w:t>р</w:t>
      </w:r>
      <w:r>
        <w:t>динирует программу сокращения масштабов нищеты. Еще одним органом, в котором за женщинами резервируются места, является Национальная комиссия по коренным народам, где из семи мест членов бюро два принадлежат женщ</w:t>
      </w:r>
      <w:r>
        <w:t>и</w:t>
      </w:r>
      <w:r>
        <w:t>нам. Женщины представлены также в Канцелярии советника по мирному пр</w:t>
      </w:r>
      <w:r>
        <w:t>о</w:t>
      </w:r>
      <w:r>
        <w:t>цессу при президенте.</w:t>
      </w:r>
    </w:p>
    <w:p w:rsidR="00000000" w:rsidRDefault="00000000">
      <w:pPr>
        <w:pStyle w:val="SingleTxt"/>
      </w:pPr>
      <w:r>
        <w:rPr>
          <w:spacing w:val="-2"/>
        </w:rPr>
        <w:t>87.</w:t>
      </w:r>
      <w:r>
        <w:rPr>
          <w:spacing w:val="-2"/>
        </w:rPr>
        <w:tab/>
        <w:t>С учетом той же конституционной гарантии периодически разрабатываются планы в интересах женщин – от первого плана под названием «Филиппинский план развития в интересах женщин, 1989-1992 годы», до текущего, под названием «Р</w:t>
      </w:r>
      <w:r>
        <w:rPr>
          <w:spacing w:val="-2"/>
        </w:rPr>
        <w:t>а</w:t>
      </w:r>
      <w:r>
        <w:rPr>
          <w:spacing w:val="-2"/>
        </w:rPr>
        <w:t>мочный план в интересах женщин». Еще одним конкретным позитивным фактором является направление не менее 5 процентов ежегодного национального бюджета на осущест</w:t>
      </w:r>
      <w:r>
        <w:rPr>
          <w:spacing w:val="-2"/>
        </w:rPr>
        <w:t>в</w:t>
      </w:r>
      <w:r>
        <w:rPr>
          <w:spacing w:val="-2"/>
        </w:rPr>
        <w:t>ление этих планов.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Повышение уровня грамотности, материнская смертность и средняя ожидаемая продолжител</w:t>
      </w:r>
      <w:r>
        <w:t>ь</w:t>
      </w:r>
      <w:r>
        <w:t>ность жизни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88.</w:t>
      </w:r>
      <w:r>
        <w:tab/>
        <w:t>В период 1996-2002 годов произошло улучшение положения женщин на Филиппинах в таких областях, как здравоохранение и образование. Благопр</w:t>
      </w:r>
      <w:r>
        <w:t>и</w:t>
      </w:r>
      <w:r>
        <w:t>ятные изменения отмечены в области распространения грамотности, школьной посещаемости и карьерных возможностей для женщин. Позитивные тенденции отмечены также в отношении таких показателей здоровья, как материнская смертность и средняя ожидаемая продолжительность жизни. Опираясь на б</w:t>
      </w:r>
      <w:r>
        <w:t>о</w:t>
      </w:r>
      <w:r>
        <w:t>лее высокий уровень осведомленности в гендерных вопросах, правительство занималось формированием политики и осуществлением программ, которые все в большей степени учитывали гендерный фактор. Этому позитивному и</w:t>
      </w:r>
      <w:r>
        <w:t>з</w:t>
      </w:r>
      <w:r>
        <w:t>менению содействовало включение в планы и программы правительства целей в гендерной области и в области развития. По сравнению с другими странами с учетом гендерного индекса развития и гендерного критерия расширения прав и возможностей Филиппины занимают место в верхней половине включенных в рейтинг стран (Доклады ПРООН о развитии человека за различные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Развитие служб поддержки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89.</w:t>
      </w:r>
      <w:r>
        <w:tab/>
        <w:t>Принятый в 1990 году республиканский закон № 6972 предусматривает обязательное создание в каждом барангае центра ухода за детьми в дневное время. В результате к 2000 году было создано около 35 000 таких центров. Центры ухода за детьми в дневное время, которые являются механизмом по</w:t>
      </w:r>
      <w:r>
        <w:t>д</w:t>
      </w:r>
      <w:r>
        <w:t>держки и прямой попыткой добиться сокращения масштабов нищеты, подве</w:t>
      </w:r>
      <w:r>
        <w:t>р</w:t>
      </w:r>
      <w:r>
        <w:t>гаются критике за то, что предоставляют женщинам слишком мало свободного времени для того, чтобы они действительно могли заняться приносящей доход деятельностью. Однако такие центры все же дают возможность ослабить бремя ухода за детьми, позволяя женщинам делать что-то для себя и даже заниматься приносящей доход деятельностью. Центры ухода за детьми в дневное время позволяют также детям дошкольного возраста привыкать к условиям формал</w:t>
      </w:r>
      <w:r>
        <w:t>ь</w:t>
      </w:r>
      <w:r>
        <w:t>ного обучения, которые доступны только для представителей семей со средним и более высоким уровнем дохода.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Рост представленности на руководящих должностях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90.</w:t>
      </w:r>
      <w:r>
        <w:tab/>
        <w:t>По данным Комиссии гражданской службы, в 2002 году 1 148 женщин з</w:t>
      </w:r>
      <w:r>
        <w:t>а</w:t>
      </w:r>
      <w:r>
        <w:t>нимали руководящие должности, включая тех, которые были назначены испо</w:t>
      </w:r>
      <w:r>
        <w:t>л</w:t>
      </w:r>
      <w:r>
        <w:t>няющими обязанности или руководителями в конституционные учреждения или национальные государственные ведомства. Это составляет порядка 36 процентов общего числа заполненных руководящих должностей. В корп</w:t>
      </w:r>
      <w:r>
        <w:t>о</w:t>
      </w:r>
      <w:r>
        <w:t>рациях, принадлежащих правительству или контролируемых им, женщины з</w:t>
      </w:r>
      <w:r>
        <w:t>а</w:t>
      </w:r>
      <w:r>
        <w:t>нимают 963, или 43 процента от общего числа заполненных руководящих должностей. Среди лиц, назначенных в конституционные учрежд</w:t>
      </w:r>
      <w:r>
        <w:t>е</w:t>
      </w:r>
      <w:r>
        <w:t>ния/национальные государственные ведомства, женщин меньше (1 056, или 37 процентов, от общего числа).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Увеличение числа слушателей Военной академии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91.</w:t>
      </w:r>
      <w:r>
        <w:tab/>
        <w:t>Открытие для женщин областей, которые ранее были исключительно мужскими (таких, как военная подготовка, «трудные» профессионально-технические области, например, производство сварочных работ, автомобильная промышленность и электроника), продемонстрировало способность женщин работать в этих областях как минимум наравне с мужчинами. Среди 148 выпускников Филиппинской военной академии 1997 года было 7 женщин, одна из которых закончила ее с отличием. По итогам вступительных экзаменов 1999/2000 учебного года одна из женщин была лучшей, а две другие вошли в первую десятку абитуриентов, получивших высшие оценки. Эти результаты являются убедительным свидетельством их потенциала в плане занятия лид</w:t>
      </w:r>
      <w:r>
        <w:t>и</w:t>
      </w:r>
      <w:r>
        <w:t>рующих позиций на военной службе.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Рост численности полицейских и слушателей Полицейской акад</w:t>
      </w:r>
      <w:r>
        <w:t>е</w:t>
      </w:r>
      <w:r>
        <w:t>мии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92.</w:t>
      </w:r>
      <w:r>
        <w:tab/>
        <w:t>Со времени принятия республиканского закона № 8551, или закона 1998 года о реформе и реорганизации филиппинской Национальной полиции, ежегодный набор женщин-полицейских превышает установленную на уровне 10 процентов квоту. Несмотря на первоначальное снижение этого показателя с 15 процентов в 1999 году до 11 процентов в 2000 году в дальнейшем он пр</w:t>
      </w:r>
      <w:r>
        <w:t>о</w:t>
      </w:r>
      <w:r>
        <w:t>должал расти. К 2002 году на долю женщин приходилось 17 процентов общего числа вновь набранных преимущественно на младшие офицерские должности сотрудников. На вы</w:t>
      </w:r>
      <w:r>
        <w:t>с</w:t>
      </w:r>
      <w:r>
        <w:t>шие должности не было принято ни одной женщины-офицера полиции (ФНП 2002). Однако принятие в 1999 году Полицейской ак</w:t>
      </w:r>
      <w:r>
        <w:t>а</w:t>
      </w:r>
      <w:r>
        <w:t>демией программы мероприятий по квотированию сделало возможным допо</w:t>
      </w:r>
      <w:r>
        <w:t>л</w:t>
      </w:r>
      <w:r>
        <w:t>нительный прием женщин-офицеров полиции на командные должности. За п</w:t>
      </w:r>
      <w:r>
        <w:t>е</w:t>
      </w:r>
      <w:r>
        <w:t>риод 1999-2002 годов на работу были приняты в общей сложности 1 781 женщина-офицер полиции, или 14 процентов от общего числа офицеров полиции (ФНП 2002).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Активизация мер по борьбе с сексуальными домогательствами в экономических з</w:t>
      </w:r>
      <w:r>
        <w:t>о</w:t>
      </w:r>
      <w:r>
        <w:t>нах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93.</w:t>
      </w:r>
      <w:r>
        <w:rPr>
          <w:spacing w:val="-2"/>
        </w:rPr>
        <w:tab/>
        <w:t>По сведениям Управления Филиппинской экономической зоны, осуществление республиканского закона № 7877, или закона 1995 года о борьбе с сексуальными д</w:t>
      </w:r>
      <w:r>
        <w:rPr>
          <w:spacing w:val="-2"/>
        </w:rPr>
        <w:t>о</w:t>
      </w:r>
      <w:r>
        <w:rPr>
          <w:spacing w:val="-2"/>
        </w:rPr>
        <w:t>могательствами, ведется путем создания комитетов по соблюдению правил досто</w:t>
      </w:r>
      <w:r>
        <w:rPr>
          <w:spacing w:val="-2"/>
        </w:rPr>
        <w:t>й</w:t>
      </w:r>
      <w:r>
        <w:rPr>
          <w:spacing w:val="-2"/>
        </w:rPr>
        <w:t>ного поведения и расследованию на 151 базовом предприятии и пяти голо</w:t>
      </w:r>
      <w:r>
        <w:rPr>
          <w:spacing w:val="-2"/>
        </w:rPr>
        <w:t>в</w:t>
      </w:r>
      <w:r>
        <w:rPr>
          <w:spacing w:val="-2"/>
        </w:rPr>
        <w:t>ных/зональных офисах Управления Филиппинской экономической зоны. Програ</w:t>
      </w:r>
      <w:r>
        <w:rPr>
          <w:spacing w:val="-2"/>
        </w:rPr>
        <w:t>м</w:t>
      </w:r>
      <w:r>
        <w:rPr>
          <w:spacing w:val="-2"/>
        </w:rPr>
        <w:t>мы борьбы с сексуальными домогательствами предусмотрены также на девяти предприятиях, а в трех экономических зонах созданы женские бюро. Однако иссл</w:t>
      </w:r>
      <w:r>
        <w:rPr>
          <w:spacing w:val="-2"/>
        </w:rPr>
        <w:t>е</w:t>
      </w:r>
      <w:r>
        <w:rPr>
          <w:spacing w:val="-2"/>
        </w:rPr>
        <w:t>дование воздействия работы комитетов в экономических зонах еще не провод</w:t>
      </w:r>
      <w:r>
        <w:rPr>
          <w:spacing w:val="-2"/>
        </w:rPr>
        <w:t>и</w:t>
      </w:r>
      <w:r>
        <w:rPr>
          <w:spacing w:val="-2"/>
        </w:rPr>
        <w:t>лось.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Расширение приносящей доход трудовой деятельности и программы привития трудовых н</w:t>
      </w:r>
      <w:r>
        <w:t>а</w:t>
      </w:r>
      <w:r>
        <w:t>выков</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rPr>
          <w:spacing w:val="-2"/>
        </w:rPr>
        <w:t>94.</w:t>
      </w:r>
      <w:r>
        <w:rPr>
          <w:spacing w:val="-2"/>
        </w:rPr>
        <w:tab/>
        <w:t>Осуществляемая министерством социального обеспечения</w:t>
      </w:r>
      <w:r>
        <w:t xml:space="preserve"> программа прив</w:t>
      </w:r>
      <w:r>
        <w:t>и</w:t>
      </w:r>
      <w:r>
        <w:t>тия трудовых навыков постоянно приносит свои плоды. За период с июня 1995 по июнь 1999 годов порядка 166 293 женщин прошли курс программы привития трудовых навыков в расположенных по всей стране 107 </w:t>
      </w:r>
      <w:r>
        <w:rPr>
          <w:snapToGrid w:val="0"/>
          <w:color w:val="000000"/>
        </w:rPr>
        <w:t>центрах н</w:t>
      </w:r>
      <w:r>
        <w:rPr>
          <w:snapToGrid w:val="0"/>
          <w:color w:val="000000"/>
        </w:rPr>
        <w:t>а</w:t>
      </w:r>
      <w:r>
        <w:rPr>
          <w:snapToGrid w:val="0"/>
          <w:color w:val="000000"/>
        </w:rPr>
        <w:t>ращивания потенциала в области производственных навыков для женщин, н</w:t>
      </w:r>
      <w:r>
        <w:rPr>
          <w:snapToGrid w:val="0"/>
          <w:color w:val="000000"/>
        </w:rPr>
        <w:t>а</w:t>
      </w:r>
      <w:r>
        <w:rPr>
          <w:snapToGrid w:val="0"/>
          <w:color w:val="000000"/>
        </w:rPr>
        <w:t xml:space="preserve">ходящихся в неблагоприятных условиях. Из них </w:t>
      </w:r>
      <w:r>
        <w:t>136 262 (или 82 процента об</w:t>
      </w:r>
      <w:r>
        <w:t>у</w:t>
      </w:r>
      <w:r>
        <w:t>чаемых) в конечном счете пополнили рабочую силу. В 2001 году подготовку прошли в общей сложности 31 827 </w:t>
      </w:r>
      <w:r>
        <w:rPr>
          <w:snapToGrid w:val="0"/>
          <w:color w:val="000000"/>
        </w:rPr>
        <w:t xml:space="preserve">женщин, находящихся в неблагоприятных условиях, </w:t>
      </w:r>
      <w:r>
        <w:t>87 процентов</w:t>
      </w:r>
      <w:r>
        <w:rPr>
          <w:snapToGrid w:val="0"/>
          <w:color w:val="000000"/>
        </w:rPr>
        <w:t xml:space="preserve"> которых</w:t>
      </w:r>
      <w:r>
        <w:t>, через посредство открытых, самозанятых, действующих на основе подрядов инструкторов, устроились на приносящую доход работу или получили другие виды работы. В Управлении технического образования и повышения квалификации прошедшие подготовку же</w:t>
      </w:r>
      <w:r>
        <w:t>н</w:t>
      </w:r>
      <w:r>
        <w:t>щины-сварщицы завоевали призы, оставив позади своих коллег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Актуализация гендерной проблематики на национальном уровне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95.</w:t>
      </w:r>
      <w:r>
        <w:tab/>
        <w:t>Проведенная Канадским агентством международного развития оценка оказываемой им помощи показала, что стратегия филиппинского правительства по актуализации гендерной проблематики приносит свои плоды, включая сл</w:t>
      </w:r>
      <w:r>
        <w:t>е</w:t>
      </w:r>
      <w:r>
        <w:t>дующие (Schalkwyk, 2002):</w:t>
      </w:r>
    </w:p>
    <w:p w:rsidR="00000000" w:rsidRDefault="00000000">
      <w:pPr>
        <w:pStyle w:val="SingleTxt"/>
        <w:ind w:left="1740" w:right="1264" w:hanging="476"/>
      </w:pPr>
      <w:r>
        <w:rPr>
          <w:i/>
        </w:rPr>
        <w:t>а)</w:t>
      </w:r>
      <w:r>
        <w:rPr>
          <w:i/>
        </w:rPr>
        <w:tab/>
        <w:t>укрепление личной безопасности путем более эффективного решения проблем бытового насилия на общинном уровне.</w:t>
      </w:r>
      <w:r>
        <w:t xml:space="preserve"> Первые дискуссии между Национальной комиссией по положению филиппинских женщин и мин</w:t>
      </w:r>
      <w:r>
        <w:t>и</w:t>
      </w:r>
      <w:r>
        <w:t>стерством внутренних дел и местных органов власти по вопросам осущ</w:t>
      </w:r>
      <w:r>
        <w:t>е</w:t>
      </w:r>
      <w:r>
        <w:t>ствления стратегии актуализации гендерной проблематики были посв</w:t>
      </w:r>
      <w:r>
        <w:t>я</w:t>
      </w:r>
      <w:r>
        <w:t>щены мерам, принимаемым в связи с бытовым насилием, на уровне б</w:t>
      </w:r>
      <w:r>
        <w:t>а</w:t>
      </w:r>
      <w:r>
        <w:t>рангаев. Они включали разработку протокола о принятии мер барангаями в отношении случаев бытового насилия в целях совершенствования си</w:t>
      </w:r>
      <w:r>
        <w:t>с</w:t>
      </w:r>
      <w:r>
        <w:t>темы информирования о случаях бытового насилия и мер реагирования на них, а также выработку руководящих принципов и путей оказания техн</w:t>
      </w:r>
      <w:r>
        <w:t>и</w:t>
      </w:r>
      <w:r>
        <w:t>ческой помощи должностными лицами барангаев и министерства вну</w:t>
      </w:r>
      <w:r>
        <w:t>т</w:t>
      </w:r>
      <w:r>
        <w:t>ренних дел и местных органов власти в связи с бытовым насилием. В н</w:t>
      </w:r>
      <w:r>
        <w:t>а</w:t>
      </w:r>
      <w:r>
        <w:t>стоящее время ведется пересмотр упомянутого протокола, с тем чтобы привести его в соответствие с недавно принятым законодательством о борьбе с насилием в отношении женщин и детей. Такая совместная де</w:t>
      </w:r>
      <w:r>
        <w:t>я</w:t>
      </w:r>
      <w:r>
        <w:t>тельность национальных ведомств может оказать серьезное воздействие, поскольку министерство внутренних дел и местных органов власти обл</w:t>
      </w:r>
      <w:r>
        <w:t>а</w:t>
      </w:r>
      <w:r>
        <w:t>дает потенциалом в деле содействия осуществлению этого законодател</w:t>
      </w:r>
      <w:r>
        <w:t>ь</w:t>
      </w:r>
      <w:r>
        <w:t>ства, подготовки кадров и монит</w:t>
      </w:r>
      <w:r>
        <w:t>о</w:t>
      </w:r>
      <w:r>
        <w:t>ринга на общенациональном уровне;</w:t>
      </w:r>
    </w:p>
    <w:p w:rsidR="00000000" w:rsidRDefault="00000000">
      <w:pPr>
        <w:pStyle w:val="SingleTxt"/>
        <w:ind w:left="1740" w:right="1264" w:hanging="476"/>
        <w:rPr>
          <w:spacing w:val="-2"/>
        </w:rPr>
      </w:pPr>
      <w:r>
        <w:rPr>
          <w:i/>
          <w:spacing w:val="-2"/>
        </w:rPr>
        <w:t>b)</w:t>
      </w:r>
      <w:r>
        <w:rPr>
          <w:i/>
          <w:spacing w:val="-2"/>
        </w:rPr>
        <w:tab/>
        <w:t>расширение экономических возможностей женщин в сфере лесоводства на общинном уровне.</w:t>
      </w:r>
      <w:r>
        <w:rPr>
          <w:spacing w:val="-2"/>
        </w:rPr>
        <w:t xml:space="preserve"> В качестве первого шага в осуществлении своей стратегии актуализации гендерной проблематики министерство природных ресурсов и по охране окружающей среды сосредоточило внимание на своей программе развития лесоводства на общинном уровне. Его подход предусматривал пров</w:t>
      </w:r>
      <w:r>
        <w:rPr>
          <w:spacing w:val="-2"/>
        </w:rPr>
        <w:t>е</w:t>
      </w:r>
      <w:r>
        <w:rPr>
          <w:spacing w:val="-2"/>
        </w:rPr>
        <w:t>дение гендерного анализа участвующих в этой программе общин и самой пр</w:t>
      </w:r>
      <w:r>
        <w:rPr>
          <w:spacing w:val="-2"/>
        </w:rPr>
        <w:t>о</w:t>
      </w:r>
      <w:r>
        <w:rPr>
          <w:spacing w:val="-2"/>
        </w:rPr>
        <w:t>граммы. Благодаря изменениям, внесенным впоследствии в программу, ра</w:t>
      </w:r>
      <w:r>
        <w:rPr>
          <w:spacing w:val="-2"/>
        </w:rPr>
        <w:t>с</w:t>
      </w:r>
      <w:r>
        <w:rPr>
          <w:spacing w:val="-2"/>
        </w:rPr>
        <w:t>ширилась практика заключения с женщинами контрактов на управление, что позволило усилить контроль со стороны женщин за лесными ресурсами. Кр</w:t>
      </w:r>
      <w:r>
        <w:rPr>
          <w:spacing w:val="-2"/>
        </w:rPr>
        <w:t>о</w:t>
      </w:r>
      <w:r>
        <w:rPr>
          <w:spacing w:val="-2"/>
        </w:rPr>
        <w:t>ме того, министерство природных ресурсов и по охране окружающей среды изменило критерии отбора участвующих в этой деятельности народных орг</w:t>
      </w:r>
      <w:r>
        <w:rPr>
          <w:spacing w:val="-2"/>
        </w:rPr>
        <w:t>а</w:t>
      </w:r>
      <w:r>
        <w:rPr>
          <w:spacing w:val="-2"/>
        </w:rPr>
        <w:t>низаций. Оно подготовило группы специалистов для обеспечения участия женщин в принятии решений в отношении общинных проектов обеспечения источников средств к существованию. Поскольку эта программа является б</w:t>
      </w:r>
      <w:r>
        <w:rPr>
          <w:spacing w:val="-2"/>
        </w:rPr>
        <w:t>а</w:t>
      </w:r>
      <w:r>
        <w:rPr>
          <w:spacing w:val="-2"/>
        </w:rPr>
        <w:t>зовой, изменение ее ориентации может расширить возможности женщин во многих областях. К тому же позитивный опыт этой программы в деле актуал</w:t>
      </w:r>
      <w:r>
        <w:rPr>
          <w:spacing w:val="-2"/>
        </w:rPr>
        <w:t>и</w:t>
      </w:r>
      <w:r>
        <w:rPr>
          <w:spacing w:val="-2"/>
        </w:rPr>
        <w:t>зации гендерной проблематики послужил толчком для пересмотра других пр</w:t>
      </w:r>
      <w:r>
        <w:rPr>
          <w:spacing w:val="-2"/>
        </w:rPr>
        <w:t>о</w:t>
      </w:r>
      <w:r>
        <w:rPr>
          <w:spacing w:val="-2"/>
        </w:rPr>
        <w:t>грамм министерс</w:t>
      </w:r>
      <w:r>
        <w:rPr>
          <w:spacing w:val="-2"/>
        </w:rPr>
        <w:t>т</w:t>
      </w:r>
      <w:r>
        <w:rPr>
          <w:spacing w:val="-2"/>
        </w:rPr>
        <w:t>ва природных ресурсов и по охране окружающей среды;</w:t>
      </w:r>
    </w:p>
    <w:p w:rsidR="00000000" w:rsidRDefault="00000000">
      <w:pPr>
        <w:pStyle w:val="SingleTxt"/>
        <w:ind w:left="1740" w:right="1264" w:hanging="476"/>
        <w:rPr>
          <w:spacing w:val="-2"/>
          <w:u w:val="single"/>
        </w:rPr>
      </w:pPr>
      <w:r>
        <w:rPr>
          <w:i/>
        </w:rPr>
        <w:t>с)</w:t>
      </w:r>
      <w:r>
        <w:rPr>
          <w:i/>
        </w:rPr>
        <w:tab/>
      </w:r>
      <w:r>
        <w:rPr>
          <w:i/>
          <w:spacing w:val="-2"/>
        </w:rPr>
        <w:t>расширение</w:t>
      </w:r>
      <w:r>
        <w:rPr>
          <w:i/>
        </w:rPr>
        <w:t xml:space="preserve"> доступа женщин к ресурсам местных учреждений в целях удовлетворения местных потребностей.</w:t>
      </w:r>
      <w:r>
        <w:t xml:space="preserve"> С годами бюджетная политика в области ГИР стала предметом активного лоббирования со стороны же</w:t>
      </w:r>
      <w:r>
        <w:t>н</w:t>
      </w:r>
      <w:r>
        <w:t>ских организаций, многие из которых активно работают над ее осущест</w:t>
      </w:r>
      <w:r>
        <w:t>в</w:t>
      </w:r>
      <w:r>
        <w:t>лением. Она является мощным инструментом обсуждения женщинами с государственными органами и местными органами власти вопросов с</w:t>
      </w:r>
      <w:r>
        <w:t>о</w:t>
      </w:r>
      <w:r>
        <w:t>вершенствования программ, проектов и услуг. Примером этого является группа в количестве 70 женщин, проживающих в одной из деревень Ми</w:t>
      </w:r>
      <w:r>
        <w:t>н</w:t>
      </w:r>
      <w:r>
        <w:t>данао, которая договорилась с должностными лицами барангаев о ее а</w:t>
      </w:r>
      <w:r>
        <w:t>к</w:t>
      </w:r>
      <w:r>
        <w:t>кредитации в качестве законной организации, подготовила план в области ГИР и представила его совету барангая. Средства, выделенные на первый год, были использованы частично для превращения бывшего здания дер</w:t>
      </w:r>
      <w:r>
        <w:t>е</w:t>
      </w:r>
      <w:r>
        <w:t>венского совета в женский центр, а ассигнования, выделенные на второй год, пошли на подготовку в вопросах обеспечения источников средств к существованию и приобретение оборудования для целей предприним</w:t>
      </w:r>
      <w:r>
        <w:t>а</w:t>
      </w:r>
      <w:r>
        <w:t>тельства. Благодаря процессу консультаций о финансировании ГИР эта женская организация смогла также обеспечить свое участие в процессе принятия решений и в политической жизни барангаев.</w:t>
      </w:r>
    </w:p>
    <w:p w:rsidR="00000000" w:rsidRDefault="00000000">
      <w:pPr>
        <w:pStyle w:val="SingleTxt"/>
        <w:ind w:left="1740" w:right="1264" w:hanging="476"/>
        <w:rPr>
          <w:spacing w:val="-2"/>
          <w:u w:val="single"/>
        </w:rPr>
      </w:pPr>
      <w:r>
        <w:rPr>
          <w:i/>
          <w:spacing w:val="-2"/>
        </w:rPr>
        <w:t>d)</w:t>
      </w:r>
      <w:r>
        <w:rPr>
          <w:i/>
          <w:spacing w:val="-2"/>
        </w:rPr>
        <w:tab/>
        <w:t xml:space="preserve">доступность периодической гендерной статистики. </w:t>
      </w:r>
      <w:r>
        <w:rPr>
          <w:spacing w:val="-2"/>
        </w:rPr>
        <w:t>Это стало возможным благодаря регламентированной политике, проводимой различными учрежд</w:t>
      </w:r>
      <w:r>
        <w:rPr>
          <w:spacing w:val="-2"/>
        </w:rPr>
        <w:t>е</w:t>
      </w:r>
      <w:r>
        <w:rPr>
          <w:spacing w:val="-2"/>
        </w:rPr>
        <w:t>ниями и филиппинской статистической системой в области сбора статистич</w:t>
      </w:r>
      <w:r>
        <w:rPr>
          <w:spacing w:val="-2"/>
        </w:rPr>
        <w:t>е</w:t>
      </w:r>
      <w:r>
        <w:rPr>
          <w:spacing w:val="-2"/>
        </w:rPr>
        <w:t>ских данных по гендерным вопросам, расширению практики сбора и публик</w:t>
      </w:r>
      <w:r>
        <w:rPr>
          <w:spacing w:val="-2"/>
        </w:rPr>
        <w:t>а</w:t>
      </w:r>
      <w:r>
        <w:rPr>
          <w:spacing w:val="-2"/>
        </w:rPr>
        <w:t>ции статистических данных по женской/гендерной проблематике для распр</w:t>
      </w:r>
      <w:r>
        <w:rPr>
          <w:spacing w:val="-2"/>
        </w:rPr>
        <w:t>о</w:t>
      </w:r>
      <w:r>
        <w:rPr>
          <w:spacing w:val="-2"/>
        </w:rPr>
        <w:t>странения и использования в целях подготовки кадров и проведения исслед</w:t>
      </w:r>
      <w:r>
        <w:rPr>
          <w:spacing w:val="-2"/>
        </w:rPr>
        <w:t>о</w:t>
      </w:r>
      <w:r>
        <w:rPr>
          <w:spacing w:val="-2"/>
        </w:rPr>
        <w:t>ваний, а также созданию и укреплению механизмов сотрудничества в генде</w:t>
      </w:r>
      <w:r>
        <w:rPr>
          <w:spacing w:val="-2"/>
        </w:rPr>
        <w:t>р</w:t>
      </w:r>
      <w:r>
        <w:rPr>
          <w:spacing w:val="-2"/>
        </w:rPr>
        <w:t>ных вопросах и гендерной статистике (НКПФЖ, 2002c).</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Учет гендерной проблематики в работе местных органов власти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u w:val="single"/>
        </w:rPr>
      </w:pPr>
      <w:r>
        <w:t>96.</w:t>
      </w:r>
      <w:r>
        <w:tab/>
        <w:t>За последнее десятилетие местные органы власти стали в большей степ</w:t>
      </w:r>
      <w:r>
        <w:t>е</w:t>
      </w:r>
      <w:r>
        <w:t>ни учитывать в своей работе гендерную проблематику. Этому содействовало принятие ими кодексов ГИР. В этих кодексах сформулирована позиция указа</w:t>
      </w:r>
      <w:r>
        <w:t>н</w:t>
      </w:r>
      <w:r>
        <w:t>ных органов в отношении расширения, защиты и осуществления прав женщин и обеспечения гендерного равенства и предложены комплексные меры по удовлетворению практических и стратегических гендерных потребностей женщин и мужчин. (</w:t>
      </w:r>
      <w:r>
        <w:rPr>
          <w:spacing w:val="-2"/>
        </w:rPr>
        <w:t>НКПФЖ</w:t>
      </w:r>
      <w:r>
        <w:t>, 2001). К типовым кодексам ГИР относятся коде</w:t>
      </w:r>
      <w:r>
        <w:t>к</w:t>
      </w:r>
      <w:r>
        <w:t>сы города Давао (Указ №. 5004-1997), провинции Котабато (Указ № 202-2000), провинции Мисамис Восточный (Указ № 26-2000), Квезон-Сити (Указ № 1036-2001) и Анджелес-Сити (Указ № 634-1998). В провинции Аклан благодаря ключевым мероприятиям по укреплению координационного механизма пр</w:t>
      </w:r>
      <w:r>
        <w:t>о</w:t>
      </w:r>
      <w:r>
        <w:t>винции и информационно-пропагандистской работы в отношении ГИР с уч</w:t>
      </w:r>
      <w:r>
        <w:t>а</w:t>
      </w:r>
      <w:r>
        <w:t>стием местных должностных лиц удалось определить приоритетные для этой провинции гендерные вопросы и разработать планы по таким проблемам, как репродуктивное здоровье и насилие в отношении женщин. В настоящее время такие указы были приняты примерно 30 местными органами власти.</w:t>
      </w:r>
    </w:p>
    <w:p w:rsidR="00000000" w:rsidRDefault="00000000">
      <w:pPr>
        <w:pStyle w:val="SingleTxt"/>
      </w:pPr>
      <w:r>
        <w:t>97.</w:t>
      </w:r>
      <w:r>
        <w:tab/>
        <w:t>Однако существует ряд областей, в которых положение не изменилось или ухудшилось по сравнению с концом 1990-х годов.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Области, вызывающие беспокойство</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Участие женщин в политической жизни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98.</w:t>
      </w:r>
      <w:r>
        <w:tab/>
        <w:t>Сколько-нибудь значительного прогресса в отношении участия женщин в политической жизни отм</w:t>
      </w:r>
      <w:r>
        <w:t>е</w:t>
      </w:r>
      <w:r>
        <w:t>чено не было, поскольку в этом плане женщины по-прежнему маргинализированы.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ind w:left="1264" w:right="1264"/>
        <w:rPr>
          <w:i/>
          <w:spacing w:val="-2"/>
        </w:rPr>
      </w:pPr>
      <w:r>
        <w:rPr>
          <w:i/>
          <w:spacing w:val="-2"/>
        </w:rPr>
        <w:t>Нищета в сельских районах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99.</w:t>
      </w:r>
      <w:r>
        <w:tab/>
        <w:t>Положение женщин в сельских районах по-прежнему вызывает серьезное беспокойство. Несмотря на принятие ряда директивных документов и пр</w:t>
      </w:r>
      <w:r>
        <w:t>о</w:t>
      </w:r>
      <w:r>
        <w:t>грамм по сокращению масштабов нищеты, особенно в сельской местности, пробелы в их осуществлении и пережитый страной экономический кризис, как правило, сводят на нет любые возможные выгоды для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ind w:left="1264" w:right="1264"/>
        <w:rPr>
          <w:i/>
          <w:spacing w:val="-2"/>
        </w:rPr>
      </w:pPr>
      <w:r>
        <w:rPr>
          <w:i/>
          <w:spacing w:val="-2"/>
        </w:rPr>
        <w:t>Показатель безработицы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rPr>
          <w:spacing w:val="-2"/>
        </w:rPr>
      </w:pPr>
      <w:r>
        <w:rPr>
          <w:spacing w:val="-2"/>
        </w:rPr>
        <w:t>100.</w:t>
      </w:r>
      <w:r>
        <w:rPr>
          <w:spacing w:val="-2"/>
        </w:rPr>
        <w:tab/>
      </w:r>
      <w:r>
        <w:t xml:space="preserve">Плачевное состояние филиппинской экономики гонит людей из деревни в поисках работы или обустройства за рубежом на постоянной основе. </w:t>
      </w:r>
      <w:r>
        <w:rPr>
          <w:spacing w:val="-2"/>
        </w:rPr>
        <w:t>За искл</w:t>
      </w:r>
      <w:r>
        <w:rPr>
          <w:spacing w:val="-2"/>
        </w:rPr>
        <w:t>ю</w:t>
      </w:r>
      <w:r>
        <w:rPr>
          <w:spacing w:val="-2"/>
        </w:rPr>
        <w:t>чением одного-двух лет показатель безработицы среди женщин сохраняется на б</w:t>
      </w:r>
      <w:r>
        <w:rPr>
          <w:spacing w:val="-2"/>
        </w:rPr>
        <w:t>о</w:t>
      </w:r>
      <w:r>
        <w:rPr>
          <w:spacing w:val="-2"/>
        </w:rPr>
        <w:t>лее высоком уровне по сравнению с соответствующим показателем для мужчин. Р</w:t>
      </w:r>
      <w:r>
        <w:rPr>
          <w:spacing w:val="-2"/>
        </w:rPr>
        <w:t>а</w:t>
      </w:r>
      <w:r>
        <w:rPr>
          <w:spacing w:val="-2"/>
        </w:rPr>
        <w:t>бота за рубежом постоянно феминизируется, поскольку все большее число женщин, как замужних, так и незамужних, вынуждены искать более высокооплачиваемую работу. Хотя работа за рубежом служит источником поступления долларов, что у</w:t>
      </w:r>
      <w:r>
        <w:rPr>
          <w:spacing w:val="-2"/>
        </w:rPr>
        <w:t>с</w:t>
      </w:r>
      <w:r>
        <w:rPr>
          <w:spacing w:val="-2"/>
        </w:rPr>
        <w:t>коряет темпы развития экономики, работающие в других странах по контракту женщины подвергаются опасности стать объектами торговли, проституции, секс</w:t>
      </w:r>
      <w:r>
        <w:rPr>
          <w:spacing w:val="-2"/>
        </w:rPr>
        <w:t>у</w:t>
      </w:r>
      <w:r>
        <w:rPr>
          <w:spacing w:val="-2"/>
        </w:rPr>
        <w:t>ального надругательства, они оказываются в иной культурной среде, оказываются в условиях социальной изоляции в принимающих странах, испытывают проблемы эмоционального характера в связи с разлукой с близкими людьми, их семьи расп</w:t>
      </w:r>
      <w:r>
        <w:rPr>
          <w:spacing w:val="-2"/>
        </w:rPr>
        <w:t>а</w:t>
      </w:r>
      <w:r>
        <w:rPr>
          <w:spacing w:val="-2"/>
        </w:rPr>
        <w:t>даю</w:t>
      </w:r>
      <w:r>
        <w:rPr>
          <w:spacing w:val="-2"/>
        </w:rPr>
        <w:t>т</w:t>
      </w:r>
      <w:r>
        <w:rPr>
          <w:spacing w:val="-2"/>
        </w:rPr>
        <w:t>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Условия занятости женщин, работающих в перерабатывающей промышленности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101.</w:t>
      </w:r>
      <w:r>
        <w:rPr>
          <w:i/>
        </w:rPr>
        <w:tab/>
      </w:r>
      <w:r>
        <w:t>Выражается озабоченность по поводу экономического положения женщин в условиях глобализации и финансово-экономического кризиса конца 1990-х годов. Ряд женщин, работавших в таких отраслях, как швейная промышле</w:t>
      </w:r>
      <w:r>
        <w:t>н</w:t>
      </w:r>
      <w:r>
        <w:t>ность и производство ремесленных изделий, были уволены, поскольку местные производители закрыли свои производства под напором более дешевого и</w:t>
      </w:r>
      <w:r>
        <w:t>м</w:t>
      </w:r>
      <w:r>
        <w:t>порта на внутреннем рынке и более дешевого экспорта других стран на мир</w:t>
      </w:r>
      <w:r>
        <w:t>о</w:t>
      </w:r>
      <w:r>
        <w:t>вом рынке.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Лица, работающие в неформальном секторе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102.</w:t>
      </w:r>
      <w:r>
        <w:tab/>
        <w:t>Крайне неблагоприятные экономические условия и условия в плане тр</w:t>
      </w:r>
      <w:r>
        <w:t>у</w:t>
      </w:r>
      <w:r>
        <w:t>доустройства в перерабатывающей промышленности вынуждают многих же</w:t>
      </w:r>
      <w:r>
        <w:t>н</w:t>
      </w:r>
      <w:r>
        <w:t>щин соглашаться на низкооплачиваемую, уязвимую и нестабильную работу и вступать в неформальный сектор, являющийся опасным, незащищенным и преимущественно нерегулируемым сектором, а работающие там люди практ</w:t>
      </w:r>
      <w:r>
        <w:t>и</w:t>
      </w:r>
      <w:r>
        <w:t>чески не имеют прав и доступа к различным видам обслуживания или помощи. Масштабы неформального сектора оцениваются в промежутке между 52 процентами и 85 процентами</w:t>
      </w:r>
      <w:r>
        <w:rPr>
          <w:rStyle w:val="FootnoteReference"/>
        </w:rPr>
        <w:footnoteReference w:id="13"/>
      </w:r>
      <w:r>
        <w:t xml:space="preserve"> с учетом отмеченного в период 1980-1998 годов сокращения, которое в 1999 году приостановилось на короткое вр</w:t>
      </w:r>
      <w:r>
        <w:t>е</w:t>
      </w:r>
      <w:r>
        <w:t>мя, однако в дальнейшем сектор несколько расширился – с 51,0 процента до 51,7 процента (Yu 2001).</w:t>
      </w:r>
    </w:p>
    <w:p w:rsidR="00000000" w:rsidRDefault="00000000">
      <w:pPr>
        <w:pStyle w:val="SingleTxt"/>
        <w:rPr>
          <w:spacing w:val="-2"/>
        </w:rPr>
      </w:pPr>
      <w:r>
        <w:rPr>
          <w:spacing w:val="-2"/>
        </w:rPr>
        <w:t>103.</w:t>
      </w:r>
      <w:r>
        <w:rPr>
          <w:spacing w:val="-2"/>
        </w:rPr>
        <w:tab/>
        <w:t>По данным государственного Института исследований рабочей силы, доля женщин, занятых в неформальном секторе, возросла с 39 процентов в 1996 году до 42 процентов – в 2001 году. Работа в неформальном секторе дает возможность же</w:t>
      </w:r>
      <w:r>
        <w:rPr>
          <w:spacing w:val="-2"/>
        </w:rPr>
        <w:t>н</w:t>
      </w:r>
      <w:r>
        <w:rPr>
          <w:spacing w:val="-2"/>
        </w:rPr>
        <w:t>щинам сочетать выполнение своих репродуктивных функций с производственной работой, выполнением продуктивных функций в таких областях, обеспечивающих источники средств к существованию, как мелкая торговля или торговля вразнос, р</w:t>
      </w:r>
      <w:r>
        <w:rPr>
          <w:spacing w:val="-2"/>
        </w:rPr>
        <w:t>а</w:t>
      </w:r>
      <w:r>
        <w:rPr>
          <w:spacing w:val="-2"/>
        </w:rPr>
        <w:t>бота на небольших предприятиях питания или в магазинах, стирка белья или шитье на дому. Работа в этом секторе истощает физически, не обеспечена надлежащими условиями, а доход, как правило, невелик или непостоянен. Кроме того, работа в неформальном секторе закрепляет различн</w:t>
      </w:r>
      <w:r>
        <w:rPr>
          <w:spacing w:val="-2"/>
        </w:rPr>
        <w:t>о</w:t>
      </w:r>
      <w:r>
        <w:rPr>
          <w:spacing w:val="-2"/>
        </w:rPr>
        <w:t>го рода бремя, которое несут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1" w:name="_Toc85174890"/>
      <w:r>
        <w:t xml:space="preserve">III. </w:t>
      </w:r>
      <w:r>
        <w:tab/>
        <w:t>Рамки политики и программ: актуализация гендерной проблематики</w:t>
      </w:r>
      <w:bookmarkEnd w:id="2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Филиппинский план развития в интересах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rPr>
          <w:spacing w:val="-2"/>
        </w:rPr>
        <w:t>104.</w:t>
      </w:r>
      <w:r>
        <w:rPr>
          <w:spacing w:val="-2"/>
        </w:rPr>
        <w:tab/>
        <w:t>В 1987 году, еще до того, как этот подход был принят в качестве междунаро</w:t>
      </w:r>
      <w:r>
        <w:rPr>
          <w:spacing w:val="-2"/>
        </w:rPr>
        <w:t>д</w:t>
      </w:r>
      <w:r>
        <w:rPr>
          <w:spacing w:val="-2"/>
        </w:rPr>
        <w:t>ной нормы, филиппинское правительство стало инициатором процесса актуализ</w:t>
      </w:r>
      <w:r>
        <w:rPr>
          <w:spacing w:val="-2"/>
        </w:rPr>
        <w:t>а</w:t>
      </w:r>
      <w:r>
        <w:rPr>
          <w:spacing w:val="-2"/>
        </w:rPr>
        <w:t>ции гендерной проблематики и вопросов развития. Это произошло вскоре после т</w:t>
      </w:r>
      <w:r>
        <w:rPr>
          <w:spacing w:val="-2"/>
        </w:rPr>
        <w:t>о</w:t>
      </w:r>
      <w:r>
        <w:rPr>
          <w:spacing w:val="-2"/>
        </w:rPr>
        <w:t>го, как движение «Власть народа» привело к власти в качестве президента Корасон К.Акино. Этот процесс начался с изменения Среднесрочного плана развития Ф</w:t>
      </w:r>
      <w:r>
        <w:rPr>
          <w:spacing w:val="-2"/>
        </w:rPr>
        <w:t>и</w:t>
      </w:r>
      <w:r>
        <w:rPr>
          <w:spacing w:val="-2"/>
        </w:rPr>
        <w:t>липпин (ССПРФ) на 1987-1992 годы путем включения фразы «Женщины, которые составляют половину населения, должны активно вовлекаться в жизнь общества» в общее директивное направление плана, связанное с использованием национальных людских ресурсов в интересах сокращения масштабов нищеты, создания рабочих мест, поощрения социального равенства и справедливости и достижения устойчив</w:t>
      </w:r>
      <w:r>
        <w:rPr>
          <w:spacing w:val="-2"/>
        </w:rPr>
        <w:t>о</w:t>
      </w:r>
      <w:r>
        <w:rPr>
          <w:spacing w:val="-2"/>
        </w:rPr>
        <w:t>го экономического роста. Это заложило основу для разработки и принятия Фили</w:t>
      </w:r>
      <w:r>
        <w:rPr>
          <w:spacing w:val="-2"/>
        </w:rPr>
        <w:t>п</w:t>
      </w:r>
      <w:r>
        <w:rPr>
          <w:spacing w:val="-2"/>
        </w:rPr>
        <w:t>пинского плана развития в интересах женщин (ФПРЖ) на 1989-1992 годы в качестве дополнения к ССПРФ на 1987-1992 годы. Национальная комиссия по налогообл</w:t>
      </w:r>
      <w:r>
        <w:rPr>
          <w:spacing w:val="-2"/>
        </w:rPr>
        <w:t>о</w:t>
      </w:r>
      <w:r>
        <w:rPr>
          <w:spacing w:val="-2"/>
        </w:rPr>
        <w:t>жению филиппинских женщин (НКПФЖ), являющаяся национальным механизмом работы в интересах женщин, тесно взаимодействовала с Управлением по вопросам национальной экономики и развития (УНЭР), являющегося центральным плановым ведомством, в координации подготовки и принятия ФПРЖ.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Филиппинский план развития с учетом гендерных аспектов</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105.</w:t>
      </w:r>
      <w:r>
        <w:tab/>
        <w:t>Сознавая тот факт, что преобразование социально-культурной и политико-экономической системы потребует времени и системного подхода, правител</w:t>
      </w:r>
      <w:r>
        <w:t>ь</w:t>
      </w:r>
      <w:r>
        <w:t xml:space="preserve">ство постановило, что следующий план должен охватывать тридцатилетний период. Филиппинский план развития с учетом гендерных аспектов (ФПРГ) на 1995-2025 годы представляет собой стратегический план, предусматривающий отражение положений Конвенции о ликвидации дискриминации в отношении женщин и Пекинской платформы действий в политике, стратегиях, программах и проектах в интересах </w:t>
      </w:r>
      <w:r>
        <w:rPr>
          <w:spacing w:val="-2"/>
        </w:rPr>
        <w:t>филиппинских женщин. Цели ФПРГ предусматривают, в частности, расширение прав и возможностей женщин и обеспечение гендерного р</w:t>
      </w:r>
      <w:r>
        <w:rPr>
          <w:spacing w:val="-2"/>
        </w:rPr>
        <w:t>а</w:t>
      </w:r>
      <w:r>
        <w:rPr>
          <w:spacing w:val="-2"/>
        </w:rPr>
        <w:t>венства. По аналогии с ФПРЖ разработка ФПРГ велась с участием других госуда</w:t>
      </w:r>
      <w:r>
        <w:rPr>
          <w:spacing w:val="-2"/>
        </w:rPr>
        <w:t>р</w:t>
      </w:r>
      <w:r>
        <w:rPr>
          <w:spacing w:val="-2"/>
        </w:rPr>
        <w:t xml:space="preserve">ственных ведомств и сторонников </w:t>
      </w:r>
      <w:r>
        <w:t>идеи принятия мер по решению гендерных в</w:t>
      </w:r>
      <w:r>
        <w:t>о</w:t>
      </w:r>
      <w:r>
        <w:t>просов и вопросов развития в неправительственных организациях, а также н</w:t>
      </w:r>
      <w:r>
        <w:t>а</w:t>
      </w:r>
      <w:r>
        <w:t>учных кругах.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Рамочный план в интересах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106.</w:t>
      </w:r>
      <w:r>
        <w:tab/>
        <w:t>Как составной элемент ФПРГ Рамочный план в интересах женщин (РПЖ) преследует двоякую цель обеспечения гендерного равенства и расширения прав и возможностей женщин. РПЖ охватывает более конкретные, выполн</w:t>
      </w:r>
      <w:r>
        <w:t>и</w:t>
      </w:r>
      <w:r>
        <w:t>мые и ориентированные на результаты программы и проекты. В нем процесс развития рассматривается как «справедливый, устойчивый, свободный от н</w:t>
      </w:r>
      <w:r>
        <w:t>а</w:t>
      </w:r>
      <w:r>
        <w:t>силия, основанный на уважении прав человека, поддержке идеи самоопредел</w:t>
      </w:r>
      <w:r>
        <w:t>е</w:t>
      </w:r>
      <w:r>
        <w:t>ния и использовании людского потенциала, а также на участии широких слоев населения и предусматривающих расширение прав и возможностей» процесс. Как отмечалось в предыдущих разделах, основу РПЖ составляют три области, вызывающие озабоченность.</w:t>
      </w:r>
      <w:r>
        <w:rPr>
          <w:color w:val="000000"/>
        </w:rPr>
        <w:t xml:space="preserve"> Он предусматривает также стандарты и механи</w:t>
      </w:r>
      <w:r>
        <w:rPr>
          <w:color w:val="000000"/>
        </w:rPr>
        <w:t>з</w:t>
      </w:r>
      <w:r>
        <w:rPr>
          <w:color w:val="000000"/>
        </w:rPr>
        <w:t>мы выполнения страной своих обязательств по международным соглашениям, таким, как Конвенция о ликвидации дискриминации в отношении женщин, П</w:t>
      </w:r>
      <w:r>
        <w:rPr>
          <w:color w:val="000000"/>
        </w:rPr>
        <w:t>е</w:t>
      </w:r>
      <w:r>
        <w:rPr>
          <w:color w:val="000000"/>
        </w:rPr>
        <w:t>кинская платформа действий и итог</w:t>
      </w:r>
      <w:r>
        <w:rPr>
          <w:color w:val="000000"/>
        </w:rPr>
        <w:t>о</w:t>
      </w:r>
      <w:r>
        <w:rPr>
          <w:color w:val="000000"/>
        </w:rPr>
        <w:t>вый документ «Пекин+5».</w:t>
      </w:r>
    </w:p>
    <w:p w:rsidR="00000000" w:rsidRDefault="00000000">
      <w:pPr>
        <w:pStyle w:val="SingleTxt"/>
        <w:rPr>
          <w:color w:val="000000"/>
          <w:spacing w:val="-2"/>
        </w:rPr>
      </w:pPr>
      <w:r>
        <w:rPr>
          <w:spacing w:val="-2"/>
        </w:rPr>
        <w:t>107.</w:t>
      </w:r>
      <w:r>
        <w:rPr>
          <w:spacing w:val="-2"/>
        </w:rPr>
        <w:tab/>
        <w:t>Задачи РПЖ в вопросе расширения экономических прав и возможностей же</w:t>
      </w:r>
      <w:r>
        <w:rPr>
          <w:spacing w:val="-2"/>
        </w:rPr>
        <w:t>н</w:t>
      </w:r>
      <w:r>
        <w:rPr>
          <w:spacing w:val="-2"/>
        </w:rPr>
        <w:t>щин предусматривают следующее: укрепление устойчивого доступа женщин к к</w:t>
      </w:r>
      <w:r>
        <w:rPr>
          <w:spacing w:val="-2"/>
        </w:rPr>
        <w:t>а</w:t>
      </w:r>
      <w:r>
        <w:rPr>
          <w:spacing w:val="-2"/>
        </w:rPr>
        <w:t>питалу, рынку, информации, технологии и технической помощи; укрепление де</w:t>
      </w:r>
      <w:r>
        <w:rPr>
          <w:spacing w:val="-2"/>
        </w:rPr>
        <w:t>я</w:t>
      </w:r>
      <w:r>
        <w:rPr>
          <w:spacing w:val="-2"/>
        </w:rPr>
        <w:t>тельности по трудоустройству женщин и привитию им навыков в целях обеспечения источников средств к существованию, особенно в высокотехнологичных отраслях промышленности и сельскохозяйственной деятельности: создание благоприятных условий, обеспечивающих осуществление политики защиты трудящихся-женщин; повышение уровня осознания женщинами своих экономических прав и возможн</w:t>
      </w:r>
      <w:r>
        <w:rPr>
          <w:spacing w:val="-2"/>
        </w:rPr>
        <w:t>о</w:t>
      </w:r>
      <w:r>
        <w:rPr>
          <w:spacing w:val="-2"/>
        </w:rPr>
        <w:t>стей; и укрепление участие женщин в директивных экономических органах.</w:t>
      </w:r>
    </w:p>
    <w:p w:rsidR="00000000" w:rsidRDefault="00000000">
      <w:pPr>
        <w:pStyle w:val="SingleTxt"/>
        <w:rPr>
          <w:color w:val="000000"/>
          <w:spacing w:val="-2"/>
        </w:rPr>
      </w:pPr>
      <w:r>
        <w:rPr>
          <w:spacing w:val="-2"/>
        </w:rPr>
        <w:t>108.</w:t>
      </w:r>
      <w:r>
        <w:rPr>
          <w:spacing w:val="-2"/>
        </w:rPr>
        <w:tab/>
        <w:t>Задачи, касающиеся защиты и осуществления прав человека женщин, закл</w:t>
      </w:r>
      <w:r>
        <w:rPr>
          <w:spacing w:val="-2"/>
        </w:rPr>
        <w:t>ю</w:t>
      </w:r>
      <w:r>
        <w:rPr>
          <w:spacing w:val="-2"/>
        </w:rPr>
        <w:t>чаются в следующем: укрепление доступа к базовым социальным услугам; содейс</w:t>
      </w:r>
      <w:r>
        <w:rPr>
          <w:spacing w:val="-2"/>
        </w:rPr>
        <w:t>т</w:t>
      </w:r>
      <w:r>
        <w:rPr>
          <w:spacing w:val="-2"/>
        </w:rPr>
        <w:t>вие, с учетом гендерных аспектов, обеспечению справедливости для женщин, ста</w:t>
      </w:r>
      <w:r>
        <w:rPr>
          <w:spacing w:val="-2"/>
        </w:rPr>
        <w:t>в</w:t>
      </w:r>
      <w:r>
        <w:rPr>
          <w:spacing w:val="-2"/>
        </w:rPr>
        <w:t>ших жертвами насилия, формулирование и осуществление законодательных мер по ликвидации гендерной дискриминации; и поощрение и пропаганда прав человека женщин и девочек.</w:t>
      </w:r>
    </w:p>
    <w:p w:rsidR="00000000" w:rsidRDefault="00000000">
      <w:pPr>
        <w:pStyle w:val="SingleTxt"/>
        <w:rPr>
          <w:color w:val="000000"/>
          <w:spacing w:val="-2"/>
        </w:rPr>
      </w:pPr>
      <w:r>
        <w:rPr>
          <w:spacing w:val="-2"/>
        </w:rPr>
        <w:t>109.</w:t>
      </w:r>
      <w:r>
        <w:rPr>
          <w:spacing w:val="-2"/>
        </w:rPr>
        <w:tab/>
        <w:t>Задачи РПЖ в деле содействия учитывающему гендерные аспекты управл</w:t>
      </w:r>
      <w:r>
        <w:rPr>
          <w:spacing w:val="-2"/>
        </w:rPr>
        <w:t>е</w:t>
      </w:r>
      <w:r>
        <w:rPr>
          <w:spacing w:val="-2"/>
        </w:rPr>
        <w:t>нию заключаются в следующем: обеспечение учета гендерных аспектов в деятел</w:t>
      </w:r>
      <w:r>
        <w:rPr>
          <w:spacing w:val="-2"/>
        </w:rPr>
        <w:t>ь</w:t>
      </w:r>
      <w:r>
        <w:rPr>
          <w:spacing w:val="-2"/>
        </w:rPr>
        <w:t>ности чиновников; укрепление лидирующей роли женщин и их участия в принятии решений; укрепление роли женщин в деле содействия учитывающему гендерные аспекты управлению; и укрепление партнерства со средствами массовой информ</w:t>
      </w:r>
      <w:r>
        <w:rPr>
          <w:spacing w:val="-2"/>
        </w:rPr>
        <w:t>а</w:t>
      </w:r>
      <w:r>
        <w:rPr>
          <w:spacing w:val="-2"/>
        </w:rPr>
        <w:t>ции в освещении различных в</w:t>
      </w:r>
      <w:r>
        <w:rPr>
          <w:spacing w:val="-2"/>
        </w:rPr>
        <w:t>о</w:t>
      </w:r>
      <w:r>
        <w:rPr>
          <w:spacing w:val="-2"/>
        </w:rPr>
        <w:t>просов, касающихся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Стратегия актуализации гендерной проблематики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110.</w:t>
      </w:r>
      <w:r>
        <w:tab/>
        <w:t>Подобно ФПРЖ и ФПРГ, РПЖ осуществляется в рамках стратегии акту</w:t>
      </w:r>
      <w:r>
        <w:t>а</w:t>
      </w:r>
      <w:r>
        <w:t>лизации гендерной проблематики и в соответствии с существующими руков</w:t>
      </w:r>
      <w:r>
        <w:t>о</w:t>
      </w:r>
      <w:r>
        <w:t>дящими принципами разработки ведомственных планов решения гендерных вопросов и вопросов развития и использования средств бюджета на гендерные цели. Эта стратегия предусматривает комплексную интеграцию гендерных принципов и концепций в процесс разработки, осуществления, мониторинга и оценки политики и программ. К ключевым элементам успешного осуществл</w:t>
      </w:r>
      <w:r>
        <w:t>е</w:t>
      </w:r>
      <w:r>
        <w:t>ния стратегии актуализации гендерной проблематики относятся следующие: a) данные и статистика в разбивке по полу, b) наличие кадров и возможностей для проведения гендерного анализа, c) эффективный мониторинг и оценка систем и инструментов, d) наличие национальных, субнациональных и местных структур с четко определенными функциями в вопросах руководства и обесп</w:t>
      </w:r>
      <w:r>
        <w:t>е</w:t>
      </w:r>
      <w:r>
        <w:t>чения актуализации гендерной проблематики, e) эффективная коммуникация, сети и связи, f) наличие базы квалифицированных людских ресурсов, g) уч</w:t>
      </w:r>
      <w:r>
        <w:t>а</w:t>
      </w:r>
      <w:r>
        <w:t>стие гр</w:t>
      </w:r>
      <w:r>
        <w:t>а</w:t>
      </w:r>
      <w:r>
        <w:t>жданского общества, и h) финансирование ГИР.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Политика финансирования деятельности по решению гендерных вопросов и вопросов развития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111.</w:t>
      </w:r>
      <w:r>
        <w:tab/>
        <w:t>После того, как стало ясно, что процесс осуществления ФПРЖ сталкив</w:t>
      </w:r>
      <w:r>
        <w:t>а</w:t>
      </w:r>
      <w:r>
        <w:t>ется с трудностями в связи с недостаточным финансированием, в Филиппинах в 1995 году была принята программа финансирования ГИР в целях финансир</w:t>
      </w:r>
      <w:r>
        <w:t>о</w:t>
      </w:r>
      <w:r>
        <w:t>вания процесса осуществления ФПРГ. В соответствии с законом об общих а</w:t>
      </w:r>
      <w:r>
        <w:t>с</w:t>
      </w:r>
      <w:r>
        <w:t>сигнованиях на указанный год эта программа предусматривала выделение вс</w:t>
      </w:r>
      <w:r>
        <w:t>е</w:t>
      </w:r>
      <w:r>
        <w:t>ми государственными ведомствами части бюджета, установленного этим зак</w:t>
      </w:r>
      <w:r>
        <w:t>о</w:t>
      </w:r>
      <w:r>
        <w:t>ном, на осуществление программ в области ГИР, а также связанных с ними проектов и мероприятий в интересах претворения целей и задач ФПРГ в планы и целевые показатели этих ведомств. Последующие ежегодно принимаемые з</w:t>
      </w:r>
      <w:r>
        <w:t>а</w:t>
      </w:r>
      <w:r>
        <w:t>коны об общих ассигнованиях предусматривают представление ведомствами плана ГИР наряду с предложениями в рамках ежегодного бюджета и выделение этими ведомствами не менее 5 процентов своего общего бюджета на меры по решению гендерных вопросов и вопросов ра</w:t>
      </w:r>
      <w:r>
        <w:t>з</w:t>
      </w:r>
      <w:r>
        <w:t>вития.</w:t>
      </w:r>
    </w:p>
    <w:p w:rsidR="00000000" w:rsidRDefault="00000000">
      <w:pPr>
        <w:pStyle w:val="SingleTxt"/>
      </w:pPr>
      <w:r>
        <w:t>112.</w:t>
      </w:r>
      <w:r>
        <w:tab/>
        <w:t>Законом об общих ассигнованиях на 1999 год НКПФЖ было поручено изучать ведомственные планы ГИР до их одобрения и утверждения министе</w:t>
      </w:r>
      <w:r>
        <w:t>р</w:t>
      </w:r>
      <w:r>
        <w:t>ством бюджета и управления. Результаты проведенной НКПФЖ проверки хода осуществления политики финансирования ГИР показали, что в 1999 году почти 40 процентов всех государственных ведомств подготовили свои соответству</w:t>
      </w:r>
      <w:r>
        <w:t>ю</w:t>
      </w:r>
      <w:r>
        <w:t>щие планы ГИР, на осуществление которых было выделено в общей сложности 3,42 млрд. филиппинских песо (НКПФЖ, 1999-2002 годы). Три четверти этих средств было направлено на создание и укрепление потенциала в области а</w:t>
      </w:r>
      <w:r>
        <w:t>к</w:t>
      </w:r>
      <w:r>
        <w:t>туализации гендерной проблематики. Менее одной пятой – ведомствам, зан</w:t>
      </w:r>
      <w:r>
        <w:t>и</w:t>
      </w:r>
      <w:r>
        <w:t>мающимся деятельностью в интересах женщин, и около 4 процентов – на удовлетворение потребностей женщин, работающих в них по найму. В 2000 году 41 процент всех государственных ведомств реализовали положение о финансировании ГИР, выделив на проекты, программы и мероприятия, связа</w:t>
      </w:r>
      <w:r>
        <w:t>н</w:t>
      </w:r>
      <w:r>
        <w:t>ные с этой деятельностью, в общей сложности 3,3 млрд. филиппинских песо. В общей сложности 214 местных государственных структур представили свои планы ГИР, выделив на программы, проекты и мероприятия, связанные с этой деятельностью, порядка 113,25 млн. филиппинских песо. По состоянию на о</w:t>
      </w:r>
      <w:r>
        <w:t>к</w:t>
      </w:r>
      <w:r>
        <w:t>тябрь 2001 года 130 ведомств представили свои планы и бюджеты в отношении ГИР, выделив на эти цели примерно 2,8 млрд. филиппинских песо. НКПФЖ еще не провела тщательную оценку действенности и эффективности использ</w:t>
      </w:r>
      <w:r>
        <w:t>о</w:t>
      </w:r>
      <w:r>
        <w:t>вания бюджета на цели решения гендерных вопросов и вопросов ра</w:t>
      </w:r>
      <w:r>
        <w:t>з</w:t>
      </w:r>
      <w:r>
        <w:t>вития.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Итоги планирования и финансирования деятельности по решению гендерных вопросов и вопросов развития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113.</w:t>
      </w:r>
      <w:r>
        <w:tab/>
        <w:t>Почти за восемь лет планирования и финансирования ГИР были отмеч</w:t>
      </w:r>
      <w:r>
        <w:t>е</w:t>
      </w:r>
      <w:r>
        <w:t>ны следующие достижения в разрешении проблем филиппинских женщин (НКGФЖ, 2002b). Планы и бюджеты в отношении ГИР</w:t>
      </w:r>
    </w:p>
    <w:p w:rsidR="00000000" w:rsidRDefault="00000000">
      <w:pPr>
        <w:pStyle w:val="SingleTxt"/>
        <w:ind w:left="1740" w:right="1264" w:hanging="476"/>
      </w:pPr>
      <w:r>
        <w:rPr>
          <w:lang w:val="en-US"/>
        </w:rPr>
        <w:t>a</w:t>
      </w:r>
      <w:r>
        <w:t>)</w:t>
      </w:r>
      <w:r>
        <w:tab/>
        <w:t>cтали основой для того, чтобы женщины могли лоббировать и обсуждать с правительством программы, проекты и мероприятия по решению ге</w:t>
      </w:r>
      <w:r>
        <w:t>н</w:t>
      </w:r>
      <w:r>
        <w:t>дерных вопросов и вопросов развития и выделение на эти цели соотве</w:t>
      </w:r>
      <w:r>
        <w:t>т</w:t>
      </w:r>
      <w:r>
        <w:t>ствующих р</w:t>
      </w:r>
      <w:r>
        <w:t>е</w:t>
      </w:r>
      <w:r>
        <w:t>сурсов;</w:t>
      </w:r>
    </w:p>
    <w:p w:rsidR="00000000" w:rsidRDefault="00000000">
      <w:pPr>
        <w:pStyle w:val="SingleTxt"/>
        <w:ind w:left="1740" w:right="1264" w:hanging="476"/>
      </w:pPr>
      <w:r>
        <w:rPr>
          <w:lang w:val="en-US"/>
        </w:rPr>
        <w:t>b</w:t>
      </w:r>
      <w:r>
        <w:t>)</w:t>
      </w:r>
      <w:r>
        <w:tab/>
        <w:t>привели к тому, что при выделении ресурсов правительство стало учит</w:t>
      </w:r>
      <w:r>
        <w:t>ы</w:t>
      </w:r>
      <w:r>
        <w:t>вать гендерные вопросы и проблемы;</w:t>
      </w:r>
    </w:p>
    <w:p w:rsidR="00000000" w:rsidRDefault="00000000">
      <w:pPr>
        <w:pStyle w:val="SingleTxt"/>
        <w:ind w:left="1740" w:right="1264" w:hanging="476"/>
      </w:pPr>
      <w:r>
        <w:rPr>
          <w:lang w:val="en-US"/>
        </w:rPr>
        <w:t>c</w:t>
      </w:r>
      <w:r>
        <w:t>)</w:t>
      </w:r>
      <w:r>
        <w:tab/>
        <w:t>заняли видное место в повестке дня правительства;</w:t>
      </w:r>
    </w:p>
    <w:p w:rsidR="00000000" w:rsidRDefault="00000000">
      <w:pPr>
        <w:pStyle w:val="SingleTxt"/>
        <w:ind w:left="1740" w:right="1264" w:hanging="476"/>
      </w:pPr>
      <w:r>
        <w:rPr>
          <w:lang w:val="en-US"/>
        </w:rPr>
        <w:t>d</w:t>
      </w:r>
      <w:r>
        <w:t>)</w:t>
      </w:r>
      <w:r>
        <w:tab/>
        <w:t>заставили ведомства и местные органы власти учитывать гендерный а</w:t>
      </w:r>
      <w:r>
        <w:t>с</w:t>
      </w:r>
      <w:r>
        <w:t>пект и воздействие своих программ, проектов и меропри</w:t>
      </w:r>
      <w:r>
        <w:t>я</w:t>
      </w:r>
      <w:r>
        <w:t>тий;</w:t>
      </w:r>
    </w:p>
    <w:p w:rsidR="00000000" w:rsidRDefault="00000000">
      <w:pPr>
        <w:pStyle w:val="SingleTxt"/>
        <w:ind w:left="1740" w:right="1264" w:hanging="476"/>
      </w:pPr>
      <w:r>
        <w:rPr>
          <w:lang w:val="en-US"/>
        </w:rPr>
        <w:t>e</w:t>
      </w:r>
      <w:r>
        <w:t>)</w:t>
      </w:r>
      <w:r>
        <w:tab/>
        <w:t>позволили уточнить функции контрольных ведомств в области актуализ</w:t>
      </w:r>
      <w:r>
        <w:t>а</w:t>
      </w:r>
      <w:r>
        <w:t>ции гендерной проблематики;</w:t>
      </w:r>
    </w:p>
    <w:p w:rsidR="00000000" w:rsidRDefault="00000000">
      <w:pPr>
        <w:pStyle w:val="SingleTxt"/>
        <w:ind w:left="1740" w:right="1264" w:hanging="476"/>
      </w:pPr>
      <w:r>
        <w:rPr>
          <w:lang w:val="en-US"/>
        </w:rPr>
        <w:t>f</w:t>
      </w:r>
      <w:r>
        <w:t>)</w:t>
      </w:r>
      <w:r>
        <w:tab/>
        <w:t>повысили статус НКПФЖ как органа, занимающегося проблемами же</w:t>
      </w:r>
      <w:r>
        <w:t>н</w:t>
      </w:r>
      <w:r>
        <w:t>щин, поскольку она обеспечивает выработку соответствующей политики и оказание технической помощи в рамках этого процесса, контролирует осуществление и рекомендует меры по его дальнейшему совершенствов</w:t>
      </w:r>
      <w:r>
        <w:t>а</w:t>
      </w:r>
      <w:r>
        <w:t>нию и учету потребностей же</w:t>
      </w:r>
      <w:r>
        <w:t>н</w:t>
      </w:r>
      <w:r>
        <w:t>щин; и</w:t>
      </w:r>
    </w:p>
    <w:p w:rsidR="00000000" w:rsidRDefault="00000000">
      <w:pPr>
        <w:pStyle w:val="SingleTxt"/>
        <w:ind w:left="1740" w:right="1264" w:hanging="476"/>
      </w:pPr>
      <w:r>
        <w:rPr>
          <w:lang w:val="en-US"/>
        </w:rPr>
        <w:t>g</w:t>
      </w:r>
      <w:r>
        <w:t>)</w:t>
      </w:r>
      <w:r>
        <w:tab/>
        <w:t>послужили примером для других маргинализированных слоев общества, таких, как пожилые люди, лица с различного рода отклонениями и коре</w:t>
      </w:r>
      <w:r>
        <w:t>н</w:t>
      </w:r>
      <w:r>
        <w:t>ное население, показав как следует обсуждать с правительством вопросы финансирования ко</w:t>
      </w:r>
      <w:r>
        <w:t>н</w:t>
      </w:r>
      <w:r>
        <w:t>кретных программ в интересах конкретных слоев.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2" w:name="_Toc85174891"/>
      <w:r>
        <w:t xml:space="preserve">IV. </w:t>
      </w:r>
      <w:r>
        <w:tab/>
        <w:t>Остающиеся вопросы и трудности, с которыми сталкиваются филиппинские женщины</w:t>
      </w:r>
      <w:bookmarkEnd w:id="2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114.</w:t>
      </w:r>
      <w:r>
        <w:tab/>
        <w:t>Как отмечается в части I настоящего доклада, в усилиях Филиппин по м</w:t>
      </w:r>
      <w:r>
        <w:t>о</w:t>
      </w:r>
      <w:r>
        <w:t>билизации все большего числа государственных и негосударственных учре</w:t>
      </w:r>
      <w:r>
        <w:t>ж</w:t>
      </w:r>
      <w:r>
        <w:t>дений на деятельность по формированию общества, в большей степени учит</w:t>
      </w:r>
      <w:r>
        <w:t>ы</w:t>
      </w:r>
      <w:r>
        <w:t>вающего гендерные аспекты, действительно произошли значительные измен</w:t>
      </w:r>
      <w:r>
        <w:t>е</w:t>
      </w:r>
      <w:r>
        <w:t>ния. Эти усилия приносят свои плоды, к тому же осуществляются они пост</w:t>
      </w:r>
      <w:r>
        <w:t>е</w:t>
      </w:r>
      <w:r>
        <w:t>пенно и стабильно. Однако еще предстоит решать более масштабные и более сложные задачи. До сих пор Филиппины продолжают добиваться решения ц</w:t>
      </w:r>
      <w:r>
        <w:t>е</w:t>
      </w:r>
      <w:r>
        <w:t>лого ряда важных вопросов, среди которых можно отметить следующие:</w:t>
      </w:r>
    </w:p>
    <w:p w:rsidR="00000000" w:rsidRDefault="00000000">
      <w:pPr>
        <w:pStyle w:val="SingleTxt"/>
        <w:ind w:left="1740" w:right="1264" w:hanging="476"/>
        <w:rPr>
          <w:i/>
        </w:rPr>
      </w:pPr>
      <w:r>
        <w:rPr>
          <w:lang w:val="en-US"/>
        </w:rPr>
        <w:t>a</w:t>
      </w:r>
      <w:r>
        <w:t>)</w:t>
      </w:r>
      <w:r>
        <w:rPr>
          <w:i/>
        </w:rPr>
        <w:tab/>
        <w:t>массовая нищета и неравенство в вопросах имущественных прав, каса</w:t>
      </w:r>
      <w:r>
        <w:rPr>
          <w:i/>
        </w:rPr>
        <w:t>ю</w:t>
      </w:r>
      <w:r>
        <w:rPr>
          <w:i/>
        </w:rPr>
        <w:t>щихся экономических ресурсов.</w:t>
      </w:r>
      <w:r>
        <w:t xml:space="preserve"> Речь идет главным образом о концентр</w:t>
      </w:r>
      <w:r>
        <w:t>а</w:t>
      </w:r>
      <w:r>
        <w:t>ции богатства в руках немногих и неравенстве в положении женщин в г</w:t>
      </w:r>
      <w:r>
        <w:t>о</w:t>
      </w:r>
      <w:r>
        <w:t>родах и сельских районах (нищета, уровень грамотности, системы здр</w:t>
      </w:r>
      <w:r>
        <w:t>а</w:t>
      </w:r>
      <w:r>
        <w:t>воохранения и социального обеспечения) в результате неравномерного распределения ресурсов и возможностей и передаче центральным прав</w:t>
      </w:r>
      <w:r>
        <w:t>и</w:t>
      </w:r>
      <w:r>
        <w:t>тельством части своих функций местным органам власти без выделения соответствующих ресурсов. Постоянно ощущается необходимость выр</w:t>
      </w:r>
      <w:r>
        <w:t>а</w:t>
      </w:r>
      <w:r>
        <w:t>ботки более эффективных стратегий сокращения масштабов нищеты, с тем чтобы помочь женщинам, живущим в условиях нищеты в городах и сельской местности, включая женщин, работающих в неформальном се</w:t>
      </w:r>
      <w:r>
        <w:t>к</w:t>
      </w:r>
      <w:r>
        <w:t>торе, которые, как известно, страдают от отсутствия систем обеспечения (например, социального обеспечения и медицинского страхования), в осуществлении ими своей производственной деятельности и выполнении своих репроду</w:t>
      </w:r>
      <w:r>
        <w:t>к</w:t>
      </w:r>
      <w:r>
        <w:t>тивных функций;</w:t>
      </w:r>
    </w:p>
    <w:p w:rsidR="00000000" w:rsidRDefault="00000000">
      <w:pPr>
        <w:pStyle w:val="SingleTxt"/>
        <w:ind w:left="1740" w:right="1264" w:hanging="476"/>
        <w:rPr>
          <w:spacing w:val="-2"/>
        </w:rPr>
      </w:pPr>
      <w:r>
        <w:rPr>
          <w:lang w:val="en-US"/>
        </w:rPr>
        <w:t>b</w:t>
      </w:r>
      <w:r>
        <w:t>)</w:t>
      </w:r>
      <w:r>
        <w:rPr>
          <w:i/>
        </w:rPr>
        <w:tab/>
        <w:t>воздействие глобализации</w:t>
      </w:r>
      <w:r>
        <w:t>. Глобализация тесно связана с вопросом то</w:t>
      </w:r>
      <w:r>
        <w:t>р</w:t>
      </w:r>
      <w:r>
        <w:t>говли женщинами и их проституции, уязвимостью женщин-мигрантов, с переходом женщин в неформальный сектор труда и перестройкой стру</w:t>
      </w:r>
      <w:r>
        <w:t>к</w:t>
      </w:r>
      <w:r>
        <w:t>туры его организации, а также с маргинализацией трудящихся-женщин. Тревогу вызывает также угроза, исходящая от глобальных средств масс</w:t>
      </w:r>
      <w:r>
        <w:t>о</w:t>
      </w:r>
      <w:r>
        <w:t>вой информации как н</w:t>
      </w:r>
      <w:r>
        <w:t>о</w:t>
      </w:r>
      <w:r>
        <w:t>вого средства усиления эксплуатации женщин;</w:t>
      </w:r>
    </w:p>
    <w:p w:rsidR="00000000" w:rsidRDefault="00000000">
      <w:pPr>
        <w:pStyle w:val="SingleTxt"/>
        <w:ind w:left="1740" w:right="1264" w:hanging="476"/>
        <w:rPr>
          <w:spacing w:val="-2"/>
        </w:rPr>
      </w:pPr>
      <w:r>
        <w:rPr>
          <w:spacing w:val="-2"/>
          <w:lang w:val="en-US"/>
        </w:rPr>
        <w:t>c</w:t>
      </w:r>
      <w:r>
        <w:rPr>
          <w:spacing w:val="-2"/>
        </w:rPr>
        <w:t>)</w:t>
      </w:r>
      <w:r>
        <w:rPr>
          <w:i/>
          <w:spacing w:val="-2"/>
        </w:rPr>
        <w:tab/>
        <w:t>сохраняющиеся проблемы в области обеспечения мира и правопорядка</w:t>
      </w:r>
      <w:r>
        <w:rPr>
          <w:spacing w:val="-2"/>
        </w:rPr>
        <w:t>. Как отмечалось выше и в разделе, посвященном статье 6, то, каким образом пр</w:t>
      </w:r>
      <w:r>
        <w:rPr>
          <w:spacing w:val="-2"/>
        </w:rPr>
        <w:t>е</w:t>
      </w:r>
      <w:r>
        <w:rPr>
          <w:spacing w:val="-2"/>
        </w:rPr>
        <w:t>ступность и борьба правительства с повстанцами и террористическими орг</w:t>
      </w:r>
      <w:r>
        <w:rPr>
          <w:spacing w:val="-2"/>
        </w:rPr>
        <w:t>а</w:t>
      </w:r>
      <w:r>
        <w:rPr>
          <w:spacing w:val="-2"/>
        </w:rPr>
        <w:t>низациями влияют на население (особенно на женщин и детей), требует безо</w:t>
      </w:r>
      <w:r>
        <w:rPr>
          <w:spacing w:val="-2"/>
        </w:rPr>
        <w:t>т</w:t>
      </w:r>
      <w:r>
        <w:rPr>
          <w:spacing w:val="-2"/>
        </w:rPr>
        <w:t>лагательного и пристального внимания. Женщины должны участвовать в пр</w:t>
      </w:r>
      <w:r>
        <w:rPr>
          <w:spacing w:val="-2"/>
        </w:rPr>
        <w:t>о</w:t>
      </w:r>
      <w:r>
        <w:rPr>
          <w:spacing w:val="-2"/>
        </w:rPr>
        <w:t>цессе миростроительства и восстановления своих общин и источников средств к существ</w:t>
      </w:r>
      <w:r>
        <w:rPr>
          <w:spacing w:val="-2"/>
        </w:rPr>
        <w:t>о</w:t>
      </w:r>
      <w:r>
        <w:rPr>
          <w:spacing w:val="-2"/>
        </w:rPr>
        <w:t>ванию, а также иметь гарантированный доступ к базовым услугам;</w:t>
      </w:r>
    </w:p>
    <w:p w:rsidR="00000000" w:rsidRDefault="00000000">
      <w:pPr>
        <w:pStyle w:val="SingleTxt"/>
        <w:ind w:left="1740" w:right="1264" w:hanging="476"/>
      </w:pPr>
      <w:r>
        <w:rPr>
          <w:lang w:val="en-US"/>
        </w:rPr>
        <w:t>d</w:t>
      </w:r>
      <w:r>
        <w:t>)</w:t>
      </w:r>
      <w:r>
        <w:rPr>
          <w:i/>
        </w:rPr>
        <w:tab/>
        <w:t>сохраняющаяся дискриминация по признаку пола в различных инстит</w:t>
      </w:r>
      <w:r>
        <w:rPr>
          <w:i/>
        </w:rPr>
        <w:t>у</w:t>
      </w:r>
      <w:r>
        <w:rPr>
          <w:i/>
        </w:rPr>
        <w:t>тах</w:t>
      </w:r>
      <w:r>
        <w:t>. Несмотря на некоторый прогресс в деле внедрения в школах объе</w:t>
      </w:r>
      <w:r>
        <w:t>к</w:t>
      </w:r>
      <w:r>
        <w:t>тивных с гендерной точки зрения учебных программ и материалов, си</w:t>
      </w:r>
      <w:r>
        <w:t>с</w:t>
      </w:r>
      <w:r>
        <w:t>тема образования по-прежнему формирует стереотипное восприятие роли полов. Необходимо искоренять стереотипы и сексизм не только в школах, но и в таких общественных институтах, как церковь, политическая сист</w:t>
      </w:r>
      <w:r>
        <w:t>е</w:t>
      </w:r>
      <w:r>
        <w:t>ма, а также в средствах массовой информации. Они должны предлагать женщинам и мужчинам более широкие возможности и более позитивные функции, например, совместное воспитание детей, использование нетр</w:t>
      </w:r>
      <w:r>
        <w:t>а</w:t>
      </w:r>
      <w:r>
        <w:t>диционных навыков и источников средств к существованию, осуществл</w:t>
      </w:r>
      <w:r>
        <w:t>е</w:t>
      </w:r>
      <w:r>
        <w:t>ние репродуктивных прав женщин и ненасильственные методы урегул</w:t>
      </w:r>
      <w:r>
        <w:t>и</w:t>
      </w:r>
      <w:r>
        <w:t>рования конфликтов;</w:t>
      </w:r>
    </w:p>
    <w:p w:rsidR="00000000" w:rsidRDefault="00000000">
      <w:pPr>
        <w:pStyle w:val="SingleTxt"/>
        <w:ind w:left="1740" w:right="1264" w:hanging="476"/>
        <w:rPr>
          <w:spacing w:val="-2"/>
        </w:rPr>
      </w:pPr>
      <w:r>
        <w:rPr>
          <w:lang w:val="en-US"/>
        </w:rPr>
        <w:t>e</w:t>
      </w:r>
      <w:r>
        <w:t>)</w:t>
      </w:r>
      <w:r>
        <w:rPr>
          <w:i/>
        </w:rPr>
        <w:tab/>
        <w:t>укрепление роли средств массовой информации в содействии решению вопросов, касающихся женщин.</w:t>
      </w:r>
      <w:r>
        <w:t xml:space="preserve"> Этот аспект предполагает повышение уровня осознания женщинами, работающими в средствах массовой и</w:t>
      </w:r>
      <w:r>
        <w:t>н</w:t>
      </w:r>
      <w:r>
        <w:t>формации, той важной роли, какую они играют в освещении женских в</w:t>
      </w:r>
      <w:r>
        <w:t>о</w:t>
      </w:r>
      <w:r>
        <w:t>просов в рамках других гуманитарных вопросов, и создание базы данных для определения степени предвзятого, уничижительного и стереотипного изображения женщин в рекламе, используемой средствами массовой и</w:t>
      </w:r>
      <w:r>
        <w:t>н</w:t>
      </w:r>
      <w:r>
        <w:t>фо</w:t>
      </w:r>
      <w:r>
        <w:t>р</w:t>
      </w:r>
      <w:r>
        <w:t>мации;</w:t>
      </w:r>
    </w:p>
    <w:p w:rsidR="00000000" w:rsidRDefault="00000000">
      <w:pPr>
        <w:pStyle w:val="SingleTxt"/>
        <w:ind w:left="1740" w:right="1264" w:hanging="476"/>
        <w:rPr>
          <w:i/>
          <w:spacing w:val="-2"/>
        </w:rPr>
      </w:pPr>
      <w:r>
        <w:rPr>
          <w:spacing w:val="-2"/>
          <w:lang w:val="en-US"/>
        </w:rPr>
        <w:t>f</w:t>
      </w:r>
      <w:r>
        <w:rPr>
          <w:spacing w:val="-2"/>
        </w:rPr>
        <w:t>)</w:t>
      </w:r>
      <w:r>
        <w:rPr>
          <w:i/>
          <w:spacing w:val="-2"/>
        </w:rPr>
        <w:tab/>
        <w:t xml:space="preserve">принятие комплексных мер для решения проблем, с которыми сталкиваются женщины на работе. </w:t>
      </w:r>
      <w:r>
        <w:rPr>
          <w:spacing w:val="-2"/>
        </w:rPr>
        <w:t>Угрозы, которым подвергаются женщины на работе в связи с ВИЧ/СПИДом и сексуальными надругательствами, требуют самого пристального внимания;</w:t>
      </w:r>
    </w:p>
    <w:p w:rsidR="00000000" w:rsidRDefault="00000000">
      <w:pPr>
        <w:pStyle w:val="SingleTxt"/>
        <w:ind w:left="1740" w:right="1264" w:hanging="476"/>
        <w:rPr>
          <w:spacing w:val="-2"/>
        </w:rPr>
      </w:pPr>
      <w:r>
        <w:rPr>
          <w:spacing w:val="-2"/>
          <w:lang w:val="en-US"/>
        </w:rPr>
        <w:t>g</w:t>
      </w:r>
      <w:r>
        <w:rPr>
          <w:spacing w:val="-2"/>
        </w:rPr>
        <w:t>)</w:t>
      </w:r>
      <w:r>
        <w:rPr>
          <w:i/>
          <w:spacing w:val="-2"/>
        </w:rPr>
        <w:tab/>
        <w:t>отсутствие критической массы женщин на высшем уровне и руководящих должностях.</w:t>
      </w:r>
      <w:r>
        <w:rPr>
          <w:spacing w:val="-2"/>
        </w:rPr>
        <w:t xml:space="preserve"> Как особо отмечалось в разделах, посвященных статьям 7 и 8, низкий уровень представленности женщин на руководящих должностях треб</w:t>
      </w:r>
      <w:r>
        <w:rPr>
          <w:spacing w:val="-2"/>
        </w:rPr>
        <w:t>у</w:t>
      </w:r>
      <w:r>
        <w:rPr>
          <w:spacing w:val="-2"/>
        </w:rPr>
        <w:t>ет принятия более эффективных мер по устранению все еще сохраняющегося предвзятого отношения к женщинам со стороны тех, кто дает рекомендации и утверждает назначения. Это также требует подготовки женщин к занятию р</w:t>
      </w:r>
      <w:r>
        <w:rPr>
          <w:spacing w:val="-2"/>
        </w:rPr>
        <w:t>у</w:t>
      </w:r>
      <w:r>
        <w:rPr>
          <w:spacing w:val="-2"/>
        </w:rPr>
        <w:t>ководящих должностей, поощрения женщин-избирателей к тому, чтобы они голосовали за мужчин и женщин, которые выступают за расширение прав и возможностей женщин и обеспечение гендерного равенства, а также сохран</w:t>
      </w:r>
      <w:r>
        <w:rPr>
          <w:spacing w:val="-2"/>
        </w:rPr>
        <w:t>е</w:t>
      </w:r>
      <w:r>
        <w:rPr>
          <w:spacing w:val="-2"/>
        </w:rPr>
        <w:t>ния политической программы и партий, учит</w:t>
      </w:r>
      <w:r>
        <w:rPr>
          <w:spacing w:val="-2"/>
        </w:rPr>
        <w:t>ы</w:t>
      </w:r>
      <w:r>
        <w:rPr>
          <w:spacing w:val="-2"/>
        </w:rPr>
        <w:t>вающих интересы женщин;</w:t>
      </w:r>
    </w:p>
    <w:p w:rsidR="00000000" w:rsidRDefault="00000000">
      <w:pPr>
        <w:pStyle w:val="SingleTxt"/>
        <w:ind w:left="1740" w:right="1264" w:hanging="476"/>
        <w:rPr>
          <w:u w:val="single"/>
        </w:rPr>
      </w:pPr>
      <w:r>
        <w:rPr>
          <w:lang w:val="en-US"/>
        </w:rPr>
        <w:t>h</w:t>
      </w:r>
      <w:r>
        <w:t>)</w:t>
      </w:r>
      <w:r>
        <w:rPr>
          <w:i/>
        </w:rPr>
        <w:tab/>
        <w:t>необходимость укрепления национального механизма защиты интересов женщин в условиях растущего спроса на оказание технической помощи и мониторинг инициатив и достижений на национальном и местном уро</w:t>
      </w:r>
      <w:r>
        <w:rPr>
          <w:i/>
        </w:rPr>
        <w:t>в</w:t>
      </w:r>
      <w:r>
        <w:rPr>
          <w:i/>
        </w:rPr>
        <w:t>нях</w:t>
      </w:r>
      <w:r>
        <w:t>. Необходимо укрепить мандат НКПФЖ, ее организационную структ</w:t>
      </w:r>
      <w:r>
        <w:t>у</w:t>
      </w:r>
      <w:r>
        <w:t>ру и бюджет и поднять ее статус до уровня министерства с тем чтобы она могла более эффективно откликаться на новые вызовы в связи с включ</w:t>
      </w:r>
      <w:r>
        <w:t>е</w:t>
      </w:r>
      <w:r>
        <w:t>нием гендерной проблематики в деятельность всех ветвей и уровней вл</w:t>
      </w:r>
      <w:r>
        <w:t>а</w:t>
      </w:r>
      <w:r>
        <w:t>сти, и</w:t>
      </w:r>
      <w:r>
        <w:t>н</w:t>
      </w:r>
      <w:r>
        <w:t>формационно-пропагандистскую работу и мониторинг;</w:t>
      </w:r>
    </w:p>
    <w:p w:rsidR="00000000" w:rsidRDefault="00000000">
      <w:pPr>
        <w:pStyle w:val="SingleTxt"/>
        <w:ind w:left="1740" w:right="1264" w:hanging="476"/>
      </w:pPr>
      <w:r>
        <w:rPr>
          <w:spacing w:val="-2"/>
          <w:lang w:val="en-US"/>
        </w:rPr>
        <w:t>i</w:t>
      </w:r>
      <w:r>
        <w:rPr>
          <w:spacing w:val="-2"/>
        </w:rPr>
        <w:t>)</w:t>
      </w:r>
      <w:r>
        <w:rPr>
          <w:i/>
          <w:spacing w:val="-2"/>
        </w:rPr>
        <w:tab/>
        <w:t>обеспечение исполнения законодательства в области гендерного равенства и контроль за его соблюдением</w:t>
      </w:r>
      <w:r>
        <w:rPr>
          <w:spacing w:val="-2"/>
        </w:rPr>
        <w:t>. Несмотря на необходимость принятия ряда з</w:t>
      </w:r>
      <w:r>
        <w:rPr>
          <w:spacing w:val="-2"/>
        </w:rPr>
        <w:t>а</w:t>
      </w:r>
      <w:r>
        <w:rPr>
          <w:spacing w:val="-2"/>
        </w:rPr>
        <w:t>конов, например об освобождении женщин от уголовной ответственности за проституцию, Филиппины проделали большую работу по принятию законов и разработке политики содействия обеспечению гендерного равенства с точки зрения доступа к ресурсам и устранения различных форм насилия по признаку пола. В процессе обеспечения исполнения этих законов и проведения этой п</w:t>
      </w:r>
      <w:r>
        <w:rPr>
          <w:spacing w:val="-2"/>
        </w:rPr>
        <w:t>о</w:t>
      </w:r>
      <w:r>
        <w:rPr>
          <w:spacing w:val="-2"/>
        </w:rPr>
        <w:t>литики, а также осущес</w:t>
      </w:r>
      <w:r>
        <w:rPr>
          <w:spacing w:val="-2"/>
        </w:rPr>
        <w:t>т</w:t>
      </w:r>
      <w:r>
        <w:rPr>
          <w:spacing w:val="-2"/>
        </w:rPr>
        <w:t>вления надлежащего контроля за их соблюдением по-прежнему возникают проблемы.</w:t>
      </w:r>
    </w:p>
    <w:p w:rsidR="00000000" w:rsidRDefault="00000000">
      <w:pPr>
        <w:pStyle w:val="SingleTxt"/>
        <w:ind w:left="1740" w:right="1264" w:hanging="476"/>
        <w:rPr>
          <w:u w:val="single"/>
        </w:rPr>
      </w:pPr>
      <w:r>
        <w:rPr>
          <w:lang w:val="en-US"/>
        </w:rPr>
        <w:t>j</w:t>
      </w:r>
      <w:r>
        <w:t>)</w:t>
      </w:r>
      <w:r>
        <w:rPr>
          <w:i/>
        </w:rPr>
        <w:tab/>
        <w:t xml:space="preserve">мониторинг положения женщин. </w:t>
      </w:r>
      <w:r>
        <w:t>Это предполагает наличие или досту</w:t>
      </w:r>
      <w:r>
        <w:t>п</w:t>
      </w:r>
      <w:r>
        <w:t>ность дезагрегированных по полу данных, по возможности, на самом ни</w:t>
      </w:r>
      <w:r>
        <w:t>з</w:t>
      </w:r>
      <w:r>
        <w:t>ком административном уровне и в отношении различных социально-экономических переменных. В стране был предпринят ряд инициатив, т</w:t>
      </w:r>
      <w:r>
        <w:t>а</w:t>
      </w:r>
      <w:r>
        <w:t xml:space="preserve">ких, как совершенствование системы показателей, касающихся </w:t>
      </w:r>
      <w:r>
        <w:rPr>
          <w:spacing w:val="-2"/>
        </w:rPr>
        <w:t>деятельн</w:t>
      </w:r>
      <w:r>
        <w:rPr>
          <w:spacing w:val="-2"/>
        </w:rPr>
        <w:t>о</w:t>
      </w:r>
      <w:r>
        <w:rPr>
          <w:spacing w:val="-2"/>
        </w:rPr>
        <w:t xml:space="preserve">сти </w:t>
      </w:r>
      <w:r>
        <w:t>по решению гендерных вопросов и вопросов развития, опубликование директивного документа о финансировании сбора данных в разбивке по полу и разграничение функций национальных контрольных органов в д</w:t>
      </w:r>
      <w:r>
        <w:t>е</w:t>
      </w:r>
      <w:r>
        <w:t>ле мониторинга проблем, связанных с решением гендерных вопросов и вопросов развития. Проблему вызывают применение этих рамочных д</w:t>
      </w:r>
      <w:r>
        <w:t>о</w:t>
      </w:r>
      <w:r>
        <w:t>кументов и осуществление политики сбора данных о масштабах насилия в отношении женщин и детей, количественное определение экономич</w:t>
      </w:r>
      <w:r>
        <w:t>е</w:t>
      </w:r>
      <w:r>
        <w:t>ского вклада женщин, в том числе оценка неоплачиваемого труда, а также сбор статистических данных по неформальному сектору. Для решения этой проблемы от правительства потребуются дополнительные ресурсы. Необходимо также повысить уровень осведомленности пользователей и источников данных из ключевых секторов и ориентировать их на эффе</w:t>
      </w:r>
      <w:r>
        <w:t>к</w:t>
      </w:r>
      <w:r>
        <w:t xml:space="preserve">тивное использование и анализ </w:t>
      </w:r>
      <w:r>
        <w:rPr>
          <w:spacing w:val="-2"/>
        </w:rPr>
        <w:t>гендерных статистических данных, сбор к</w:t>
      </w:r>
      <w:r>
        <w:rPr>
          <w:spacing w:val="-2"/>
        </w:rPr>
        <w:t>о</w:t>
      </w:r>
      <w:r>
        <w:rPr>
          <w:spacing w:val="-2"/>
        </w:rPr>
        <w:t>торых в настоящее время осуществляет статистическая система. Кроме того, необходимо провести разъяснительную работу среди всех ключевых участн</w:t>
      </w:r>
      <w:r>
        <w:rPr>
          <w:spacing w:val="-2"/>
        </w:rPr>
        <w:t>и</w:t>
      </w:r>
      <w:r>
        <w:rPr>
          <w:spacing w:val="-2"/>
        </w:rPr>
        <w:t>ков деятельности относительно их роли в мониторинге положения женщин</w:t>
      </w:r>
      <w:r>
        <w:t>. Предстоит также разработать всеобъемлющие рамки мониторинга, охв</w:t>
      </w:r>
      <w:r>
        <w:t>а</w:t>
      </w:r>
      <w:r>
        <w:t>тывающие бόльшую часть областей, которые вызывают беспокойство, и тем самым учесть требование государственных ведомств свести воедино все виды деятельности в области отчетности и монит</w:t>
      </w:r>
      <w:r>
        <w:t>о</w:t>
      </w:r>
      <w:r>
        <w:t>ринга;</w:t>
      </w:r>
    </w:p>
    <w:p w:rsidR="00000000" w:rsidRDefault="00000000">
      <w:pPr>
        <w:pStyle w:val="SingleTxt"/>
        <w:ind w:left="1740" w:right="1264" w:hanging="476"/>
        <w:rPr>
          <w:spacing w:val="-2"/>
        </w:rPr>
      </w:pPr>
      <w:r>
        <w:rPr>
          <w:spacing w:val="-2"/>
          <w:lang w:val="en-US"/>
        </w:rPr>
        <w:t>k</w:t>
      </w:r>
      <w:r>
        <w:rPr>
          <w:spacing w:val="-2"/>
        </w:rPr>
        <w:t>)</w:t>
      </w:r>
      <w:r>
        <w:rPr>
          <w:i/>
          <w:spacing w:val="-2"/>
        </w:rPr>
        <w:tab/>
        <w:t>ограниченность государственных ресурсов, а также неэффективность и коррупция в правительстве</w:t>
      </w:r>
      <w:r>
        <w:rPr>
          <w:spacing w:val="-2"/>
        </w:rPr>
        <w:t>. Это сказывается не только на финансировании деятельности по решению гендерных вопросов и вопросов развития, но и на выделении ресурсов для экономического и социального секторов, которые могли бы предоставлять общественные блага (медицинское обслуживание, п</w:t>
      </w:r>
      <w:r>
        <w:rPr>
          <w:spacing w:val="-2"/>
        </w:rPr>
        <w:t>и</w:t>
      </w:r>
      <w:r>
        <w:rPr>
          <w:spacing w:val="-2"/>
        </w:rPr>
        <w:t>тание, образование) и обеспечивать занятость. Необходимо преодолеть отсу</w:t>
      </w:r>
      <w:r>
        <w:rPr>
          <w:spacing w:val="-2"/>
        </w:rPr>
        <w:t>т</w:t>
      </w:r>
      <w:r>
        <w:rPr>
          <w:spacing w:val="-2"/>
        </w:rPr>
        <w:t>ствие приверженности и политической воли в отношении выполнения бюдж</w:t>
      </w:r>
      <w:r>
        <w:rPr>
          <w:spacing w:val="-2"/>
        </w:rPr>
        <w:t>е</w:t>
      </w:r>
      <w:r>
        <w:rPr>
          <w:spacing w:val="-2"/>
        </w:rPr>
        <w:t xml:space="preserve">та, связанного с деятельностью по решению </w:t>
      </w:r>
      <w:r>
        <w:t>гендерных вопросов и вопросов развития, со стороны государственных должностных лиц на национал</w:t>
      </w:r>
      <w:r>
        <w:t>ь</w:t>
      </w:r>
      <w:r>
        <w:t>ном и местном уровнях</w:t>
      </w:r>
      <w:r>
        <w:rPr>
          <w:spacing w:val="-2"/>
        </w:rPr>
        <w:t>.</w:t>
      </w:r>
    </w:p>
    <w:p w:rsidR="00000000" w:rsidRDefault="00000000">
      <w:pPr>
        <w:pStyle w:val="SingleTxt"/>
        <w:pageBreakBefore/>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3" w:name="_Toc85174892"/>
      <w:r>
        <w:t>Часть III: Информация по каждой статье Конвенции</w:t>
      </w:r>
      <w:bookmarkEnd w:id="23"/>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24" w:name="_Toc85174893"/>
      <w:r>
        <w:t>Статья 1. Определение дискриминации в отношении женщин</w:t>
      </w:r>
      <w:bookmarkEnd w:id="24"/>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Гарантии равенства женщин и мужчин в конституции; законы или програм</w:t>
      </w:r>
      <w:r>
        <w:rPr>
          <w:i/>
        </w:rPr>
        <w:t>м</w:t>
      </w:r>
      <w:r>
        <w:rPr>
          <w:i/>
        </w:rPr>
        <w:t>ные заявления, в которых определяется дискриминация; достаточно широкое правовое определение дискриминации, распространяющееся на практику, не преследующую цель дискриминации, но фактически являющуюся дискримин</w:t>
      </w:r>
      <w:r>
        <w:rPr>
          <w:i/>
        </w:rPr>
        <w:t>а</w:t>
      </w:r>
      <w:r>
        <w:rPr>
          <w:i/>
        </w:rPr>
        <w:t>ционной</w:t>
      </w:r>
    </w:p>
    <w:p w:rsidR="00000000" w:rsidRDefault="00000000">
      <w:pPr>
        <w:pStyle w:val="SingleTxt"/>
      </w:pPr>
      <w:r>
        <w:t>115.</w:t>
      </w:r>
      <w:r>
        <w:tab/>
        <w:t>В статье II, раздел 14, конституции 1987 года предусматривается, что «г</w:t>
      </w:r>
      <w:r>
        <w:t>о</w:t>
      </w:r>
      <w:r>
        <w:t>сударство признает роль женщин в формировании нации и обеспечивает осн</w:t>
      </w:r>
      <w:r>
        <w:t>о</w:t>
      </w:r>
      <w:r>
        <w:t>вополагающее равенство женщин и мужчин перед законом». Статья XIII, ра</w:t>
      </w:r>
      <w:r>
        <w:t>з</w:t>
      </w:r>
      <w:r>
        <w:t>дел 14, гарантирует также работающим женщинам право на безопасные и зд</w:t>
      </w:r>
      <w:r>
        <w:t>о</w:t>
      </w:r>
      <w:r>
        <w:t>ровые условия работы с учетом их материнских функций. Другими конкре</w:t>
      </w:r>
      <w:r>
        <w:t>т</w:t>
      </w:r>
      <w:r>
        <w:t>ными положениями, которые гарантируют права женщин, являются статья VI, раздел 5(2), в которой закреплено право женщин на секторальное представ</w:t>
      </w:r>
      <w:r>
        <w:t>и</w:t>
      </w:r>
      <w:r>
        <w:t>тельство в национальных и местных законодательных органах, и статья IV, к</w:t>
      </w:r>
      <w:r>
        <w:t>о</w:t>
      </w:r>
      <w:r>
        <w:t>торая предоставляет им равные права в плане гражданства.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5" w:name="_Toc85174894"/>
      <w:r>
        <w:t xml:space="preserve">A. </w:t>
      </w:r>
      <w:r>
        <w:tab/>
        <w:t>Принятые меры</w:t>
      </w:r>
      <w:bookmarkEnd w:id="2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116.</w:t>
      </w:r>
      <w:r>
        <w:tab/>
        <w:t xml:space="preserve">На </w:t>
      </w:r>
      <w:r>
        <w:rPr>
          <w:spacing w:val="-2"/>
        </w:rPr>
        <w:t>Филиппинах приняты законы для устранения исторически сложившейся практики ущемления прав женщин в различных сферах жизни. Сюда входят законы, запрещающие дискриминацию в сфере занятости, устраняющие препятствия для поступления женщин на работу в полицию и на военную службу и криминализ</w:t>
      </w:r>
      <w:r>
        <w:rPr>
          <w:spacing w:val="-2"/>
        </w:rPr>
        <w:t>и</w:t>
      </w:r>
      <w:r>
        <w:rPr>
          <w:spacing w:val="-2"/>
        </w:rPr>
        <w:t>рующие случаи сексуального домогательства в сфере образования и професси</w:t>
      </w:r>
      <w:r>
        <w:rPr>
          <w:spacing w:val="-2"/>
        </w:rPr>
        <w:t>о</w:t>
      </w:r>
      <w:r>
        <w:rPr>
          <w:spacing w:val="-2"/>
        </w:rPr>
        <w:t>нальной по</w:t>
      </w:r>
      <w:r>
        <w:rPr>
          <w:spacing w:val="-2"/>
        </w:rPr>
        <w:t>д</w:t>
      </w:r>
      <w:r>
        <w:rPr>
          <w:spacing w:val="-2"/>
        </w:rPr>
        <w:t>готовки, а также по месту работы.</w:t>
      </w:r>
    </w:p>
    <w:p w:rsidR="00000000" w:rsidRDefault="00000000">
      <w:pPr>
        <w:pStyle w:val="SingleTxt"/>
      </w:pPr>
      <w:r>
        <w:t>117.</w:t>
      </w:r>
      <w:r>
        <w:tab/>
        <w:t>В этот отчетный период был принят ряд законодательных актов по борьбе с насилием в отношении женщин и связанной с этим дискриминацией. Они включ</w:t>
      </w:r>
      <w:r>
        <w:t>а</w:t>
      </w:r>
      <w:r>
        <w:t>ют:</w:t>
      </w:r>
    </w:p>
    <w:p w:rsidR="00000000" w:rsidRDefault="00000000">
      <w:pPr>
        <w:pStyle w:val="SingleTxt"/>
        <w:ind w:left="1740" w:right="1264" w:hanging="476"/>
      </w:pPr>
      <w:r>
        <w:rPr>
          <w:lang w:val="en-US"/>
        </w:rPr>
        <w:t>a</w:t>
      </w:r>
      <w:r>
        <w:t>)</w:t>
      </w:r>
      <w:r>
        <w:tab/>
        <w:t>Республиканский закон 8353, или закон 1997 года о борьбе с изнасилов</w:t>
      </w:r>
      <w:r>
        <w:t>а</w:t>
      </w:r>
      <w:r>
        <w:t>ниями, дает новое и более широкое определение изнасилования, которое теперь трактуется не как преступление против целомудрия, а как прест</w:t>
      </w:r>
      <w:r>
        <w:t>у</w:t>
      </w:r>
      <w:r>
        <w:t>пление против личности. Он расширяет это определение, и теперь оно включает не только проникновение пениса, но и введение любого другого предмета. Закон имплицитно признает изнасилование в браке, если речь идет о случаях, когда правонарушитель является законным супругом. О</w:t>
      </w:r>
      <w:r>
        <w:t>д</w:t>
      </w:r>
      <w:r>
        <w:t>нако, он исключает уголовное преследование или наказание, если ставшая жертвой жена впоследствии прощает правон</w:t>
      </w:r>
      <w:r>
        <w:t>а</w:t>
      </w:r>
      <w:r>
        <w:t>рушителя.</w:t>
      </w:r>
    </w:p>
    <w:p w:rsidR="00000000" w:rsidRDefault="00000000">
      <w:pPr>
        <w:pStyle w:val="SingleTxt"/>
        <w:ind w:left="1740" w:right="1264" w:hanging="476"/>
      </w:pPr>
      <w:r>
        <w:rPr>
          <w:lang w:val="en-US"/>
        </w:rPr>
        <w:t>b</w:t>
      </w:r>
      <w:r>
        <w:t>)</w:t>
      </w:r>
      <w:r>
        <w:tab/>
        <w:t>Республиканский закон 8505, или закон 1998 года о поддержке и защите жертв изнасилований, который предусматривает создание в каждой пр</w:t>
      </w:r>
      <w:r>
        <w:t>о</w:t>
      </w:r>
      <w:r>
        <w:t>винции и муниципалитете кризисных центров для жертв изнасилований в целях консультирования, оказания бесплатной правовой помощи и обе</w:t>
      </w:r>
      <w:r>
        <w:t>с</w:t>
      </w:r>
      <w:r>
        <w:t>печения конфиденциальности и безопасности лиц, переживших изнасил</w:t>
      </w:r>
      <w:r>
        <w:t>о</w:t>
      </w:r>
      <w:r>
        <w:t>вание. Он также возлагает на органы власти задачу готовить сотрудников правоохранительных органов, государственных прокуроров, юристов, р</w:t>
      </w:r>
      <w:r>
        <w:t>а</w:t>
      </w:r>
      <w:r>
        <w:t>ботников медико-правовых органов, социальных работников и должнос</w:t>
      </w:r>
      <w:r>
        <w:t>т</w:t>
      </w:r>
      <w:r>
        <w:t>ных лиц барангаев по вопросам прав человека и обязанностей, учета и</w:t>
      </w:r>
      <w:r>
        <w:t>н</w:t>
      </w:r>
      <w:r>
        <w:t>тересов женщин и правового рассмотрения случаев изнасилований. Для осуществления этого закона министерство социального обеспечения и развития созд</w:t>
      </w:r>
      <w:r>
        <w:t>а</w:t>
      </w:r>
      <w:r>
        <w:t>ет межведомственный комитет.</w:t>
      </w:r>
    </w:p>
    <w:p w:rsidR="00000000" w:rsidRDefault="00000000">
      <w:pPr>
        <w:pStyle w:val="SingleTxt"/>
        <w:ind w:left="1740" w:right="1264" w:hanging="476"/>
        <w:rPr>
          <w:spacing w:val="-2"/>
        </w:rPr>
      </w:pPr>
      <w:r>
        <w:rPr>
          <w:spacing w:val="-2"/>
          <w:lang w:val="en-US"/>
        </w:rPr>
        <w:t>c</w:t>
      </w:r>
      <w:r>
        <w:rPr>
          <w:spacing w:val="-2"/>
        </w:rPr>
        <w:t>)</w:t>
      </w:r>
      <w:r>
        <w:rPr>
          <w:spacing w:val="-2"/>
        </w:rPr>
        <w:tab/>
        <w:t>Республиканский закон 9208, или закон 2003 года о борьбе с торговлей люд</w:t>
      </w:r>
      <w:r>
        <w:rPr>
          <w:spacing w:val="-2"/>
        </w:rPr>
        <w:t>ь</w:t>
      </w:r>
      <w:r>
        <w:rPr>
          <w:spacing w:val="-2"/>
        </w:rPr>
        <w:t>ми, который более подробно обсуждается в связи со статьей 6, служит основой для разработки политики, необходимых институциональных механизмов и санкций и наказаний для лиц, занимающихся такой торговлей и аналогичной деятельностью, в целях искоренения торговли людьми, особенно женщинами и детьми, и оказания защиты и поддержки лицам, ставшим объектами торговли.</w:t>
      </w:r>
    </w:p>
    <w:p w:rsidR="00000000" w:rsidRDefault="00000000">
      <w:pPr>
        <w:pStyle w:val="SingleTxt"/>
        <w:ind w:left="1740" w:right="1264" w:hanging="476"/>
        <w:rPr>
          <w:spacing w:val="-2"/>
        </w:rPr>
      </w:pPr>
      <w:r>
        <w:rPr>
          <w:spacing w:val="-2"/>
          <w:lang w:val="en-US"/>
        </w:rPr>
        <w:t>d</w:t>
      </w:r>
      <w:r>
        <w:rPr>
          <w:spacing w:val="-2"/>
        </w:rPr>
        <w:t>)</w:t>
      </w:r>
      <w:r>
        <w:rPr>
          <w:spacing w:val="-2"/>
        </w:rPr>
        <w:tab/>
        <w:t>Республиканский закон 9262, или закон 2004 года о борьбе с насилием в отн</w:t>
      </w:r>
      <w:r>
        <w:rPr>
          <w:spacing w:val="-2"/>
        </w:rPr>
        <w:t>о</w:t>
      </w:r>
      <w:r>
        <w:rPr>
          <w:spacing w:val="-2"/>
        </w:rPr>
        <w:t>шении женщин и детей, который также обсуждается в связи со статьей 6, н</w:t>
      </w:r>
      <w:r>
        <w:rPr>
          <w:spacing w:val="-2"/>
        </w:rPr>
        <w:t>а</w:t>
      </w:r>
      <w:r>
        <w:rPr>
          <w:spacing w:val="-2"/>
        </w:rPr>
        <w:t>правлен на защиту женщин и их детей от физического, психологического и экономического насилия в контексте супружеских или любовных отношений или гражданского бр</w:t>
      </w:r>
      <w:r>
        <w:rPr>
          <w:spacing w:val="-2"/>
        </w:rPr>
        <w:t>а</w:t>
      </w:r>
      <w:r>
        <w:rPr>
          <w:spacing w:val="-2"/>
        </w:rPr>
        <w:t>ка.</w:t>
      </w:r>
    </w:p>
    <w:p w:rsidR="00000000" w:rsidRDefault="00000000">
      <w:pPr>
        <w:pStyle w:val="SingleTxt"/>
      </w:pPr>
      <w:r>
        <w:t>118.</w:t>
      </w:r>
      <w:r>
        <w:tab/>
        <w:t>Другие законы и программные заявления, касающиеся случаев дискрим</w:t>
      </w:r>
      <w:r>
        <w:t>и</w:t>
      </w:r>
      <w:r>
        <w:t>нации, даже если она является непредумышленной, приводятся по соответс</w:t>
      </w:r>
      <w:r>
        <w:t>т</w:t>
      </w:r>
      <w:r>
        <w:t>вующим статьям.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6" w:name="_Toc85174895"/>
      <w:r>
        <w:t xml:space="preserve">B. </w:t>
      </w:r>
      <w:r>
        <w:tab/>
        <w:t>Сохраняющиеся проблемы и трудности</w:t>
      </w:r>
      <w:bookmarkEnd w:id="2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119.</w:t>
      </w:r>
      <w:r>
        <w:tab/>
        <w:t>Правового определения дискриминации в отношении женщин, которое перекликалось бы с определением, содержащимся в статье 1 Конвенции о ли</w:t>
      </w:r>
      <w:r>
        <w:t>к</w:t>
      </w:r>
      <w:r>
        <w:t>видации дискриминации в отношении же</w:t>
      </w:r>
      <w:r>
        <w:t>н</w:t>
      </w:r>
      <w:r>
        <w:t>щин, в законодательстве нет.</w:t>
      </w:r>
    </w:p>
    <w:p w:rsidR="00000000" w:rsidRDefault="00000000">
      <w:pPr>
        <w:pStyle w:val="SingleTxt"/>
      </w:pPr>
      <w:r>
        <w:t>120.</w:t>
      </w:r>
      <w:r>
        <w:tab/>
        <w:t>Необходимо шире распространять информацию о том, что является ди</w:t>
      </w:r>
      <w:r>
        <w:t>с</w:t>
      </w:r>
      <w:r>
        <w:t>криминацией в отношении женщин, что подразумевается под фактическим р</w:t>
      </w:r>
      <w:r>
        <w:t>а</w:t>
      </w:r>
      <w:r>
        <w:t>венством между мужчинами и женщинами и что входит в обязательства гос</w:t>
      </w:r>
      <w:r>
        <w:t>у</w:t>
      </w:r>
      <w:r>
        <w:t>дарства, а также отдельных лиц и организаций уважать, защищать и осущест</w:t>
      </w:r>
      <w:r>
        <w:t>в</w:t>
      </w:r>
      <w:r>
        <w:t>лять права человека женщин. Ориентироваться здесь нужно не только на пре</w:t>
      </w:r>
      <w:r>
        <w:t>д</w:t>
      </w:r>
      <w:r>
        <w:t>ставителей государства – начиная от законодателей и кончая сотрудниками правоохранительных органов и лицами, занимающимися осуществлением пр</w:t>
      </w:r>
      <w:r>
        <w:t>о</w:t>
      </w:r>
      <w:r>
        <w:t>грамм, – но и на простых граждан или лиц, отстаивающих свои права, котор</w:t>
      </w:r>
      <w:r>
        <w:t>ы</w:t>
      </w:r>
      <w:r>
        <w:t>ми могут быть как мужчины, так и женщины из самых различных с</w:t>
      </w:r>
      <w:r>
        <w:t>о</w:t>
      </w:r>
      <w:r>
        <w:t>циально-экономических групп.</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27" w:name="_Toc85174896"/>
      <w:r>
        <w:t>Статья 2. Обязательства ликвидировать дискриминацию</w:t>
      </w:r>
      <w:bookmarkEnd w:id="2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Принцип равноправия женщин и мужчин в конституции; принятие соотве</w:t>
      </w:r>
      <w:r>
        <w:rPr>
          <w:i/>
        </w:rPr>
        <w:t>т</w:t>
      </w:r>
      <w:r>
        <w:rPr>
          <w:i/>
        </w:rPr>
        <w:t>ствующих законодательных и других мер, включая санкции, запрещающих ди</w:t>
      </w:r>
      <w:r>
        <w:rPr>
          <w:i/>
        </w:rPr>
        <w:t>с</w:t>
      </w:r>
      <w:r>
        <w:rPr>
          <w:i/>
        </w:rPr>
        <w:t>криминацию; установление юридической защиты женщин; отказ от участия в каких-либо дискриминационных действиях; изменение или отмена дискрим</w:t>
      </w:r>
      <w:r>
        <w:rPr>
          <w:i/>
        </w:rPr>
        <w:t>и</w:t>
      </w:r>
      <w:r>
        <w:rPr>
          <w:i/>
        </w:rPr>
        <w:t>национных законов, постановлений, обычаев и практики; и отмена дискрим</w:t>
      </w:r>
      <w:r>
        <w:rPr>
          <w:i/>
        </w:rPr>
        <w:t>и</w:t>
      </w:r>
      <w:r>
        <w:rPr>
          <w:i/>
        </w:rPr>
        <w:t>национных положений в уголовном законодательстве.</w:t>
      </w:r>
    </w:p>
    <w:p w:rsidR="00000000" w:rsidRDefault="00000000">
      <w:pPr>
        <w:pStyle w:val="SingleTx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8" w:name="_Toc85174897"/>
      <w:r>
        <w:t xml:space="preserve">A. </w:t>
      </w:r>
      <w:r>
        <w:tab/>
        <w:t>Положение женщин</w:t>
      </w:r>
      <w:bookmarkEnd w:id="2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121.</w:t>
      </w:r>
      <w:r>
        <w:tab/>
        <w:t>Семейный кодекс 1987 года отменяет многие дискриминационных пол</w:t>
      </w:r>
      <w:r>
        <w:t>о</w:t>
      </w:r>
      <w:r>
        <w:t xml:space="preserve">жениях, содержащихся в Гражданском кодексе (подробную информацию см. в статье 16). Однако он не затрагивает предубеждения в отношении женщин в сфере семьи и брака. Так, по-прежнему действуют статьи 333 и 334 пересмотренного </w:t>
      </w:r>
      <w:r>
        <w:rPr>
          <w:caps/>
        </w:rPr>
        <w:t>у</w:t>
      </w:r>
      <w:r>
        <w:t>головного кодекса, которые по-разному определяют супружескую неверность мужчин и женщин. Жена может понести уголовную ответственность просто за прелюбодеяние, в то время как в случае мужа нео</w:t>
      </w:r>
      <w:r>
        <w:t>б</w:t>
      </w:r>
      <w:r>
        <w:t>ходим факт внебрачного сожительства. Дискриминационные положения сохр</w:t>
      </w:r>
      <w:r>
        <w:t>а</w:t>
      </w:r>
      <w:r>
        <w:t>няются также в Кодексе персональных законов о мусульманах и в обычном праве. Они ставят филиппинских женщин, независимо от их этнического пр</w:t>
      </w:r>
      <w:r>
        <w:t>о</w:t>
      </w:r>
      <w:r>
        <w:t>исхождения или религии, в неравное положение по сравнению с мужчинами в вопросах брака и семейных отношений.</w:t>
      </w:r>
    </w:p>
    <w:p w:rsidR="00000000" w:rsidRDefault="00000000">
      <w:pPr>
        <w:pStyle w:val="SingleTxt"/>
      </w:pPr>
      <w:r>
        <w:t>122.</w:t>
      </w:r>
      <w:r>
        <w:tab/>
        <w:t>Пересмотренный Трудовой кодекс запрещает дискриминацию при найме, в процессе профессиональной подготовки и продвижения по службе, а закон о борьбе с сексуальными домогательствами защищает работающих женщин и предусматривает наказание за такие дискриминационные действия. Эти запр</w:t>
      </w:r>
      <w:r>
        <w:t>е</w:t>
      </w:r>
      <w:r>
        <w:t>ты подкрепляются решениями судов (примеры см. в пункте 495 по статье 11).</w:t>
      </w:r>
    </w:p>
    <w:p w:rsidR="00000000" w:rsidRDefault="00000000">
      <w:pPr>
        <w:pStyle w:val="SingleTxt"/>
      </w:pPr>
      <w:r>
        <w:t>123.</w:t>
      </w:r>
      <w:r>
        <w:tab/>
        <w:t>Обследование 334 филиппинских компаний показало, что в 17 процентов из них были зафиксированы случаи сексуальных домогательств. Однако эта цифра может быть выше, поскольку жертвы как правило не сообщают о таких преступлениях (министерство труда и занятости, 2002 год). Многое еще пре</w:t>
      </w:r>
      <w:r>
        <w:t>д</w:t>
      </w:r>
      <w:r>
        <w:t>стоит сделать в плане повышения информированности, разработки политики и процедур в отношении поведения на рабочем месте, осуществления профе</w:t>
      </w:r>
      <w:r>
        <w:t>с</w:t>
      </w:r>
      <w:r>
        <w:t>сиональной подготовки руководителей и консультирования жертв.</w:t>
      </w:r>
    </w:p>
    <w:p w:rsidR="00000000" w:rsidRDefault="00000000">
      <w:pPr>
        <w:pStyle w:val="SingleTxt"/>
      </w:pPr>
      <w:r>
        <w:t>124.</w:t>
      </w:r>
      <w:r>
        <w:tab/>
        <w:t>Как показано в части II и в последующих статьях доклада, дискримин</w:t>
      </w:r>
      <w:r>
        <w:t>а</w:t>
      </w:r>
      <w:r>
        <w:t>ция в отношении женщин принимает более завуалированные формы: предпо</w:t>
      </w:r>
      <w:r>
        <w:t>ч</w:t>
      </w:r>
      <w:r>
        <w:t>тение мужчинам при продвижении по службе и учет пола в сфере образования и в карьерной работе. Насилие в отношении женщин по-прежнему является серьезной проблемой, хотя кампании просвещения общественности и меры, принима</w:t>
      </w:r>
      <w:r>
        <w:t>е</w:t>
      </w:r>
      <w:r>
        <w:t>мые общинами и полицией, начинают приносить свои плоды.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29" w:name="_Toc85174898"/>
      <w:r>
        <w:t xml:space="preserve">B. </w:t>
      </w:r>
      <w:r>
        <w:tab/>
        <w:t>Принятые меры</w:t>
      </w:r>
      <w:bookmarkEnd w:id="29"/>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125.</w:t>
      </w:r>
      <w:r>
        <w:tab/>
        <w:t xml:space="preserve">Как отмечается и в статье 11, два новых закона касаются потребностей групп, находящихся в неблагоприятном положении, и в частности направлены на улучшение положения женщин. </w:t>
      </w:r>
      <w:r>
        <w:rPr>
          <w:spacing w:val="-2"/>
        </w:rPr>
        <w:t>Республиканский закон 8972, или закон 2000 года о благосостоянии родителей-одиночек, запрещает дискриминацию со ст</w:t>
      </w:r>
      <w:r>
        <w:rPr>
          <w:spacing w:val="-2"/>
        </w:rPr>
        <w:t>о</w:t>
      </w:r>
      <w:r>
        <w:rPr>
          <w:spacing w:val="-2"/>
        </w:rPr>
        <w:t>роны нанимателей в отношении любых родителей-одиночек, и поручает определе</w:t>
      </w:r>
      <w:r>
        <w:rPr>
          <w:spacing w:val="-2"/>
        </w:rPr>
        <w:t>н</w:t>
      </w:r>
      <w:r>
        <w:rPr>
          <w:spacing w:val="-2"/>
        </w:rPr>
        <w:t>ным учреждениям разработку и осуществление всеобъемлющей программы соц</w:t>
      </w:r>
      <w:r>
        <w:rPr>
          <w:spacing w:val="-2"/>
        </w:rPr>
        <w:t>и</w:t>
      </w:r>
      <w:r>
        <w:rPr>
          <w:spacing w:val="-2"/>
        </w:rPr>
        <w:t>ального развития и социальн</w:t>
      </w:r>
      <w:r>
        <w:rPr>
          <w:spacing w:val="-2"/>
        </w:rPr>
        <w:t>о</w:t>
      </w:r>
      <w:r>
        <w:rPr>
          <w:spacing w:val="-2"/>
        </w:rPr>
        <w:t>го обеспечения для родителей-одиночек и их детей.</w:t>
      </w:r>
    </w:p>
    <w:p w:rsidR="00000000" w:rsidRDefault="00000000">
      <w:pPr>
        <w:pStyle w:val="SingleTxt"/>
      </w:pPr>
      <w:r>
        <w:t>126.</w:t>
      </w:r>
      <w:r>
        <w:tab/>
        <w:t>Республиканский закон 8282, или закон 1997 года о социальной защите, охватывает и самостоятельно занятых лиц, домохозяек и лиц, занятых в д</w:t>
      </w:r>
      <w:r>
        <w:t>о</w:t>
      </w:r>
      <w:r>
        <w:t>машнем хозяйстве, наниматель которых должен освобождать их от внесения взноса и брать часть его на себя. Однако осуществляется этот закон пока пл</w:t>
      </w:r>
      <w:r>
        <w:t>о</w:t>
      </w:r>
      <w:r>
        <w:t>хо. Сводное правило № 16 КГС, разделы 13 и 14 (как оно содержится в рез</w:t>
      </w:r>
      <w:r>
        <w:t>о</w:t>
      </w:r>
      <w:r>
        <w:t>люции 021420-2002 КГС), теперь предусматривает предоставление отпуска по беременности и родам н</w:t>
      </w:r>
      <w:r>
        <w:t>е</w:t>
      </w:r>
      <w:r>
        <w:t>замужним женщинам, работающим в органах власти.</w:t>
      </w:r>
    </w:p>
    <w:p w:rsidR="00000000" w:rsidRDefault="00000000">
      <w:pPr>
        <w:pStyle w:val="SingleTxt"/>
      </w:pPr>
      <w:r>
        <w:t>127.</w:t>
      </w:r>
      <w:r>
        <w:tab/>
        <w:t>В стремлении оказать воздействие на культурную практику и нормы, к</w:t>
      </w:r>
      <w:r>
        <w:t>а</w:t>
      </w:r>
      <w:r>
        <w:t>сающиеся родительских прав и обязанностей, был принят республиканский з</w:t>
      </w:r>
      <w:r>
        <w:t>а</w:t>
      </w:r>
      <w:r>
        <w:t>кон 8187, или закон 1996 года об отпуске для отцов (см. также пункт 364 по статье 11).</w:t>
      </w:r>
    </w:p>
    <w:p w:rsidR="00000000" w:rsidRDefault="00000000">
      <w:pPr>
        <w:pStyle w:val="SingleTxt"/>
      </w:pPr>
      <w:r>
        <w:t>128.</w:t>
      </w:r>
      <w:r>
        <w:tab/>
      </w:r>
      <w:r>
        <w:rPr>
          <w:spacing w:val="-2"/>
        </w:rPr>
        <w:t>Меры, принятые в рассматриваемый период, включают: декларацию № 731 от 5 февраля 1996 года, провозглашающую вторую неделю февраля неделей наци</w:t>
      </w:r>
      <w:r>
        <w:rPr>
          <w:spacing w:val="-2"/>
        </w:rPr>
        <w:t>о</w:t>
      </w:r>
      <w:r>
        <w:rPr>
          <w:spacing w:val="-2"/>
        </w:rPr>
        <w:t>нальной информационной кампании против сексуального насилия и эксплуатации детей; декларацию № 759 от 6 марта 1996 года, провозглашающую четвертую нед</w:t>
      </w:r>
      <w:r>
        <w:rPr>
          <w:spacing w:val="-2"/>
        </w:rPr>
        <w:t>е</w:t>
      </w:r>
      <w:r>
        <w:rPr>
          <w:spacing w:val="-2"/>
        </w:rPr>
        <w:t>лю марта 1996 года неделей защиты и равноправного отношения к девочкам; декл</w:t>
      </w:r>
      <w:r>
        <w:rPr>
          <w:spacing w:val="-2"/>
        </w:rPr>
        <w:t>а</w:t>
      </w:r>
      <w:r>
        <w:rPr>
          <w:spacing w:val="-2"/>
        </w:rPr>
        <w:t>рацию № 976 от 25 февраля 1997 года, провозглашающую период с января по д</w:t>
      </w:r>
      <w:r>
        <w:rPr>
          <w:spacing w:val="-2"/>
        </w:rPr>
        <w:t>е</w:t>
      </w:r>
      <w:r>
        <w:rPr>
          <w:spacing w:val="-2"/>
        </w:rPr>
        <w:t>кабрь 1997 года годом борьбы с торговлей мигрантами; и президентский указ от 5 февраля 1997 года, озаглавленный «Призыв к действ</w:t>
      </w:r>
      <w:r>
        <w:rPr>
          <w:spacing w:val="-2"/>
        </w:rPr>
        <w:t>и</w:t>
      </w:r>
      <w:r>
        <w:rPr>
          <w:spacing w:val="-2"/>
        </w:rPr>
        <w:t>ям против насилия в семье».</w:t>
      </w:r>
    </w:p>
    <w:p w:rsidR="00000000" w:rsidRDefault="00000000">
      <w:pPr>
        <w:pStyle w:val="SingleTxt"/>
        <w:rPr>
          <w:spacing w:val="-2"/>
        </w:rPr>
      </w:pPr>
      <w:r>
        <w:t>129.</w:t>
      </w:r>
      <w:r>
        <w:tab/>
        <w:t>Помимо Конвенции о ликвидации дискриминации в отношении женщин Филиппины являются государством-участником других конвенций и договоров по правам человека, например, Международного пакта о гражданских и пол</w:t>
      </w:r>
      <w:r>
        <w:t>и</w:t>
      </w:r>
      <w:r>
        <w:t>тических правах,</w:t>
      </w:r>
      <w:r>
        <w:rPr>
          <w:spacing w:val="-2"/>
        </w:rPr>
        <w:t xml:space="preserve"> </w:t>
      </w:r>
      <w:r>
        <w:t>Международного пакта об экономических, социальных и культурных правах,</w:t>
      </w:r>
      <w:r>
        <w:rPr>
          <w:spacing w:val="-2"/>
        </w:rPr>
        <w:t xml:space="preserve"> Конвенции о правах ребенка, включая два факультативных проток</w:t>
      </w:r>
      <w:r>
        <w:rPr>
          <w:spacing w:val="-2"/>
        </w:rPr>
        <w:t>о</w:t>
      </w:r>
      <w:r>
        <w:rPr>
          <w:spacing w:val="-2"/>
        </w:rPr>
        <w:t>ла, и Международной конвенции о защите прав всех трудящихся-мигрантов.</w:t>
      </w:r>
    </w:p>
    <w:p w:rsidR="00000000" w:rsidRDefault="00000000">
      <w:pPr>
        <w:pStyle w:val="SingleTxt"/>
        <w:rPr>
          <w:spacing w:val="-2"/>
        </w:rPr>
      </w:pPr>
      <w:r>
        <w:t>130.</w:t>
      </w:r>
      <w:r>
        <w:tab/>
      </w:r>
      <w:r>
        <w:rPr>
          <w:spacing w:val="-2"/>
        </w:rPr>
        <w:t>Филиппинская Комиссия по правам человека (ФКПЧ), которая является ко</w:t>
      </w:r>
      <w:r>
        <w:rPr>
          <w:spacing w:val="-2"/>
        </w:rPr>
        <w:t>н</w:t>
      </w:r>
      <w:r>
        <w:rPr>
          <w:spacing w:val="-2"/>
        </w:rPr>
        <w:t>ституционным органом, следит за осуществлением этих конвенций и национальной политики в области прав человека. Она также издает программные документы, как, например, консультативное заключение от 20 июля 1999 года, которое требует от с</w:t>
      </w:r>
      <w:r>
        <w:rPr>
          <w:spacing w:val="-2"/>
        </w:rPr>
        <w:t>о</w:t>
      </w:r>
      <w:r>
        <w:rPr>
          <w:spacing w:val="-2"/>
        </w:rPr>
        <w:t>ответствующих государственных учреждений следить за условиями содержания з</w:t>
      </w:r>
      <w:r>
        <w:rPr>
          <w:spacing w:val="-2"/>
        </w:rPr>
        <w:t>а</w:t>
      </w:r>
      <w:r>
        <w:rPr>
          <w:spacing w:val="-2"/>
        </w:rPr>
        <w:t>держанных лиц, включая женщин и несовершеннолетних правонарушителей. 31 октября 2001 года она приняла программное решение по вопросу «сексуального насилия и пыток женщин, находящихся под стражей», в котором предписала этим же учреждениям, а также органам национальной полиции и вооруженных сил ра</w:t>
      </w:r>
      <w:r>
        <w:rPr>
          <w:spacing w:val="-2"/>
        </w:rPr>
        <w:t>с</w:t>
      </w:r>
      <w:r>
        <w:rPr>
          <w:spacing w:val="-2"/>
        </w:rPr>
        <w:t>следовать случаи нарушения прав человека в отношении находящихся под стражей женщин; принять особые меры для защиты прав задержанных женщин и их защиты от изнасилований, сексуального насилия или пыток, а также угроз, репрессалий или любых других форм запугивания; и набрать н</w:t>
      </w:r>
      <w:r>
        <w:rPr>
          <w:spacing w:val="-2"/>
        </w:rPr>
        <w:t>е</w:t>
      </w:r>
      <w:r>
        <w:rPr>
          <w:spacing w:val="-2"/>
        </w:rPr>
        <w:t>обходимое количество женщин-полицейских, которые будут заниматься делами, связанными с насилием в отнош</w:t>
      </w:r>
      <w:r>
        <w:rPr>
          <w:spacing w:val="-2"/>
        </w:rPr>
        <w:t>е</w:t>
      </w:r>
      <w:r>
        <w:rPr>
          <w:spacing w:val="-2"/>
        </w:rPr>
        <w:t>нии женщин</w:t>
      </w:r>
      <w:r>
        <w:t>. Кроме того, Комиссия подготовила филиппинский план по вопр</w:t>
      </w:r>
      <w:r>
        <w:t>о</w:t>
      </w:r>
      <w:r>
        <w:t>сам прав человека, в котором имеется раздел, посвященный правам человека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0" w:name="_Toc85174899"/>
      <w:r>
        <w:t xml:space="preserve">C. </w:t>
      </w:r>
      <w:r>
        <w:tab/>
        <w:t>Программы и некоторые результаты</w:t>
      </w:r>
      <w:bookmarkEnd w:id="3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Меры по защите прав человека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131.</w:t>
      </w:r>
      <w:r>
        <w:tab/>
        <w:t xml:space="preserve">У </w:t>
      </w:r>
      <w:r>
        <w:rPr>
          <w:spacing w:val="-2"/>
        </w:rPr>
        <w:t>ФКПЧ имеется модуль по правам женщин в ее регулярных курсах подгото</w:t>
      </w:r>
      <w:r>
        <w:rPr>
          <w:spacing w:val="-2"/>
        </w:rPr>
        <w:t>в</w:t>
      </w:r>
      <w:r>
        <w:rPr>
          <w:spacing w:val="-2"/>
        </w:rPr>
        <w:t>ки в области прав человека или их защиты для представителей полиции, вооруже</w:t>
      </w:r>
      <w:r>
        <w:rPr>
          <w:spacing w:val="-2"/>
        </w:rPr>
        <w:t>н</w:t>
      </w:r>
      <w:r>
        <w:rPr>
          <w:spacing w:val="-2"/>
        </w:rPr>
        <w:t>ных сил и других групп; она проводит семинары для НПО и правительственных у</w:t>
      </w:r>
      <w:r>
        <w:rPr>
          <w:spacing w:val="-2"/>
        </w:rPr>
        <w:t>ч</w:t>
      </w:r>
      <w:r>
        <w:rPr>
          <w:spacing w:val="-2"/>
        </w:rPr>
        <w:t>реждений в целях развития сотрудничества в рамках ее программ по правам челов</w:t>
      </w:r>
      <w:r>
        <w:rPr>
          <w:spacing w:val="-2"/>
        </w:rPr>
        <w:t>е</w:t>
      </w:r>
      <w:r>
        <w:rPr>
          <w:spacing w:val="-2"/>
        </w:rPr>
        <w:t>ка; и она осуществляет подготовку своих национальных и региональных сотрудн</w:t>
      </w:r>
      <w:r>
        <w:rPr>
          <w:spacing w:val="-2"/>
        </w:rPr>
        <w:t>и</w:t>
      </w:r>
      <w:r>
        <w:rPr>
          <w:spacing w:val="-2"/>
        </w:rPr>
        <w:t>ков и кадров по вопросам учета интересов женщин. Она также расследует жалобы на нарушения прав человека и предоставляет истцам правовую помощь. Для того чтобы довести свои услуги до самых широких слоев населения и побудить женщин подавать жалобы, она создала центры практической помощи в области прав челов</w:t>
      </w:r>
      <w:r>
        <w:rPr>
          <w:spacing w:val="-2"/>
        </w:rPr>
        <w:t>е</w:t>
      </w:r>
      <w:r>
        <w:rPr>
          <w:spacing w:val="-2"/>
        </w:rPr>
        <w:t>ка в барангаях в 14 940 деревнях и заключила соглашения с министерством юстиции и группами юристов-добровольцев об оперативном предоставлении жертвам юр</w:t>
      </w:r>
      <w:r>
        <w:rPr>
          <w:spacing w:val="-2"/>
        </w:rPr>
        <w:t>и</w:t>
      </w:r>
      <w:r>
        <w:rPr>
          <w:spacing w:val="-2"/>
        </w:rPr>
        <w:t>дических услуг. В центры поступают жалобы на нарушения прав человека, они сл</w:t>
      </w:r>
      <w:r>
        <w:rPr>
          <w:spacing w:val="-2"/>
        </w:rPr>
        <w:t>е</w:t>
      </w:r>
      <w:r>
        <w:rPr>
          <w:spacing w:val="-2"/>
        </w:rPr>
        <w:t>дят за ходом рассмотрения дел и передают их в региональные отделения ФКПЧ на местах. С 1995 года по июнь 2001 года ФКПЧ расследовала 377 случаев нарушения прав человека женщин. Жалобы поступали на убийства/казни (8,5 процента), нез</w:t>
      </w:r>
      <w:r>
        <w:rPr>
          <w:spacing w:val="-2"/>
        </w:rPr>
        <w:t>а</w:t>
      </w:r>
      <w:r>
        <w:rPr>
          <w:spacing w:val="-2"/>
        </w:rPr>
        <w:t>конные аресты/задержания (6,3 процента), исчезновения (0,5 процента) и другие противоправные деяния (8,5 процента). Среди виновных назывались сотрудники п</w:t>
      </w:r>
      <w:r>
        <w:rPr>
          <w:spacing w:val="-2"/>
        </w:rPr>
        <w:t>о</w:t>
      </w:r>
      <w:r>
        <w:rPr>
          <w:spacing w:val="-2"/>
        </w:rPr>
        <w:t>лиции (31,0 процента), местные должностные лица или служащие (13,0 процента), гражданские лица (12,0 процента) и военнослужащие (11,0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Борьба с сексуальными домогательствами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132.</w:t>
      </w:r>
      <w:r>
        <w:tab/>
        <w:t>Комиссия по гражданской службе, министерство труда и профсоюзы и неправительственные организации ведут активную кампанию против секс</w:t>
      </w:r>
      <w:r>
        <w:t>у</w:t>
      </w:r>
      <w:r>
        <w:t>альных домогательств (подробную информацию см. в пунктах 373 и 375 по статье 11).</w:t>
      </w:r>
      <w:r>
        <w:rPr>
          <w:spacing w:val="-2"/>
        </w:rPr>
        <w:t xml:space="preserve"> </w:t>
      </w:r>
      <w:r>
        <w:t>К концу 2002 года профсоюзная группа получила следующие соо</w:t>
      </w:r>
      <w:r>
        <w:t>б</w:t>
      </w:r>
      <w:r>
        <w:t>щения от 259 профсоюзов и компаний: создание комитетов по этике и рассл</w:t>
      </w:r>
      <w:r>
        <w:t>е</w:t>
      </w:r>
      <w:r>
        <w:t>дованию и/или разработка их политики в области борьбы с сексуальными д</w:t>
      </w:r>
      <w:r>
        <w:t>о</w:t>
      </w:r>
      <w:r>
        <w:t>могательствами; расследование комитетами 432 случаев и официальное оформление 20 жалоб; и включение вопроса о сексуальных домогательствах в восемь ко</w:t>
      </w:r>
      <w:r>
        <w:t>л</w:t>
      </w:r>
      <w:r>
        <w:t>лективных трудовых договоров.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Повышение информированности органов власти о правах челов</w:t>
      </w:r>
      <w:r>
        <w:t>е</w:t>
      </w:r>
      <w:r>
        <w:t>ка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133.</w:t>
      </w:r>
      <w:r>
        <w:tab/>
        <w:t>Судя по представленным учреждениями докладах об осуществлении в 2001 году деятельности по решению гендерных вопросов и вопросов развития (ГИР), около 30 процентов проделанной в этой сфере работы было сосредот</w:t>
      </w:r>
      <w:r>
        <w:t>о</w:t>
      </w:r>
      <w:r>
        <w:t>чено на создании потенциала у сотрудников учреждений. В ряде случаев это осуществлялось в форме информирования или посещения мероприятий, св</w:t>
      </w:r>
      <w:r>
        <w:t>я</w:t>
      </w:r>
      <w:r>
        <w:t>занных с ГИР, а также таких торжественных мероприятий, как проведение М</w:t>
      </w:r>
      <w:r>
        <w:t>е</w:t>
      </w:r>
      <w:r>
        <w:t>сяца женщин, симпозиумы и форумы. Для сотрудников и высших должностных лиц учреждений проводились информационные сессии, как, например, устан</w:t>
      </w:r>
      <w:r>
        <w:t>о</w:t>
      </w:r>
      <w:r>
        <w:t>вочные курсы по ГИР и подготовка в вопросах учета интересов женщин. Бл</w:t>
      </w:r>
      <w:r>
        <w:t>а</w:t>
      </w:r>
      <w:r>
        <w:t>годаря этим мероприятиям сотрудники и должностные лица учреждений пол</w:t>
      </w:r>
      <w:r>
        <w:t>у</w:t>
      </w:r>
      <w:r>
        <w:t>чают информацию и четкое представление о гендерных вопросах и концепциях ГИР. Полученная информация помогает им также лучше понять проблемы женщин в тех секторах, где они работают.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Женщины, находящиеся под стражей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134.</w:t>
      </w:r>
      <w:r>
        <w:tab/>
        <w:t>Стремясь решить проблему, связанную с ростом числа женщин и молодых людей, находящихся под стражей, и отсутствием камер для раздельного соде</w:t>
      </w:r>
      <w:r>
        <w:t>р</w:t>
      </w:r>
      <w:r>
        <w:t>жания под стражей, управление тюрем и исполнения наказаний строит отдел</w:t>
      </w:r>
      <w:r>
        <w:t>ь</w:t>
      </w:r>
      <w:r>
        <w:t>ные камеры для женщин и несовершеннолетних правонарушителей. Точно так же в Квезон-Сити, который имеет местное самоуправление и расположен в районе Большой Манилы, есть женское общежитие, в котором размещают женщин-правонарушителей.</w:t>
      </w:r>
    </w:p>
    <w:p w:rsidR="00000000" w:rsidRDefault="00000000">
      <w:pPr>
        <w:pStyle w:val="SingleTxt"/>
      </w:pPr>
      <w:r>
        <w:t>135.</w:t>
      </w:r>
      <w:r>
        <w:tab/>
        <w:t>Из-за опасности того, что молодежь может оказаться под влиянием взро</w:t>
      </w:r>
      <w:r>
        <w:t>с</w:t>
      </w:r>
      <w:r>
        <w:t>лых преступников, в некоторых тюрьмах имеются отдельные камеры для нес</w:t>
      </w:r>
      <w:r>
        <w:t>о</w:t>
      </w:r>
      <w:r>
        <w:t>вершеннолетних. Фактически уже имеется два центра для молодежи – дома для молодежи молаве в Квезон-Сити и «Операция второй шанс» в седьмом ра</w:t>
      </w:r>
      <w:r>
        <w:t>й</w:t>
      </w:r>
      <w:r>
        <w:t>оне, – в которых содержатся юные правонарушители. Эти центры отвечают п</w:t>
      </w:r>
      <w:r>
        <w:t>о</w:t>
      </w:r>
      <w:r>
        <w:t>требностям молодых правонарушителей, связанным с развитием. Среди мер</w:t>
      </w:r>
      <w:r>
        <w:t>о</w:t>
      </w:r>
      <w:r>
        <w:t>приятий, в которых могут принять участие молодые правонарушители, можно отметить программы спортивной и исправ</w:t>
      </w:r>
      <w:r>
        <w:t>и</w:t>
      </w:r>
      <w:r>
        <w:t>тельной работы в общинах.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1" w:name="_Toc85174900"/>
      <w:r>
        <w:t xml:space="preserve">D. </w:t>
      </w:r>
      <w:r>
        <w:tab/>
        <w:t>Сохраняющиеся проблемы и трудности</w:t>
      </w:r>
      <w:bookmarkEnd w:id="3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136.</w:t>
      </w:r>
      <w:r>
        <w:tab/>
        <w:t>Хотя закон о борьбе с сексуальными домогательствами является важным шагом на пути к правовой защите женщин он имеет ряд недостатков, которые необходимо устранить, например:</w:t>
      </w:r>
    </w:p>
    <w:p w:rsidR="00000000" w:rsidRDefault="00000000">
      <w:pPr>
        <w:pStyle w:val="SingleTxt"/>
        <w:ind w:left="1740" w:right="1264" w:hanging="476"/>
      </w:pPr>
      <w:r>
        <w:rPr>
          <w:lang w:val="en-US"/>
        </w:rPr>
        <w:t>a</w:t>
      </w:r>
      <w:r>
        <w:t>)</w:t>
      </w:r>
      <w:r>
        <w:tab/>
        <w:t>Отсутствие наказания для частных организаций, которые не выполняют требование о проведении политики, запрещающей сексуальные домог</w:t>
      </w:r>
      <w:r>
        <w:t>а</w:t>
      </w:r>
      <w:r>
        <w:t>тельства, и создании механизма п</w:t>
      </w:r>
      <w:r>
        <w:t>о</w:t>
      </w:r>
      <w:r>
        <w:t>дачи и рассмотрения жалоб.</w:t>
      </w:r>
    </w:p>
    <w:p w:rsidR="00000000" w:rsidRDefault="00000000">
      <w:pPr>
        <w:pStyle w:val="SingleTxt"/>
        <w:ind w:left="1740" w:right="1264" w:hanging="476"/>
      </w:pPr>
      <w:r>
        <w:rPr>
          <w:lang w:val="en-US"/>
        </w:rPr>
        <w:t>b</w:t>
      </w:r>
      <w:r>
        <w:t>)</w:t>
      </w:r>
      <w:r>
        <w:tab/>
        <w:t>Ограничение сферы применения рабочими местами и местами обучения или профессиональной подготовки, в результате чего неохваченными о</w:t>
      </w:r>
      <w:r>
        <w:t>с</w:t>
      </w:r>
      <w:r>
        <w:t>таются другие места, где могут иметь место случаи сексуальных домог</w:t>
      </w:r>
      <w:r>
        <w:t>а</w:t>
      </w:r>
      <w:r>
        <w:t>тельств, как, например, больницы.</w:t>
      </w:r>
    </w:p>
    <w:p w:rsidR="00000000" w:rsidRDefault="00000000">
      <w:pPr>
        <w:pStyle w:val="SingleTxt"/>
        <w:ind w:left="1740" w:right="1264" w:hanging="476"/>
      </w:pPr>
      <w:r>
        <w:rPr>
          <w:lang w:val="en-US"/>
        </w:rPr>
        <w:t>c</w:t>
      </w:r>
      <w:r>
        <w:t>)</w:t>
      </w:r>
      <w:r>
        <w:tab/>
        <w:t>Необходимость наличия такого важного элемента, как «власть, влияние или моральное превосходство», у лица, совершающего такое деяние, для того чтобы преступление можно было квалифицировать как сексуальное домогательс</w:t>
      </w:r>
      <w:r>
        <w:t>т</w:t>
      </w:r>
      <w:r>
        <w:t>во.</w:t>
      </w:r>
    </w:p>
    <w:p w:rsidR="00000000" w:rsidRDefault="00000000">
      <w:pPr>
        <w:pStyle w:val="SingleTxt"/>
      </w:pPr>
      <w:r>
        <w:t>137.</w:t>
      </w:r>
      <w:r>
        <w:tab/>
        <w:t>По-прежнему существуют проблемы с контролем за выполнением выш</w:t>
      </w:r>
      <w:r>
        <w:t>е</w:t>
      </w:r>
      <w:r>
        <w:t>упомянутого закона. Нет никаких четких положений о контроле за осущест</w:t>
      </w:r>
      <w:r>
        <w:t>в</w:t>
      </w:r>
      <w:r>
        <w:t>лением закона в частном секторе.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32" w:name="_Toc85174901"/>
      <w:r>
        <w:t>Статья 3. Развитие и улучшение положения женщин</w:t>
      </w:r>
      <w:bookmarkEnd w:id="3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Принятие всех соответствующих мер для обеспечения всестороннего разв</w:t>
      </w:r>
      <w:r>
        <w:rPr>
          <w:i/>
        </w:rPr>
        <w:t>и</w:t>
      </w:r>
      <w:r>
        <w:rPr>
          <w:i/>
        </w:rPr>
        <w:t>тия и улучшения положения женщин во всех областях, в частности в полит</w:t>
      </w:r>
      <w:r>
        <w:rPr>
          <w:i/>
        </w:rPr>
        <w:t>и</w:t>
      </w:r>
      <w:r>
        <w:rPr>
          <w:i/>
        </w:rPr>
        <w:t>ческой, экономической, социальной и культурной обла</w:t>
      </w:r>
      <w:r>
        <w:rPr>
          <w:i/>
        </w:rPr>
        <w:t>с</w:t>
      </w:r>
      <w:r>
        <w:rPr>
          <w:i/>
        </w:rPr>
        <w:t>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3" w:name="_Toc85174902"/>
      <w:r>
        <w:t xml:space="preserve">A. </w:t>
      </w:r>
      <w:r>
        <w:tab/>
        <w:t>Положение женщин</w:t>
      </w:r>
      <w:bookmarkEnd w:id="3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spacing w:val="-2"/>
        </w:rPr>
      </w:pPr>
      <w:r>
        <w:t>138.</w:t>
      </w:r>
      <w:r>
        <w:tab/>
      </w:r>
      <w:r>
        <w:rPr>
          <w:spacing w:val="-2"/>
        </w:rPr>
        <w:t>Из-за социального неравенства, плохого функционирования филиппинской экономики и дискриминации по признаку пола большинство филиппинских женщин продолжают проживать в крайней нищете. Женщины составляют меньшинство на рынке рабочей силы и страдают от многочисленных форм скрытой и явной дискр</w:t>
      </w:r>
      <w:r>
        <w:rPr>
          <w:spacing w:val="-2"/>
        </w:rPr>
        <w:t>и</w:t>
      </w:r>
      <w:r>
        <w:rPr>
          <w:spacing w:val="-2"/>
        </w:rPr>
        <w:t>минации при найме и продвижении по службе, а также от сексуальных домог</w:t>
      </w:r>
      <w:r>
        <w:rPr>
          <w:spacing w:val="-2"/>
        </w:rPr>
        <w:t>а</w:t>
      </w:r>
      <w:r>
        <w:rPr>
          <w:spacing w:val="-2"/>
        </w:rPr>
        <w:t>тельств. У женщин и их семей, проживающих в бедных городских общинах и в сельской местности, нет доступа к качественным основным социальным услугам в сфере здравоохранения, профессиональной подготовки, образования, а также к но</w:t>
      </w:r>
      <w:r>
        <w:rPr>
          <w:spacing w:val="-2"/>
        </w:rPr>
        <w:t>р</w:t>
      </w:r>
      <w:r>
        <w:rPr>
          <w:spacing w:val="-2"/>
        </w:rPr>
        <w:t>мальному жилью, водо- и электроснабжению. Они недопредставлены в директи</w:t>
      </w:r>
      <w:r>
        <w:rPr>
          <w:spacing w:val="-2"/>
        </w:rPr>
        <w:t>в</w:t>
      </w:r>
      <w:r>
        <w:rPr>
          <w:spacing w:val="-2"/>
        </w:rPr>
        <w:t>ных органах на всех уровнях и во всех ветвях власти. Сохраняются сексуальные стереотипы, которые порождают социальные проблемы, начиная с двойных ста</w:t>
      </w:r>
      <w:r>
        <w:rPr>
          <w:spacing w:val="-2"/>
        </w:rPr>
        <w:t>н</w:t>
      </w:r>
      <w:r>
        <w:rPr>
          <w:spacing w:val="-2"/>
        </w:rPr>
        <w:t>дартов в сфере морали и кончая такими преступлениями, как изнасилования, порн</w:t>
      </w:r>
      <w:r>
        <w:rPr>
          <w:spacing w:val="-2"/>
        </w:rPr>
        <w:t>о</w:t>
      </w:r>
      <w:r>
        <w:rPr>
          <w:spacing w:val="-2"/>
        </w:rPr>
        <w:t>графия, проституция, торговля людьми, насилие в семье и кровосмесительство. Ра</w:t>
      </w:r>
      <w:r>
        <w:rPr>
          <w:spacing w:val="-2"/>
        </w:rPr>
        <w:t>з</w:t>
      </w:r>
      <w:r>
        <w:rPr>
          <w:spacing w:val="-2"/>
        </w:rPr>
        <w:t>личие в положении и статусе филиппинских женщин и мужчин сохраняются во многих областях, о чем свидетельствует обсуждение последующих статей Конве</w:t>
      </w:r>
      <w:r>
        <w:rPr>
          <w:spacing w:val="-2"/>
        </w:rPr>
        <w:t>н</w:t>
      </w:r>
      <w:r>
        <w:rPr>
          <w:spacing w:val="-2"/>
        </w:rPr>
        <w:t>ции о ликвидации дискр</w:t>
      </w:r>
      <w:r>
        <w:rPr>
          <w:spacing w:val="-2"/>
        </w:rPr>
        <w:t>и</w:t>
      </w:r>
      <w:r>
        <w:rPr>
          <w:spacing w:val="-2"/>
        </w:rPr>
        <w:t>минации в отношении женщин.</w:t>
      </w:r>
    </w:p>
    <w:p w:rsidR="00000000" w:rsidRDefault="00000000">
      <w:pPr>
        <w:pStyle w:val="SingleTxt"/>
        <w:rPr>
          <w:spacing w:val="-2"/>
        </w:rPr>
      </w:pPr>
      <w:r>
        <w:t>139.</w:t>
      </w:r>
      <w:r>
        <w:tab/>
      </w:r>
      <w:r>
        <w:rPr>
          <w:spacing w:val="-2"/>
        </w:rPr>
        <w:t>Последовательное и целенаправленное отстаивание НКПФЖ и женскими группами идеи равенства полов и расширения прав и возможностей женщин пр</w:t>
      </w:r>
      <w:r>
        <w:rPr>
          <w:spacing w:val="-2"/>
        </w:rPr>
        <w:t>и</w:t>
      </w:r>
      <w:r>
        <w:rPr>
          <w:spacing w:val="-2"/>
        </w:rPr>
        <w:t>несло свои плоды. Приняты ключевые законы, и вопросы развития и улучшения женщин включены в повестку дня правительства в области развития, начиная с пр</w:t>
      </w:r>
      <w:r>
        <w:rPr>
          <w:spacing w:val="-2"/>
        </w:rPr>
        <w:t>о</w:t>
      </w:r>
      <w:r>
        <w:rPr>
          <w:spacing w:val="-2"/>
        </w:rPr>
        <w:t>грамм уменьшения масштабов нищеты и кончая стратегией расширения занятости и экономического роста. Женщины в органах власти, особенно женщины, отстаива</w:t>
      </w:r>
      <w:r>
        <w:rPr>
          <w:spacing w:val="-2"/>
        </w:rPr>
        <w:t>ю</w:t>
      </w:r>
      <w:r>
        <w:rPr>
          <w:spacing w:val="-2"/>
        </w:rPr>
        <w:t>щие свои интересы на средних и высших постах в плановых, бюджетных, госуда</w:t>
      </w:r>
      <w:r>
        <w:rPr>
          <w:spacing w:val="-2"/>
        </w:rPr>
        <w:t>р</w:t>
      </w:r>
      <w:r>
        <w:rPr>
          <w:spacing w:val="-2"/>
        </w:rPr>
        <w:t>ственных и правозащитных учреждениях, и придерживающиеся такой же позиции мужчины на официальных постах в министерствах, позволили постепенно вкл</w:t>
      </w:r>
      <w:r>
        <w:rPr>
          <w:spacing w:val="-2"/>
        </w:rPr>
        <w:t>ю</w:t>
      </w:r>
      <w:r>
        <w:rPr>
          <w:spacing w:val="-2"/>
        </w:rPr>
        <w:t>чить задачи обеспечения гендерного равенства в политику, программы и бюджеты своих учрежд</w:t>
      </w:r>
      <w:r>
        <w:rPr>
          <w:spacing w:val="-2"/>
        </w:rPr>
        <w:t>е</w:t>
      </w:r>
      <w:r>
        <w:rPr>
          <w:spacing w:val="-2"/>
        </w:rPr>
        <w:t>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4" w:name="_Toc85174903"/>
      <w:r>
        <w:t xml:space="preserve">B. </w:t>
      </w:r>
      <w:r>
        <w:tab/>
        <w:t>Принятые меры: укрепление институциональных механизмов ГИР</w:t>
      </w:r>
      <w:bookmarkEnd w:id="3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140.</w:t>
      </w:r>
      <w:r>
        <w:tab/>
        <w:t>Признавая, что во многих случаях дискриминация, которой подвергаются филиппинские женщины, принимает более скрытые формы, правительство Филиппин уделяет первоочередное внимание изменению отношения и ценн</w:t>
      </w:r>
      <w:r>
        <w:t>о</w:t>
      </w:r>
      <w:r>
        <w:t>стей обществе в сторону признания равенства ролей прав и обязанностей же</w:t>
      </w:r>
      <w:r>
        <w:t>н</w:t>
      </w:r>
      <w:r>
        <w:t>щин и мужчин. В этой связи с 1989 года оно приняло три плана развития для женщин. В Филиппинском плане развития для женщин на 1989-1992 годы пр</w:t>
      </w:r>
      <w:r>
        <w:t>и</w:t>
      </w:r>
      <w:r>
        <w:t>знавалось, что правительственные учреждения несут совместную ответстве</w:t>
      </w:r>
      <w:r>
        <w:t>н</w:t>
      </w:r>
      <w:r>
        <w:t>ность за выполнение программ по улучшению положения женщин. Учрежд</w:t>
      </w:r>
      <w:r>
        <w:t>е</w:t>
      </w:r>
      <w:r>
        <w:t>ния создали координационные центры ГИР для координации осуществления плана и руководства работой по созданию потенциала в учреждениях для уд</w:t>
      </w:r>
      <w:r>
        <w:t>е</w:t>
      </w:r>
      <w:r>
        <w:t>ления особого внимания гендерным вопросам. По состоянию на 2002 год пр</w:t>
      </w:r>
      <w:r>
        <w:t>и</w:t>
      </w:r>
      <w:r>
        <w:t>мерно у 100 учреждений имелись действующие координационные центры ГИР. В то же время План развития Филиппин с учетом гендерных аспектов (ПРФГ) на 1995-2025 годы был явно рассчитан на долгосрочную перспективу и должен был служить базой для среднесрочных планов, как, например, Рамочный план по улучшению положения женщин (РПЖ), цели, программы и проекты кот</w:t>
      </w:r>
      <w:r>
        <w:t>о</w:t>
      </w:r>
      <w:r>
        <w:t>рых рассчитаны на более короткий период.</w:t>
      </w:r>
    </w:p>
    <w:p w:rsidR="00000000" w:rsidRDefault="00000000">
      <w:pPr>
        <w:pStyle w:val="SingleTxt"/>
        <w:rPr>
          <w:spacing w:val="-2"/>
        </w:rPr>
      </w:pPr>
      <w:r>
        <w:t>141.</w:t>
      </w:r>
      <w:r>
        <w:tab/>
      </w:r>
      <w:r>
        <w:rPr>
          <w:spacing w:val="-2"/>
        </w:rPr>
        <w:t xml:space="preserve">Бюджетная политика </w:t>
      </w:r>
      <w:r>
        <w:t xml:space="preserve">ГИР </w:t>
      </w:r>
      <w:r>
        <w:rPr>
          <w:spacing w:val="-2"/>
        </w:rPr>
        <w:t>Филиппин, закрепленная в ежегодном законе о бюджете, предусматривает использование пяти (5) процентов бюджета каждого у</w:t>
      </w:r>
      <w:r>
        <w:rPr>
          <w:spacing w:val="-2"/>
        </w:rPr>
        <w:t>ч</w:t>
      </w:r>
      <w:r>
        <w:rPr>
          <w:spacing w:val="-2"/>
        </w:rPr>
        <w:t xml:space="preserve">реждения для осуществления его планов в рамках </w:t>
      </w:r>
      <w:r>
        <w:t>ПРФГ</w:t>
      </w:r>
      <w:r>
        <w:rPr>
          <w:spacing w:val="-2"/>
        </w:rPr>
        <w:t xml:space="preserve"> и РПЖ. НКПФЖ совмес</w:t>
      </w:r>
      <w:r>
        <w:rPr>
          <w:spacing w:val="-2"/>
        </w:rPr>
        <w:t>т</w:t>
      </w:r>
      <w:r>
        <w:rPr>
          <w:spacing w:val="-2"/>
        </w:rPr>
        <w:t>но с Национальным управлением экономики и развития (НУЭР) и министерством бюджета и управления (МБУ) поручено следить за осуществлением РПЖ и бю</w:t>
      </w:r>
      <w:r>
        <w:rPr>
          <w:spacing w:val="-2"/>
        </w:rPr>
        <w:t>д</w:t>
      </w:r>
      <w:r>
        <w:rPr>
          <w:spacing w:val="-2"/>
        </w:rPr>
        <w:t>жетной политики. С 1999 по 2003 год НКПФЖ получала от министерств и их по</w:t>
      </w:r>
      <w:r>
        <w:rPr>
          <w:spacing w:val="-2"/>
        </w:rPr>
        <w:t>д</w:t>
      </w:r>
      <w:r>
        <w:rPr>
          <w:spacing w:val="-2"/>
        </w:rPr>
        <w:t>ведомственных учреждений в среднем 130 из 335 материалов для национального плана ГИР.</w:t>
      </w:r>
    </w:p>
    <w:p w:rsidR="00000000" w:rsidRDefault="00000000">
      <w:pPr>
        <w:pStyle w:val="SingleTxt"/>
      </w:pPr>
      <w:r>
        <w:t>142.</w:t>
      </w:r>
      <w:r>
        <w:tab/>
      </w:r>
      <w:r>
        <w:rPr>
          <w:spacing w:val="-2"/>
        </w:rPr>
        <w:t>В 1997 году Национальная комиссия по положению филиппинских женщин была укреплена. Она была реорганизована с учетом ее роли в решении гендерных вопросов. Было создано порядка 17 дополнительных должностей.</w:t>
      </w:r>
      <w:r>
        <w:t xml:space="preserve"> Примерно в то же время Канадское агентство по международному развитию (КАМР) утверд</w:t>
      </w:r>
      <w:r>
        <w:t>и</w:t>
      </w:r>
      <w:r>
        <w:t>ло второй этап проекта укрепления институционального потенциала НКПФЖ. Это позволит добавить в весьма ограниченный бюджет по программам НКПФЖ пять миллионов канадских долларов в течение 5–9 лет. Дополнител</w:t>
      </w:r>
      <w:r>
        <w:t>ь</w:t>
      </w:r>
      <w:r>
        <w:t>ные кадры и бюджет позволили НКПФЖ осуществлять программу по укрепл</w:t>
      </w:r>
      <w:r>
        <w:t>е</w:t>
      </w:r>
      <w:r>
        <w:t>нию своего потенциала, а также программы основных правительственных ко</w:t>
      </w:r>
      <w:r>
        <w:t>н</w:t>
      </w:r>
      <w:r>
        <w:t>трольных органов и учреждений-исполнителей и регулирующих местных г</w:t>
      </w:r>
      <w:r>
        <w:t>о</w:t>
      </w:r>
      <w:r>
        <w:t>сударс</w:t>
      </w:r>
      <w:r>
        <w:t>т</w:t>
      </w:r>
      <w:r>
        <w:t>венных подразделений в конкретных областях:</w:t>
      </w:r>
    </w:p>
    <w:p w:rsidR="00000000" w:rsidRDefault="00000000">
      <w:pPr>
        <w:pStyle w:val="SingleTxt"/>
        <w:ind w:left="1740" w:right="1264" w:hanging="476"/>
      </w:pPr>
      <w:r>
        <w:rPr>
          <w:lang w:val="en-US"/>
        </w:rPr>
        <w:t>a</w:t>
      </w:r>
      <w:r>
        <w:t>)</w:t>
      </w:r>
      <w:r>
        <w:tab/>
        <w:t>НКПФЖ как база технических ресурсов для анализа и разработки пол</w:t>
      </w:r>
      <w:r>
        <w:t>и</w:t>
      </w:r>
      <w:r>
        <w:t>тики, учитывающей гендерные факторы, разработки и осуществления контроля и оценки проектов.</w:t>
      </w:r>
    </w:p>
    <w:p w:rsidR="00000000" w:rsidRDefault="00000000">
      <w:pPr>
        <w:pStyle w:val="SingleTxt"/>
        <w:ind w:left="1740" w:right="1264" w:hanging="476"/>
      </w:pPr>
      <w:r>
        <w:rPr>
          <w:lang w:val="en-US"/>
        </w:rPr>
        <w:t>b</w:t>
      </w:r>
      <w:r>
        <w:t>)</w:t>
      </w:r>
      <w:r>
        <w:tab/>
        <w:t>Контролирующие учреждения (НУЭР, МБУ, министерство внутренних дел и местных органов власти [МВДМВ], Комиссия по гражданской службе [КГС]) и палата представителей должны создать благоприятные условия для разработки политики с учетом гендерных факторов, планирования, развития людских ресурсов и управления в о</w:t>
      </w:r>
      <w:r>
        <w:t>р</w:t>
      </w:r>
      <w:r>
        <w:t>ганах власти.</w:t>
      </w:r>
    </w:p>
    <w:p w:rsidR="00000000" w:rsidRDefault="00000000">
      <w:pPr>
        <w:pStyle w:val="SingleTxt"/>
        <w:ind w:left="1740" w:right="1264" w:hanging="476"/>
      </w:pPr>
      <w:r>
        <w:rPr>
          <w:lang w:val="en-US"/>
        </w:rPr>
        <w:t>c</w:t>
      </w:r>
      <w:r>
        <w:t>)</w:t>
      </w:r>
      <w:r>
        <w:tab/>
        <w:t>Статистические учреждения (Национальное статистическое бюро [НСБ], Национальный статистический координационный совет [НСКС] и Стат</w:t>
      </w:r>
      <w:r>
        <w:t>и</w:t>
      </w:r>
      <w:r>
        <w:t>стический исследовательский и учебный центр [СИУЦ]) - подготовка ст</w:t>
      </w:r>
      <w:r>
        <w:t>а</w:t>
      </w:r>
      <w:r>
        <w:t>тистических данных с учетом генде</w:t>
      </w:r>
      <w:r>
        <w:t>р</w:t>
      </w:r>
      <w:r>
        <w:t>ных факторов.</w:t>
      </w:r>
    </w:p>
    <w:p w:rsidR="00000000" w:rsidRDefault="00000000">
      <w:pPr>
        <w:pStyle w:val="SingleTxt"/>
        <w:ind w:left="1740" w:right="1264" w:hanging="476"/>
      </w:pPr>
      <w:r>
        <w:rPr>
          <w:lang w:val="en-US"/>
        </w:rPr>
        <w:t>d</w:t>
      </w:r>
      <w:r>
        <w:t>)</w:t>
      </w:r>
      <w:r>
        <w:tab/>
        <w:t>Контролирующие учреждения по конкретным элементам работы, связа</w:t>
      </w:r>
      <w:r>
        <w:t>н</w:t>
      </w:r>
      <w:r>
        <w:t>ной с созданием благоприятных условий, для разработки и осуществления политики и программ с учетом гендерных факторов: министерство сел</w:t>
      </w:r>
      <w:r>
        <w:t>ь</w:t>
      </w:r>
      <w:r>
        <w:t>ского хозяйства – анализ и осуществление политики вплоть до местного уровня; министерство торговли и промышленности (МТП) – создание и</w:t>
      </w:r>
      <w:r>
        <w:t>н</w:t>
      </w:r>
      <w:r>
        <w:t>ституционального потенциала для ГИР; министерство труда и занятости (МТЗ) – контроль и оценка программ с учетом гендерных факторов; м</w:t>
      </w:r>
      <w:r>
        <w:t>и</w:t>
      </w:r>
      <w:r>
        <w:t>нистерство природных ресурсов и по охране окружающей среды (МПРОС) – участие населения на местном уровне.</w:t>
      </w:r>
    </w:p>
    <w:p w:rsidR="00000000" w:rsidRDefault="00000000">
      <w:pPr>
        <w:pStyle w:val="SingleTxt"/>
        <w:rPr>
          <w:spacing w:val="-2"/>
        </w:rPr>
      </w:pPr>
      <w:r>
        <w:rPr>
          <w:spacing w:val="-2"/>
        </w:rPr>
        <w:t>143.</w:t>
      </w:r>
      <w:r>
        <w:rPr>
          <w:spacing w:val="-2"/>
        </w:rPr>
        <w:tab/>
        <w:t>Среди важных результатов участия каждого учреждения в разработке и осущ</w:t>
      </w:r>
      <w:r>
        <w:rPr>
          <w:spacing w:val="-2"/>
        </w:rPr>
        <w:t>е</w:t>
      </w:r>
      <w:r>
        <w:rPr>
          <w:spacing w:val="-2"/>
        </w:rPr>
        <w:t>ствлении проектов – справочники, пособия и руководства для направления самого учреждения и остальных органов управления в их работе по учету гендерных фа</w:t>
      </w:r>
      <w:r>
        <w:rPr>
          <w:spacing w:val="-2"/>
        </w:rPr>
        <w:t>к</w:t>
      </w:r>
      <w:r>
        <w:rPr>
          <w:spacing w:val="-2"/>
        </w:rPr>
        <w:t>торов:</w:t>
      </w:r>
    </w:p>
    <w:p w:rsidR="00000000" w:rsidRDefault="00000000">
      <w:pPr>
        <w:pStyle w:val="SingleTxt"/>
        <w:ind w:left="1740" w:right="1264" w:hanging="476"/>
      </w:pPr>
      <w:r>
        <w:rPr>
          <w:lang w:val="en-US"/>
        </w:rPr>
        <w:t>a</w:t>
      </w:r>
      <w:r>
        <w:t>)</w:t>
      </w:r>
      <w:r>
        <w:tab/>
        <w:t>Руководство по рассмотрению случаев сексуальных домогательств в о</w:t>
      </w:r>
      <w:r>
        <w:t>р</w:t>
      </w:r>
      <w:r>
        <w:t>ганах власти (КГС); руководство по разработке планов развития с учетом гендерных факторов (НУЭР); пакет технической помощи для планиров</w:t>
      </w:r>
      <w:r>
        <w:t>а</w:t>
      </w:r>
      <w:r>
        <w:t>ния и разработки бюджета ГИР для местных органов власти и для ра</w:t>
      </w:r>
      <w:r>
        <w:t>с</w:t>
      </w:r>
      <w:r>
        <w:t>смотрения и предотвращения случаев насилия в семье на уровне баранг</w:t>
      </w:r>
      <w:r>
        <w:t>а</w:t>
      </w:r>
      <w:r>
        <w:t>ев (МВДМВ); учитывающая гендерные факторы программа обучения для базового курса набора сотрудников национальной полиции Филиппин и для базового курса (Филиппинский колледж общественной безопасности); пособие по планированию и разработке бюджета ГИР для должностных лиц и работников, занимающихся вопросами подготовки и исполнения бюджета (МБУ); методология для проведения национального исследов</w:t>
      </w:r>
      <w:r>
        <w:t>а</w:t>
      </w:r>
      <w:r>
        <w:t>ния использования времени (НСБ); учебное пособие по статистике для планирования развития на местном уровне с учетом гендерных факторов (СИУЦ); и методология для подготовки статистических данных по нас</w:t>
      </w:r>
      <w:r>
        <w:t>и</w:t>
      </w:r>
      <w:r>
        <w:t>лию в отношении женщин и детей (НСКС).</w:t>
      </w:r>
    </w:p>
    <w:p w:rsidR="00000000" w:rsidRDefault="00000000">
      <w:pPr>
        <w:pStyle w:val="SingleTxt"/>
        <w:ind w:left="1740" w:right="1264" w:hanging="476"/>
      </w:pPr>
      <w:r>
        <w:rPr>
          <w:lang w:val="en-US"/>
        </w:rPr>
        <w:t>b</w:t>
      </w:r>
      <w:r>
        <w:t>)</w:t>
      </w:r>
      <w:r>
        <w:tab/>
        <w:t>Пособия, подготовленные министерством здравоохранения для ориент</w:t>
      </w:r>
      <w:r>
        <w:t>а</w:t>
      </w:r>
      <w:r>
        <w:t>ции его сотрудников в вопросах осуществления учитывающих гендерные факторы программ и проектов, включают учебный модуль по гендерным и медицинским вопросам для работников здравоохранения, правила мед</w:t>
      </w:r>
      <w:r>
        <w:t>и</w:t>
      </w:r>
      <w:r>
        <w:t>цинского обслуживания женщин и детей, ставших жертвами насилия, правила обслуживания в сфере репродуктивного здоровья, учебные мод</w:t>
      </w:r>
      <w:r>
        <w:t>у</w:t>
      </w:r>
      <w:r>
        <w:t>ли по первичному медико-санитарному обслуживанию с учетом генде</w:t>
      </w:r>
      <w:r>
        <w:t>р</w:t>
      </w:r>
      <w:r>
        <w:t>ных факторов и стандарты качественного медико-санитарного обслуж</w:t>
      </w:r>
      <w:r>
        <w:t>и</w:t>
      </w:r>
      <w:r>
        <w:t>вания, учитывающие гендерные фа</w:t>
      </w:r>
      <w:r>
        <w:t>к</w:t>
      </w:r>
      <w:r>
        <w:t>торы.</w:t>
      </w:r>
    </w:p>
    <w:p w:rsidR="00000000" w:rsidRDefault="00000000">
      <w:pPr>
        <w:pStyle w:val="SingleTxt"/>
        <w:ind w:left="1740" w:right="1264" w:hanging="476"/>
      </w:pPr>
      <w:r>
        <w:rPr>
          <w:lang w:val="en-US"/>
        </w:rPr>
        <w:t>c</w:t>
      </w:r>
      <w:r>
        <w:t>)</w:t>
      </w:r>
      <w:r>
        <w:tab/>
        <w:t>Подготовленный министерством социального обеспечения комплект учебных модулей по ГИР, а именно учебный модуль по ГИР, предназн</w:t>
      </w:r>
      <w:r>
        <w:t>а</w:t>
      </w:r>
      <w:r>
        <w:t>ченный для включения в учебные программы министерства, учебный м</w:t>
      </w:r>
      <w:r>
        <w:t>о</w:t>
      </w:r>
      <w:r>
        <w:t>дуль для работников прокуратуры и сотрудников полиции по вопросам обращения с женщинами и детьми, ставшими жертвами жестокого обр</w:t>
      </w:r>
      <w:r>
        <w:t>а</w:t>
      </w:r>
      <w:r>
        <w:t>щения и эксплуатации, и учебный модуль по вопросам учета гендерных факторов и разработки программ с учетом прав ч</w:t>
      </w:r>
      <w:r>
        <w:t>е</w:t>
      </w:r>
      <w:r>
        <w:t>ловека.</w:t>
      </w:r>
    </w:p>
    <w:p w:rsidR="00000000" w:rsidRDefault="00000000">
      <w:pPr>
        <w:pStyle w:val="SingleTxt"/>
        <w:ind w:left="1740" w:right="1264" w:hanging="476"/>
      </w:pPr>
      <w:r>
        <w:rPr>
          <w:lang w:val="en-US"/>
        </w:rPr>
        <w:t>d</w:t>
      </w:r>
      <w:r>
        <w:t>)</w:t>
      </w:r>
      <w:r>
        <w:tab/>
        <w:t>Подготовленные Комиссией по народонаселению «Аналитические рамки для учитывающей гендерные факторы демографической политики с пе</w:t>
      </w:r>
      <w:r>
        <w:t>р</w:t>
      </w:r>
      <w:r>
        <w:t>спективами в отношении репродуктивного здоровья» и «Руководство по пропаганде основных концепций гендерного равенства и репродуктивного здоровья и обучению работников демографических программ в этой о</w:t>
      </w:r>
      <w:r>
        <w:t>б</w:t>
      </w:r>
      <w:r>
        <w:t>ласти».</w:t>
      </w:r>
    </w:p>
    <w:p w:rsidR="00000000" w:rsidRDefault="00000000">
      <w:pPr>
        <w:pStyle w:val="SingleTxt"/>
        <w:ind w:left="1740" w:right="1264" w:hanging="476"/>
      </w:pPr>
      <w:r>
        <w:rPr>
          <w:spacing w:val="-2"/>
          <w:lang w:val="en-US"/>
        </w:rPr>
        <w:t>e</w:t>
      </w:r>
      <w:r>
        <w:rPr>
          <w:spacing w:val="-2"/>
        </w:rPr>
        <w:t>)</w:t>
      </w:r>
      <w:r>
        <w:rPr>
          <w:spacing w:val="-2"/>
        </w:rPr>
        <w:tab/>
        <w:t>Пособия НКПФЖ, которые могли бы использоваться учреждениями: справо</w:t>
      </w:r>
      <w:r>
        <w:rPr>
          <w:spacing w:val="-2"/>
        </w:rPr>
        <w:t>ч</w:t>
      </w:r>
      <w:r>
        <w:rPr>
          <w:spacing w:val="-2"/>
        </w:rPr>
        <w:t>ник по подготовке в области ГИР для государственных учреждений, куда вх</w:t>
      </w:r>
      <w:r>
        <w:rPr>
          <w:spacing w:val="-2"/>
        </w:rPr>
        <w:t>о</w:t>
      </w:r>
      <w:r>
        <w:rPr>
          <w:spacing w:val="-2"/>
        </w:rPr>
        <w:t>дят, помимо прочего</w:t>
      </w:r>
      <w:r>
        <w:t>, словарь по ГИР, основы для оценки деятельности по учету гендерных факторов и методы установления контактов с организ</w:t>
      </w:r>
      <w:r>
        <w:t>а</w:t>
      </w:r>
      <w:r>
        <w:t>циями, занимающимися генде</w:t>
      </w:r>
      <w:r>
        <w:t>р</w:t>
      </w:r>
      <w:r>
        <w:t>ными вопросами.</w:t>
      </w:r>
    </w:p>
    <w:p w:rsidR="00000000" w:rsidRDefault="00000000">
      <w:pPr>
        <w:pStyle w:val="SingleTxt"/>
      </w:pPr>
      <w:r>
        <w:t>144.</w:t>
      </w:r>
      <w:r>
        <w:tab/>
        <w:t>В рамках своей работы по созданию связанных с решением</w:t>
      </w:r>
      <w:r>
        <w:rPr>
          <w:spacing w:val="-2"/>
        </w:rPr>
        <w:t xml:space="preserve"> гендерных в</w:t>
      </w:r>
      <w:r>
        <w:rPr>
          <w:spacing w:val="-2"/>
        </w:rPr>
        <w:t>о</w:t>
      </w:r>
      <w:r>
        <w:rPr>
          <w:spacing w:val="-2"/>
        </w:rPr>
        <w:t>просов организаций и планов НКПФЖ оказывает техническую помощь государс</w:t>
      </w:r>
      <w:r>
        <w:rPr>
          <w:spacing w:val="-2"/>
        </w:rPr>
        <w:t>т</w:t>
      </w:r>
      <w:r>
        <w:rPr>
          <w:spacing w:val="-2"/>
        </w:rPr>
        <w:t xml:space="preserve">венным учреждениям и местным органам власти. Она также устанавливает связи с региональными информационно-консультативными центрами </w:t>
      </w:r>
      <w:r>
        <w:t xml:space="preserve">ГИР </w:t>
      </w:r>
      <w:r>
        <w:rPr>
          <w:spacing w:val="-2"/>
        </w:rPr>
        <w:t>в целях расш</w:t>
      </w:r>
      <w:r>
        <w:rPr>
          <w:spacing w:val="-2"/>
        </w:rPr>
        <w:t>и</w:t>
      </w:r>
      <w:r>
        <w:rPr>
          <w:spacing w:val="-2"/>
        </w:rPr>
        <w:t xml:space="preserve">рения обмена информацией и налаживания взаимодействия между пропагандистами </w:t>
      </w:r>
      <w:r>
        <w:t>ГИР, преподавателями и исследователями в регионах и содействия созданию ресурсной базы для обучения, проведения исследований и оказания технич</w:t>
      </w:r>
      <w:r>
        <w:t>е</w:t>
      </w:r>
      <w:r>
        <w:t>ской помощи в связи с ГИР. По состоянию на 2003 год в пяти регионах активно действовало восемь центров.</w:t>
      </w:r>
    </w:p>
    <w:p w:rsidR="00000000" w:rsidRDefault="00000000">
      <w:pPr>
        <w:pStyle w:val="SingleTxt"/>
      </w:pPr>
      <w:r>
        <w:t>145.</w:t>
      </w:r>
      <w:r>
        <w:tab/>
        <w:t>Другие имеющиеся программные заявления и механизмы, призванные с</w:t>
      </w:r>
      <w:r>
        <w:t>о</w:t>
      </w:r>
      <w:r>
        <w:t>действовать развитию и улучшению положения женщин, включают:</w:t>
      </w:r>
    </w:p>
    <w:p w:rsidR="00000000" w:rsidRDefault="00000000">
      <w:pPr>
        <w:pStyle w:val="SingleTxt"/>
        <w:ind w:left="1740" w:right="1264" w:hanging="476"/>
      </w:pPr>
      <w:r>
        <w:rPr>
          <w:lang w:val="en-US"/>
        </w:rPr>
        <w:t>a</w:t>
      </w:r>
      <w:r>
        <w:t>)</w:t>
      </w:r>
      <w:r>
        <w:tab/>
        <w:t>Административное распоряжение № 368 от 5 сентября 1996 года соде</w:t>
      </w:r>
      <w:r>
        <w:t>р</w:t>
      </w:r>
      <w:r>
        <w:t>жит руководящие принципы по осуществлению институциональных с</w:t>
      </w:r>
      <w:r>
        <w:t>о</w:t>
      </w:r>
      <w:r>
        <w:t>глашений для оперативной привязки к местным условиям Повестки дня социальных реформ (ПСР) и включения НКПФЖ в число членов Совета по социальным реформам. ПСР – это пакет мер, направленных на удовл</w:t>
      </w:r>
      <w:r>
        <w:t>е</w:t>
      </w:r>
      <w:r>
        <w:t>творение потребностей бедных слоев населения (включая женщин и н</w:t>
      </w:r>
      <w:r>
        <w:t>е</w:t>
      </w:r>
      <w:r>
        <w:t>формальный сектор) и в</w:t>
      </w:r>
      <w:r>
        <w:t>о</w:t>
      </w:r>
      <w:r>
        <w:t>влечение их в процесс развития.</w:t>
      </w:r>
    </w:p>
    <w:p w:rsidR="00000000" w:rsidRDefault="00000000">
      <w:pPr>
        <w:pStyle w:val="SingleTxt"/>
        <w:ind w:left="1740" w:right="1264" w:hanging="476"/>
      </w:pPr>
      <w:r>
        <w:rPr>
          <w:lang w:val="en-US"/>
        </w:rPr>
        <w:t>b</w:t>
      </w:r>
      <w:r>
        <w:t>)</w:t>
      </w:r>
      <w:r>
        <w:tab/>
        <w:t>Республиканский закон 8371, или закон 1997 года о правах коренных н</w:t>
      </w:r>
      <w:r>
        <w:t>а</w:t>
      </w:r>
      <w:r>
        <w:t>родов, включает положения, которые подтверждают равные права мужчин и женщин и предусматривают меры в таких областях, как улучшение п</w:t>
      </w:r>
      <w:r>
        <w:t>о</w:t>
      </w:r>
      <w:r>
        <w:t>ложения женщин, обеспечение их полного доступа к услугам в сфере о</w:t>
      </w:r>
      <w:r>
        <w:t>б</w:t>
      </w:r>
      <w:r>
        <w:t>разования, уход за матерью и ребенком, здравоохранение, питание и ж</w:t>
      </w:r>
      <w:r>
        <w:t>и</w:t>
      </w:r>
      <w:r>
        <w:t>лье, профессиональная подготовка и их представительство в директивных органах в секторах на всех уро</w:t>
      </w:r>
      <w:r>
        <w:t>в</w:t>
      </w:r>
      <w:r>
        <w:t>нях.</w:t>
      </w:r>
    </w:p>
    <w:p w:rsidR="00000000" w:rsidRDefault="00000000">
      <w:pPr>
        <w:pStyle w:val="SingleTxt"/>
        <w:ind w:left="1740" w:right="1264" w:hanging="476"/>
      </w:pPr>
      <w:r>
        <w:rPr>
          <w:lang w:val="en-US"/>
        </w:rPr>
        <w:t>c</w:t>
      </w:r>
      <w:r>
        <w:t>)</w:t>
      </w:r>
      <w:r>
        <w:tab/>
        <w:t>Республиканский закон 8850, или закон 1998 года о рыболовстве, требует, чтобы женщин включали в число членов муниципальных или городских советов по рыболовству и рациональному использованию водных ресу</w:t>
      </w:r>
      <w:r>
        <w:t>р</w:t>
      </w:r>
      <w:r>
        <w:t>сов, которые осуществляют правительственную программу рациональн</w:t>
      </w:r>
      <w:r>
        <w:t>о</w:t>
      </w:r>
      <w:r>
        <w:t>го использования прибрежных р</w:t>
      </w:r>
      <w:r>
        <w:t>е</w:t>
      </w:r>
      <w:r>
        <w:t>сурсов.</w:t>
      </w:r>
    </w:p>
    <w:p w:rsidR="00000000" w:rsidRDefault="00000000">
      <w:pPr>
        <w:pStyle w:val="SingleTxt"/>
        <w:rPr>
          <w:spacing w:val="-2"/>
        </w:rPr>
      </w:pPr>
      <w:r>
        <w:t>146.</w:t>
      </w:r>
      <w:r>
        <w:tab/>
      </w:r>
      <w:r>
        <w:rPr>
          <w:spacing w:val="-2"/>
        </w:rPr>
        <w:t>Созданы региональные и местные государственные институциональные мех</w:t>
      </w:r>
      <w:r>
        <w:rPr>
          <w:spacing w:val="-2"/>
        </w:rPr>
        <w:t>а</w:t>
      </w:r>
      <w:r>
        <w:rPr>
          <w:spacing w:val="-2"/>
        </w:rPr>
        <w:t xml:space="preserve">низмы по </w:t>
      </w:r>
      <w:r>
        <w:t>ГИР</w:t>
      </w:r>
      <w:r>
        <w:rPr>
          <w:spacing w:val="-2"/>
        </w:rPr>
        <w:t>, как, например, тот, что создан в совете регионального развития дес</w:t>
      </w:r>
      <w:r>
        <w:rPr>
          <w:spacing w:val="-2"/>
        </w:rPr>
        <w:t>я</w:t>
      </w:r>
      <w:r>
        <w:rPr>
          <w:spacing w:val="-2"/>
        </w:rPr>
        <w:t>того региона, в провинциальной комиссии по положению женщин в Булакане в Це</w:t>
      </w:r>
      <w:r>
        <w:rPr>
          <w:spacing w:val="-2"/>
        </w:rPr>
        <w:t>н</w:t>
      </w:r>
      <w:r>
        <w:rPr>
          <w:spacing w:val="-2"/>
        </w:rPr>
        <w:t xml:space="preserve">тральном Лусоне, а также технические комитеты по </w:t>
      </w:r>
      <w:r>
        <w:t>ГИР</w:t>
      </w:r>
      <w:r>
        <w:rPr>
          <w:spacing w:val="-2"/>
        </w:rPr>
        <w:t>, работа которых регулир</w:t>
      </w:r>
      <w:r>
        <w:rPr>
          <w:spacing w:val="-2"/>
        </w:rPr>
        <w:t>у</w:t>
      </w:r>
      <w:r>
        <w:rPr>
          <w:spacing w:val="-2"/>
        </w:rPr>
        <w:t>ется местными нормативными актами.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5" w:name="_Toc85174904"/>
      <w:r>
        <w:t xml:space="preserve">D. </w:t>
      </w:r>
      <w:r>
        <w:tab/>
        <w:t>Сохраняющиеся проблемы и трудности</w:t>
      </w:r>
      <w:bookmarkEnd w:id="3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147.</w:t>
      </w:r>
      <w:r>
        <w:tab/>
      </w:r>
      <w:r>
        <w:rPr>
          <w:i/>
        </w:rPr>
        <w:t>Приверженность и политическая воля для исполнения бюджета ГИР у государственных должностных лиц.</w:t>
      </w:r>
      <w:r>
        <w:rPr>
          <w:b/>
        </w:rPr>
        <w:t xml:space="preserve"> </w:t>
      </w:r>
      <w:r>
        <w:t>Это особенно очевидно среди секретарей министерств, руководителей учреждений и высших местных администраторов. Из-за ограниченности их знаний о бюджете ГИР и преследуемой цели отмеч</w:t>
      </w:r>
      <w:r>
        <w:t>а</w:t>
      </w:r>
      <w:r>
        <w:t>ется также тенденция к противодействию осуществлению этой политики и к финансированию вместо этого других проектов. Кроме того, не предусмотрено никаких санкций для тех, кто не выполняет бюджетную политику ГИР.</w:t>
      </w:r>
    </w:p>
    <w:p w:rsidR="00000000" w:rsidRDefault="00000000">
      <w:pPr>
        <w:pStyle w:val="SingleTxt"/>
      </w:pPr>
      <w:r>
        <w:t>148.</w:t>
      </w:r>
      <w:r>
        <w:tab/>
      </w:r>
      <w:r>
        <w:rPr>
          <w:i/>
        </w:rPr>
        <w:t>Неэффективный механизм контроля за ходом работы.</w:t>
      </w:r>
      <w:r>
        <w:t xml:space="preserve"> В этом плане до</w:t>
      </w:r>
      <w:r>
        <w:t>с</w:t>
      </w:r>
      <w:r>
        <w:t>тигнут значительный прогресс. Однако сохраняется проблема, связанная с полным выполнением или применением этих показателей, рамок и условий в целях подготовки столь необходимой информации по гендерным вопросам, как, например, случаи насилия в отношении женщин и детей, количественное определение экономического вклада женщин, включая определение объема н</w:t>
      </w:r>
      <w:r>
        <w:t>е</w:t>
      </w:r>
      <w:r>
        <w:t>оплачиваемой работы, или статистические данные по неформальному сектору. Необходимо также информировать и направлять пользователей и производит</w:t>
      </w:r>
      <w:r>
        <w:t>е</w:t>
      </w:r>
      <w:r>
        <w:t>лей в ключевых секторах в целях эффективного использования и анализа ст</w:t>
      </w:r>
      <w:r>
        <w:t>а</w:t>
      </w:r>
      <w:r>
        <w:t>тистических данных по гендерным вопросам, которые в настоящее время гот</w:t>
      </w:r>
      <w:r>
        <w:t>о</w:t>
      </w:r>
      <w:r>
        <w:t>вятся статистической системой. Сохраняется задача разработки всеобъемл</w:t>
      </w:r>
      <w:r>
        <w:t>ю</w:t>
      </w:r>
      <w:r>
        <w:t>щих рамок для контроля, которые будут охватывать большую часть пробле</w:t>
      </w:r>
      <w:r>
        <w:t>м</w:t>
      </w:r>
      <w:r>
        <w:t>ных областей и тем самым помогут выполнить требования государственных учреждений о сведении воедино всей деятельности, связанной с отчетностью и контр</w:t>
      </w:r>
      <w:r>
        <w:t>о</w:t>
      </w:r>
      <w:r>
        <w:t>лем.</w:t>
      </w:r>
    </w:p>
    <w:p w:rsidR="00000000" w:rsidRDefault="00000000">
      <w:pPr>
        <w:pStyle w:val="SingleTxt"/>
      </w:pPr>
      <w:r>
        <w:t>149.</w:t>
      </w:r>
      <w:r>
        <w:tab/>
      </w:r>
      <w:r>
        <w:rPr>
          <w:i/>
          <w:spacing w:val="-2"/>
        </w:rPr>
        <w:t>Институциональные механизмы, касающиеся женщин</w:t>
      </w:r>
      <w:r>
        <w:rPr>
          <w:spacing w:val="-2"/>
        </w:rPr>
        <w:t>. Исполнительный д</w:t>
      </w:r>
      <w:r>
        <w:rPr>
          <w:spacing w:val="-2"/>
        </w:rPr>
        <w:t>и</w:t>
      </w:r>
      <w:r>
        <w:rPr>
          <w:spacing w:val="-2"/>
        </w:rPr>
        <w:t>ректор НКПФЖ руководит секретариатом Совета представителей, но общую отве</w:t>
      </w:r>
      <w:r>
        <w:rPr>
          <w:spacing w:val="-2"/>
        </w:rPr>
        <w:t>т</w:t>
      </w:r>
      <w:r>
        <w:rPr>
          <w:spacing w:val="-2"/>
        </w:rPr>
        <w:t>ственность за работу Комиссии несет председатель. Однако председатель не получ</w:t>
      </w:r>
      <w:r>
        <w:rPr>
          <w:spacing w:val="-2"/>
        </w:rPr>
        <w:t>а</w:t>
      </w:r>
      <w:r>
        <w:rPr>
          <w:spacing w:val="-2"/>
        </w:rPr>
        <w:t>ет никакого вознаграждения, и она не наделена юридическими полномочиями. Не являясь членом кабинета, она оказывает очень слабое влияние на принятие решений на уровне кабинета, и это подрывает главную задачу НКПФЖ. После окончания осуществления проекта КАМР бюджетные ассигнования на нужды НКПФЖ будут недостаточными. Структуру и мандат НКПФЖ необходимо укрепить и расширить, а бюджетные ассигнования ей увеличить, с тем чтобы дать ей возможность выполнять свои обязательства в качестве ведущей группы и учреждения, контролирующего р</w:t>
      </w:r>
      <w:r>
        <w:rPr>
          <w:spacing w:val="-2"/>
        </w:rPr>
        <w:t>а</w:t>
      </w:r>
      <w:r>
        <w:rPr>
          <w:spacing w:val="-2"/>
        </w:rPr>
        <w:t>боту по расширению прав и возможностей женщин и обеспечению равенства полов.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36" w:name="_Toc85174905"/>
      <w:r>
        <w:t>Статья 4. Ускорение установления равенства между мужчинами и женщинами</w:t>
      </w:r>
      <w:bookmarkEnd w:id="3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Принятие временных специальных мер, направленных на ускорение установл</w:t>
      </w:r>
      <w:r>
        <w:rPr>
          <w:i/>
        </w:rPr>
        <w:t>е</w:t>
      </w:r>
      <w:r>
        <w:rPr>
          <w:i/>
        </w:rPr>
        <w:t>ния фактического равенства, включая меры, направленные на охрану мат</w:t>
      </w:r>
      <w:r>
        <w:rPr>
          <w:i/>
        </w:rPr>
        <w:t>е</w:t>
      </w:r>
      <w:r>
        <w:rPr>
          <w:i/>
        </w:rPr>
        <w:t>ринства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7" w:name="_Toc85174906"/>
      <w:r>
        <w:t xml:space="preserve">A. </w:t>
      </w:r>
      <w:r>
        <w:tab/>
        <w:t>Положение женщин</w:t>
      </w:r>
      <w:bookmarkEnd w:id="3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150.</w:t>
      </w:r>
      <w:r>
        <w:tab/>
        <w:t>Неравенство полов сохраняется в филиппинском обществе во всех обла</w:t>
      </w:r>
      <w:r>
        <w:t>с</w:t>
      </w:r>
      <w:r>
        <w:t>тях, будь то политическая, экономическая или социально-культурная. Однако скрытый характер неравенства намного затрудняет разработку временных сп</w:t>
      </w:r>
      <w:r>
        <w:t>е</w:t>
      </w:r>
      <w:r>
        <w:t>циальных мер по сравнению с обществами, где дискриминация очевидна. Б</w:t>
      </w:r>
      <w:r>
        <w:t>о</w:t>
      </w:r>
      <w:r>
        <w:t>лее высокий в среднем образовательный уровень женщин и их зримое прису</w:t>
      </w:r>
      <w:r>
        <w:t>т</w:t>
      </w:r>
      <w:r>
        <w:t>ствие во многих публичных сферах жизни, в том числе в органах власти и в других профессиональных и технических областях, делают спорной необход</w:t>
      </w:r>
      <w:r>
        <w:t>и</w:t>
      </w:r>
      <w:r>
        <w:t>мость принятия таких мер.</w:t>
      </w:r>
    </w:p>
    <w:p w:rsidR="00000000" w:rsidRDefault="00000000">
      <w:pPr>
        <w:pStyle w:val="SingleTxt"/>
        <w:rPr>
          <w:spacing w:val="-2"/>
        </w:rPr>
      </w:pPr>
      <w:r>
        <w:t>151.</w:t>
      </w:r>
      <w:r>
        <w:tab/>
      </w:r>
      <w:r>
        <w:rPr>
          <w:spacing w:val="-2"/>
        </w:rPr>
        <w:t>В статьях 132, 133 и 134 Трудового кодекса Филиппин материнство признается в качестве социальной функции, и это дает работающим женщинам право на кор</w:t>
      </w:r>
      <w:r>
        <w:rPr>
          <w:spacing w:val="-2"/>
        </w:rPr>
        <w:t>м</w:t>
      </w:r>
      <w:r>
        <w:rPr>
          <w:spacing w:val="-2"/>
        </w:rPr>
        <w:t>ление детей на рабочем месте, на отпуск по беременности и родам, на раздельные туалеты для женщин и мужчин, на получение услуг в области планирования семьи и, как минимум, на отдельные комнаты для переодевания для женщин. Однако эти права в большинстве мест работы грубо нарушаются. Исследования показали, что прежде чем женщин принимают на работу в экономических областях, они должны представить справку от врача о том, что они не беременны. После принятия на раб</w:t>
      </w:r>
      <w:r>
        <w:rPr>
          <w:spacing w:val="-2"/>
        </w:rPr>
        <w:t>о</w:t>
      </w:r>
      <w:r>
        <w:rPr>
          <w:spacing w:val="-2"/>
        </w:rPr>
        <w:t>ту у них возникают трудности с получением отпуска по беременности и родам. Н</w:t>
      </w:r>
      <w:r>
        <w:rPr>
          <w:spacing w:val="-2"/>
        </w:rPr>
        <w:t>е</w:t>
      </w:r>
      <w:r>
        <w:rPr>
          <w:spacing w:val="-2"/>
        </w:rPr>
        <w:t>которые кампании, как сообщалось, нарушают закон о пособиях в связи с рожден</w:t>
      </w:r>
      <w:r>
        <w:rPr>
          <w:spacing w:val="-2"/>
        </w:rPr>
        <w:t>и</w:t>
      </w:r>
      <w:r>
        <w:rPr>
          <w:spacing w:val="-2"/>
        </w:rPr>
        <w:t>ем ребенка, однако эти сообщения остались нерасследованными, поскольку женщ</w:t>
      </w:r>
      <w:r>
        <w:rPr>
          <w:spacing w:val="-2"/>
        </w:rPr>
        <w:t>и</w:t>
      </w:r>
      <w:r>
        <w:rPr>
          <w:spacing w:val="-2"/>
        </w:rPr>
        <w:t>ны отказываются выст</w:t>
      </w:r>
      <w:r>
        <w:rPr>
          <w:spacing w:val="-2"/>
        </w:rPr>
        <w:t>у</w:t>
      </w:r>
      <w:r>
        <w:rPr>
          <w:spacing w:val="-2"/>
        </w:rPr>
        <w:t>пить открыто из-за страха потерять свою работу.</w:t>
      </w:r>
    </w:p>
    <w:p w:rsidR="00000000" w:rsidRDefault="00000000">
      <w:pPr>
        <w:pStyle w:val="SingleTxt"/>
      </w:pPr>
      <w:r>
        <w:t>152.</w:t>
      </w:r>
      <w:r>
        <w:tab/>
        <w:t>Женщинам, работающим в органах власти, предоставляются льготы в св</w:t>
      </w:r>
      <w:r>
        <w:t>я</w:t>
      </w:r>
      <w:r>
        <w:t>зи с рождением ребенка, включая полноценный отпуск по беременности и р</w:t>
      </w:r>
      <w:r>
        <w:t>о</w:t>
      </w:r>
      <w:r>
        <w:t>дам. До 2002 года он предоставлялся только замужним женщинам. Продолж</w:t>
      </w:r>
      <w:r>
        <w:t>и</w:t>
      </w:r>
      <w:r>
        <w:t>тельность отпуска составляет 60 календарных дней с полной оплатой, если р</w:t>
      </w:r>
      <w:r>
        <w:t>а</w:t>
      </w:r>
      <w:r>
        <w:t>ботница имеет как минимум двухлетний стаж работы. Те, кто не имеют дву</w:t>
      </w:r>
      <w:r>
        <w:t>х</w:t>
      </w:r>
      <w:r>
        <w:t>летнего стажа, однако стаж их работы составляет один год или более, получ</w:t>
      </w:r>
      <w:r>
        <w:t>а</w:t>
      </w:r>
      <w:r>
        <w:t>ют пособие, которое рассчитывается пропорционально продолжительности их стажа, а те, кто имеют стаж менее одного года, получают 60-дневный отпуск с 50-процентной оплатой. К 2003 году КГС признала право незамужних женщин на отпуск по беременности и родам, и, таким образом, теперь они получают такой же отпуск, как и замужние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8" w:name="_Toc85174907"/>
      <w:r>
        <w:t xml:space="preserve">B. </w:t>
      </w:r>
      <w:r>
        <w:tab/>
        <w:t>Принятые меры</w:t>
      </w:r>
      <w:bookmarkEnd w:id="3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153.</w:t>
      </w:r>
      <w:r>
        <w:tab/>
      </w:r>
      <w:r>
        <w:rPr>
          <w:i/>
        </w:rPr>
        <w:t>Участие женщин в принятии решений</w:t>
      </w:r>
      <w:r>
        <w:t>. Следует отметить два програм</w:t>
      </w:r>
      <w:r>
        <w:t>м</w:t>
      </w:r>
      <w:r>
        <w:t>ных документа. Это:</w:t>
      </w:r>
    </w:p>
    <w:p w:rsidR="00000000" w:rsidRDefault="00000000">
      <w:pPr>
        <w:pStyle w:val="SingleTxt"/>
        <w:ind w:left="1740" w:right="1264" w:hanging="476"/>
      </w:pPr>
      <w:r>
        <w:rPr>
          <w:lang w:val="en-US"/>
        </w:rPr>
        <w:t>a</w:t>
      </w:r>
      <w:r>
        <w:t>)</w:t>
      </w:r>
      <w:r>
        <w:tab/>
        <w:t>Циркулярный меморандум № 8 Комиссии по гражданской службе, серия 1999 года, озаглавленный «Политика в отношении равного представ</w:t>
      </w:r>
      <w:r>
        <w:t>и</w:t>
      </w:r>
      <w:r>
        <w:t>тельства женщин и мужчин на должностях третьего уровня в органах вл</w:t>
      </w:r>
      <w:r>
        <w:t>а</w:t>
      </w:r>
      <w:r>
        <w:t>сти», был издан в целях увеличения числа женщин на самых высоких или административных уровнях карьерной службы. КГС следит за исполнен</w:t>
      </w:r>
      <w:r>
        <w:t>и</w:t>
      </w:r>
      <w:r>
        <w:t>ем этого циркуляра, предписывая учреждениям регулярно сообщать о числе женщин, выдвинутых на вакантные должности третьего уровня, об общем количестве должностей, занимаемых женщинами, и об общем чи</w:t>
      </w:r>
      <w:r>
        <w:t>с</w:t>
      </w:r>
      <w:r>
        <w:t>ле назначенных женщин по сравн</w:t>
      </w:r>
      <w:r>
        <w:t>е</w:t>
      </w:r>
      <w:r>
        <w:t>нию с назначенными мужчинами.</w:t>
      </w:r>
    </w:p>
    <w:p w:rsidR="00000000" w:rsidRDefault="00000000">
      <w:pPr>
        <w:pStyle w:val="SingleTxt"/>
        <w:ind w:left="1740" w:right="1264" w:hanging="476"/>
      </w:pPr>
      <w:r>
        <w:rPr>
          <w:lang w:val="en-US"/>
        </w:rPr>
        <w:t>b</w:t>
      </w:r>
      <w:r>
        <w:t>)</w:t>
      </w:r>
      <w:r>
        <w:tab/>
        <w:t>Закон 1997 года о коренных народах предписывает, чтобы женщины из числа коренных народов были представлены в директивных органах на всех уровнях. Однако механизм его осуществления еще предстоит со</w:t>
      </w:r>
      <w:r>
        <w:t>з</w:t>
      </w:r>
      <w:r>
        <w:t>дать, хотя женщины из числа таких народов уже участвуют в деятельн</w:t>
      </w:r>
      <w:r>
        <w:t>о</w:t>
      </w:r>
      <w:r>
        <w:t>сти, которой занимались их предки. Изучается также вопрос об их уч</w:t>
      </w:r>
      <w:r>
        <w:t>а</w:t>
      </w:r>
      <w:r>
        <w:t>стии в качестве членов в работе сельских советов коренных народов.</w:t>
      </w:r>
    </w:p>
    <w:p w:rsidR="00000000" w:rsidRDefault="00000000">
      <w:pPr>
        <w:pStyle w:val="SingleTxt"/>
        <w:rPr>
          <w:spacing w:val="-2"/>
        </w:rPr>
      </w:pPr>
      <w:r>
        <w:t>154.</w:t>
      </w:r>
      <w:r>
        <w:tab/>
      </w:r>
      <w:r>
        <w:rPr>
          <w:i/>
          <w:spacing w:val="-2"/>
        </w:rPr>
        <w:t>Охрана материнства</w:t>
      </w:r>
      <w:r>
        <w:rPr>
          <w:spacing w:val="-2"/>
        </w:rPr>
        <w:t>. Филиппинское законодательство предусматривает пр</w:t>
      </w:r>
      <w:r>
        <w:rPr>
          <w:spacing w:val="-2"/>
        </w:rPr>
        <w:t>е</w:t>
      </w:r>
      <w:r>
        <w:rPr>
          <w:spacing w:val="-2"/>
        </w:rPr>
        <w:t>доставление женщинам в частном и государственном секторах отпуска по береме</w:t>
      </w:r>
      <w:r>
        <w:rPr>
          <w:spacing w:val="-2"/>
        </w:rPr>
        <w:t>н</w:t>
      </w:r>
      <w:r>
        <w:rPr>
          <w:spacing w:val="-2"/>
        </w:rPr>
        <w:t>ности и родам независимо от того, замужем они ли нет. Для женщин, работающих в частном секторе и являющихся членами профсоюза, в их коллективные трудовые договоры (КТД), как правило, включаются определенные положения, связанные с беременностью и родами, как, например, составление для беременных женщин ги</w:t>
      </w:r>
      <w:r>
        <w:rPr>
          <w:spacing w:val="-2"/>
        </w:rPr>
        <w:t>б</w:t>
      </w:r>
      <w:r>
        <w:rPr>
          <w:spacing w:val="-2"/>
        </w:rPr>
        <w:t>кого графика работы, отказ от назначения на работу в ночную смену, предоставл</w:t>
      </w:r>
      <w:r>
        <w:rPr>
          <w:spacing w:val="-2"/>
        </w:rPr>
        <w:t>е</w:t>
      </w:r>
      <w:r>
        <w:rPr>
          <w:spacing w:val="-2"/>
        </w:rPr>
        <w:t>ние кредита в связи с беременностью и родами, снижение рабочей нагрузки, осв</w:t>
      </w:r>
      <w:r>
        <w:rPr>
          <w:spacing w:val="-2"/>
        </w:rPr>
        <w:t>о</w:t>
      </w:r>
      <w:r>
        <w:rPr>
          <w:spacing w:val="-2"/>
        </w:rPr>
        <w:t>бождение от необходимости носить форму компании или предоставление на время беременности соответствующей формы, а также выдача авансом пособия по бер</w:t>
      </w:r>
      <w:r>
        <w:rPr>
          <w:spacing w:val="-2"/>
        </w:rPr>
        <w:t>е</w:t>
      </w:r>
      <w:r>
        <w:rPr>
          <w:spacing w:val="-2"/>
        </w:rPr>
        <w:t>менности и родам в системе социального обеспечения. Всем женщинам-членам профсо</w:t>
      </w:r>
      <w:r>
        <w:rPr>
          <w:spacing w:val="-2"/>
        </w:rPr>
        <w:t>ю</w:t>
      </w:r>
      <w:r>
        <w:rPr>
          <w:spacing w:val="-2"/>
        </w:rPr>
        <w:t>за в соответствии с КТД бесплатно делается также мазок Папаниколау</w:t>
      </w:r>
    </w:p>
    <w:p w:rsidR="00000000" w:rsidRDefault="00000000">
      <w:pPr>
        <w:pStyle w:val="SingleTxt"/>
        <w:rPr>
          <w:i/>
        </w:rPr>
      </w:pPr>
      <w:r>
        <w:t>155.</w:t>
      </w:r>
      <w:r>
        <w:tab/>
      </w:r>
      <w:r>
        <w:rPr>
          <w:i/>
        </w:rPr>
        <w:t xml:space="preserve">Оказание поддержки родителям-одиночкам. </w:t>
      </w:r>
      <w:r>
        <w:rPr>
          <w:spacing w:val="-2"/>
        </w:rPr>
        <w:t>Республиканский закон 8972, или закон 2000 года о благосостоянии родителей-одиночек, предписывает опред</w:t>
      </w:r>
      <w:r>
        <w:rPr>
          <w:spacing w:val="-2"/>
        </w:rPr>
        <w:t>е</w:t>
      </w:r>
      <w:r>
        <w:rPr>
          <w:spacing w:val="-2"/>
        </w:rPr>
        <w:t>ленным учреждениям разработать и осуществлять всеобъемлющую программу с</w:t>
      </w:r>
      <w:r>
        <w:rPr>
          <w:spacing w:val="-2"/>
        </w:rPr>
        <w:t>о</w:t>
      </w:r>
      <w:r>
        <w:rPr>
          <w:spacing w:val="-2"/>
        </w:rPr>
        <w:t>циального развития и социального обеспечения для родителей-одиночек и 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39" w:name="_Toc85174908"/>
      <w:r>
        <w:t xml:space="preserve">C. </w:t>
      </w:r>
      <w:r>
        <w:tab/>
        <w:t>Сохраняющиеся проблемы и трудности</w:t>
      </w:r>
      <w:bookmarkEnd w:id="39"/>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156.</w:t>
      </w:r>
      <w:r>
        <w:tab/>
      </w:r>
      <w:r>
        <w:rPr>
          <w:i/>
        </w:rPr>
        <w:t>Женщины в политике и в общественной жизни</w:t>
      </w:r>
      <w:r>
        <w:t>. Необходимо ликвидир</w:t>
      </w:r>
      <w:r>
        <w:t>о</w:t>
      </w:r>
      <w:r>
        <w:t>вать у избирателей гендерные стереотипы в отношении назначения представ</w:t>
      </w:r>
      <w:r>
        <w:t>и</w:t>
      </w:r>
      <w:r>
        <w:t>телей власти и самих женщин, с тем чтобы сделать политическую арену о</w:t>
      </w:r>
      <w:r>
        <w:t>т</w:t>
      </w:r>
      <w:r>
        <w:t>крытой для равного участия мужчин и женщин. Необходимо принять закон для решения этой проблемы. В 12-м Конгрессе были разработаны законопроект № 4704 палаты представителей и законопроекты № 387, 601 и 702 сената (и</w:t>
      </w:r>
      <w:r>
        <w:t>з</w:t>
      </w:r>
      <w:r>
        <w:t>вестны как закон о расширении прав и возможностей женщин). Указанные з</w:t>
      </w:r>
      <w:r>
        <w:t>а</w:t>
      </w:r>
      <w:r>
        <w:t>конопроекты преследуют цель обеспечить 30 - процентное представительство женщин на государственных должностях, связанных с принятием решений, и зарезервировать для женщин, отвечающих необходимым требованиям, по крайне мере треть от общего числа определенных должностей, занимаемых по назначению в национальных и местных органах власти. Кроме того, предлаг</w:t>
      </w:r>
      <w:r>
        <w:t>а</w:t>
      </w:r>
      <w:r>
        <w:t>ется, чтобы должным образом аккредитованные политические партии резерв</w:t>
      </w:r>
      <w:r>
        <w:t>и</w:t>
      </w:r>
      <w:r>
        <w:t>ровали за женщинами, по крайней мере треть мест в своих партийных списках официальных кандидатов и чтобы по крайней мере одна треть стипендий, грандов, пособий и мест на курсах профессиональной подготовки в наци</w:t>
      </w:r>
      <w:r>
        <w:t>о</w:t>
      </w:r>
      <w:r>
        <w:t>нальных и местных государственных учреждениях или органах была зарезе</w:t>
      </w:r>
      <w:r>
        <w:t>р</w:t>
      </w:r>
      <w:r>
        <w:t>вирована за женщинами, отвечающими необходимым тр</w:t>
      </w:r>
      <w:r>
        <w:t>е</w:t>
      </w:r>
      <w:r>
        <w:t>бованиям.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40" w:name="_Toc85174909"/>
      <w:r>
        <w:t>Статья 5. Сексуальные роли и стереотипы</w:t>
      </w:r>
      <w:bookmarkEnd w:id="4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Принятие мер для изменения социальных и культурных моделей поведения с целью искоренения стереотипных представлений о роли женщин и мужчин; и обеспечение совместного несения ответственности за воспитание и развитие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1" w:name="_Toc85174910"/>
      <w:r>
        <w:t xml:space="preserve">A. </w:t>
      </w:r>
      <w:r>
        <w:tab/>
        <w:t>Положение женщин</w:t>
      </w:r>
      <w:bookmarkEnd w:id="4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157.</w:t>
      </w:r>
      <w:r>
        <w:tab/>
        <w:t>Стереотипное представление о сексуальной роли остается камнем пр</w:t>
      </w:r>
      <w:r>
        <w:t>е</w:t>
      </w:r>
      <w:r>
        <w:t>ткновения на пути полного развития женщин. Социальные институты: дом, школа, средства массовой информации, церковь и даже органы власти – созн</w:t>
      </w:r>
      <w:r>
        <w:t>а</w:t>
      </w:r>
      <w:r>
        <w:t>тельно или безотчетно - ориентируются на выгоды и такую практику, которая ограничивает возможности женщин в плане личного развития и участия в ра</w:t>
      </w:r>
      <w:r>
        <w:t>з</w:t>
      </w:r>
      <w:r>
        <w:t>витии своей общины и общества.</w:t>
      </w:r>
    </w:p>
    <w:p w:rsidR="00000000" w:rsidRDefault="00000000">
      <w:pPr>
        <w:pStyle w:val="SingleTxt"/>
      </w:pPr>
      <w:r>
        <w:t>158.</w:t>
      </w:r>
      <w:r>
        <w:tab/>
        <w:t>Сейчас есть немало выдающихся женщин-журналистов и работников средств массовой информации, которые поднимают гендерные вопросы и пр</w:t>
      </w:r>
      <w:r>
        <w:t>о</w:t>
      </w:r>
      <w:r>
        <w:t>блемы женщин в своих материалах и стремятся привлечь внимание к генде</w:t>
      </w:r>
      <w:r>
        <w:t>р</w:t>
      </w:r>
      <w:r>
        <w:t>ным вопросам и правдиво освещать или обсуждать вопросы и проблемы же</w:t>
      </w:r>
      <w:r>
        <w:t>н</w:t>
      </w:r>
      <w:r>
        <w:t>щин при подготовке радиопрограмм, текстов рекламно-информационных рол</w:t>
      </w:r>
      <w:r>
        <w:t>и</w:t>
      </w:r>
      <w:r>
        <w:t>ков и телевизионных документальных фильмов. Женщины сами добились для себя места в средствах массовой информации. Ряд из них стали главными и</w:t>
      </w:r>
      <w:r>
        <w:t>с</w:t>
      </w:r>
      <w:r>
        <w:t>полнительными директорами (ГИД), главными редакторами, директорами фильмов, продюсерами художественных фильмов, а также они занимают и другие должности, на которых ранее были только мужчины. По состоянию на декабрь 2003 года женщины возглавляли компании «Маккэн-Эриксон» (ГИД), «Кэмпейнс энд Грей» (президент), «Эд борд» (председатель), «Филиппин Де</w:t>
      </w:r>
      <w:r>
        <w:t>й</w:t>
      </w:r>
      <w:r>
        <w:t>ли инкуайрер» (президент и ГИД), «Манила стэндерт» (главный редактор), Центр за свободу и ответственность прессы (исполнительный директор) и Ф</w:t>
      </w:r>
      <w:r>
        <w:t>и</w:t>
      </w:r>
      <w:r>
        <w:t>липпинский центр журналистских расследований (исполнительный директор). Женщины занимают должности вице-президентов в следующих организациях средств массовой информации: Азиатский институт журналистики и ведущие вещательные сети – ABS-CBN и GMA-7.</w:t>
      </w:r>
    </w:p>
    <w:p w:rsidR="00000000" w:rsidRDefault="00000000">
      <w:pPr>
        <w:pStyle w:val="SingleTxt"/>
      </w:pPr>
      <w:r>
        <w:t>159.</w:t>
      </w:r>
      <w:r>
        <w:tab/>
        <w:t>Однако средства массовой информации по-прежнему минимально осв</w:t>
      </w:r>
      <w:r>
        <w:t>е</w:t>
      </w:r>
      <w:r>
        <w:t>щают вопросы неравенства полов и дискриминации, за исключением отдел</w:t>
      </w:r>
      <w:r>
        <w:t>ь</w:t>
      </w:r>
      <w:r>
        <w:t>ных случаев, когда женщины становятся жертвами, и представляют женщин в узко стереотипной и сексистской роли.</w:t>
      </w:r>
    </w:p>
    <w:p w:rsidR="00000000" w:rsidRDefault="00000000">
      <w:pPr>
        <w:pStyle w:val="SingleTxt"/>
      </w:pPr>
      <w:r>
        <w:t>160.</w:t>
      </w:r>
      <w:r>
        <w:tab/>
        <w:t>Крупной проблемой по-прежнему является порнография, и это имеет серьезные последствия в плане распространения сексуальных стереотипов, а также случаев изнасилования и кровосмесительства. Практика сватовства по почте сохраняется, несмотря на то что закон (республиканский закон 6955) з</w:t>
      </w:r>
      <w:r>
        <w:t>а</w:t>
      </w:r>
      <w:r>
        <w:t>претил ее.</w:t>
      </w:r>
    </w:p>
    <w:p w:rsidR="00000000" w:rsidRDefault="00000000">
      <w:pPr>
        <w:pStyle w:val="SingleTxt"/>
      </w:pPr>
      <w:r>
        <w:t>161.</w:t>
      </w:r>
      <w:r>
        <w:tab/>
      </w:r>
      <w:r>
        <w:rPr>
          <w:spacing w:val="-2"/>
        </w:rPr>
        <w:t>Некоторые работники средств массовой информации не осознают, что сексис</w:t>
      </w:r>
      <w:r>
        <w:rPr>
          <w:spacing w:val="-2"/>
        </w:rPr>
        <w:t>т</w:t>
      </w:r>
      <w:r>
        <w:rPr>
          <w:spacing w:val="-2"/>
        </w:rPr>
        <w:t>ская лексика может оказать существенное воздействие на формирование предста</w:t>
      </w:r>
      <w:r>
        <w:rPr>
          <w:spacing w:val="-2"/>
        </w:rPr>
        <w:t>в</w:t>
      </w:r>
      <w:r>
        <w:rPr>
          <w:spacing w:val="-2"/>
        </w:rPr>
        <w:t>лений о женщинах у читателей, зрителей и слушателей. Враждебное отношение к гомосексуалистам, особенно к лесбиянкам, подогревается освещением в средствах массовой информации вопросов, связанных с гомосексуализмом.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2" w:name="_Toc85174911"/>
      <w:r>
        <w:t xml:space="preserve">B. </w:t>
      </w:r>
      <w:r>
        <w:tab/>
        <w:t>Принятые меры</w:t>
      </w:r>
      <w:bookmarkEnd w:id="4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Законы, программные меры и другие государственные инициативы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162.</w:t>
      </w:r>
      <w:r>
        <w:rPr>
          <w:i/>
        </w:rPr>
        <w:tab/>
        <w:t>Борьба с порнографией</w:t>
      </w:r>
      <w:r>
        <w:t>. Совет по контролю за видеопрограммами (СКВ) издал циркулярный меморандум № 98-001, который преследует цель искор</w:t>
      </w:r>
      <w:r>
        <w:t>е</w:t>
      </w:r>
      <w:r>
        <w:t>нить показ женщин в порнографических видеороликах в общественном тран</w:t>
      </w:r>
      <w:r>
        <w:t>с</w:t>
      </w:r>
      <w:r>
        <w:t>порте. Представленные 12-му Конгрессу законопроекты включают законопр</w:t>
      </w:r>
      <w:r>
        <w:t>о</w:t>
      </w:r>
      <w:r>
        <w:t>ект 169 сената, который прямо запрещает рекламные материалы, унижающие филиппинских жителей, в частности женщин; а также законопроекты сената и законопроект 2037 палаты представителей, которые квалифицируют в качестве преступления эксплуатацию женщин посредством порнографии.</w:t>
      </w:r>
    </w:p>
    <w:p w:rsidR="00000000" w:rsidRDefault="00000000">
      <w:pPr>
        <w:pStyle w:val="SingleTxt"/>
      </w:pPr>
      <w:r>
        <w:t>163.</w:t>
      </w:r>
      <w:r>
        <w:rPr>
          <w:i/>
        </w:rPr>
        <w:tab/>
        <w:t>Ликвидация практики сватовства по почте</w:t>
      </w:r>
      <w:r>
        <w:t>.</w:t>
      </w:r>
      <w:r>
        <w:rPr>
          <w:b/>
        </w:rPr>
        <w:t xml:space="preserve"> </w:t>
      </w:r>
      <w:r>
        <w:t>12-му Конгрессу были пре</w:t>
      </w:r>
      <w:r>
        <w:t>д</w:t>
      </w:r>
      <w:r>
        <w:t>ставлены различные законопроекты, направленные против практики рекламы невест в интернете или электронной почте. Они направлены на изменение ре</w:t>
      </w:r>
      <w:r>
        <w:t>с</w:t>
      </w:r>
      <w:r>
        <w:t>публиканского закона 6955, или закона о борьбе со сватовством по почте, в н</w:t>
      </w:r>
      <w:r>
        <w:t>ы</w:t>
      </w:r>
      <w:r>
        <w:t xml:space="preserve">нешнюю эпоху </w:t>
      </w:r>
      <w:r>
        <w:rPr>
          <w:caps/>
        </w:rPr>
        <w:t>и</w:t>
      </w:r>
      <w:r>
        <w:t>нтернета. Закон 2003 года о борьбе с торговлей людьми по</w:t>
      </w:r>
      <w:r>
        <w:t>д</w:t>
      </w:r>
      <w:r>
        <w:t>крепил закон о борьбе со сватовством по почте благодаря включению перечня противоправных деяний, связанных с торговлей людьми, как, например, св</w:t>
      </w:r>
      <w:r>
        <w:t>а</w:t>
      </w:r>
      <w:r>
        <w:t>товство "любой филиппинской женщины за иностранного гражданина на предмет вступления в брак в целях приобретения, покупки, предложения или продажи ее для последующего использования в качестве объекта проституции, сексуальной эксплуатации в порнографии, принудительного труда, рабства, н</w:t>
      </w:r>
      <w:r>
        <w:t>а</w:t>
      </w:r>
      <w:r>
        <w:t>сильственного порабощения и кабалы".</w:t>
      </w:r>
    </w:p>
    <w:p w:rsidR="00000000" w:rsidRDefault="00000000">
      <w:pPr>
        <w:pStyle w:val="SingleTxt"/>
        <w:rPr>
          <w:spacing w:val="-2"/>
        </w:rPr>
      </w:pPr>
      <w:r>
        <w:t>164.</w:t>
      </w:r>
      <w:r>
        <w:rPr>
          <w:i/>
        </w:rPr>
        <w:t>Улучшение</w:t>
      </w:r>
      <w:r>
        <w:rPr>
          <w:i/>
          <w:spacing w:val="-2"/>
        </w:rPr>
        <w:t xml:space="preserve"> детских программ и другие вопросы, связанные с правами детей, в средствах массовой информации.</w:t>
      </w:r>
      <w:r>
        <w:rPr>
          <w:spacing w:val="-2"/>
        </w:rPr>
        <w:t xml:space="preserve"> Меры по достижению этого включают принятие </w:t>
      </w:r>
      <w:r>
        <w:t>республиканского закона</w:t>
      </w:r>
      <w:r>
        <w:rPr>
          <w:spacing w:val="-2"/>
        </w:rPr>
        <w:t xml:space="preserve"> 8370, или закона 1997 года о детском телевидении, кот</w:t>
      </w:r>
      <w:r>
        <w:rPr>
          <w:spacing w:val="-2"/>
        </w:rPr>
        <w:t>о</w:t>
      </w:r>
      <w:r>
        <w:rPr>
          <w:spacing w:val="-2"/>
        </w:rPr>
        <w:t>рый направлен на защиту и поощрение их благосостояния путем улучшения их о</w:t>
      </w:r>
      <w:r>
        <w:rPr>
          <w:spacing w:val="-2"/>
        </w:rPr>
        <w:t>б</w:t>
      </w:r>
      <w:r>
        <w:rPr>
          <w:spacing w:val="-2"/>
        </w:rPr>
        <w:t xml:space="preserve">щего развития с учетом потребностей детей при разработке политики и программ в области образования, культуры и отдыха. Он требует от каждой вещательной сети выделять как минимум 15 процентов общего ежедневного эфирного времени для передач, ориентированных на детей. На основании закона учрежден также </w:t>
      </w:r>
      <w:r>
        <w:rPr>
          <w:caps/>
          <w:spacing w:val="-2"/>
        </w:rPr>
        <w:t>с</w:t>
      </w:r>
      <w:r>
        <w:rPr>
          <w:spacing w:val="-2"/>
        </w:rPr>
        <w:t xml:space="preserve">овет по детскому телевидению, которому поручено разрабатывать планы и политику в целях подготовки высококачественных местных программ детского телевидения. Еще один закон – </w:t>
      </w:r>
      <w:r>
        <w:t>республиканский закон</w:t>
      </w:r>
      <w:r>
        <w:rPr>
          <w:spacing w:val="-2"/>
        </w:rPr>
        <w:t xml:space="preserve"> 8296, принятый в 1997 году, – объявляет ка</w:t>
      </w:r>
      <w:r>
        <w:rPr>
          <w:spacing w:val="-2"/>
        </w:rPr>
        <w:t>ж</w:t>
      </w:r>
      <w:r>
        <w:rPr>
          <w:spacing w:val="-2"/>
        </w:rPr>
        <w:t xml:space="preserve">дое второе воскресенье декабря </w:t>
      </w:r>
      <w:r>
        <w:rPr>
          <w:caps/>
          <w:spacing w:val="-2"/>
        </w:rPr>
        <w:t>н</w:t>
      </w:r>
      <w:r>
        <w:rPr>
          <w:spacing w:val="-2"/>
        </w:rPr>
        <w:t>ациональным днем детского вещания и требует от теле- и радиостанций по всей стране выделять три часа эфирного времени на де</w:t>
      </w:r>
      <w:r>
        <w:rPr>
          <w:spacing w:val="-2"/>
        </w:rPr>
        <w:t>т</w:t>
      </w:r>
      <w:r>
        <w:rPr>
          <w:spacing w:val="-2"/>
        </w:rPr>
        <w:t>ские программы. Кроме того, распоряжение 22, серия 1998 года министерства соц</w:t>
      </w:r>
      <w:r>
        <w:rPr>
          <w:spacing w:val="-2"/>
        </w:rPr>
        <w:t>и</w:t>
      </w:r>
      <w:r>
        <w:rPr>
          <w:spacing w:val="-2"/>
        </w:rPr>
        <w:t>ального обеспечения содержит директивы, касающиеся изображения в средствах массовой информации жертв жестокого обращения и эксплуатации, будь то дети, женщины или другие находящиеся в неблагоприятном положении группы.</w:t>
      </w:r>
    </w:p>
    <w:p w:rsidR="00000000" w:rsidRDefault="00000000">
      <w:pPr>
        <w:pStyle w:val="SingleTxt"/>
      </w:pPr>
      <w:r>
        <w:t>165.</w:t>
      </w:r>
      <w:r>
        <w:rPr>
          <w:i/>
        </w:rPr>
        <w:tab/>
        <w:t>Поощрение совместного осуществления родительских прав с учетом ге</w:t>
      </w:r>
      <w:r>
        <w:rPr>
          <w:i/>
        </w:rPr>
        <w:t>н</w:t>
      </w:r>
      <w:r>
        <w:rPr>
          <w:i/>
        </w:rPr>
        <w:t>дерных факторов.</w:t>
      </w:r>
      <w:r>
        <w:t xml:space="preserve"> Республиканский закон 8980 (закон 2000 года об уходе за детьми в раннем возрасте и их развитии [УДРВР]) служит юридической осн</w:t>
      </w:r>
      <w:r>
        <w:t>о</w:t>
      </w:r>
      <w:r>
        <w:t>вой для всесторонней политики и национальной системы в этой области. Он способствует активному вовлечению родителей и общин в осуществление ц</w:t>
      </w:r>
      <w:r>
        <w:t>е</w:t>
      </w:r>
      <w:r>
        <w:t>лого ряда программ в сфере здравоохранения, питания, начального образов</w:t>
      </w:r>
      <w:r>
        <w:t>а</w:t>
      </w:r>
      <w:r>
        <w:t>ния и социального обслуживания в целях удовлетворения основных потребн</w:t>
      </w:r>
      <w:r>
        <w:t>о</w:t>
      </w:r>
      <w:r>
        <w:t>стей детей в раннем возрасте от рождения до шести лет для обеспечения их оптимального роста и развития. Ответственность за осуществление этой си</w:t>
      </w:r>
      <w:r>
        <w:t>с</w:t>
      </w:r>
      <w:r>
        <w:t>темы мер лежит на национальном правительстве, местных органах власти, НПО и частных организациях. С принятием и началом осуществления этого закона воспитание ребенка не является больше обязанностью исключительно матерей. Теперь община, национальные и местные органы власти и другие у</w:t>
      </w:r>
      <w:r>
        <w:t>ч</w:t>
      </w:r>
      <w:r>
        <w:t>реждения оказывают помощь в удовлетворении всех основных потребностей маленьких детей.</w:t>
      </w:r>
    </w:p>
    <w:p w:rsidR="00000000" w:rsidRDefault="00000000">
      <w:pPr>
        <w:pStyle w:val="SingleTxt"/>
      </w:pPr>
      <w:r>
        <w:t>166.</w:t>
      </w:r>
      <w:r>
        <w:rPr>
          <w:i/>
        </w:rPr>
        <w:tab/>
      </w:r>
      <w:r>
        <w:t>Министерства образования, социального обеспечения и туризма коорд</w:t>
      </w:r>
      <w:r>
        <w:t>и</w:t>
      </w:r>
      <w:r>
        <w:t>нируют свою деятельность по мобилизации средств массовой информации в рамках кампании по поощрению и защите прав детей. Министерство социал</w:t>
      </w:r>
      <w:r>
        <w:t>ь</w:t>
      </w:r>
      <w:r>
        <w:t>ного обеспечения разработало и распространило соответствующие материалы для использования в средствах массовой информации и созвало форум, посв</w:t>
      </w:r>
      <w:r>
        <w:t>я</w:t>
      </w:r>
      <w:r>
        <w:t>щенный вопросам отображения девочек в средствах массовой информации, в рамках проведения Недели девочек. В 1999 году оно также осуществляло пр</w:t>
      </w:r>
      <w:r>
        <w:t>о</w:t>
      </w:r>
      <w:r>
        <w:t>граммы помощи беспризорным детям в 17 муниципалитетах, расположенных в районе столицы страны, благодаря чему было спасено 726 беспризорных детей и 19 семей, не имеющих крова, которые были временно размещены в центрах, находящихся в ведении этого министерства и его партнеров из числа НПО. В рамках этого проекта 1 800 детям была также оказана помощь в области обр</w:t>
      </w:r>
      <w:r>
        <w:t>а</w:t>
      </w:r>
      <w:r>
        <w:t>зования.</w:t>
      </w:r>
    </w:p>
    <w:p w:rsidR="00000000" w:rsidRDefault="00000000">
      <w:pPr>
        <w:pStyle w:val="SingleTxt"/>
        <w:rPr>
          <w:spacing w:val="-2"/>
        </w:rPr>
      </w:pPr>
      <w:r>
        <w:rPr>
          <w:spacing w:val="-2"/>
        </w:rPr>
        <w:t>167.</w:t>
      </w:r>
      <w:r>
        <w:rPr>
          <w:spacing w:val="-2"/>
        </w:rPr>
        <w:tab/>
        <w:t>Национальная комиссия по делам молодежи организовала программу "Голос молодежи" в целях достижения договоренности с работниками средств массовой информации о выработке у них более чуткого подхода к отражению представлений и чаяний молодежи и оказанию содействия благополучию молодых людей. Этой</w:t>
      </w:r>
      <w:r>
        <w:rPr>
          <w:spacing w:val="-2"/>
        </w:rPr>
        <w:tab/>
        <w:t xml:space="preserve"> программой было охвачено более 100 студентов и молодежных лидеров, а также р</w:t>
      </w:r>
      <w:r>
        <w:rPr>
          <w:spacing w:val="-2"/>
        </w:rPr>
        <w:t>а</w:t>
      </w:r>
      <w:r>
        <w:rPr>
          <w:spacing w:val="-2"/>
        </w:rPr>
        <w:t>ботников средств массовой информации. Национальная комиссия по делам молод</w:t>
      </w:r>
      <w:r>
        <w:rPr>
          <w:spacing w:val="-2"/>
        </w:rPr>
        <w:t>е</w:t>
      </w:r>
      <w:r>
        <w:rPr>
          <w:spacing w:val="-2"/>
        </w:rPr>
        <w:t>жи также создала молодежную сеть "Бантай синема" для осуществления контроля в различных районах.</w:t>
      </w:r>
    </w:p>
    <w:p w:rsidR="00000000" w:rsidRDefault="00000000">
      <w:pPr>
        <w:pStyle w:val="SingleTxt"/>
      </w:pPr>
      <w:r>
        <w:t>168.</w:t>
      </w:r>
      <w:r>
        <w:rPr>
          <w:i/>
        </w:rPr>
        <w:tab/>
      </w:r>
      <w:r>
        <w:t>Взаимодействие и пропагандистская работа среди работников средств массовой информации в научных кругах, в государственном и частном сект</w:t>
      </w:r>
      <w:r>
        <w:t>о</w:t>
      </w:r>
      <w:r>
        <w:t>рах помогли сделать эти средства более чуткими к потребностям страны в о</w:t>
      </w:r>
      <w:r>
        <w:t>б</w:t>
      </w:r>
      <w:r>
        <w:t>ласти развития, вопросам женщин и гендерным проблемам. Все это преслед</w:t>
      </w:r>
      <w:r>
        <w:t>о</w:t>
      </w:r>
      <w:r>
        <w:t>вало цель повысить информированность общественности и углубить поним</w:t>
      </w:r>
      <w:r>
        <w:t>а</w:t>
      </w:r>
      <w:r>
        <w:t>ние проблем женщин до такого уровня, когда люди могли бы быть мобилизов</w:t>
      </w:r>
      <w:r>
        <w:t>а</w:t>
      </w:r>
      <w:r>
        <w:t>ны для принятия позитивных мер по преодолению стереотипов и негативного изображения женщин и девочек в средствах массовой информации. Ниже пр</w:t>
      </w:r>
      <w:r>
        <w:t>и</w:t>
      </w:r>
      <w:r>
        <w:t>водятся примеры такой деятельности:</w:t>
      </w:r>
    </w:p>
    <w:p w:rsidR="00000000" w:rsidRDefault="00000000">
      <w:pPr>
        <w:pStyle w:val="SingleTxt"/>
        <w:ind w:left="1740" w:right="1264" w:hanging="476"/>
        <w:rPr>
          <w:spacing w:val="-2"/>
        </w:rPr>
      </w:pPr>
      <w:r>
        <w:rPr>
          <w:spacing w:val="-2"/>
          <w:lang w:val="en-US"/>
        </w:rPr>
        <w:t>a</w:t>
      </w:r>
      <w:r>
        <w:rPr>
          <w:spacing w:val="-2"/>
        </w:rPr>
        <w:t>)</w:t>
      </w:r>
      <w:r>
        <w:rPr>
          <w:spacing w:val="-2"/>
        </w:rPr>
        <w:tab/>
        <w:t>Диалоги и форумы с женщинами-работниками средств массовой информации в государственном и частном секторах и НПО, организованные НКПФЖ для лучшего освещения проблем женщин в сре</w:t>
      </w:r>
      <w:r>
        <w:rPr>
          <w:spacing w:val="-2"/>
        </w:rPr>
        <w:t>д</w:t>
      </w:r>
      <w:r>
        <w:rPr>
          <w:spacing w:val="-2"/>
        </w:rPr>
        <w:t>ствах массовой информации;</w:t>
      </w:r>
    </w:p>
    <w:p w:rsidR="00000000" w:rsidRDefault="00000000">
      <w:pPr>
        <w:pStyle w:val="SingleTxt"/>
        <w:ind w:left="1740" w:right="1264" w:hanging="476"/>
        <w:rPr>
          <w:spacing w:val="-2"/>
        </w:rPr>
      </w:pPr>
      <w:r>
        <w:rPr>
          <w:spacing w:val="-2"/>
          <w:lang w:val="en-US"/>
        </w:rPr>
        <w:t>b</w:t>
      </w:r>
      <w:r>
        <w:rPr>
          <w:spacing w:val="-2"/>
        </w:rPr>
        <w:t>)</w:t>
      </w:r>
      <w:r>
        <w:rPr>
          <w:spacing w:val="-2"/>
        </w:rPr>
        <w:tab/>
        <w:t>Брифинги и семинары по основным гендерным вопросам для работников средств массовой информации и членов организаций и ассоциаций таких средств (ассоциация вещательных компаний, совет по рекламе и телевизио</w:t>
      </w:r>
      <w:r>
        <w:rPr>
          <w:spacing w:val="-2"/>
        </w:rPr>
        <w:t>н</w:t>
      </w:r>
      <w:r>
        <w:rPr>
          <w:spacing w:val="-2"/>
        </w:rPr>
        <w:t>ные сети) в целях содействия сбалансированному и нестереотипному изобр</w:t>
      </w:r>
      <w:r>
        <w:rPr>
          <w:spacing w:val="-2"/>
        </w:rPr>
        <w:t>а</w:t>
      </w:r>
      <w:r>
        <w:rPr>
          <w:spacing w:val="-2"/>
        </w:rPr>
        <w:t>жению женщин;</w:t>
      </w:r>
    </w:p>
    <w:p w:rsidR="00000000" w:rsidRDefault="00000000">
      <w:pPr>
        <w:pStyle w:val="SingleTxt"/>
        <w:ind w:left="1740" w:right="1264" w:hanging="476"/>
      </w:pPr>
      <w:r>
        <w:rPr>
          <w:lang w:val="en-US"/>
        </w:rPr>
        <w:t>c</w:t>
      </w:r>
      <w:r>
        <w:t>)</w:t>
      </w:r>
      <w:r>
        <w:tab/>
        <w:t>Подготовка и распространение материалов в рамках информационно-просветительских кампаний по различным проблемам женщин Фили</w:t>
      </w:r>
      <w:r>
        <w:t>п</w:t>
      </w:r>
      <w:r>
        <w:t>пинским информационным агентством, включая информационный модуль по правам женщин, что способствует сбалансированному и нестереоти</w:t>
      </w:r>
      <w:r>
        <w:t>п</w:t>
      </w:r>
      <w:r>
        <w:t>ному изображению женщин в средствах массовой информации. С 1995 года оно готовит 30-секундные рекламно-информационные ролики для государственной службы по ее конкретным проблемам. Они трансл</w:t>
      </w:r>
      <w:r>
        <w:t>и</w:t>
      </w:r>
      <w:r>
        <w:t>руются по шести основным телевизионным каналам и кабельному тел</w:t>
      </w:r>
      <w:r>
        <w:t>е</w:t>
      </w:r>
      <w:r>
        <w:t>видению на всей территории страны. Агентство также включило инфо</w:t>
      </w:r>
      <w:r>
        <w:t>р</w:t>
      </w:r>
      <w:r>
        <w:t>мационный м</w:t>
      </w:r>
      <w:r>
        <w:t>о</w:t>
      </w:r>
      <w:r>
        <w:t>дуль по правам женщин во все свои учебные программы; и</w:t>
      </w:r>
    </w:p>
    <w:p w:rsidR="00000000" w:rsidRDefault="00000000">
      <w:pPr>
        <w:pStyle w:val="SingleTxt"/>
        <w:ind w:left="1740" w:right="1264" w:hanging="476"/>
      </w:pPr>
      <w:r>
        <w:rPr>
          <w:lang w:val="en-US"/>
        </w:rPr>
        <w:t>d</w:t>
      </w:r>
      <w:r>
        <w:t>)</w:t>
      </w:r>
      <w:r>
        <w:tab/>
        <w:t xml:space="preserve">В настоящее время для </w:t>
      </w:r>
      <w:r>
        <w:rPr>
          <w:spacing w:val="-2"/>
        </w:rPr>
        <w:t xml:space="preserve">средств массовой информации </w:t>
      </w:r>
      <w:r>
        <w:t>разрабатываются р</w:t>
      </w:r>
      <w:r>
        <w:t>у</w:t>
      </w:r>
      <w:r>
        <w:t xml:space="preserve">ководящие принципы </w:t>
      </w:r>
      <w:r>
        <w:rPr>
          <w:spacing w:val="-2"/>
        </w:rPr>
        <w:t>подготовки репортажей по вопросам и проблемам женщин и детей при активном участии</w:t>
      </w:r>
      <w:r>
        <w:t xml:space="preserve"> "Каписанан нг мга бродкастер са Филипинас" (Ассоциация вещательных компаний Филиппин), прессы и "Эд борд". О сохраняющемся стремлении женщин-работников </w:t>
      </w:r>
      <w:r>
        <w:rPr>
          <w:spacing w:val="-2"/>
        </w:rPr>
        <w:t>средств массовой информации и журналистов готовить материалы, учитывающие и</w:t>
      </w:r>
      <w:r>
        <w:rPr>
          <w:spacing w:val="-2"/>
        </w:rPr>
        <w:t>н</w:t>
      </w:r>
      <w:r>
        <w:rPr>
          <w:spacing w:val="-2"/>
        </w:rPr>
        <w:t>тересы женщин, свидетельствуют листовки-афиши, телевизионные программы и ре</w:t>
      </w:r>
      <w:r>
        <w:rPr>
          <w:spacing w:val="-2"/>
        </w:rPr>
        <w:t>к</w:t>
      </w:r>
      <w:r>
        <w:rPr>
          <w:spacing w:val="-2"/>
        </w:rPr>
        <w:t>лама</w:t>
      </w:r>
      <w:r>
        <w:t>.</w:t>
      </w:r>
    </w:p>
    <w:p w:rsidR="00000000" w:rsidRDefault="00000000">
      <w:pPr>
        <w:pStyle w:val="SingleTxt"/>
      </w:pPr>
      <w:r>
        <w:t>169.</w:t>
      </w:r>
      <w:r>
        <w:rPr>
          <w:i/>
        </w:rPr>
        <w:tab/>
      </w:r>
      <w:r>
        <w:t>Что касается обеспечения совместного несения ответственности за во</w:t>
      </w:r>
      <w:r>
        <w:t>с</w:t>
      </w:r>
      <w:r>
        <w:t>питание и развитие детей, то министерство социального обеспечения орган</w:t>
      </w:r>
      <w:r>
        <w:t>и</w:t>
      </w:r>
      <w:r>
        <w:t>зовало проект под названием ЕРПАТ, или «Расширение прав и возможностей и закрепление родительских обязанностей» (филиппинская разговорная форма слова «отец»), который преследует цель расширить навыки отцов в деле восп</w:t>
      </w:r>
      <w:r>
        <w:t>и</w:t>
      </w:r>
      <w:r>
        <w:t>тания детей и ухода за ними. Как часть национальной программы по подгото</w:t>
      </w:r>
      <w:r>
        <w:t>в</w:t>
      </w:r>
      <w:r>
        <w:t>ке отцов к обучению других отцов в общине она помогла сделать инструктор</w:t>
      </w:r>
      <w:r>
        <w:t>а</w:t>
      </w:r>
      <w:r>
        <w:t>ми в общей сложности 186 отцов. НПО участвовали в осуществлении такой программы в других областях.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Деятельность НПО и частного сектора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170.</w:t>
      </w:r>
      <w:r>
        <w:rPr>
          <w:i/>
        </w:rPr>
        <w:tab/>
      </w:r>
      <w:r>
        <w:t>Женские НПО и альтернативные группы в средствах массовой информ</w:t>
      </w:r>
      <w:r>
        <w:t>а</w:t>
      </w:r>
      <w:r>
        <w:t>ции объединились для расширения своей пропагандисткой работы в этих сре</w:t>
      </w:r>
      <w:r>
        <w:t>д</w:t>
      </w:r>
      <w:r>
        <w:t>ствах. Они осуществляют следующую деятельность: "Медиауотч" – сеть, объ</w:t>
      </w:r>
      <w:r>
        <w:t>е</w:t>
      </w:r>
      <w:r>
        <w:t>диняющая отдельных женщин и женские группы, – подготовила слайды и в</w:t>
      </w:r>
      <w:r>
        <w:t>и</w:t>
      </w:r>
      <w:r>
        <w:t xml:space="preserve">деоматериалы с оценкой изображения женщин в </w:t>
      </w:r>
      <w:r>
        <w:rPr>
          <w:spacing w:val="-2"/>
        </w:rPr>
        <w:t>средствах массовой информ</w:t>
      </w:r>
      <w:r>
        <w:rPr>
          <w:spacing w:val="-2"/>
        </w:rPr>
        <w:t>а</w:t>
      </w:r>
      <w:r>
        <w:rPr>
          <w:spacing w:val="-2"/>
        </w:rPr>
        <w:t>ции, и ее представители написали письма редакторам и обзорные статьи или коло</w:t>
      </w:r>
      <w:r>
        <w:rPr>
          <w:spacing w:val="-2"/>
        </w:rPr>
        <w:t>н</w:t>
      </w:r>
      <w:r>
        <w:rPr>
          <w:spacing w:val="-2"/>
        </w:rPr>
        <w:t>ки, в которых обращается внимание на негативный показ и изображение женщин в средствах массовой информации</w:t>
      </w:r>
      <w:r>
        <w:t>. "Калаяан" – НПО, борющаяся с насилием в о</w:t>
      </w:r>
      <w:r>
        <w:t>т</w:t>
      </w:r>
      <w:r>
        <w:t>ношении женщин, – поставила музыкальный спектакль-пантомиму, отража</w:t>
      </w:r>
      <w:r>
        <w:t>ю</w:t>
      </w:r>
      <w:r>
        <w:t>щий феминистские взгляды и ценности.</w:t>
      </w:r>
    </w:p>
    <w:p w:rsidR="00000000" w:rsidRDefault="00000000">
      <w:pPr>
        <w:pStyle w:val="SingleTxt"/>
        <w:rPr>
          <w:spacing w:val="-2"/>
        </w:rPr>
      </w:pPr>
      <w:r>
        <w:t>171.</w:t>
      </w:r>
      <w:r>
        <w:rPr>
          <w:i/>
        </w:rPr>
        <w:tab/>
      </w:r>
      <w:r>
        <w:rPr>
          <w:spacing w:val="-2"/>
        </w:rPr>
        <w:t>Женщины, работающие в средствах массовой информации, продолжают доб</w:t>
      </w:r>
      <w:r>
        <w:rPr>
          <w:spacing w:val="-2"/>
        </w:rPr>
        <w:t>и</w:t>
      </w:r>
      <w:r>
        <w:rPr>
          <w:spacing w:val="-2"/>
        </w:rPr>
        <w:t>ваться освещения новостей и проблем женщин и поддерживать контакты с женск</w:t>
      </w:r>
      <w:r>
        <w:rPr>
          <w:spacing w:val="-2"/>
        </w:rPr>
        <w:t>и</w:t>
      </w:r>
      <w:r>
        <w:rPr>
          <w:spacing w:val="-2"/>
        </w:rPr>
        <w:t>ми организациями, НПО, работающими со средствами массовой информации, и с аналогичными группами. В частности, Филиппинский центр журналистских ра</w:t>
      </w:r>
      <w:r>
        <w:rPr>
          <w:spacing w:val="-2"/>
        </w:rPr>
        <w:t>с</w:t>
      </w:r>
      <w:r>
        <w:rPr>
          <w:spacing w:val="-2"/>
        </w:rPr>
        <w:t>следований (</w:t>
      </w:r>
      <w:r>
        <w:rPr>
          <w:caps/>
          <w:spacing w:val="-2"/>
        </w:rPr>
        <w:t>ФЦжр</w:t>
      </w:r>
      <w:r>
        <w:rPr>
          <w:spacing w:val="-2"/>
        </w:rPr>
        <w:t>), исполнительный директор которого получила премию Рамона Магсайсая в области журналистики за 2003 год, продолжает добиваться повышения роли средств массовой информации при нынешней ситуации в стране. Один из его проектов направлен на формирование чуткого отношения общественности к вопр</w:t>
      </w:r>
      <w:r>
        <w:rPr>
          <w:spacing w:val="-2"/>
        </w:rPr>
        <w:t>о</w:t>
      </w:r>
      <w:r>
        <w:rPr>
          <w:spacing w:val="-2"/>
        </w:rPr>
        <w:t>сам здоровья женщин, гендерным вопросам, вопросам народонаселения и развития. ФЦЖР осуществляет подготовку женщин-работников средств массовой информ</w:t>
      </w:r>
      <w:r>
        <w:rPr>
          <w:spacing w:val="-2"/>
        </w:rPr>
        <w:t>а</w:t>
      </w:r>
      <w:r>
        <w:rPr>
          <w:spacing w:val="-2"/>
        </w:rPr>
        <w:t>ции, с тем чтобы они в своих репортажах уделяли больше внимания гендерным в</w:t>
      </w:r>
      <w:r>
        <w:rPr>
          <w:spacing w:val="-2"/>
        </w:rPr>
        <w:t>о</w:t>
      </w:r>
      <w:r>
        <w:rPr>
          <w:spacing w:val="-2"/>
        </w:rPr>
        <w:t>просам. Ведется также анализ содержания газет и журналов, для того чтобы поб</w:t>
      </w:r>
      <w:r>
        <w:rPr>
          <w:spacing w:val="-2"/>
        </w:rPr>
        <w:t>у</w:t>
      </w:r>
      <w:r>
        <w:rPr>
          <w:spacing w:val="-2"/>
        </w:rPr>
        <w:t>дить директивные органы к разработке надлежащих мер по улучшению освещения пр</w:t>
      </w:r>
      <w:r>
        <w:rPr>
          <w:spacing w:val="-2"/>
        </w:rPr>
        <w:t>о</w:t>
      </w:r>
      <w:r>
        <w:rPr>
          <w:spacing w:val="-2"/>
        </w:rPr>
        <w:t>блем женщин в средствах массовой информации.</w:t>
      </w:r>
    </w:p>
    <w:p w:rsidR="00000000" w:rsidRDefault="00000000">
      <w:pPr>
        <w:pStyle w:val="SingleTxt"/>
      </w:pPr>
      <w:r>
        <w:t>172.</w:t>
      </w:r>
      <w:r>
        <w:tab/>
        <w:t xml:space="preserve">Женские группы и другие НПО готовят альтернативные информационные программы и осуществляют другие проекты, связанные с женщинами и </w:t>
      </w:r>
      <w:r>
        <w:rPr>
          <w:spacing w:val="-2"/>
        </w:rPr>
        <w:t>средс</w:t>
      </w:r>
      <w:r>
        <w:rPr>
          <w:spacing w:val="-2"/>
        </w:rPr>
        <w:t>т</w:t>
      </w:r>
      <w:r>
        <w:rPr>
          <w:spacing w:val="-2"/>
        </w:rPr>
        <w:t>вами массовой информации. Среди этих проектов можно назвать следующие</w:t>
      </w:r>
      <w:r>
        <w:t>: a) 24-серийный телевизионный сериал Филиппинской ассоциации образовательных театров (ФАОТ) о проблемах и опыте простых людей, где шесть серий посв</w:t>
      </w:r>
      <w:r>
        <w:t>я</w:t>
      </w:r>
      <w:r>
        <w:t xml:space="preserve">щено гендерным вопросам и проблемам; b) кампания, проводимая </w:t>
      </w:r>
      <w:r>
        <w:rPr>
          <w:caps/>
        </w:rPr>
        <w:t>о</w:t>
      </w:r>
      <w:r>
        <w:t>бъедин</w:t>
      </w:r>
      <w:r>
        <w:t>е</w:t>
      </w:r>
      <w:r>
        <w:t xml:space="preserve">нием женщин-работников </w:t>
      </w:r>
      <w:r>
        <w:rPr>
          <w:spacing w:val="-2"/>
        </w:rPr>
        <w:t>средств массовой информации во всех средствах масс</w:t>
      </w:r>
      <w:r>
        <w:rPr>
          <w:spacing w:val="-2"/>
        </w:rPr>
        <w:t>о</w:t>
      </w:r>
      <w:r>
        <w:rPr>
          <w:spacing w:val="-2"/>
        </w:rPr>
        <w:t>вой информации в целях расширения</w:t>
      </w:r>
      <w:r>
        <w:t xml:space="preserve"> прав и возможностей молодых женщин и девочек, и она включает радиопрограмму, в которой чередуются музыкальные заставки и интервью по вопросам здравоохранения и расширения прав (как, например, насилие и беременность несовершеннолетних), приложение в одном из ведущих журналов и публикацию материалов по этим же темам; и c) ди</w:t>
      </w:r>
      <w:r>
        <w:t>с</w:t>
      </w:r>
      <w:r>
        <w:t xml:space="preserve">куссия в различных </w:t>
      </w:r>
      <w:r>
        <w:rPr>
          <w:spacing w:val="-2"/>
        </w:rPr>
        <w:t>средствах массовой информации</w:t>
      </w:r>
      <w:r>
        <w:t xml:space="preserve"> по вопросам женщин, рел</w:t>
      </w:r>
      <w:r>
        <w:t>и</w:t>
      </w:r>
      <w:r>
        <w:t xml:space="preserve">гии и репродуктивного здоровья, организованная </w:t>
      </w:r>
      <w:r>
        <w:rPr>
          <w:caps/>
        </w:rPr>
        <w:t>ф</w:t>
      </w:r>
      <w:r>
        <w:t>илиппинской службой о</w:t>
      </w:r>
      <w:r>
        <w:t>с</w:t>
      </w:r>
      <w:r>
        <w:t>вещения положения женщин (СОПЖ) в рамках освещения в международных информационных агентствах вопросов развития с точки зрения женщин с ц</w:t>
      </w:r>
      <w:r>
        <w:t>е</w:t>
      </w:r>
      <w:r>
        <w:t xml:space="preserve">лью добиться более полного отражения проблем женщин в материалах </w:t>
      </w:r>
      <w:r>
        <w:rPr>
          <w:spacing w:val="-2"/>
        </w:rPr>
        <w:t>средств массовой информации</w:t>
      </w:r>
      <w:r>
        <w:t>. С 2000-2002 годов эта служба проводит форум под н</w:t>
      </w:r>
      <w:r>
        <w:t>а</w:t>
      </w:r>
      <w:r>
        <w:t xml:space="preserve">званием «Тело и душа», разговорные радио- и телешоу в Лусоне, Висаяне и Минданао и форум в </w:t>
      </w:r>
      <w:r>
        <w:rPr>
          <w:caps/>
        </w:rPr>
        <w:t>и</w:t>
      </w:r>
      <w:r>
        <w:t>нтернете. При участии представителей мусульманства, протестантства и католицизма, а также медико-санитарных работников, НПО, средств массовой информации, органов власти и научных кругов на форуме рас</w:t>
      </w:r>
      <w:r>
        <w:rPr>
          <w:lang w:val="en-US"/>
        </w:rPr>
        <w:t>c</w:t>
      </w:r>
      <w:r>
        <w:t>матриваются спорные вопросы, как, например, лесбиянство, аборты, се</w:t>
      </w:r>
      <w:r>
        <w:t>к</w:t>
      </w:r>
      <w:r>
        <w:t>суальность в несовершеннолетнем возрасте, планирование семьи, противозач</w:t>
      </w:r>
      <w:r>
        <w:t>а</w:t>
      </w:r>
      <w:r>
        <w:t xml:space="preserve">точные средства и СПИД, репродуктивные методы, </w:t>
      </w:r>
      <w:r>
        <w:rPr>
          <w:spacing w:val="-2"/>
        </w:rPr>
        <w:t>средства массовой информ</w:t>
      </w:r>
      <w:r>
        <w:rPr>
          <w:spacing w:val="-2"/>
        </w:rPr>
        <w:t>а</w:t>
      </w:r>
      <w:r>
        <w:rPr>
          <w:spacing w:val="-2"/>
        </w:rPr>
        <w:t>ции и религия и разводы и насилие в семье</w:t>
      </w:r>
      <w:r>
        <w:t>.</w:t>
      </w:r>
    </w:p>
    <w:p w:rsidR="00000000" w:rsidRDefault="00000000">
      <w:pPr>
        <w:pStyle w:val="SingleTxt"/>
      </w:pPr>
      <w:r>
        <w:t>173.</w:t>
      </w:r>
      <w:r>
        <w:tab/>
        <w:t xml:space="preserve">С 1995 года </w:t>
      </w:r>
      <w:r>
        <w:rPr>
          <w:caps/>
        </w:rPr>
        <w:t>о</w:t>
      </w:r>
      <w:r>
        <w:t xml:space="preserve">бъединение женщин-работников </w:t>
      </w:r>
      <w:r>
        <w:rPr>
          <w:spacing w:val="-2"/>
        </w:rPr>
        <w:t>средств массовой информ</w:t>
      </w:r>
      <w:r>
        <w:rPr>
          <w:spacing w:val="-2"/>
        </w:rPr>
        <w:t>а</w:t>
      </w:r>
      <w:r>
        <w:rPr>
          <w:spacing w:val="-2"/>
        </w:rPr>
        <w:t>ции подготовило программы, в которых обсуждаются проблемы женщин (как, н</w:t>
      </w:r>
      <w:r>
        <w:rPr>
          <w:spacing w:val="-2"/>
        </w:rPr>
        <w:t>а</w:t>
      </w:r>
      <w:r>
        <w:rPr>
          <w:spacing w:val="-2"/>
        </w:rPr>
        <w:t>пример, «Язык тела» и репродуктивное здоровье для несовершеннолетних и же</w:t>
      </w:r>
      <w:r>
        <w:rPr>
          <w:spacing w:val="-2"/>
        </w:rPr>
        <w:t>н</w:t>
      </w:r>
      <w:r>
        <w:rPr>
          <w:spacing w:val="-2"/>
        </w:rPr>
        <w:t>щин)</w:t>
      </w:r>
      <w:r>
        <w:t xml:space="preserve"> и гендерные вопросы и развитие для телевидения ("XYZ"), радио ("X</w:t>
      </w:r>
      <w:r>
        <w:t>Y</w:t>
      </w:r>
      <w:r>
        <w:t>Zone") и журналов ("XYZine"). С использованием театральных средств НПО «Филиппинский образовательный театр» поставило в различных частях страны две пьесы, посвященные проблемам женщин, в которых женщинам и мужч</w:t>
      </w:r>
      <w:r>
        <w:t>и</w:t>
      </w:r>
      <w:r>
        <w:t>нам из числа зрителей предлагается задавать вопросы и делиться своим оп</w:t>
      </w:r>
      <w:r>
        <w:t>ы</w:t>
      </w:r>
      <w:r>
        <w:t>том, касающимся различных ситуаций в их жизни, в семье, на рабочем месте, приводить примеры сексуальных домогательств, дискриминации на работе, стереотипных представлений о роли полов и затрагивать другие гендерные в</w:t>
      </w:r>
      <w:r>
        <w:t>о</w:t>
      </w:r>
      <w:r>
        <w:t>просы.</w:t>
      </w:r>
    </w:p>
    <w:p w:rsidR="00000000" w:rsidRDefault="00000000">
      <w:pPr>
        <w:pStyle w:val="SingleTxt"/>
      </w:pPr>
      <w:r>
        <w:t>174.</w:t>
      </w:r>
      <w:r>
        <w:tab/>
        <w:t>Защитники прав женщин в средствах массовой информации и несколько рекламных компаний (как, например, «Маккэн-Эриксон» и «Джей &amp; Джей») начали изображать женщин в более позитивном ключе. Так, например, реклама стирального мыла показывает, что женщины могут выполнять функции не только домохозяек. За счет этого изделия делаются также взносы в фонд для женщин, заинтересованных в развитии малого бизнеса. Во время проведения месяца женщин транслируются информационно-рекламные ролики, показ</w:t>
      </w:r>
      <w:r>
        <w:t>ы</w:t>
      </w:r>
      <w:r>
        <w:t>вающие важную роль женщин в обществе. Кроме того, в такие телевизионные программы, как «По вашим заявкам», включаются отдельные элементы, п</w:t>
      </w:r>
      <w:r>
        <w:t>о</w:t>
      </w:r>
      <w:r>
        <w:t>священные насилию в отношении женщин, признанию брака недействител</w:t>
      </w:r>
      <w:r>
        <w:t>ь</w:t>
      </w:r>
      <w:r>
        <w:t>ным, неформальному сектору и семейному законод</w:t>
      </w:r>
      <w:r>
        <w:t>а</w:t>
      </w:r>
      <w:r>
        <w:t>тельству.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3" w:name="_Toc85174912"/>
      <w:r>
        <w:t xml:space="preserve">C. </w:t>
      </w:r>
      <w:r>
        <w:tab/>
        <w:t>Сохраняющиеся вопросы и проблемы</w:t>
      </w:r>
      <w:bookmarkEnd w:id="4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175.</w:t>
      </w:r>
      <w:r>
        <w:tab/>
        <w:t>Несмотря на изложенные выше инициативы и результаты еще многое предстоит сделать. Для искоренения стереотипных представлений о роли же</w:t>
      </w:r>
      <w:r>
        <w:t>н</w:t>
      </w:r>
      <w:r>
        <w:t>щин и мужчин органы власти должны обеспечить постоянное проведение ге</w:t>
      </w:r>
      <w:r>
        <w:t>н</w:t>
      </w:r>
      <w:r>
        <w:t>дерных реформ в системе образования путем пересмотра учебников, учебных материалов и школьных учебных планов, с тем чтобы сделать их более инфо</w:t>
      </w:r>
      <w:r>
        <w:t>р</w:t>
      </w:r>
      <w:r>
        <w:t>мативными в плане освещения гендерных вопросов. В учебниках, учебных м</w:t>
      </w:r>
      <w:r>
        <w:t>а</w:t>
      </w:r>
      <w:r>
        <w:t>териалах и планах необходимо освещать гендерные вопросы (как, например, совместное выполнение родительских обязанностей, репродуктивные права и ненасильственные формы урегулирования конфликтов). В то же время учит</w:t>
      </w:r>
      <w:r>
        <w:t>е</w:t>
      </w:r>
      <w:r>
        <w:t>лям и школьным администраторам на всех уровнях необходима более глубокая подготовка, для того чтобы учитывать гендерные факторы в процессе обучения и выступать в роли инициаторов перемен в социально-культурной среде, кот</w:t>
      </w:r>
      <w:r>
        <w:t>о</w:t>
      </w:r>
      <w:r>
        <w:t>рая должна стать более благоприятной для женщин и девочек.</w:t>
      </w:r>
    </w:p>
    <w:p w:rsidR="00000000" w:rsidRDefault="00000000">
      <w:pPr>
        <w:pStyle w:val="SingleTxt"/>
      </w:pPr>
      <w:r>
        <w:t>176.</w:t>
      </w:r>
      <w:r>
        <w:tab/>
        <w:t>Необходимо разрабатывать больше государственных программ, которые будут обеспечивать и поощрять совместное выполнение родительских обяза</w:t>
      </w:r>
      <w:r>
        <w:t>н</w:t>
      </w:r>
      <w:r>
        <w:t>ностей в деле воспитания и развития детей, а также более благоприятную по отношению к семье политику и принятие организационных мер.</w:t>
      </w:r>
    </w:p>
    <w:p w:rsidR="00000000" w:rsidRDefault="00000000">
      <w:pPr>
        <w:pStyle w:val="SingleTxt"/>
      </w:pPr>
      <w:r>
        <w:t>177.</w:t>
      </w:r>
      <w:r>
        <w:tab/>
        <w:t xml:space="preserve">Средства </w:t>
      </w:r>
      <w:r>
        <w:rPr>
          <w:spacing w:val="-2"/>
        </w:rPr>
        <w:t>массовой информации могут влиять на то, как люди смотрят на мир, и в этом качестве они должны содействовать сбалансированному и нестереотипному изображению женщин и мужчин</w:t>
      </w:r>
      <w:r>
        <w:t>. Это способствует более активному участию женщин и позволяет им свободно реализовывать свои права на свободу слова и выражения, использовать новые коммуникационные технологии или играть ключевую роль в принятии решений при подготовке или трансляции информ</w:t>
      </w:r>
      <w:r>
        <w:t>а</w:t>
      </w:r>
      <w:r>
        <w:t>ционных программ.</w:t>
      </w:r>
    </w:p>
    <w:p w:rsidR="00000000" w:rsidRDefault="00000000">
      <w:pPr>
        <w:pStyle w:val="SingleTxt"/>
        <w:rPr>
          <w:spacing w:val="-2"/>
        </w:rPr>
      </w:pPr>
      <w:r>
        <w:rPr>
          <w:spacing w:val="-2"/>
        </w:rPr>
        <w:t>178.</w:t>
      </w:r>
      <w:r>
        <w:rPr>
          <w:spacing w:val="-2"/>
        </w:rPr>
        <w:tab/>
        <w:t>Отсутствие ведущего государственного учреждения или органа, отвечающего за разработку политики и контроль в вопросах, связанных с женщинами и средств</w:t>
      </w:r>
      <w:r>
        <w:rPr>
          <w:spacing w:val="-2"/>
        </w:rPr>
        <w:t>а</w:t>
      </w:r>
      <w:r>
        <w:rPr>
          <w:spacing w:val="-2"/>
        </w:rPr>
        <w:t>ми массовой информации, неблагоприятно отражается на способности органов вл</w:t>
      </w:r>
      <w:r>
        <w:rPr>
          <w:spacing w:val="-2"/>
        </w:rPr>
        <w:t>а</w:t>
      </w:r>
      <w:r>
        <w:rPr>
          <w:spacing w:val="-2"/>
        </w:rPr>
        <w:t>сти освещать гендерные вопросы в средствах массовой информации. Однако даже без такого учреждения необходимо формировать позитивное отношение у работн</w:t>
      </w:r>
      <w:r>
        <w:rPr>
          <w:spacing w:val="-2"/>
        </w:rPr>
        <w:t>и</w:t>
      </w:r>
      <w:r>
        <w:rPr>
          <w:spacing w:val="-2"/>
        </w:rPr>
        <w:t>ков средств массовой информации. Это предусматривает переориент</w:t>
      </w:r>
      <w:r>
        <w:rPr>
          <w:spacing w:val="-2"/>
        </w:rPr>
        <w:t>а</w:t>
      </w:r>
      <w:r>
        <w:rPr>
          <w:spacing w:val="-2"/>
        </w:rPr>
        <w:t>цию/повышение внимания женщин, работающих в средствах массовой информации, к той важной роли, которую они играют в освещении проблем женщин по сравн</w:t>
      </w:r>
      <w:r>
        <w:rPr>
          <w:spacing w:val="-2"/>
        </w:rPr>
        <w:t>е</w:t>
      </w:r>
      <w:r>
        <w:rPr>
          <w:spacing w:val="-2"/>
        </w:rPr>
        <w:t>нию с другими вопросами прав человека, и создание базы данных для выяснения, насколько часто реклама во всех средствах массовой информации показывает же</w:t>
      </w:r>
      <w:r>
        <w:rPr>
          <w:spacing w:val="-2"/>
        </w:rPr>
        <w:t>н</w:t>
      </w:r>
      <w:r>
        <w:rPr>
          <w:spacing w:val="-2"/>
        </w:rPr>
        <w:t>щин в сексистском, унизительном или стереотипном образе.</w:t>
      </w:r>
    </w:p>
    <w:p w:rsidR="00000000" w:rsidRDefault="00000000">
      <w:pPr>
        <w:pStyle w:val="SingleTxt"/>
      </w:pPr>
      <w:r>
        <w:t>179.</w:t>
      </w:r>
      <w:r>
        <w:tab/>
        <w:t>Кампанию по борьбе с порнографией, которая выставляет женщин в роли просто предметов, затрудняет отсутствие эффективного законодательства, н</w:t>
      </w:r>
      <w:r>
        <w:t>а</w:t>
      </w:r>
      <w:r>
        <w:t>правленного на борьбу с торговлей порнографическими материалами, а также государственного учреждения, которому было бы поручено вести борьбу с п</w:t>
      </w:r>
      <w:r>
        <w:t>е</w:t>
      </w:r>
      <w:r>
        <w:t>чатной порнографией. Тем не менее министерство внутренних дел и местных органов власти совместно с НПО ведет борьбу с порнографией. Однако нео</w:t>
      </w:r>
      <w:r>
        <w:t>б</w:t>
      </w:r>
      <w:r>
        <w:t>ходим комплексный подход к проблеме порнографии, включая разработку з</w:t>
      </w:r>
      <w:r>
        <w:t>а</w:t>
      </w:r>
      <w:r>
        <w:t>кона о борьбе с порнографией. Порнография связана с нищетой, поскольку считается спасительным средством для тех, кто лишен экономических средств. Ожесточенная конкуренция побуждает прессу, бульварные газеты и кинемат</w:t>
      </w:r>
      <w:r>
        <w:t>о</w:t>
      </w:r>
      <w:r>
        <w:t>граф бороться друг с другом, прибегая к непристойностям и порнографии и изображая женщин и девушек как жертв изнасил</w:t>
      </w:r>
      <w:r>
        <w:t>о</w:t>
      </w:r>
      <w:r>
        <w:t>ваний, а их тела – как товар.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44" w:name="_Toc85174913"/>
      <w:r>
        <w:t>Статья 6. Эксплуатация женщин</w:t>
      </w:r>
      <w:bookmarkEnd w:id="4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rPr>
          <w:i/>
        </w:rPr>
      </w:pPr>
      <w:r>
        <w:rPr>
          <w:i/>
        </w:rPr>
        <w:t>Пресечение торговли женщинами и эксплуатации проституции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5" w:name="_Toc85174914"/>
      <w:r>
        <w:t xml:space="preserve">A. </w:t>
      </w:r>
      <w:r>
        <w:tab/>
        <w:t>Положение женщин</w:t>
      </w:r>
      <w:bookmarkEnd w:id="4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Торговля женщинами и детьми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180.</w:t>
      </w:r>
      <w:r>
        <w:tab/>
        <w:t>Ряд женщин, которые выезжают из страны в качестве эстрадных артисток, невест иностранных граждан, обслуживающего персонала, туристов или не имеющих документов работниц, становятся жертвами синдикатов организ</w:t>
      </w:r>
      <w:r>
        <w:t>о</w:t>
      </w:r>
      <w:r>
        <w:t>ванной преступности. Отсутствие у них документов или их нелегальный статус не позволяет им прибегнуть к защите закона. С 1992 по декабрь 2002 года Д</w:t>
      </w:r>
      <w:r>
        <w:t>и</w:t>
      </w:r>
      <w:r>
        <w:t>пломатическая служба Филиппин зарегистрировала 1 084 случая торговли людьми. Зарегистрированное количество весьма невелико по сравнению с р</w:t>
      </w:r>
      <w:r>
        <w:t>е</w:t>
      </w:r>
      <w:r>
        <w:t>альным числом жертв, о которых не было сообщено. Это можно объяснить о</w:t>
      </w:r>
      <w:r>
        <w:t>т</w:t>
      </w:r>
      <w:r>
        <w:t>сутствием постоянно действующих механизмов контроля и слежения за дв</w:t>
      </w:r>
      <w:r>
        <w:t>и</w:t>
      </w:r>
      <w:r>
        <w:t>жением филиппинских мигрантов. Женщины составляют 66 процентов жертв, 18 процентов которых были вынуждены заняться проституцией под принужд</w:t>
      </w:r>
      <w:r>
        <w:t>е</w:t>
      </w:r>
      <w:r>
        <w:t>нием. Правительство репатриировало 31 процент жертв.</w:t>
      </w:r>
    </w:p>
    <w:p w:rsidR="00000000" w:rsidRDefault="00000000">
      <w:pPr>
        <w:pStyle w:val="SingleTxt"/>
      </w:pPr>
      <w:r>
        <w:t>181.</w:t>
      </w:r>
      <w:r>
        <w:tab/>
        <w:t>В 2000 году Филиппинский центр по транснациональной преступности зарегистрировал 153 случая незаконного найма на работу, незаконной мигр</w:t>
      </w:r>
      <w:r>
        <w:t>а</w:t>
      </w:r>
      <w:r>
        <w:t>ции и торговли людьми. Комиссия по делам филиппинцев за границей рек</w:t>
      </w:r>
      <w:r>
        <w:t>о</w:t>
      </w:r>
      <w:r>
        <w:t>мендовала внести в "черный список" девять иностранных граждан, замеша</w:t>
      </w:r>
      <w:r>
        <w:t>н</w:t>
      </w:r>
      <w:r>
        <w:t>ных в работе клубов друзей по переписке или в вербовке филиппинских же</w:t>
      </w:r>
      <w:r>
        <w:t>н</w:t>
      </w:r>
      <w:r>
        <w:t>щин для вступления в брак с иностранцами.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Проституция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182.</w:t>
      </w:r>
      <w:r>
        <w:tab/>
        <w:t>Нищета и отсутствие альтернативных источников дохода по-прежнему толкают женщин заниматься проституцией, где они подвергаются эксплуат</w:t>
      </w:r>
      <w:r>
        <w:t>а</w:t>
      </w:r>
      <w:r>
        <w:t>ции со стороны держателей притонов и сутенеров. Клиенты и полицейские, в свою очередь, продолжают нарушать женские права проституток. Беспринци</w:t>
      </w:r>
      <w:r>
        <w:t>п</w:t>
      </w:r>
      <w:r>
        <w:t>ные туроператоры и представители индустрии развлечений используют лазе</w:t>
      </w:r>
      <w:r>
        <w:t>й</w:t>
      </w:r>
      <w:r>
        <w:t>ки в законах для того, чтобы продолжать эксплуатировать проституцию. Общее число занятых в проституции женщин и детей нельзя установить, поскольку проституция считается незаконной и преступники занимаются этим бизнесом подпольно. Однако предполагаемые оценки ошеломляют.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Насилие в отношении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183.</w:t>
      </w:r>
      <w:r>
        <w:tab/>
        <w:t>Насилие в отношении женщин (НОЖ) сохраняется, причем количество сообщенных преступлений возрастало с 2000 по 2002 год до того, как в 2003 году эта цифра сократилась до 7 805. Количество случаев НОЖ в 2003 году на 6 процентов ниже, чем в 2000 году, и на 13 процентов ниже, чем в 2002 году. Однако, вероятно, на самое тяжкое преступление – изнасилование приходится менее 13 процентов случаев, сообщенных в полицию. Среди на</w:t>
      </w:r>
      <w:r>
        <w:t>и</w:t>
      </w:r>
      <w:r>
        <w:t>более распространенных преступлений по-прежнему остаются физическое н</w:t>
      </w:r>
      <w:r>
        <w:t>а</w:t>
      </w:r>
      <w:r>
        <w:t>силие и избиение жен.</w:t>
      </w:r>
    </w:p>
    <w:p w:rsidR="00000000" w:rsidRDefault="00000000">
      <w:pPr>
        <w:pStyle w:val="SingleTxt"/>
      </w:pPr>
      <w:r>
        <w:t>184.</w:t>
      </w:r>
      <w:r>
        <w:tab/>
        <w:t>В то же время число случаев насилия в отношении детей составило 7 303 в 2003 году, что на 15 процентов меньше, чем в 2000 году, и на 8 процентов меньше, чем в 2002 году. Из этого числа 46 процентов приходятся на случаи изнасилования, в том числе кровосмесительные изнасилования (4 процента); 27 процентов случаев были связаны с физическим насилием и 15 процентов приходились на развратные действия</w:t>
      </w:r>
      <w:r>
        <w:rPr>
          <w:rStyle w:val="FootnoteReference"/>
        </w:rPr>
        <w:footnoteReference w:id="14"/>
      </w:r>
      <w:r>
        <w:t>. Данные за 2002 год пок</w:t>
      </w:r>
      <w:r>
        <w:t>а</w:t>
      </w:r>
      <w:r>
        <w:t>зывают, что трое из шести детей, ставших жертвами насилия, были в возрасте от 12 до 17 лет; 25 процентов жертв были в возрасте от 6 до 11 лет. Так же как и с женщинами, ставшими жертвами насилия, примерно половина виновных в совершении преступлений против детей не были связаны родственными отн</w:t>
      </w:r>
      <w:r>
        <w:t>о</w:t>
      </w:r>
      <w:r>
        <w:t>шениями с жертвами. В реальности многие из виновных (31 процент) были а</w:t>
      </w:r>
      <w:r>
        <w:t>б</w:t>
      </w:r>
      <w:r>
        <w:t>солютно посторонними людьми по отношению к детям. На мужей приходилось 28 процентов случаев преступлений НОЖ, в то время как на родственников-мужчин приходилось 13 процентов зарегистрированных случаев насилия в о</w:t>
      </w:r>
      <w:r>
        <w:t>т</w:t>
      </w:r>
      <w:r>
        <w:t>ношении детей (НСКС, 2003).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Насилие в отношении женщин в зонах вооруженных конфликтов</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185.</w:t>
      </w:r>
      <w:r>
        <w:tab/>
        <w:t>Гражданские лица, покинувшие свои дома в результате вооруженных конфликтов, испытывают страдания в эвакуационных центрах по причине пл</w:t>
      </w:r>
      <w:r>
        <w:t>о</w:t>
      </w:r>
      <w:r>
        <w:t>хих жилищных условий, недостаточного питания и заболеваний. Переполне</w:t>
      </w:r>
      <w:r>
        <w:t>н</w:t>
      </w:r>
      <w:r>
        <w:t>ность в эвакуационных центрах, отсутствие питания, плохие санитарные усл</w:t>
      </w:r>
      <w:r>
        <w:t>о</w:t>
      </w:r>
      <w:r>
        <w:t>вия и отсутствие медицинского обслуживания и медикаментов стали причиной увеличения случаев таких распространенных заболеваний, как диарея, дизе</w:t>
      </w:r>
      <w:r>
        <w:t>н</w:t>
      </w:r>
      <w:r>
        <w:t>терия и ОРЗ, которые привели к смерти некоторых из перемещенных лиц. С</w:t>
      </w:r>
      <w:r>
        <w:t>о</w:t>
      </w:r>
      <w:r>
        <w:t>гласно данным Министерства социального обеспечения, большинство зарег</w:t>
      </w:r>
      <w:r>
        <w:t>и</w:t>
      </w:r>
      <w:r>
        <w:t>стрированных случаев смерти, вызванных заболеваниями в эвакуационных центрах, приходится на детей в возрасте до двух лет (</w:t>
      </w:r>
      <w:r>
        <w:rPr>
          <w:u w:val="single"/>
        </w:rPr>
        <w:t>www.inq7.net</w:t>
      </w:r>
      <w:r>
        <w:t>).</w:t>
      </w:r>
    </w:p>
    <w:p w:rsidR="00000000" w:rsidRDefault="00000000">
      <w:pPr>
        <w:pStyle w:val="SingleTxt"/>
      </w:pPr>
      <w:r>
        <w:t>186.</w:t>
      </w:r>
      <w:r>
        <w:tab/>
        <w:t>Здесь приведены некоторые из сообщений о нарушениях прав человека гражданских лиц – мужчин, женщин и детей, – совершенных комбатантами в Минданао:</w:t>
      </w:r>
    </w:p>
    <w:p w:rsidR="00000000" w:rsidRDefault="00000000">
      <w:pPr>
        <w:pStyle w:val="SingleTxt"/>
        <w:ind w:left="1740" w:right="1264" w:hanging="476"/>
      </w:pPr>
      <w:r>
        <w:t>а)</w:t>
      </w:r>
      <w:r>
        <w:tab/>
        <w:t>В 1998 году организация "Пекинское табло" на Филиппинах (ПТФ) соо</w:t>
      </w:r>
      <w:r>
        <w:t>б</w:t>
      </w:r>
      <w:r>
        <w:t>щила о том, что три женщины были изнасилованы, когда находились под военным арестом, 717 семей из четырех племен были вынуждены пок</w:t>
      </w:r>
      <w:r>
        <w:t>и</w:t>
      </w:r>
      <w:r>
        <w:t>нуть землю предков, 90 семей из племени Манобо в Агусане-дель-Сур были вынуждены покинуть места своего проживания для того, чтобы о</w:t>
      </w:r>
      <w:r>
        <w:t>с</w:t>
      </w:r>
      <w:r>
        <w:t>вободить территорию для лесных заготовок, 8 человек из племени Ман</w:t>
      </w:r>
      <w:r>
        <w:t>о</w:t>
      </w:r>
      <w:r>
        <w:t>бо (в том числе две женщины и три ребенка) были убиты филиппинскими военными.</w:t>
      </w:r>
    </w:p>
    <w:p w:rsidR="00000000" w:rsidRDefault="00000000">
      <w:pPr>
        <w:pStyle w:val="SingleTxt"/>
        <w:ind w:left="1740" w:right="1264" w:hanging="476"/>
      </w:pPr>
      <w:r>
        <w:t>b)</w:t>
      </w:r>
      <w:r>
        <w:tab/>
        <w:t>Женская организация Бангса Моро сообщила, что в 1999 году одна же</w:t>
      </w:r>
      <w:r>
        <w:t>н</w:t>
      </w:r>
      <w:r>
        <w:t>щина была столь напугана солдатами, которые проводили несанкцион</w:t>
      </w:r>
      <w:r>
        <w:t>и</w:t>
      </w:r>
      <w:r>
        <w:t>рованный обыск практически в каждом доме в деревне у Лейк Себу, что у нее чуть не случился непроизвольный выкидыш. В этой женской деревне непропорционально высока доля "вдов и незамужних женщин", поскольку мужчины поги</w:t>
      </w:r>
      <w:r>
        <w:t>б</w:t>
      </w:r>
      <w:r>
        <w:t>ли на войне.</w:t>
      </w:r>
    </w:p>
    <w:p w:rsidR="00000000" w:rsidRDefault="00000000">
      <w:pPr>
        <w:pStyle w:val="SingleTxt"/>
        <w:ind w:left="1740" w:right="1264" w:hanging="476"/>
      </w:pPr>
      <w:r>
        <w:rPr>
          <w:lang w:val="en-US"/>
        </w:rPr>
        <w:t>c</w:t>
      </w:r>
      <w:r>
        <w:t>)</w:t>
      </w:r>
      <w:r>
        <w:tab/>
        <w:t>Международная амнистия (2001) сообщила, что в 2000 году эскалация вооруженного конфликта в Центральном Минданао привела к перемещ</w:t>
      </w:r>
      <w:r>
        <w:t>е</w:t>
      </w:r>
      <w:r>
        <w:t>нию более 400 000 гражданских лиц в условиях беспорядочных бомба</w:t>
      </w:r>
      <w:r>
        <w:t>р</w:t>
      </w:r>
      <w:r>
        <w:t>дировок и нарушений прав человека со стороны вооруженных сил Ф</w:t>
      </w:r>
      <w:r>
        <w:t>и</w:t>
      </w:r>
      <w:r>
        <w:t>липпин (ВСФ).</w:t>
      </w:r>
    </w:p>
    <w:p w:rsidR="00000000" w:rsidRDefault="00000000">
      <w:pPr>
        <w:pStyle w:val="SingleTxt"/>
        <w:ind w:left="1740" w:right="1264" w:hanging="476"/>
      </w:pPr>
      <w:r>
        <w:t>d)</w:t>
      </w:r>
      <w:r>
        <w:tab/>
        <w:t>В соответствии с информацией эвакуационных центров, собранной М</w:t>
      </w:r>
      <w:r>
        <w:t>и</w:t>
      </w:r>
      <w:r>
        <w:t>нистерством социального обеспечения и НПО, от 135 000 до 150 000 лиц были перемещены в результате инцидентов, связанных с конфликтом, с января по ноябрь 2001 года в Минданао. Большинство перемещенных лиц – это женщины и дети.</w:t>
      </w:r>
    </w:p>
    <w:p w:rsidR="00000000" w:rsidRDefault="00000000">
      <w:pPr>
        <w:pStyle w:val="SingleTxt"/>
      </w:pPr>
      <w:r>
        <w:t>187.</w:t>
      </w:r>
      <w:r>
        <w:tab/>
        <w:t>Филиппинская комиссия по правам человека также зарегистрировала сл</w:t>
      </w:r>
      <w:r>
        <w:t>у</w:t>
      </w:r>
      <w:r>
        <w:t>чаи насилия в отношении женщин в вооруженном конфликте. С 1980 по 1999 год были задокументированы около 100 случаев, произошедших в реги</w:t>
      </w:r>
      <w:r>
        <w:t>о</w:t>
      </w:r>
      <w:r>
        <w:t>нах II, VI и IX.</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6" w:name="_Toc85174915"/>
      <w:r>
        <w:t>В.</w:t>
      </w:r>
      <w:r>
        <w:tab/>
        <w:t>Предпринятые действия</w:t>
      </w:r>
      <w:bookmarkEnd w:id="4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Законодательство и политика, призванные решить проблему торговли женщинами и девочками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188.</w:t>
      </w:r>
      <w:r>
        <w:tab/>
        <w:t>26 мая 2003 года Президент Филиппин подписал Республиканский з</w:t>
      </w:r>
      <w:r>
        <w:t>а</w:t>
      </w:r>
      <w:r>
        <w:t>кон 9208, или Закон о борьбе с торговлей людьми 2003 года. Впоследствии был образован Межучрежденческий совет по борьбе с торговлей людьми (МСБТЛ). Его функции изложены в законе. Основные черты закона таковы.</w:t>
      </w:r>
    </w:p>
    <w:p w:rsidR="00000000" w:rsidRDefault="00000000">
      <w:pPr>
        <w:pStyle w:val="SingleTxt"/>
        <w:ind w:left="1740" w:right="1264" w:hanging="476"/>
      </w:pPr>
      <w:r>
        <w:rPr>
          <w:lang w:val="en-US"/>
        </w:rPr>
        <w:t>a</w:t>
      </w:r>
      <w:r>
        <w:t>)</w:t>
      </w:r>
      <w:r>
        <w:tab/>
        <w:t>В законе в качестве преступлений признаются акты торговли людьми и акты, содействующие торговле людьми. Термин "торговля" охватывает широкий диапазон действий, осуществляемых в целях проституции, по</w:t>
      </w:r>
      <w:r>
        <w:t>р</w:t>
      </w:r>
      <w:r>
        <w:t>нографии, сексуальной эксплуатации, принудительного труда, рабства, крепостного труда или долговых обязательств, извлечения или продажи внутренних органов независимо от того, совершаются ли эти действия внутри страны или за границей и являются ли жертвы гражданами Ф</w:t>
      </w:r>
      <w:r>
        <w:t>и</w:t>
      </w:r>
      <w:r>
        <w:t>липпин или иностранцами, проданными Филиппинам.</w:t>
      </w:r>
    </w:p>
    <w:p w:rsidR="00000000" w:rsidRDefault="00000000">
      <w:pPr>
        <w:pStyle w:val="SingleTxt"/>
        <w:ind w:left="1740" w:right="1264" w:hanging="476"/>
      </w:pPr>
      <w:r>
        <w:t>b)</w:t>
      </w:r>
      <w:r>
        <w:tab/>
        <w:t xml:space="preserve">В законе по-новому определяется понятие </w:t>
      </w:r>
      <w:r>
        <w:rPr>
          <w:i/>
        </w:rPr>
        <w:t>проституции</w:t>
      </w:r>
      <w:r>
        <w:t>. Вместо того, чтобы считать проституцию преступлением, совершаемым только же</w:t>
      </w:r>
      <w:r>
        <w:t>н</w:t>
      </w:r>
      <w:r>
        <w:t>щинами, проституцией признается "любой акт, сделка, сговор или ум</w:t>
      </w:r>
      <w:r>
        <w:t>ы</w:t>
      </w:r>
      <w:r>
        <w:t xml:space="preserve">сел, связанный с </w:t>
      </w:r>
      <w:r>
        <w:rPr>
          <w:i/>
        </w:rPr>
        <w:t>использованием одного лица другим лицом</w:t>
      </w:r>
      <w:r>
        <w:t xml:space="preserve"> для половых сношений либо развратных действий в обмен на деньги, прибыль, либо по любым другим соображениям" [выделено нами], при этом уголовная о</w:t>
      </w:r>
      <w:r>
        <w:t>т</w:t>
      </w:r>
      <w:r>
        <w:t>ветственность возлагается на тех лиц, кто способствует этим действиям путем торговли людьми.</w:t>
      </w:r>
    </w:p>
    <w:p w:rsidR="00000000" w:rsidRDefault="00000000">
      <w:pPr>
        <w:pStyle w:val="SingleTxt"/>
        <w:ind w:left="1740" w:right="1264" w:hanging="476"/>
      </w:pPr>
      <w:r>
        <w:rPr>
          <w:lang w:val="en-US"/>
        </w:rPr>
        <w:t>c</w:t>
      </w:r>
      <w:r>
        <w:t>)</w:t>
      </w:r>
      <w:r>
        <w:tab/>
        <w:t>В законе устанавливаются наказания за различные виды преступлений, связанных с торговлей людьми. Самые суровые санкции (пожизненное з</w:t>
      </w:r>
      <w:r>
        <w:t>а</w:t>
      </w:r>
      <w:r>
        <w:t>ключение или штраф до 5 млн. филиппинских песо) предусмотрены для признанных виновными лиц в тех случаях, если продаваемое лицо было ребенком или продаваемое лицо умерло либо было инфицировано ВИЧ-СПИД, либо преступник был связан родственными отношениями с жер</w:t>
      </w:r>
      <w:r>
        <w:t>т</w:t>
      </w:r>
      <w:r>
        <w:t>вами, либо был сотрудником правоохранительных органов правительства. Штрафы должны направляться в Целевой фонд, из которого будут опл</w:t>
      </w:r>
      <w:r>
        <w:t>а</w:t>
      </w:r>
      <w:r>
        <w:t>чиваться расходы, связанные с осуществлением обязательных по закону программ и других мер для предотвращения торговли людьми и для ре</w:t>
      </w:r>
      <w:r>
        <w:t>а</w:t>
      </w:r>
      <w:r>
        <w:t>билитации жертв и их реинтеграции в жизнь общества.</w:t>
      </w:r>
    </w:p>
    <w:p w:rsidR="00000000" w:rsidRDefault="00000000">
      <w:pPr>
        <w:pStyle w:val="SingleTxt"/>
        <w:ind w:left="1740" w:right="1264" w:hanging="476"/>
      </w:pPr>
      <w:r>
        <w:t>d)</w:t>
      </w:r>
      <w:r>
        <w:tab/>
        <w:t>Закон обязывает государство предоставлять обязательные услуги лицу, ставшему объектом торговли, такие, как безотлагательное убежище, ко</w:t>
      </w:r>
      <w:r>
        <w:t>н</w:t>
      </w:r>
      <w:r>
        <w:t>сультации, бесплатные юридические услуги, медицинскую помощь, сре</w:t>
      </w:r>
      <w:r>
        <w:t>д</w:t>
      </w:r>
      <w:r>
        <w:t>ства для существования и оказание помощи для получения образования или овладения профессией.</w:t>
      </w:r>
    </w:p>
    <w:p w:rsidR="00000000" w:rsidRDefault="00000000">
      <w:pPr>
        <w:pStyle w:val="SingleTxt"/>
        <w:ind w:left="1740" w:right="1264" w:hanging="476"/>
      </w:pPr>
      <w:r>
        <w:rPr>
          <w:lang w:val="en-US"/>
        </w:rPr>
        <w:t>e</w:t>
      </w:r>
      <w:r>
        <w:t>)</w:t>
      </w:r>
      <w:r>
        <w:tab/>
        <w:t>В законе предусматриваются конкретные обязанности и функции для ра</w:t>
      </w:r>
      <w:r>
        <w:t>з</w:t>
      </w:r>
      <w:r>
        <w:t>личных правительственных учреждений. Среди этих учреждений: Мин</w:t>
      </w:r>
      <w:r>
        <w:t>и</w:t>
      </w:r>
      <w:r>
        <w:t>стерство иностранных дел, которое выделяет необходимые ресурсы и предоставляет услуги лицам, ставшим объектами торговли за границей; Министерство социального обеспечения, которое реализует программы защиты и реабилитации для лиц, ставших объектами торговли; и Мин</w:t>
      </w:r>
      <w:r>
        <w:t>и</w:t>
      </w:r>
      <w:r>
        <w:t>стерство труда, которое следит за неукоснительным осуществлением и соблюдением норм и правил, относящихся к условиям работы лиц внутри страны и за границей.</w:t>
      </w:r>
    </w:p>
    <w:p w:rsidR="00000000" w:rsidRDefault="00000000">
      <w:pPr>
        <w:pStyle w:val="SingleTxt"/>
      </w:pPr>
      <w:r>
        <w:t>189.</w:t>
      </w:r>
      <w:r>
        <w:tab/>
        <w:t>Принятие Закона о борьбе с торговлей людьми 2003 года является прим</w:t>
      </w:r>
      <w:r>
        <w:t>е</w:t>
      </w:r>
      <w:r>
        <w:t>ром объединенных усилий правительственных учреждений, межучрежденч</w:t>
      </w:r>
      <w:r>
        <w:t>е</w:t>
      </w:r>
      <w:r>
        <w:t>ских советов и групп гражданского общества, которые одновременно вносили технический вклад и оказывали политическое давление.</w:t>
      </w:r>
    </w:p>
    <w:p w:rsidR="00000000" w:rsidRDefault="00000000">
      <w:pPr>
        <w:pStyle w:val="SingleTxt"/>
      </w:pPr>
      <w:r>
        <w:t>190.</w:t>
      </w:r>
      <w:r>
        <w:tab/>
        <w:t>В конце 2003 года МСБТЛ завершил разработку норм и правил для пра</w:t>
      </w:r>
      <w:r>
        <w:t>к</w:t>
      </w:r>
      <w:r>
        <w:t>тической реализации Закона, проведя по ним ряд общественных консультаций в Себу, Давао и Метро Манила, и опубликовал их в двух ведущих газетах. С</w:t>
      </w:r>
      <w:r>
        <w:t>о</w:t>
      </w:r>
      <w:r>
        <w:t>вет также близок к завершению Национального стратегического плана дейс</w:t>
      </w:r>
      <w:r>
        <w:t>т</w:t>
      </w:r>
      <w:r>
        <w:t>вий для решения проблемы торговли людьми, который был подготовлен МСБТЛ, другими соответствующими учреждениями и НПО во время семинара по стратегическому планированию, проведенного в ноябре 2003 года, и пр</w:t>
      </w:r>
      <w:r>
        <w:t>и</w:t>
      </w:r>
      <w:r>
        <w:t>ступил к работе над специальным модулем, позволяющим лучше ориентир</w:t>
      </w:r>
      <w:r>
        <w:t>о</w:t>
      </w:r>
      <w:r>
        <w:t>ваться в законе, и над основными сообщениями о торговле людьми. МСБТЛ намерен образовать межучрежденческую целевую группу, которая рассмотрит ситуацию в международных и национальных аэропортах, морских портах и н</w:t>
      </w:r>
      <w:r>
        <w:t>а</w:t>
      </w:r>
      <w:r>
        <w:t>земных транспортных терминалах.</w:t>
      </w:r>
    </w:p>
    <w:p w:rsidR="00000000" w:rsidRDefault="00000000">
      <w:pPr>
        <w:pStyle w:val="SingleTxt"/>
      </w:pPr>
      <w:r>
        <w:t>191.</w:t>
      </w:r>
      <w:r>
        <w:tab/>
        <w:t>Филиппины также являются государством – участником ряда междун</w:t>
      </w:r>
      <w:r>
        <w:t>а</w:t>
      </w:r>
      <w:r>
        <w:t>родных соглашений, касающихся торговли людьми и миграции, в том числе Конвенции о борьбе с торговлей людьми и с эксплуатацией проституции третьими лицами, а также Международной конвенции о защите прав всех тр</w:t>
      </w:r>
      <w:r>
        <w:t>у</w:t>
      </w:r>
      <w:r>
        <w:t>дящи</w:t>
      </w:r>
      <w:r>
        <w:t>х</w:t>
      </w:r>
      <w:r>
        <w:t>ся-мигрантов и членов их семей.</w:t>
      </w:r>
    </w:p>
    <w:p w:rsidR="00000000" w:rsidRDefault="00000000">
      <w:pPr>
        <w:pStyle w:val="SingleTxt"/>
      </w:pPr>
      <w:r>
        <w:t>192.</w:t>
      </w:r>
      <w:r>
        <w:tab/>
        <w:t>24 октября 2001 года Сенат Филиппин ратифицировал Конвенцию ООН против транснациональной организованной преступности и Дополнительные протоколы к ней, Протокол о предупреждении, пресечении и наказании то</w:t>
      </w:r>
      <w:r>
        <w:t>р</w:t>
      </w:r>
      <w:r>
        <w:t>говли людьми, особенно женщинами и детьми, и Протокол против незаконного ввоза мигрантов по суше, морю и воздуху. Это открывает возможности для т</w:t>
      </w:r>
      <w:r>
        <w:t>о</w:t>
      </w:r>
      <w:r>
        <w:t>го, чтобы национальные учреждения объединились с организациями других стран в глобальных усилиях, направленных на борьбу с оборотом наркотиков, прочими транснациональными преступлениями, а также на то, чтобы положить конец эксплуатации женщин и детей и торговли ими.</w:t>
      </w:r>
    </w:p>
    <w:p w:rsidR="00000000" w:rsidRDefault="00000000">
      <w:pPr>
        <w:pStyle w:val="SingleTxt"/>
      </w:pPr>
      <w:r>
        <w:t>193.</w:t>
      </w:r>
      <w:r>
        <w:tab/>
        <w:t>Другие меры, предпринятые правительством Филиппин для решения пр</w:t>
      </w:r>
      <w:r>
        <w:t>о</w:t>
      </w:r>
      <w:r>
        <w:t>блемы незаконной миграции, включают в себя усиление защиты филиппинск</w:t>
      </w:r>
      <w:r>
        <w:t>о</w:t>
      </w:r>
      <w:r>
        <w:t>го паспорта, продолжение борьбы против незаконного найма рабочей силы, а также осуществление контроля за выездом граждан страны и иностранцев с территории Филиппин. Подобные меры осуществляются в соответствии с З</w:t>
      </w:r>
      <w:r>
        <w:t>а</w:t>
      </w:r>
      <w:r>
        <w:t>коном о филиппинском паспорте 1996 года, Трудовым кодексом Филиппин и некоторыми положениями Иммиграционного закона от 1940 года. Более того, Министерство социального обеспечения продолжает требовать разрешение на выезд всякий раз, когда несовершеннолетний отправляется в путешествие с кем-либо еще, помимо своих родит</w:t>
      </w:r>
      <w:r>
        <w:t>е</w:t>
      </w:r>
      <w:r>
        <w:t>лей или опекунов.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Другие меры для предотвращения торговли женщинами и детьми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194.</w:t>
      </w:r>
      <w:r>
        <w:tab/>
        <w:t>После того как в 1996 году было выявлено вызывающее тревогу число случаев торговли женщинами, правительство предприняло меры для оказания незамедлительной помощи жертвам, одновременно с этим разрабатывая и ос</w:t>
      </w:r>
      <w:r>
        <w:t>у</w:t>
      </w:r>
      <w:r>
        <w:t>ществляя национальную стратегию по борьбе с торговлей людьми. Министе</w:t>
      </w:r>
      <w:r>
        <w:t>р</w:t>
      </w:r>
      <w:r>
        <w:t>ство иностранных дел создало общую информационную систему для заинтер</w:t>
      </w:r>
      <w:r>
        <w:t>е</w:t>
      </w:r>
      <w:r>
        <w:t>сованных учреждений и возглавило усилия, направленные на создание поте</w:t>
      </w:r>
      <w:r>
        <w:t>н</w:t>
      </w:r>
      <w:r>
        <w:t>циала и обучение вопросам профилактики, защиты, привлечению к ответс</w:t>
      </w:r>
      <w:r>
        <w:t>т</w:t>
      </w:r>
      <w:r>
        <w:t>венности, репатриации и реабилитации, а также реинтеграции. На основе М</w:t>
      </w:r>
      <w:r>
        <w:t>е</w:t>
      </w:r>
      <w:r>
        <w:t>морандума Президента была образована межучрежденческая рабочая группа высокого уровня для разработки стратегии. Одним из результатов ее деятел</w:t>
      </w:r>
      <w:r>
        <w:t>ь</w:t>
      </w:r>
      <w:r>
        <w:t>ности стало образование в 2000 году Исполнительного совета по пресечению торговли людьми, особенно женщинами и детьми. Совет координирует де</w:t>
      </w:r>
      <w:r>
        <w:t>я</w:t>
      </w:r>
      <w:r>
        <w:t>тельность всех заинтересованных правительственных учреждений и органов для осуществления более эффективных действий в борьбе с торговлей людьми.</w:t>
      </w:r>
    </w:p>
    <w:p w:rsidR="00000000" w:rsidRDefault="00000000">
      <w:pPr>
        <w:pStyle w:val="SingleTxt"/>
      </w:pPr>
      <w:r>
        <w:t>195.</w:t>
      </w:r>
      <w:r>
        <w:tab/>
        <w:t>Министерство иностранных дел, вместе с его дипломатическими и ко</w:t>
      </w:r>
      <w:r>
        <w:t>н</w:t>
      </w:r>
      <w:r>
        <w:t>сульскими представительствами за границей, является ведущим правительс</w:t>
      </w:r>
      <w:r>
        <w:t>т</w:t>
      </w:r>
      <w:r>
        <w:t>венным учреждением в борьбе с торговлей женщинами и детьми. Канцелярия заместителя секретаря по делам трудящихся-мигрантов (КЗСДТМ) выступает в качестве главного органа, занимающегося вопросами оказания помощи ок</w:t>
      </w:r>
      <w:r>
        <w:t>а</w:t>
      </w:r>
      <w:r>
        <w:t>завшимся в беде филиппинцам за границей. Созданный на основе Республ</w:t>
      </w:r>
      <w:r>
        <w:t>и</w:t>
      </w:r>
      <w:r>
        <w:t>канского закона 8042 (Закон о трудящихся-мигрантах и филиппинцах за руб</w:t>
      </w:r>
      <w:r>
        <w:t>е</w:t>
      </w:r>
      <w:r>
        <w:t>жом от 1995 года) КЗСДТМ координирует помощь, которая оказывается гра</w:t>
      </w:r>
      <w:r>
        <w:t>ж</w:t>
      </w:r>
      <w:r>
        <w:t>данам страны Дипломатической службой Филиппин.</w:t>
      </w:r>
    </w:p>
    <w:p w:rsidR="00000000" w:rsidRDefault="00000000">
      <w:pPr>
        <w:pStyle w:val="SingleTxt"/>
      </w:pPr>
      <w:r>
        <w:t>196.</w:t>
      </w:r>
      <w:r>
        <w:tab/>
        <w:t>Задокументированные Дипломатической службой Филиппин случаи то</w:t>
      </w:r>
      <w:r>
        <w:t>р</w:t>
      </w:r>
      <w:r>
        <w:t>говли людьми доставляются курьером в КЗСДТМ с тем, чтобы незамедлител</w:t>
      </w:r>
      <w:r>
        <w:t>ь</w:t>
      </w:r>
      <w:r>
        <w:t>но репатриировать жертву(ы) и предупредить местные органы власти о де</w:t>
      </w:r>
      <w:r>
        <w:t>я</w:t>
      </w:r>
      <w:r>
        <w:t>тельности вербовщиков или торговцев. Временное убежище предоставляется жертвам в Ресурсном центре филиппинских рабочих, в то время как соответс</w:t>
      </w:r>
      <w:r>
        <w:t>т</w:t>
      </w:r>
      <w:r>
        <w:t>вующие представления доводятся до сведения работодателя и министерства труда принимающей страны. Министерство иностранных дел предупреждает соответствующие следственные органы о предполагаемом вербовщике и коо</w:t>
      </w:r>
      <w:r>
        <w:t>р</w:t>
      </w:r>
      <w:r>
        <w:t>динирует помощь, оказываемую жертве к моменту ее прибытия в Манилу. Жертвам оказывается помощь в подготовке соответствующих обвинений пр</w:t>
      </w:r>
      <w:r>
        <w:t>о</w:t>
      </w:r>
      <w:r>
        <w:t>тив подозреваемых торговцев или вербовщиков.</w:t>
      </w:r>
    </w:p>
    <w:p w:rsidR="00000000" w:rsidRDefault="00000000">
      <w:pPr>
        <w:pStyle w:val="SingleTxt"/>
      </w:pPr>
      <w:r>
        <w:t>197.</w:t>
      </w:r>
      <w:r>
        <w:tab/>
        <w:t>Министерство социального обеспечения предлагает проект реинтеграции в общество для жертв торговли, особенно женщин и детей. Министерство пр</w:t>
      </w:r>
      <w:r>
        <w:t>е</w:t>
      </w:r>
      <w:r>
        <w:t>доставляет консультации и психологическую поддержку, а также другие виды помощи для того, чтобы жертвы насилия смогли вернуться к нормальной жи</w:t>
      </w:r>
      <w:r>
        <w:t>з</w:t>
      </w:r>
      <w:r>
        <w:t>ни.</w:t>
      </w:r>
    </w:p>
    <w:p w:rsidR="00000000" w:rsidRDefault="00000000">
      <w:pPr>
        <w:pStyle w:val="SingleTxt"/>
      </w:pPr>
      <w:r>
        <w:t>198.</w:t>
      </w:r>
      <w:r>
        <w:tab/>
        <w:t>В январе 1999 года был образован Филиппинский центр по транснаци</w:t>
      </w:r>
      <w:r>
        <w:t>о</w:t>
      </w:r>
      <w:r>
        <w:t>нальной преступности (ФЦТП), которому было поручено создать общую базу данных правительственных учреждений с информацией о преступниках, ар</w:t>
      </w:r>
      <w:r>
        <w:t>е</w:t>
      </w:r>
      <w:r>
        <w:t>стах и осуждении виновных по различным транснациональным преступлен</w:t>
      </w:r>
      <w:r>
        <w:t>и</w:t>
      </w:r>
      <w:r>
        <w:t>ям, в том числе торговле людьми. Пока же Комиссия по делам филиппинцев за границей (КФГ) осуществляла образовательные программы на уровне общин, информируя общественность о различных вопросах миграции, в том числе торговле людьми, незаконного найма на работу, брака между людьми разли</w:t>
      </w:r>
      <w:r>
        <w:t>ч</w:t>
      </w:r>
      <w:r>
        <w:t>ной расовой или национальной принадлежности, а также работы за рубежом. Комиссия также предоставляет информацию о сетях по оказанию услуг для мигрантов, оказавшихся в беде.</w:t>
      </w:r>
    </w:p>
    <w:p w:rsidR="00000000" w:rsidRDefault="00000000">
      <w:pPr>
        <w:pStyle w:val="SingleTxt"/>
      </w:pPr>
      <w:r>
        <w:t>199.</w:t>
      </w:r>
      <w:r>
        <w:tab/>
        <w:t>Филиппино-бельгийский экспериментальный проект по борьбе с торго</w:t>
      </w:r>
      <w:r>
        <w:t>в</w:t>
      </w:r>
      <w:r>
        <w:t>лей женщинами представляет собой значительный интерес в двустороннем с</w:t>
      </w:r>
      <w:r>
        <w:t>о</w:t>
      </w:r>
      <w:r>
        <w:t>трудничестве. Осуществленный в середине 90</w:t>
      </w:r>
      <w:r>
        <w:noBreakHyphen/>
        <w:t>х годов проект включал в себя межкультурный правовой исследовательский компонент, компонент профила</w:t>
      </w:r>
      <w:r>
        <w:t>к</w:t>
      </w:r>
      <w:r>
        <w:t>тического образования и компонент социальной помощи и охраны здоровья. С другой стороны, инициатива под кодовым названием "Операция Туток: Ио</w:t>
      </w:r>
      <w:r>
        <w:t>р</w:t>
      </w:r>
      <w:r>
        <w:t>дания", выдвинутая Филиппинским управлением по трудоустройству за гран</w:t>
      </w:r>
      <w:r>
        <w:t>и</w:t>
      </w:r>
      <w:r>
        <w:t>цей, является хорошей моделью для комплексного странового подхода. В частности, в рамках этой инициативы были проведены переговоры по мем</w:t>
      </w:r>
      <w:r>
        <w:t>о</w:t>
      </w:r>
      <w:r>
        <w:t>рандуму о достижении соглашения, относящегося к найму женщин для работы в домашних хозяйствах Иордании.</w:t>
      </w:r>
    </w:p>
    <w:p w:rsidR="00000000" w:rsidRDefault="00000000">
      <w:pPr>
        <w:pStyle w:val="SingleTxt"/>
      </w:pPr>
      <w:r>
        <w:t>200.</w:t>
      </w:r>
      <w:r>
        <w:tab/>
        <w:t>В феврале 2002 года правительство Филиппин приняло участие в "Первой региональной конференции по незаконному ввозу людей и торговле людьми и связанными с этим транснациональными преступлениями", проведенной в Б</w:t>
      </w:r>
      <w:r>
        <w:t>а</w:t>
      </w:r>
      <w:r>
        <w:t>ли, Индонезия. По результатам Конференции Президент поручил Министерс</w:t>
      </w:r>
      <w:r>
        <w:t>т</w:t>
      </w:r>
      <w:r>
        <w:t>ву иностранных дел в марте 2002 года провести незамедлительно (и далее на регулярной основе) заседание Правительственной рабочей группы высокого уровня (ПРГВУ) по незаконному ввозу людей и торговле людьми, куда вошли представители следующих учреждений: Министерства юстиции, Министерства труда, Министерства внутренних дел и местных органов власти, Министерства социального обеспечения и Министерства туризма, иммиграционного бюро, КФГ, ФЦТП, Национального бюро расследований (НБР), а также Национал</w:t>
      </w:r>
      <w:r>
        <w:t>ь</w:t>
      </w:r>
      <w:r>
        <w:t>ной комиссии по вопросу о роли филиппинских женщин (НКРФЖ). При подг</w:t>
      </w:r>
      <w:r>
        <w:t>о</w:t>
      </w:r>
      <w:r>
        <w:t>товке национальной стратегии для решения проблемы, связанной с торговлей людьми и незаконным ввозом людей, ПРГВУ сделала обзор существующих правительственных инициатив в контексте уже разработанных проектов, в ч</w:t>
      </w:r>
      <w:r>
        <w:t>а</w:t>
      </w:r>
      <w:r>
        <w:t>стности Стратегический план, разработанный Коалицией борьбы с торговлей людьми на Филиппинах под эгидой Центра ООН по пресечению транснаци</w:t>
      </w:r>
      <w:r>
        <w:t>о</w:t>
      </w:r>
      <w:r>
        <w:t>нальной преступности. В качестве элементов национальной стратегии ПРГВУ использовала План действий Азиатской региональной инициативы по борьбе с торговлей женщинами и детьми, существующие законодательные предложения по борьбе с торговлей людьми и Протокол ООН по торговле людьми. Проект Национальной стратегии по борьбе с торговлей людьми и незаконным ввозом людей был утвержден ПРГВУ на основе подписания соответствующего док</w:t>
      </w:r>
      <w:r>
        <w:t>у</w:t>
      </w:r>
      <w:r>
        <w:t>мента 21 апреля 2003 года. Однако функции ПРГВУ были переданы МСБТЛ в конце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Общественная деятельность и программы НПО</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201.</w:t>
      </w:r>
      <w:r>
        <w:tab/>
        <w:t>НПО и группы гражданского общества принимали участие в важнейшем общественном движении по разработке законодательства, проведении исслед</w:t>
      </w:r>
      <w:r>
        <w:t>о</w:t>
      </w:r>
      <w:r>
        <w:t>ваний и оказании услуг, таких, как предоставление убежища, обучение и ко</w:t>
      </w:r>
      <w:r>
        <w:t>н</w:t>
      </w:r>
      <w:r>
        <w:t>сультации во время пребывания в нем. Они также образовали многосекторал</w:t>
      </w:r>
      <w:r>
        <w:t>ь</w:t>
      </w:r>
      <w:r>
        <w:t>ные группы наблюдения и вели просветительную работу с общественностью по вопросу о торговле людьми. Все эти элементы находят отражение в де</w:t>
      </w:r>
      <w:r>
        <w:t>я</w:t>
      </w:r>
      <w:r>
        <w:t>тельности Коалиции борьбы с торговлей людьми в Азиатско-тихоокеанском р</w:t>
      </w:r>
      <w:r>
        <w:t>е</w:t>
      </w:r>
      <w:r>
        <w:t>гионе (КБТЛАТР), которая занималась вопросом торговли людьми более дес</w:t>
      </w:r>
      <w:r>
        <w:t>я</w:t>
      </w:r>
      <w:r>
        <w:t>ти лет как на национальном, так и на международном уровне. Коалиция разр</w:t>
      </w:r>
      <w:r>
        <w:t>а</w:t>
      </w:r>
      <w:r>
        <w:t xml:space="preserve">ботала программы для общин с целью просвещения молодежи и должностных лиц в </w:t>
      </w:r>
      <w:r>
        <w:rPr>
          <w:i/>
        </w:rPr>
        <w:t>барангайах</w:t>
      </w:r>
      <w:r>
        <w:t xml:space="preserve"> (деревнях) по вопросам торговли молодыми женщинами в уязвимых общинах, таких, как Самар, Замбоанга и Сапанг Палай в Маниле. Коалиция на регулярной основе проводит курсы обучения по тематике прав ч</w:t>
      </w:r>
      <w:r>
        <w:t>е</w:t>
      </w:r>
      <w:r>
        <w:t>ловека и разработала системы документирования случаев насилия в отношении женщин, особенно случаев торговли женщинами. Коалиция поддерживает партнерские отношения с более чем 22 НПО на всей территории Филиппин, с тем чтобы контролировать отдельные случаи торговли людьми и масштабы этого явления в целом. Среди членов коалиции такие организации, как "Же</w:t>
      </w:r>
      <w:r>
        <w:t>н</w:t>
      </w:r>
      <w:r>
        <w:t>щины, ВПЕРЕД" и САЛИГАН, которые оказывают правовую помощь и дают консультации жертвам торговли. С помощью международной сети организаций и партнеров Коалиция оказывала помощь жертвам торговли, вернувшимся к себе на родину, особенно из Японии и Кореи. Это одна из трех НПО, которая выбрана для работы в МСБТЛ и которой по закону поручено контролировать и предотвращать торговлю женщинами и девочками; две другие НПО – это Ф</w:t>
      </w:r>
      <w:r>
        <w:t>и</w:t>
      </w:r>
      <w:r>
        <w:t>липпинская организация по контролю за правами мигрантов и Прекращение детской проституции, детской порнографии и торговли детьми в сексуальных целях (ПДППТ) на Филиппинах. До сих пор только ПДППТ была назначена Президентом в члены МСБТЛ.</w:t>
      </w:r>
    </w:p>
    <w:p w:rsidR="00000000" w:rsidRDefault="00000000">
      <w:pPr>
        <w:pStyle w:val="SingleTxt"/>
      </w:pPr>
      <w:r>
        <w:t>202.</w:t>
      </w:r>
      <w:r>
        <w:tab/>
        <w:t>В партнерстве с портовыми властями Филиппин НПО Фонд Форум Вис</w:t>
      </w:r>
      <w:r>
        <w:t>а</w:t>
      </w:r>
      <w:r>
        <w:t>ян, оказывающая помощь детям-мигрантам, работающим в домашних хозяйс</w:t>
      </w:r>
      <w:r>
        <w:t>т</w:t>
      </w:r>
      <w:r>
        <w:t>вах, содержит дом-убежище, расположенный на полпути между двумя город</w:t>
      </w:r>
      <w:r>
        <w:t>а</w:t>
      </w:r>
      <w:r>
        <w:t>ми в северной гавани Манилы. НПО получает финансовую помощь от Фонда Азии. В этом доме жертвам торговли, особенно женщинам и детям, в течение 24 часов предлагаются разнообразные услуги, такие, как срочное убежище, информационная помощь по вопросам переезда, занятости и возможных сетей помощи; быстрая передача дел в компетентные органы на рассмотрение; ко</w:t>
      </w:r>
      <w:r>
        <w:t>н</w:t>
      </w:r>
      <w:r>
        <w:t>сультации по горячей телефонной линии; оказание на регулярной основе п</w:t>
      </w:r>
      <w:r>
        <w:t>о</w:t>
      </w:r>
      <w:r>
        <w:t>мощи пассажирам, оказавшимся в сложном финансовом положении; просвет</w:t>
      </w:r>
      <w:r>
        <w:t>и</w:t>
      </w:r>
      <w:r>
        <w:t>тельная и общественная работа с членами портовых общин; а также провед</w:t>
      </w:r>
      <w:r>
        <w:t>е</w:t>
      </w:r>
      <w:r>
        <w:t>ние исследований и привлечение добровольцев. На сентябрь 2001 года в ра</w:t>
      </w:r>
      <w:r>
        <w:t>м</w:t>
      </w:r>
      <w:r>
        <w:t>ках проекта удалось спасти 255 человек от продажи в целях дальнейшей эк</w:t>
      </w:r>
      <w:r>
        <w:t>с</w:t>
      </w:r>
      <w:r>
        <w:t>плуатации. Партнеры по проекту стремятся открыть подобные дома-убежища в других крупных портах страны. Помимо содержания домов-убежищ, организ</w:t>
      </w:r>
      <w:r>
        <w:t>а</w:t>
      </w:r>
      <w:r>
        <w:t>ция является одним из инициаторов образования Многосекторальной сети по борьбе с торговлей людьми (МСБТЛ).</w:t>
      </w:r>
    </w:p>
    <w:p w:rsidR="00000000" w:rsidRDefault="00000000">
      <w:pPr>
        <w:pStyle w:val="SingleTxt"/>
      </w:pPr>
      <w:r>
        <w:t>203.</w:t>
      </w:r>
      <w:r>
        <w:tab/>
        <w:t>Организации гражданского общества принимали участие в важном общ</w:t>
      </w:r>
      <w:r>
        <w:t>е</w:t>
      </w:r>
      <w:r>
        <w:t>ственном движении по разработке законодательства и оказанию услуг, образ</w:t>
      </w:r>
      <w:r>
        <w:t>о</w:t>
      </w:r>
      <w:r>
        <w:t>ванию многосекторальных контрольных групп, распространению информации, обучению и консультированию жертв продажи до их возвращения домой, а также предоставлению им убежища. В этой связи следует отметить НПО Ка</w:t>
      </w:r>
      <w:r>
        <w:t>н</w:t>
      </w:r>
      <w:r>
        <w:t>лунганский центральный фонд, которая получает поддержку от таких орган</w:t>
      </w:r>
      <w:r>
        <w:t>и</w:t>
      </w:r>
      <w:r>
        <w:t>заций, как Международная организация труда и Конгресс профсоюзов Фили</w:t>
      </w:r>
      <w:r>
        <w:t>п</w:t>
      </w:r>
      <w:r>
        <w:t>пин, и занимается осуществлением проектов по борьбе с торговлей людьми.</w:t>
      </w:r>
    </w:p>
    <w:p w:rsidR="00000000" w:rsidRDefault="00000000">
      <w:pPr>
        <w:pStyle w:val="SingleTxt"/>
      </w:pPr>
      <w:r>
        <w:t>204.</w:t>
      </w:r>
      <w:r>
        <w:tab/>
        <w:t>ПДППТ Филиппин является членом глобальной сети по защите детей от коммерческой сексуальной эксплуатации. Организация в течение долгого вр</w:t>
      </w:r>
      <w:r>
        <w:t>е</w:t>
      </w:r>
      <w:r>
        <w:t>мени работала в шести основных направлениях: информационная кампания, цель которой – избавить большее число детей от коммерческой сексуальной эксплуатации; контроль за лицами, занимающимися сексуальной эксплуатац</w:t>
      </w:r>
      <w:r>
        <w:t>и</w:t>
      </w:r>
      <w:r>
        <w:t>ей, и создание условий для их привлечения к уголовной ответственности на основе изучения материалов судебных дел; правовая помощь и оказание услуг детям-жертвам; создание сетей сотрудничества и участие в общественном движении; проведение исследований и подготовка документации; организация м</w:t>
      </w:r>
      <w:r>
        <w:t>е</w:t>
      </w:r>
      <w:r>
        <w:t>роприятий с участием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Законодательство и другие меры, касающиеся проституции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205.</w:t>
      </w:r>
      <w:r>
        <w:tab/>
        <w:t>Меры по борьбе с проституцией и по оказанию помощи женщинам, зан</w:t>
      </w:r>
      <w:r>
        <w:t>и</w:t>
      </w:r>
      <w:r>
        <w:t>мающимся проституцией, были обсуждены в пунктах с 26 по 28 в части I о действиях, предпринятых в связи с заключительными комментариями КЛДЖ по проституции.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Законодательство и политика по борьбе с насилием в отношении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206.</w:t>
      </w:r>
      <w:r>
        <w:tab/>
        <w:t>В ответ на общую рекомендацию № 19 Филиппины приняли два закона для борьбы с НОЖ, а именно два смежных закона об изнасиловании: Респу</w:t>
      </w:r>
      <w:r>
        <w:t>б</w:t>
      </w:r>
      <w:r>
        <w:t>ликанский закон 8353 (Закон о борьбе с изнасилованиями) и Республиканский закон 8505 (Закон о защите жертв изнасилования и оказании помощи им). П</w:t>
      </w:r>
      <w:r>
        <w:t>о</w:t>
      </w:r>
      <w:r>
        <w:t>ложения Республиканского закона 8505 были уже приняты. Анализ двух этих законов Филиппинским комитетом законодателей по вопросам народонасел</w:t>
      </w:r>
      <w:r>
        <w:t>е</w:t>
      </w:r>
      <w:r>
        <w:t>ния и развития показал, что отсутствие семейной, институциональной или о</w:t>
      </w:r>
      <w:r>
        <w:t>б</w:t>
      </w:r>
      <w:r>
        <w:t>щественной поддержки жертве изнасилования является главным недостатком для сообщений о случаях изнасилования (Сантос, Ларинас-Анхелес и Адор, 2001 год). Комитет считает, что ранее достигнутые успехи могут быть сведены на нет, если будет по-прежнему применяться нынешняя правовая доктрина, а также если не будут изменены процедуры слушаний в суде, которые заставл</w:t>
      </w:r>
      <w:r>
        <w:t>я</w:t>
      </w:r>
      <w:r>
        <w:t>ют жертву изнасилования пережить преступление еще раз при даче свидетел</w:t>
      </w:r>
      <w:r>
        <w:t>ь</w:t>
      </w:r>
      <w:r>
        <w:t>ских показаний.</w:t>
      </w:r>
    </w:p>
    <w:p w:rsidR="00000000" w:rsidRDefault="00000000">
      <w:pPr>
        <w:pStyle w:val="SingleTxt"/>
      </w:pPr>
      <w:r>
        <w:t>207.</w:t>
      </w:r>
      <w:r>
        <w:tab/>
        <w:t>8 марта 2004 года во время ежегодного празднования Международного женского дня Президент подписал Республиканский закон 9262, или Закон о борьбе с насилием в отношении женщин и их детей (ЗБНЖД). Цель данного закона – сократить большое количество случаев насилия в отношении женщин и привлечь к уголовной ответственности виновных в нем. Закон защищает женщин и их детей от физических, психологических и экономических злоупо</w:t>
      </w:r>
      <w:r>
        <w:t>т</w:t>
      </w:r>
      <w:r>
        <w:t>реблений в семейной жизни, на этапе развития отношений до вступления в брак или во взаимоотношениях, основанных на общем праве. В законе также признается "синдром женщины, подвергшейся избиению" (СЖПИ) в качестве основания для обороны в пределах дозволенного законом для тех женщин, к</w:t>
      </w:r>
      <w:r>
        <w:t>о</w:t>
      </w:r>
      <w:r>
        <w:t>торые многократно подвергались жестокому обращению и были вынуждены выступить в свою защиту. В законе предусматривается выдача "охранного с</w:t>
      </w:r>
      <w:r>
        <w:t>у</w:t>
      </w:r>
      <w:r>
        <w:t>дебного приказа", с тем чтобы положить конец насилию и не допустить его п</w:t>
      </w:r>
      <w:r>
        <w:t>о</w:t>
      </w:r>
      <w:r>
        <w:t>вторения в будущем.</w:t>
      </w:r>
    </w:p>
    <w:p w:rsidR="00000000" w:rsidRDefault="00000000">
      <w:pPr>
        <w:pStyle w:val="SingleTxt"/>
      </w:pPr>
      <w:r>
        <w:t>208.</w:t>
      </w:r>
      <w:r>
        <w:tab/>
        <w:t>Согласно Республиканскому закону 8505 Министерство юстиции приняло меморандум № 9 серии 1998 года относительно Руководящих указаний по ра</w:t>
      </w:r>
      <w:r>
        <w:t>с</w:t>
      </w:r>
      <w:r>
        <w:t>смотрению случаев изнасилования взрослых жертв. Предлагаемые меры пр</w:t>
      </w:r>
      <w:r>
        <w:t>е</w:t>
      </w:r>
      <w:r>
        <w:t>дусматривают, среди прочего, справедливое и уважительное обращение с взрослой жертвой изнасилования, назначение женщины-следователя во время первичного допроса, недопущение принятия доказательств, основанных на прошлом сексуальном поведении жертвы или ее репутации, если только такое доказательство не носит материального характера и не относится к данному случаю, запрет для участия общественности в предварительном следствии и т.д.</w:t>
      </w:r>
    </w:p>
    <w:p w:rsidR="00000000" w:rsidRDefault="00000000">
      <w:pPr>
        <w:pStyle w:val="SingleTxt"/>
      </w:pPr>
      <w:r>
        <w:t>209.</w:t>
      </w:r>
      <w:r>
        <w:tab/>
        <w:t>Верховный суд промульгировал Правовую норму о несовершеннолетних, вступивших в конфликт с законом. Она вступила в силу 15 апреля 2002 года. В нее включены положения из Конвенции о правах ребенка (КПР), Стандар</w:t>
      </w:r>
      <w:r>
        <w:t>т</w:t>
      </w:r>
      <w:r>
        <w:t>ных минимальных правил ООН об отправлении ювенального правосудия (П</w:t>
      </w:r>
      <w:r>
        <w:t>е</w:t>
      </w:r>
      <w:r>
        <w:t>кинские правила) и другие относящиеся к этому вопросу Стандартные правила ООН, такие, как освобождение из-под стражи под залог, процедуры замены уголовной ответственности альтернативными видами исправительного возде</w:t>
      </w:r>
      <w:r>
        <w:t>й</w:t>
      </w:r>
      <w:r>
        <w:t>ствия, а также обеспечение права несовершеннолетнего на частую жизнь, в том числе запрет на доступ средств массовой информации. Правила Верховного суда запрещают использование таких ярлыков или названий для несоверше</w:t>
      </w:r>
      <w:r>
        <w:t>н</w:t>
      </w:r>
      <w:r>
        <w:t>нолетних, как молодой преступник, малолетний правонарушитель, проститу</w:t>
      </w:r>
      <w:r>
        <w:t>т</w:t>
      </w:r>
      <w:r>
        <w:t>ка, бродяга, либо любые другие уничижительные обозначения. Верховный суд также издал Административное постановление № 04-2002 от 15 февраля 2002 года, в котором судьям предлагается вести на регулярной основе диалог с соответствующими должностными лицами правительства и посещать тюрьмы для проверки условий содержания заключенных, особенно задержанных нес</w:t>
      </w:r>
      <w:r>
        <w:t>о</w:t>
      </w:r>
      <w:r>
        <w:t>вершеннолетних.</w:t>
      </w:r>
    </w:p>
    <w:p w:rsidR="00000000" w:rsidRDefault="00000000">
      <w:pPr>
        <w:pStyle w:val="SingleTxt"/>
      </w:pPr>
      <w:r>
        <w:t>210.</w:t>
      </w:r>
      <w:r>
        <w:tab/>
        <w:t>Согласно Закону о семейных судах от 1997 года (Республиканский з</w:t>
      </w:r>
      <w:r>
        <w:t>а</w:t>
      </w:r>
      <w:r>
        <w:t>кон 8369) в крупных городах на всей территории страны создаются семейные суды, с тем чтобы использовать более активный подход к защите прав женщин и детей от семейного насилия и инцеста. К случаям, попадающим под юри</w:t>
      </w:r>
      <w:r>
        <w:t>с</w:t>
      </w:r>
      <w:r>
        <w:t xml:space="preserve">дикцию Закона, относятся нарушения Республиканского закона 7610 и случаи семейного насилия в отношении женщин и детей. Закон определяет насилие в семьях в отношении женщин как </w:t>
      </w:r>
      <w:r>
        <w:rPr>
          <w:i/>
        </w:rPr>
        <w:t>"акты насилия, связанные с половой прина</w:t>
      </w:r>
      <w:r>
        <w:rPr>
          <w:i/>
        </w:rPr>
        <w:t>д</w:t>
      </w:r>
      <w:r>
        <w:rPr>
          <w:i/>
        </w:rPr>
        <w:t>лежностью, которые приводят или могут привести к физической, сексуальной или психологической травме либо страданию женщин, а также другие формы физического насилия, такие, как избиение либо угрозы избиения, и принужд</w:t>
      </w:r>
      <w:r>
        <w:rPr>
          <w:i/>
        </w:rPr>
        <w:t>е</w:t>
      </w:r>
      <w:r>
        <w:rPr>
          <w:i/>
        </w:rPr>
        <w:t>ния, нарушающие личную неприкосновенность женщин и их свободу передв</w:t>
      </w:r>
      <w:r>
        <w:rPr>
          <w:i/>
        </w:rPr>
        <w:t>и</w:t>
      </w:r>
      <w:r>
        <w:rPr>
          <w:i/>
        </w:rPr>
        <w:t>жения"</w:t>
      </w:r>
      <w:r>
        <w:t xml:space="preserve">. С другой стороны, насилие в семье в отношении детей определяется как </w:t>
      </w:r>
      <w:r>
        <w:rPr>
          <w:i/>
        </w:rPr>
        <w:t>совершение всех форм злоупотреблений, пренебрежения, жестокого обр</w:t>
      </w:r>
      <w:r>
        <w:rPr>
          <w:i/>
        </w:rPr>
        <w:t>а</w:t>
      </w:r>
      <w:r>
        <w:rPr>
          <w:i/>
        </w:rPr>
        <w:t>щения, эксплуатации, насилия и дискриминации, а также совершение всех др</w:t>
      </w:r>
      <w:r>
        <w:rPr>
          <w:i/>
        </w:rPr>
        <w:t>у</w:t>
      </w:r>
      <w:r>
        <w:rPr>
          <w:i/>
        </w:rPr>
        <w:t>гих действий, препятствующих развитию детей</w:t>
      </w:r>
      <w:r>
        <w:t>. Подобные акты являются уголовно наказуемыми преступлениями, и для них предусматриваются соо</w:t>
      </w:r>
      <w:r>
        <w:t>т</w:t>
      </w:r>
      <w:r>
        <w:t>ветствующие наказания.</w:t>
      </w:r>
    </w:p>
    <w:p w:rsidR="00000000" w:rsidRDefault="00000000">
      <w:pPr>
        <w:pStyle w:val="SingleTxt"/>
      </w:pPr>
      <w:r>
        <w:t>211.</w:t>
      </w:r>
      <w:r>
        <w:tab/>
        <w:t>Согласно Республиканскому закону 8369 Верховный суд промульгировал Нормативное правило о допросе свидетеля ребенка, которое вступило в силу 15 декабря 2000 года. Цель данного правила – создать условия, которые позв</w:t>
      </w:r>
      <w:r>
        <w:t>о</w:t>
      </w:r>
      <w:r>
        <w:t>лят ребенку дать достоверные и полные свидетельские показания, свести до минимума возможность получения психологической травмы и создать макс</w:t>
      </w:r>
      <w:r>
        <w:t>и</w:t>
      </w:r>
      <w:r>
        <w:t>мально благоприятную среду для детей-свидетелей. Закон также уполномоч</w:t>
      </w:r>
      <w:r>
        <w:t>и</w:t>
      </w:r>
      <w:r>
        <w:t xml:space="preserve">вает судью назначать опекуна </w:t>
      </w:r>
      <w:r>
        <w:rPr>
          <w:i/>
        </w:rPr>
        <w:t>ad litem</w:t>
      </w:r>
      <w:r>
        <w:t>, переводчика, ассистента и помощника для ребенка во время судебного процесса. Аналогичным образом, закон позв</w:t>
      </w:r>
      <w:r>
        <w:t>о</w:t>
      </w:r>
      <w:r>
        <w:t>ляет использовать прямую телевизионную трансляцию для дачи свидетельских показаний либо использовать экраны, различные устройства и односторонние зеркала в тех случаях, когда возникает вероятность получения психологич</w:t>
      </w:r>
      <w:r>
        <w:t>е</w:t>
      </w:r>
      <w:r>
        <w:t>ской травмы ребенком в результате дачи свидетельских показаний в присутс</w:t>
      </w:r>
      <w:r>
        <w:t>т</w:t>
      </w:r>
      <w:r>
        <w:t>вии обвиняемого. Центр по правам человека в Атенео при помощи ЮНИСЕФ и Фонд развития Ассизи проводят просветительные семинары о назначении с</w:t>
      </w:r>
      <w:r>
        <w:t>у</w:t>
      </w:r>
      <w:r>
        <w:t>дом специальных адвокатов/опекунов Ad Litem в различных судебных реги</w:t>
      </w:r>
      <w:r>
        <w:t>о</w:t>
      </w:r>
      <w:r>
        <w:t>нах.</w:t>
      </w:r>
    </w:p>
    <w:p w:rsidR="00000000" w:rsidRDefault="00000000">
      <w:pPr>
        <w:pStyle w:val="SingleTxt"/>
      </w:pPr>
      <w:r>
        <w:t>212.</w:t>
      </w:r>
      <w:r>
        <w:tab/>
        <w:t>На местном уровне город Себу Сити и провинциальные органы власти показали, что местные законодательные органы могут использовать свои зак</w:t>
      </w:r>
      <w:r>
        <w:t>о</w:t>
      </w:r>
      <w:r>
        <w:t>нодательные полномочия для решения проблемы насилия в семьях, если этого захотят представители власти. Муниципальный совет города Себу Сити, а также провинциальный совет приняли декреты, предусматривающие наказ</w:t>
      </w:r>
      <w:r>
        <w:t>а</w:t>
      </w:r>
      <w:r>
        <w:t>ние виновных в совершении насилия в семьях, а также меры защиты для же</w:t>
      </w:r>
      <w:r>
        <w:t>н</w:t>
      </w:r>
      <w:r>
        <w:t>щин и детей, являющихся жертвами насилия. Среди отличительных особенн</w:t>
      </w:r>
      <w:r>
        <w:t>о</w:t>
      </w:r>
      <w:r>
        <w:t>стей декрета, принятого в провинции, является "постановление о защите б</w:t>
      </w:r>
      <w:r>
        <w:t>а</w:t>
      </w:r>
      <w:r>
        <w:t>рангайа", которое может быть вынесено председателем барангайа по просьбе жертвы насилия. Постановление о защите позволяет местным должностным лицам "выселять (виновного в совершении насилия) из места проживания п</w:t>
      </w:r>
      <w:r>
        <w:t>о</w:t>
      </w:r>
      <w:r>
        <w:t>страдавшего лица, не допуская временного нахождения виновного в месте проживания жертвы в целях ее защиты, независимо от того, кто владеет местом проживания". Данное постановление представляется необходимым, поскольку обычно жена и дети вынуждены уходить из дома, в котором они проживают, с тем чтобы избежать насилия со стороны мужа (Хименес-Давид, 2002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Другие меры для борьбы с насилием в отношении женщин и детей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213.</w:t>
      </w:r>
      <w:r>
        <w:tab/>
        <w:t>В 2000 году Верховный суд начал осуществление реформы судебной до</w:t>
      </w:r>
      <w:r>
        <w:t>к</w:t>
      </w:r>
      <w:r>
        <w:t xml:space="preserve">трины и судопроизводства. В этой работе он руководствовался </w:t>
      </w:r>
      <w:r>
        <w:rPr>
          <w:i/>
        </w:rPr>
        <w:t>Программой действий по проведению судебной реформы, 2001-2006 годы</w:t>
      </w:r>
      <w:r>
        <w:t xml:space="preserve"> (Верховный суд 2000), более известной под названием "Дэвайд Воч", согласно которой си</w:t>
      </w:r>
      <w:r>
        <w:t>с</w:t>
      </w:r>
      <w:r>
        <w:t>тема отправления правосудия по семейным вопросам, в том числе по вопросам насилия в семьях, должна быть справедливой, беспристрастной, недорогой и эффективной.</w:t>
      </w:r>
    </w:p>
    <w:p w:rsidR="00000000" w:rsidRDefault="00000000">
      <w:pPr>
        <w:pStyle w:val="SingleTxt"/>
      </w:pPr>
      <w:r>
        <w:t>214.</w:t>
      </w:r>
      <w:r>
        <w:tab/>
        <w:t>В 2003 году Верховный суд в качестве основного судебного органа обр</w:t>
      </w:r>
      <w:r>
        <w:t>а</w:t>
      </w:r>
      <w:r>
        <w:t>зовал Комитет судебной власти, учитывающий гендерные факторы (КСВГФ), который будет планировать и возглавлять кампанию, направленную на то, чт</w:t>
      </w:r>
      <w:r>
        <w:t>о</w:t>
      </w:r>
      <w:r>
        <w:t>бы в судебной системе лучше учитывать проблемы женщин и гендерные в</w:t>
      </w:r>
      <w:r>
        <w:t>о</w:t>
      </w:r>
      <w:r>
        <w:t>просы. Первоначальные результаты этих усилий находят отражение в пост</w:t>
      </w:r>
      <w:r>
        <w:t>а</w:t>
      </w:r>
      <w:r>
        <w:t>новлении Верховного суда по делу Дженоза, в котором "синдром жены, по</w:t>
      </w:r>
      <w:r>
        <w:t>д</w:t>
      </w:r>
      <w:r>
        <w:t>вергшейся избиению" был признан в качестве смягчающего обстоятельства (но не как обстоятельство, освобождающее от ответственности), что позволило не только отменить смертный приговор, но и освободить обвиняемую, поскольку она отбыла минимальное наказание, вынесенное по ее делу.</w:t>
      </w:r>
    </w:p>
    <w:p w:rsidR="00000000" w:rsidRDefault="00000000">
      <w:pPr>
        <w:pStyle w:val="SingleTxt"/>
      </w:pPr>
      <w:r>
        <w:t>215.</w:t>
      </w:r>
      <w:r>
        <w:tab/>
        <w:t>Реабилитационный проект для женщин, находящихся в особо тяжелых обстоятельствах, Министерства социального обеспечения позволяет предост</w:t>
      </w:r>
      <w:r>
        <w:t>а</w:t>
      </w:r>
      <w:r>
        <w:t>вить временную помощь и услуги по реабилитации женщинам – жертвам н</w:t>
      </w:r>
      <w:r>
        <w:t>е</w:t>
      </w:r>
      <w:r>
        <w:t>добровольной или принудительной проституции, незаконного найма на работу или избиения, сексуальных надругательств, а также пострадавшим в воор</w:t>
      </w:r>
      <w:r>
        <w:t>у</w:t>
      </w:r>
      <w:r>
        <w:t>женном конфликте и находящимся под стражей. Дома под общим названием "Приют", 13 из которых функционируют на территории страны, предоставляют возможности для проживания, получения питания, медицинского обслужив</w:t>
      </w:r>
      <w:r>
        <w:t>а</w:t>
      </w:r>
      <w:r>
        <w:t>ния и психологической помощи; в них можно получить юридические, психиа</w:t>
      </w:r>
      <w:r>
        <w:t>т</w:t>
      </w:r>
      <w:r>
        <w:t>рические и другие услуги, необходимые для скорейшего выздоровления жертв; а также пройти обучение профессиям, позволяющим зарабатывать средства к существованию.</w:t>
      </w:r>
    </w:p>
    <w:p w:rsidR="00000000" w:rsidRDefault="00000000">
      <w:pPr>
        <w:pStyle w:val="SingleTxt"/>
      </w:pPr>
      <w:r>
        <w:t>216.</w:t>
      </w:r>
      <w:r>
        <w:tab/>
        <w:t>Министерство социального обеспечения также руководит работой ант</w:t>
      </w:r>
      <w:r>
        <w:t>и</w:t>
      </w:r>
      <w:r>
        <w:t>кризисных пунктов во всех 15 регионах страны. В пунктах существует раб</w:t>
      </w:r>
      <w:r>
        <w:t>о</w:t>
      </w:r>
      <w:r>
        <w:t>тающая 24 часа "горячая" линия связи, которая позволяет получать консульт</w:t>
      </w:r>
      <w:r>
        <w:t>а</w:t>
      </w:r>
      <w:r>
        <w:t>ции по телефону, осуществлять спасательные операции, направлять жертвы в соответствующие учреждения и оказывать другие виды поддержки. Женщины и девочки, пострадавшие от насилия, в том числе от инцеста, могут найти пр</w:t>
      </w:r>
      <w:r>
        <w:t>и</w:t>
      </w:r>
      <w:r>
        <w:t>бежище в любом из 12 домов-приютов для девочек, в 12 центрах приема и уч</w:t>
      </w:r>
      <w:r>
        <w:t>е</w:t>
      </w:r>
      <w:r>
        <w:t xml:space="preserve">бы для детей и в четырех центрах </w:t>
      </w:r>
      <w:r>
        <w:rPr>
          <w:i/>
        </w:rPr>
        <w:t>Лингапа</w:t>
      </w:r>
      <w:r>
        <w:t xml:space="preserve"> (или заботы), которые работают на территории страны. Эти центры предоставляют полный набор услуг, начиная от постановки диагноза по каждому конкретному случаю и его изучения до о</w:t>
      </w:r>
      <w:r>
        <w:t>р</w:t>
      </w:r>
      <w:r>
        <w:t>ганизации неформального досуга для отдельных лиц и групп лиц с целью их лечения и реабилитации. Также оказываются услуги по формальному школ</w:t>
      </w:r>
      <w:r>
        <w:t>ь</w:t>
      </w:r>
      <w:r>
        <w:t>ному обучению и заочным формам обучения или обучению профессиям. Усл</w:t>
      </w:r>
      <w:r>
        <w:t>у</w:t>
      </w:r>
      <w:r>
        <w:t>ги по охране здоровья, а также психологическая или психиатрическая помощь вместе с восстановительными спортивными и другими с</w:t>
      </w:r>
      <w:r>
        <w:t>о</w:t>
      </w:r>
      <w:r>
        <w:t>циально-культурными мероприятиями дополняют общую картину предоставляемых у</w:t>
      </w:r>
      <w:r>
        <w:t>с</w:t>
      </w:r>
      <w:r>
        <w:t>луг.</w:t>
      </w:r>
    </w:p>
    <w:p w:rsidR="00000000" w:rsidRDefault="00000000">
      <w:pPr>
        <w:pStyle w:val="SingleTxt"/>
      </w:pPr>
      <w:r>
        <w:t>217.</w:t>
      </w:r>
      <w:r>
        <w:tab/>
        <w:t>Министерство здравоохранения обязало выполнять Программу защиты женщин и детей во всех 44 госпиталях страны. Так называемые Отделы по з</w:t>
      </w:r>
      <w:r>
        <w:t>а</w:t>
      </w:r>
      <w:r>
        <w:t>щите женщин и детей (ОЗЖД) работают 24 часа в сутки и в своей деятельн</w:t>
      </w:r>
      <w:r>
        <w:t>о</w:t>
      </w:r>
      <w:r>
        <w:t>сти следуют подходу, основанному на быстром реагировании, что позволяет им предоставлять персонализированную и всеобъемлющую медицинскую помощь жертвам насилия. В сотрудничестве с Отделом по защите детей, Женским о</w:t>
      </w:r>
      <w:r>
        <w:t>т</w:t>
      </w:r>
      <w:r>
        <w:t>делением Центрального госпиталя Филиппин и Университета Филиппин М</w:t>
      </w:r>
      <w:r>
        <w:t>и</w:t>
      </w:r>
      <w:r>
        <w:t>нистертво здравоохранения разработало программу обучения для докторов ОЗДЖ для того, чтобы квалифицированно и деликатно удовлетворять потре</w:t>
      </w:r>
      <w:r>
        <w:t>б</w:t>
      </w:r>
      <w:r>
        <w:t>ности женщин и детей, ставших жертвами насилия. Программа обучения также позволяет докторам заниматься судебной медициной для того, чтобы они могли давать свидетельские показания, а также выступать в качестве свидетелей эк</w:t>
      </w:r>
      <w:r>
        <w:t>с</w:t>
      </w:r>
      <w:r>
        <w:t>пертов в суде.</w:t>
      </w:r>
    </w:p>
    <w:p w:rsidR="00000000" w:rsidRDefault="00000000">
      <w:pPr>
        <w:pStyle w:val="SingleTxt"/>
      </w:pPr>
      <w:r>
        <w:t>218.</w:t>
      </w:r>
      <w:r>
        <w:tab/>
        <w:t>В 2002 году местные советы и советы барангайев по защите детей, обр</w:t>
      </w:r>
      <w:r>
        <w:t>а</w:t>
      </w:r>
      <w:r>
        <w:t>зованные согласно Кодексу об обеспечении благосостояния детей и молодежи 1974 года, существуют в 3 354 барангайах страны. В 1997 году Министерство внутренних дел и местных органов власти усилило эти советы, обучив их б</w:t>
      </w:r>
      <w:r>
        <w:t>у</w:t>
      </w:r>
      <w:r>
        <w:t>дущих членов и должностных лиц барангайев тому, как проводить семинары по планированию и предо</w:t>
      </w:r>
      <w:r>
        <w:t>с</w:t>
      </w:r>
      <w:r>
        <w:t>тавлению консультаций.</w:t>
      </w:r>
    </w:p>
    <w:p w:rsidR="00000000" w:rsidRDefault="00000000">
      <w:pPr>
        <w:pStyle w:val="SingleTxt"/>
      </w:pPr>
      <w:r>
        <w:t>219.</w:t>
      </w:r>
      <w:r>
        <w:tab/>
        <w:t>Различные учреждения, занимающиеся правоохранительной деятельн</w:t>
      </w:r>
      <w:r>
        <w:t>о</w:t>
      </w:r>
      <w:r>
        <w:t>стью, имеют собственные подразделения для решения проблемы насилия в о</w:t>
      </w:r>
      <w:r>
        <w:t>т</w:t>
      </w:r>
      <w:r>
        <w:t>ношении женщин и детей. Отдел по борьбе с насилием в отношении женщин и детей при Национальном бюро расследований занимается расследованием дел и обеспечением защиты, а также дает консультации, оказывает медицинскую помощь и проводит медосмотр, предоставляет убежище детям, ставшим жер</w:t>
      </w:r>
      <w:r>
        <w:t>т</w:t>
      </w:r>
      <w:r>
        <w:t>вами растления, изнасилования или наркомании. В Министерстве юстиции Ц</w:t>
      </w:r>
      <w:r>
        <w:t>е</w:t>
      </w:r>
      <w:r>
        <w:t>левая группа по защите детей расследует, привлекает к ответственности и в</w:t>
      </w:r>
      <w:r>
        <w:t>ы</w:t>
      </w:r>
      <w:r>
        <w:t>ступает в качестве стороны во время судебных разбирательств по делам, св</w:t>
      </w:r>
      <w:r>
        <w:t>я</w:t>
      </w:r>
      <w:r>
        <w:t>занным с жестоким обращением с детьми или их эксплуатацией. Во всех пол</w:t>
      </w:r>
      <w:r>
        <w:t>и</w:t>
      </w:r>
      <w:r>
        <w:t>цейских участках в настоящее время есть Отделения по защите интересов женщин и детей. Укомплектованные главным образом женщинами-офицерами полиции, именно в эти отделения поступают жалобы от потерпевших. На к</w:t>
      </w:r>
      <w:r>
        <w:t>о</w:t>
      </w:r>
      <w:r>
        <w:t>нец 2001 года Филиппинская национальная полиция создала 1 612 отделений по защите интересов женщин и детей в полицейских участках всей страны, в них работают 2 138 женщин и 405 мужчин.</w:t>
      </w:r>
    </w:p>
    <w:p w:rsidR="00000000" w:rsidRDefault="00000000">
      <w:pPr>
        <w:pStyle w:val="SingleTxt"/>
      </w:pPr>
      <w:r>
        <w:t>220.</w:t>
      </w:r>
      <w:r>
        <w:tab/>
        <w:t>Предпринимаются различные меры для того, чтобы укрепить потенциал тех учреждений, которые по долгу службы занимаются вопросами прав чел</w:t>
      </w:r>
      <w:r>
        <w:t>о</w:t>
      </w:r>
      <w:r>
        <w:t>века. В частности, предпринимаются следующие усилия:</w:t>
      </w:r>
    </w:p>
    <w:p w:rsidR="00000000" w:rsidRDefault="00000000">
      <w:pPr>
        <w:pStyle w:val="SingleTxt"/>
        <w:ind w:left="1740" w:right="1264" w:hanging="476"/>
      </w:pPr>
      <w:r>
        <w:t>а)</w:t>
      </w:r>
      <w:r>
        <w:tab/>
        <w:t>Министерство внутренних дел и местных органов власти оказало помощь в создании женских групп на уровне общин во всех 19 муниципалитетах и в одном городе (Сан-Фернандо Сити) в провинции Ла Юнион. Работа этих групп с подразделениями местных органов власти в этой области включает в себя повышение квалификации местных общинных групп, з</w:t>
      </w:r>
      <w:r>
        <w:t>а</w:t>
      </w:r>
      <w:r>
        <w:t>нимающихся вопросами насилия в отношении женщин и детей (НОЖД), оказание помощи должностным лицам барангайев и женских организаций для лучшего понимания ими гендерной тематики и вопросов, связанных с насилием в отношении женщин и детей (НОЖД), а также проведение ра</w:t>
      </w:r>
      <w:r>
        <w:t>з</w:t>
      </w:r>
      <w:r>
        <w:t>личных семинаров и других мероприятий с целью разработки стратегич</w:t>
      </w:r>
      <w:r>
        <w:t>е</w:t>
      </w:r>
      <w:r>
        <w:t>ских механизмов для решения вопросов, связанных с НОЖД.</w:t>
      </w:r>
    </w:p>
    <w:p w:rsidR="00000000" w:rsidRDefault="00000000">
      <w:pPr>
        <w:pStyle w:val="SingleTxt"/>
        <w:ind w:left="1740" w:right="1264" w:hanging="476"/>
      </w:pPr>
      <w:r>
        <w:t>b)</w:t>
      </w:r>
      <w:r>
        <w:tab/>
        <w:t>Министерство здравоохранения в сотрудничестве с Национальной коми</w:t>
      </w:r>
      <w:r>
        <w:t>с</w:t>
      </w:r>
      <w:r>
        <w:t>сией по вопросу о роли филиппинских женщин (НКРФЖ), Кризисным центром для женщин (КЦЖ) и Медицинским центром Восточной авеню стали инициаторами проекта по преодолению кризиса с помощью поте</w:t>
      </w:r>
      <w:r>
        <w:t>н</w:t>
      </w:r>
      <w:r>
        <w:t>циала госпиталей для женщин, пострадавших в результате воздействия жестокой среды, также известного под названием Проект ХЕЙВЕН, с тем чтобы убедиться в эффективности работы правительственных центров л</w:t>
      </w:r>
      <w:r>
        <w:t>е</w:t>
      </w:r>
      <w:r>
        <w:t>чения при госпиталях для жертв НОЖ. Этот проект также предусматрив</w:t>
      </w:r>
      <w:r>
        <w:t>а</w:t>
      </w:r>
      <w:r>
        <w:t>ет разработку протоколов для обеспечения должного ухода за жертвами НОЖ в различных правительственных учреждениях, а также видеорук</w:t>
      </w:r>
      <w:r>
        <w:t>о</w:t>
      </w:r>
      <w:r>
        <w:t>водства для создания кризисных центров в госпиталях.</w:t>
      </w:r>
    </w:p>
    <w:p w:rsidR="00000000" w:rsidRDefault="00000000">
      <w:pPr>
        <w:pStyle w:val="SingleTxt"/>
      </w:pPr>
      <w:r>
        <w:t>221.</w:t>
      </w:r>
      <w:r>
        <w:tab/>
        <w:t>Предпринимались также следующие усилия для проведения просвет</w:t>
      </w:r>
      <w:r>
        <w:t>и</w:t>
      </w:r>
      <w:r>
        <w:t>тельной работы среди общес</w:t>
      </w:r>
      <w:r>
        <w:t>т</w:t>
      </w:r>
      <w:r>
        <w:t>венности и в системе правосудия:</w:t>
      </w:r>
    </w:p>
    <w:p w:rsidR="00000000" w:rsidRDefault="00000000">
      <w:pPr>
        <w:pStyle w:val="SingleTxt"/>
        <w:ind w:left="1740" w:right="1264" w:hanging="476"/>
      </w:pPr>
      <w:r>
        <w:t>а)</w:t>
      </w:r>
      <w:r>
        <w:tab/>
        <w:t>Филиппинская юридическая академия провела семинары по вопросам гендерной проблематики для обвинителей и судей (1999 год); разработала программу, учитывающую гендерную проблематику, для пяти основных подразделений системы уголовного правосудия (2000 год); провела в</w:t>
      </w:r>
      <w:r>
        <w:t>о</w:t>
      </w:r>
      <w:r>
        <w:t>семь многосекторальных семинаров об отношениях между ювенальным правосудием и государством (с сентября 2000 года по октябрь 2001 года); а также юридический семинар по "Осуществлению экономических, соц</w:t>
      </w:r>
      <w:r>
        <w:t>и</w:t>
      </w:r>
      <w:r>
        <w:t>альных и культурных прав" (12</w:t>
      </w:r>
      <w:r>
        <w:noBreakHyphen/>
        <w:t>14 сентября 2001 года). В качестве пар</w:t>
      </w:r>
      <w:r>
        <w:t>т</w:t>
      </w:r>
      <w:r>
        <w:t>неров выступили Институт судебного правосудия, НПО "Использование самостоятельных инициатив", ЮНИСЕФ, ПРООН, Верховный Комиссар ООН по правам человека и Фонд Форда.</w:t>
      </w:r>
    </w:p>
    <w:p w:rsidR="00000000" w:rsidRDefault="00000000">
      <w:pPr>
        <w:pStyle w:val="SingleTxt"/>
        <w:ind w:left="1740" w:right="1264" w:hanging="476"/>
      </w:pPr>
      <w:r>
        <w:t>b)</w:t>
      </w:r>
      <w:r>
        <w:tab/>
        <w:t>Ряд министерств координировали свои усилия, мобилизуя средства ма</w:t>
      </w:r>
      <w:r>
        <w:t>с</w:t>
      </w:r>
      <w:r>
        <w:t xml:space="preserve">совой информации в общественной кампании по поощрению и защите прав ребенка, а также в кампании против жестокого обращения с детьми. В координации с Министерствами социального обеспечения и туризма, а также со средствами массовой информации Министерство образования организовало </w:t>
      </w:r>
      <w:r>
        <w:rPr>
          <w:i/>
        </w:rPr>
        <w:t>Бантай Эсквела</w:t>
      </w:r>
      <w:r>
        <w:t xml:space="preserve"> (школьный контроль) в средних школах в 1998 году и </w:t>
      </w:r>
      <w:r>
        <w:rPr>
          <w:i/>
        </w:rPr>
        <w:t>Биколь Бантай Бата</w:t>
      </w:r>
      <w:r>
        <w:t xml:space="preserve"> (детский контроль) в 1999 году, заним</w:t>
      </w:r>
      <w:r>
        <w:t>а</w:t>
      </w:r>
      <w:r>
        <w:t>лось распространением информационных материалов и провело форум, посвященный изображению девочек в материалах средств массовой и</w:t>
      </w:r>
      <w:r>
        <w:t>н</w:t>
      </w:r>
      <w:r>
        <w:t>формации. Национальная комиссия по делам молодежи разработала пр</w:t>
      </w:r>
      <w:r>
        <w:t>о</w:t>
      </w:r>
      <w:r>
        <w:t>ект "Молодежь говорит", для того чтобы договориться с работниками средств массовой информации о создании в этих средствах более благ</w:t>
      </w:r>
      <w:r>
        <w:t>о</w:t>
      </w:r>
      <w:r>
        <w:t>приятных условий для отражения мировоззрения молодежи, их чаяний и для повышения их благосостояния. "Молодежь говорит" позволила пр</w:t>
      </w:r>
      <w:r>
        <w:t>о</w:t>
      </w:r>
      <w:r>
        <w:t>вести диалог между 100 студентами/ руководителями молодежи и сотру</w:t>
      </w:r>
      <w:r>
        <w:t>д</w:t>
      </w:r>
      <w:r>
        <w:t>никами средств массовой информации. Комиссия также создала кинем</w:t>
      </w:r>
      <w:r>
        <w:t>а</w:t>
      </w:r>
      <w:r>
        <w:t xml:space="preserve">тографическую молодежную сеть </w:t>
      </w:r>
      <w:r>
        <w:rPr>
          <w:i/>
        </w:rPr>
        <w:t>Бантай</w:t>
      </w:r>
      <w:r>
        <w:t xml:space="preserve"> для выполнения функций ко</w:t>
      </w:r>
      <w:r>
        <w:t>н</w:t>
      </w:r>
      <w:r>
        <w:t>тр</w:t>
      </w:r>
      <w:r>
        <w:t>о</w:t>
      </w:r>
      <w:r>
        <w:t>ля в различных районах страны.</w:t>
      </w:r>
    </w:p>
    <w:p w:rsidR="00000000" w:rsidRDefault="00000000">
      <w:pPr>
        <w:pStyle w:val="SingleTxt"/>
        <w:ind w:left="1740" w:right="1264" w:hanging="476"/>
      </w:pPr>
      <w:r>
        <w:rPr>
          <w:lang w:val="en-US"/>
        </w:rPr>
        <w:t>c</w:t>
      </w:r>
      <w:r>
        <w:t>)</w:t>
      </w:r>
      <w:r>
        <w:tab/>
        <w:t>Проект Министерства социального обеспечения об оказании помощи пр</w:t>
      </w:r>
      <w:r>
        <w:t>е</w:t>
      </w:r>
      <w:r>
        <w:t>старелым (бабушкам) в кризисных ситуациях ставит задачу восстановл</w:t>
      </w:r>
      <w:r>
        <w:t>е</w:t>
      </w:r>
      <w:r>
        <w:t>ния высокой самооценки женщин, которые в прошлом были уверены в с</w:t>
      </w:r>
      <w:r>
        <w:t>е</w:t>
      </w:r>
      <w:r>
        <w:t>бе, путем предоставления им психологической поддержки и финансовой помощи для удовлетворения их основных потребностей. Проект был з</w:t>
      </w:r>
      <w:r>
        <w:t>а</w:t>
      </w:r>
      <w:r>
        <w:t>вершен в декабре 2002 года.</w:t>
      </w:r>
    </w:p>
    <w:p w:rsidR="00000000" w:rsidRDefault="00000000">
      <w:pPr>
        <w:pStyle w:val="SingleTxt"/>
        <w:ind w:left="1740" w:right="1264" w:hanging="476"/>
      </w:pPr>
      <w:r>
        <w:t>d)</w:t>
      </w:r>
      <w:r>
        <w:tab/>
        <w:t>Местные органы власти и представители общин могут также многому научиться из типового руководства, которое было опубликовано в соо</w:t>
      </w:r>
      <w:r>
        <w:t>т</w:t>
      </w:r>
      <w:r>
        <w:t>ветствии с проектом Программы поддержки местного самоуправления при финансовом содействии Канадского агентства международного ра</w:t>
      </w:r>
      <w:r>
        <w:t>з</w:t>
      </w:r>
      <w:r>
        <w:t>вития (СИДА), с тем чтобы помочь местным органам самоуправления разработать меры по борьбе с насилием в отношении женщин. Озагла</w:t>
      </w:r>
      <w:r>
        <w:t>в</w:t>
      </w:r>
      <w:r>
        <w:t xml:space="preserve">ленное </w:t>
      </w:r>
      <w:r>
        <w:rPr>
          <w:i/>
        </w:rPr>
        <w:t>Свобода от страха: создание группы быстрого реагирования для борьбы с насилием в отношении женщин</w:t>
      </w:r>
      <w:r>
        <w:t xml:space="preserve"> (ППМС 2003 года), руководство состоит из ряда учебных пособий, разработанных на основе опыта работы Группы быстрого реагирования с неблагополучными женщинами запа</w:t>
      </w:r>
      <w:r>
        <w:t>д</w:t>
      </w:r>
      <w:r>
        <w:t xml:space="preserve">ной части Негрос, а также COMBAT-VAW (борьба с НОЖ), кризисных центров для женщин, а также опыта других видов деятельности по борьбе с НОЖ на уровне общин. В этой работе </w:t>
      </w:r>
      <w:r>
        <w:rPr>
          <w:i/>
        </w:rPr>
        <w:t>Свобода от страха</w:t>
      </w:r>
      <w:r>
        <w:t xml:space="preserve"> предлагается широкий диапазон возможных инструментов и моделей, которые могут быть изучены и использованы местными органами сам</w:t>
      </w:r>
      <w:r>
        <w:t>о</w:t>
      </w:r>
      <w:r>
        <w:t>управления.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Программы НПО по борьбе с НОЖД</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222.</w:t>
      </w:r>
      <w:r>
        <w:tab/>
        <w:t>Сообщество НПО заслуживает высокой оценки не только за то, что в</w:t>
      </w:r>
      <w:r>
        <w:t>о</w:t>
      </w:r>
      <w:r>
        <w:t>прос насилия в семьях поднимается до общенационального уровня, но также и за то, что оно оказывает необходимые услуги задолго до того, как правительс</w:t>
      </w:r>
      <w:r>
        <w:t>т</w:t>
      </w:r>
      <w:r>
        <w:t>во признает их значимость. Многие общинные программы НПО по оказанию помощи женщинам – жертвам насилия взяты на вооружение и воспроизведены национальными правительственными учреждениями и местными органами с</w:t>
      </w:r>
      <w:r>
        <w:t>а</w:t>
      </w:r>
      <w:r>
        <w:t>моуправления. Среди них COMBAT-VAW (общинный подход к борьбе с нас</w:t>
      </w:r>
      <w:r>
        <w:t>и</w:t>
      </w:r>
      <w:r>
        <w:t>лием в отношении женщин), который был впервые предложен Женской юрид</w:t>
      </w:r>
      <w:r>
        <w:t>и</w:t>
      </w:r>
      <w:r>
        <w:t>ческой консультацией и НПО Группа самопомощи (ГС) и который был адапт</w:t>
      </w:r>
      <w:r>
        <w:t>и</w:t>
      </w:r>
      <w:r>
        <w:t>рован к своим потребностям местными органами самоуправления в городе К</w:t>
      </w:r>
      <w:r>
        <w:t>е</w:t>
      </w:r>
      <w:r>
        <w:t xml:space="preserve">сон-Сити. Лихок Филипина </w:t>
      </w:r>
      <w:r>
        <w:rPr>
          <w:i/>
        </w:rPr>
        <w:t>Бантай Банай</w:t>
      </w:r>
      <w:r>
        <w:t xml:space="preserve"> (или "общинный контрольный м</w:t>
      </w:r>
      <w:r>
        <w:t>е</w:t>
      </w:r>
      <w:r>
        <w:t>ханизм") является основным элементом программы борьбы с насилием в сем</w:t>
      </w:r>
      <w:r>
        <w:t>ь</w:t>
      </w:r>
      <w:r>
        <w:t>ях в городе С</w:t>
      </w:r>
      <w:r>
        <w:t>е</w:t>
      </w:r>
      <w:r>
        <w:t>бу-Сити.</w:t>
      </w:r>
    </w:p>
    <w:p w:rsidR="00000000" w:rsidRDefault="00000000">
      <w:pPr>
        <w:pStyle w:val="SingleTxt"/>
      </w:pPr>
      <w:r>
        <w:t>223.</w:t>
      </w:r>
      <w:r>
        <w:tab/>
        <w:t>СИБОЛ – это союз девяти женских групп и НПО, который продолжает самым активным образом содействовать принятию законодательства, относ</w:t>
      </w:r>
      <w:r>
        <w:t>я</w:t>
      </w:r>
      <w:r>
        <w:t>щегося к женщинам. Он успешным образом способствовал принятию Закона о борьбе с сексуальными домогательствами, Закона о борьбе с изнасилованиями и Закона о борьбе с насилием в отношении женщин и их детей. Последний из перечисленных законов основывался на предлагаемом им законопроекте о борьбе с жестоким обращением с женщинами в интимных взаимоотношениях. Членами СИБОЛ являются Кризисный центр для женщин (КЦЖ), Центр по развитию законодательства (ЦРЗ), Женская юридическая консультация (ЖЮК), Охрана здоровья женщины, Институт социальных исследований и действий (ИСИД), Женская организация по вопросам образования, развития производ</w:t>
      </w:r>
      <w:r>
        <w:t>и</w:t>
      </w:r>
      <w:r>
        <w:t>тельности и проведения исследований, МАКАЛАЙЯ и Сарилайя.</w:t>
      </w:r>
    </w:p>
    <w:p w:rsidR="00000000" w:rsidRDefault="00000000">
      <w:pPr>
        <w:pStyle w:val="SingleTxt"/>
      </w:pPr>
      <w:r>
        <w:t>224.</w:t>
      </w:r>
      <w:r>
        <w:tab/>
        <w:t>Кризисный центр для женщин (КЦЖ), первый кризисный центр для жертв НОЖ на Филиппинах в 1997 году начал осуществление своей Национальной сетевой программы предотвращения насилия в семьях в 18 городах и муниц</w:t>
      </w:r>
      <w:r>
        <w:t>и</w:t>
      </w:r>
      <w:r>
        <w:t xml:space="preserve">палитетах всей страны. Эта стратегия предназначена для общин, и ее цель – подготовить членов семьи к защите от насилия, чтобы они старались мирным путем урегулировать конфликты в семейных отношениях. Задача программы – организовать и мобилизовать многочисленные группы активистов различных организаций для предотвращения насилия в семьях от регионального уровня до уровня барангайев. В "крестовом походе" против НОЖД также участвуют три юридические группы – САЛИГАН </w:t>
      </w:r>
      <w:r>
        <w:rPr>
          <w:i/>
        </w:rPr>
        <w:t>(Sentro ng Alternatibong Lingap Panlegal)</w:t>
      </w:r>
      <w:r>
        <w:t xml:space="preserve"> и Женская юридическая консультация, а также КАЛАКАСАН </w:t>
      </w:r>
      <w:r>
        <w:rPr>
          <w:i/>
        </w:rPr>
        <w:t>(Kababaihan L</w:t>
      </w:r>
      <w:r>
        <w:rPr>
          <w:i/>
        </w:rPr>
        <w:t>a</w:t>
      </w:r>
      <w:r>
        <w:rPr>
          <w:i/>
        </w:rPr>
        <w:t>ban sa Karahasan)</w:t>
      </w:r>
      <w:r>
        <w:t xml:space="preserve">, НПО, предоставляющие убежище и консультации. Эти группы оказывают комплекс услуг с целью оказания помощи женщинам – жертвам насилия. Еще одна инициатива носит название </w:t>
      </w:r>
      <w:r>
        <w:rPr>
          <w:i/>
        </w:rPr>
        <w:t>Tigil-Bugbog</w:t>
      </w:r>
      <w:r>
        <w:t xml:space="preserve"> (Прекр</w:t>
      </w:r>
      <w:r>
        <w:t>а</w:t>
      </w:r>
      <w:r>
        <w:t>тить избиение жен) и включают в себя "горячую" линию для консультаций, женские классы для овладения навыками самообороны и обучение членов о</w:t>
      </w:r>
      <w:r>
        <w:t>б</w:t>
      </w:r>
      <w:r>
        <w:t>щин основам юридических знаний. Как часть региональной сети активистов, пропагандирующих КЛДЖ, группы сотрудничали в проведении исследований для установления основополагающего статуса прав женщин в борьбе с НОЖ. Они также пытались добросовестно регистрировать своих клиентов и оказ</w:t>
      </w:r>
      <w:r>
        <w:t>ы</w:t>
      </w:r>
      <w:r>
        <w:t>ваемые им услуги для сбора данных о масштабе и характере насилия, сове</w:t>
      </w:r>
      <w:r>
        <w:t>р</w:t>
      </w:r>
      <w:r>
        <w:t>шаемого в отношении женщин. По сообщениям КЦЖ, в 1999 году примерно 64 процента обратившихся к ним лиц были женщины, подвергнутые избиению; 9 процентов – жертвы изнасилования или инцеста и 6 процентов – жертвы се</w:t>
      </w:r>
      <w:r>
        <w:t>к</w:t>
      </w:r>
      <w:r>
        <w:t>суальных домогательств.</w:t>
      </w:r>
    </w:p>
    <w:p w:rsidR="00000000" w:rsidRDefault="00000000">
      <w:pPr>
        <w:pStyle w:val="SingleTxt"/>
      </w:pPr>
      <w:r>
        <w:t>225.</w:t>
      </w:r>
      <w:r>
        <w:tab/>
        <w:t>Фонд Вайн представляет собой консорциум, состоящий из пяти НПО (Фонд Бидлисив, Фонд НОРФИЛ, Видение мира, Правовые альтернативы для женщин и Детское юридическое бюро), работает в городах Мандауе и Лапу-лапу, а также городах Кордова и Консоласьон в провинции Себу. Комплексные программы развития семьи Фонда включают в себя вопросы общественного движения, обучения, юридической поддержки и оказания материальной пом</w:t>
      </w:r>
      <w:r>
        <w:t>о</w:t>
      </w:r>
      <w:r>
        <w:t>щи. Фонд планирует создать центр преодоления кризисных ситуаций для пр</w:t>
      </w:r>
      <w:r>
        <w:t>е</w:t>
      </w:r>
      <w:r>
        <w:t>доставления временного убежища, а также оказывать психологическую и пр</w:t>
      </w:r>
      <w:r>
        <w:t>а</w:t>
      </w:r>
      <w:r>
        <w:t>вовую поддержку женщинам и детям – жертвам жестокого обращения, однако материальная помощь будет и впредь оставаться основной функцией Фонда.</w:t>
      </w:r>
    </w:p>
    <w:p w:rsidR="00000000" w:rsidRDefault="00000000">
      <w:pPr>
        <w:pStyle w:val="SingleTxt"/>
      </w:pPr>
      <w:r>
        <w:t>226.</w:t>
      </w:r>
      <w:r>
        <w:tab/>
        <w:t>Более пяти лет назад организация Надежда ребенка Азия</w:t>
      </w:r>
      <w:r>
        <w:noBreakHyphen/>
        <w:t>Филиппины разработала программу "Мобилизация общин для предотвращения жестокого обращения и сексуальной эксплуатации детей, их защиты и обеспечение ухода за их жертвами". Реализованная в городе Пасай всеобъемлющая программа, цель которой создать мотивацию для родителей и определить тех детей, в о</w:t>
      </w:r>
      <w:r>
        <w:t>т</w:t>
      </w:r>
      <w:r>
        <w:t>ношении которых необходимо осуществить конкретные программы оказания услуг, по-прежнему используется для просветительной работы и информир</w:t>
      </w:r>
      <w:r>
        <w:t>о</w:t>
      </w:r>
      <w:r>
        <w:t>вания всех секторов (городские школы, религиозные группы, адвокаты и рук</w:t>
      </w:r>
      <w:r>
        <w:t>о</w:t>
      </w:r>
      <w:r>
        <w:t>водители барангайев) в городе Пасай Сити о жестоком обращении и простит</w:t>
      </w:r>
      <w:r>
        <w:t>у</w:t>
      </w:r>
      <w:r>
        <w:t>ции детей. Обеспокоенная быстрым ростом детской проституции в городе, о</w:t>
      </w:r>
      <w:r>
        <w:t>р</w:t>
      </w:r>
      <w:r>
        <w:t>ганизация "Надежда ребенка" образовала в Пасай городскую сеть защиты д</w:t>
      </w:r>
      <w:r>
        <w:t>е</w:t>
      </w:r>
      <w:r>
        <w:t>тей. С 1996 по 1998 год общественная деятельность "Надежды ребенка" ра</w:t>
      </w:r>
      <w:r>
        <w:t>с</w:t>
      </w:r>
      <w:r>
        <w:t>пространилась на 130 барангайев города. Деятельность организации включила в себя проведение учебных сессий для решения индивидуальных проблем и выполнения необходимой социальной работы для консультантов-добровольцев. Более 300 детей, молодых людей и членов НПО приняли участие в практич</w:t>
      </w:r>
      <w:r>
        <w:t>е</w:t>
      </w:r>
      <w:r>
        <w:t>ских занятиях по театральному искусству, валюру или основам правовых зн</w:t>
      </w:r>
      <w:r>
        <w:t>а</w:t>
      </w:r>
      <w:r>
        <w:t>ний. К 1998 году была оказана помощь примерно 1 000 беспризорников. В декабре 1996 года "Надежда ребенка" образовала Межучрежденческую цел</w:t>
      </w:r>
      <w:r>
        <w:t>е</w:t>
      </w:r>
      <w:r>
        <w:t>вую группу еще в одном городе Калукан. В 1997 и 1998 годах организация пр</w:t>
      </w:r>
      <w:r>
        <w:t>е</w:t>
      </w:r>
      <w:r>
        <w:t>доставила консультации, услуги по охране здоровья, альтернативное образов</w:t>
      </w:r>
      <w:r>
        <w:t>а</w:t>
      </w:r>
      <w:r>
        <w:t>ние или непрофессиональную юридическую помощь 1 020 беспризорникам. В 1998 году общественный центр организации предложил 140 девочкам, по</w:t>
      </w:r>
      <w:r>
        <w:t>д</w:t>
      </w:r>
      <w:r>
        <w:t>вергшимся сексуальной эксплуатации, временное убежище, неформальное о</w:t>
      </w:r>
      <w:r>
        <w:t>б</w:t>
      </w:r>
      <w:r>
        <w:t>разование, медицинскую помощь, возможности для проведения досуга и пол</w:t>
      </w:r>
      <w:r>
        <w:t>у</w:t>
      </w:r>
      <w:r>
        <w:t>чения ко</w:t>
      </w:r>
      <w:r>
        <w:t>н</w:t>
      </w:r>
      <w:r>
        <w:t>сультаций.</w:t>
      </w:r>
    </w:p>
    <w:p w:rsidR="00000000" w:rsidRDefault="00000000">
      <w:pPr>
        <w:pStyle w:val="SingleTxt"/>
      </w:pPr>
      <w:r>
        <w:t>227.</w:t>
      </w:r>
      <w:r>
        <w:tab/>
        <w:t>Организация Лондуян (ранее Детский лабораторный фонд) организовала семинары по теме "насилие в семьях" в шести барангайях каждого из двух провинциальных городов Роксас и Илойло в 1998 и 1999 годах. На этих сем</w:t>
      </w:r>
      <w:r>
        <w:t>и</w:t>
      </w:r>
      <w:r>
        <w:t>нарах прошли обучение 170 деревенских адвокатов в Роксасе и 210 в Илойло. Они помогли барангайам вынести решение по трем случаям жестокого обр</w:t>
      </w:r>
      <w:r>
        <w:t>а</w:t>
      </w:r>
      <w:r>
        <w:t>щения с детьми в Роксасе и по пяти случаям в Илойло. Учебные семинары по-прежнему проходят в двух городах провинции Висайас (Гимарас и Антик), о</w:t>
      </w:r>
      <w:r>
        <w:t>д</w:t>
      </w:r>
      <w:r>
        <w:t>нако в этот раз они организованы для судей и обвинителей.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Действия, учитывающие потребности женщин в вооруженных конфликтах и других перемещенных лиц</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228.</w:t>
      </w:r>
      <w:r>
        <w:tab/>
        <w:t>Канцелярия советника Президента по мирному процессу (КСПМП), кот</w:t>
      </w:r>
      <w:r>
        <w:t>о</w:t>
      </w:r>
      <w:r>
        <w:t>рой поручены функции контроля и надзора за всеобъемлющим мирным пр</w:t>
      </w:r>
      <w:r>
        <w:t>о</w:t>
      </w:r>
      <w:r>
        <w:t>цессом, осуществляет состоящую из шести направлений всестороннюю пр</w:t>
      </w:r>
      <w:r>
        <w:t>о</w:t>
      </w:r>
      <w:r>
        <w:t>грамму для достижения мира и развития на Филиппинах. Это следующие "н</w:t>
      </w:r>
      <w:r>
        <w:t>а</w:t>
      </w:r>
      <w:r>
        <w:t>правления": проведение социальной, экономической и политической реформы для устранения коренных причин внутренних вооруженных конфликтов и с</w:t>
      </w:r>
      <w:r>
        <w:t>о</w:t>
      </w:r>
      <w:r>
        <w:t>циальных волнений (направление 1); формирование консенсуса и создание возможностей для мира (направление 2); поддержание и укрепление зон мира – Помощи социальному развитию (ПСР) на основе урегулирования путем пров</w:t>
      </w:r>
      <w:r>
        <w:t>е</w:t>
      </w:r>
      <w:r>
        <w:t>дения переговоров с различными группами повстанцев (направление 3); пр</w:t>
      </w:r>
      <w:r>
        <w:t>о</w:t>
      </w:r>
      <w:r>
        <w:t>граммы примирения, реинтеграции в общество и реабилитации бывших комб</w:t>
      </w:r>
      <w:r>
        <w:t>а</w:t>
      </w:r>
      <w:r>
        <w:t>тантов и их семей (направление 4); учет интересов различных групп населения в связи с продолжающимися боевыми действиями, например детей в воор</w:t>
      </w:r>
      <w:r>
        <w:t>у</w:t>
      </w:r>
      <w:r>
        <w:t>женных конфликтах, и незамедлительная помощь пострадавшим в результате конфликта семьям и общинам и их реабилитация с помощью Программы п</w:t>
      </w:r>
      <w:r>
        <w:t>о</w:t>
      </w:r>
      <w:r>
        <w:t>мощи жертвам среди гражданского населения во внутреннем вооруженном конфликте (направление 5); а также создание и поддержание атмосферы, сп</w:t>
      </w:r>
      <w:r>
        <w:t>о</w:t>
      </w:r>
      <w:r>
        <w:t>собствующей миру (направление 6).</w:t>
      </w:r>
    </w:p>
    <w:p w:rsidR="00000000" w:rsidRDefault="00000000">
      <w:pPr>
        <w:pStyle w:val="SingleTxt"/>
      </w:pPr>
      <w:r>
        <w:t>229.</w:t>
      </w:r>
      <w:r>
        <w:tab/>
        <w:t>При поддержке Фонда Азии Институт по руководящей роли женщин о</w:t>
      </w:r>
      <w:r>
        <w:t>р</w:t>
      </w:r>
      <w:r>
        <w:t>ганизовал заседание Комиссии Минданао по вопросам женщин. Комиссия, членами которой являются мусульмане, христиане, представительницы коре</w:t>
      </w:r>
      <w:r>
        <w:t>н</w:t>
      </w:r>
      <w:r>
        <w:t>ных народов, руководители правительства, гражданского общества и частного сектора, выступает за мир и развитие в Минданао, делая особый упор на об</w:t>
      </w:r>
      <w:r>
        <w:t>у</w:t>
      </w:r>
      <w:r>
        <w:t>чении молодых женщин-руководителей миросозиданию (Фонд Азии, 2002 год).</w:t>
      </w:r>
    </w:p>
    <w:p w:rsidR="00000000" w:rsidRDefault="00000000">
      <w:pPr>
        <w:pStyle w:val="SingleTxt"/>
      </w:pPr>
      <w:r>
        <w:t>230.</w:t>
      </w:r>
      <w:r>
        <w:tab/>
        <w:t>Правительство Филиппин (ПФ) – Программа помощи ООН/ многочисле</w:t>
      </w:r>
      <w:r>
        <w:t>н</w:t>
      </w:r>
      <w:r>
        <w:t>ные доноры (фазы I и II) при участии учреждений ООН на Филиппинах и 10 стран-доноров оказали поддержку реинтеграции примерно 70 000 бывших комбатантов Фронта национального освобождения Моро (ФНОМ), их сторо</w:t>
      </w:r>
      <w:r>
        <w:t>н</w:t>
      </w:r>
      <w:r>
        <w:t>ников и членов их семей в гражданскую, экономическую и социальную жизнь общества. В результате их деятельности было сформировано кооперативное движение и общины смогли получать средства к существованию, чем смогли воспользоваться 14 056 человек; обучение 2 000 слушателей навыкам сельск</w:t>
      </w:r>
      <w:r>
        <w:t>о</w:t>
      </w:r>
      <w:r>
        <w:t>хозяйственного производства в качестве основного источника дохода по таким дисциплинам, как аквакультура, производство зерновых, сельскохозяйственная техника, животноводство, а также проблемы женщин, привело к созданию 532 источников заработка, которыми воспользовались примерно 20 084 бывших комбатанта (ФНОМ) и члены их семей (ПФ-ПРООН/ПУМД). Более того, Орган по техническому образованию и развитию навыков (ОТОРН) выделил 1,5 млн. филиппинских песо для финансирования обучения созданию предприятий на общинном уровне. При поддержке Нидерландов и ЮНФПА было обучено 1 286 местных специалистов в области охраны здоровья и 24 общины бывших членов ФНОМ смогли воспользоваться программами пл</w:t>
      </w:r>
      <w:r>
        <w:t>а</w:t>
      </w:r>
      <w:r>
        <w:t>нирования семьи и репродуктивного здоровья. Ведущим партнером, особенно при проведении исследований на уровне общин, был Женский фонд Бангса Моро за мир и развитие.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7" w:name="_Toc85174916"/>
      <w:r>
        <w:t>С.</w:t>
      </w:r>
      <w:r>
        <w:tab/>
        <w:t>Оставшиеся вызовы и трудности</w:t>
      </w:r>
      <w:bookmarkEnd w:id="4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231.</w:t>
      </w:r>
      <w:r>
        <w:tab/>
        <w:t>В отсутствие основных данных, а также достоверных оценок по колич</w:t>
      </w:r>
      <w:r>
        <w:t>е</w:t>
      </w:r>
      <w:r>
        <w:t>ству случаев НОЖ, как и других видов насилия, связанного с половой прина</w:t>
      </w:r>
      <w:r>
        <w:t>д</w:t>
      </w:r>
      <w:r>
        <w:t>лежностью, правительство не может точно оценить достигнутый прогресс в этой области. И наоборот, нельзя не заметить некоторых проблем.</w:t>
      </w:r>
    </w:p>
    <w:p w:rsidR="00000000" w:rsidRDefault="00000000">
      <w:pPr>
        <w:pStyle w:val="SingleTxt"/>
      </w:pPr>
      <w:r>
        <w:t>232.</w:t>
      </w:r>
      <w:r>
        <w:tab/>
      </w:r>
      <w:r>
        <w:rPr>
          <w:i/>
        </w:rPr>
        <w:t>Борьба с торговлей людьми</w:t>
      </w:r>
      <w:r>
        <w:t>. Необходимо обеспечить полное выполнение Закона по борьбе с торговлей людьми 2003 года. Необходимо создать механизм для эффективного сбора данных, с тем чтобы осуществлять контроль за сл</w:t>
      </w:r>
      <w:r>
        <w:t>у</w:t>
      </w:r>
      <w:r>
        <w:t>чаями торговли людьми и решать проблему отсутствия данных. Данный мех</w:t>
      </w:r>
      <w:r>
        <w:t>а</w:t>
      </w:r>
      <w:r>
        <w:t>низм должен строиться на положительном опыте Филиппин в этой области, а также на тех механизмах, которые уже существуют здесь и в странах назнач</w:t>
      </w:r>
      <w:r>
        <w:t>е</w:t>
      </w:r>
      <w:r>
        <w:t>ния при участии как правительства, так и НПО. Необходимо развивать двуст</w:t>
      </w:r>
      <w:r>
        <w:t>о</w:t>
      </w:r>
      <w:r>
        <w:t>роннее сотрудничество, уделяя первостепенное значение проблемным вопр</w:t>
      </w:r>
      <w:r>
        <w:t>о</w:t>
      </w:r>
      <w:r>
        <w:t>сам.</w:t>
      </w:r>
    </w:p>
    <w:p w:rsidR="00000000" w:rsidRDefault="00000000">
      <w:pPr>
        <w:pStyle w:val="SingleTxt"/>
      </w:pPr>
      <w:r>
        <w:t>233.</w:t>
      </w:r>
      <w:r>
        <w:tab/>
      </w:r>
      <w:r>
        <w:rPr>
          <w:i/>
        </w:rPr>
        <w:t xml:space="preserve">Насилие в отношении женщин. </w:t>
      </w:r>
      <w:r>
        <w:t>Существует большое количество проблем, связанных с кампанией по борьбе с НОЖ. Среди них можно отметить следу</w:t>
      </w:r>
      <w:r>
        <w:t>ю</w:t>
      </w:r>
      <w:r>
        <w:t>щие:</w:t>
      </w:r>
    </w:p>
    <w:p w:rsidR="00000000" w:rsidRDefault="00000000">
      <w:pPr>
        <w:pStyle w:val="SingleTxt"/>
        <w:ind w:left="1740" w:right="1264" w:hanging="476"/>
      </w:pPr>
      <w:r>
        <w:t>а)</w:t>
      </w:r>
      <w:r>
        <w:tab/>
        <w:t>Выявление пробелов в данных и информации. Помимо осуществления и</w:t>
      </w:r>
      <w:r>
        <w:t>с</w:t>
      </w:r>
      <w:r>
        <w:t>следовательского проекта Национального статистического координацио</w:t>
      </w:r>
      <w:r>
        <w:t>н</w:t>
      </w:r>
      <w:r>
        <w:t>ного совета (НСКС) по сбору первичных данных о случаях НОЖД на н</w:t>
      </w:r>
      <w:r>
        <w:t>а</w:t>
      </w:r>
      <w:r>
        <w:t>циональном уровне, правительству совместно с НПО и другими исслед</w:t>
      </w:r>
      <w:r>
        <w:t>о</w:t>
      </w:r>
      <w:r>
        <w:t>вательскими учреждениями следует координировать усилия, направле</w:t>
      </w:r>
      <w:r>
        <w:t>н</w:t>
      </w:r>
      <w:r>
        <w:t>ные на создание более всеобъемлющей и подробной базы данных о случ</w:t>
      </w:r>
      <w:r>
        <w:t>а</w:t>
      </w:r>
      <w:r>
        <w:t>ях НОЖД.</w:t>
      </w:r>
    </w:p>
    <w:p w:rsidR="00000000" w:rsidRDefault="00000000">
      <w:pPr>
        <w:pStyle w:val="SingleTxt"/>
        <w:ind w:left="1740" w:right="1264" w:hanging="476"/>
      </w:pPr>
      <w:r>
        <w:t>b)</w:t>
      </w:r>
      <w:r>
        <w:tab/>
        <w:t>Проведение более устойчивой воспитательной работы по гендерным в</w:t>
      </w:r>
      <w:r>
        <w:t>о</w:t>
      </w:r>
      <w:r>
        <w:t>просам и повышение квалификации следователей, социальных работн</w:t>
      </w:r>
      <w:r>
        <w:t>и</w:t>
      </w:r>
      <w:r>
        <w:t>ков, полицейских и медперсонала, участвующих в оказании помощи жертвам насилия.</w:t>
      </w:r>
    </w:p>
    <w:p w:rsidR="00000000" w:rsidRDefault="00000000">
      <w:pPr>
        <w:pStyle w:val="SingleTxt"/>
        <w:ind w:left="1740" w:right="1264" w:hanging="476"/>
      </w:pPr>
      <w:r>
        <w:rPr>
          <w:lang w:val="en-US"/>
        </w:rPr>
        <w:t>c</w:t>
      </w:r>
      <w:r>
        <w:t>)</w:t>
      </w:r>
      <w:r>
        <w:tab/>
        <w:t>Разработка на практике более всеобъемлющего, координированного по</w:t>
      </w:r>
      <w:r>
        <w:t>д</w:t>
      </w:r>
      <w:r>
        <w:t>хода с участием многих учреждений к НОЖ для своевременного создания благоприятной среды для женщин – жертв насилия, что включает в себя отвечающие интересам женщин правовые рамки, которые гарантируют безопасность и психологическое здоровье жертв насилия в ходе всех пр</w:t>
      </w:r>
      <w:r>
        <w:t>о</w:t>
      </w:r>
      <w:r>
        <w:t>цессуальных действий системы уголовного правосудия.</w:t>
      </w:r>
    </w:p>
    <w:p w:rsidR="00000000" w:rsidRDefault="00000000">
      <w:pPr>
        <w:pStyle w:val="SingleTxt"/>
        <w:ind w:left="1740" w:right="1264" w:hanging="476"/>
      </w:pPr>
      <w:r>
        <w:t>d)</w:t>
      </w:r>
      <w:r>
        <w:tab/>
        <w:t>Использование более всеобъемлющего подхода, чтобы учесть циклич</w:t>
      </w:r>
      <w:r>
        <w:t>е</w:t>
      </w:r>
      <w:r>
        <w:t>ский характер насилия и сосредоточить внимание на перевоспитании и исправлении виновного в насилии. Профилактические меры также могут быть использованы для решения проблемы. К ним можно отнести более агрессивную просветительную кампанию по информированию женщин об их правах, о том, как и где они могут получить поддержку, в том числе информацию о средствах правовой защиты, а также воспитательную р</w:t>
      </w:r>
      <w:r>
        <w:t>а</w:t>
      </w:r>
      <w:r>
        <w:t>боту с учетом гендерных факторов с женщинами – жертвами насилия и виновными в совершении пр</w:t>
      </w:r>
      <w:r>
        <w:t>е</w:t>
      </w:r>
      <w:r>
        <w:t>ступлений НОЖ.</w:t>
      </w:r>
    </w:p>
    <w:p w:rsidR="00000000" w:rsidRDefault="00000000">
      <w:pPr>
        <w:pStyle w:val="SingleTxt"/>
        <w:ind w:left="1740" w:right="1264" w:hanging="476"/>
      </w:pPr>
      <w:r>
        <w:t>е)</w:t>
      </w:r>
      <w:r>
        <w:tab/>
        <w:t>Выделение ресурсов правительственным учреждениям, занимающимся вопросом НОЖ. Например, отделения по защите интересов женщин в Ф</w:t>
      </w:r>
      <w:r>
        <w:t>и</w:t>
      </w:r>
      <w:r>
        <w:t>липпинской национальной полиции испытывают недостаток в высококв</w:t>
      </w:r>
      <w:r>
        <w:t>а</w:t>
      </w:r>
      <w:r>
        <w:t>лифицированных вооруженных сотрудниках полиции и специалистах по вопросам права и медицины, способных должным образом обращаться с жертвами насилия и ставить им правильный диагноз. Отделения также необходимо оборудовать специальными комнатами для обеспечения ко</w:t>
      </w:r>
      <w:r>
        <w:t>н</w:t>
      </w:r>
      <w:r>
        <w:t>фиденциальности во время допроса и обследования жертв насилия. В некоторых провинциях и городах нет семейных судов и судей, которые могли бы заниматься жертвами жестокого о</w:t>
      </w:r>
      <w:r>
        <w:t>б</w:t>
      </w:r>
      <w:r>
        <w:t>ращения и насилия.</w:t>
      </w:r>
    </w:p>
    <w:p w:rsidR="00000000" w:rsidRDefault="00000000">
      <w:pPr>
        <w:pStyle w:val="SingleTxt"/>
      </w:pPr>
      <w:r>
        <w:t>234.</w:t>
      </w:r>
      <w:r>
        <w:tab/>
      </w:r>
      <w:r>
        <w:rPr>
          <w:i/>
        </w:rPr>
        <w:t>Проституция</w:t>
      </w:r>
      <w:r>
        <w:t>. Необходимо продолжать заниматься первопричинами пр</w:t>
      </w:r>
      <w:r>
        <w:t>о</w:t>
      </w:r>
      <w:r>
        <w:t>ституции, такими, как отсутствие стабильных экономических доходов у же</w:t>
      </w:r>
      <w:r>
        <w:t>н</w:t>
      </w:r>
      <w:r>
        <w:t>щин. Необходимо повышать уровень сознательности и бороться с негативными стереотипами роли женщин, которые заставляют девушек и девочек заниматься проституцией. Необходимо незамедлительно принять закон о борьбе с прост</w:t>
      </w:r>
      <w:r>
        <w:t>и</w:t>
      </w:r>
      <w:r>
        <w:t>туцией с целью обеспечить справедливое отношение к женщинам и детям, з</w:t>
      </w:r>
      <w:r>
        <w:t>а</w:t>
      </w:r>
      <w:r>
        <w:t>нимающимся проституцией, к которым нужно относиться как к жертвам, а не как к преступникам.</w:t>
      </w:r>
    </w:p>
    <w:p w:rsidR="00000000" w:rsidRDefault="00000000">
      <w:pPr>
        <w:pStyle w:val="SingleTxt"/>
      </w:pPr>
      <w:r>
        <w:t>235.</w:t>
      </w:r>
      <w:r>
        <w:tab/>
      </w:r>
      <w:r>
        <w:rPr>
          <w:i/>
        </w:rPr>
        <w:t>Женщины в вооруженных конфликтах</w:t>
      </w:r>
      <w:r>
        <w:t>. Необходимо незамедлительно и самым серьезным образом уделить внимание воздействию на гражданских лиц войны, которую правительство ведет с силами повстанцев и террористическ</w:t>
      </w:r>
      <w:r>
        <w:t>и</w:t>
      </w:r>
      <w:r>
        <w:t>ми организациями. Женщины должны иметь возможность участвовать в мир</w:t>
      </w:r>
      <w:r>
        <w:t>о</w:t>
      </w:r>
      <w:r>
        <w:t>созидании и в реабилитации своих общин, так же, как необходимо обеспечить их средствами к существ</w:t>
      </w:r>
      <w:r>
        <w:t>о</w:t>
      </w:r>
      <w:r>
        <w:t>ванию и возможностью получения основных услуг.</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48" w:name="_Toc85174917"/>
      <w:r>
        <w:t>Статья 7. Политическая и общественная жизнь</w:t>
      </w:r>
      <w:bookmarkEnd w:id="48"/>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Равноправие с мужчинами в политической и общественной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49" w:name="_Toc85174918"/>
      <w:r>
        <w:t>А.</w:t>
      </w:r>
      <w:r>
        <w:tab/>
        <w:t>Положение женщин</w:t>
      </w:r>
      <w:bookmarkEnd w:id="4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236.</w:t>
      </w:r>
      <w:r>
        <w:tab/>
        <w:t>Конституция Филиппин гарантирует равноправие между мужчинами и женщинами в политической и общественной жизни. Тем президента волею н</w:t>
      </w:r>
      <w:r>
        <w:t>а</w:t>
      </w:r>
      <w:r>
        <w:t>рода была избрана женщина. Тем не менее не произошло существенных изм</w:t>
      </w:r>
      <w:r>
        <w:t>е</w:t>
      </w:r>
      <w:r>
        <w:t xml:space="preserve">нений с другими выборными постами. </w:t>
      </w:r>
    </w:p>
    <w:p w:rsidR="00000000" w:rsidRDefault="00000000">
      <w:pPr>
        <w:pStyle w:val="SingleTxt"/>
        <w:rPr>
          <w:i/>
        </w:rPr>
      </w:pPr>
      <w:r>
        <w:rPr>
          <w:i/>
        </w:rPr>
        <w:t>Политика в области выборов</w:t>
      </w:r>
    </w:p>
    <w:p w:rsidR="00000000" w:rsidRDefault="00000000">
      <w:pPr>
        <w:pStyle w:val="SingleTxt"/>
      </w:pPr>
      <w:r>
        <w:t>237.</w:t>
      </w:r>
      <w:r>
        <w:tab/>
        <w:t>Во второй раз в истории Филиппин президентом была избрана женщина, которая заняла свой пост по воле народа. Однако в части, касающейся других выборных должностей никаких существенных изменений не произошло. Н</w:t>
      </w:r>
      <w:r>
        <w:t>а</w:t>
      </w:r>
      <w:r>
        <w:t>пример, в 2001 году, как и в 1998 году, на женщин приходилось не более 20 процентов кандидатов на выборные посты. Доля же женщин, одержавших победу на выборах, сохранялась на уровне 20 процентов или ниже. Эта те</w:t>
      </w:r>
      <w:r>
        <w:t>н</w:t>
      </w:r>
      <w:r>
        <w:t>денция сохранилась, несмотря на то, что количество женщин-избирателей больше, чем количество мужчин-избирателей. Во время национальных выб</w:t>
      </w:r>
      <w:r>
        <w:t>о</w:t>
      </w:r>
      <w:r>
        <w:t>ров в 1998 году было зарегистрировано 17,2 млн. женщин-избирателей и 16,9 млн. мужчин-избирателей. В 1998 году явка женщин на избирательные участки также была выше и составила 87 процентов, в то время как явка му</w:t>
      </w:r>
      <w:r>
        <w:t>ж</w:t>
      </w:r>
      <w:r>
        <w:t>чин составила 85,7 процентов; на национальных и местных выборах в мае 2001 года явка женщин составила 76,7 процентов, а явка мужчин – 75,9 процентов.</w:t>
      </w:r>
    </w:p>
    <w:p w:rsidR="00000000" w:rsidRDefault="00000000">
      <w:pPr>
        <w:pStyle w:val="SingleTxt"/>
      </w:pPr>
      <w:r>
        <w:t>238.</w:t>
      </w:r>
      <w:r>
        <w:tab/>
        <w:t>Если взять законодательные органы, то в сенате доля женщин сократилась с 17 процентов в 1995 году до 9 процентов в 2001 году. Всего из 23 членов с</w:t>
      </w:r>
      <w:r>
        <w:t>е</w:t>
      </w:r>
      <w:r>
        <w:t>ната только три являются женщинами. Обратная тенденция наблюдается в п</w:t>
      </w:r>
      <w:r>
        <w:t>а</w:t>
      </w:r>
      <w:r>
        <w:t>лате представителей, состоящей из 205 членов, где доля женщин возросла с 9 процентов в 1995 году до 16 процентов 2001 году.</w:t>
      </w:r>
    </w:p>
    <w:p w:rsidR="00000000" w:rsidRDefault="00000000">
      <w:pPr>
        <w:pStyle w:val="SingleTxt"/>
      </w:pPr>
      <w:r>
        <w:t>239.</w:t>
      </w:r>
      <w:r>
        <w:tab/>
        <w:t>Согласно Республиканскому закону 7941, или Закону о системе парти</w:t>
      </w:r>
      <w:r>
        <w:t>й</w:t>
      </w:r>
      <w:r>
        <w:t>ных списков от 1995 года, 50 мест, или 20 процентов, от 250 мест палаты пре</w:t>
      </w:r>
      <w:r>
        <w:t>д</w:t>
      </w:r>
      <w:r>
        <w:t>ставителей выделяются для кандидатов по партийным спискам от маргинал</w:t>
      </w:r>
      <w:r>
        <w:t>и</w:t>
      </w:r>
      <w:r>
        <w:t>зированных секторов, таких, как крестьянские общины, городские бедняки, фермеры, рыбаки и женщины. Во время выборов 1998 года Избирательная к</w:t>
      </w:r>
      <w:r>
        <w:t>о</w:t>
      </w:r>
      <w:r>
        <w:t>миссия зарегистрировала шесть женских партий, но только одна из шести па</w:t>
      </w:r>
      <w:r>
        <w:t>р</w:t>
      </w:r>
      <w:r>
        <w:t xml:space="preserve">тий – </w:t>
      </w:r>
      <w:r>
        <w:rPr>
          <w:i/>
        </w:rPr>
        <w:t>Абансе!</w:t>
      </w:r>
      <w:r>
        <w:t xml:space="preserve"> </w:t>
      </w:r>
      <w:r>
        <w:rPr>
          <w:i/>
        </w:rPr>
        <w:t>Пайнай</w:t>
      </w:r>
      <w:r>
        <w:t> – получила требуемое процентное число голосов для п</w:t>
      </w:r>
      <w:r>
        <w:t>о</w:t>
      </w:r>
      <w:r>
        <w:t xml:space="preserve">лучения места в парламенте. Партия </w:t>
      </w:r>
      <w:r>
        <w:rPr>
          <w:i/>
        </w:rPr>
        <w:t>Абансе!</w:t>
      </w:r>
      <w:r>
        <w:t xml:space="preserve"> </w:t>
      </w:r>
      <w:r>
        <w:rPr>
          <w:i/>
        </w:rPr>
        <w:t>Пайнай</w:t>
      </w:r>
      <w:r>
        <w:t xml:space="preserve"> вновь получила свое м</w:t>
      </w:r>
      <w:r>
        <w:t>е</w:t>
      </w:r>
      <w:r>
        <w:t>сто в парламенте во время выборов 2001 года после того, как Верховный суд признал недействительными результаты выборов для партий, которые получ</w:t>
      </w:r>
      <w:r>
        <w:t>и</w:t>
      </w:r>
      <w:r>
        <w:t>ли большее число голосов, но не представляли маргинализирова</w:t>
      </w:r>
      <w:r>
        <w:t>н</w:t>
      </w:r>
      <w:r>
        <w:t>ные сектора.</w:t>
      </w:r>
    </w:p>
    <w:p w:rsidR="00000000" w:rsidRDefault="00000000">
      <w:pPr>
        <w:pStyle w:val="SingleTxt"/>
      </w:pPr>
      <w:r>
        <w:t>240.</w:t>
      </w:r>
      <w:r>
        <w:tab/>
        <w:t>Механизм партийных списков дает возможность представлять интересы женщин представителями самих же женщин. Тем не менее недостаточный ур</w:t>
      </w:r>
      <w:r>
        <w:t>о</w:t>
      </w:r>
      <w:r>
        <w:t>вень знаний о системе партийных списков вместе с отсутствием опыта и ф</w:t>
      </w:r>
      <w:r>
        <w:t>и</w:t>
      </w:r>
      <w:r>
        <w:t>нансовых средств у партий, представляющих маргинализированный сектор, до сих пор ограничивали возможности использования этого механизма.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Женщины на назначаемых постах в исполнительных и судебных органах власти, а также в конституцио</w:t>
      </w:r>
      <w:r>
        <w:t>н</w:t>
      </w:r>
      <w:r>
        <w:t>ных комиссиях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241.</w:t>
      </w:r>
      <w:r>
        <w:tab/>
        <w:t>Администрация президента Арройо известна тем, что назначила самое большое число женщин в кабинет министров. К концу 2003 года пять из 19 министров были женщины. Они занимались бюджетом, вопросами труда, социальным обеспечением, наукой и техникой, а также окружающей средой и природными ресурсами. В начале 2004 года еще три женщины были назначены на посты министров (финансы, иностранные дела и юстиция). Помимо этого, в ранге министров работали женщины, возглавляющие Канцелярию советника Президента по мирному процессу (КСПМП) и временного председателя Н</w:t>
      </w:r>
      <w:r>
        <w:t>а</w:t>
      </w:r>
      <w:r>
        <w:t>циональной комиссии по борьбе с нищетой (НКБН). Вместе с ними общее чи</w:t>
      </w:r>
      <w:r>
        <w:t>с</w:t>
      </w:r>
      <w:r>
        <w:t>ло женщин в кабинете министров составило десять человек – рекордное кол</w:t>
      </w:r>
      <w:r>
        <w:t>и</w:t>
      </w:r>
      <w:r>
        <w:t>чество в истории Филиппин.</w:t>
      </w:r>
    </w:p>
    <w:p w:rsidR="00000000" w:rsidRDefault="00000000">
      <w:pPr>
        <w:pStyle w:val="SingleTxt"/>
      </w:pPr>
      <w:r>
        <w:t>242.</w:t>
      </w:r>
      <w:r>
        <w:tab/>
        <w:t>По сравнению с последним отчетным периодом возросла доля женщин, занимающих высокие посты в правительстве. Женщины возглавляют две из пяти конституционных комиссий, а именно Комиссию по гражданской службе и Комиссию по правам человека. Есть комиссары женщины в Комиссии по в</w:t>
      </w:r>
      <w:r>
        <w:t>ы</w:t>
      </w:r>
      <w:r>
        <w:t>борам, аудиту и гражданской службе. Женщины также возглавляют Систему социального обеспечения и Президентскую комиссию по эффективной гос</w:t>
      </w:r>
      <w:r>
        <w:t>у</w:t>
      </w:r>
      <w:r>
        <w:t>дарственной службе. Более того, есть две женщины – представительницы НПО (Неорганизованный сектор и Женщины) из 14 членов Секторального совета Национальной комиссии по борьбе с нищетой.</w:t>
      </w:r>
    </w:p>
    <w:p w:rsidR="00000000" w:rsidRDefault="00000000">
      <w:pPr>
        <w:pStyle w:val="SingleTxt"/>
      </w:pPr>
      <w:r>
        <w:t>243.</w:t>
      </w:r>
      <w:r>
        <w:tab/>
        <w:t>В законе о правах коренных народов 1997 года также предусматривается представительство женщин, в результате чего двое из семи комиссаров Наци</w:t>
      </w:r>
      <w:r>
        <w:t>о</w:t>
      </w:r>
      <w:r>
        <w:t>нальной комиссии по коренным народам – это женщины. Аналогичным обр</w:t>
      </w:r>
      <w:r>
        <w:t>а</w:t>
      </w:r>
      <w:r>
        <w:t>зом, для женщин отводится по крайней мере один пост в местных советах по управлению рыбными и акватическими ресурсами (Республиканский з</w:t>
      </w:r>
      <w:r>
        <w:t>а</w:t>
      </w:r>
      <w:r>
        <w:t>кон 8850) в органах по проведению аграрной реформы, в советах по управл</w:t>
      </w:r>
      <w:r>
        <w:t>е</w:t>
      </w:r>
      <w:r>
        <w:t>нию охраняемыми районами, а также в местных советах по вопросам сельского хозяйства и рыбному промыслу. В 2001 году женщины составляли от 30 до 45 процентов состава советов по вопросам сельского хозяйства и рыбному промыслу на региональном (40 процентов), провинциальном (30 процентов) и муниципальном (45 процентов) уровнях. На них приходилось несколько мен</w:t>
      </w:r>
      <w:r>
        <w:t>ь</w:t>
      </w:r>
      <w:r>
        <w:t>шая доля (не более 29 процентов) состава управляющих отделов или советов по проведению аграрной реформы, причем меньше всего женщин было пре</w:t>
      </w:r>
      <w:r>
        <w:t>д</w:t>
      </w:r>
      <w:r>
        <w:t>ставлено на муниципальном уровне (23 процента); еще меньшую долю же</w:t>
      </w:r>
      <w:r>
        <w:t>н</w:t>
      </w:r>
      <w:r>
        <w:t>щины составляли в советах по управлению экологических охраняемых ра</w:t>
      </w:r>
      <w:r>
        <w:t>й</w:t>
      </w:r>
      <w:r>
        <w:t>онов.</w:t>
      </w:r>
    </w:p>
    <w:p w:rsidR="00000000" w:rsidRDefault="00000000">
      <w:pPr>
        <w:pStyle w:val="SingleTxt"/>
      </w:pPr>
      <w:r>
        <w:t>244.</w:t>
      </w:r>
      <w:r>
        <w:tab/>
        <w:t>На сентябрь 2003 года из 15 судей Верховного суда четыре были женщ</w:t>
      </w:r>
      <w:r>
        <w:t>и</w:t>
      </w:r>
      <w:r>
        <w:t>нами (27 процентов), из 47 судей Апелляционного суда – 12 женщин (25 процентов), из 11 судей Сандайганбайан – 3 женщины (27 процентов), этот суд рассматривает дела, связанные с коррупцией и взятками правительстве</w:t>
      </w:r>
      <w:r>
        <w:t>н</w:t>
      </w:r>
      <w:r>
        <w:t>ных чиновников. В Суде по налоговым апелляциям, в шарийских окружных судах и в шарийских местных нижестоящих судах все судьи по-прежнему му</w:t>
      </w:r>
      <w:r>
        <w:t>ж</w:t>
      </w:r>
      <w:r>
        <w:t>чины. В таблице (ниже) показана доля женщин-судей, вступивших в дол</w:t>
      </w:r>
      <w:r>
        <w:t>ж</w:t>
      </w:r>
      <w:r>
        <w:t>ность, в других филиппинских судах. В нижестоящих судах на женщин-судей приходилось не более четверти всех судей, за исключением судов первой и</w:t>
      </w:r>
      <w:r>
        <w:t>н</w:t>
      </w:r>
      <w:r>
        <w:t>станции метрополии, где на них приходилась почти половина судей, вступи</w:t>
      </w:r>
      <w:r>
        <w:t>в</w:t>
      </w:r>
      <w:r>
        <w:t>ших в должность. Следует отметить, тем не менее, что в течение 12 месяцев женщины-судьи заполняли открытые вакансии, что привело к улучшению с</w:t>
      </w:r>
      <w:r>
        <w:t>о</w:t>
      </w:r>
      <w:r>
        <w:t>отношения между мужчинами и женщинами во всех нижестоящих судах, не входящих в систему Шарийских местных судов.</w:t>
      </w:r>
    </w:p>
    <w:p w:rsidR="00000000" w:rsidRDefault="00000000">
      <w:pPr>
        <w:pStyle w:val="SingleTxt"/>
        <w:rPr>
          <w:b/>
        </w:rPr>
      </w:pPr>
      <w:r>
        <w:rPr>
          <w:b/>
        </w:rPr>
        <w:t>Процентная доля вступивших в должность женщин-судей в судах первой инстанции на Филиппинах (Верховный суд, 2002 год)</w:t>
      </w:r>
    </w:p>
    <w:tbl>
      <w:tblPr>
        <w:tblW w:w="0" w:type="auto"/>
        <w:tblInd w:w="1278" w:type="dxa"/>
        <w:tblLayout w:type="fixed"/>
        <w:tblLook w:val="0000" w:firstRow="0" w:lastRow="0" w:firstColumn="0" w:lastColumn="0" w:noHBand="0" w:noVBand="0"/>
      </w:tblPr>
      <w:tblGrid>
        <w:gridCol w:w="2410"/>
        <w:gridCol w:w="1653"/>
        <w:gridCol w:w="1654"/>
        <w:gridCol w:w="1654"/>
      </w:tblGrid>
      <w:tr w:rsidR="00000000">
        <w:tblPrEx>
          <w:tblCellMar>
            <w:top w:w="0" w:type="dxa"/>
            <w:bottom w:w="0" w:type="dxa"/>
          </w:tblCellMar>
        </w:tblPrEx>
        <w:tc>
          <w:tcPr>
            <w:tcW w:w="2410" w:type="dxa"/>
            <w:tcBorders>
              <w:top w:val="single" w:sz="4" w:space="0" w:color="auto"/>
              <w:bottom w:val="single" w:sz="12" w:space="0" w:color="auto"/>
            </w:tcBorders>
            <w:vAlign w:val="center"/>
          </w:tcPr>
          <w:p w:rsidR="00000000" w:rsidRDefault="00000000">
            <w:pPr>
              <w:pStyle w:val="SingleTxt"/>
              <w:spacing w:before="120" w:after="0" w:line="240" w:lineRule="auto"/>
              <w:ind w:left="0" w:right="0"/>
              <w:jc w:val="center"/>
              <w:rPr>
                <w:i/>
                <w:sz w:val="17"/>
              </w:rPr>
            </w:pPr>
            <w:r>
              <w:rPr>
                <w:i/>
                <w:sz w:val="17"/>
              </w:rPr>
              <w:t>Филиппи</w:t>
            </w:r>
            <w:r>
              <w:rPr>
                <w:i/>
                <w:sz w:val="17"/>
              </w:rPr>
              <w:t>н</w:t>
            </w:r>
            <w:r>
              <w:rPr>
                <w:i/>
                <w:sz w:val="17"/>
              </w:rPr>
              <w:t>ские суды</w:t>
            </w:r>
          </w:p>
        </w:tc>
        <w:tc>
          <w:tcPr>
            <w:tcW w:w="1653" w:type="dxa"/>
            <w:tcBorders>
              <w:top w:val="single" w:sz="4" w:space="0" w:color="auto"/>
              <w:bottom w:val="single" w:sz="12" w:space="0" w:color="auto"/>
            </w:tcBorders>
            <w:vAlign w:val="center"/>
          </w:tcPr>
          <w:p w:rsidR="00000000" w:rsidRDefault="00000000">
            <w:pPr>
              <w:pStyle w:val="SingleTxt"/>
              <w:spacing w:before="120" w:after="0" w:line="240" w:lineRule="auto"/>
              <w:ind w:left="0" w:right="0"/>
              <w:jc w:val="center"/>
              <w:rPr>
                <w:i/>
                <w:sz w:val="17"/>
              </w:rPr>
            </w:pPr>
            <w:r>
              <w:rPr>
                <w:i/>
                <w:sz w:val="17"/>
              </w:rPr>
              <w:t>Число женщин-судей</w:t>
            </w:r>
          </w:p>
        </w:tc>
        <w:tc>
          <w:tcPr>
            <w:tcW w:w="1654" w:type="dxa"/>
            <w:tcBorders>
              <w:top w:val="single" w:sz="4" w:space="0" w:color="auto"/>
              <w:bottom w:val="single" w:sz="12" w:space="0" w:color="auto"/>
            </w:tcBorders>
            <w:vAlign w:val="center"/>
          </w:tcPr>
          <w:p w:rsidR="00000000" w:rsidRDefault="00000000">
            <w:pPr>
              <w:pStyle w:val="SingleTxt"/>
              <w:spacing w:before="120" w:after="0" w:line="240" w:lineRule="auto"/>
              <w:ind w:left="0" w:right="0"/>
              <w:jc w:val="center"/>
              <w:rPr>
                <w:i/>
                <w:sz w:val="17"/>
              </w:rPr>
            </w:pPr>
            <w:r>
              <w:rPr>
                <w:i/>
                <w:sz w:val="17"/>
              </w:rPr>
              <w:t xml:space="preserve">Общее число </w:t>
            </w:r>
            <w:r>
              <w:rPr>
                <w:i/>
                <w:sz w:val="17"/>
              </w:rPr>
              <w:br/>
              <w:t>с</w:t>
            </w:r>
            <w:r>
              <w:rPr>
                <w:i/>
                <w:sz w:val="17"/>
              </w:rPr>
              <w:t>у</w:t>
            </w:r>
            <w:r>
              <w:rPr>
                <w:i/>
                <w:sz w:val="17"/>
              </w:rPr>
              <w:t>дей</w:t>
            </w:r>
          </w:p>
        </w:tc>
        <w:tc>
          <w:tcPr>
            <w:tcW w:w="1654" w:type="dxa"/>
            <w:tcBorders>
              <w:top w:val="single" w:sz="4" w:space="0" w:color="auto"/>
              <w:bottom w:val="single" w:sz="12" w:space="0" w:color="auto"/>
            </w:tcBorders>
            <w:vAlign w:val="center"/>
          </w:tcPr>
          <w:p w:rsidR="00000000" w:rsidRDefault="00000000">
            <w:pPr>
              <w:pStyle w:val="SingleTxt"/>
              <w:spacing w:before="120" w:after="0" w:line="240" w:lineRule="auto"/>
              <w:ind w:left="0" w:right="0"/>
              <w:jc w:val="center"/>
              <w:rPr>
                <w:i/>
                <w:sz w:val="17"/>
              </w:rPr>
            </w:pPr>
            <w:r>
              <w:rPr>
                <w:i/>
                <w:sz w:val="17"/>
              </w:rPr>
              <w:t>Доля женщин (в %)</w:t>
            </w:r>
          </w:p>
        </w:tc>
      </w:tr>
      <w:tr w:rsidR="00000000">
        <w:tblPrEx>
          <w:tblCellMar>
            <w:top w:w="0" w:type="dxa"/>
            <w:bottom w:w="0" w:type="dxa"/>
          </w:tblCellMar>
        </w:tblPrEx>
        <w:tc>
          <w:tcPr>
            <w:tcW w:w="2410" w:type="dxa"/>
            <w:tcBorders>
              <w:top w:val="single" w:sz="12" w:space="0" w:color="auto"/>
            </w:tcBorders>
          </w:tcPr>
          <w:p w:rsidR="00000000" w:rsidRDefault="00000000">
            <w:pPr>
              <w:pStyle w:val="SingleTxt"/>
              <w:spacing w:before="120" w:after="0" w:line="240" w:lineRule="auto"/>
              <w:ind w:left="0" w:right="0"/>
              <w:jc w:val="left"/>
              <w:rPr>
                <w:sz w:val="17"/>
              </w:rPr>
            </w:pPr>
            <w:r>
              <w:rPr>
                <w:sz w:val="17"/>
              </w:rPr>
              <w:t>Региональный суд первой и</w:t>
            </w:r>
            <w:r>
              <w:rPr>
                <w:sz w:val="17"/>
              </w:rPr>
              <w:t>н</w:t>
            </w:r>
            <w:r>
              <w:rPr>
                <w:sz w:val="17"/>
              </w:rPr>
              <w:t>станции</w:t>
            </w:r>
          </w:p>
        </w:tc>
        <w:tc>
          <w:tcPr>
            <w:tcW w:w="165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165</w:t>
            </w:r>
          </w:p>
        </w:tc>
        <w:tc>
          <w:tcPr>
            <w:tcW w:w="165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778</w:t>
            </w:r>
          </w:p>
        </w:tc>
        <w:tc>
          <w:tcPr>
            <w:tcW w:w="165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21</w:t>
            </w:r>
          </w:p>
        </w:tc>
      </w:tr>
      <w:tr w:rsidR="00000000">
        <w:tblPrEx>
          <w:tblCellMar>
            <w:top w:w="0" w:type="dxa"/>
            <w:bottom w:w="0" w:type="dxa"/>
          </w:tblCellMar>
        </w:tblPrEx>
        <w:tc>
          <w:tcPr>
            <w:tcW w:w="2410" w:type="dxa"/>
          </w:tcPr>
          <w:p w:rsidR="00000000" w:rsidRDefault="00000000">
            <w:pPr>
              <w:pStyle w:val="SingleTxt"/>
              <w:spacing w:before="120" w:after="0" w:line="240" w:lineRule="auto"/>
              <w:ind w:left="0" w:right="0"/>
              <w:jc w:val="left"/>
              <w:rPr>
                <w:sz w:val="17"/>
              </w:rPr>
            </w:pPr>
            <w:r>
              <w:rPr>
                <w:sz w:val="17"/>
              </w:rPr>
              <w:t>Суд первой инстанции ме</w:t>
            </w:r>
            <w:r>
              <w:rPr>
                <w:sz w:val="17"/>
              </w:rPr>
              <w:t>т</w:t>
            </w:r>
            <w:r>
              <w:rPr>
                <w:sz w:val="17"/>
              </w:rPr>
              <w:t>роп</w:t>
            </w:r>
            <w:r>
              <w:rPr>
                <w:sz w:val="17"/>
              </w:rPr>
              <w:t>о</w:t>
            </w:r>
            <w:r>
              <w:rPr>
                <w:sz w:val="17"/>
              </w:rPr>
              <w:t>лии</w:t>
            </w:r>
          </w:p>
        </w:tc>
        <w:tc>
          <w:tcPr>
            <w:tcW w:w="16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29</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64</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45</w:t>
            </w:r>
          </w:p>
        </w:tc>
      </w:tr>
      <w:tr w:rsidR="00000000">
        <w:tblPrEx>
          <w:tblCellMar>
            <w:top w:w="0" w:type="dxa"/>
            <w:bottom w:w="0" w:type="dxa"/>
          </w:tblCellMar>
        </w:tblPrEx>
        <w:tc>
          <w:tcPr>
            <w:tcW w:w="2410" w:type="dxa"/>
          </w:tcPr>
          <w:p w:rsidR="00000000" w:rsidRDefault="00000000">
            <w:pPr>
              <w:pStyle w:val="SingleTxt"/>
              <w:spacing w:before="120" w:after="0" w:line="240" w:lineRule="auto"/>
              <w:ind w:left="0" w:right="0"/>
              <w:jc w:val="left"/>
              <w:rPr>
                <w:sz w:val="17"/>
              </w:rPr>
            </w:pPr>
            <w:r>
              <w:rPr>
                <w:sz w:val="17"/>
              </w:rPr>
              <w:t>Муниципальные суды пе</w:t>
            </w:r>
            <w:r>
              <w:rPr>
                <w:sz w:val="17"/>
              </w:rPr>
              <w:t>р</w:t>
            </w:r>
            <w:r>
              <w:rPr>
                <w:sz w:val="17"/>
              </w:rPr>
              <w:t>вой инстанции в гор</w:t>
            </w:r>
            <w:r>
              <w:rPr>
                <w:sz w:val="17"/>
              </w:rPr>
              <w:t>о</w:t>
            </w:r>
            <w:r>
              <w:rPr>
                <w:sz w:val="17"/>
              </w:rPr>
              <w:t>дах</w:t>
            </w:r>
          </w:p>
        </w:tc>
        <w:tc>
          <w:tcPr>
            <w:tcW w:w="16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31</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132</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24</w:t>
            </w:r>
          </w:p>
        </w:tc>
      </w:tr>
      <w:tr w:rsidR="00000000">
        <w:tblPrEx>
          <w:tblCellMar>
            <w:top w:w="0" w:type="dxa"/>
            <w:bottom w:w="0" w:type="dxa"/>
          </w:tblCellMar>
        </w:tblPrEx>
        <w:tc>
          <w:tcPr>
            <w:tcW w:w="2410" w:type="dxa"/>
          </w:tcPr>
          <w:p w:rsidR="00000000" w:rsidRDefault="00000000">
            <w:pPr>
              <w:pStyle w:val="SingleTxt"/>
              <w:spacing w:before="120" w:after="0" w:line="240" w:lineRule="auto"/>
              <w:ind w:left="0" w:right="0"/>
              <w:jc w:val="left"/>
              <w:rPr>
                <w:sz w:val="17"/>
              </w:rPr>
            </w:pPr>
            <w:r>
              <w:rPr>
                <w:sz w:val="17"/>
              </w:rPr>
              <w:t>Муниципальный суд пе</w:t>
            </w:r>
            <w:r>
              <w:rPr>
                <w:sz w:val="17"/>
              </w:rPr>
              <w:t>р</w:t>
            </w:r>
            <w:r>
              <w:rPr>
                <w:sz w:val="17"/>
              </w:rPr>
              <w:t>вой инста</w:t>
            </w:r>
            <w:r>
              <w:rPr>
                <w:sz w:val="17"/>
              </w:rPr>
              <w:t>н</w:t>
            </w:r>
            <w:r>
              <w:rPr>
                <w:sz w:val="17"/>
              </w:rPr>
              <w:t>ции</w:t>
            </w:r>
          </w:p>
        </w:tc>
        <w:tc>
          <w:tcPr>
            <w:tcW w:w="16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56</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220</w:t>
            </w:r>
          </w:p>
        </w:tc>
        <w:tc>
          <w:tcPr>
            <w:tcW w:w="16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26</w:t>
            </w:r>
          </w:p>
        </w:tc>
      </w:tr>
      <w:tr w:rsidR="00000000">
        <w:tblPrEx>
          <w:tblCellMar>
            <w:top w:w="0" w:type="dxa"/>
            <w:bottom w:w="0" w:type="dxa"/>
          </w:tblCellMar>
        </w:tblPrEx>
        <w:tc>
          <w:tcPr>
            <w:tcW w:w="2410" w:type="dxa"/>
            <w:tcBorders>
              <w:bottom w:val="single" w:sz="12" w:space="0" w:color="auto"/>
            </w:tcBorders>
          </w:tcPr>
          <w:p w:rsidR="00000000" w:rsidRDefault="00000000">
            <w:pPr>
              <w:pStyle w:val="SingleTxt"/>
              <w:spacing w:before="120" w:after="0" w:line="240" w:lineRule="auto"/>
              <w:ind w:left="0" w:right="0"/>
              <w:jc w:val="left"/>
              <w:rPr>
                <w:sz w:val="17"/>
              </w:rPr>
            </w:pPr>
            <w:r>
              <w:rPr>
                <w:sz w:val="17"/>
              </w:rPr>
              <w:t>Муниципальные местные суды первой инста</w:t>
            </w:r>
            <w:r>
              <w:rPr>
                <w:sz w:val="17"/>
              </w:rPr>
              <w:t>н</w:t>
            </w:r>
            <w:r>
              <w:rPr>
                <w:sz w:val="17"/>
              </w:rPr>
              <w:t>ции</w:t>
            </w:r>
          </w:p>
        </w:tc>
        <w:tc>
          <w:tcPr>
            <w:tcW w:w="165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41</w:t>
            </w:r>
          </w:p>
        </w:tc>
        <w:tc>
          <w:tcPr>
            <w:tcW w:w="165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201</w:t>
            </w:r>
          </w:p>
        </w:tc>
        <w:tc>
          <w:tcPr>
            <w:tcW w:w="165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decimal" w:pos="742"/>
              </w:tabs>
              <w:spacing w:before="120" w:after="0" w:line="240" w:lineRule="auto"/>
              <w:ind w:left="0" w:right="0"/>
              <w:jc w:val="left"/>
              <w:rPr>
                <w:sz w:val="17"/>
              </w:rPr>
            </w:pPr>
            <w:r>
              <w:rPr>
                <w:sz w:val="17"/>
              </w:rPr>
              <w:t>20</w:t>
            </w:r>
          </w:p>
        </w:tc>
      </w:tr>
    </w:tbl>
    <w:p w:rsidR="00000000" w:rsidRDefault="00000000">
      <w:pPr>
        <w:pStyle w:val="SingleTxt"/>
        <w:spacing w:before="120"/>
        <w:ind w:left="1264" w:right="1264"/>
      </w:pPr>
      <w:r>
        <w:t>245.</w:t>
      </w:r>
      <w:r>
        <w:tab/>
        <w:t>На женщин приходилось более половины (53 процента) из 1,45 млн. гос</w:t>
      </w:r>
      <w:r>
        <w:t>у</w:t>
      </w:r>
      <w:r>
        <w:t>дарственных служащих в 1999 году. Как и за прошлый отчетный период, бол</w:t>
      </w:r>
      <w:r>
        <w:t>ь</w:t>
      </w:r>
      <w:r>
        <w:t>ше всего женщин представлено на втором уровне госслужащих (специалисты технического и научного профиля), где они составляют 71,9 процента. Однако на женщин, назначенных на третьем уровне или занимающих высокие испо</w:t>
      </w:r>
      <w:r>
        <w:t>л</w:t>
      </w:r>
      <w:r>
        <w:t>нительные посты, приходится лишь одна треть (34,8 процента) от общего к</w:t>
      </w:r>
      <w:r>
        <w:t>о</w:t>
      </w:r>
      <w:r>
        <w:t>личества служащих. Аналогичным образом, женщины по-прежнему составл</w:t>
      </w:r>
      <w:r>
        <w:t>я</w:t>
      </w:r>
      <w:r>
        <w:t>ют меньшинство на постах второго уровня в компаниях, принадлежащих пр</w:t>
      </w:r>
      <w:r>
        <w:t>а</w:t>
      </w:r>
      <w:r>
        <w:t>вительству или контролируемых им, таких, как компании по водоснабжению округов, компании по управлению портами Филиппин, по развитию рыбного промысла на Филиппинах и по развитию конверсии. Это свидетельствует о том, что в бюрократических структурах сохраняется дискриминация по пр</w:t>
      </w:r>
      <w:r>
        <w:t>и</w:t>
      </w:r>
      <w:r>
        <w:t>знакам пола.</w:t>
      </w:r>
    </w:p>
    <w:p w:rsidR="00000000" w:rsidRDefault="00000000">
      <w:pPr>
        <w:pStyle w:val="SingleTxt"/>
      </w:pPr>
      <w:r>
        <w:t>246.</w:t>
      </w:r>
      <w:r>
        <w:tab/>
        <w:t>Вероятно, благодаря программе Комиссии гражданской службы доля женщин, занимающих посты на уровне принятия решений в государственной службе, увеличилась. В 2002 году женщины занимали 1 148 постов професси</w:t>
      </w:r>
      <w:r>
        <w:t>о</w:t>
      </w:r>
      <w:r>
        <w:t>нальных администраторов (ПА), включая и тех, кто были назначены на руков</w:t>
      </w:r>
      <w:r>
        <w:t>о</w:t>
      </w:r>
      <w:r>
        <w:t>дящие посты в конституционных и национальных правительственных учре</w:t>
      </w:r>
      <w:r>
        <w:t>ж</w:t>
      </w:r>
      <w:r>
        <w:t>дениях. На них приходилось около 36 процентов (по сравнению с 34,8 процента в 1999 году) в общем количестве занятых постов ПА. В корпорациях, принадлежащих правительству или контролируемых им, кол</w:t>
      </w:r>
      <w:r>
        <w:t>и</w:t>
      </w:r>
      <w:r>
        <w:t>чество женщин на постах ПА составляло 963 человека, или 43 процента от о</w:t>
      </w:r>
      <w:r>
        <w:t>б</w:t>
      </w:r>
      <w:r>
        <w:t>щего числа сотрудников. Несколько меньшее число женщин занимали посты ПА (1,056, или 37 процентов от общего числа сотрудников) в конституционных у</w:t>
      </w:r>
      <w:r>
        <w:t>ч</w:t>
      </w:r>
      <w:r>
        <w:t>реждениях и учреждениях национального правительства.</w:t>
      </w:r>
    </w:p>
    <w:p w:rsidR="00000000" w:rsidRDefault="00000000">
      <w:pPr>
        <w:pStyle w:val="SingleTxt"/>
      </w:pPr>
      <w:r>
        <w:t>247.</w:t>
      </w:r>
      <w:r>
        <w:tab/>
        <w:t>Республиканский закон 7192, или Закон об участии женщин в строител</w:t>
      </w:r>
      <w:r>
        <w:t>ь</w:t>
      </w:r>
      <w:r>
        <w:t>стве нации от 1992 года, предоставил возможность женщинам поступать на в</w:t>
      </w:r>
      <w:r>
        <w:t>о</w:t>
      </w:r>
      <w:r>
        <w:t>енную службу и в полицию. С того времени женщины добились значительного прогресса. В 1997 году из 47 выпускников Филиппинской военной академии на долю женщин приходилось 15 процентов. В 1999/2000 учебном году 17 процентов из 1 486 женщин успешно сдали вступительный экзамен в акад</w:t>
      </w:r>
      <w:r>
        <w:t>е</w:t>
      </w:r>
      <w:r>
        <w:t>мию, причем самые лучшие результаты на экзаменах были показаны одной женщиной. Общее число сотрудников полиции в стране в 2000 году составляло 108 291 человек, из них более 5 000 были женщины. Многим женщинам пор</w:t>
      </w:r>
      <w:r>
        <w:t>у</w:t>
      </w:r>
      <w:r>
        <w:t>чено работать в Отделениях по защите интересов женщин или в специальных подразделениях, которые занимаются случаями насилия в отношении женщин и девочек. Однако предстоит еще многое сделать для того, чтобы содейств</w:t>
      </w:r>
      <w:r>
        <w:t>о</w:t>
      </w:r>
      <w:r>
        <w:t>вать службе женщин в вооруженных силах и в полиции, в том числе необход</w:t>
      </w:r>
      <w:r>
        <w:t>и</w:t>
      </w:r>
      <w:r>
        <w:t>мо создать лучшие возможности для их работы в правоохранительных органах, причем не только в Отделениях по защите интересов же</w:t>
      </w:r>
      <w:r>
        <w:t>н</w:t>
      </w:r>
      <w:r>
        <w:t>щин и детей.</w:t>
      </w:r>
    </w:p>
    <w:p w:rsidR="00000000" w:rsidRDefault="00000000">
      <w:pPr>
        <w:pStyle w:val="SingleTxt"/>
      </w:pPr>
      <w:r>
        <w:t>248.</w:t>
      </w:r>
      <w:r>
        <w:tab/>
        <w:t>В 1999 году Объединенная коллегия адвокатов Филиппин сообщила, что 18 процентов юристов – женщины. В Медицинской ассоциации Филиппин 8 из 22 руководящих сотрудников (36 процентов) – женщины, хотя в провинц</w:t>
      </w:r>
      <w:r>
        <w:t>и</w:t>
      </w:r>
      <w:r>
        <w:t>ях доля женщин значительно ниже. В Филиппинской ассоциации дантистов только 9 процентов руководящих работников женщины, хотя женщины соста</w:t>
      </w:r>
      <w:r>
        <w:t>в</w:t>
      </w:r>
      <w:r>
        <w:t>ляют 68 процентов от общего кол</w:t>
      </w:r>
      <w:r>
        <w:t>и</w:t>
      </w:r>
      <w:r>
        <w:t>чества членов ассоциации.</w:t>
      </w:r>
    </w:p>
    <w:p w:rsidR="00000000" w:rsidRDefault="00000000">
      <w:pPr>
        <w:pStyle w:val="SingleTxt"/>
      </w:pPr>
      <w:r>
        <w:t>249.</w:t>
      </w:r>
      <w:r>
        <w:tab/>
        <w:t>Из 67 председателей различных спортивных ассоциаций женщины с</w:t>
      </w:r>
      <w:r>
        <w:t>о</w:t>
      </w:r>
      <w:r>
        <w:t>ставляют лишь 7 процентов, и они возглавляют Национальную ассоциацию лучного спорта, Любительскую ассоциацию легкой атлетики Филиппин, Асс</w:t>
      </w:r>
      <w:r>
        <w:t>о</w:t>
      </w:r>
      <w:r>
        <w:t>циацию верховой езды Филиппин и Ассоциацию гимнастики Филиппин.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0" w:name="_Toc85174919"/>
      <w:r>
        <w:t>В.</w:t>
      </w:r>
      <w:r>
        <w:tab/>
        <w:t>Предпринятые действия</w:t>
      </w:r>
      <w:bookmarkEnd w:id="5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Законодательство и политика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250.</w:t>
      </w:r>
      <w:r>
        <w:tab/>
        <w:t>Были приняты различные законодательные и исполнительные решения для активизации участия и увеличения представительства женщин в процессе принятия решений. Эти решения включают в себя:</w:t>
      </w:r>
    </w:p>
    <w:p w:rsidR="00000000" w:rsidRDefault="00000000">
      <w:pPr>
        <w:pStyle w:val="SingleTxt"/>
        <w:ind w:left="1740" w:right="1264" w:hanging="476"/>
      </w:pPr>
      <w:r>
        <w:t>а)</w:t>
      </w:r>
      <w:r>
        <w:tab/>
        <w:t>Республиканский закон 8371, или Закон о правах коренных народов 1997 года, в котором содержатся требования о том, чтобы представител</w:t>
      </w:r>
      <w:r>
        <w:t>ь</w:t>
      </w:r>
      <w:r>
        <w:t>ницы коренных народов участвовали в принятии решений на всех уро</w:t>
      </w:r>
      <w:r>
        <w:t>в</w:t>
      </w:r>
      <w:r>
        <w:t>нях.</w:t>
      </w:r>
    </w:p>
    <w:p w:rsidR="00000000" w:rsidRDefault="00000000">
      <w:pPr>
        <w:pStyle w:val="SingleTxt"/>
        <w:ind w:left="1740" w:right="1264" w:hanging="476"/>
      </w:pPr>
      <w:r>
        <w:t>b)</w:t>
      </w:r>
      <w:r>
        <w:tab/>
        <w:t>Республиканский закон 8425, или Закон о социальной реформе и облегч</w:t>
      </w:r>
      <w:r>
        <w:t>е</w:t>
      </w:r>
      <w:r>
        <w:t>нии нищеты 1997 года, согласно которому в Национальной комиссии по борьбе с нищетой одно место отводится для женского сектора.</w:t>
      </w:r>
    </w:p>
    <w:p w:rsidR="00000000" w:rsidRDefault="00000000">
      <w:pPr>
        <w:pStyle w:val="SingleTxt"/>
        <w:ind w:left="1740" w:right="1264" w:hanging="476"/>
      </w:pPr>
      <w:r>
        <w:t>с)</w:t>
      </w:r>
      <w:r>
        <w:tab/>
        <w:t>Республиканский закон 8551, или Закон о реорганизации Национальной полицейской комиссии (НПК) и Филиппинской национальной полиции (ФНП) 1998 года, в котором предусмотрена 10</w:t>
      </w:r>
      <w:r>
        <w:noBreakHyphen/>
        <w:t>процентная квота для женщин-полицейских при их ежегодном наборе на работу, обучении и п</w:t>
      </w:r>
      <w:r>
        <w:t>о</w:t>
      </w:r>
      <w:r>
        <w:t>вышении квалификации; в законе также запрещаются сексуальные дом</w:t>
      </w:r>
      <w:r>
        <w:t>о</w:t>
      </w:r>
      <w:r>
        <w:t>гательства и дискриминация на основе половой принадлежности и секс</w:t>
      </w:r>
      <w:r>
        <w:t>у</w:t>
      </w:r>
      <w:r>
        <w:t>альной ориент</w:t>
      </w:r>
      <w:r>
        <w:t>а</w:t>
      </w:r>
      <w:r>
        <w:t>ции.</w:t>
      </w:r>
    </w:p>
    <w:p w:rsidR="00000000" w:rsidRDefault="00000000">
      <w:pPr>
        <w:pStyle w:val="SingleTxt"/>
        <w:ind w:left="1740" w:right="1264" w:hanging="476"/>
      </w:pPr>
      <w:r>
        <w:t>d)</w:t>
      </w:r>
      <w:r>
        <w:tab/>
        <w:t>Республиканский закон 8850, или Закон о рыбном промысле 1998 года, в соответствии с которым женщины должны назначаться в состав горо</w:t>
      </w:r>
      <w:r>
        <w:t>д</w:t>
      </w:r>
      <w:r>
        <w:t>ских и муниципальных советов по управлению рыбными и водными р</w:t>
      </w:r>
      <w:r>
        <w:t>е</w:t>
      </w:r>
      <w:r>
        <w:t>сурс</w:t>
      </w:r>
      <w:r>
        <w:t>а</w:t>
      </w:r>
      <w:r>
        <w:t>ми.</w:t>
      </w:r>
    </w:p>
    <w:p w:rsidR="00000000" w:rsidRDefault="00000000">
      <w:pPr>
        <w:pStyle w:val="SingleTxt"/>
        <w:ind w:left="1740" w:right="1264" w:hanging="476"/>
      </w:pPr>
      <w:r>
        <w:t>е)</w:t>
      </w:r>
      <w:r>
        <w:tab/>
        <w:t>Согласно директиве Министерства окружающей среды необходимо вкл</w:t>
      </w:r>
      <w:r>
        <w:t>ю</w:t>
      </w:r>
      <w:r>
        <w:t>чать женщин в состав советов управления охраняемыми районами, это многосекторальные советы, создаваемые в каждом охраняемом районе, образованные согласно Национальной интегрированной системе охраня</w:t>
      </w:r>
      <w:r>
        <w:t>е</w:t>
      </w:r>
      <w:r>
        <w:t>мых районов.</w:t>
      </w:r>
    </w:p>
    <w:p w:rsidR="00000000" w:rsidRDefault="00000000">
      <w:pPr>
        <w:pStyle w:val="SingleTxt"/>
      </w:pPr>
      <w:r>
        <w:t>251.</w:t>
      </w:r>
      <w:r>
        <w:tab/>
        <w:t>Как указано в части II, Комиссия гражданской службы (КГС) выпустила циркуляр меморандума о равном представительстве мужчин и женщин на п</w:t>
      </w:r>
      <w:r>
        <w:t>о</w:t>
      </w:r>
      <w:r>
        <w:t>стах третьего уровня в гражданской службе. В нескольких законопроектах, н</w:t>
      </w:r>
      <w:r>
        <w:t>а</w:t>
      </w:r>
      <w:r>
        <w:t>ходящихся на рассмотрении в Конгрессе, ставится задача увеличить число женщин в процессе принятия решений в правительстве. Один из законопрое</w:t>
      </w:r>
      <w:r>
        <w:t>к</w:t>
      </w:r>
      <w:r>
        <w:t>тов касается представительства женского сектора в местных советах, что п</w:t>
      </w:r>
      <w:r>
        <w:t>о</w:t>
      </w:r>
      <w:r>
        <w:t>зволит осуществить на практике положения Кодекса местного самоуправления 1991 года о представительстве женщин. В соответствии с еще одним предл</w:t>
      </w:r>
      <w:r>
        <w:t>а</w:t>
      </w:r>
      <w:r>
        <w:t>гаемым законом о расширении возможностей женщин и обеспечении равн</w:t>
      </w:r>
      <w:r>
        <w:t>о</w:t>
      </w:r>
      <w:r>
        <w:t>правия между мужчинами и женщинами (как описано в пунктах 42 и 149) б</w:t>
      </w:r>
      <w:r>
        <w:t>у</w:t>
      </w:r>
      <w:r>
        <w:t>дет установлена по крайней мере 30</w:t>
      </w:r>
      <w:r>
        <w:noBreakHyphen/>
        <w:t>процентная квота для женщин на прав</w:t>
      </w:r>
      <w:r>
        <w:t>и</w:t>
      </w:r>
      <w:r>
        <w:t>тел</w:t>
      </w:r>
      <w:r>
        <w:t>ь</w:t>
      </w:r>
      <w:r>
        <w:t>ственных постах, связанных с принятием решений.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Программы и другие меры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252.</w:t>
      </w:r>
      <w:r>
        <w:tab/>
        <w:t>Комиссия гражданской службы (КГС) руководит осуществлением пр</w:t>
      </w:r>
      <w:r>
        <w:t>о</w:t>
      </w:r>
      <w:r>
        <w:t>грамм с целью продвижения большего числа женщин на высокопоставленные посты, путем укрепления их потенциала и воспитания навыков руководства. В сотрудничестве с Национальной комиссией по вопросу о роли филиппинских женщин, Советом профессиональных администраторов (СПА) и др. КГС ре</w:t>
      </w:r>
      <w:r>
        <w:t>а</w:t>
      </w:r>
      <w:r>
        <w:t>лизует три программы. Одна из программ – Карьерный рост женщин на прав</w:t>
      </w:r>
      <w:r>
        <w:t>и</w:t>
      </w:r>
      <w:r>
        <w:t>тельственной службе (КРЖПС). Цель программы усилить механизмы поддер</w:t>
      </w:r>
      <w:r>
        <w:t>ж</w:t>
      </w:r>
      <w:r>
        <w:t>ки, создаваемый потенциал, программы обучения и другие сопутствующие и</w:t>
      </w:r>
      <w:r>
        <w:t>н</w:t>
      </w:r>
      <w:r>
        <w:t>струменты для работающих женщин. Программа состоит из следующих ко</w:t>
      </w:r>
      <w:r>
        <w:t>м</w:t>
      </w:r>
      <w:r>
        <w:t>понентов: улучшение условий работы, предотвращение сексуальных домог</w:t>
      </w:r>
      <w:r>
        <w:t>а</w:t>
      </w:r>
      <w:r>
        <w:t>тельств на рабочих местах, содействие карьерному росту и воспитательная р</w:t>
      </w:r>
      <w:r>
        <w:t>а</w:t>
      </w:r>
      <w:r>
        <w:t>бота. Разрабатываемая с учетом гендерных соображений политика предусма</w:t>
      </w:r>
      <w:r>
        <w:t>т</w:t>
      </w:r>
      <w:r>
        <w:t>ривает отпуск по уходу за ребенком, предоставляемый отцу, предоставление отпусков по другим семейным обстоятельствам, создание детских садов, ги</w:t>
      </w:r>
      <w:r>
        <w:t>б</w:t>
      </w:r>
      <w:r>
        <w:t>кие условия работы, включающие модифицированный отпуск по беременности и родам, неполный рабочий день и гибкие часы работы. Вторая программа, или пересмотренный План поощрения особых заслуг, была сформулирована для того, чтобы не допустить дискриминации при наборе сотрудников и обесп</w:t>
      </w:r>
      <w:r>
        <w:t>е</w:t>
      </w:r>
      <w:r>
        <w:t>чить равные возможности для занятости женщин. И наконец, "Адресная книга женщин, ищущих работу" была опубликована для того, чтобы дать возмо</w:t>
      </w:r>
      <w:r>
        <w:t>ж</w:t>
      </w:r>
      <w:r>
        <w:t>ность отделам кадров выбрать кандидатуры квалифицированных женщин на посты высокого уровня.</w:t>
      </w:r>
    </w:p>
    <w:p w:rsidR="00000000" w:rsidRDefault="00000000">
      <w:pPr>
        <w:pStyle w:val="SingleTxt"/>
      </w:pPr>
      <w:r>
        <w:t>253.</w:t>
      </w:r>
      <w:r>
        <w:tab/>
        <w:t>Национальная комиссия по вопросу о роли филиппинских женщин, вм</w:t>
      </w:r>
      <w:r>
        <w:t>е</w:t>
      </w:r>
      <w:r>
        <w:t>сте с другими правительственными учреждениями и НПО, поддерживает меры по укреплению потенциала женщин, избранных на различные посты. В мае 2003 года Комиссия провела национальный саммит женщин, работающих в м</w:t>
      </w:r>
      <w:r>
        <w:t>е</w:t>
      </w:r>
      <w:r>
        <w:t>стных исполнительных и законодательных органах власти для разработки пр</w:t>
      </w:r>
      <w:r>
        <w:t>о</w:t>
      </w:r>
      <w:r>
        <w:t>граммы по оказанию помощи госслужащим-женщинам, в частности при разр</w:t>
      </w:r>
      <w:r>
        <w:t>а</w:t>
      </w:r>
      <w:r>
        <w:t>ботке и/или осуществлении ими политики и программ, учитывающих генде</w:t>
      </w:r>
      <w:r>
        <w:t>р</w:t>
      </w:r>
      <w:r>
        <w:t>ные факторы, в их административных округах.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Усилия НПО</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254.</w:t>
      </w:r>
      <w:r>
        <w:tab/>
        <w:t>Несколько НПО оказывали поддержку женщинам в местных органах вл</w:t>
      </w:r>
      <w:r>
        <w:t>а</w:t>
      </w:r>
      <w:r>
        <w:t>сти в широком контексте участия женщин в политике и принятии решений. Женская юридическая консультация занимается правовым обучением женщин и оказанием им правовой помощи, что включает в себя обучение по вопросу женщины и право, профессиональная и непрофессиональная юридическая п</w:t>
      </w:r>
      <w:r>
        <w:t>о</w:t>
      </w:r>
      <w:r>
        <w:t>мощь, а также правовая помощь различным категориям женщин. Одновреме</w:t>
      </w:r>
      <w:r>
        <w:t>н</w:t>
      </w:r>
      <w:r>
        <w:t>но с этим Центр по развитию законодательства оказывал важную помощь пе</w:t>
      </w:r>
      <w:r>
        <w:t>р</w:t>
      </w:r>
      <w:r>
        <w:t>соналу законодательных органов, законодателям и НПО в виде обучения, по</w:t>
      </w:r>
      <w:r>
        <w:t>д</w:t>
      </w:r>
      <w:r>
        <w:t>готовки документации и проведения исследований по вопросам подготовки з</w:t>
      </w:r>
      <w:r>
        <w:t>а</w:t>
      </w:r>
      <w:r>
        <w:t>конодательства; Центр также занимается обучением, с учетом гендерных фа</w:t>
      </w:r>
      <w:r>
        <w:t>к</w:t>
      </w:r>
      <w:r>
        <w:t>торов, должностных лиц, избранных в местные органы власти и законодател</w:t>
      </w:r>
      <w:r>
        <w:t>ь</w:t>
      </w:r>
      <w:r>
        <w:t>ные учреждения, а также ведет регулярный диалог с другими НПО по вопр</w:t>
      </w:r>
      <w:r>
        <w:t>о</w:t>
      </w:r>
      <w:r>
        <w:t>сам законодательства, представляющего интерес для женщин. Центр также р</w:t>
      </w:r>
      <w:r>
        <w:t>у</w:t>
      </w:r>
      <w:r>
        <w:t>ководит осуществлением программы "Достижение соотношения 50/50 между мужчинами и женщинами в участии в политической жизни" к 2015 году.</w:t>
      </w:r>
    </w:p>
    <w:p w:rsidR="00000000" w:rsidRDefault="00000000">
      <w:pPr>
        <w:pStyle w:val="SingleTxt"/>
      </w:pPr>
      <w:r>
        <w:t>255.</w:t>
      </w:r>
      <w:r>
        <w:tab/>
        <w:t>Центр женщин Азиатско-тихоокеанского региона по вопросам политики (КАПВИП) является региональной организацией, расположенной на Филипп</w:t>
      </w:r>
      <w:r>
        <w:t>и</w:t>
      </w:r>
      <w:r>
        <w:t>нах, содействующей участию женщин в политической жизни путем подготовки достаточного числа компетентных, эффективных и добросовестных женщин-политиков, гибко подходящих к вопросам руководства. КАПВИП проводит обучение по вопросу расширения прав и возможностей женщин в целях обе</w:t>
      </w:r>
      <w:r>
        <w:t>с</w:t>
      </w:r>
      <w:r>
        <w:t>печения гибкого руководства и выполнения гражданских функций, а также осуществления управления с учетом гендерных факторов, что соответствует его задаче – формирование общин, способных к преобразованиям.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1" w:name="_Toc85174920"/>
      <w:r>
        <w:t>D.</w:t>
      </w:r>
      <w:r>
        <w:tab/>
        <w:t>Остающиеся вызовы и трудности</w:t>
      </w:r>
      <w:bookmarkEnd w:id="5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256.</w:t>
      </w:r>
      <w:r>
        <w:tab/>
        <w:t>Правительство должно активизировать меры по оказанию помощи же</w:t>
      </w:r>
      <w:r>
        <w:t>н</w:t>
      </w:r>
      <w:r>
        <w:t>щинам в преодолении бюрократических барьеров. Необходимо выдвигать н</w:t>
      </w:r>
      <w:r>
        <w:t>о</w:t>
      </w:r>
      <w:r>
        <w:t>вые инициативы, которые бы позволили большему числу женщин занимать ключевые посты на госслужбе посредством обучения навыкам руководства, и</w:t>
      </w:r>
      <w:r>
        <w:t>с</w:t>
      </w:r>
      <w:r>
        <w:t>кусству коммуникации и ведению переговоров, а также тому, как почувствовать уверенность в собственных силах и т.д.</w:t>
      </w:r>
    </w:p>
    <w:p w:rsidR="00000000" w:rsidRDefault="00000000">
      <w:pPr>
        <w:pStyle w:val="SingleTxt"/>
      </w:pPr>
      <w:r>
        <w:t>257.</w:t>
      </w:r>
      <w:r>
        <w:tab/>
        <w:t>Женский электорат должен быть готов избрать тех мужчин и женщин, к</w:t>
      </w:r>
      <w:r>
        <w:t>о</w:t>
      </w:r>
      <w:r>
        <w:t>торые поддерживают расширение прав и возможностей женщин и выступают за равноправие между мужчинами и женщинами. Необходимо также сохранить политическую повестку дня и женские партии на долгосрочную перспективу и изменить типовые меры по созданию потенциала для женских политических групп.</w:t>
      </w:r>
    </w:p>
    <w:p w:rsidR="00000000" w:rsidRDefault="00000000">
      <w:pPr>
        <w:pStyle w:val="SingleTxt"/>
      </w:pPr>
      <w:r>
        <w:t>258.</w:t>
      </w:r>
      <w:r>
        <w:tab/>
        <w:t>Необходимо более активно выступать в поддержку временных специал</w:t>
      </w:r>
      <w:r>
        <w:t>ь</w:t>
      </w:r>
      <w:r>
        <w:t>ных мер, особенно применительно к судебной системе, полиции и военной академии.</w:t>
      </w:r>
    </w:p>
    <w:p w:rsidR="00000000" w:rsidRDefault="00000000">
      <w:pPr>
        <w:pStyle w:val="SingleTxt"/>
      </w:pPr>
      <w:r>
        <w:t>259.</w:t>
      </w:r>
      <w:r>
        <w:tab/>
        <w:t>Необходимо внимательно рассмотреть такие вопросы, как консультации по карьерному росту, обеспечение реального участия в политических проце</w:t>
      </w:r>
      <w:r>
        <w:t>с</w:t>
      </w:r>
      <w:r>
        <w:t>сах и изучение структурных препятствий, мешающих женщинам принимать участие в указанных областях.</w:t>
      </w:r>
    </w:p>
    <w:p w:rsidR="00000000" w:rsidRDefault="00000000">
      <w:pPr>
        <w:pStyle w:val="SingleTxt"/>
      </w:pPr>
      <w:r>
        <w:t>260.</w:t>
      </w:r>
      <w:r>
        <w:tab/>
        <w:t>В информационном документе, подготовленном в мае 2002 года, для с</w:t>
      </w:r>
      <w:r>
        <w:t>е</w:t>
      </w:r>
      <w:r>
        <w:t>минара о равном соотношении между мужчинами и женщинами в политич</w:t>
      </w:r>
      <w:r>
        <w:t>е</w:t>
      </w:r>
      <w:r>
        <w:t>ской жизни было отмечено, что по всей стране необходимо развернуть просв</w:t>
      </w:r>
      <w:r>
        <w:t>е</w:t>
      </w:r>
      <w:r>
        <w:t>тительную кампанию о важности политической системы с равным соотнош</w:t>
      </w:r>
      <w:r>
        <w:t>е</w:t>
      </w:r>
      <w:r>
        <w:t>нием между мужчинами и женщинами для того, чтобы отойти от ранее сущ</w:t>
      </w:r>
      <w:r>
        <w:t>е</w:t>
      </w:r>
      <w:r>
        <w:t>ствовавших структур, стереотипов и р</w:t>
      </w:r>
      <w:r>
        <w:t>а</w:t>
      </w:r>
      <w:r>
        <w:t>мок.</w:t>
      </w:r>
    </w:p>
    <w:p w:rsidR="00000000" w:rsidRDefault="00000000">
      <w:pPr>
        <w:pStyle w:val="SingleTxt"/>
      </w:pPr>
      <w:r>
        <w:t>261.</w:t>
      </w:r>
      <w:r>
        <w:tab/>
        <w:t>Необходимо расширять и укреплять создаваемый потенциал, возможности для гибкого руководства и проведения политики, а также заниматься организ</w:t>
      </w:r>
      <w:r>
        <w:t>а</w:t>
      </w:r>
      <w:r>
        <w:t>ционной работой на уровне общин, с тем чтобы женские группы и другие о</w:t>
      </w:r>
      <w:r>
        <w:t>с</w:t>
      </w:r>
      <w:r>
        <w:t>новные секторальные группы могли бы поддерживать избранных и назначе</w:t>
      </w:r>
      <w:r>
        <w:t>н</w:t>
      </w:r>
      <w:r>
        <w:t>ных на государственную службу женщин и сотрудничать с ними по важнейшим вопросам.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52" w:name="_Toc85174921"/>
      <w:r>
        <w:t>Статья 8. Представительство и участие на международном уровне</w:t>
      </w:r>
      <w:bookmarkEnd w:id="5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rPr>
          <w:i/>
        </w:rPr>
      </w:pPr>
      <w:r>
        <w:rPr>
          <w:i/>
        </w:rPr>
        <w:t>Равные условия для представления правительств на международном уровне и участия в работе междун</w:t>
      </w:r>
      <w:r>
        <w:rPr>
          <w:i/>
        </w:rPr>
        <w:t>а</w:t>
      </w:r>
      <w:r>
        <w:rPr>
          <w:i/>
        </w:rPr>
        <w:t>родных организаций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3" w:name="_Toc85174922"/>
      <w:r>
        <w:t>А.</w:t>
      </w:r>
      <w:r>
        <w:tab/>
        <w:t>Положение женщин</w:t>
      </w:r>
      <w:bookmarkEnd w:id="5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Женщины на дипломатической службе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262.</w:t>
      </w:r>
      <w:r>
        <w:tab/>
        <w:t>В сентябре 2002 года всего в мире насчитывалось 80 филиппинских п</w:t>
      </w:r>
      <w:r>
        <w:t>о</w:t>
      </w:r>
      <w:r>
        <w:t>сольств и консульств. В 22 из них (28 процентов) руководителями были же</w:t>
      </w:r>
      <w:r>
        <w:t>н</w:t>
      </w:r>
      <w:r>
        <w:t>щины, причем 12 из них имели ранг посла, а 10 – генерального консула. В ноябре 2003 года только 17 послов и временно поверенных в делах из 61 были женщинами (или 28 процентов), в то время как 10 из 19 консулов (53 процента) были женщинами.</w:t>
      </w:r>
    </w:p>
    <w:p w:rsidR="00000000" w:rsidRDefault="00000000">
      <w:pPr>
        <w:pStyle w:val="SingleTxt"/>
      </w:pPr>
      <w:r>
        <w:t>263.</w:t>
      </w:r>
      <w:r>
        <w:tab/>
        <w:t>В декабре 2001 года 51 женщина служила на дипломатической службе в ранге атташе. К декабрю 2003 года количество женщин в ранге атташе умен</w:t>
      </w:r>
      <w:r>
        <w:t>ь</w:t>
      </w:r>
      <w:r>
        <w:t>шилось до 49, и в сферу их компетенции входили главным образом вопросы торговли, трудовых отношений, туризма, сельского хозяйства или социального обеспечения.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Участие  в работе международных организаций и международной деятельности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264.</w:t>
      </w:r>
      <w:r>
        <w:tab/>
        <w:t>Филиппинские женщины спокойно занимаются международной деятел</w:t>
      </w:r>
      <w:r>
        <w:t>ь</w:t>
      </w:r>
      <w:r>
        <w:t>ностью или представляют страну в международных органах, в частности в К</w:t>
      </w:r>
      <w:r>
        <w:t>о</w:t>
      </w:r>
      <w:r>
        <w:t>митете по женщинам АСЕАН. Женщины назначались на руководящие посты в международных организациях, таких, как Азиатско-тихоокеанское экономич</w:t>
      </w:r>
      <w:r>
        <w:t>е</w:t>
      </w:r>
      <w:r>
        <w:t>ское сотрудничество (АТЭС), где женщина занимала пост главного представ</w:t>
      </w:r>
      <w:r>
        <w:t>и</w:t>
      </w:r>
      <w:r>
        <w:t>теля своей страны с 1997 по 2002 год и в Консультативном совете по бизнесу АТЭС, где один из трех членов, представляющих Филиппины, является же</w:t>
      </w:r>
      <w:r>
        <w:t>н</w:t>
      </w:r>
      <w:r>
        <w:t>щиной. Женщины неизменно возглавляли филиппинские делегации на всех р</w:t>
      </w:r>
      <w:r>
        <w:t>е</w:t>
      </w:r>
      <w:r>
        <w:t>гионал</w:t>
      </w:r>
      <w:r>
        <w:t>ь</w:t>
      </w:r>
      <w:r>
        <w:t>ных и глобальных конференциях по вопросу женщин.</w:t>
      </w:r>
    </w:p>
    <w:p w:rsidR="00000000" w:rsidRDefault="00000000">
      <w:pPr>
        <w:pStyle w:val="SingleTxt"/>
      </w:pPr>
      <w:r>
        <w:t>265.</w:t>
      </w:r>
      <w:r>
        <w:tab/>
        <w:t>Филиппинские женщины избирались на руководящие посты таких орг</w:t>
      </w:r>
      <w:r>
        <w:t>а</w:t>
      </w:r>
      <w:r>
        <w:t>нов ООН, как Комитет ООН по экономическим, социальным и культурным правам (пост председателя), а также Комиссия ООН по положению женщин (избирались на пост председателя три раза). Они также работали в других о</w:t>
      </w:r>
      <w:r>
        <w:t>р</w:t>
      </w:r>
      <w:r>
        <w:t>ганах ООН, международных и региональных организациях, таких, как КЛДЖ, Комитет ООН по правам человека, ЮНИФЕМ и Международная организация труда.</w:t>
      </w:r>
    </w:p>
    <w:p w:rsidR="00000000" w:rsidRDefault="00000000">
      <w:pPr>
        <w:pStyle w:val="SingleTxt"/>
      </w:pPr>
      <w:r>
        <w:t>266.</w:t>
      </w:r>
      <w:r>
        <w:tab/>
        <w:t>В координации с другими странами – членами АТЭС женщины – руков</w:t>
      </w:r>
      <w:r>
        <w:t>о</w:t>
      </w:r>
      <w:r>
        <w:t>дители бизнеса, должностные лица правительства и эксперты по гендерным вопросам из Филиппин руководили организационной работой по подготовке первого министерского совещания АТЭС по вопросу женщин, которое состо</w:t>
      </w:r>
      <w:r>
        <w:t>я</w:t>
      </w:r>
      <w:r>
        <w:t>лось в Маниле в октябре 1998 года. Это мероприятие было организовано в о</w:t>
      </w:r>
      <w:r>
        <w:t>т</w:t>
      </w:r>
      <w:r>
        <w:t>вет на призыв руководителей АТЭС к большей интеграции женщин и молод</w:t>
      </w:r>
      <w:r>
        <w:t>е</w:t>
      </w:r>
      <w:r>
        <w:t>жи, сделанного в 1996 году, когда Филиппины выполняли функцию председ</w:t>
      </w:r>
      <w:r>
        <w:t>а</w:t>
      </w:r>
      <w:r>
        <w:t>теля АТЭС и руководили общественным движением по учету гендерной пр</w:t>
      </w:r>
      <w:r>
        <w:t>о</w:t>
      </w:r>
      <w:r>
        <w:t>блематики в основных направлениях стратегии и программ. На министерском совещании АТЭС внимание было сосредоточено на роли женщин в экономике и их вкладе в нее, что особенно касается мелких и средних предприятий, пр</w:t>
      </w:r>
      <w:r>
        <w:t>о</w:t>
      </w:r>
      <w:r>
        <w:t>мышленной науки и техники и развития людских ресурсов. Филиппины также выполняли функцию сопредседателя целевой группы по интеграции женщин в АТЭС.</w:t>
      </w:r>
    </w:p>
    <w:p w:rsidR="00000000" w:rsidRDefault="00000000">
      <w:pPr>
        <w:pStyle w:val="SingleTxt"/>
      </w:pPr>
      <w:r>
        <w:t>267.</w:t>
      </w:r>
      <w:r>
        <w:tab/>
        <w:t>Филиппины в лице женских руководителей из Национальной комиссии по вопросу о роли филиппинских женщин и научных кругов возглавляли целевые группы по подготовке и проведению информационных сессий по гендерным вопросам на всех основных форумах АТЭС. Филиппины внесли свой вклад в разработку концепции Сети координационных центров по гендерным вопросам АТЭС, которая, как ожидается, окончательно решит вопрос об учете гендерной проблематики в основных направлениях стратегии и программ. В партнерстве с Новой Зеландией Филиппины подготовили документ о воздействии политики либерализации торговли на женщин, который был представлен на втором м</w:t>
      </w:r>
      <w:r>
        <w:t>и</w:t>
      </w:r>
      <w:r>
        <w:t>нистерском совещании АТЭС по вопросу женщин, состоявшемся в сентябре 2002 года в Гвадалахаре, Мексика.</w:t>
      </w:r>
    </w:p>
    <w:p w:rsidR="00000000" w:rsidRDefault="00000000">
      <w:pPr>
        <w:pStyle w:val="SingleTxt"/>
      </w:pPr>
      <w:r>
        <w:t>268.</w:t>
      </w:r>
      <w:r>
        <w:tab/>
        <w:t>Филиппинские женщины также оказывали прямую и косвенную помощь другим странам по вопросу об учете гендерной проблематики в основных н</w:t>
      </w:r>
      <w:r>
        <w:t>а</w:t>
      </w:r>
      <w:r>
        <w:t>правлениях стратегий и программ либо на двусторонней основе, либо через о</w:t>
      </w:r>
      <w:r>
        <w:t>р</w:t>
      </w:r>
      <w:r>
        <w:t>ганизации, такие, как ООН, Канадское агентство международного развития и прочие. Официальные представители, мужчины и женщины, приезжали в с</w:t>
      </w:r>
      <w:r>
        <w:t>о</w:t>
      </w:r>
      <w:r>
        <w:t>ставе миссий по изучению проблематики равноправия между мужчинами и женщинами и развития из таких стран, как Индонезия, Индия, Бахрейн, Мо</w:t>
      </w:r>
      <w:r>
        <w:t>н</w:t>
      </w:r>
      <w:r>
        <w:t>голия, Лаосская Народно-Демократическая Республика, Камбоджа, Восточный Тимор, Непал, Пакистан и Корея, а также Всекитайская федерация женщин.</w:t>
      </w:r>
    </w:p>
    <w:p w:rsidR="00000000" w:rsidRDefault="00000000">
      <w:pPr>
        <w:pStyle w:val="SingleTxt"/>
      </w:pPr>
      <w:r>
        <w:t>269.</w:t>
      </w:r>
      <w:r>
        <w:tab/>
        <w:t>Помимо этого, представители национальных органов по вопросу женщин принимают участие в работе международных организаций и оказывают им п</w:t>
      </w:r>
      <w:r>
        <w:t>о</w:t>
      </w:r>
      <w:r>
        <w:t>мощь, внося свой вклад на заседаниях и конференциях ООН в таких областях, как женщины в вооруженных конфликтах, информационные и коммуникац</w:t>
      </w:r>
      <w:r>
        <w:t>и</w:t>
      </w:r>
      <w:r>
        <w:t>онные технологии, а также учет гендерной проблематики в деятельности по оказанию помощи развитию.</w:t>
      </w:r>
    </w:p>
    <w:p w:rsidR="00000000" w:rsidRDefault="00000000">
      <w:pPr>
        <w:pStyle w:val="SingleTxt"/>
      </w:pPr>
      <w:r>
        <w:t>270.</w:t>
      </w:r>
      <w:r>
        <w:tab/>
        <w:t>Женщины принимают все более активное участие в работе междунаро</w:t>
      </w:r>
      <w:r>
        <w:t>д</w:t>
      </w:r>
      <w:r>
        <w:t>ных форумов, и они последовательно выступают по тематике обеспечения ра</w:t>
      </w:r>
      <w:r>
        <w:t>в</w:t>
      </w:r>
      <w:r>
        <w:t>ноправия между мужчинами и женщинами в обсуждениях вопросов глобал</w:t>
      </w:r>
      <w:r>
        <w:t>ь</w:t>
      </w:r>
      <w:r>
        <w:t>ной политики, в том числе по таким направлениям, как права иностранных р</w:t>
      </w:r>
      <w:r>
        <w:t>а</w:t>
      </w:r>
      <w:r>
        <w:t>бочих, в том числе женщин, насилие в отношении женщин и необходимость учета гендерных вопросов в эконом</w:t>
      </w:r>
      <w:r>
        <w:t>и</w:t>
      </w:r>
      <w:r>
        <w:t>ческой политике.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4" w:name="_Toc85174923"/>
      <w:r>
        <w:t>В.</w:t>
      </w:r>
      <w:r>
        <w:tab/>
        <w:t>Предпринятые действия</w:t>
      </w:r>
      <w:bookmarkEnd w:id="5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271.</w:t>
      </w:r>
      <w:r>
        <w:tab/>
        <w:t>Меры, предпринятые для улучшения равноправия между мужчинами и женщинами правительством Филиппин на международном уровне, были оп</w:t>
      </w:r>
      <w:r>
        <w:t>и</w:t>
      </w:r>
      <w:r>
        <w:t>саны при обсуждении вопроса о достижении равноправия между мужчинами и женщинами в правительстве согласно статье 7.</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5" w:name="_Toc85174924"/>
      <w:r>
        <w:t>С.</w:t>
      </w:r>
      <w:r>
        <w:tab/>
        <w:t>Оставшиеся вопросы и вызовы</w:t>
      </w:r>
      <w:bookmarkEnd w:id="5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272.</w:t>
      </w:r>
      <w:r>
        <w:tab/>
        <w:t>По-прежнему сохраняется тенденция, когда женщины играют ведущую роль в тех областях, которые традиционно ассоциируются с участием женщин, таких, как развитие людей или социальные вопросы. Это является одной из причин, почему женщины также стремятся доминировать в этой проблематике или во</w:t>
      </w:r>
      <w:r>
        <w:t>з</w:t>
      </w:r>
      <w:r>
        <w:t>главляют ее обсуждение.</w:t>
      </w:r>
    </w:p>
    <w:p w:rsidR="00000000" w:rsidRDefault="00000000">
      <w:pPr>
        <w:pStyle w:val="SingleTxt"/>
      </w:pPr>
      <w:r>
        <w:t>273.</w:t>
      </w:r>
      <w:r>
        <w:tab/>
        <w:t>Необходимо активизировать усилия, направленные на расширение сферы международного представительства и участия женщин в таких областях, как экономика, наука и техника, право и принятие решений на глобальном уровне и т.д. Действия в поддержку женщин должны принимать форму обязательного включения представителей женщин в делегации стран на международные ф</w:t>
      </w:r>
      <w:r>
        <w:t>о</w:t>
      </w:r>
      <w:r>
        <w:t>румы. Эти действия должны также включать в себя обучение женщин и их б</w:t>
      </w:r>
      <w:r>
        <w:t>о</w:t>
      </w:r>
      <w:r>
        <w:t>лее активное участие в вышеуказанных областях, с тем чтобы подготовить их для работы на соответствующих постах или в качестве представителей своих стран в международных органах.</w:t>
      </w:r>
    </w:p>
    <w:p w:rsidR="00000000" w:rsidRDefault="00000000">
      <w:pPr>
        <w:pStyle w:val="SingleTxt"/>
      </w:pPr>
      <w:r>
        <w:t>274.</w:t>
      </w:r>
      <w:r>
        <w:tab/>
        <w:t>Необходимо укрепить и расширить системы помощи женщинам, которые позволяют облегчить возложенное на них бремя в связи с их занятостью на р</w:t>
      </w:r>
      <w:r>
        <w:t>а</w:t>
      </w:r>
      <w:r>
        <w:t>боте, в семье и социальной деятельности, что расширит их возможности для участия в международной деятельности и в работе международных организ</w:t>
      </w:r>
      <w:r>
        <w:t>а</w:t>
      </w:r>
      <w:r>
        <w:t>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pPr>
      <w:bookmarkStart w:id="56" w:name="_Toc85174925"/>
      <w:r>
        <w:t>Статья 9.</w:t>
      </w:r>
      <w:bookmarkEnd w:id="56"/>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Равные права женщин и мужчин в отношении приобретения, изменения или сохранения их гражданства или гражданства их детей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7" w:name="_Toc85174926"/>
      <w:r>
        <w:t xml:space="preserve">A. </w:t>
      </w:r>
      <w:r>
        <w:tab/>
        <w:t>Положение женщин</w:t>
      </w:r>
      <w:bookmarkEnd w:id="5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b/>
        </w:rPr>
      </w:pPr>
      <w:r>
        <w:t>275.</w:t>
      </w:r>
      <w:r>
        <w:tab/>
        <w:t>В соответствии с разделом 1 (2) ст. IV Конституции 1987 года любой р</w:t>
      </w:r>
      <w:r>
        <w:t>е</w:t>
      </w:r>
      <w:r>
        <w:t>бенок, отец и мать которого являются гражданами Филиппин, согласно дейс</w:t>
      </w:r>
      <w:r>
        <w:t>т</w:t>
      </w:r>
      <w:r>
        <w:t>вующему законодательству может быть признан филиппинским гра</w:t>
      </w:r>
      <w:r>
        <w:t>ж</w:t>
      </w:r>
      <w:r>
        <w:t>данином.</w:t>
      </w:r>
    </w:p>
    <w:p w:rsidR="00000000" w:rsidRDefault="00000000">
      <w:pPr>
        <w:pStyle w:val="SingleTxt"/>
        <w:rPr>
          <w:b/>
        </w:rPr>
      </w:pPr>
      <w:r>
        <w:t>276.</w:t>
      </w:r>
      <w:r>
        <w:tab/>
        <w:t>Закон о гражданстве предоставляет филиппинским женщинами и мужч</w:t>
      </w:r>
      <w:r>
        <w:t>и</w:t>
      </w:r>
      <w:r>
        <w:t>нам равные права в отношении приобретения, изменения или сохранения их гра</w:t>
      </w:r>
      <w:r>
        <w:t>ж</w:t>
      </w:r>
      <w:r>
        <w:t>данства или гражданства их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8" w:name="_Toc85174927"/>
      <w:r>
        <w:t xml:space="preserve">B. </w:t>
      </w:r>
      <w:r>
        <w:tab/>
        <w:t>Принятые меры</w:t>
      </w:r>
      <w:bookmarkEnd w:id="5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277.</w:t>
      </w:r>
      <w:r>
        <w:tab/>
        <w:t>С момента последнего периодического доклада значительный прогресс достигнут в плане осуществления конституционных положений о недискрим</w:t>
      </w:r>
      <w:r>
        <w:t>и</w:t>
      </w:r>
      <w:r>
        <w:t>нации женщин в отношении приобретения, повторного приобретения и сохр</w:t>
      </w:r>
      <w:r>
        <w:t>а</w:t>
      </w:r>
      <w:r>
        <w:t>нения гражданства. Политика и руководящие принципы в этой области учит</w:t>
      </w:r>
      <w:r>
        <w:t>ы</w:t>
      </w:r>
      <w:r>
        <w:t>вают обстоятельства и случаи, когда гражданство филиппинских женщин должно в установленном порядке признаваться и когда они могут вновь прио</w:t>
      </w:r>
      <w:r>
        <w:t>б</w:t>
      </w:r>
      <w:r>
        <w:t>рести свое гражданство.</w:t>
      </w:r>
    </w:p>
    <w:p w:rsidR="00000000" w:rsidRDefault="00000000">
      <w:pPr>
        <w:pStyle w:val="SingleTxt"/>
      </w:pPr>
      <w:r>
        <w:t>278.</w:t>
      </w:r>
      <w:r>
        <w:tab/>
        <w:t>С принятием Республиканского акта 8171 филиппинские женщины и мужчины, утратившие свое филиппинское гражданство в результате заключ</w:t>
      </w:r>
      <w:r>
        <w:t>е</w:t>
      </w:r>
      <w:r>
        <w:t>ния брака с иностранцами/иностранками или вследствие политической или экономической необходимости (при условии, что она/он не противодействует законно избранному правительству, не проповедует и не отстаивает насилие, является человеком высоконравственным и психически здоровым) могут во</w:t>
      </w:r>
      <w:r>
        <w:t>з</w:t>
      </w:r>
      <w:r>
        <w:t>вратиться на Ф</w:t>
      </w:r>
      <w:r>
        <w:t>и</w:t>
      </w:r>
      <w:r>
        <w:t>липпины для повторного приобретения своего гражданства.</w:t>
      </w:r>
    </w:p>
    <w:p w:rsidR="00000000" w:rsidRDefault="00000000">
      <w:pPr>
        <w:pStyle w:val="SingleTxt"/>
        <w:rPr>
          <w:b/>
        </w:rPr>
      </w:pPr>
      <w:r>
        <w:t>279.</w:t>
      </w:r>
      <w:r>
        <w:tab/>
        <w:t>В 1999 году Верховный суд в своем решении по вопросу о двойном гра</w:t>
      </w:r>
      <w:r>
        <w:t>ж</w:t>
      </w:r>
      <w:r>
        <w:t>данстве разъяснил, что женщины и мужчины могут обладать двойным гра</w:t>
      </w:r>
      <w:r>
        <w:t>ж</w:t>
      </w:r>
      <w:r>
        <w:t>данством в следующих случаях:</w:t>
      </w:r>
    </w:p>
    <w:p w:rsidR="00000000" w:rsidRDefault="00000000">
      <w:pPr>
        <w:pStyle w:val="SingleTxt"/>
        <w:ind w:left="1740" w:right="1264" w:hanging="476"/>
      </w:pPr>
      <w:r>
        <w:rPr>
          <w:lang w:val="en-US"/>
        </w:rPr>
        <w:t>a</w:t>
      </w:r>
      <w:r>
        <w:t>)</w:t>
      </w:r>
      <w:r>
        <w:tab/>
        <w:t>Если они родились от имеющих филиппинское гражданство отцов и/или матерей в зар</w:t>
      </w:r>
      <w:r>
        <w:t>у</w:t>
      </w:r>
      <w:r>
        <w:t xml:space="preserve">бежных странах, соблюдающих принцип </w:t>
      </w:r>
      <w:r>
        <w:rPr>
          <w:i/>
        </w:rPr>
        <w:t>jus soli</w:t>
      </w:r>
      <w:r>
        <w:t>;</w:t>
      </w:r>
    </w:p>
    <w:p w:rsidR="00000000" w:rsidRDefault="00000000">
      <w:pPr>
        <w:pStyle w:val="SingleTxt"/>
        <w:ind w:left="1740" w:right="1264" w:hanging="476"/>
      </w:pPr>
      <w:r>
        <w:rPr>
          <w:lang w:val="en-US"/>
        </w:rPr>
        <w:t>b</w:t>
      </w:r>
      <w:r>
        <w:t>)</w:t>
      </w:r>
      <w:r>
        <w:tab/>
        <w:t>Если они родились на Филиппинах от матерей-филппинок и отцов-иностранцев или отцов-филиппинцев и матерей-иностранок и если по з</w:t>
      </w:r>
      <w:r>
        <w:t>а</w:t>
      </w:r>
      <w:r>
        <w:t>конам страны их отца-иностранца или матери-иностранки, они также сч</w:t>
      </w:r>
      <w:r>
        <w:t>и</w:t>
      </w:r>
      <w:r>
        <w:t>таются гр</w:t>
      </w:r>
      <w:r>
        <w:t>а</w:t>
      </w:r>
      <w:r>
        <w:t>жданами этой страны; и</w:t>
      </w:r>
    </w:p>
    <w:p w:rsidR="00000000" w:rsidRDefault="00000000">
      <w:pPr>
        <w:pStyle w:val="SingleTxt"/>
        <w:ind w:left="1740" w:right="1264" w:hanging="476"/>
      </w:pPr>
      <w:r>
        <w:rPr>
          <w:lang w:val="en-US"/>
        </w:rPr>
        <w:t>c</w:t>
      </w:r>
      <w:r>
        <w:t>)</w:t>
      </w:r>
      <w:r>
        <w:tab/>
        <w:t>Если они вступают в брак с иностранцами/иностранками и если по зак</w:t>
      </w:r>
      <w:r>
        <w:t>о</w:t>
      </w:r>
      <w:r>
        <w:t>нам страны мужа/жены они считаются гражданами этой страны, кроме случаев, когда в результате их действия или бездействия они считаются отказавшимся от свое филиппинского гражданс</w:t>
      </w:r>
      <w:r>
        <w:t>т</w:t>
      </w:r>
      <w:r>
        <w:t>ва.</w:t>
      </w:r>
    </w:p>
    <w:p w:rsidR="00000000" w:rsidRDefault="00000000">
      <w:pPr>
        <w:pStyle w:val="SingleTxt"/>
        <w:rPr>
          <w:b/>
        </w:rPr>
      </w:pPr>
      <w:r>
        <w:t>280.</w:t>
      </w:r>
      <w:r>
        <w:tab/>
        <w:t>В 2003 году филиппинское правительство приняло закон (Республика</w:t>
      </w:r>
      <w:r>
        <w:t>н</w:t>
      </w:r>
      <w:r>
        <w:t>ский акт 9225), разрешающий сохранение и повторное приобретение фили</w:t>
      </w:r>
      <w:r>
        <w:t>п</w:t>
      </w:r>
      <w:r>
        <w:t>пинского гражданства. Закон гласит, что внебрачно родившиеся граждане Ф</w:t>
      </w:r>
      <w:r>
        <w:t>и</w:t>
      </w:r>
      <w:r>
        <w:t>липпин, ставшие гражданами другой страны, считаются не утратившими св</w:t>
      </w:r>
      <w:r>
        <w:t>о</w:t>
      </w:r>
      <w:r>
        <w:t>его ф</w:t>
      </w:r>
      <w:r>
        <w:t>и</w:t>
      </w:r>
      <w:r>
        <w:t>липпинского гражданства.</w:t>
      </w:r>
    </w:p>
    <w:p w:rsidR="00000000" w:rsidRDefault="00000000">
      <w:pPr>
        <w:pStyle w:val="SingleTxt"/>
        <w:rPr>
          <w:spacing w:val="-2"/>
        </w:rPr>
      </w:pPr>
      <w:r>
        <w:t>281.</w:t>
      </w:r>
      <w:r>
        <w:tab/>
        <w:t xml:space="preserve">Филиппинское правительство </w:t>
      </w:r>
      <w:r>
        <w:rPr>
          <w:spacing w:val="-2"/>
        </w:rPr>
        <w:t>обеспечило также поддержку прав женщин в отношении получения документов, требуемых при проезде, а именно паспорта. Р</w:t>
      </w:r>
      <w:r>
        <w:rPr>
          <w:spacing w:val="-2"/>
        </w:rPr>
        <w:t>у</w:t>
      </w:r>
      <w:r>
        <w:rPr>
          <w:spacing w:val="-2"/>
        </w:rPr>
        <w:t xml:space="preserve">ководящие принципы, касающиеся выдачи паспортов женщинам, предусмотренные в </w:t>
      </w:r>
      <w:r>
        <w:t>филиппинском законе о паспорте</w:t>
      </w:r>
      <w:r>
        <w:rPr>
          <w:spacing w:val="-2"/>
        </w:rPr>
        <w:t xml:space="preserve"> 1996 года не требуют, чтобы женщины испр</w:t>
      </w:r>
      <w:r>
        <w:rPr>
          <w:spacing w:val="-2"/>
        </w:rPr>
        <w:t>а</w:t>
      </w:r>
      <w:r>
        <w:rPr>
          <w:spacing w:val="-2"/>
        </w:rPr>
        <w:t>шивали согласия своих мужей при заявлении о выдаче данного документа. Руков</w:t>
      </w:r>
      <w:r>
        <w:rPr>
          <w:spacing w:val="-2"/>
        </w:rPr>
        <w:t>о</w:t>
      </w:r>
      <w:r>
        <w:rPr>
          <w:spacing w:val="-2"/>
        </w:rPr>
        <w:t>дящие принципы, содержащиеся в Справочнике, касающемся филиппинцев, прож</w:t>
      </w:r>
      <w:r>
        <w:rPr>
          <w:spacing w:val="-2"/>
        </w:rPr>
        <w:t>и</w:t>
      </w:r>
      <w:r>
        <w:rPr>
          <w:spacing w:val="-2"/>
        </w:rPr>
        <w:t>вающих за границей, требуют лишь представления соответствующих документов, подтверждающих гражданское состояние или семейное положение женщин заяв</w:t>
      </w:r>
      <w:r>
        <w:rPr>
          <w:spacing w:val="-2"/>
        </w:rPr>
        <w:t>и</w:t>
      </w:r>
      <w:r>
        <w:rPr>
          <w:spacing w:val="-2"/>
        </w:rPr>
        <w:t>тельниц.</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59" w:name="_Toc85174928"/>
      <w:r>
        <w:t xml:space="preserve">C. </w:t>
      </w:r>
      <w:r>
        <w:tab/>
        <w:t>Нерешенные проблемы и трудности</w:t>
      </w:r>
      <w:bookmarkEnd w:id="5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282.</w:t>
      </w:r>
      <w:r>
        <w:tab/>
        <w:t>В целях установления степени эффективности осуществления законов и руководящих принципов о недискриминации в отношении приобретения и с</w:t>
      </w:r>
      <w:r>
        <w:t>о</w:t>
      </w:r>
      <w:r>
        <w:t>хранения гражданства необходимо создание механизмов наблюдения для о</w:t>
      </w:r>
      <w:r>
        <w:t>т</w:t>
      </w:r>
      <w:r>
        <w:t>слеж</w:t>
      </w:r>
      <w:r>
        <w:t>и</w:t>
      </w:r>
      <w:r>
        <w:t>вания случаев их нарушения.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0" w:name="_Toc85174929"/>
      <w:r>
        <w:t>Статья 10.</w:t>
      </w:r>
      <w:bookmarkEnd w:id="60"/>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rPr>
          <w:i/>
        </w:rPr>
      </w:pPr>
      <w:r>
        <w:rPr>
          <w:i/>
        </w:rPr>
        <w:t>Равенство в области образования; одинаковые условия для ориентации в в</w:t>
      </w:r>
      <w:r>
        <w:rPr>
          <w:i/>
        </w:rPr>
        <w:t>ы</w:t>
      </w:r>
      <w:r>
        <w:rPr>
          <w:i/>
        </w:rPr>
        <w:t>боре профессии или специальности на всех уровнях; доступ к одинаковым пр</w:t>
      </w:r>
      <w:r>
        <w:rPr>
          <w:i/>
        </w:rPr>
        <w:t>о</w:t>
      </w:r>
      <w:r>
        <w:rPr>
          <w:i/>
        </w:rPr>
        <w:t>граммам обучения; ликвидация стереотипов; одинаковые возможности пол</w:t>
      </w:r>
      <w:r>
        <w:rPr>
          <w:i/>
        </w:rPr>
        <w:t>у</w:t>
      </w:r>
      <w:r>
        <w:rPr>
          <w:i/>
        </w:rPr>
        <w:t>чения стипендий; доступ к программам продолжения образования; сокращ</w:t>
      </w:r>
      <w:r>
        <w:rPr>
          <w:i/>
        </w:rPr>
        <w:t>е</w:t>
      </w:r>
      <w:r>
        <w:rPr>
          <w:i/>
        </w:rPr>
        <w:t>ние числа девушек, не заканчивающих школу; одинаковые возможности учас</w:t>
      </w:r>
      <w:r>
        <w:rPr>
          <w:i/>
        </w:rPr>
        <w:t>т</w:t>
      </w:r>
      <w:r>
        <w:rPr>
          <w:i/>
        </w:rPr>
        <w:t>вовать в занятиях спортом и физической подготовкой; доступ к информации в целях содействия обеспечению здоровья, включая информацию о планиров</w:t>
      </w:r>
      <w:r>
        <w:rPr>
          <w:i/>
        </w:rPr>
        <w:t>а</w:t>
      </w:r>
      <w:r>
        <w:rPr>
          <w:i/>
        </w:rPr>
        <w:t>нии размера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61" w:name="_Toc85174930"/>
      <w:r>
        <w:t xml:space="preserve">A. </w:t>
      </w:r>
      <w:r>
        <w:tab/>
        <w:t>Положение женщин</w:t>
      </w:r>
      <w:bookmarkEnd w:id="6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Грамотность</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283.</w:t>
      </w:r>
      <w:r>
        <w:tab/>
        <w:t>Образование является основным правом каждого филиппинца. Прав</w:t>
      </w:r>
      <w:r>
        <w:t>и</w:t>
      </w:r>
      <w:r>
        <w:t>тельство обеспечивает бесплатное государственное образование для всех на начальном и среднем уровнях и через государственные колледжи и универс</w:t>
      </w:r>
      <w:r>
        <w:t>и</w:t>
      </w:r>
      <w:r>
        <w:t>теты субсидирует высшее и профессионально-техническое образование в пр</w:t>
      </w:r>
      <w:r>
        <w:t>о</w:t>
      </w:r>
      <w:r>
        <w:t>винциях и городах по всей стране. В 1997 году 92 процента начальных школ были государственными, однако их доля, начиная с 2000-2001 годов и далее в результате открытия большего числа частных школ сократилась до 89 процентов. Доля государственных средних школ составляет порядка 59 процентов. Студентам, желающим получить высшее образование и засл</w:t>
      </w:r>
      <w:r>
        <w:t>у</w:t>
      </w:r>
      <w:r>
        <w:t>живающим финансовой поддержки, правительство предоставляет стипендии. Правительство через Комиссию по высшему образованию предоставляет ст</w:t>
      </w:r>
      <w:r>
        <w:t>и</w:t>
      </w:r>
      <w:r>
        <w:t>пендии и пособия неимущим и заслуживающим финансовой поддержки ст</w:t>
      </w:r>
      <w:r>
        <w:t>у</w:t>
      </w:r>
      <w:r>
        <w:t>дентам как государственных, так и частных высших учебных заведений.</w:t>
      </w:r>
    </w:p>
    <w:p w:rsidR="00000000" w:rsidRDefault="00000000">
      <w:pPr>
        <w:pStyle w:val="SingleTxt"/>
        <w:rPr>
          <w:spacing w:val="-2"/>
        </w:rPr>
      </w:pPr>
      <w:r>
        <w:rPr>
          <w:spacing w:val="-2"/>
        </w:rPr>
        <w:t>284.</w:t>
      </w:r>
      <w:r>
        <w:rPr>
          <w:spacing w:val="-2"/>
        </w:rPr>
        <w:tab/>
        <w:t>В 2000 году показатели элементарной грамотности (касающиеся умения ч</w:t>
      </w:r>
      <w:r>
        <w:rPr>
          <w:spacing w:val="-2"/>
        </w:rPr>
        <w:t>и</w:t>
      </w:r>
      <w:r>
        <w:rPr>
          <w:spacing w:val="-2"/>
        </w:rPr>
        <w:t>тать и писать простые сообщения на любом языке) для женщин и мужчин в возрасте 10 лет и старше составляли почти 92,3 процента и 92,0 процента соответственно, иными словами разница в соотношении между лицами женского и мужского пола составила 0,3 процента (NSO 2003h). Озабоченность вызывает то, что в период м</w:t>
      </w:r>
      <w:r>
        <w:rPr>
          <w:spacing w:val="-2"/>
        </w:rPr>
        <w:t>е</w:t>
      </w:r>
      <w:r>
        <w:rPr>
          <w:spacing w:val="-2"/>
        </w:rPr>
        <w:t>жду переписями 1990 и 2000 годов показатель грамотности снизился с 93,7 процента для мужчин и 93,4 процента для женщин. Это произошло после ре</w:t>
      </w:r>
      <w:r>
        <w:rPr>
          <w:spacing w:val="-2"/>
        </w:rPr>
        <w:t>з</w:t>
      </w:r>
      <w:r>
        <w:rPr>
          <w:spacing w:val="-2"/>
        </w:rPr>
        <w:t>кого роста показателя грамотности более чем на 17 процентов для двух групп в п</w:t>
      </w:r>
      <w:r>
        <w:rPr>
          <w:spacing w:val="-2"/>
        </w:rPr>
        <w:t>е</w:t>
      </w:r>
      <w:r>
        <w:rPr>
          <w:spacing w:val="-2"/>
        </w:rPr>
        <w:t>риод между 1980 и 1990 годами. Возможно это стало результатом как невысокого качества образования, являющегося бичом филиппинского сектора образования (ADB/WB 1999, Illo 2002a), так и уход из школ или запоздалого прихода детей в школу.</w:t>
      </w:r>
    </w:p>
    <w:p w:rsidR="00000000" w:rsidRDefault="00000000">
      <w:pPr>
        <w:pStyle w:val="SingleTxt"/>
      </w:pPr>
      <w:r>
        <w:rPr>
          <w:spacing w:val="-2"/>
        </w:rPr>
        <w:t>285.</w:t>
      </w:r>
      <w:r>
        <w:rPr>
          <w:spacing w:val="-2"/>
        </w:rPr>
        <w:tab/>
        <w:t>По сравнению в элементарной грамотностью показатель функциональной гр</w:t>
      </w:r>
      <w:r>
        <w:rPr>
          <w:spacing w:val="-2"/>
        </w:rPr>
        <w:t>а</w:t>
      </w:r>
      <w:r>
        <w:rPr>
          <w:spacing w:val="-2"/>
        </w:rPr>
        <w:t>мотности, требующий умения выполнять основные вычислительные действия, ниже как среди женщин, так и среди мужчин.</w:t>
      </w:r>
      <w:r>
        <w:rPr>
          <w:rStyle w:val="FootnoteReference"/>
          <w:spacing w:val="-2"/>
        </w:rPr>
        <w:footnoteReference w:id="15"/>
      </w:r>
      <w:r>
        <w:rPr>
          <w:spacing w:val="-2"/>
        </w:rPr>
        <w:t xml:space="preserve"> Здесь, однако, показатели женщин были лучше чем у мужчин (85,9 процента против 81,7 процента в 1994 году и 76,2 процента против 74,5 процента в 1989 году). </w:t>
      </w:r>
      <w:r>
        <w:t>Иная ситуация сложилась в А</w:t>
      </w:r>
      <w:r>
        <w:t>в</w:t>
      </w:r>
      <w:r>
        <w:t>тономном мусульманском регионе Минданао (АМРМ), где уровень функци</w:t>
      </w:r>
      <w:r>
        <w:t>о</w:t>
      </w:r>
      <w:r>
        <w:t>нальной грамотности женщин не превышал 59,1 процента, то есть на 4,1 процента ниже, чем соотве</w:t>
      </w:r>
      <w:r>
        <w:t>т</w:t>
      </w:r>
      <w:r>
        <w:t>ствующий показатель для мужчин (НСБ 1999a).</w:t>
      </w:r>
    </w:p>
    <w:p w:rsidR="00000000" w:rsidRDefault="00000000">
      <w:pPr>
        <w:pStyle w:val="SingleTxt"/>
      </w:pPr>
      <w:r>
        <w:t>286.</w:t>
      </w:r>
      <w:r>
        <w:tab/>
        <w:t>Заметная диспропорция в уровне функциональной грамотности сущес</w:t>
      </w:r>
      <w:r>
        <w:t>т</w:t>
      </w:r>
      <w:r>
        <w:t>вует между городскими и сельскими женщинами. В 1994 году уровень фун</w:t>
      </w:r>
      <w:r>
        <w:t>к</w:t>
      </w:r>
      <w:r>
        <w:t>циональной грамотности среди городских женщин составлял 83,9 процента, а среди сельских женщин – всего 68,8 процента. Он был значительно ниже среди женщин старше 44 лет. Такая тенденция может быть связана с отсутствием возможностей получения образования, недостаточным доступом к образов</w:t>
      </w:r>
      <w:r>
        <w:t>а</w:t>
      </w:r>
      <w:r>
        <w:t>тельным учреждениям или с тем, что в прошлом в сельских районах родители предшествующего поколения девочек были более склонны не поощрять их з</w:t>
      </w:r>
      <w:r>
        <w:t>а</w:t>
      </w:r>
      <w:r>
        <w:t>нятия в школе.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Формальное образование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287.</w:t>
      </w:r>
      <w:r>
        <w:tab/>
        <w:t>В настоящее время женщины, как правило, посещают школу до более старшего возраста, и большее число женщин продолжают обучение в высших учебных заведениях. В то время как в начале обучения в школе количество мальчиков немного превышает количество девочек (51 процент мальчиков и 49 процентов девочек в 2000-2001 годах), немного больше девочек переходят в среднюю школу (51,3 процента и 48,7 процента). Об этой тенденции свид</w:t>
      </w:r>
      <w:r>
        <w:t>е</w:t>
      </w:r>
      <w:r>
        <w:t>тельствует и коэффициент численности учащихся, или чистый коэффициент зачисления в школы,</w:t>
      </w:r>
      <w:r>
        <w:rPr>
          <w:rStyle w:val="FootnoteReference"/>
        </w:rPr>
        <w:footnoteReference w:id="16"/>
      </w:r>
      <w:r>
        <w:t xml:space="preserve"> который в последнее время стабильно растет и который относительно высок по сравнению с другими развивающимися странами. За исключением 1998-99 годов, в начальной школе численность учащихся му</w:t>
      </w:r>
      <w:r>
        <w:t>ж</w:t>
      </w:r>
      <w:r>
        <w:t>ского пола, как правило, превышает численность учащихся женского пола, т</w:t>
      </w:r>
      <w:r>
        <w:t>о</w:t>
      </w:r>
      <w:r>
        <w:t>гда как на последующих этапах обучения дело обстоит иначе. Это свидетельс</w:t>
      </w:r>
      <w:r>
        <w:t>т</w:t>
      </w:r>
      <w:r>
        <w:t>вует об отсутствии систематических предубеждений в отношении девочек, а также о признании родителями того факта, что девочки, как правило, имеют более высокую успеваемость (МДОФ 1997) и чаще, чем мальчики, заканчив</w:t>
      </w:r>
      <w:r>
        <w:t>а</w:t>
      </w:r>
      <w:r>
        <w:t>ют учебный год и обучение (см. коэффициенты выживаемости для различных контингентов в Приложении-таблице В10.1, Приложение В). Многие родители считают разумным вкладывать деньги в образование девочек. Причиной более низкой численности учащихся-мальчиков возможно является тот факт, что мальчики бросают школу, чтобы помогать содержать свои семьи, о чем свид</w:t>
      </w:r>
      <w:r>
        <w:t>е</w:t>
      </w:r>
      <w:r>
        <w:t>тельствует более высокая процентная доля мальчиков среди работающих детей (Обзоры NSO в области детского тр</w:t>
      </w:r>
      <w:r>
        <w:t>у</w:t>
      </w:r>
      <w:r>
        <w:t>да, 1995 и 2001 годы).</w:t>
      </w:r>
    </w:p>
    <w:p w:rsidR="00000000" w:rsidRDefault="00000000">
      <w:pPr>
        <w:pStyle w:val="SingleTxt"/>
      </w:pPr>
      <w:r>
        <w:t>288.</w:t>
      </w:r>
      <w:r>
        <w:tab/>
        <w:t>Хотя в целом по стране коэффициент численности учащихся высок, он ниже в отдаленных районах, среди беспризорных детей и детей, живущих в у</w:t>
      </w:r>
      <w:r>
        <w:t>с</w:t>
      </w:r>
      <w:r>
        <w:t>ловиях крайней бедности, среди коренных народов и в районах вооруженных конфликтов (Reyes 2003). Кроме того, высокий процент отсева и низкий коэ</w:t>
      </w:r>
      <w:r>
        <w:t>ф</w:t>
      </w:r>
      <w:r>
        <w:t>фициент выживаемости для данного контингента, особенно среди мальчиков (Таблица В10.1 в Прилож</w:t>
      </w:r>
      <w:r>
        <w:t>е</w:t>
      </w:r>
      <w:r>
        <w:t>нии) и детей, характерны для АМРМ (где в 1996-2001 годах доля учащихся, бросающих учебу, составляла в среднем 20 процентов) и в Западном Минданао (13 процентов, Reyes 2003).</w:t>
      </w:r>
      <w:r>
        <w:rPr>
          <w:rStyle w:val="FootnoteReference"/>
        </w:rPr>
        <w:footnoteReference w:id="17"/>
      </w:r>
      <w:r>
        <w:t xml:space="preserve"> В рамках правительственной «Программы образования для всех» эти регионы давно считаются проблемными.</w:t>
      </w:r>
    </w:p>
    <w:p w:rsidR="00000000" w:rsidRDefault="00000000">
      <w:pPr>
        <w:pStyle w:val="SingleTxt"/>
      </w:pPr>
      <w:r>
        <w:t>289.</w:t>
      </w:r>
      <w:r>
        <w:tab/>
        <w:t>Среди поступающих в высшие учебные заведения преобладают женщины (Таблица В10.2 в Приложении). Однако, после случившегося в середине 1997 года кризиса доля поступающих в учебные заведения мужчин стабильно увеличивалась и повысилась с 43,8 процента в 1998-99 учебном году до 48,1 процента в 2000-2001 году, тогда как снижение количества зачисляемых в учебные заведения женщин вероятно связано с экономическими трудностями, которые по сей день не преодолены.</w:t>
      </w:r>
    </w:p>
    <w:p w:rsidR="00000000" w:rsidRDefault="00000000">
      <w:pPr>
        <w:pStyle w:val="SingleTxt"/>
      </w:pPr>
      <w:r>
        <w:t>290.</w:t>
      </w:r>
      <w:r>
        <w:tab/>
        <w:t>В колледжах и университетах наибольшей популярностью как среди женщин, так и среди мужчин по-прежнему пользуются факультеты делового администрирования. По количеству абитуриентов также лидируют следующие пять направлений: педагогика, медицина/здравоохранение, информатика и м</w:t>
      </w:r>
      <w:r>
        <w:t>а</w:t>
      </w:r>
      <w:r>
        <w:t>тем</w:t>
      </w:r>
      <w:r>
        <w:t>а</w:t>
      </w:r>
      <w:r>
        <w:t>тика, а также инженерное дело (Таблица В10.3 в Приложении). По-прежнему существует дифференциация профессий как более популярных ср</w:t>
      </w:r>
      <w:r>
        <w:t>е</w:t>
      </w:r>
      <w:r>
        <w:t>ди женщин или среди мужчин, однако эта разница не так заметна, как раньше. Например, по таким направлениям как сельское хозяйство, лесничество, ры</w:t>
      </w:r>
      <w:r>
        <w:t>б</w:t>
      </w:r>
      <w:r>
        <w:t>ный промысел и ветеринария, которые в свое время считались традиционно мужскими, в настоящее время обеспечен «гендерный баланс», поскольку же</w:t>
      </w:r>
      <w:r>
        <w:t>н</w:t>
      </w:r>
      <w:r>
        <w:t>щины составляют 47-50 процентов абитуриентов. Математика и информатика также привлекают больше женщин (55 процентов), чем мужчин, но при этом мужчины составляют большинство принятых абитуриентов. Также женщины доминируют в торговле, ремеслах и промышленном проектировании, которые некогда считались мужскими сферами деятельности. При том что количество поступающих на данные специальности крайне невелико, большую их часть соста</w:t>
      </w:r>
      <w:r>
        <w:t>в</w:t>
      </w:r>
      <w:r>
        <w:t>ляют женщины (81,3 процента в 1995-96 годах и 84,0 процента в 1999-2000 годах).</w:t>
      </w:r>
    </w:p>
    <w:p w:rsidR="00000000" w:rsidRDefault="00000000">
      <w:pPr>
        <w:pStyle w:val="SingleTxt"/>
      </w:pPr>
      <w:r>
        <w:t>291.</w:t>
      </w:r>
      <w:r>
        <w:tab/>
        <w:t>Хотя женщины имеют более широкий доступ к высшему образованию, чем мужчины, они менее успешно сдают государственные аттестационные или выпускные экзамены. Так, в 2000 году их успешно сдали 35,9 процента экз</w:t>
      </w:r>
      <w:r>
        <w:t>а</w:t>
      </w:r>
      <w:r>
        <w:t>менуемых женщин (ср. 37,6 процента мужчин) (Институт по делам женщин и гендерным вопросам (ИЖГВ) 2002 год со ссылкой на Национальный статист</w:t>
      </w:r>
      <w:r>
        <w:t>и</w:t>
      </w:r>
      <w:r>
        <w:t>ческий координационный совет (НСКС) 2001 год). Женщины имеют относ</w:t>
      </w:r>
      <w:r>
        <w:t>и</w:t>
      </w:r>
      <w:r>
        <w:t>тельно более высокую успеваемость, чем мужчины, только в трех областях специализации (стоматология, электромашиностроение и услуги среднего м</w:t>
      </w:r>
      <w:r>
        <w:t>е</w:t>
      </w:r>
      <w:r>
        <w:t>дицинского персонала) из восемнадцати, тогда как доля сдавших аттестацио</w:t>
      </w:r>
      <w:r>
        <w:t>н</w:t>
      </w:r>
      <w:r>
        <w:t>ные экзамены по двум направлениям педагогики в обоих группах составила всего 35-37 процентов. По остальным тринадцати специальностям у мужчин успеваемость выше, чем у женщин. Разрыв в уровне успеваемости наиболее велик на таких специальностях как акушерство (27,1 процентных пунктов; 78,4 процента сдавших из 51 экзаменуемого мужчины и 51,3 процента сдавших из 2 646 экзаменуемых женщин), фармацевтика (12,5) и химическая инженерия (11,8).</w:t>
      </w:r>
    </w:p>
    <w:p w:rsidR="00000000" w:rsidRDefault="00000000">
      <w:pPr>
        <w:pStyle w:val="SingleTxt"/>
      </w:pPr>
      <w:r>
        <w:t>292.</w:t>
      </w:r>
      <w:r>
        <w:tab/>
        <w:t>Женщины также получили доступ к военной подготовке. Это стало во</w:t>
      </w:r>
      <w:r>
        <w:t>з</w:t>
      </w:r>
      <w:r>
        <w:t>можным после того как в 1991 году был принят Республиканский закон (РЗ) 7192, согласно которому женщины получили «равные возможности при назначении на должности во всех военных или аналогичных учебных завед</w:t>
      </w:r>
      <w:r>
        <w:t>е</w:t>
      </w:r>
      <w:r>
        <w:t>ниях Вооруженных сил Филиппин и Национальной полиции Филиппин, зачи</w:t>
      </w:r>
      <w:r>
        <w:t>с</w:t>
      </w:r>
      <w:r>
        <w:t>лении, обучении, получении дипломов и офицерских званий в них» (Ст. 7). В 1999-2000 учебном году вступительный экзамен в Военную академию Фили</w:t>
      </w:r>
      <w:r>
        <w:t>п</w:t>
      </w:r>
      <w:r>
        <w:t>пин сдали около 257 женщин, что составило 17,3 процентов от общего колич</w:t>
      </w:r>
      <w:r>
        <w:t>е</w:t>
      </w:r>
      <w:r>
        <w:t>ства абитуриентов. Однако из-за ограниченных возможностей к обучению д</w:t>
      </w:r>
      <w:r>
        <w:t>о</w:t>
      </w:r>
      <w:r>
        <w:t>пускаются не более 20 женщин-курсантов в год.</w:t>
      </w:r>
    </w:p>
    <w:p w:rsidR="00000000" w:rsidRDefault="00000000">
      <w:pPr>
        <w:pStyle w:val="SingleTxt"/>
      </w:pPr>
      <w:r>
        <w:t>293.</w:t>
      </w:r>
      <w:r>
        <w:tab/>
        <w:t>Данные о количестве стипендиатов программы стипендий КПВО свид</w:t>
      </w:r>
      <w:r>
        <w:t>е</w:t>
      </w:r>
      <w:r>
        <w:t>тельствуют о том, что женщины имеют больше возможностей доступа к вы</w:t>
      </w:r>
      <w:r>
        <w:t>с</w:t>
      </w:r>
      <w:r>
        <w:t>шему образованию. В 1997-98 годах 67 процентов из 32 521 стипендиата с</w:t>
      </w:r>
      <w:r>
        <w:t>о</w:t>
      </w:r>
      <w:r>
        <w:t>ставляли женщины. На следующий год стипендии были распределены еще б</w:t>
      </w:r>
      <w:r>
        <w:t>о</w:t>
      </w:r>
      <w:r>
        <w:t>лее неравномерно, и стипендиатами стали 19 426 женщин, что составило 69 процентов от их общего числа. В 2001-2002 годах стипендиатами Програ</w:t>
      </w:r>
      <w:r>
        <w:t>м</w:t>
      </w:r>
      <w:r>
        <w:t>мы финансовой помощи студентам (ПФПС), которая осуществляется под эг</w:t>
      </w:r>
      <w:r>
        <w:t>и</w:t>
      </w:r>
      <w:r>
        <w:t>дой КПВО, стали 22 329 человек, из них 9 601 мужчина (43 процента) и 12 728 женщин (57 процентов). Как и в предыдущие годы, в 2002-2003 учебном году женщины получили большую часть стипендий и финансовых грантов (Таблица В10.4 в Приложении), за исключением стипендиатов из числа студе</w:t>
      </w:r>
      <w:r>
        <w:t>н</w:t>
      </w:r>
      <w:r>
        <w:t>тов-мусульман, 60 процентов из которых составляли мужчины.</w:t>
      </w:r>
    </w:p>
    <w:p w:rsidR="00000000" w:rsidRDefault="00000000">
      <w:pPr>
        <w:pStyle w:val="SingleTxt"/>
      </w:pPr>
      <w:r>
        <w:t>294.</w:t>
      </w:r>
      <w:r>
        <w:tab/>
        <w:t>Однако, за укрепившимся численным преобладанием женщин в высших учебных заведениях кроется ряд проблем в области обеспечения равноправия мужчин и женщин. Среди них следующие:</w:t>
      </w:r>
    </w:p>
    <w:p w:rsidR="00000000" w:rsidRDefault="00000000">
      <w:pPr>
        <w:pStyle w:val="SingleTxt"/>
        <w:ind w:left="1740" w:right="1264" w:hanging="476"/>
      </w:pPr>
      <w:r>
        <w:t>а)</w:t>
      </w:r>
      <w:r>
        <w:tab/>
        <w:t>за исключением делового администрирования, которое по-прежнему из</w:t>
      </w:r>
      <w:r>
        <w:t>у</w:t>
      </w:r>
      <w:r>
        <w:t>чают многие молодые люди в надежде по окончании учебы найти работу в частном секторе, женщины сконцентрированы в областях (на специальн</w:t>
      </w:r>
      <w:r>
        <w:t>о</w:t>
      </w:r>
      <w:r>
        <w:t>стях), которые являются менее высокооплачиваемыми, чем те, в которых специализ</w:t>
      </w:r>
      <w:r>
        <w:t>и</w:t>
      </w:r>
      <w:r>
        <w:t>руются мужчины (инженерное дело; АБР/ВБ 1999 год);</w:t>
      </w:r>
    </w:p>
    <w:p w:rsidR="00000000" w:rsidRDefault="00000000">
      <w:pPr>
        <w:pStyle w:val="SingleTxt"/>
        <w:ind w:left="1740" w:right="1264" w:hanging="476"/>
      </w:pPr>
      <w:r>
        <w:t>b)</w:t>
      </w:r>
      <w:r>
        <w:tab/>
        <w:t>в рамках одной области (например, деловое администрирование или м</w:t>
      </w:r>
      <w:r>
        <w:t>е</w:t>
      </w:r>
      <w:r>
        <w:t>дицина) женщины и мужчины, как правило, выбирают различные области специализации. Так, женщины выбирают профессию среднего медици</w:t>
      </w:r>
      <w:r>
        <w:t>н</w:t>
      </w:r>
      <w:r>
        <w:t>ского персонала, фармацевтику и акушерство, тогда как мужчины учатся на врачей и физиотерапевтов. Однако, в связи с тем, что за границей ра</w:t>
      </w:r>
      <w:r>
        <w:t>с</w:t>
      </w:r>
      <w:r>
        <w:t>тет спрос на средний медицинский персонал и специалистов в области физиотерапии, случается, что выпускники медицинских учебных завед</w:t>
      </w:r>
      <w:r>
        <w:t>е</w:t>
      </w:r>
      <w:r>
        <w:t>ний возвращаются в них, чтобы пройти курс обучения по этим специал</w:t>
      </w:r>
      <w:r>
        <w:t>ь</w:t>
      </w:r>
      <w:r>
        <w:t>ностям. В инженерном деле наблюдается аналогичная с гендерной точки зрения тенденция. Как правило, женщины выбирают менее высокоопл</w:t>
      </w:r>
      <w:r>
        <w:t>а</w:t>
      </w:r>
      <w:r>
        <w:t>чиваемые профессии, чем мужчины. Проведенное в 1998 году исследов</w:t>
      </w:r>
      <w:r>
        <w:t>а</w:t>
      </w:r>
      <w:r>
        <w:t>ние образовательного сектора показало, что среди опрошенных в 1997 году выпускников 1995 года, получивших медицинское образование и образование в области здравоохранения, меньше всего по сравнению с врачами (9 508 филиппинских песо) зарабатывают средний медицинский персонал и фармацевты (7 217 филиппинских песо). По имеющимся да</w:t>
      </w:r>
      <w:r>
        <w:t>н</w:t>
      </w:r>
      <w:r>
        <w:t>ным, специалисты в области морского строительства, которые составляют большую часть всех поступающих на инженерные специальности, зараб</w:t>
      </w:r>
      <w:r>
        <w:t>а</w:t>
      </w:r>
      <w:r>
        <w:t>тывают в среднем 10 832 филиппинских песо в месяц, то есть намного больше, чем специалисты в области гражданского строительства, которое является наиболее популярным направлением инженерного дела среди женщин (АБР/ВБ 1999 год);</w:t>
      </w:r>
    </w:p>
    <w:p w:rsidR="00000000" w:rsidRDefault="00000000">
      <w:pPr>
        <w:pStyle w:val="SingleTxt"/>
        <w:ind w:left="1740" w:right="1264" w:hanging="476"/>
      </w:pPr>
      <w:r>
        <w:t>с)</w:t>
      </w:r>
      <w:r>
        <w:tab/>
        <w:t>на состоявшейся в июле 2001 года конференции Ассоциации за изучение проблем женщин Филиппин (АПЖФ), профессионального объединения практикующих специалистов в области исследований в интересах же</w:t>
      </w:r>
      <w:r>
        <w:t>н</w:t>
      </w:r>
      <w:r>
        <w:t>щин, говорилось о том, насколько сильное влияние оказывают школьные консультанты по вопросам профессиональной ориентации на формиров</w:t>
      </w:r>
      <w:r>
        <w:t>а</w:t>
      </w:r>
      <w:r>
        <w:t>ние гендерных стереотипов в области высшего образования. Также указ</w:t>
      </w:r>
      <w:r>
        <w:t>ы</w:t>
      </w:r>
      <w:r>
        <w:t>валось, что учебные пособия и практические занятия на этапе начального образования способствуют укреплению не только стереотипных пре</w:t>
      </w:r>
      <w:r>
        <w:t>д</w:t>
      </w:r>
      <w:r>
        <w:t>ставлений о роли мужчин и женщин, которые влияют на выбор профе</w:t>
      </w:r>
      <w:r>
        <w:t>с</w:t>
      </w:r>
      <w:r>
        <w:t>сии, но также стереотипов в области отношений между полами, в резул</w:t>
      </w:r>
      <w:r>
        <w:t>ь</w:t>
      </w:r>
      <w:r>
        <w:t>тате чего возводятся в норму домогательства в отношении школьниц и студенток со стороны их сверстников.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Профессионально-техническое образование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295.</w:t>
      </w:r>
      <w:r>
        <w:tab/>
        <w:t>Руководство сферой профессионально-технического образования (ПТО) в стране осуществляет Управление по техническому образованию и развитию навыков (ТЕСДА). ПТО включает в себя профессиональную подготовку на базе школ, неформальное образование (повышение квалификации) в соответству</w:t>
      </w:r>
      <w:r>
        <w:t>ю</w:t>
      </w:r>
      <w:r>
        <w:t>щих центрах, обучение на производстве и подготовку на основе участия о</w:t>
      </w:r>
      <w:r>
        <w:t>б</w:t>
      </w:r>
      <w:r>
        <w:t>щин. Система подготовки на базе школ предусматривает курс обучения пр</w:t>
      </w:r>
      <w:r>
        <w:t>о</w:t>
      </w:r>
      <w:r>
        <w:t>должительностью от одного года до трех лет для женщин и мужчин, получи</w:t>
      </w:r>
      <w:r>
        <w:t>в</w:t>
      </w:r>
      <w:r>
        <w:t>ших полное среднее образование. Лидерами в этой области являются частные учреждения, на которые приходится 90 процентов выпускников. В рамках н</w:t>
      </w:r>
      <w:r>
        <w:t>е</w:t>
      </w:r>
      <w:r>
        <w:t>формального образования организуются курсы или профессиональная подг</w:t>
      </w:r>
      <w:r>
        <w:t>о</w:t>
      </w:r>
      <w:r>
        <w:t>товка для широкого круга лиц, в том числе для молодежи, не посещающей школу, и женщин, рассчитывающих устроиться на работу. К обучению на пр</w:t>
      </w:r>
      <w:r>
        <w:t>о</w:t>
      </w:r>
      <w:r>
        <w:t>изводстве и промышленному партнерству относится ряд действующих мех</w:t>
      </w:r>
      <w:r>
        <w:t>а</w:t>
      </w:r>
      <w:r>
        <w:t>низмов подготовки. В рамках общинного сектора обеспечивается обучение по вопросам поиска заработка и предпринимательства.</w:t>
      </w:r>
    </w:p>
    <w:p w:rsidR="00000000" w:rsidRDefault="00000000">
      <w:pPr>
        <w:pStyle w:val="SingleTxt"/>
      </w:pPr>
      <w:r>
        <w:t>296.</w:t>
      </w:r>
      <w:r>
        <w:tab/>
        <w:t>Национальная сеть центров ТЕСДА в провинции и уполномоченных о</w:t>
      </w:r>
      <w:r>
        <w:t>б</w:t>
      </w:r>
      <w:r>
        <w:t>разовательных учреждений и специалистов в области образования обеспечив</w:t>
      </w:r>
      <w:r>
        <w:t>а</w:t>
      </w:r>
      <w:r>
        <w:t>ет профессиональную подготовку не посещающей школу молодежи, безрабо</w:t>
      </w:r>
      <w:r>
        <w:t>т</w:t>
      </w:r>
      <w:r>
        <w:t>ных и работающих женщин. В учреждения ТЕСДА поступают более 150 тыс. человек в год (УСТЗ, 2000 год). Среди принимаемых в программы формальной подготовки и их выпускников женщины составляют 40 процентов. Больше женщин стали участвовать в программах неформальной подготовки. В 1997 году женщины составляли 45 процентов от общего числа поступающих. В 1997 году их доля возросла до 64 процентов, а в 1999 году – снизилась до 59 процентов. В 1998 году только около 17 процентов от общего числа пост</w:t>
      </w:r>
      <w:r>
        <w:t>у</w:t>
      </w:r>
      <w:r>
        <w:t>пивших мужчин и женщин закончили обучение, тогда как в предыдущем году доля закончи</w:t>
      </w:r>
      <w:r>
        <w:t>в</w:t>
      </w:r>
      <w:r>
        <w:t>ших обучение составила целых 66 процентов.</w:t>
      </w:r>
    </w:p>
    <w:p w:rsidR="00000000" w:rsidRDefault="00000000">
      <w:pPr>
        <w:pStyle w:val="SingleTxt"/>
      </w:pPr>
      <w:r>
        <w:t>297.</w:t>
      </w:r>
      <w:r>
        <w:tab/>
        <w:t>По состоянию на 2001 год 40 процентов поступающих в заведения ПТО составляли женщины. В 2003 году женщины составляли более 53 процентов от общего числа поступающих в учреждения ПТО и их выпускников. Это больше, чем в других странах, но этого недостаточно для обеспечения паритета. Кроме того, за этими цифрами скрываются по меньшей мере две проблемы, связанные с обеспечением равноправия мужчин и женщин. Большинство женщин ско</w:t>
      </w:r>
      <w:r>
        <w:t>н</w:t>
      </w:r>
      <w:r>
        <w:t>центрировано на традиционных курсах, таких как шитье, искусство и ремесла, а также организация питания, после окончания которых они, как правило, м</w:t>
      </w:r>
      <w:r>
        <w:t>о</w:t>
      </w:r>
      <w:r>
        <w:t>гут рассчитывать на низкооплачиваемую работу. Кроме того, женщины гораздо реже проходят национальную квалификационную проверку после окончания учебы. В 1998 году эту проверку проходили около 7 400 женщин и 26 700 мужчин. Квалификационную проверку успешно прошли 39 процентов мужчин и только 33 процента женщин. Эта проблема отчасти объясняется се</w:t>
      </w:r>
      <w:r>
        <w:t>г</w:t>
      </w:r>
      <w:r>
        <w:t>ментацией рынка по признаку пола, вследствие чего на рынке труда женщины по-прежнему выполняют более низкооплачиваемую работу (см. раздел, посв</w:t>
      </w:r>
      <w:r>
        <w:t>я</w:t>
      </w:r>
      <w:r>
        <w:t>щенный выполнению Статьи 11). Кроме того, курсы, на которых занимаются женщины, такие как кулинарное искусство, шитье и др., не предполагают кв</w:t>
      </w:r>
      <w:r>
        <w:t>а</w:t>
      </w:r>
      <w:r>
        <w:t>лификационных проверок.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62" w:name="_Toc85174931"/>
      <w:r>
        <w:t xml:space="preserve">В. </w:t>
      </w:r>
      <w:r>
        <w:tab/>
        <w:t>Принимаемые меры</w:t>
      </w:r>
      <w:bookmarkEnd w:id="6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298.</w:t>
      </w:r>
      <w:r>
        <w:tab/>
        <w:t>В целях решения проблем, связанных с обеспечением равноправия му</w:t>
      </w:r>
      <w:r>
        <w:t>ж</w:t>
      </w:r>
      <w:r>
        <w:t>чин и женщин в образовательном секторе, правительство приступило к осущ</w:t>
      </w:r>
      <w:r>
        <w:t>е</w:t>
      </w:r>
      <w:r>
        <w:t>ствлению различных мер и программных инициатив. Кроме того, программы и проекты, направленные на расширение доступа женщин и девочек к образов</w:t>
      </w:r>
      <w:r>
        <w:t>а</w:t>
      </w:r>
      <w:r>
        <w:t>нию и на создание благоприятных для женщин и девочек условий в области образования, осуществляют различные неправительственные группы, такие как частные образовательные учреждения, неправительственные организации и профессиональные объединения.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Разработка политики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299.</w:t>
      </w:r>
      <w:r>
        <w:tab/>
        <w:t xml:space="preserve"> </w:t>
      </w:r>
      <w:r>
        <w:rPr>
          <w:lang w:val="en-US"/>
        </w:rPr>
        <w:t>C</w:t>
      </w:r>
      <w:r>
        <w:t xml:space="preserve"> тем чтобы повысить популярность научно-технического образования, Конгресс Филиппин принял РЗ № 8248, или Закон о стипендиях в области на</w:t>
      </w:r>
      <w:r>
        <w:t>у</w:t>
      </w:r>
      <w:r>
        <w:t>ки и техники от 1997 года. Его целью является расширение и улучшение во</w:t>
      </w:r>
      <w:r>
        <w:t>з</w:t>
      </w:r>
      <w:r>
        <w:t>можностей женщин и мужчин в сфере образования, с тем чтобы поощрять об</w:t>
      </w:r>
      <w:r>
        <w:t>у</w:t>
      </w:r>
      <w:r>
        <w:t>чение на научно-технических специальностях.</w:t>
      </w:r>
    </w:p>
    <w:p w:rsidR="00000000" w:rsidRDefault="00000000">
      <w:pPr>
        <w:pStyle w:val="SingleTxt"/>
      </w:pPr>
      <w:r>
        <w:t>300.</w:t>
      </w:r>
      <w:r>
        <w:tab/>
        <w:t>Согласно Закону о программе подготовки к воинской службе от 2001 года (РЗ 9163), начиная с 2002-2003 учебного года военная подготовка в высших учебных заведениях (известная как Корпус подготовки офицеров запаса, или КПОЗ) входит в число трех обязательных курсов, один из которых студенты, как мужчины, так и женщины, должны пройти до окончания учебного завед</w:t>
      </w:r>
      <w:r>
        <w:t>е</w:t>
      </w:r>
      <w:r>
        <w:t>ния. Двумя другими курсами являются Служба подготовки по вопросам гра</w:t>
      </w:r>
      <w:r>
        <w:t>ж</w:t>
      </w:r>
      <w:r>
        <w:t>данского обеспечения (СПГО) и Служба подготовки по вопросам грамотности (СПГ).</w:t>
      </w:r>
    </w:p>
    <w:p w:rsidR="00000000" w:rsidRDefault="00000000">
      <w:pPr>
        <w:pStyle w:val="SingleTxt"/>
      </w:pPr>
      <w:r>
        <w:t>301.</w:t>
      </w:r>
      <w:r>
        <w:tab/>
        <w:t>На рассмотрении Сената Филиппин находится ряд законопроектов о пр</w:t>
      </w:r>
      <w:r>
        <w:t>е</w:t>
      </w:r>
      <w:r>
        <w:t>доставлении женщинам стипендий или финансовой помощи. Внесенные в С</w:t>
      </w:r>
      <w:r>
        <w:t>е</w:t>
      </w:r>
      <w:r>
        <w:t>нат законопроекты №№ 764, 1104, 1108 и 1247 направлены на предоставление женщинам равных с мужчинами возможностей в области спорта путем распр</w:t>
      </w:r>
      <w:r>
        <w:t>о</w:t>
      </w:r>
      <w:r>
        <w:t>странения на них программ стипендий, выплачиваемых спортсменам, и обе</w:t>
      </w:r>
      <w:r>
        <w:t>с</w:t>
      </w:r>
      <w:r>
        <w:t>печения им равных денежных призов на соревнованиях профессионалов. В то же время, целью представленных в Сенат законопроектов №№ 601 и 1248 является расширение прав женщин на основе предоставления им помощи и расширения их возможностей на предприятиях, с тем чтобы обеспечить им достойный заработок, помочь им в полной мере реализовать свой потенциал и расширить их доступ к образованию.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Разработка программ: правительство</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Формальное образование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302.</w:t>
      </w:r>
      <w:r>
        <w:tab/>
        <w:t>Министерство образования постоянно ведет поиск путей максимально эффективного использования имеющихся у него ресурсов путем проведения реформ в области образования, внедрения альтернативных форм обучения, осуществления программ при участии общин и установления партнерских о</w:t>
      </w:r>
      <w:r>
        <w:t>т</w:t>
      </w:r>
      <w:r>
        <w:t>ношений с общинными учреждениями и НПО с целью обеспечить гражданам Филиппин доступ к услугам в области образования. Также разрабатываются предметы, или модули, посвященные гендерным аспектам, и в скором времени будут представлены учебные пособия по включению гендерной проблематики в ряд предметов. В частности:</w:t>
      </w:r>
    </w:p>
    <w:p w:rsidR="00000000" w:rsidRDefault="00000000">
      <w:pPr>
        <w:pStyle w:val="SingleTxt"/>
        <w:ind w:left="1740" w:right="1264" w:hanging="476"/>
      </w:pPr>
      <w:r>
        <w:t>а)</w:t>
      </w:r>
      <w:r>
        <w:tab/>
        <w:t>Управление начального образования включило в учебную программу предметы, или модули, посвященные правам человека и половому восп</w:t>
      </w:r>
      <w:r>
        <w:t>и</w:t>
      </w:r>
      <w:r>
        <w:t>танию;</w:t>
      </w:r>
    </w:p>
    <w:p w:rsidR="00000000" w:rsidRDefault="00000000">
      <w:pPr>
        <w:pStyle w:val="SingleTxt"/>
        <w:ind w:left="1740" w:right="1264" w:hanging="476"/>
      </w:pPr>
      <w:r>
        <w:t>b)</w:t>
      </w:r>
      <w:r>
        <w:tab/>
        <w:t>министерство издало методическое пособие с типовыми учебными пл</w:t>
      </w:r>
      <w:r>
        <w:t>а</w:t>
      </w:r>
      <w:r>
        <w:t>нами, разработанными как для начальной, так и для средней школы, в к</w:t>
      </w:r>
      <w:r>
        <w:t>о</w:t>
      </w:r>
      <w:r>
        <w:t>тором, в соответствии с пересмотренной учебной программой на 2002 год, гендерная проблематика включена в пять предметов, а именно в английский язык, естественные науки, математику, филиппинский язык и «макабайан» (обществознание, история, искусство, технические науки и домоводство). Пособие было опробовано в экспериментальном порядке в ряде провинций и растиражировано для распространения в 2002-2003 годах;</w:t>
      </w:r>
    </w:p>
    <w:p w:rsidR="00000000" w:rsidRDefault="00000000">
      <w:pPr>
        <w:pStyle w:val="SingleTxt"/>
        <w:ind w:left="1740" w:right="1264" w:hanging="476"/>
      </w:pPr>
      <w:r>
        <w:t>с)</w:t>
      </w:r>
      <w:r>
        <w:tab/>
        <w:t>аспекты, связанные с ГОР, в частности проблематика насилия в отнош</w:t>
      </w:r>
      <w:r>
        <w:t>е</w:t>
      </w:r>
      <w:r>
        <w:t>нии женщин (НОЖ), были включены в учебную программу по медицине в одном их крупнейших университетов страны, в котором имеется мед</w:t>
      </w:r>
      <w:r>
        <w:t>и</w:t>
      </w:r>
      <w:r>
        <w:t>цинский факультет. Одновременно с осуществлением этой новаторской инициативы ведутся переговоры с КПВО о включении учебного курса по проблемам НОЖ в программу всех медицинских учебных заведений стр</w:t>
      </w:r>
      <w:r>
        <w:t>а</w:t>
      </w:r>
      <w:r>
        <w:t>ны.</w:t>
      </w:r>
    </w:p>
    <w:p w:rsidR="00000000" w:rsidRDefault="00000000">
      <w:pPr>
        <w:pStyle w:val="SingleTxt"/>
      </w:pPr>
      <w:r>
        <w:t xml:space="preserve">303. </w:t>
      </w:r>
      <w:r>
        <w:tab/>
        <w:t>Министерство также проводит оценку учебников и учебных материалов, использующихся на всех этапах образования, на предмет учета гендерной пр</w:t>
      </w:r>
      <w:r>
        <w:t>о</w:t>
      </w:r>
      <w:r>
        <w:t>блематики:</w:t>
      </w:r>
    </w:p>
    <w:p w:rsidR="00000000" w:rsidRDefault="00000000">
      <w:pPr>
        <w:pStyle w:val="SingleTxt"/>
        <w:ind w:left="1740" w:right="1264" w:hanging="476"/>
      </w:pPr>
      <w:r>
        <w:t>а)</w:t>
      </w:r>
      <w:r>
        <w:tab/>
        <w:t>в сфере начального образования была проведена оценка учебников нового поколения, предназначенных для использования в государственных шк</w:t>
      </w:r>
      <w:r>
        <w:t>о</w:t>
      </w:r>
      <w:r>
        <w:t>лах, с целью обеспечить учет гендерной проблематики и, таким образом, способствовать повышению самоуважения у девочек, улучшению их жи</w:t>
      </w:r>
      <w:r>
        <w:t>з</w:t>
      </w:r>
      <w:r>
        <w:t>ни и расширению их возможностей в области профессиональной подг</w:t>
      </w:r>
      <w:r>
        <w:t>о</w:t>
      </w:r>
      <w:r>
        <w:t>товки, в частности в тех областях, где они традиционно представлены в недостаточной степени, например в математике, науке и технике. Одним из критериев учета гендерной проблематики при оценке учебников и учебных материалов была адекватность материала и «гендерный баланс» при подаче информации о ролях, профессиях и вкладе в тексте и иллюс</w:t>
      </w:r>
      <w:r>
        <w:t>т</w:t>
      </w:r>
      <w:r>
        <w:t>рациях учебника. Перечень прошедших проверку учебников частных и</w:t>
      </w:r>
      <w:r>
        <w:t>з</w:t>
      </w:r>
      <w:r>
        <w:t>дательств использовался при обучении детей 6-12 лет в государственных школах в 1996-99 годах. Из всех учебников для начальной школы по ан</w:t>
      </w:r>
      <w:r>
        <w:t>г</w:t>
      </w:r>
      <w:r>
        <w:t>лийскому языку, естественным наукам, математике, филиппинскому языку и предмету «сибика/хекаси», оценка которых проводилась в 2000-2001 годах, были одобрены, то есть квалифицированы как пригодные для использования и учитывающие гендерную проблематику, 67 учебников (или 71 процент от общего количества проверенных учебников). На сл</w:t>
      </w:r>
      <w:r>
        <w:t>е</w:t>
      </w:r>
      <w:r>
        <w:t>дующий год было одобрено 96 учебников для начальной школы (66 процентов от общего количества). Доля одобренных министерством учебников для средней школы по английскому языку, науке и технике, м</w:t>
      </w:r>
      <w:r>
        <w:t>а</w:t>
      </w:r>
      <w:r>
        <w:t>тематике, филиппинскому языку и «аралинг панлипунан» (обществозн</w:t>
      </w:r>
      <w:r>
        <w:t>а</w:t>
      </w:r>
      <w:r>
        <w:t>ние) была меньше: 47 процентов (итого 16 книг) в 2000-2001 годах и 38 процентов (итого 40 книг) в 2001-2002 годах. Кроме того, министерс</w:t>
      </w:r>
      <w:r>
        <w:t>т</w:t>
      </w:r>
      <w:r>
        <w:t>во образования включило в учебную программу предметы/модули по пр</w:t>
      </w:r>
      <w:r>
        <w:t>а</w:t>
      </w:r>
      <w:r>
        <w:t>вам человека и половому воспитанию;</w:t>
      </w:r>
    </w:p>
    <w:p w:rsidR="00000000" w:rsidRDefault="00000000">
      <w:pPr>
        <w:pStyle w:val="SingleTxt"/>
        <w:ind w:left="1740" w:right="1264" w:hanging="476"/>
      </w:pPr>
      <w:r>
        <w:t>b)</w:t>
      </w:r>
      <w:r>
        <w:tab/>
        <w:t>в сотрудничестве с Институтом судебной администрации при Универс</w:t>
      </w:r>
      <w:r>
        <w:t>и</w:t>
      </w:r>
      <w:r>
        <w:t>тете Филиппин для ряда учителей государственных школ, консультантов по вопросам обучения, руководящих сотрудников и инспекторов из эксп</w:t>
      </w:r>
      <w:r>
        <w:t>е</w:t>
      </w:r>
      <w:r>
        <w:t>риментальных школ различных районов был организован курс подготовки методистов по вопросам создания безопасной и открытой для всех школы, где бы должным образом учитывались гендерные аспекты и была обесп</w:t>
      </w:r>
      <w:r>
        <w:t>е</w:t>
      </w:r>
      <w:r>
        <w:t>чены благоприятные для детей условия;</w:t>
      </w:r>
    </w:p>
    <w:p w:rsidR="00000000" w:rsidRDefault="00000000">
      <w:pPr>
        <w:pStyle w:val="SingleTxt"/>
        <w:ind w:left="1740" w:right="1264" w:hanging="476"/>
      </w:pPr>
      <w:r>
        <w:t>с)</w:t>
      </w:r>
      <w:r>
        <w:tab/>
        <w:t>координационные центры ГОР в государственных университетах и ко</w:t>
      </w:r>
      <w:r>
        <w:t>л</w:t>
      </w:r>
      <w:r>
        <w:t>леджах также проводят реформы в области гендерных отношений, такие как пересмотр учебников, учебных программ, учебного материала и мет</w:t>
      </w:r>
      <w:r>
        <w:t>о</w:t>
      </w:r>
      <w:r>
        <w:t>дов обучения, с тем чтобы обеспечить учет гендерных аспектов. КПВО по-прежнему осуществляет контроль за выполнением учебных планов, в которых особое внимание уделяется учету гендерных аспектов, и включ</w:t>
      </w:r>
      <w:r>
        <w:t>е</w:t>
      </w:r>
      <w:r>
        <w:t>нием принципов ГОР в программы обучения по определенным предм</w:t>
      </w:r>
      <w:r>
        <w:t>е</w:t>
      </w:r>
      <w:r>
        <w:t>там.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Спорт</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 xml:space="preserve">304. </w:t>
      </w:r>
      <w:r>
        <w:tab/>
        <w:t>В области расширения участия женщин в спорте значительного прогресса сделано не было. Необходимость разработки всеобъемлющей и действенной программы поиска и подготовки спортсменов среди жителей сельских районов, а также женщин-спортсменов и молодежи частично покрывается пятилетним отраслевым планом Филиппинской комиссии по спорту. Одной из целей плана является содействие обеспечению равноправия мужчин и женщин. В него включены такие стратегические меры, как использование женских образов в качестве образцов для подражания, стратегия участия женщин в спорте, сб</w:t>
      </w:r>
      <w:r>
        <w:t>а</w:t>
      </w:r>
      <w:r>
        <w:t>лансированная с гендерной точки зрения подача информации во всех публик</w:t>
      </w:r>
      <w:r>
        <w:t>а</w:t>
      </w:r>
      <w:r>
        <w:t>циях и создание альтернативных программ клубных соревнований для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Непрерывное образование и расширение возможностей в профессиональной сфере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305.</w:t>
      </w:r>
      <w:r>
        <w:tab/>
        <w:t>Министерство образования осуществляет Программу подготовки по в</w:t>
      </w:r>
      <w:r>
        <w:t>о</w:t>
      </w:r>
      <w:r>
        <w:t>просам обучения чтению (ППОЧ), которая направлена на повышение грамо</w:t>
      </w:r>
      <w:r>
        <w:t>т</w:t>
      </w:r>
      <w:r>
        <w:t>ности взрослого населения и в которой могут участвовать как женщины, так и мужчины, обучающие чтению в начальной и средней школе, а также в рамках неформального образования. К третьему году осуществления программы 7 тыс. преподавателей прошли подготовку, в ходе которой ознакомились с с</w:t>
      </w:r>
      <w:r>
        <w:t>о</w:t>
      </w:r>
      <w:r>
        <w:t>временными тенденциями в области организации дополнительных занятий по чтению и улучшению навыков чтения – такой подход позволяет повысить ув</w:t>
      </w:r>
      <w:r>
        <w:t>е</w:t>
      </w:r>
      <w:r>
        <w:t>ренность преподавателей в своих силах и свести к минимуму число учеников, броса</w:t>
      </w:r>
      <w:r>
        <w:t>ю</w:t>
      </w:r>
      <w:r>
        <w:t>щих учебу.</w:t>
      </w:r>
    </w:p>
    <w:p w:rsidR="00000000" w:rsidRDefault="00000000">
      <w:pPr>
        <w:pStyle w:val="SingleTxt"/>
      </w:pPr>
      <w:r>
        <w:t>306.</w:t>
      </w:r>
      <w:r>
        <w:tab/>
        <w:t>Для сотрудников государственных учреждений, желающих получить ст</w:t>
      </w:r>
      <w:r>
        <w:t>е</w:t>
      </w:r>
      <w:r>
        <w:t>пень бакалавра, магистра или доктора, Комиссия по гражданской службе орг</w:t>
      </w:r>
      <w:r>
        <w:t>а</w:t>
      </w:r>
      <w:r>
        <w:t>низовала Программу местных стипендий. Стипендии могут выдаваться на об</w:t>
      </w:r>
      <w:r>
        <w:t>у</w:t>
      </w:r>
      <w:r>
        <w:t>чение по дневной или иной форме и предоставляются женщинам и мужчинам, которые соответствуют установленным требованиям. За период с 1993 года по сентябрь 2001 года в программе принял участие 4 261 сотрудник, из них 57 процентов – женщины.</w:t>
      </w:r>
    </w:p>
    <w:p w:rsidR="00000000" w:rsidRDefault="00000000">
      <w:pPr>
        <w:pStyle w:val="SingleTxt"/>
      </w:pPr>
      <w:r>
        <w:t xml:space="preserve">307. </w:t>
      </w:r>
      <w:r>
        <w:tab/>
        <w:t>В осуществляемой министерством образования Комплексной программе стипендий принимает участие большое количество женщин, и популярностью среди них пользуется, в том числе, обучение на степень магистра биологии, математики, экономики, физики, химии и музыки. Женщины составляли 93 процента слушателей Национальной программы компьютерной грамотности для преподавателей, администраторов и технического персонала, осущест</w:t>
      </w:r>
      <w:r>
        <w:t>в</w:t>
      </w:r>
      <w:r>
        <w:t>ляемой в рамках программы повышения квалификации преподавательского с</w:t>
      </w:r>
      <w:r>
        <w:t>о</w:t>
      </w:r>
      <w:r>
        <w:t>става.</w:t>
      </w:r>
    </w:p>
    <w:p w:rsidR="00000000" w:rsidRDefault="00000000">
      <w:pPr>
        <w:pStyle w:val="SingleTxt"/>
      </w:pPr>
      <w:r>
        <w:t xml:space="preserve">308. </w:t>
      </w:r>
      <w:r>
        <w:tab/>
        <w:t>Активную работу по наращиванию потенциала в области гендерных о</w:t>
      </w:r>
      <w:r>
        <w:t>т</w:t>
      </w:r>
      <w:r>
        <w:t>ношений и развития в академических и научно-исследовательских учрежден</w:t>
      </w:r>
      <w:r>
        <w:t>и</w:t>
      </w:r>
      <w:r>
        <w:t>ях на субнациональном уровне проводит одно из государственных учреждений, Филиппинский совет научных исследований и разработок в области сельского хозяйства, лесоводства и национальных ресурсов (PCARRD). Он приступил к осуществлению программы создания национальной сети научных исследов</w:t>
      </w:r>
      <w:r>
        <w:t>а</w:t>
      </w:r>
      <w:r>
        <w:t>ний и разработок в области сельского хозяйства и ресурсов, которая охватила бы всю страну.</w:t>
      </w:r>
    </w:p>
    <w:p w:rsidR="00000000" w:rsidRDefault="00000000">
      <w:pPr>
        <w:pStyle w:val="SingleTxt"/>
      </w:pPr>
      <w:r>
        <w:t xml:space="preserve">309. </w:t>
      </w:r>
      <w:r>
        <w:tab/>
        <w:t>Другое учреждение, Центр исследований по проблемам женщин при Ун</w:t>
      </w:r>
      <w:r>
        <w:t>и</w:t>
      </w:r>
      <w:r>
        <w:t>верситете Филиппин (ЦИПЖ), в сотрудничестве с НКПФЖ и Ассоциацией за изучение проблем женщин Филиппин завершило проект по созданию инфо</w:t>
      </w:r>
      <w:r>
        <w:t>р</w:t>
      </w:r>
      <w:r>
        <w:t>мационных центров по гендерным вопросам и проблемам развития (ИЦГ) и наращиванию потенциала в области гендерного планирования и разработки гендерной политики в регионах с целью обеспечить успешное функциониров</w:t>
      </w:r>
      <w:r>
        <w:t>а</w:t>
      </w:r>
      <w:r>
        <w:t>ние программ и проектов ГОР на правительственном уровне в будущем. К ко</w:t>
      </w:r>
      <w:r>
        <w:t>н</w:t>
      </w:r>
      <w:r>
        <w:t>цу 2003 года было создано восемь ИЦГ и начали функционировать сети и</w:t>
      </w:r>
      <w:r>
        <w:t>н</w:t>
      </w:r>
      <w:r>
        <w:t>формационных фондов ГОР, в которые входят квалифицированные специал</w:t>
      </w:r>
      <w:r>
        <w:t>и</w:t>
      </w:r>
      <w:r>
        <w:t>сты по теории и практике научных исследований в области планирования, м</w:t>
      </w:r>
      <w:r>
        <w:t>о</w:t>
      </w:r>
      <w:r>
        <w:t>ниторинга и оценки гендерных отношений.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Профессионально-техническое образование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 xml:space="preserve">310. </w:t>
      </w:r>
      <w:r>
        <w:tab/>
        <w:t>Теперь, когда положение женщин с точки зрения доступа к формальному образованию было улучшено, особое внимание уделяется расширению во</w:t>
      </w:r>
      <w:r>
        <w:t>з</w:t>
      </w:r>
      <w:r>
        <w:t>можностей женщин в области трудоустройства, и с этой целью правительс</w:t>
      </w:r>
      <w:r>
        <w:t>т</w:t>
      </w:r>
      <w:r>
        <w:t>венные учреждения и НПО осуществляют программы профессионально-технической подготовки и неформального образования.</w:t>
      </w:r>
    </w:p>
    <w:p w:rsidR="00000000" w:rsidRDefault="00000000">
      <w:pPr>
        <w:pStyle w:val="SingleTxt"/>
      </w:pPr>
      <w:r>
        <w:t xml:space="preserve">311. </w:t>
      </w:r>
      <w:r>
        <w:tab/>
        <w:t>В 1997 году на базе Национального женского центра профессиональной подготовки и развития, также известного как Женский центр ТЕСДА, в стране началось осуществление программы образования и подготовки женщин, осн</w:t>
      </w:r>
      <w:r>
        <w:t>о</w:t>
      </w:r>
      <w:r>
        <w:t>ванной на использовании новых технологий. Центр был учрежден с целью способствовать улучшению экономического положения женщин посредством получения ими технического образования и подготовки, и в нем созданы бл</w:t>
      </w:r>
      <w:r>
        <w:t>а</w:t>
      </w:r>
      <w:r>
        <w:t>гоприятные для женщин условия, в частности имеются детский сад и ясли, а также возможности для взаимодействия с НПО. Помимо обучения целому ряду традиционных профессий, предлагается обучение по нетрадиционным для женщин специальностям. Подход к расширению экономических возможностей женщин основан на развитии технических навыков, навыков предприним</w:t>
      </w:r>
      <w:r>
        <w:t>а</w:t>
      </w:r>
      <w:r>
        <w:t>тельства, социальных навыков, практике научных исследований, пропаганд</w:t>
      </w:r>
      <w:r>
        <w:t>и</w:t>
      </w:r>
      <w:r>
        <w:t>стской деятельности, профессиональной ориентации, а также оказании услуг по трудоустройству и консультационных услуг, обучении по традиционным специальностям (пищевая промышленность и общественное питание, пошив одежды и тому подобное) и нетрадиционным для женщин направлениям, таким как сварочные работы, общая электроника, электрификация барангаев в сел</w:t>
      </w:r>
      <w:r>
        <w:t>ь</w:t>
      </w:r>
      <w:r>
        <w:t>ской местности, автоэлектрика, строительные специальности, основы пайки, установка и обслуживание автомобильных кондиционеров и сварочные работы. В Центре начали вести наблюдение за профессиональной и предпринимател</w:t>
      </w:r>
      <w:r>
        <w:t>ь</w:t>
      </w:r>
      <w:r>
        <w:t>ской деятельностью выпускников курсов. По некоторым оценкам, к 1998 году 19 199 человек закончили различные курсы, организованные в рамках пр</w:t>
      </w:r>
      <w:r>
        <w:t>о</w:t>
      </w:r>
      <w:r>
        <w:t>граммы. В 2000 году пятый выпуск прошедших профессиональное обучение до поступления на работу насчитывал 135 женщин, обучавшихся по 12 специальностям. На следующий год подготовку прошла шестая группа из 191 женщины. 73 женщины закончили курсы повышения квалификации, а 313 женщин прошли обучение по развитию «навыков, направленных на расш</w:t>
      </w:r>
      <w:r>
        <w:t>и</w:t>
      </w:r>
      <w:r>
        <w:t>рение прав и возможностей», в ходе которого основное внимание уделяется с</w:t>
      </w:r>
      <w:r>
        <w:t>о</w:t>
      </w:r>
      <w:r>
        <w:t>циальным навыкам и навыкам предпринимател</w:t>
      </w:r>
      <w:r>
        <w:t>ь</w:t>
      </w:r>
      <w:r>
        <w:t>ства.</w:t>
      </w:r>
    </w:p>
    <w:p w:rsidR="00000000" w:rsidRDefault="00000000">
      <w:pPr>
        <w:pStyle w:val="SingleTxt"/>
      </w:pPr>
      <w:r>
        <w:t xml:space="preserve">312. </w:t>
      </w:r>
      <w:r>
        <w:tab/>
        <w:t>В период с 1998 по 2001 год 317 женщин прошли обучение в Центре по различным нетрадиционным для женщин направлениям, главным образом по электронике (36 процентов) и автомобилестроению (29 процентов) (см. Таблицу В10.5 в Приложении). 83 процента от общего количества выпус</w:t>
      </w:r>
      <w:r>
        <w:t>к</w:t>
      </w:r>
      <w:r>
        <w:t>ников закончили курсы профессиональной подготовки до поступления на р</w:t>
      </w:r>
      <w:r>
        <w:t>а</w:t>
      </w:r>
      <w:r>
        <w:t>боту, которые дают обучающимся возможность приобрести базовые знания и навыки работы по выбранной специальности в порядке подготовки к устройс</w:t>
      </w:r>
      <w:r>
        <w:t>т</w:t>
      </w:r>
      <w:r>
        <w:t>ву на оплачиваемую работу; 7 процентов закончили курсы повышения квал</w:t>
      </w:r>
      <w:r>
        <w:t>и</w:t>
      </w:r>
      <w:r>
        <w:t>фикации, в ходе которых обучающиеся углубляют свои знания и совершенс</w:t>
      </w:r>
      <w:r>
        <w:t>т</w:t>
      </w:r>
      <w:r>
        <w:t>вуют навыки конкретных аспектов работы по выбранной специальности, и 10 процентов закончили курс обучения на преподавателей для потенциальных или будущих преподавателей, который длится 1,5 года. Однако женщины, пр</w:t>
      </w:r>
      <w:r>
        <w:t>и</w:t>
      </w:r>
      <w:r>
        <w:t>бегающие к услугам Центра, как правило, выбирают традиционно женские о</w:t>
      </w:r>
      <w:r>
        <w:t>б</w:t>
      </w:r>
      <w:r>
        <w:t>ласти деятельности. Так, в 1999-2001 годах 479 выпускниц из 651 (или 74 процента) прошли подготовку по таким направлениям, как управление го</w:t>
      </w:r>
      <w:r>
        <w:t>с</w:t>
      </w:r>
      <w:r>
        <w:t>тиничным и ресторанным бизнесом (29 процентов), пошив одежды (16 процентов), ремесла, изготовление сувениров и хозяйственных принадле</w:t>
      </w:r>
      <w:r>
        <w:t>ж</w:t>
      </w:r>
      <w:r>
        <w:t>ностей (12 процентов), производство пищевых продуктов (10 процентов) и и</w:t>
      </w:r>
      <w:r>
        <w:t>з</w:t>
      </w:r>
      <w:r>
        <w:t>готовление ювелирных украшений (6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Неформальное образование/образование на базе общин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 xml:space="preserve">313. </w:t>
      </w:r>
      <w:r>
        <w:tab/>
        <w:t>Управление неформального образования (УНФО) осуществляет Програ</w:t>
      </w:r>
      <w:r>
        <w:t>м</w:t>
      </w:r>
      <w:r>
        <w:t>мы функционального образования и грамотности в 10 из 16 регионов страны. В ряде регионов проводятся занятия по повышению уровня женской функци</w:t>
      </w:r>
      <w:r>
        <w:t>о</w:t>
      </w:r>
      <w:r>
        <w:t>нальной грамотности, основными темами которых являются материнство и уход за ребенком. Оно также развивает системы альтернативного неформал</w:t>
      </w:r>
      <w:r>
        <w:t>ь</w:t>
      </w:r>
      <w:r>
        <w:t>ного образования в коренных общинах, в которые входит предмет под назван</w:t>
      </w:r>
      <w:r>
        <w:t>и</w:t>
      </w:r>
      <w:r>
        <w:t>ем «магбаса кита» (давайте читать), в рамках которого женщин и девочек об</w:t>
      </w:r>
      <w:r>
        <w:t>у</w:t>
      </w:r>
      <w:r>
        <w:t>чают чтению, и создает в школах центры ухода за детьми, для того чтобы дети старшего возраста, в основном девочки школьного возраста, присматривающие за младшими братьями и сестрами, могли совмещать посещение уроков с ух</w:t>
      </w:r>
      <w:r>
        <w:t>о</w:t>
      </w:r>
      <w:r>
        <w:t>дом за детьми.</w:t>
      </w:r>
    </w:p>
    <w:p w:rsidR="00000000" w:rsidRDefault="00000000">
      <w:pPr>
        <w:pStyle w:val="SingleTxt"/>
      </w:pPr>
      <w:r>
        <w:t xml:space="preserve">314. </w:t>
      </w:r>
      <w:r>
        <w:tab/>
        <w:t>Правительство осуществило ряд программ, направленных на удовлетв</w:t>
      </w:r>
      <w:r>
        <w:t>о</w:t>
      </w:r>
      <w:r>
        <w:t>рение потребностей инвалидов, таких как программа министерства образов</w:t>
      </w:r>
      <w:r>
        <w:t>а</w:t>
      </w:r>
      <w:r>
        <w:t>ния по оказанию услуг в области образования и предоставлению материальной поддержки и основанный на участии общин проект департамента социального обеспечения для детей и молодежи, не посещающей школу, в рамках которого члены семьи привлекаются к активному участию в процессе реабилитации д</w:t>
      </w:r>
      <w:r>
        <w:t>е</w:t>
      </w:r>
      <w:r>
        <w:t>тей-инвалидов. Это департамент также осуществляет проект по развитию у женщин-инвалидов навыков шитья, изготовления изделий из ротанга и игр</w:t>
      </w:r>
      <w:r>
        <w:t>у</w:t>
      </w:r>
      <w:r>
        <w:t>шек, производства пищевых продуктов, ткачества на ткацком станке, керам</w:t>
      </w:r>
      <w:r>
        <w:t>и</w:t>
      </w:r>
      <w:r>
        <w:t>ческого производства, а также помощи в домашнем хозяйстве. Он также ведет деятельность по расширению знаний и развитию практических навыков же</w:t>
      </w:r>
      <w:r>
        <w:t>н</w:t>
      </w:r>
      <w:r>
        <w:t>щин в области материнства и личной гигиены, участия в коллективной де</w:t>
      </w:r>
      <w:r>
        <w:t>я</w:t>
      </w:r>
      <w:r>
        <w:t>тельности, получения средств к существованию, а также навыков социальной коммуникации. В 1995-1999 годах была проведена работа с 166 293 женщинами по всей стране. 136 262 женщины из всех прошедших об</w:t>
      </w:r>
      <w:r>
        <w:t>у</w:t>
      </w:r>
      <w:r>
        <w:t>чение (или 81 процент) пополнили ряды работающих на основе независимой трудовой деятельности или работы по найму, работы в мастерских с гарант</w:t>
      </w:r>
      <w:r>
        <w:t>и</w:t>
      </w:r>
      <w:r>
        <w:t>рованным сбытом продукции, участия в производственной деятельности о</w:t>
      </w:r>
      <w:r>
        <w:t>б</w:t>
      </w:r>
      <w:r>
        <w:t>щин или работы по субподряду. Тем временем Национальный совет по охране интересов инвалидов (НСОИИ) при министерстве торговли и промышленности провел в трех городах программы профессиональной подготовки в области производства пищевых продуктов и ремесленных изделий для женщин с огр</w:t>
      </w:r>
      <w:r>
        <w:t>а</w:t>
      </w:r>
      <w:r>
        <w:t>ниченными физическими возможностями и для родителей или опекунов лиц с ограниченными физическими возможностями.</w:t>
      </w:r>
    </w:p>
    <w:p w:rsidR="00000000" w:rsidRDefault="00000000">
      <w:pPr>
        <w:pStyle w:val="SingleTxt"/>
      </w:pPr>
      <w:r>
        <w:t xml:space="preserve">315. </w:t>
      </w:r>
      <w:r>
        <w:tab/>
        <w:t>В 2001 году Филиппинская комиссия по правам человека (ФКПЧ) прист</w:t>
      </w:r>
      <w:r>
        <w:t>у</w:t>
      </w:r>
      <w:r>
        <w:t>пила к осуществлению кампании по распространению информации о правах человека среди молодежи, сотрудников государственных учреждений и шир</w:t>
      </w:r>
      <w:r>
        <w:t>о</w:t>
      </w:r>
      <w:r>
        <w:t>кой публики. Один из двух ее проектов осуществляется под эгидой министе</w:t>
      </w:r>
      <w:r>
        <w:t>р</w:t>
      </w:r>
      <w:r>
        <w:t>ства образования и включает создание в учебных учреждениях кафедр по пр</w:t>
      </w:r>
      <w:r>
        <w:t>а</w:t>
      </w:r>
      <w:r>
        <w:t>вам человека, которые будут распространять материалы, касающиеся прав ч</w:t>
      </w:r>
      <w:r>
        <w:t>е</w:t>
      </w:r>
      <w:r>
        <w:t>ловека, и вести просветительскую работу по вопросам прав человека со ст</w:t>
      </w:r>
      <w:r>
        <w:t>у</w:t>
      </w:r>
      <w:r>
        <w:t>дентами и преподавательским составом.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Меры, принимаемые учебными учреждениями, профессиональными объединениями и НПО</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316.</w:t>
      </w:r>
      <w:r>
        <w:tab/>
        <w:t>Все больше колледжей и университетов проводят занятия по женской проблематике. Под эгидой Ассоциации за изучение проблем женщин Фили</w:t>
      </w:r>
      <w:r>
        <w:t>п</w:t>
      </w:r>
      <w:r>
        <w:t>пин (АПЖФ) по всей стране работают 50 школ для ее членов и более 300 преподавателей-активистов. В июле 2001 года она созвала конференцию, главной темой которой стала проблема дискриминации женщин в университ</w:t>
      </w:r>
      <w:r>
        <w:t>е</w:t>
      </w:r>
      <w:r>
        <w:t>тах и в которой приняли участие преподаватели и исследователи женской пр</w:t>
      </w:r>
      <w:r>
        <w:t>о</w:t>
      </w:r>
      <w:r>
        <w:t>блематики, а также молодые студентки, которые рассказывали о различных проявлениях дискриминации по признаку пола, с которыми они сталкивались в учебных заведениях. Параллельно с конференцией был проведен курс подг</w:t>
      </w:r>
      <w:r>
        <w:t>о</w:t>
      </w:r>
      <w:r>
        <w:t>товки для методистов, специализирующихся на оказании консультативной п</w:t>
      </w:r>
      <w:r>
        <w:t>о</w:t>
      </w:r>
      <w:r>
        <w:t>мощи по вопросам равноправия женщин и борьбы с дискриминацией по пр</w:t>
      </w:r>
      <w:r>
        <w:t>и</w:t>
      </w:r>
      <w:r>
        <w:t>знаку пола на работе. За рассматриваемый период члены АПЖФ также провели курс подготовки учителей и составления учебных планов для занятий по же</w:t>
      </w:r>
      <w:r>
        <w:t>н</w:t>
      </w:r>
      <w:r>
        <w:t>ской проблематике. Например, в рамках состоявшейся в марте 2002 года ко</w:t>
      </w:r>
      <w:r>
        <w:t>н</w:t>
      </w:r>
      <w:r>
        <w:t>ференции по проблеме гендерных отношений, обеспечения мира и правосудия АПЖФ провела курсы подготовки по вопросам преподавания в духе мира.</w:t>
      </w:r>
    </w:p>
    <w:p w:rsidR="00000000" w:rsidRDefault="00000000">
      <w:pPr>
        <w:pStyle w:val="SingleTxt"/>
      </w:pPr>
      <w:r>
        <w:t>317.</w:t>
      </w:r>
      <w:r>
        <w:tab/>
        <w:t>Частные колледжи и университеты активно способствуют разработке о</w:t>
      </w:r>
      <w:r>
        <w:t>с</w:t>
      </w:r>
      <w:r>
        <w:t>новных курсов и программ. В 1999 году колледж Мириам создал Институт по делам женщин и гендерным вопросам (ИЖГВ) и ежегодно проводит междун</w:t>
      </w:r>
      <w:r>
        <w:t>а</w:t>
      </w:r>
      <w:r>
        <w:t>родные семинары по правам человека в отношении женщин. Колледж святой Схоластики ввел обязательный курс подготовки по женской проблематике, к</w:t>
      </w:r>
      <w:r>
        <w:t>о</w:t>
      </w:r>
      <w:r>
        <w:t>торый абитуриентам необходимо пройти до поступления. В 1990 году в рамках программы просветительской деятельности при нем был создан Институт и</w:t>
      </w:r>
      <w:r>
        <w:t>с</w:t>
      </w:r>
      <w:r>
        <w:t>следований по проблемам женщин. В Институте проводятся курсы формальн</w:t>
      </w:r>
      <w:r>
        <w:t>о</w:t>
      </w:r>
      <w:r>
        <w:t>го образования и женщины из различных районов страны и регионов Юго-Восточной Азии проходят подготовку по вопросам нетенденциозного с генде</w:t>
      </w:r>
      <w:r>
        <w:t>р</w:t>
      </w:r>
      <w:r>
        <w:t>ной точки зрения образования, проблематике женщин в контексте развития, проблеме женщин и здравоохранения, теориям равноправия мужчин и женщин, проблематике НОЖ и гендерным вопросам в браке. Кроме того, Женский ун</w:t>
      </w:r>
      <w:r>
        <w:t>и</w:t>
      </w:r>
      <w:r>
        <w:t>верситет Филиппин в рамках программы работы с местным населением пров</w:t>
      </w:r>
      <w:r>
        <w:t>о</w:t>
      </w:r>
      <w:r>
        <w:t>дит подготовку добровольцев для работы на руководящих должностях в мед</w:t>
      </w:r>
      <w:r>
        <w:t>и</w:t>
      </w:r>
      <w:r>
        <w:t>цинских учреждениях, занятия по повышению уровня грамотности, а также осуществляет программу развития способностей для женщин, проживающих в условиях бедности.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Сохраняющиеся проблемы и вопросы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 xml:space="preserve">318. </w:t>
      </w:r>
      <w:r>
        <w:tab/>
        <w:t>Одним из отрицательных фактов, выявленных в результате мероприятий по контролю за обеспечением равноправия мужчин и женщин в высших уче</w:t>
      </w:r>
      <w:r>
        <w:t>б</w:t>
      </w:r>
      <w:r>
        <w:t>ных заведениях, является трудоустройство женщин на более низкооплачива</w:t>
      </w:r>
      <w:r>
        <w:t>е</w:t>
      </w:r>
      <w:r>
        <w:t>мую работу (см. раздел, посвященный выполнению Статьи 11). В отсутствие эффективных механизмов трудоустройства на местном уровне женщины, пол</w:t>
      </w:r>
      <w:r>
        <w:t>у</w:t>
      </w:r>
      <w:r>
        <w:t>чившие образование, оказываются вынуждены работать за рубежом в качестве домашней прислуги. Это приводит к деквалификации на двух уровнях: в ма</w:t>
      </w:r>
      <w:r>
        <w:t>с</w:t>
      </w:r>
      <w:r>
        <w:t>штабах страны, поскольку государство теряет квалифицированных работников, и на личностном уровне, поскольку люди выполняют работу, которая не треб</w:t>
      </w:r>
      <w:r>
        <w:t>у</w:t>
      </w:r>
      <w:r>
        <w:t>ет того уровня квалификации, который они получили в процессе обучения. Чтобы избежать этого, необходимо согласовать процесс образования с гл</w:t>
      </w:r>
      <w:r>
        <w:t>о</w:t>
      </w:r>
      <w:r>
        <w:t>бальными тенденциями, с целью обеспечить женщинам трудоустройство в с</w:t>
      </w:r>
      <w:r>
        <w:t>о</w:t>
      </w:r>
      <w:r>
        <w:t>отве</w:t>
      </w:r>
      <w:r>
        <w:t>т</w:t>
      </w:r>
      <w:r>
        <w:t>ствии с их квалификацией и знаниями.</w:t>
      </w:r>
    </w:p>
    <w:p w:rsidR="00000000" w:rsidRDefault="00000000">
      <w:pPr>
        <w:pStyle w:val="SingleTxt"/>
      </w:pPr>
      <w:r>
        <w:t xml:space="preserve">319. </w:t>
      </w:r>
      <w:r>
        <w:tab/>
        <w:t>Кроме того, вследствие существующих в стране сложностей с трудоус</w:t>
      </w:r>
      <w:r>
        <w:t>т</w:t>
      </w:r>
      <w:r>
        <w:t>ройством, люди, ищущие работу, как мужчины, так и женщины, нередко беру</w:t>
      </w:r>
      <w:r>
        <w:t>т</w:t>
      </w:r>
      <w:r>
        <w:t>ся за первую попавшуюся работу. Когда такое случается с женщинами, име</w:t>
      </w:r>
      <w:r>
        <w:t>ю</w:t>
      </w:r>
      <w:r>
        <w:t>щими нетрадиционные профессии или специальности, это сковывает их во</w:t>
      </w:r>
      <w:r>
        <w:t>з</w:t>
      </w:r>
      <w:r>
        <w:t>можности профессионального роста, за исключением случаев, когда они пр</w:t>
      </w:r>
      <w:r>
        <w:t>о</w:t>
      </w:r>
      <w:r>
        <w:t>ходят переподготовку. В результате, женщины до сих недостаточно предста</w:t>
      </w:r>
      <w:r>
        <w:t>в</w:t>
      </w:r>
      <w:r>
        <w:t>лены в таких нетрадиционных областях деятельности, как инженерное дело, наука и техника, архитектура и даже на таких курсах профессионального об</w:t>
      </w:r>
      <w:r>
        <w:t>у</w:t>
      </w:r>
      <w:r>
        <w:t>чения, как компьютерные технологии.</w:t>
      </w:r>
    </w:p>
    <w:p w:rsidR="00000000" w:rsidRDefault="00000000">
      <w:pPr>
        <w:pStyle w:val="SingleTxt"/>
      </w:pPr>
      <w:r>
        <w:t xml:space="preserve">320. </w:t>
      </w:r>
      <w:r>
        <w:tab/>
        <w:t>Вследствие более низкого уровня грамотности и образования в сельских районах сельские женщины (и мужчины) вынуждены выполнять более низк</w:t>
      </w:r>
      <w:r>
        <w:t>о</w:t>
      </w:r>
      <w:r>
        <w:t>оплачиваемую работу, такую как работа домашней прислуги или неоплачива</w:t>
      </w:r>
      <w:r>
        <w:t>е</w:t>
      </w:r>
      <w:r>
        <w:t>мый труд на семейных предприятиях, или, в худшем случае, становиться на путь проституции. Несмотря на то что не все выпускники колледжей находят работу, высшее образование напрямую связывается с более высокооплачива</w:t>
      </w:r>
      <w:r>
        <w:t>е</w:t>
      </w:r>
      <w:r>
        <w:t>мой работой, более качественными услугами в области охраны здоровья семьи, более широким использованием методов контрацепции и меньшим количес</w:t>
      </w:r>
      <w:r>
        <w:t>т</w:t>
      </w:r>
      <w:r>
        <w:t>вом детей. Таким образом, необходимо выделять больше ресурсов на нужды сельских женщин и женщин из числа коренных жителей и развивать госуда</w:t>
      </w:r>
      <w:r>
        <w:t>р</w:t>
      </w:r>
      <w:r>
        <w:t>ственные образовательные программы для них.</w:t>
      </w:r>
    </w:p>
    <w:p w:rsidR="00000000" w:rsidRDefault="00000000">
      <w:pPr>
        <w:pStyle w:val="SingleTxt"/>
      </w:pPr>
      <w:r>
        <w:t xml:space="preserve">321. </w:t>
      </w:r>
      <w:r>
        <w:tab/>
        <w:t>Доля женщин, занимающих руководящие должности в сфере образования, по-прежнему непропорционально мала. Несмотря на то что в системе образ</w:t>
      </w:r>
      <w:r>
        <w:t>о</w:t>
      </w:r>
      <w:r>
        <w:t>вания занято большое количество женщин, а также несмотря на высокий ур</w:t>
      </w:r>
      <w:r>
        <w:t>о</w:t>
      </w:r>
      <w:r>
        <w:t>вень их профессионально-педагогической подготовки, женщины имеют огр</w:t>
      </w:r>
      <w:r>
        <w:t>а</w:t>
      </w:r>
      <w:r>
        <w:t>ниченные возможности продвижения по службе на директивных уровнях, где они могут применить свои знания и совершенствовать свои профессиональные способности.</w:t>
      </w:r>
    </w:p>
    <w:p w:rsidR="00000000" w:rsidRDefault="00000000">
      <w:pPr>
        <w:pStyle w:val="SingleTxt"/>
      </w:pPr>
      <w:r>
        <w:t xml:space="preserve">322. </w:t>
      </w:r>
      <w:r>
        <w:tab/>
        <w:t>Данные мониторинга в сфере образования и подготовки женщин, а также их устройства на подходящую работу, не всегда адекватно отражают действ</w:t>
      </w:r>
      <w:r>
        <w:t>и</w:t>
      </w:r>
      <w:r>
        <w:t>тельность. Сосредоточенность женщин в немногочисленных традиционных сферах деятельности препятствует повышению заработной платы и приводит к ужесточению конкуренции между женщинами-предпринимателями. Хотя да</w:t>
      </w:r>
      <w:r>
        <w:t>н</w:t>
      </w:r>
      <w:r>
        <w:t>ные свидетельствуют о том, что все больше женщин начинают заниматься тр</w:t>
      </w:r>
      <w:r>
        <w:t>а</w:t>
      </w:r>
      <w:r>
        <w:t>диционно мужской профессиональной деятельностью или проходят подготовку по традиционно мужским профессиям, важно установить, удается ли им ус</w:t>
      </w:r>
      <w:r>
        <w:t>т</w:t>
      </w:r>
      <w:r>
        <w:t>раиваться на работу по специальности. Например, только 6 процентов женщин, получивших подготовку в рамках проекта по обучению женщин нетрадицио</w:t>
      </w:r>
      <w:r>
        <w:t>н</w:t>
      </w:r>
      <w:r>
        <w:t>ным для них специальностям, осуществление которого началось в начале 1990-х годов, смогли устроиться на работу по найму или работать по специальности (Illo 2002b со ссылкой на NMYC 1994 год). Низкий уровень занятости был предположительно обусловлен тем, что до начала осуществления проекта не было проведено исследования рынка, которое позволило бы определить спрос на женщин с нетрадиционными специальностями, а также тем, что основное внимание уделялось развитию базовых производственных навыков, а не созд</w:t>
      </w:r>
      <w:r>
        <w:t>а</w:t>
      </w:r>
      <w:r>
        <w:t>нию возможностей для их совершенствования или для повышения квалифик</w:t>
      </w:r>
      <w:r>
        <w:t>а</w:t>
      </w:r>
      <w:r>
        <w:t>ции.</w:t>
      </w:r>
    </w:p>
    <w:p w:rsidR="00000000" w:rsidRDefault="00000000">
      <w:pPr>
        <w:pStyle w:val="SingleTxt"/>
      </w:pPr>
      <w:r>
        <w:t xml:space="preserve">323. </w:t>
      </w:r>
      <w:r>
        <w:tab/>
        <w:t>Необходимо расширять охват мероприятий по пересмотру учебных пр</w:t>
      </w:r>
      <w:r>
        <w:t>о</w:t>
      </w:r>
      <w:r>
        <w:t>грамм, учебников и учебных материалов на всех уровнях образования вплоть до высшего, как в частных, так и в государственных учебных заведениях, с ц</w:t>
      </w:r>
      <w:r>
        <w:t>е</w:t>
      </w:r>
      <w:r>
        <w:t>лью ликвидировать стереотипы и включить в них идеи о равноправии мужчин и женщин, такие как, в частности, принцип равенства родительских прав и обязанностей мужчин и женщин, права в области репродуктивного здоровья и необходимость разрешения конфликтов ненасильственным путем. В то же вр</w:t>
      </w:r>
      <w:r>
        <w:t>е</w:t>
      </w:r>
      <w:r>
        <w:t>мя необходимо продолжать обучение преподавателей и административных р</w:t>
      </w:r>
      <w:r>
        <w:t>а</w:t>
      </w:r>
      <w:r>
        <w:t>ботников учебных заведений всех уровней, с тем чтобы обеспечить больший учет гендерной проблематики в сфере образования.</w:t>
      </w:r>
    </w:p>
    <w:p w:rsidR="00000000" w:rsidRDefault="00000000">
      <w:pPr>
        <w:pStyle w:val="H1"/>
      </w:pPr>
      <w:bookmarkStart w:id="63" w:name="_Toc85174932"/>
      <w:r>
        <w:t>Статья 11.</w:t>
      </w:r>
      <w:bookmarkEnd w:id="63"/>
    </w:p>
    <w:p w:rsidR="00000000" w:rsidRDefault="00000000">
      <w:pPr>
        <w:pStyle w:val="SingleTxt"/>
        <w:rPr>
          <w:i/>
        </w:rPr>
      </w:pPr>
      <w:r>
        <w:rPr>
          <w:i/>
        </w:rPr>
        <w:t>Ликвидация дискриминации во всех сферах занятости, уделение внимания пр</w:t>
      </w:r>
      <w:r>
        <w:rPr>
          <w:i/>
        </w:rPr>
        <w:t>о</w:t>
      </w:r>
      <w:r>
        <w:rPr>
          <w:i/>
        </w:rPr>
        <w:t>блемам брака и материнства, постоянный пересмотр законодательства, обеспечивающего защиту прав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bookmarkStart w:id="64" w:name="_Toc85174933"/>
      <w:r>
        <w:t>А.</w:t>
      </w:r>
      <w:r>
        <w:tab/>
        <w:t>Положение женщины</w:t>
      </w:r>
      <w:bookmarkEnd w:id="6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324.</w:t>
      </w:r>
      <w:r>
        <w:tab/>
        <w:t>Филиппины подписали целый ряд различных конвенций Международной организации труда, в том числе конвенций, связанных с вопросами ликвидации дискриминации по половому признаку на рабочем месте. С этой целью прав</w:t>
      </w:r>
      <w:r>
        <w:t>и</w:t>
      </w:r>
      <w:r>
        <w:t>тельство Филиппин приняло ряд мер, направленных на защиту работающих женщин и ликвидацию практики дискриминации на рабочем месте. Пересмо</w:t>
      </w:r>
      <w:r>
        <w:t>т</w:t>
      </w:r>
      <w:r>
        <w:t>ренный Трудовой кодекс предусматривает запрет на работу в ночную смену, создание условий для женщин, предоставление отпусков по беременности и уходу за ребенком, оказание услуг по планированию семьи. Помимо этого с</w:t>
      </w:r>
      <w:r>
        <w:t>у</w:t>
      </w:r>
      <w:r>
        <w:t>ществует трудовое законодательство, запрещающее дискриминацию сотрудниц в том, что касается возможностей и условий занятости (оплаты труда, профе</w:t>
      </w:r>
      <w:r>
        <w:t>с</w:t>
      </w:r>
      <w:r>
        <w:t>сиональной подготовки и продвижения по службе) исключительно по полов</w:t>
      </w:r>
      <w:r>
        <w:t>о</w:t>
      </w:r>
      <w:r>
        <w:t>му признаку, прием на работу при выполнении требования не выходить замуж, а также увольнение сотрудниц по причине их беременности. Кроме того, в 1995 году Конгресс принял республиканский закон № 7877, также известный как Закон о борьбе с сексуальными домогательствами 1995 года.</w:t>
      </w:r>
    </w:p>
    <w:p w:rsidR="00000000" w:rsidRDefault="00000000">
      <w:pPr>
        <w:pStyle w:val="SingleTxt"/>
      </w:pPr>
      <w:r>
        <w:t>325.</w:t>
      </w:r>
      <w:r>
        <w:tab/>
        <w:t>За последние десять лет филиппинские женщины стали играть более а</w:t>
      </w:r>
      <w:r>
        <w:t>к</w:t>
      </w:r>
      <w:r>
        <w:t>тивную роль наравне с мужчинами в обеспечении экономических потребн</w:t>
      </w:r>
      <w:r>
        <w:t>о</w:t>
      </w:r>
      <w:r>
        <w:t>стей своих семей. Они участвуют во всех видах занятости, работают в офиц</w:t>
      </w:r>
      <w:r>
        <w:t>и</w:t>
      </w:r>
      <w:r>
        <w:t>альном и неофициальном секторах, в государственных и частных организац</w:t>
      </w:r>
      <w:r>
        <w:t>и</w:t>
      </w:r>
      <w:r>
        <w:t>ях, предприятиях, на улице или дома, внутри страны или за ее рубежами, в к</w:t>
      </w:r>
      <w:r>
        <w:t>а</w:t>
      </w:r>
      <w:r>
        <w:t>честве домашних и медицинских работниц, а также артистов-исполнителей. Тем не менее, существуют определенные проблемы и степени риска, с котор</w:t>
      </w:r>
      <w:r>
        <w:t>ы</w:t>
      </w:r>
      <w:r>
        <w:t>ми сталкиваются женщины, занятые в различных экономических зонах, раб</w:t>
      </w:r>
      <w:r>
        <w:t>о</w:t>
      </w:r>
      <w:r>
        <w:t>тающие в качестве домашней прислуги, в неформальном секторе, женщины, работающие за рубежом, находящиеся на государственной службе, а также р</w:t>
      </w:r>
      <w:r>
        <w:t>а</w:t>
      </w:r>
      <w:r>
        <w:t>ботающие д</w:t>
      </w:r>
      <w:r>
        <w:t>е</w:t>
      </w:r>
      <w:r>
        <w:t>вочки.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Уровень занятости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326.</w:t>
      </w:r>
      <w:r>
        <w:tab/>
        <w:t>Как и в предыдущие годы, показатель самодеятельности населения (ПСН) женщин на Филиппинах повышается, хотя в 2000 году было зафиксировано п</w:t>
      </w:r>
      <w:r>
        <w:t>а</w:t>
      </w:r>
      <w:r>
        <w:t>дение показателя (Таблица Приложения В11.1). На данный момент самыми в</w:t>
      </w:r>
      <w:r>
        <w:t>ы</w:t>
      </w:r>
      <w:r>
        <w:t>сокими ПСН для женщин были в 2001 и 2002 году (52,8 процента и 51,7 процента соответственно, НСБ 2003c). Со временем растет и число же</w:t>
      </w:r>
      <w:r>
        <w:t>н</w:t>
      </w:r>
      <w:r>
        <w:t>щин, вступающих на рынок труда, в 2003 году оно достигло 13,1 млн. человек. Однако по данным на октябрь 2003 года ПСН для женщин снизился до 50,9 процента.</w:t>
      </w:r>
    </w:p>
    <w:p w:rsidR="00000000" w:rsidRDefault="00000000">
      <w:pPr>
        <w:pStyle w:val="SingleTxt"/>
      </w:pPr>
      <w:r>
        <w:t>327.</w:t>
      </w:r>
      <w:r>
        <w:tab/>
        <w:t>Отчасти потому, что большая часть исследований занятости не принимает во внимание большинство видов женского труда, ПСН для женщин значител</w:t>
      </w:r>
      <w:r>
        <w:t>ь</w:t>
      </w:r>
      <w:r>
        <w:t>но ниже, чем соответствующий показатель для мужчин. В 1996 году он сост</w:t>
      </w:r>
      <w:r>
        <w:t>а</w:t>
      </w:r>
      <w:r>
        <w:t>вил 49,0 процентов по сравнению с 82,7 процента у мужчин, и 51,7 процента против 80,8 процента — в 2002 году (Таблица Приложения В11.1).</w:t>
      </w:r>
      <w:r>
        <w:rPr>
          <w:rStyle w:val="FootnoteReference"/>
        </w:rPr>
        <w:footnoteReference w:id="18"/>
      </w:r>
      <w:r>
        <w:t xml:space="preserve"> В сел</w:t>
      </w:r>
      <w:r>
        <w:t>ь</w:t>
      </w:r>
      <w:r>
        <w:t>ских районах, где возможности трудоустройства непостоянны или варьируются в зависимости от сезона, и где женщины используются как бесплатная рабочая сила на фермах и других семейных предприятиях, разрыв между ПСН для женщин и мужчин больше. Тем не менее, наибольший разрыв между ПСН для мужчин и женщин был зафиксирован в Автономном мусульманском регионе Минданао (АРММ). Там ПСН для мужчин превышает аналогичный показатель для женщин почти в три раза (Illo 2002b). Во многих группах мусульманского населения культурные стереотипы ограничивают свободу передвижения же</w:t>
      </w:r>
      <w:r>
        <w:t>н</w:t>
      </w:r>
      <w:r>
        <w:t>щин, а также их участие в торговле и других видах деятельности, которые св</w:t>
      </w:r>
      <w:r>
        <w:t>я</w:t>
      </w:r>
      <w:r>
        <w:t>заны с нахождением вдали от дома, в результате чего ПСН для женщин пр</w:t>
      </w:r>
      <w:r>
        <w:t>о</w:t>
      </w:r>
      <w:r>
        <w:t>должает оставаться низким — 35,6 процента в АРММ и 43,6 процента в Замб</w:t>
      </w:r>
      <w:r>
        <w:t>о</w:t>
      </w:r>
      <w:r>
        <w:t>анге по данным на апрель 2003 года. Положение женщин осложняется еще и постоянными проблемами, связанными с поддержанием мира и порядка в ра</w:t>
      </w:r>
      <w:r>
        <w:t>й</w:t>
      </w:r>
      <w:r>
        <w:t>оне.</w:t>
      </w:r>
    </w:p>
    <w:p w:rsidR="00000000" w:rsidRDefault="00000000">
      <w:pPr>
        <w:pStyle w:val="SingleTxt"/>
      </w:pPr>
      <w:r>
        <w:t>328.</w:t>
      </w:r>
      <w:r>
        <w:tab/>
        <w:t>По мере того, как женщины активно занимаются поиском оплачиваемой работы в условиях тяжелого экономического положения, которое заставило многих мужчин уйти с рынка труда, разрыв между показателями мужской и женской занятости стал сокращаться как в городских, так и в сельских ра</w:t>
      </w:r>
      <w:r>
        <w:t>й</w:t>
      </w:r>
      <w:r>
        <w:t>онах. Причем самые значительные успехи в повышении женской занятости были достигнуты в возрастной категории от 25 до 34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Занятость и безработица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329.</w:t>
      </w:r>
      <w:r>
        <w:tab/>
        <w:t>По данным октябрь 2002 года 11,8 млн. женщин были заняты на оплач</w:t>
      </w:r>
      <w:r>
        <w:t>и</w:t>
      </w:r>
      <w:r>
        <w:t>ваемой работе или занимались другими видами деятельности, приносящей д</w:t>
      </w:r>
      <w:r>
        <w:t>о</w:t>
      </w:r>
      <w:r>
        <w:t>ход. Это на 1,7 млн. или на 2,8 процента выше, чем аналогичный показатель за 1996 год. Рост занятости мужского населения был более медленным и составил 1,1 процента за год. Тем не менее, женщины составили 39,1 процента от общ</w:t>
      </w:r>
      <w:r>
        <w:t>е</w:t>
      </w:r>
      <w:r>
        <w:t>го числа трудящихся, и эта цифра стала самой высокой за прошедшие шесть лет (Таблица Приложения В11.3). К октябрю 2003 года доля работающих же</w:t>
      </w:r>
      <w:r>
        <w:t>н</w:t>
      </w:r>
      <w:r>
        <w:t>щин составила 89,7 процента.</w:t>
      </w:r>
    </w:p>
    <w:p w:rsidR="00000000" w:rsidRDefault="00000000">
      <w:pPr>
        <w:pStyle w:val="SingleTxt"/>
      </w:pPr>
      <w:r>
        <w:t>330.</w:t>
      </w:r>
      <w:r>
        <w:tab/>
        <w:t>В таблице В11.4 сравниваются уровни мужской и женской занятости в п</w:t>
      </w:r>
      <w:r>
        <w:t>е</w:t>
      </w:r>
      <w:r>
        <w:t>риод с 1996 по 2002 год. В этот период наблюдался спад занятости как среди мужчин, так и среди женщин, ставший результатом кризиса 1997 года, от кот</w:t>
      </w:r>
      <w:r>
        <w:t>о</w:t>
      </w:r>
      <w:r>
        <w:t>рого страна еще только начинает оправляться. За указанный промежуток вр</w:t>
      </w:r>
      <w:r>
        <w:t>е</w:t>
      </w:r>
      <w:r>
        <w:t>мени число городских женщин, потерявших работу, было несколько выше, чем аналогичный показатель для сельской местности.</w:t>
      </w:r>
    </w:p>
    <w:p w:rsidR="00000000" w:rsidRDefault="00000000">
      <w:pPr>
        <w:pStyle w:val="SingleTxt"/>
      </w:pPr>
      <w:r>
        <w:t>331.</w:t>
      </w:r>
      <w:r>
        <w:tab/>
        <w:t>В сравнении с мужчинами, женщины имеют больше возможностей труд</w:t>
      </w:r>
      <w:r>
        <w:t>о</w:t>
      </w:r>
      <w:r>
        <w:t>устроиться или заработать средства к существованию в городах или в районах, где женщина с образованием может устроиться на работу в какое-либо учре</w:t>
      </w:r>
      <w:r>
        <w:t>ж</w:t>
      </w:r>
      <w:r>
        <w:t>дение, где имеются производственные предприятия, на которых требуется кв</w:t>
      </w:r>
      <w:r>
        <w:t>а</w:t>
      </w:r>
      <w:r>
        <w:t>лифицированная женская и мужская рабочая сила, преуспевает неформальный сектор экономики и женщины-предприниматели могут открывать собственные ларьки, заниматься прачечным обслуживанием или получать субподряды на производство. Это в наибольшей степени наблюдается в районе национальной столицы, где уровень женской занятости значительно выше уровня занятости среди мужчин (НСБ 2002). В районе Южного Тагалога, с экономическими з</w:t>
      </w:r>
      <w:r>
        <w:t>о</w:t>
      </w:r>
      <w:r>
        <w:t>нами, на которые он делится, и дополнительными видами экономической де</w:t>
      </w:r>
      <w:r>
        <w:t>я</w:t>
      </w:r>
      <w:r>
        <w:t>тельности, которым там оказывается поддержка, а также во многих промы</w:t>
      </w:r>
      <w:r>
        <w:t>ш</w:t>
      </w:r>
      <w:r>
        <w:t>ленных районах островов Висаян уровень занятости женщин практически р</w:t>
      </w:r>
      <w:r>
        <w:t>а</w:t>
      </w:r>
      <w:r>
        <w:t>вен аналогичному показателю для мужчин. И напротив, в преимущественно сельских регионах, где преобладает сельское хозяйство, уровень занятости женщин намного отстает от уровня занятости среди мужчин. В таких регионах женщины рассматриваются в основном как вспомогательная рабочая сила (</w:t>
      </w:r>
      <w:r>
        <w:rPr>
          <w:i/>
        </w:rPr>
        <w:t>бесплатный</w:t>
      </w:r>
      <w:r>
        <w:t xml:space="preserve"> труд в семье).</w:t>
      </w:r>
    </w:p>
    <w:p w:rsidR="00000000" w:rsidRDefault="00000000">
      <w:pPr>
        <w:pStyle w:val="SingleTxt"/>
      </w:pPr>
      <w:r>
        <w:t>332.</w:t>
      </w:r>
      <w:r>
        <w:tab/>
        <w:t>Особенно сказывается влияние культурных традиций на занятость среди женщин в двух районах. На Кордильере некоторые народы (включая калинга, канканаи и ифугао) дают женщинам большую свободу передвижения и разр</w:t>
      </w:r>
      <w:r>
        <w:t>е</w:t>
      </w:r>
      <w:r>
        <w:t>шают им заниматься, помимо различных промыслов, горным делом, землед</w:t>
      </w:r>
      <w:r>
        <w:t>е</w:t>
      </w:r>
      <w:r>
        <w:t>лием и торговлей. Некоторые женщины переезжают со своими семьями в Багио и другие места с тем, чтобы там заняться торговлей, попрошайничеством или добывать себе средства к существованию другим способом (Josef 2002). Сле</w:t>
      </w:r>
      <w:r>
        <w:t>д</w:t>
      </w:r>
      <w:r>
        <w:t>ствием столь высокой экономической активности женщин является уровень з</w:t>
      </w:r>
      <w:r>
        <w:t>а</w:t>
      </w:r>
      <w:r>
        <w:t>нятости среди женщин, практически равный аналогичному показателю для мужчин. В мусульманских же районах страны, напротив, официальный ур</w:t>
      </w:r>
      <w:r>
        <w:t>о</w:t>
      </w:r>
      <w:r>
        <w:t>вень безработицы среди женщин намного превышает уровень мужской безр</w:t>
      </w:r>
      <w:r>
        <w:t>а</w:t>
      </w:r>
      <w:r>
        <w:t>ботицы.</w:t>
      </w:r>
    </w:p>
    <w:p w:rsidR="00000000" w:rsidRDefault="00000000">
      <w:pPr>
        <w:pStyle w:val="SingleTxt"/>
      </w:pPr>
      <w:r>
        <w:t>333.</w:t>
      </w:r>
      <w:r>
        <w:tab/>
        <w:t>Как и во многих странах, наивысший уровень безработицы наблюдается среди молодежи. В городских районах категорией, пользующейся наименьшим спросом на рынке труда, являются мальчики-подростки, в то время как в сел</w:t>
      </w:r>
      <w:r>
        <w:t>ь</w:t>
      </w:r>
      <w:r>
        <w:t>ских районах наименее трудоустроены девочки-подростки (НСБ 2003). На</w:t>
      </w:r>
      <w:r>
        <w:t>и</w:t>
      </w:r>
      <w:r>
        <w:t>высший уровень безработицы наблюдается среди женщин в возрасте от 15 до 24 лет: он составил 22,2 процента в 2000 году и 23,8 процента — в 2003 году. Как правило, подростки, ищущие работу, уходят из школы, так как предпоч</w:t>
      </w:r>
      <w:r>
        <w:t>и</w:t>
      </w:r>
      <w:r>
        <w:t>тают работу учебе в старшей школе или колледже. Еще более трудным поиск работы становится для молодых женщин, которые проучились в школе дольше, однако недостаточно для того, чтобы закончить колледж. Для того, чтобы п</w:t>
      </w:r>
      <w:r>
        <w:t>о</w:t>
      </w:r>
      <w:r>
        <w:t>мочь молодым людям в поиске работы, правительство открыло отделения Г</w:t>
      </w:r>
      <w:r>
        <w:t>о</w:t>
      </w:r>
      <w:r>
        <w:t>сударственного бюро трудоустройства (ПЕСО) во многих городах. Ушедшие из школы подростки также могут приобретать производственные навыки и зн</w:t>
      </w:r>
      <w:r>
        <w:t>а</w:t>
      </w:r>
      <w:r>
        <w:t>ния, которые позволят зарабатывать на жизнь, в государственных или подо</w:t>
      </w:r>
      <w:r>
        <w:t>т</w:t>
      </w:r>
      <w:r>
        <w:t>четных государственным неформальных образовательных центрах или центрах технической подготовки, а также могут принять участие в программах профе</w:t>
      </w:r>
      <w:r>
        <w:t>с</w:t>
      </w:r>
      <w:r>
        <w:t>сиональной подготовки, осуществляемых в сотрудничестве с частным сект</w:t>
      </w:r>
      <w:r>
        <w:t>о</w:t>
      </w:r>
      <w:r>
        <w:t>ром. Однако в центры и программы подготовки не так легко попасть.</w:t>
      </w:r>
    </w:p>
    <w:p w:rsidR="00000000" w:rsidRDefault="00000000">
      <w:pPr>
        <w:pStyle w:val="SingleTxt"/>
      </w:pPr>
      <w:r>
        <w:t>334.</w:t>
      </w:r>
      <w:r>
        <w:tab/>
        <w:t>Правительство также начало непосредственную работу по созданию р</w:t>
      </w:r>
      <w:r>
        <w:t>а</w:t>
      </w:r>
      <w:r>
        <w:t>бочих мест для молодых людей и девушек, бросивших школу. Как сообщается, с июля 2001 года по апрель 2004 года в рамках программы «Калинган са каб</w:t>
      </w:r>
      <w:r>
        <w:t>а</w:t>
      </w:r>
      <w:r>
        <w:t>таан» была оказана чрезвычайная помощь в трудоустройстве 78 563 молодым людям, бросившим школу (SONA по данным на 30 апреля 2004 года). Кроме того, с июля 2002 по январь 2003 года в рамках программы ОЙСТЕР (Вклад бросившей школу молодежи в экономическое восстановление страны) по всей стране 62 162 молодых человека и девушки, бросивших школу, прошли пр</w:t>
      </w:r>
      <w:r>
        <w:t>о</w:t>
      </w:r>
      <w:r>
        <w:t>фессиональную подготовку, которая поможет им обеспечить себе средства к существованию. Однако работа, предлагаемая в ходе этих мероприятий по со</w:t>
      </w:r>
      <w:r>
        <w:t>з</w:t>
      </w:r>
      <w:r>
        <w:t>данию рабочих мест и обеспечению средств к существованию для молодежи, преимущественно непостоянная или краткосрочная.</w:t>
      </w:r>
    </w:p>
    <w:p w:rsidR="00000000" w:rsidRDefault="00000000">
      <w:pPr>
        <w:pStyle w:val="SingleTxt"/>
      </w:pPr>
      <w:r>
        <w:t>335.</w:t>
      </w:r>
      <w:r>
        <w:tab/>
        <w:t>В отличие от имеющих среднее образование мужчин, которые могут р</w:t>
      </w:r>
      <w:r>
        <w:t>а</w:t>
      </w:r>
      <w:r>
        <w:t>ботать по большему числу специальностей на стройке, перевозке и произво</w:t>
      </w:r>
      <w:r>
        <w:t>д</w:t>
      </w:r>
      <w:r>
        <w:t>стве, женщинам предоставлен более ограниченный выбор. Поэтому неудив</w:t>
      </w:r>
      <w:r>
        <w:t>и</w:t>
      </w:r>
      <w:r>
        <w:t>тельно, что уровень мужской безработицы для группы с любым уровнем обр</w:t>
      </w:r>
      <w:r>
        <w:t>а</w:t>
      </w:r>
      <w:r>
        <w:t>зования существенно превышает уровень аналогичный показатель для же</w:t>
      </w:r>
      <w:r>
        <w:t>н</w:t>
      </w:r>
      <w:r>
        <w:t>щин. Кроме того, высшее образование не пригождается женщинам в сельских районах, где работа (например, на фермах) требует преимущественно навыков, не связанных с образованием. Но в тех областях, где требуется диплом об о</w:t>
      </w:r>
      <w:r>
        <w:t>б</w:t>
      </w:r>
      <w:r>
        <w:t>разовании, уровень занятости женщин превышает мужской. Это объясняет зн</w:t>
      </w:r>
      <w:r>
        <w:t>а</w:t>
      </w:r>
      <w:r>
        <w:t>чительную разницу между уровнями женской и мужской занятости в городе и сельской местности: мужчинам, практически не имеющим образования, легче найти работу на фермах и сельскохозяйственных предприятиях, нежели в гор</w:t>
      </w:r>
      <w:r>
        <w:t>о</w:t>
      </w:r>
      <w:r>
        <w:t>дах. В том, что касается женщин, эта разница не столь ощутима. Женщины с образованием могут лучше трудоустроиться или иметь лучшие возможности заработать на жизнь в городе, но им нужно зарабатывать достаточно, чтобы п</w:t>
      </w:r>
      <w:r>
        <w:t>о</w:t>
      </w:r>
      <w:r>
        <w:t>зволить себе нанять домашнюю прислугу. Сельские же женщины, в отличие от городских, могут не иметь столь высокооплачиваемой работы, но им легче с</w:t>
      </w:r>
      <w:r>
        <w:t>о</w:t>
      </w:r>
      <w:r>
        <w:t>четать работу по найму и работу на ферме с выполнением домашних обязанн</w:t>
      </w:r>
      <w:r>
        <w:t>о</w:t>
      </w:r>
      <w:r>
        <w:t>стей.</w:t>
      </w:r>
    </w:p>
    <w:p w:rsidR="00000000" w:rsidRDefault="00000000">
      <w:pPr>
        <w:pStyle w:val="SingleTxt"/>
      </w:pPr>
      <w:r>
        <w:t>336.</w:t>
      </w:r>
      <w:r>
        <w:tab/>
        <w:t>В целом, наемные работники составили 47,7 процента от общего числа трудящихся в 1996 году, и 48,3 процента — в 2002. к началу октября 2003 года женщины составляли 37,5 процента от общего числа наемных работников. Б</w:t>
      </w:r>
      <w:r>
        <w:t>о</w:t>
      </w:r>
      <w:r>
        <w:t>лее половины всех трудящихся были заняты не наемным трудом, а являлись самостоятельными работниками или нанимателями (около 38 процентов по с</w:t>
      </w:r>
      <w:r>
        <w:t>о</w:t>
      </w:r>
      <w:r>
        <w:t>стоянию на 2002 год) или работниками семейных предприятий (14 процентов). На долю женщин приходилось большинство работников семейных предпр</w:t>
      </w:r>
      <w:r>
        <w:t>и</w:t>
      </w:r>
      <w:r>
        <w:t>ятий, в то время как мужчины преобладали среди самостоятельных работников (Таблица Приложения В11.5). По состоянию на октябрь 2003 года женщины составляли 33,2 процента самостоятельных работников и нанимателей и 54,9 процента работников семейных предприятий. Мужчины также численно превосходили женщин среди наемных рабочих, хотя доля женщин, работа</w:t>
      </w:r>
      <w:r>
        <w:t>ю</w:t>
      </w:r>
      <w:r>
        <w:t>щих по найму, пр</w:t>
      </w:r>
      <w:r>
        <w:t>о</w:t>
      </w:r>
      <w:r>
        <w:t>должает возрастать, начиная с 1996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pPr>
      <w:r>
        <w:t>Распределение по профессиям, практика найма и членство в профсоюзах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337.</w:t>
      </w:r>
      <w:r>
        <w:tab/>
        <w:t>Значительная доля рабочих мест и средств к существованию на Филипп</w:t>
      </w:r>
      <w:r>
        <w:t>и</w:t>
      </w:r>
      <w:r>
        <w:t>нах обеспечиваются частным сектором, в котором занято около 43 процентов наемной рабочей силы. В государственном секторе работает около 6 процентов. Остальное приходится на работников семейных предприятий (10 процентов) и самостоятельных работников (40 процентов).</w:t>
      </w:r>
    </w:p>
    <w:p w:rsidR="00000000" w:rsidRDefault="00000000">
      <w:pPr>
        <w:pStyle w:val="SingleTxt"/>
      </w:pPr>
      <w:r>
        <w:t>338.</w:t>
      </w:r>
      <w:r>
        <w:tab/>
        <w:t>В 1998 году около 40 процентов занятого населения работало в сельскох</w:t>
      </w:r>
      <w:r>
        <w:t>о</w:t>
      </w:r>
      <w:r>
        <w:t>зяйственном секторе, 32 процента – в торговле и сфере обслуживания, 10 процентов – на производстве, 5 процентов – на стройке и оставшиеся 13 процентов – на добыче полезных ископаемых и в сфере коммунального о</w:t>
      </w:r>
      <w:r>
        <w:t>б</w:t>
      </w:r>
      <w:r>
        <w:t>служивания (BLES 2000). Женщины преобладают среди сотрудников двух крупных секторов экономики: торговля (в особенности мелкая розничная то</w:t>
      </w:r>
      <w:r>
        <w:t>р</w:t>
      </w:r>
      <w:r>
        <w:t>говля) и сфера обслуживания, преимущественно общественное, социальное и бытовое обслуживание. Ту же закономерность выявило и обследование сам</w:t>
      </w:r>
      <w:r>
        <w:t>о</w:t>
      </w:r>
      <w:r>
        <w:t>деятельного населения, проведенное в 2003 году: число женщин, работающих в сфере образования (75,8 процента), здравоохранения и социального обсл</w:t>
      </w:r>
      <w:r>
        <w:t>у</w:t>
      </w:r>
      <w:r>
        <w:t>живания (76,2 процента), оптовой и розничной торговли (60,2 процента), го</w:t>
      </w:r>
      <w:r>
        <w:t>с</w:t>
      </w:r>
      <w:r>
        <w:t>тиничном и ресторанном бизнесе (56,5 процента) было намного больше числа мужчин, работающих в соответствующих отраслях. Однако, женщины соста</w:t>
      </w:r>
      <w:r>
        <w:t>в</w:t>
      </w:r>
      <w:r>
        <w:t>ляли меньшинство сотрудников на строительстве (2 процента), транспорте, складах и предприятиях связи (4,7 процента), на добыче полезных ископаемых (5,9 процента), в секторе рыболовства (7,4 процента), а также электро- водо- и газоснабжения (18,4 процента, НСБ 2003c). 45 процентов рабочей силы на производстве и 27,8 процента – в сельском хозяйстве составляли женщины. За пределами мусульманских общин, не поощряющих занятия женщинами то</w:t>
      </w:r>
      <w:r>
        <w:t>р</w:t>
      </w:r>
      <w:r>
        <w:t>говли, торговля считается прерогативой людей, способных проявлять «же</w:t>
      </w:r>
      <w:r>
        <w:t>н</w:t>
      </w:r>
      <w:r>
        <w:t>ские» качества, такие как терпение, внимание, заботу, – непременные качества продавца, который желает обзавестись постоянными покупателями в перепо</w:t>
      </w:r>
      <w:r>
        <w:t>л</w:t>
      </w:r>
      <w:r>
        <w:t>ненном секторе мелкой торговли. Однако в крупных фирмах, занимающихся опт</w:t>
      </w:r>
      <w:r>
        <w:t>о</w:t>
      </w:r>
      <w:r>
        <w:t>вой торговлей, мужчины имеют численное преимущество.</w:t>
      </w:r>
    </w:p>
    <w:p w:rsidR="00000000" w:rsidRDefault="00000000">
      <w:pPr>
        <w:pStyle w:val="SingleTxt"/>
      </w:pPr>
      <w:r>
        <w:t>339.</w:t>
      </w:r>
      <w:r>
        <w:tab/>
        <w:t>Женщины составляют большинство на конторской работе, в сфере то</w:t>
      </w:r>
      <w:r>
        <w:t>р</w:t>
      </w:r>
      <w:r>
        <w:t>говли и обслуживания. В октябре 2003 года, как и ранее, женщин насчитыв</w:t>
      </w:r>
      <w:r>
        <w:t>а</w:t>
      </w:r>
      <w:r>
        <w:t>лось больше среди профессиональных сотрудников (67,4 процента), конто</w:t>
      </w:r>
      <w:r>
        <w:t>р</w:t>
      </w:r>
      <w:r>
        <w:t>ских служащих (66,1 процент), государственных служащих, управляющих ра</w:t>
      </w:r>
      <w:r>
        <w:t>з</w:t>
      </w:r>
      <w:r>
        <w:t>личных корпораций, менеджеров, владельцев и руководителей среднего звена (55,7 процента, НСБ 2003с). Число женщин также превосходило число му</w:t>
      </w:r>
      <w:r>
        <w:t>ж</w:t>
      </w:r>
      <w:r>
        <w:t>чин-работников сферы обслуживания (50,2 процента). Высшее или технич</w:t>
      </w:r>
      <w:r>
        <w:t>е</w:t>
      </w:r>
      <w:r>
        <w:t>ское образование позволяет им занимать должности учителей, медсестер, ак</w:t>
      </w:r>
      <w:r>
        <w:t>у</w:t>
      </w:r>
      <w:r>
        <w:t>шерок, – которые обычно определяются как «профессиональные сотрудники», но могут также рассматриваться как соответствующие роли женщины. Для сравнения, мужчины занимались традиционно «мужской» работой, требующей физической силы. Иными словами, женщины составляли меньшинство среди операторов и сборщиков машин (8,9 процента), фермеров, рыболовов, лесор</w:t>
      </w:r>
      <w:r>
        <w:t>у</w:t>
      </w:r>
      <w:r>
        <w:t>бов (15,1 процент), работников торговой и соответствующих сферах (26,1 процента), рабочих, в особенности низкоквалифицированных рабочих (44,3 процента).</w:t>
      </w:r>
    </w:p>
    <w:p w:rsidR="00000000" w:rsidRDefault="00000000">
      <w:pPr>
        <w:pStyle w:val="SingleTxt"/>
      </w:pPr>
      <w:r>
        <w:t>340.</w:t>
      </w:r>
      <w:r>
        <w:tab/>
        <w:t>Преобладание женщин на работе в определенных сферах может быть св</w:t>
      </w:r>
      <w:r>
        <w:t>я</w:t>
      </w:r>
      <w:r>
        <w:t>зано с выбором профессии в соответствии с традиционными представлениями о роли женщины, а также с дискриминацией по половому признаку при приеме на работу, о которой свидетельствуют объявления о вакансиях, содержащие предвзятое отношение к женщине (Morada and Santos 1998). Статистическим бюро профсоюзной деятельности в целом было отмечено, что с 1975 по 1995 год снизилось число объявлений, носящих дискриминационный характер, особенно в период с 1975 по 1985 год, однако вместе с тем усиливалось стре</w:t>
      </w:r>
      <w:r>
        <w:t>м</w:t>
      </w:r>
      <w:r>
        <w:t>ление нанимать женщин в качестве бухгалтеров и мужчин – в качестве офиц</w:t>
      </w:r>
      <w:r>
        <w:t>и</w:t>
      </w:r>
      <w:r>
        <w:t>антов. При этом также отмечались факты обратной дискриминации. Например, в 1975 году наниматели отдавали предпочтение мужчинам-бухгалтерам и же</w:t>
      </w:r>
      <w:r>
        <w:t>н</w:t>
      </w:r>
      <w:r>
        <w:t>щинам-поварам. Двадцать же лет спустя они давали объявления о найме же</w:t>
      </w:r>
      <w:r>
        <w:t>н</w:t>
      </w:r>
      <w:r>
        <w:t>щин-бухгалтеров и поваров-мужчин.</w:t>
      </w:r>
    </w:p>
    <w:p w:rsidR="00000000" w:rsidRDefault="00000000">
      <w:pPr>
        <w:pStyle w:val="SingleTxt"/>
      </w:pPr>
      <w:r>
        <w:t>341.</w:t>
      </w:r>
      <w:r>
        <w:tab/>
        <w:t>В других же сферах продолжают наблюдаться случаи дискриминации по признаку пола. Наниматели по-прежнему отдают предпочтение женщинам при найме кассиров, секретарей, медсестер, учителей, официантов и ткачей. По всей вероятности, в основе дискриминации по половому признаку лежит то, что работодатели считают женщин (более) заслуживающими доверия, честн</w:t>
      </w:r>
      <w:r>
        <w:t>ы</w:t>
      </w:r>
      <w:r>
        <w:t>ми, щепетильными и терпеливыми. Как текстильные предприятия в прошлом, производители электроники и полупроводников отдают предпочтение молодым женщинам, так как «они соглашаются на более низкую зарплату, терпеливы и послушны, и у них более ловкие пальцы» (Aganon 1999:71). Мужчинам же о</w:t>
      </w:r>
      <w:r>
        <w:t>т</w:t>
      </w:r>
      <w:r>
        <w:t>давалось предпочтение, когда требовались работники следующих специальн</w:t>
      </w:r>
      <w:r>
        <w:t>о</w:t>
      </w:r>
      <w:r>
        <w:t>стей: водители, посыльные, механики и охранники. Так как растет число же</w:t>
      </w:r>
      <w:r>
        <w:t>н</w:t>
      </w:r>
      <w:r>
        <w:t>щин-инженеров и женщины становятся хорошими управляющими среднего звена, мужчинам в этих сферах отдается уже не такое предпочтение, как ран</w:t>
      </w:r>
      <w:r>
        <w:t>ь</w:t>
      </w:r>
      <w:r>
        <w:t>ше. Такое размывание предпочтений, связанных с принадлежностью к му</w:t>
      </w:r>
      <w:r>
        <w:t>ж</w:t>
      </w:r>
      <w:r>
        <w:t>скому или женскому полу, значительно расширяет возможности трудоустро</w:t>
      </w:r>
      <w:r>
        <w:t>й</w:t>
      </w:r>
      <w:r>
        <w:t>ства как мужчинам так и женщинам.</w:t>
      </w:r>
    </w:p>
    <w:p w:rsidR="00000000" w:rsidRDefault="00000000">
      <w:pPr>
        <w:pStyle w:val="SingleTxt"/>
      </w:pPr>
      <w:r>
        <w:t>342.</w:t>
      </w:r>
      <w:r>
        <w:tab/>
        <w:t>В 1995 году число профсоюзов составляло 7882, в них состояло в общей сложности 3,6 млн. человек. К 1998 году их число возросло до 9374, а к 2000 году – до 10 296 (НСБ 2002). В 2002 году насчитывалось 11 365 профсоюзных организаций (BLES 2003a). К началу сентября их число возросло уже до 11 796 (BLES 2003). При этом число членов профсоюзов во</w:t>
      </w:r>
      <w:r>
        <w:t>з</w:t>
      </w:r>
      <w:r>
        <w:t>росло с 3,92 млн. человек в 2002 году до 3,96 млн. по состоянию на сентябрь 2003 года. На долю женщин приходится не более трети членов профсоюзов. Около 75 процентов женщин, состоящих в профсоюзах, были заняты в частном секторе, а 25 процентов – в государственном. По оценкам Министерства труда примерно 26 процентов профсоюзных руководителей – женщины.</w:t>
      </w:r>
    </w:p>
    <w:p w:rsidR="00000000" w:rsidRDefault="00000000">
      <w:pPr>
        <w:pStyle w:val="SingleTxt"/>
      </w:pPr>
      <w:r>
        <w:t>343.</w:t>
      </w:r>
      <w:r>
        <w:tab/>
        <w:t>Основные профсоюзные организации, такие как Федерация свободных трудящихся, Национальная федерация труда (НФТ), Филиппинский конгресс профсоюзов (ФКП), а также их дочерние организации стремятся к решению проблемы равноправия различными способами (Illo 2002b). НФТ стала первой организацией, назначившей генеральным секретарем женщину. Одна из про</w:t>
      </w:r>
      <w:r>
        <w:t>ф</w:t>
      </w:r>
      <w:r>
        <w:t>союзных организаций дала женщинам возможность участвовать в руководящей деятельности путем выделения женщинам нескольких мест в совете и/или формирования специальных групп для наблюдения за осуществлением пр</w:t>
      </w:r>
      <w:r>
        <w:t>о</w:t>
      </w:r>
      <w:r>
        <w:t>грамм и проектов, связанных с женщинами-членами профсоюзов и ведения пропаганды по гендерным проблемам и проблемам развития. В центре вним</w:t>
      </w:r>
      <w:r>
        <w:t>а</w:t>
      </w:r>
      <w:r>
        <w:t>ния других организаций оказалось развитие руководящего потенциала у же</w:t>
      </w:r>
      <w:r>
        <w:t>н</w:t>
      </w:r>
      <w:r>
        <w:t>щин-членов и, в случае с Федерацией свободных трудящихся – подготовка женщин к участию в переговорах о заключении коллективного трудового дог</w:t>
      </w:r>
      <w:r>
        <w:t>о</w:t>
      </w:r>
      <w:r>
        <w:t>вора (КТД). Третьим направлением, в котором ведется пропаганда по генде</w:t>
      </w:r>
      <w:r>
        <w:t>р</w:t>
      </w:r>
      <w:r>
        <w:t>ным вопросам и вопросам развития, является борьба с сексуальными домог</w:t>
      </w:r>
      <w:r>
        <w:t>а</w:t>
      </w:r>
      <w:r>
        <w:t>тельствами (см. соответствующий раздел ниже), другая же связана с пробл</w:t>
      </w:r>
      <w:r>
        <w:t>е</w:t>
      </w:r>
      <w:r>
        <w:t>мами женщин, занятых в н</w:t>
      </w:r>
      <w:r>
        <w:t>е</w:t>
      </w:r>
      <w:r>
        <w:t>формальном секторе экономики.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Условия найма на работу и условия труда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344.</w:t>
      </w:r>
      <w:r>
        <w:tab/>
        <w:t>Как правило, работники, работающие полный рабочий день, на Филипп</w:t>
      </w:r>
      <w:r>
        <w:t>и</w:t>
      </w:r>
      <w:r>
        <w:t>нах отрабатывают не менее 40 часов в неделю. Работники, заработок которых выплачивается за единицу продукта или отработанные часы, а также работн</w:t>
      </w:r>
      <w:r>
        <w:t>и</w:t>
      </w:r>
      <w:r>
        <w:t>ки семейных предприятий, чей труд не оплачивается, и самостоятельные р</w:t>
      </w:r>
      <w:r>
        <w:t>а</w:t>
      </w:r>
      <w:r>
        <w:t>ботники не имеют постоянной продолжительности рабочего дня. В конце 1990 годов самым продолжительным был рабочий день домашней прислуги. На предприятиях и при работе по найму самым продолжительным рабочий день был у городских женщин, у сельских же – самым коротким. Наибольшая разница в продолжительности рабочего дня у мужчин и женщин была отмечена в сельских районах, где полевые работы и работы на сельских предприятиях носили нерегулярный характер (Таблица Приложения В11.6). А при учете пр</w:t>
      </w:r>
      <w:r>
        <w:t>о</w:t>
      </w:r>
      <w:r>
        <w:t>изводственной работы дома, среднее количество свободного времени у женщин было на час меньше, чем у мужчин в сельских районах и на два – в городских (Lim 2000). Такая разница во времени, затрачиваемом на производственную деятельность дома, по-прежнему представляет проблемы для женщин.</w:t>
      </w:r>
    </w:p>
    <w:p w:rsidR="00000000" w:rsidRDefault="00000000">
      <w:pPr>
        <w:pStyle w:val="SingleTxt"/>
      </w:pPr>
      <w:r>
        <w:t>345.</w:t>
      </w:r>
      <w:r>
        <w:tab/>
        <w:t>Сотрудники, занятые неполный рабочий день, или работники, работа</w:t>
      </w:r>
      <w:r>
        <w:t>ю</w:t>
      </w:r>
      <w:r>
        <w:t>щие менее 40 часов в неделю, составили 34 процента всего занятого населения в 1998 году и 35,4 процента в 2003 году (Таблица Приложения В11.7). в период с 1998 по 2002 год их количество возросло в среднем на 6,1 процента, что в два раза больше, чем прирост занятого населения (BLES 2003b). Но поскольку число частично занятых среди женщин превышает соответствующий показ</w:t>
      </w:r>
      <w:r>
        <w:t>а</w:t>
      </w:r>
      <w:r>
        <w:t>тель для мужчин, с годами разница в показателях занятости мужчин и женщин сокращается.</w:t>
      </w:r>
    </w:p>
    <w:p w:rsidR="00000000" w:rsidRDefault="00000000">
      <w:pPr>
        <w:pStyle w:val="SingleTxt"/>
      </w:pPr>
      <w:r>
        <w:t>346.</w:t>
      </w:r>
      <w:r>
        <w:tab/>
        <w:t>В 1992 году почасовая оплата женщин была ниже, чем почасовая оплата у мужчин (PHDR 1997). Разница в доходе мужчин и женщин была максимальной в таких секторах как торговля и сектор услуг, так как именно в этих секторах мужчины работали в крупных компаниях, где заработная плата была выше, а женщины – на мелких и микропредприятиях. На фирмах, где работало 10 человек и более, в областях, считающихся традиционно мужскими, женщ</w:t>
      </w:r>
      <w:r>
        <w:t>и</w:t>
      </w:r>
      <w:r>
        <w:t>ны часто получали больше мужчин. Это объяснялось преимущественно тем, что в таких отраслях немногие женщины занимали сравнительно высокие должности (Illo 2002b). По данным на 1996 год, средний ежемесячный зараб</w:t>
      </w:r>
      <w:r>
        <w:t>о</w:t>
      </w:r>
      <w:r>
        <w:t>ток женщин был выше, чем у мужчин на строительстве на 29 процентов, в сфере транспорта и связи – на 28 процентов. Для сравнения, аналогичные п</w:t>
      </w:r>
      <w:r>
        <w:t>о</w:t>
      </w:r>
      <w:r>
        <w:t>казатели в 1998 году составили соответственно 47 и 35 процентов, так как мн</w:t>
      </w:r>
      <w:r>
        <w:t>о</w:t>
      </w:r>
      <w:r>
        <w:t>гие мужчины были сокращены во время кризиса (BLES 2003c).</w:t>
      </w:r>
    </w:p>
    <w:p w:rsidR="00000000" w:rsidRDefault="00000000">
      <w:pPr>
        <w:pStyle w:val="SingleTxt"/>
      </w:pPr>
      <w:r>
        <w:t>347.</w:t>
      </w:r>
      <w:r>
        <w:tab/>
        <w:t>Относительный коэффициент дифференцированной зарплаты (или отн</w:t>
      </w:r>
      <w:r>
        <w:t>о</w:t>
      </w:r>
      <w:r>
        <w:t>шение разницы оплаты часа труда среднего работника мужского и женского пола к оплате часа труда женщины) подсчитанный на основе данных о зар</w:t>
      </w:r>
      <w:r>
        <w:t>а</w:t>
      </w:r>
      <w:r>
        <w:t>ботной плате за последние несколько лет, показывает, что в 1998 году мужчины зарабатывали на 41 сентаво больше женщин, в 1991 году – на 21 сентаво, в 1994 году 17 сентаво. Эти данные подтверждают стирание разницы в оплате труда мужчин и женщин (Alba n.d.). В том, что касается выпускников высших учебных заведений, это отчасти объясняется изменением спроса на рынке тр</w:t>
      </w:r>
      <w:r>
        <w:t>у</w:t>
      </w:r>
      <w:r>
        <w:t>да, а отчасти – обязательным повышением заработной платы государственным служащим от низшего и среднего до руководящего звена (республиканский з</w:t>
      </w:r>
      <w:r>
        <w:t>а</w:t>
      </w:r>
      <w:r>
        <w:t>кон №6578, Закон о стандартизации заработной платы). В соответствии с уп</w:t>
      </w:r>
      <w:r>
        <w:t>о</w:t>
      </w:r>
      <w:r>
        <w:t>мянутым законом были увеличены в два раза зарплаты учителей государстве</w:t>
      </w:r>
      <w:r>
        <w:t>н</w:t>
      </w:r>
      <w:r>
        <w:t>ных школ, медсестер, клерков, и других сотрудников государственного сектора, значительную часть которых соста</w:t>
      </w:r>
      <w:r>
        <w:t>в</w:t>
      </w:r>
      <w:r>
        <w:t>ляют женщины.</w:t>
      </w:r>
    </w:p>
    <w:p w:rsidR="00000000" w:rsidRDefault="00000000">
      <w:pPr>
        <w:pStyle w:val="SingleTxt"/>
      </w:pPr>
      <w:r>
        <w:t>348.</w:t>
      </w:r>
      <w:r>
        <w:tab/>
        <w:t>Трудовым кодексом предусмотрена минимальная заработная плата, кот</w:t>
      </w:r>
      <w:r>
        <w:t>о</w:t>
      </w:r>
      <w:r>
        <w:t>рая может выплачиваться работнику. Приняв во внимание различный прож</w:t>
      </w:r>
      <w:r>
        <w:t>и</w:t>
      </w:r>
      <w:r>
        <w:t>точный минимум, правительство поручило региональным трехсторонним сов</w:t>
      </w:r>
      <w:r>
        <w:t>е</w:t>
      </w:r>
      <w:r>
        <w:t>там и советам по производительности установить минимальный размер оплаты труда в их зонах ответственности. Трудящиеся получили повышение зарабо</w:t>
      </w:r>
      <w:r>
        <w:t>т</w:t>
      </w:r>
      <w:r>
        <w:t>ной платы в виде выплачиваемого государством или нанимателем денежной надбавки в связи с повышением прожиточного минимума, отпускного возн</w:t>
      </w:r>
      <w:r>
        <w:t>а</w:t>
      </w:r>
      <w:r>
        <w:t>граждения и ежемесячных премий. Пункты о дополнительных выплатах были также включены в коллективные трудовые договоры. Однако результаты гос</w:t>
      </w:r>
      <w:r>
        <w:t>у</w:t>
      </w:r>
      <w:r>
        <w:t>дарственной проверки условий труда показали, что не менее одной пятой всех предприятий постоянно нарушали закон о минимальной оплате труда. Так в 1995 году эта цифра составила 19,6 процента от 77 849 проинспектированных предприятий, в 1998 году – 25,5 процента от 37 080, в 2001 году – 26,4 процента от 33 914 (BLES 2003d).</w:t>
      </w:r>
    </w:p>
    <w:p w:rsidR="00000000" w:rsidRDefault="00000000">
      <w:pPr>
        <w:pStyle w:val="SingleTxt"/>
      </w:pPr>
      <w:r>
        <w:t>349.</w:t>
      </w:r>
      <w:r>
        <w:tab/>
        <w:t>Другой нормативный акт (республиканский закон №6725, вступивший в силу в 1989 году) был направлен на подтверждение запрета на дискриминацию в отношении женщин с точки зрения возможностей и условий занятости. М</w:t>
      </w:r>
      <w:r>
        <w:t>и</w:t>
      </w:r>
      <w:r>
        <w:t>нистерство труда приняло с тех пор правила, способствующие выполнению этого закона, в которых было дано определение «труду равной ценности» и п</w:t>
      </w:r>
      <w:r>
        <w:t>е</w:t>
      </w:r>
      <w:r>
        <w:t>речислены условия, при которых выплата меньшего вознаграждения женщине не считается дискриминацией. Однако по причине некоторых неясностей, с</w:t>
      </w:r>
      <w:r>
        <w:t>о</w:t>
      </w:r>
      <w:r>
        <w:t>держащихся в этих правилах, еще предстоит добиться фактического выполн</w:t>
      </w:r>
      <w:r>
        <w:t>е</w:t>
      </w:r>
      <w:r>
        <w:t>ния положения о равной оплате труда и контроля за выполнением этого пол</w:t>
      </w:r>
      <w:r>
        <w:t>о</w:t>
      </w:r>
      <w:r>
        <w:t>жения работодателями.</w:t>
      </w:r>
    </w:p>
    <w:p w:rsidR="00000000" w:rsidRDefault="00000000">
      <w:pPr>
        <w:pStyle w:val="SingleTxt"/>
      </w:pPr>
      <w:r>
        <w:t>350.</w:t>
      </w:r>
      <w:r>
        <w:tab/>
        <w:t>Трудовой кодекс предусматривает выплату дополнительного вознагра</w:t>
      </w:r>
      <w:r>
        <w:t>ж</w:t>
      </w:r>
      <w:r>
        <w:t>дения за работу в выходные дни и в нерабочее время. Проверка, проведенная правительством в 1995 году показала, что около 3,3 процента проинспектир</w:t>
      </w:r>
      <w:r>
        <w:t>о</w:t>
      </w:r>
      <w:r>
        <w:t>ванных предприятий либо оплачивала сверхурочный труд в недостаточном размере, либо не оплачивала его вообще. В 1998 и 1999 годах число таких предприятий возросло до 3,9 процента, но позднее, в 2000 и 2001 годах оно снизилось и закрепилось на отметке в 3,5 процента (BLES 2003d). Еще 10 процентов (в сравнении с 7 процентами по данным на 1996 год) регулярно пренебрегали установленными выходными днями, днями отдыха и выплатой поощрительных надбавок. Информации о том, было ли работникам выплачено вознаграждение в результате того, что случаи нарушения были выявлены, не имеется.</w:t>
      </w:r>
    </w:p>
    <w:p w:rsidR="00000000" w:rsidRDefault="00000000">
      <w:pPr>
        <w:pStyle w:val="SingleTxt"/>
      </w:pPr>
      <w:r>
        <w:t>351.</w:t>
      </w:r>
      <w:r>
        <w:tab/>
        <w:t>Трудовым кодексом также запрещена работа женщин в ночную смену, кроме особо оговоренных случаев. В то время как эта мера может иметь своей целью защиту трудящихся женщин, она также носит и дискриминационный характер, поскольку кодекс фактически не рассматривает вопрос об обеспеч</w:t>
      </w:r>
      <w:r>
        <w:t>е</w:t>
      </w:r>
      <w:r>
        <w:t>нии безопасности женщин, работающих в ночную смену. Пока нет возможн</w:t>
      </w:r>
      <w:r>
        <w:t>о</w:t>
      </w:r>
      <w:r>
        <w:t>сти проверить, как соблюдается запрет на работу женщин в ночную смену, но правительство ведет работу в этом направлении (см. соответствующий раздел о программах ниже).</w:t>
      </w:r>
    </w:p>
    <w:p w:rsidR="00000000" w:rsidRDefault="00000000">
      <w:pPr>
        <w:pStyle w:val="SingleTxt"/>
      </w:pPr>
      <w:r>
        <w:t>352.</w:t>
      </w:r>
      <w:r>
        <w:tab/>
        <w:t>В том, что касается охраны и гигиены труда, в различных исследованиях и докладах, подготовленных Центром по технике безопасности и гигиене труда (ЦТБГТ), особо выделены следующие вопросы, связа</w:t>
      </w:r>
      <w:r>
        <w:t>н</w:t>
      </w:r>
      <w:r>
        <w:t>ные с женщинами:</w:t>
      </w:r>
    </w:p>
    <w:p w:rsidR="00000000" w:rsidRDefault="00000000">
      <w:pPr>
        <w:pStyle w:val="SingleTxt"/>
        <w:ind w:left="1740" w:right="1264" w:hanging="476"/>
      </w:pPr>
      <w:r>
        <w:t>a)</w:t>
      </w:r>
      <w:r>
        <w:tab/>
      </w:r>
      <w:r>
        <w:rPr>
          <w:i/>
        </w:rPr>
        <w:t>Воздействие на организм свинца и растворителей на производстве пол</w:t>
      </w:r>
      <w:r>
        <w:rPr>
          <w:i/>
        </w:rPr>
        <w:t>у</w:t>
      </w:r>
      <w:r>
        <w:rPr>
          <w:i/>
        </w:rPr>
        <w:t>проводников.</w:t>
      </w:r>
      <w:r>
        <w:t xml:space="preserve"> У некоторых женщин, чей организм подвергся воздействию свинца, были обнаружены акушерские патологии и гинекологические з</w:t>
      </w:r>
      <w:r>
        <w:t>а</w:t>
      </w:r>
      <w:r>
        <w:t>болевания, такие как самопроизвольные аборты (ЦТБГТ 1996). Компании, занимающиеся производством электроники и полупроводников, устана</w:t>
      </w:r>
      <w:r>
        <w:t>в</w:t>
      </w:r>
      <w:r>
        <w:t>ливают системы местной и общей вытяжки с тем, чтобы снизить вредное воздействие растворителей, но работники, преимущественно женщины, часто жалуются на наркотическое действие, раздражения дыхательных путей и кожи. Несмотря на то, что клинические, лабораторные и биолог</w:t>
      </w:r>
      <w:r>
        <w:t>и</w:t>
      </w:r>
      <w:r>
        <w:t>ческие анализы оказались недостаточными для того, чтобы сделать з</w:t>
      </w:r>
      <w:r>
        <w:t>а</w:t>
      </w:r>
      <w:r>
        <w:t>ключение о воздействии растворителей на человеческий организм, было рекомендовано ввести постоянное наблюдение и контроль на предприят</w:t>
      </w:r>
      <w:r>
        <w:t>и</w:t>
      </w:r>
      <w:r>
        <w:t>ях с целью предотвратить возникновение у работников профессионал</w:t>
      </w:r>
      <w:r>
        <w:t>ь</w:t>
      </w:r>
      <w:r>
        <w:t>ных заболеваний, таких как синдром Стивенса-Джонсона (ЦТБГТ 2001а).</w:t>
      </w:r>
    </w:p>
    <w:p w:rsidR="00000000" w:rsidRDefault="00000000">
      <w:pPr>
        <w:pStyle w:val="SingleTxt"/>
        <w:ind w:left="1740" w:right="1264" w:hanging="476"/>
      </w:pPr>
      <w:r>
        <w:t>b)</w:t>
      </w:r>
      <w:r>
        <w:tab/>
      </w:r>
      <w:r>
        <w:rPr>
          <w:i/>
        </w:rPr>
        <w:t>Стресс при преподавании.</w:t>
      </w:r>
      <w:r>
        <w:t xml:space="preserve"> Заявления о выплате компенсации, которые учителя государственных школ направляют в систему страхования гос</w:t>
      </w:r>
      <w:r>
        <w:t>у</w:t>
      </w:r>
      <w:r>
        <w:t>дарственных служащих (ССГС) и Комиссию по заработной плате (КЗП) свидетельствуют о том, что учителя часто страдают от сердечных забол</w:t>
      </w:r>
      <w:r>
        <w:t>е</w:t>
      </w:r>
      <w:r>
        <w:t>ваний и острых сердечно-сосудистых расстройств, туберкулеза легких, аллергии, бронхиальной астмы, язв и пневмонии. Так же нередки жалобы на злокачественные опухоли, заболевания желудочно-кишечного тракта, заболевания почек и мочевыводящих путей, репродуктивных органов и нервные расстройства (ЦТБГТ 1997).</w:t>
      </w:r>
    </w:p>
    <w:p w:rsidR="00000000" w:rsidRDefault="00000000">
      <w:pPr>
        <w:pStyle w:val="SingleTxt"/>
        <w:ind w:left="1740" w:right="1264" w:hanging="476"/>
      </w:pPr>
      <w:r>
        <w:t>c)</w:t>
      </w:r>
      <w:r>
        <w:tab/>
      </w:r>
      <w:r>
        <w:rPr>
          <w:i/>
        </w:rPr>
        <w:t>Нарушения сна и другие проблемы со здоровьем у работающих в ночную смену.</w:t>
      </w:r>
      <w:r>
        <w:t xml:space="preserve"> Женщины, работающие на прядильной фабрике в ночную смену, не думают о вреде работы в ночное время и говорят, что в ночной смене их привлекает более высокая заработная плата. Их слова подтверждают р</w:t>
      </w:r>
      <w:r>
        <w:t>е</w:t>
      </w:r>
      <w:r>
        <w:t>зультаты исследования, которые выявили серьезные изменения в жизне</w:t>
      </w:r>
      <w:r>
        <w:t>н</w:t>
      </w:r>
      <w:r>
        <w:t>ных функциях организма (частота сердцебиения, вариабельность частоты сердечных сокращений, температура тела), которые объясняют привык</w:t>
      </w:r>
      <w:r>
        <w:t>а</w:t>
      </w:r>
      <w:r>
        <w:t>ние к ночной работе. Однако результаты исследования также указывают на то, что повышенная физическая активность, стресс и недостаток сна могут привести к появлению вредных изменений в организме (ЦТБГТ 2001b).</w:t>
      </w:r>
    </w:p>
    <w:p w:rsidR="00000000" w:rsidRDefault="00000000">
      <w:pPr>
        <w:pStyle w:val="SingleTxt"/>
        <w:ind w:left="1740" w:right="1264" w:hanging="476"/>
      </w:pPr>
      <w:r>
        <w:t>d)</w:t>
      </w:r>
      <w:r>
        <w:tab/>
        <w:t>Вредное воздействие пестицидов при полевых работах. В сельскохозяйс</w:t>
      </w:r>
      <w:r>
        <w:t>т</w:t>
      </w:r>
      <w:r>
        <w:t>венном секторе работники на протяжении долгих лет подвергались во</w:t>
      </w:r>
      <w:r>
        <w:t>з</w:t>
      </w:r>
      <w:r>
        <w:t>действию химикатов, с которыми им часто приходилось работать без с</w:t>
      </w:r>
      <w:r>
        <w:t>о</w:t>
      </w:r>
      <w:r>
        <w:t>ответствующих средств защиты. Сообщалось, что в 1995 году 3000 из 5000 работников плантаций на острове Минданао подверглись воздейс</w:t>
      </w:r>
      <w:r>
        <w:t>т</w:t>
      </w:r>
      <w:r>
        <w:t>вию ядовитых пестицидов. Против виновных агрофирм был подан ко</w:t>
      </w:r>
      <w:r>
        <w:t>л</w:t>
      </w:r>
      <w:r>
        <w:t>лективный иск. При этом фи</w:t>
      </w:r>
      <w:r>
        <w:t>р</w:t>
      </w:r>
      <w:r>
        <w:t>мы выбрали путь мировой сделки.</w:t>
      </w:r>
      <w:r>
        <w:rPr>
          <w:rStyle w:val="FootnoteReference"/>
        </w:rPr>
        <w:footnoteReference w:id="19"/>
      </w:r>
    </w:p>
    <w:p w:rsidR="00000000" w:rsidRDefault="00000000">
      <w:pPr>
        <w:pStyle w:val="SingleTxt"/>
      </w:pPr>
      <w:r>
        <w:t>353.</w:t>
      </w:r>
      <w:r>
        <w:tab/>
        <w:t>Было отмечено, что один из наиболее распространенных аспектов без</w:t>
      </w:r>
      <w:r>
        <w:t>о</w:t>
      </w:r>
      <w:r>
        <w:t>пасности женщины на рабочем месте, борьба с сексуальными домогательств</w:t>
      </w:r>
      <w:r>
        <w:t>а</w:t>
      </w:r>
      <w:r>
        <w:t>ми, заставила женские группы поддержать Закон о борьбе с сексуальными д</w:t>
      </w:r>
      <w:r>
        <w:t>о</w:t>
      </w:r>
      <w:r>
        <w:t>могательствами (республиканский закон №7877) в 1995 году. В нем предусма</w:t>
      </w:r>
      <w:r>
        <w:t>т</w:t>
      </w:r>
      <w:r>
        <w:t>ривались превентивные меры, а также порядок подачи жалоб и заявлений. С тех пор жертв домогательства, преимущественно женщин, всячески призывают подавать жалобы. В Управление по правовым вопросам Комиссии по гражда</w:t>
      </w:r>
      <w:r>
        <w:t>н</w:t>
      </w:r>
      <w:r>
        <w:t>ской службе было подано 38 жалоб государственных служащих. В результате рассмотрения этих заявлений 15 ответчиков было уволено со службы, а 7 ответчикам были назначены испытательные сроки от 3 до 12 месяцев. Зая</w:t>
      </w:r>
      <w:r>
        <w:t>в</w:t>
      </w:r>
      <w:r>
        <w:t>ления стали поступать и из частного сектора.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Особые категории трудящихся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56"/>
      </w:pPr>
      <w:r>
        <w:t>Женщины, работающие за рубежом</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354.</w:t>
      </w:r>
      <w:r>
        <w:tab/>
        <w:t>Комиссия по делам филиппинцев за границей (КФГ) утверждает, что по данным на декабрь 2001 года за границей находилось в общей сложности 7,4 млн. филиппинцев: 3,1 млн. трудящихся-мигрантов, 2,7 млн. постоянно проживающих и около 1,6 млн. незаконных эмигрантов. Около 1,6 млн. человек выехали за рубеж, получив работу, в период с 1995 по 2001 год. Большинство из них (63 процента) составили женщины, 45 процентов которых выехали для работы в качестве домашней прислуги, и 33 процента имели профессионал</w:t>
      </w:r>
      <w:r>
        <w:t>ь</w:t>
      </w:r>
      <w:r>
        <w:t>ную подготовку, преимущественно артистки, направляющиеся в Японию. О</w:t>
      </w:r>
      <w:r>
        <w:t>п</w:t>
      </w:r>
      <w:r>
        <w:t>ределенная часть этих людей направлялась в Тайвань и Корею для работы на фабриках. Пунктом назначения большинства женщин, намеревавшихся раб</w:t>
      </w:r>
      <w:r>
        <w:t>о</w:t>
      </w:r>
      <w:r>
        <w:t>тать в качестве домашней прислуги, были Гонконг (46 процентов), Ближний Восток (38 процентов), а также Малайзия, Сингапур и другие страны (16 процентов). В отличие от женщин, большая часть мужчин (67 процентов) работала на производстве. Все лица, работающие за рубежом в море, которые составляли 32 процента от общего числа работающих за рубежом в 2001 году, были мужчинами.</w:t>
      </w:r>
    </w:p>
    <w:p w:rsidR="00000000" w:rsidRDefault="00000000">
      <w:pPr>
        <w:pStyle w:val="SingleTxt"/>
      </w:pPr>
      <w:r>
        <w:t>355.</w:t>
      </w:r>
      <w:r>
        <w:tab/>
        <w:t>Большое число находящихся за рубежом филиппинцев – это нелегальные мигранты. Японское правительство полагает, что тот факт, что половина или более 40 000 филиппинских рабочих, въехавших в Японию в 1998 году были незаконными иммигрантами, объясняется ужесточением японского визового режима и низкими возможностями трудоустройства для квалифицированных рабочих на Филиппинах. Две трети (63,8 процента) от этого числа составили женщины, которые рискуют стать жертвами насилия и эксплуатации (</w:t>
      </w:r>
      <w:r>
        <w:rPr>
          <w:i/>
        </w:rPr>
        <w:t xml:space="preserve">Sinag </w:t>
      </w:r>
      <w:r>
        <w:t>1999). Филиппинский атташе по вопросам труда в Сингапуре утверждает, что около 70 процентов из 80 000 человек, работающих там в качестве домашней прислуги, въехали на территорию страны по туристическим визам или были приняты на работу незарегистрированными нанимателями. Это означает, что Правительство Филиппин не имело возможности проверить их контракты.</w:t>
      </w:r>
    </w:p>
    <w:p w:rsidR="00000000" w:rsidRDefault="00000000">
      <w:pPr>
        <w:pStyle w:val="SingleTxt"/>
      </w:pPr>
      <w:r>
        <w:t>356.</w:t>
      </w:r>
      <w:r>
        <w:tab/>
        <w:t>Филиппинцы, работающие за рубежом, по-прежнему сталкиваются с н</w:t>
      </w:r>
      <w:r>
        <w:t>а</w:t>
      </w:r>
      <w:r>
        <w:t>рушением или подменой контрактов, в результате чего им выплачивается зн</w:t>
      </w:r>
      <w:r>
        <w:t>а</w:t>
      </w:r>
      <w:r>
        <w:t>чительно меньшая заработная плата и им приходится работать в значительно худших условиях, происходит нарушение законов страны пребывания, а же</w:t>
      </w:r>
      <w:r>
        <w:t>н</w:t>
      </w:r>
      <w:r>
        <w:t>щины становятся жертвами физического и сексуального насилия. Работающие в качестве домашней прислуги в Сингапуре и Малайзии жалуются по поводу недостаточного питания, большого объема работы и недостатка свободного времени, запретов на пользование телефоном, общение, ежедневное пользов</w:t>
      </w:r>
      <w:r>
        <w:t>а</w:t>
      </w:r>
      <w:r>
        <w:t>ние ванной, а также словесных оскорблений со стороны нанимателей-женщин и сексуальных домогательств и пристав</w:t>
      </w:r>
      <w:r>
        <w:t>а</w:t>
      </w:r>
      <w:r>
        <w:t>ний со стороны нанимателей-мужчин.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в различных экономических зонах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357.</w:t>
      </w:r>
      <w:r>
        <w:tab/>
        <w:t>Филиппинское управление экономическими зонами (.....) было создано для выделения экономических зон внутри страны и управления ими. По с</w:t>
      </w:r>
      <w:r>
        <w:t>о</w:t>
      </w:r>
      <w:r>
        <w:t>стоянию на декабрь 2001 года Управление регулировало четыре государстве</w:t>
      </w:r>
      <w:r>
        <w:t>н</w:t>
      </w:r>
      <w:r>
        <w:t>ных экономических зоны, 34 частных экономических зоны и девять зданий и строений информационной инфраструктуры по всей стране. По данным за 2003 год в этих зонах работало 907 127 сотрудников, 80 процентов которых с</w:t>
      </w:r>
      <w:r>
        <w:t>о</w:t>
      </w:r>
      <w:r>
        <w:t>ставляли женщины, занятые преимущественно на объектах легкой, текстил</w:t>
      </w:r>
      <w:r>
        <w:t>ь</w:t>
      </w:r>
      <w:r>
        <w:t>ной, пищевой, деревообрабатывающей и электронной промышленности.</w:t>
      </w:r>
    </w:p>
    <w:p w:rsidR="00000000" w:rsidRDefault="00000000">
      <w:pPr>
        <w:pStyle w:val="SingleTxt"/>
      </w:pPr>
      <w:r>
        <w:t>358.</w:t>
      </w:r>
      <w:r>
        <w:tab/>
        <w:t>Женщины экономической зоны Кавите назвали одной из наиболее серье</w:t>
      </w:r>
      <w:r>
        <w:t>з</w:t>
      </w:r>
      <w:r>
        <w:t>ных своих проблем низкую заработную плату, слишком большие вычеты, пр</w:t>
      </w:r>
      <w:r>
        <w:t>и</w:t>
      </w:r>
      <w:r>
        <w:t>нудительные сверхурочные работы, высокая норма производства и малые пр</w:t>
      </w:r>
      <w:r>
        <w:t>е</w:t>
      </w:r>
      <w:r>
        <w:t>миальные. В числе других проблем были названы плохая вентиляция, политика работодателя, не допускающая участия в профсоюзах, отсутствие оплаты сверхурочных работ, невыплата пособий социального страхования, отсутствие упорядоченности, сексуальные домогательства, трудности с получением о</w:t>
      </w:r>
      <w:r>
        <w:t>т</w:t>
      </w:r>
      <w:r>
        <w:t>пуска по беременности и уходу за ребенком и справок от врача, а также ди</w:t>
      </w:r>
      <w:r>
        <w:t>с</w:t>
      </w:r>
      <w:r>
        <w:t>криминация по признаку пола при продвижении по работе. Кроме того, же</w:t>
      </w:r>
      <w:r>
        <w:t>н</w:t>
      </w:r>
      <w:r>
        <w:t>щины перечислили ряд проблем со здоровьем, связанных с работой: переуто</w:t>
      </w:r>
      <w:r>
        <w:t>м</w:t>
      </w:r>
      <w:r>
        <w:t>ление, мигрени, головные боли, вызванные недостатком сна в связи со свер</w:t>
      </w:r>
      <w:r>
        <w:t>х</w:t>
      </w:r>
      <w:r>
        <w:t>урочными работами (Pineda Ofreneo и др. 1999). Ухудшение зрения, заболев</w:t>
      </w:r>
      <w:r>
        <w:t>а</w:t>
      </w:r>
      <w:r>
        <w:t>ния дыхательных путей и несчастные случаи были отнесены на счет неудовл</w:t>
      </w:r>
      <w:r>
        <w:t>е</w:t>
      </w:r>
      <w:r>
        <w:t>творительных условий труда. И хотя компании должны были иметь в числе с</w:t>
      </w:r>
      <w:r>
        <w:t>о</w:t>
      </w:r>
      <w:r>
        <w:t>трудников врачей, посещения врачей были крайне редкими, а когда они имели место, у женщин не было возможности обратиться за консультацией по прич</w:t>
      </w:r>
      <w:r>
        <w:t>и</w:t>
      </w:r>
      <w:r>
        <w:t>не продолжительного рабочего дня и коротких перерывов. Кроме того, услуги по планированию семьи также оказывались на недостаточном уровне, что пр</w:t>
      </w:r>
      <w:r>
        <w:t>о</w:t>
      </w:r>
      <w:r>
        <w:t>тиворечит Трудовому кодексу (Edralin 2001). Сотрудники только семи проце</w:t>
      </w:r>
      <w:r>
        <w:t>н</w:t>
      </w:r>
      <w:r>
        <w:t>тов фирм состояли в профсоюзах, а большая часть работников не имела во</w:t>
      </w:r>
      <w:r>
        <w:t>з</w:t>
      </w:r>
      <w:r>
        <w:t>можности участвовать в процессе принятия решений, а, следовательно, и о</w:t>
      </w:r>
      <w:r>
        <w:t>т</w:t>
      </w:r>
      <w:r>
        <w:t>крыто заявить о своих проблемах.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в неформальном секторе экономики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359.</w:t>
      </w:r>
      <w:r>
        <w:tab/>
        <w:t>По оценкам, около 45 процентов ВНП в период с 1987 по 1993 год прих</w:t>
      </w:r>
      <w:r>
        <w:t>о</w:t>
      </w:r>
      <w:r>
        <w:t>дилось в среднем на долю неформального сектора экономики (ILS 1994). Этот факт может расцениваться как свидетельствующий о благоприятной среде для предпринимательства, которое может в значительной мере способствовать эк</w:t>
      </w:r>
      <w:r>
        <w:t>о</w:t>
      </w:r>
      <w:r>
        <w:t>номическому развитию. Несмотря на то плачевное положение, в котором оно находится, предпринимательство обладает мощным потенциалом для укрепл</w:t>
      </w:r>
      <w:r>
        <w:t>е</w:t>
      </w:r>
      <w:r>
        <w:t>ния справедливости и ускорения экономического роста, благодаря его спосо</w:t>
      </w:r>
      <w:r>
        <w:t>б</w:t>
      </w:r>
      <w:r>
        <w:t>ности внедрять инновации.</w:t>
      </w:r>
    </w:p>
    <w:p w:rsidR="00000000" w:rsidRDefault="00000000">
      <w:pPr>
        <w:pStyle w:val="SingleTxt"/>
      </w:pPr>
      <w:r>
        <w:t>360.</w:t>
      </w:r>
      <w:r>
        <w:tab/>
        <w:t>Работники неформального сектора или занятые лица, не получающие з</w:t>
      </w:r>
      <w:r>
        <w:t>а</w:t>
      </w:r>
      <w:r>
        <w:t>работной платы, составляют более половины трудящихся страны (НСБ 2003с). С 1996 по 2002 год прирост в секторе составлял примерно на 1,5 процента ежегодно (Таблица В11.8), что ниже, чем рост занятости в целом (около 1,7 процента). Значительная часть прироста в секторе обеспечивалась сам</w:t>
      </w:r>
      <w:r>
        <w:t>о</w:t>
      </w:r>
      <w:r>
        <w:t>стоятельными работниками-женщинами, число которых с 1996 года выросло на 22 процента. После того, как пришли в упадок отрасли, находившиеся под сильными импортными ограничениями, рабочие, потерявшие свои места, н</w:t>
      </w:r>
      <w:r>
        <w:t>а</w:t>
      </w:r>
      <w:r>
        <w:t>шли выход в самостоятельной занятости, которая обеспечила им средства к существованию. Поскольку экономическое положение в стране все еще нест</w:t>
      </w:r>
      <w:r>
        <w:t>а</w:t>
      </w:r>
      <w:r>
        <w:t>бильно, все больше трудящихся, преимущественно женщины, становится р</w:t>
      </w:r>
      <w:r>
        <w:t>а</w:t>
      </w:r>
      <w:r>
        <w:t>ботниками неформального сектора экономики. (Illo 1999).</w:t>
      </w:r>
    </w:p>
    <w:p w:rsidR="00000000" w:rsidRDefault="00000000">
      <w:pPr>
        <w:pStyle w:val="SingleTxt"/>
      </w:pPr>
      <w:r>
        <w:t>361.</w:t>
      </w:r>
      <w:r>
        <w:tab/>
        <w:t>Три из каждых шести работников неформального сектора – это мелкие фермеры или работники семейных предприятий. В других отраслях самосто</w:t>
      </w:r>
      <w:r>
        <w:t>я</w:t>
      </w:r>
      <w:r>
        <w:t>тельные работники составляют около 86 процентов от общего числа занятых, причем 46 из них работают в сфере торговли, а 28 процентов – в сфере мелкого производства, а 7 процентов – в сфере услуг (Illo 2002b). В 1995 году пров</w:t>
      </w:r>
      <w:r>
        <w:t>е</w:t>
      </w:r>
      <w:r>
        <w:t>денной НСБ исследование неформального сектора в городах показало, что женщины составляют не менее 51 процента работников несельскохозяйстве</w:t>
      </w:r>
      <w:r>
        <w:t>н</w:t>
      </w:r>
      <w:r>
        <w:t xml:space="preserve">ных предприятий. В большинстве случаев идет речь о традиционно женских занятиях, таких как пошив одежды или изготовление </w:t>
      </w:r>
      <w:r>
        <w:rPr>
          <w:i/>
        </w:rPr>
        <w:t>ретасо</w:t>
      </w:r>
      <w:r>
        <w:t xml:space="preserve"> (из отходов ле</w:t>
      </w:r>
      <w:r>
        <w:t>г</w:t>
      </w:r>
      <w:r>
        <w:t>кой промышленности), прачечное обслуживание, торговля продуктами или другими товарами на улице или на рынках (Pineda Ofreneo 1999). Женщины преобладают также и среди надомных работников легкой, пищевой, обувной и другой промышленности. В сельской местности от пяти до семи миллионов надомных работников производят штучную продукцию на экспорт, и число т</w:t>
      </w:r>
      <w:r>
        <w:t>а</w:t>
      </w:r>
      <w:r>
        <w:t>ких работников растет. Большинство из них работает по договорам су</w:t>
      </w:r>
      <w:r>
        <w:t>б</w:t>
      </w:r>
      <w:r>
        <w:t>подряда.</w:t>
      </w:r>
    </w:p>
    <w:p w:rsidR="00000000" w:rsidRDefault="00000000">
      <w:pPr>
        <w:pStyle w:val="SingleTxt"/>
      </w:pPr>
      <w:r>
        <w:t>362.</w:t>
      </w:r>
      <w:r>
        <w:tab/>
        <w:t>Работники неформального сектора экономики имеют ограниченный до</w:t>
      </w:r>
      <w:r>
        <w:t>с</w:t>
      </w:r>
      <w:r>
        <w:t>туп к тем кредитам и услугам социальной защиты, которыми пользуются р</w:t>
      </w:r>
      <w:r>
        <w:t>а</w:t>
      </w:r>
      <w:r>
        <w:t>ботники формального сектора, преимущественно по той причине, что бол</w:t>
      </w:r>
      <w:r>
        <w:t>ь</w:t>
      </w:r>
      <w:r>
        <w:t>шинство работников неформального сектора является самостоятельными р</w:t>
      </w:r>
      <w:r>
        <w:t>а</w:t>
      </w:r>
      <w:r>
        <w:t>ботниками, занятыми малодоходной деятельностью. В тех случаях, когда пр</w:t>
      </w:r>
      <w:r>
        <w:t>и</w:t>
      </w:r>
      <w:r>
        <w:t>сутствует хоть какое-то подобие отношений между работником и работодат</w:t>
      </w:r>
      <w:r>
        <w:t>е</w:t>
      </w:r>
      <w:r>
        <w:t>лем, часто они зафиксированы не письменно, а лишь в форме устной догов</w:t>
      </w:r>
      <w:r>
        <w:t>о</w:t>
      </w:r>
      <w:r>
        <w:t>ренности о сроках и условиях труда, как нередко бывает с работниками, раб</w:t>
      </w:r>
      <w:r>
        <w:t>о</w:t>
      </w:r>
      <w:r>
        <w:t>тающими на субподряде и надомными работниками. Таким образом, общими проблемами работников неформального сектора являются непостоянная зан</w:t>
      </w:r>
      <w:r>
        <w:t>я</w:t>
      </w:r>
      <w:r>
        <w:t>тость, низкий уровень доходов и неудовлетворительные условия труда, в том числе и невозможность пользоваться благами социального обеспечения (ILS 1996).</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на государственной службе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363.</w:t>
      </w:r>
      <w:r>
        <w:tab/>
        <w:t>Должности на филиппинской гражданской службе подразделяются на кадровые и некадровые. Кадровые должности занимают люди, постоянно или временно назначенные на руководящие или неруководящие посты. Некадровые должности включают в себя руководящие должности (замещаемые по назнач</w:t>
      </w:r>
      <w:r>
        <w:t>е</w:t>
      </w:r>
      <w:r>
        <w:t>нию), выборные, смежные должности и должности, занимаемые по контракту. К некадровым руководящим должностям относятся секретари и заместители секретарей министерств, председатели и члены конституционных комиссий и другие высокие должности, замещаемые по назначению, выборные и смежные должности, личные помощники лиц, занимающих выборные и некадровые должности. В 1999 году на государственной службе находилось 1,4 млн. чел</w:t>
      </w:r>
      <w:r>
        <w:t>о</w:t>
      </w:r>
      <w:r>
        <w:t>век. Женщины занимали 55,5 процента кадровых и 36,5 процента некадровых должностей. Несмотря на то, что они занимали почти три четверти кадровых должностей второго уровня, их число среди людей, ответственных за принятие решений (третий уровень кадровых и некадровые руководящие должности) и высоко оплачиваемых сотрудников. Женщины также составляли небольшой процент тех, кто занимал выборные должности (BLES 2003d).</w:t>
      </w:r>
    </w:p>
    <w:p w:rsidR="00000000" w:rsidRDefault="00000000">
      <w:pPr>
        <w:pStyle w:val="SingleTxt"/>
      </w:pPr>
      <w:r>
        <w:t>364.</w:t>
      </w:r>
      <w:r>
        <w:tab/>
        <w:t>Исследование самых различных обязанностей женщин и мужчин показ</w:t>
      </w:r>
      <w:r>
        <w:t>а</w:t>
      </w:r>
      <w:r>
        <w:t>ло, что между ними существует разница в том, что касается источников стресса дома и на работе, (ЦТБГТ 1999). Значительно бол</w:t>
      </w:r>
      <w:r>
        <w:t>ь</w:t>
      </w:r>
      <w:r>
        <w:t>шее число женщин-респондентов указало на неспособность «расслабиться дома» после рабочего дня в связи с моральным грузом работы по дому, что свидетельствует о бол</w:t>
      </w:r>
      <w:r>
        <w:t>ь</w:t>
      </w:r>
      <w:r>
        <w:t>шом количестве различных функций, выполняемых работающими женщинами. По результатам исследования был рекомендован более гибкий график работы для женщин, который позволил бы им выполнять часть работы на дому, а та</w:t>
      </w:r>
      <w:r>
        <w:t>к</w:t>
      </w:r>
      <w:r>
        <w:t>же улу</w:t>
      </w:r>
      <w:r>
        <w:t>ч</w:t>
      </w:r>
      <w:r>
        <w:t>шение инфраструктуры в помощь женщинам.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Женщины-предприниматели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365.</w:t>
      </w:r>
      <w:r>
        <w:tab/>
        <w:t>Исследование, проведенное Советом женщин-предпринимателей в 1998 году, показало, что предприятия, во главе которых стояли или которыми владели женщины, имелись почти в каждом секторе экономики: производство электроники и бытовой техники, транспорт, недвижимость, финансовое ко</w:t>
      </w:r>
      <w:r>
        <w:t>н</w:t>
      </w:r>
      <w:r>
        <w:t>сультирование, ресторанное дело, маркетинг и связи с общественностью, а также издательское дело. Большая часть малых и средних предприятий, во гл</w:t>
      </w:r>
      <w:r>
        <w:t>а</w:t>
      </w:r>
      <w:r>
        <w:t>ве которых стояли или которыми владели женщины, работала в таких областях, как производство (41 процент), швейная, ювелирная и мебельная промышле</w:t>
      </w:r>
      <w:r>
        <w:t>н</w:t>
      </w:r>
      <w:r>
        <w:t>ность(37 процентов), маркетинг (9 процентов), недвижимость (7 процентов).</w:t>
      </w:r>
    </w:p>
    <w:p w:rsidR="00000000" w:rsidRDefault="00000000">
      <w:pPr>
        <w:pStyle w:val="SingleTxt"/>
      </w:pPr>
      <w:r>
        <w:t>366.</w:t>
      </w:r>
      <w:r>
        <w:tab/>
        <w:t>Филиппинская торгово-промышленная палата в 1998 году провела иссл</w:t>
      </w:r>
      <w:r>
        <w:t>е</w:t>
      </w:r>
      <w:r>
        <w:t>дование, согласно которому, несмотря на то, что фирм, возглавляемых женщ</w:t>
      </w:r>
      <w:r>
        <w:t>и</w:t>
      </w:r>
      <w:r>
        <w:t>нами, меньше, чем фирм, во главе которых стоят мужчины, им все же прина</w:t>
      </w:r>
      <w:r>
        <w:t>д</w:t>
      </w:r>
      <w:r>
        <w:t>лежит весомый вклад в экономику страны. Совокупные активы всех фирм, во</w:t>
      </w:r>
      <w:r>
        <w:t>з</w:t>
      </w:r>
      <w:r>
        <w:t>главляемых женщинами, на Филиппинах составили в 1998 году 7 млрд. фили</w:t>
      </w:r>
      <w:r>
        <w:t>п</w:t>
      </w:r>
      <w:r>
        <w:t>пинских песо. Однако женщины-предприниматели, как правило, имеют незн</w:t>
      </w:r>
      <w:r>
        <w:t>а</w:t>
      </w:r>
      <w:r>
        <w:t>чительный опыт работы и слабую подготовку в области управления. Также большие неудобства им доставляет необходимость сочетать деловые и дома</w:t>
      </w:r>
      <w:r>
        <w:t>ш</w:t>
      </w:r>
      <w:r>
        <w:t>ние обязанности, а также недостаточно развитые деловые контакты и инфр</w:t>
      </w:r>
      <w:r>
        <w:t>а</w:t>
      </w:r>
      <w:r>
        <w:t>структура поддержки частного предпринимательства. В результате всего этого политика и кризисы, подобные тому, который случился на Филиппинах в конце 1990-х годов, по-разному воздействуют на мужчин и женщин-предпринимателей (Licuanan 1998).</w:t>
      </w:r>
    </w:p>
    <w:p w:rsidR="00000000" w:rsidRDefault="00000000">
      <w:pPr>
        <w:pStyle w:val="SingleTxt"/>
      </w:pPr>
      <w:r>
        <w:t>367.</w:t>
      </w:r>
      <w:r>
        <w:tab/>
        <w:t>Предприятия получают соответствующие лицензии в органах местного самоуправления, предприятия и фирмы, работающие в формальном секторе, как правило, получают регистрацию в Бюро торговли, регламентации и защиты прав потребителей (БТРЗП) Министерства торговли и промышленности. С мая 2003 года Бюро начало вести отдельные базы данных о зарегистрированных предприятиях и фирмах в зависимости от пола владельца. Из 242 178 фирм, з</w:t>
      </w:r>
      <w:r>
        <w:t>а</w:t>
      </w:r>
      <w:r>
        <w:t>регистрированных с этого момента, около 11 процентов составили корпорации, кооперативы или партнерства, и 89 процентов – фирмы, находящиеся во влад</w:t>
      </w:r>
      <w:r>
        <w:t>е</w:t>
      </w:r>
      <w:r>
        <w:t>нии одного собственника. Из фирм, принадлежащих ко второй категории, 113 167 принадлежали женщинам, что составило 47 процентов от общего числа зарегистрированных фирм и 52 процента от числа фирм, находящихся во вл</w:t>
      </w:r>
      <w:r>
        <w:t>а</w:t>
      </w:r>
      <w:r>
        <w:t>дении одного собственника. Поскольку партнерства, корпорации и кооперат</w:t>
      </w:r>
      <w:r>
        <w:t>и</w:t>
      </w:r>
      <w:r>
        <w:t>вы, как правило, управляются мужчинами, цифру в 47 процентов (52 процента) следует считать приблизительным показателем доли женщин среди собстве</w:t>
      </w:r>
      <w:r>
        <w:t>н</w:t>
      </w:r>
      <w:r>
        <w:t>ников предприятий и фирм в стране.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Работающие девочки-подростки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368.</w:t>
      </w:r>
      <w:r>
        <w:tab/>
        <w:t>Проводившееся в 1995 году национальное исследование по проблемам работающих детей и подростков показало, что около 1,3 млн. из 3,6 млн. раб</w:t>
      </w:r>
      <w:r>
        <w:t>о</w:t>
      </w:r>
      <w:r>
        <w:t>тающих детей и подростков (в возрасте от 5 до 17 лет) были девочки. Большая часть из них была из сельских районов, а более четверти не могли посещать занятия в школе из-за работы. Более половины работающих детей и подростков (65 процентов) жило вдали от дома, и большинство (79 процентов) работало в качестве домашней прислуги. В 2001 году число работающих детей и подрос</w:t>
      </w:r>
      <w:r>
        <w:t>т</w:t>
      </w:r>
      <w:r>
        <w:t>ков возросло до 4,2 млн. Число мальчиков, как и прежде, превышало число д</w:t>
      </w:r>
      <w:r>
        <w:t>е</w:t>
      </w:r>
      <w:r>
        <w:t>вочек (2,55 млн. и 1,47 млн. соответственно), но доля работающих девочек возрастала быстрее (около 2,20 процента за год), чем соответствующий показ</w:t>
      </w:r>
      <w:r>
        <w:t>а</w:t>
      </w:r>
      <w:r>
        <w:t>тель для мальчиков (1,90 процента; ILO-IPEC/NSO 2003).</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65" w:name="_Toc85174934"/>
      <w:r>
        <w:t>B.</w:t>
      </w:r>
      <w:r>
        <w:tab/>
        <w:t>Принятые меры</w:t>
      </w:r>
      <w:bookmarkEnd w:id="6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Общая политика и разработанные программы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369.</w:t>
      </w:r>
      <w:r>
        <w:tab/>
        <w:t>На основе конституционных гарантий равных возможностей трудоус</w:t>
      </w:r>
      <w:r>
        <w:t>т</w:t>
      </w:r>
      <w:r>
        <w:t>ройства для мужчин и женщин Трудовой кодекс все же учитывает определе</w:t>
      </w:r>
      <w:r>
        <w:t>н</w:t>
      </w:r>
      <w:r>
        <w:t>ные биологические и социальные соображения относительно женщин. Исходя из этого, он требует от работодателя предоставления детского сада по месту работы, отпуска по беременности и уходу за ребенком, раздельных туалетных комнат для мужчин и женщин, услуг по планированию семьи и как минимум женской комнаты для переодевания. Однако требования законов о труде с</w:t>
      </w:r>
      <w:r>
        <w:t>о</w:t>
      </w:r>
      <w:r>
        <w:t>блюдались далеко не везде, и контроль за соблюдением равенства между му</w:t>
      </w:r>
      <w:r>
        <w:t>ж</w:t>
      </w:r>
      <w:r>
        <w:t>чинами и женщинами, а также законов, связанных с женщинами, также осущ</w:t>
      </w:r>
      <w:r>
        <w:t>е</w:t>
      </w:r>
      <w:r>
        <w:t>ствлялся далеко не всегда. Предпринята попытка решить эти проблемы путем включения функций, связанных с соблюдением равенства мужчин и женщин, в функции общих проверок предприятий, разработки руководящих принципов для проведения проверок, связанных с проблемами, высказанными трудящ</w:t>
      </w:r>
      <w:r>
        <w:t>и</w:t>
      </w:r>
      <w:r>
        <w:t>мися женщинами, а также путем уделения большего внимания политике отн</w:t>
      </w:r>
      <w:r>
        <w:t>о</w:t>
      </w:r>
      <w:r>
        <w:t>сител</w:t>
      </w:r>
      <w:r>
        <w:t>ь</w:t>
      </w:r>
      <w:r>
        <w:t>но надомных работников.</w:t>
      </w:r>
    </w:p>
    <w:p w:rsidR="00000000" w:rsidRDefault="00000000">
      <w:pPr>
        <w:pStyle w:val="SingleTxt"/>
      </w:pPr>
      <w:r>
        <w:t>370.</w:t>
      </w:r>
      <w:r>
        <w:tab/>
        <w:t>За отчетный период Конгресс Филиппин ввел в действие несколько зак</w:t>
      </w:r>
      <w:r>
        <w:t>о</w:t>
      </w:r>
      <w:r>
        <w:t>нодательных актов, направленных на ликвидацию дискриминации по признаку пола по месту работы. Закон об одиноких родителях запрещает работодателю дискриминацию в условиях найма в отношении одиноких родителей. Другой закон, республиканский закон №8187, предусматривает предоставление сем</w:t>
      </w:r>
      <w:r>
        <w:t>и</w:t>
      </w:r>
      <w:r>
        <w:t>дневного оплачиваемого отпуска женатому мужчине, работающему в госуда</w:t>
      </w:r>
      <w:r>
        <w:t>р</w:t>
      </w:r>
      <w:r>
        <w:t>ственном или частном секторе, у законной супруги которого родился ребенок или случился выкидыш, с тем, чтобы позаботиться о ней и поддержать ее во время родов и после них и принять участие в уходе за новорожденным. Кроме того, в Сенате находятся законопроекты №601 и 1248, целью которых является предоставление женщине большей свободы: они предусматривают программы развития, финансовую помощь для поддержания женщин-предпринимателей, а также помощь в получении образования и информации.</w:t>
      </w:r>
    </w:p>
    <w:p w:rsidR="00000000" w:rsidRDefault="00000000">
      <w:pPr>
        <w:pStyle w:val="SingleTxt"/>
      </w:pPr>
      <w:r>
        <w:t>371.</w:t>
      </w:r>
      <w:r>
        <w:tab/>
        <w:t>По нескольким делам о дискриминации, дошедшим до Верховного суда, суд принял решение в пользу истиц. В соответствии с разд</w:t>
      </w:r>
      <w:r>
        <w:t>е</w:t>
      </w:r>
      <w:r>
        <w:t>лом 2 статьи 11 Конституции в тех случаях, когда наниматель увольнял же</w:t>
      </w:r>
      <w:r>
        <w:t>н</w:t>
      </w:r>
      <w:r>
        <w:t>щин по причине заключения брака, Верховный суд ссылался на Конвенцию, запрещающую дискриминацию в отношении женщин в том, что касается ср</w:t>
      </w:r>
      <w:r>
        <w:t>о</w:t>
      </w:r>
      <w:r>
        <w:t>ков и условий приема на работу, и послужившую основой для пересмотренных трудовых и социальных законов (Сборник решений Верховного суда с поясн</w:t>
      </w:r>
      <w:r>
        <w:t>е</w:t>
      </w:r>
      <w:r>
        <w:t>ниями [СРВС] 1997).</w:t>
      </w:r>
    </w:p>
    <w:p w:rsidR="00000000" w:rsidRDefault="00000000">
      <w:pPr>
        <w:pStyle w:val="SingleTxt"/>
      </w:pPr>
      <w:r>
        <w:t>372.</w:t>
      </w:r>
      <w:r>
        <w:tab/>
        <w:t>В течение отчетного периода было проведено несколько исследований, целью которых было добиться более глубокого понимания влияния глобализ</w:t>
      </w:r>
      <w:r>
        <w:t>а</w:t>
      </w:r>
      <w:r>
        <w:t>ции на женщин, дискриминацию по признаку пола на рабочем месте и вклада женщин в экономику. Часть этих исследований была проведена для выработки более совершенной политической линии. В числе этих исследований можно назвать следующие:</w:t>
      </w:r>
    </w:p>
    <w:p w:rsidR="00000000" w:rsidRDefault="00000000">
      <w:pPr>
        <w:pStyle w:val="SingleTxt"/>
        <w:ind w:left="1740" w:right="1264" w:hanging="476"/>
      </w:pPr>
      <w:r>
        <w:t>a)</w:t>
      </w:r>
      <w:r>
        <w:tab/>
        <w:t>С 1997 по 2001 год Национальный статистический координационный с</w:t>
      </w:r>
      <w:r>
        <w:t>о</w:t>
      </w:r>
      <w:r>
        <w:t>вет занимался разработкой базы для определения вклада мужчин и же</w:t>
      </w:r>
      <w:r>
        <w:t>н</w:t>
      </w:r>
      <w:r>
        <w:t>щин в экономику. Он использовал вторичные данные и результаты про</w:t>
      </w:r>
      <w:r>
        <w:t>б</w:t>
      </w:r>
      <w:r>
        <w:t>ных исследований использования времени, проведенных Национальным статистическим бюро</w:t>
      </w:r>
      <w:r>
        <w:rPr>
          <w:rStyle w:val="FootnoteReference"/>
        </w:rPr>
        <w:footnoteReference w:id="20"/>
      </w:r>
      <w:r>
        <w:t xml:space="preserve"> для проверки основных критериев подсчета вкл</w:t>
      </w:r>
      <w:r>
        <w:t>а</w:t>
      </w:r>
      <w:r>
        <w:t>да женщин во вспомогательный счет Системы национал</w:t>
      </w:r>
      <w:r>
        <w:t>ь</w:t>
      </w:r>
      <w:r>
        <w:t>ных счетов.</w:t>
      </w:r>
    </w:p>
    <w:p w:rsidR="00000000" w:rsidRDefault="00000000">
      <w:pPr>
        <w:pStyle w:val="SingleTxt"/>
        <w:ind w:left="1740" w:right="1264" w:hanging="476"/>
      </w:pPr>
      <w:r>
        <w:t>b)</w:t>
      </w:r>
      <w:r>
        <w:tab/>
        <w:t>В 2001 году Исследовательский центр проблем женщин Филиппинского университета провел серию исследований непосредственного и отдале</w:t>
      </w:r>
      <w:r>
        <w:t>н</w:t>
      </w:r>
      <w:r>
        <w:t>ного влияния глобализации на женщин, представляющих различные группы с точки зрения занятости: женщин, работающих в легкой пр</w:t>
      </w:r>
      <w:r>
        <w:t>о</w:t>
      </w:r>
      <w:r>
        <w:t>мышле</w:t>
      </w:r>
      <w:r>
        <w:t>н</w:t>
      </w:r>
      <w:r>
        <w:t>ности, представительниц коренного населения, и женщин-мигрантов. Исследование в легкой промышленности в частности выявило изменения в структуре отрасли, например, исчезновение субподрядчиков среднего уровня в связи с возросшим уровнем конкуренции и кризисом, который удалось пережить только крупным фирмам, сокращение доли отечественных производителей, вызванное наплывом дешевой импортной продукции, а также большая уязвимость надомных работников перед пр</w:t>
      </w:r>
      <w:r>
        <w:t>о</w:t>
      </w:r>
      <w:r>
        <w:t>стоями и потерей заказов в связи с внедрением новых технологий, напр</w:t>
      </w:r>
      <w:r>
        <w:t>и</w:t>
      </w:r>
      <w:r>
        <w:t>мер, компьютерных технологий вышивки.</w:t>
      </w:r>
    </w:p>
    <w:p w:rsidR="00000000" w:rsidRDefault="00000000">
      <w:pPr>
        <w:pStyle w:val="SingleTxt"/>
        <w:ind w:left="1740" w:right="1264" w:hanging="476"/>
      </w:pPr>
      <w:r>
        <w:t>c)</w:t>
      </w:r>
      <w:r>
        <w:tab/>
        <w:t>В рамках программы оказания региональной помощи Азиатским банком развития и МОТ, названной «Укрепление международных трудовых норм в отдельных развивающихся странах-членах», с 2001 по 2002 год на Ф</w:t>
      </w:r>
      <w:r>
        <w:t>и</w:t>
      </w:r>
      <w:r>
        <w:t>липпинах проводилось исследование дискриминации по признаку пола на рабочих местах. В ходе исследования была подчеркнута необходимость прекращения такой практики в области образования, которая дает женщ</w:t>
      </w:r>
      <w:r>
        <w:t>и</w:t>
      </w:r>
      <w:r>
        <w:t>не крайне ограниченный выбор вариантов профессионального примен</w:t>
      </w:r>
      <w:r>
        <w:t>е</w:t>
      </w:r>
      <w:r>
        <w:t>ния и получения средств к существованию, а также ликвидации расхо</w:t>
      </w:r>
      <w:r>
        <w:t>ж</w:t>
      </w:r>
      <w:r>
        <w:t>дений между законодательством и политикой с одной стороны и их пр</w:t>
      </w:r>
      <w:r>
        <w:t>и</w:t>
      </w:r>
      <w:r>
        <w:t>менением на практике – с другой (Illo 2002b).</w:t>
      </w:r>
    </w:p>
    <w:p w:rsidR="00000000" w:rsidRDefault="00000000">
      <w:pPr>
        <w:pStyle w:val="SingleTxt"/>
        <w:ind w:left="1740" w:right="1264" w:hanging="476"/>
      </w:pPr>
      <w:r>
        <w:t>d)</w:t>
      </w:r>
      <w:r>
        <w:tab/>
        <w:t>В сотрудничестве с Новой Зеландией Филиппины (в первую очередь Н</w:t>
      </w:r>
      <w:r>
        <w:t>а</w:t>
      </w:r>
      <w:r>
        <w:t>циональная комиссия по положению филиппинских женщин и Институт по проблемам женщин и пола колледжа Мириам) подготовили документ о после</w:t>
      </w:r>
      <w:r>
        <w:t>д</w:t>
      </w:r>
      <w:r>
        <w:t>ствиях политики либерализации торговли для женщин (Азиатско-тихоокеанское экономическое сотрудничество[АТЭС] 2002), который был представлен на второй министерской встрече АТЭС по делам женщин, пров</w:t>
      </w:r>
      <w:r>
        <w:t>о</w:t>
      </w:r>
      <w:r>
        <w:t>дившейся в Гвадалахаре (Мексика) в сентябре 2002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Пособия для работающих женщин и их социальное страхование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373.</w:t>
      </w:r>
      <w:r>
        <w:tab/>
        <w:t>Женщинам, работающим в частном секторе, независимо от их семейного положения, предоставляется шестидесятидневный отпуск по уходу за ребе</w:t>
      </w:r>
      <w:r>
        <w:t>н</w:t>
      </w:r>
      <w:r>
        <w:t>ком, если роды проходят нормально, и семидесятивосьмидневный – если п</w:t>
      </w:r>
      <w:r>
        <w:t>о</w:t>
      </w:r>
      <w:r>
        <w:t>требовалось кесарево сечение. Женские организации утверждают, что некот</w:t>
      </w:r>
      <w:r>
        <w:t>о</w:t>
      </w:r>
      <w:r>
        <w:t>рые компании нарушают закон о пособиях для матерей, однако разбирательств в отношении таких заявлений не проводилось, поскольку женщины боятся в</w:t>
      </w:r>
      <w:r>
        <w:t>ы</w:t>
      </w:r>
      <w:r>
        <w:t>ступать с претензиями в открытую из страха потерять р</w:t>
      </w:r>
      <w:r>
        <w:t>а</w:t>
      </w:r>
      <w:r>
        <w:t>боту.</w:t>
      </w:r>
    </w:p>
    <w:p w:rsidR="00000000" w:rsidRDefault="00000000">
      <w:pPr>
        <w:pStyle w:val="SingleTxt"/>
      </w:pPr>
      <w:r>
        <w:t>374.</w:t>
      </w:r>
      <w:r>
        <w:tab/>
        <w:t>Республиканским законом №8291 были введены дополнения в ССГС (си</w:t>
      </w:r>
      <w:r>
        <w:t>с</w:t>
      </w:r>
      <w:r>
        <w:t>тему страхования государственных служащих) и распространяет ее действие на сотрудников как мужского, так и женского пола, а также на вдов и вдовцов г</w:t>
      </w:r>
      <w:r>
        <w:t>о</w:t>
      </w:r>
      <w:r>
        <w:t>сударственных служащих. Кроме того, пересмотренный Закон о социальном обеспечении (№8282) предусматривает распространение системы социального страхования (ССС) на самостоятельно занятых лиц, домохозяек и домашнюю прислугу. В то время как уровень выполнения Закона №8282 продолжает ост</w:t>
      </w:r>
      <w:r>
        <w:t>а</w:t>
      </w:r>
      <w:r>
        <w:t>ваться низким, и очень многие женщины остаются неохваченными системой социального страхования, упомянутые законы предусматривают следующее: страхование жизни и здоровья, которое позволяет оплатить определенную часть расходов, связанных с лечением всех членов системы страхования ССГС и ССС и их иждивенцев, а также жилье. При условии внесения минимального взноса, мужчины и женщины получают право на получение жилищных ссуд, а также краткосрочных кредитов, кредитов, дающих средства к существованию и скромной материальной помощи.</w:t>
      </w:r>
    </w:p>
    <w:p w:rsidR="00000000" w:rsidRDefault="00000000">
      <w:pPr>
        <w:pStyle w:val="SingleTxt"/>
      </w:pPr>
      <w:r>
        <w:t>375.</w:t>
      </w:r>
      <w:r>
        <w:tab/>
        <w:t>Другие вопросы относительно сроков и условий найма согласуются через ассоциации трудящихся (для государственных служащих) и профсоюзы (для сотрудников частного сектора), а также с помощью их коллективных трудовых договоров (КТД). Например, государственные служащие могут договариваться через ассоциации трудящихся по таким вопросам, как обязанности беременной женщины, составление графика отпусков, доставка на работу, более всеобъе</w:t>
      </w:r>
      <w:r>
        <w:t>м</w:t>
      </w:r>
      <w:r>
        <w:t>лющая медицинская страховка, соответствующие социальные и культурные мероприятия, а также организация досуга. Для женщин, работающих в частном секторе и являющихся членами профсоюзов, в коллективные трудовые догов</w:t>
      </w:r>
      <w:r>
        <w:t>о</w:t>
      </w:r>
      <w:r>
        <w:t>ра были включены положения, связанные с материнством, например, полож</w:t>
      </w:r>
      <w:r>
        <w:t>е</w:t>
      </w:r>
      <w:r>
        <w:t>ния, согласно которым беременные женщины имеют гибкий график работы, освобождаются от ночных смен, получают займы, освобождаются от тяжелой работы, ношения униформы или обеспечиваются униформой соответствующ</w:t>
      </w:r>
      <w:r>
        <w:t>е</w:t>
      </w:r>
      <w:r>
        <w:t>го размера на период беременности, а также получают выплаты, предусмо</w:t>
      </w:r>
      <w:r>
        <w:t>т</w:t>
      </w:r>
      <w:r>
        <w:t>ренные ССС в связи с беременностью, родами и уходом за ребенком. Кроме т</w:t>
      </w:r>
      <w:r>
        <w:t>о</w:t>
      </w:r>
      <w:r>
        <w:t>го, все женщины, заключившие коллективный трудовой договор, могут бе</w:t>
      </w:r>
      <w:r>
        <w:t>с</w:t>
      </w:r>
      <w:r>
        <w:t>платно сделать цит</w:t>
      </w:r>
      <w:r>
        <w:t>о</w:t>
      </w:r>
      <w:r>
        <w:t>логический мазок со слизистой оболочки шейки матки.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keepNext/>
        <w:rPr>
          <w:i/>
        </w:rPr>
      </w:pPr>
      <w:r>
        <w:rPr>
          <w:i/>
        </w:rPr>
        <w:t>Дополнительные услуги.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376.</w:t>
      </w:r>
      <w:r>
        <w:tab/>
        <w:t>В 1990 году Конгресс принял Республиканский закон №6972 об осущес</w:t>
      </w:r>
      <w:r>
        <w:t>т</w:t>
      </w:r>
      <w:r>
        <w:t>влении на уровне барангаев программы всестороннего развития и защиты р</w:t>
      </w:r>
      <w:r>
        <w:t>е</w:t>
      </w:r>
      <w:r>
        <w:t>бенка. В соответствии с этим законом в каждой деревне должен быть создан центр по дневному уходу за детьми. По сообщениям департамента социального обеспечения, из 41 943 барангаев 37 422 имеют такие центры, из которых 24 026 оказывают качественные услуги по уходу за детьми. В 2000 году раб</w:t>
      </w:r>
      <w:r>
        <w:t>о</w:t>
      </w:r>
      <w:r>
        <w:t>той центров было охвачено в общей сложности 302 874 ребенка дошкольного возраста. Несмотря на утверждения о том, что центры по дневному уходу за детьми дают женщинам слишком мало свободного времени для ведения де</w:t>
      </w:r>
      <w:r>
        <w:t>я</w:t>
      </w:r>
      <w:r>
        <w:t>тельности, приносящей доход, такие центры все же освобождают женщинам, имеющим маленьких детей, какое-то количество времени, которое они могут посвятить если не приносящей доход деятельности, то каким-либо другим д</w:t>
      </w:r>
      <w:r>
        <w:t>е</w:t>
      </w:r>
      <w:r>
        <w:t>лам по своему усмо</w:t>
      </w:r>
      <w:r>
        <w:t>т</w:t>
      </w:r>
      <w:r>
        <w:t>рению.</w:t>
      </w:r>
    </w:p>
    <w:p w:rsidR="00000000" w:rsidRDefault="00000000">
      <w:pPr>
        <w:pStyle w:val="SingleTxt"/>
      </w:pPr>
      <w:r>
        <w:t>377.</w:t>
      </w:r>
      <w:r>
        <w:tab/>
        <w:t>Государственное бюро трудоустройства (ПЕСО) – универсальный центр, созданный для предоставления информации и содействия лицам, обраща</w:t>
      </w:r>
      <w:r>
        <w:t>ю</w:t>
      </w:r>
      <w:r>
        <w:t>щимся в Министерство труда и населению отдельных районов. Как отмечалось выше, в пункте 302, ПЕСО оказывает справочные услуги, такие как оказание помощи в трудоустройстве в стране и за рубежом, организации самостоятел</w:t>
      </w:r>
      <w:r>
        <w:t>ь</w:t>
      </w:r>
      <w:r>
        <w:t>ной занятости и получения средств к существованию, повышение возможн</w:t>
      </w:r>
      <w:r>
        <w:t>о</w:t>
      </w:r>
      <w:r>
        <w:t>стей по трудоустройству, содействие работодателям в наборе персонала, а та</w:t>
      </w:r>
      <w:r>
        <w:t>к</w:t>
      </w:r>
      <w:r>
        <w:t>же информирование о наличии вакансий и услуги профессионального орие</w:t>
      </w:r>
      <w:r>
        <w:t>н</w:t>
      </w:r>
      <w:r>
        <w:t>тирования. В первой половине 2001 года в ПЕСО обратилось в общей сложн</w:t>
      </w:r>
      <w:r>
        <w:t>о</w:t>
      </w:r>
      <w:r>
        <w:t>сти 456 272 человек, из которых 320 123 были трудоустроены или получили помощь. Около 50,6 процента трудоустроенных составили женщины, однако этот показатель не так высок, если принять во внимание тот факт, что число женщин среди обратившихся в ПЕСО превышало число мужчин.</w:t>
      </w:r>
    </w:p>
    <w:p w:rsidR="00000000" w:rsidRDefault="00000000">
      <w:pPr>
        <w:pStyle w:val="SingleTxt"/>
      </w:pPr>
      <w:r>
        <w:t>378.</w:t>
      </w:r>
      <w:r>
        <w:tab/>
        <w:t>В 2002 году Министерство социального обеспечения начало пробный проект открытия центров ночного ухода за детьми женщин, работающих в ночную смену. Эти центры оказывают услуги по ночному уходу за такими детьми в рамках усилий по предотвращению насилия над женщинами (в связи с недостатком ухода за ребенком), а также недостаточным уходом и жестокого обр</w:t>
      </w:r>
      <w:r>
        <w:t>а</w:t>
      </w:r>
      <w:r>
        <w:t>щения с детьми.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56"/>
      </w:pPr>
      <w:r>
        <w:t>Борьба с сексуальными домогательствами на рабочих местах и решение проблем техники безопасности и гигиены труда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379.</w:t>
      </w:r>
      <w:r>
        <w:tab/>
        <w:t>Филиппины начали выполнять Республиканский закон о борьбе с секс</w:t>
      </w:r>
      <w:r>
        <w:t>у</w:t>
      </w:r>
      <w:r>
        <w:t>альными домогательствами в конце 1990-х годов. Комиссия по гражданской службе (КГС) взяла на себя инициативу, предложив правительственным учр</w:t>
      </w:r>
      <w:r>
        <w:t>е</w:t>
      </w:r>
      <w:r>
        <w:t>ждениям создать Комитет по правилам приличия и расследованиям (КППР) для расследования заявлений о сексуальных домогательствах. Руководствуясь Законом и правилами КГС, комитет определяет правонарушение, выявляет конкретные случаи и формы сексуального домогательства и применяет взыск</w:t>
      </w:r>
      <w:r>
        <w:t>а</w:t>
      </w:r>
      <w:r>
        <w:t>ния в зависимости от формы и серьезности правонарушения и конкретные м</w:t>
      </w:r>
      <w:r>
        <w:t>е</w:t>
      </w:r>
      <w:r>
        <w:t>ры по разрешению случаев сексуальных домогательств. В общей сложности 15 ответчиков были отстранены от занимаемых должностей, семь человек п</w:t>
      </w:r>
      <w:r>
        <w:t>о</w:t>
      </w:r>
      <w:r>
        <w:t>лучили испытательный срок продолжительностью от трех месяцев до одного года, двое ответчиков были оправданы. По 14 случаям было отказано в разб</w:t>
      </w:r>
      <w:r>
        <w:t>и</w:t>
      </w:r>
      <w:r>
        <w:t>рательстве по различным причинам, включая отсутствие достаточных доказ</w:t>
      </w:r>
      <w:r>
        <w:t>а</w:t>
      </w:r>
      <w:r>
        <w:t>тельств для возбуждения дела, маневры с выбором суда, а также отзыв заявл</w:t>
      </w:r>
      <w:r>
        <w:t>е</w:t>
      </w:r>
      <w:r>
        <w:t>ния. По данным на 2002 год, было подано 40 заявлений о сексуальных домог</w:t>
      </w:r>
      <w:r>
        <w:t>а</w:t>
      </w:r>
      <w:r>
        <w:t>тельствах. В 27 случаях дело было разрешено в пользу заявителей: 17 ответчиков были уволены, а 10 получили различные испытательные сроки (КГС, 2002).</w:t>
      </w:r>
    </w:p>
    <w:p w:rsidR="00000000" w:rsidRDefault="00000000">
      <w:pPr>
        <w:pStyle w:val="SingleTxt"/>
      </w:pPr>
      <w:r>
        <w:t>380.</w:t>
      </w:r>
      <w:r>
        <w:tab/>
        <w:t>В 1997 году Отдел по положению женщин и молодых рабочих провел ряд семинаров для сотрудников КППР, работающих в частном секторе, для подг</w:t>
      </w:r>
      <w:r>
        <w:t>о</w:t>
      </w:r>
      <w:r>
        <w:t>товки их к разрешению случаев сексуальных домогательств. С тех пор про</w:t>
      </w:r>
      <w:r>
        <w:t>ф</w:t>
      </w:r>
      <w:r>
        <w:t>союзы и НПО начали кампанию по борьбе с сексуальными домогательствами. Профсоюзный конгресс филиппинского филиала Коалиции женщин, наход</w:t>
      </w:r>
      <w:r>
        <w:t>я</w:t>
      </w:r>
      <w:r>
        <w:t>щихся в неблагоприятном положении, провел мероприятия по подготовке для руководства и работников предприятий, на которых заняты как члены, так и не члены профсоюзов, а также распространил листовки, содержащие основные положения закона. В сотрудничестве с Руководством филиппинской эконом</w:t>
      </w:r>
      <w:r>
        <w:t>и</w:t>
      </w:r>
      <w:r>
        <w:t>ческой зоны Коалиция провела ряд мероприятий с сотрудниками фирм разли</w:t>
      </w:r>
      <w:r>
        <w:t>ч</w:t>
      </w:r>
      <w:r>
        <w:t>ных экономических зон (см. пункт 392). К 2002 году около 259 союзов и фирм создали свои собственные КППР и сформулировали свои собственные полож</w:t>
      </w:r>
      <w:r>
        <w:t>е</w:t>
      </w:r>
      <w:r>
        <w:t>ния по борьбе с сексуальными домогательствами; на тот момент проводилось расследование 432 случаев сексуальных домогательств, и 20 заявлений было оформлено. В восемь коллективных трудовых договоров были включены п</w:t>
      </w:r>
      <w:r>
        <w:t>о</w:t>
      </w:r>
      <w:r>
        <w:t>ложения по борьбе с сексуальными домогательствами. Несмотря на то, что Коалиция стремится отслеживать результаты своей деятельности по борьбе с сексуальными домогательствами, контроль все же остается одной из проблем. Контроль же за выполнением Республиканского закона №7877 со стороны Пр</w:t>
      </w:r>
      <w:r>
        <w:t>а</w:t>
      </w:r>
      <w:r>
        <w:t>вительства попросту отсутствует.</w:t>
      </w:r>
    </w:p>
    <w:p w:rsidR="00000000" w:rsidRDefault="00000000">
      <w:pPr>
        <w:pStyle w:val="SingleTxt"/>
      </w:pPr>
      <w:r>
        <w:t>381.</w:t>
      </w:r>
      <w:r>
        <w:tab/>
        <w:t>Для решения проблем, связанных с техникой безопасности и гигиеной труда, трудящихся женщин Центр по технике безопасности и гигиене труда (ЦТБГТ) организовал лекции и занятия по вопросам техники безопасности и гигиены труда и проведение следующих медицинских обследований по жел</w:t>
      </w:r>
      <w:r>
        <w:t>а</w:t>
      </w:r>
      <w:r>
        <w:t>нию трудящихся: анализ крови на содержание свинца для женщин, занятых на производстве полупроводников (проводится с 1996 года до настоящего врем</w:t>
      </w:r>
      <w:r>
        <w:t>е</w:t>
      </w:r>
      <w:r>
        <w:t>ни), проверка слуха для женщин, занятых в определенных отраслях промы</w:t>
      </w:r>
      <w:r>
        <w:t>ш</w:t>
      </w:r>
      <w:r>
        <w:t>ленности (проводится с 1996 года до настоящего времени), анализ мочи для выявления последствий воздействия на организм растворителей для женщин, занятых на производстве полупрово</w:t>
      </w:r>
      <w:r>
        <w:t>д</w:t>
      </w:r>
      <w:r>
        <w:t>ников (проводился с 1996 по 2001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Мероприятия для конкретных групп трудящихся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56"/>
      </w:pPr>
      <w:r>
        <w:t>Женщины на государственной службе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382.</w:t>
      </w:r>
      <w:r>
        <w:tab/>
        <w:t>Женщинам, находящимся на государственной службе, предоставляется оплачиваемый отпуск на полный срок в случае родов или выкидыша. Такой о</w:t>
      </w:r>
      <w:r>
        <w:t>т</w:t>
      </w:r>
      <w:r>
        <w:t>пуск предоставляется только замужним женщинам, его продолжительность с</w:t>
      </w:r>
      <w:r>
        <w:t>о</w:t>
      </w:r>
      <w:r>
        <w:t>ставляет 60 календарных дней. Такой отпуск оплачивается полностью служ</w:t>
      </w:r>
      <w:r>
        <w:t>а</w:t>
      </w:r>
      <w:r>
        <w:t>щим со стажем от двух лет. Выплаты женщинам, чей стаж составляет от одного года до двух, начисляются в соответствии с их стажем, женщинам со стажем менее года предоставляется отпуск продолжительностью 60 дней, оплачива</w:t>
      </w:r>
      <w:r>
        <w:t>е</w:t>
      </w:r>
      <w:r>
        <w:t>мый наполовину. К 2003 году КГС признала право незамужних женщин на о</w:t>
      </w:r>
      <w:r>
        <w:t>т</w:t>
      </w:r>
      <w:r>
        <w:t>пуск по уходу за ребенком. Таким образом, теперь им предоставляются такие же отпуска по уходу за ребенком, как и замужним женщинам.</w:t>
      </w:r>
    </w:p>
    <w:p w:rsidR="00000000" w:rsidRDefault="00000000">
      <w:pPr>
        <w:pStyle w:val="SingleTxt"/>
      </w:pPr>
      <w:r>
        <w:t>383.</w:t>
      </w:r>
      <w:r>
        <w:tab/>
        <w:t>В 2001 году был внесен проект Кодекса о гражданской службе. Он должен включать существующие законы о гражданской службе, а также положения об отпусках по уходу за ребенком для незамужних же</w:t>
      </w:r>
      <w:r>
        <w:t>н</w:t>
      </w:r>
      <w:r>
        <w:t>щин, отцов и родителей-одиночек, о предоставлении им гибкого рабочего графика, а также положения дисциплинарных взысканиях в отношении лиц, виновных в сексуальных дом</w:t>
      </w:r>
      <w:r>
        <w:t>о</w:t>
      </w:r>
      <w:r>
        <w:t>гательствах.</w:t>
      </w:r>
    </w:p>
    <w:p w:rsidR="00000000" w:rsidRDefault="00000000">
      <w:pPr>
        <w:pStyle w:val="SingleTxt"/>
      </w:pPr>
      <w:r>
        <w:t>384.</w:t>
      </w:r>
      <w:r>
        <w:tab/>
        <w:t>Однако даже при отсутствии предложенного Кодекса о гражданской службе правительство приняло следующие меры:</w:t>
      </w:r>
    </w:p>
    <w:p w:rsidR="00000000" w:rsidRDefault="00000000">
      <w:pPr>
        <w:pStyle w:val="SingleTxt"/>
        <w:ind w:left="1740" w:right="1264" w:hanging="476"/>
      </w:pPr>
      <w:r>
        <w:t>a)</w:t>
      </w:r>
      <w:r>
        <w:tab/>
        <w:t>гибкий рабочий график, позволяющий трудящимся выходить на работу в любое время с семи до десяти часов утра и завершать рабочий день в л</w:t>
      </w:r>
      <w:r>
        <w:t>ю</w:t>
      </w:r>
      <w:r>
        <w:t>бое время с четырех до семи часов во второй половине дня, при условии, что они отрабатывают восемь часов ежедневно;</w:t>
      </w:r>
    </w:p>
    <w:p w:rsidR="00000000" w:rsidRDefault="00000000">
      <w:pPr>
        <w:pStyle w:val="SingleTxt"/>
        <w:ind w:left="1740" w:right="1264" w:hanging="476"/>
      </w:pPr>
      <w:r>
        <w:t>b)</w:t>
      </w:r>
      <w:r>
        <w:tab/>
        <w:t>программа помощи путем обмена (ПППО), призванная помочь работн</w:t>
      </w:r>
      <w:r>
        <w:t>и</w:t>
      </w:r>
      <w:r>
        <w:t>кам сэкономить время, затрачиваемое на дорогу до места работы, путем обмена местами работы с сотрудником, занимающим аналогичную дол</w:t>
      </w:r>
      <w:r>
        <w:t>ж</w:t>
      </w:r>
      <w:r>
        <w:t>ность на более близко расположенном предприятии. Эта программа охв</w:t>
      </w:r>
      <w:r>
        <w:t>а</w:t>
      </w:r>
      <w:r>
        <w:t>тывает служ</w:t>
      </w:r>
      <w:r>
        <w:t>а</w:t>
      </w:r>
      <w:r>
        <w:t>щих первого и второго уровня с постоянным статусом;</w:t>
      </w:r>
    </w:p>
    <w:p w:rsidR="00000000" w:rsidRDefault="00000000">
      <w:pPr>
        <w:pStyle w:val="SingleTxt"/>
        <w:ind w:left="1740" w:right="1264" w:hanging="476"/>
      </w:pPr>
      <w:r>
        <w:t>c)</w:t>
      </w:r>
      <w:r>
        <w:tab/>
        <w:t>сочетание обязанностей по дому и на работе путем частичной занятости, создания центров дневного ухода за детьми по месту работы, специал</w:t>
      </w:r>
      <w:r>
        <w:t>ь</w:t>
      </w:r>
      <w:r>
        <w:t>ные льготы, связанные с отпусками, соблюдение Недели семьи, провод</w:t>
      </w:r>
      <w:r>
        <w:t>я</w:t>
      </w:r>
      <w:r>
        <w:t>щейся каждый год в сентябре. Кроме того, в рамках КГС руководящим с</w:t>
      </w:r>
      <w:r>
        <w:t>о</w:t>
      </w:r>
      <w:r>
        <w:t>трудникам третьего и четвертого уровня, чьи обязанности требуют дл</w:t>
      </w:r>
      <w:r>
        <w:t>и</w:t>
      </w:r>
      <w:r>
        <w:t>тельного отсутствия дома, разрешается регулярно навещать семью, еж</w:t>
      </w:r>
      <w:r>
        <w:t>е</w:t>
      </w:r>
      <w:r>
        <w:t>годное число таких посещений не должно превышать 12, но они полн</w:t>
      </w:r>
      <w:r>
        <w:t>о</w:t>
      </w:r>
      <w:r>
        <w:t>стью оплачиваю</w:t>
      </w:r>
      <w:r>
        <w:t>т</w:t>
      </w:r>
      <w:r>
        <w:t>ся, включая транспортные расходы.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работающие за рубежом</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385.</w:t>
      </w:r>
      <w:r>
        <w:tab/>
        <w:t>В соответствии с положениями Республиканского закона 8042, пред</w:t>
      </w:r>
      <w:r>
        <w:t>у</w:t>
      </w:r>
      <w:r>
        <w:t>сматривающего обеспечение представленности работающих за рубежом же</w:t>
      </w:r>
      <w:r>
        <w:t>н</w:t>
      </w:r>
      <w:r>
        <w:t>щин в Совете управляющих Филиппинской администрации по делам лиц, р</w:t>
      </w:r>
      <w:r>
        <w:t>а</w:t>
      </w:r>
      <w:r>
        <w:t>ботающих за рубежом (ПОЕА), Президент в середине 2001 года назначил на это м</w:t>
      </w:r>
      <w:r>
        <w:t>е</w:t>
      </w:r>
      <w:r>
        <w:t>сто одну женщину, которая ранее работала за рубежом.</w:t>
      </w:r>
    </w:p>
    <w:p w:rsidR="00000000" w:rsidRDefault="00000000">
      <w:pPr>
        <w:pStyle w:val="SingleTxt"/>
        <w:numPr>
          <w:ilvl w:val="0"/>
          <w:numId w:val="394"/>
        </w:numPr>
        <w:ind w:left="1264" w:right="1264" w:firstLine="0"/>
      </w:pPr>
      <w:r>
        <w:t>Правительство инициировало двухсторонние соглашения и провело д</w:t>
      </w:r>
      <w:r>
        <w:t>и</w:t>
      </w:r>
      <w:r>
        <w:t>пломатические переговоры с принимающими странами по вопросам обеспеч</w:t>
      </w:r>
      <w:r>
        <w:t>е</w:t>
      </w:r>
      <w:r>
        <w:t>ния благосостояния и защиты трудящихся. Некоторые страны согласились принять профессиональные стандартные трудовые контракты (для домашней обслуги и артистов). Вопросы социального обеспечения трудящихся обсужд</w:t>
      </w:r>
      <w:r>
        <w:t>а</w:t>
      </w:r>
      <w:r>
        <w:t>лись с Австрией, Испанией, Соединенным Королевством, Францией и Канадой, а в отношении Италии этот вопрос уже находится в процессе окончательной доработки. Двухсторонние соглашения о социальном обеспечении были з</w:t>
      </w:r>
      <w:r>
        <w:t>а</w:t>
      </w:r>
      <w:r>
        <w:t>ключены с Квебеком (в отличие от Канады), Соединенным Королевством, Швейцарией и Бельгией, однако их надо пересмотреть и разработать и принять руководящие указания относительно их осуществления. Необходимо закл</w:t>
      </w:r>
      <w:r>
        <w:t>ю</w:t>
      </w:r>
      <w:r>
        <w:t>чить также новые соглашения, в частности с европейскими странами, о выдаче визы филиппинцам, работающим за рубежом домашней обслугой. Наконец, всеобъемлющие двухсторонние трудовые соглашения были подписаны с Ио</w:t>
      </w:r>
      <w:r>
        <w:t>р</w:t>
      </w:r>
      <w:r>
        <w:t>данией, Катаром, Кувейтом, Ливией, Папуа Новой Гвинеей и Содружеством Северных Марианский островов. Вопрос о подписании аналогичных соглаш</w:t>
      </w:r>
      <w:r>
        <w:t>е</w:t>
      </w:r>
      <w:r>
        <w:t>ний прорабатывае</w:t>
      </w:r>
      <w:r>
        <w:t>т</w:t>
      </w:r>
      <w:r>
        <w:t>ся и с другими странами Азии и Ближнего Востока.</w:t>
      </w:r>
    </w:p>
    <w:p w:rsidR="00000000" w:rsidRDefault="00000000">
      <w:pPr>
        <w:pStyle w:val="num"/>
      </w:pPr>
      <w:r>
        <w:t>Сегодня изучаются альтернативные механизмы обеспечения представле</w:t>
      </w:r>
      <w:r>
        <w:t>н</w:t>
      </w:r>
      <w:r>
        <w:t>ности женщин на международных форумах. К ним относится участие в работе конференций, проводимых Международной организации по миграции (МОМ), что позволит лучше координировать и укрепить политику и программы борьбы с международной торговлей женщинами-мигрантками на региональном и су</w:t>
      </w:r>
      <w:r>
        <w:t>б</w:t>
      </w:r>
      <w:r>
        <w:t>региональном уровне. С другой стороны, Форум Азиатско-Тихоокеанского экономического сотрудничества (АТЭС) начал принимать меры для расшир</w:t>
      </w:r>
      <w:r>
        <w:t>е</w:t>
      </w:r>
      <w:r>
        <w:t>ния равного доступа женщин к возможностям в области развития. Он ввел ге</w:t>
      </w:r>
      <w:r>
        <w:t>н</w:t>
      </w:r>
      <w:r>
        <w:t>дерные элементы в программы стран-членов в области развития людских р</w:t>
      </w:r>
      <w:r>
        <w:t>е</w:t>
      </w:r>
      <w:r>
        <w:t>сурсов и профинансировал проведение ряда гендерных информационных се</w:t>
      </w:r>
      <w:r>
        <w:t>с</w:t>
      </w:r>
      <w:r>
        <w:t>сий с участием рабочих и целевых групп АТЭС с целью ознакомления их с важностью включения проблем женщин в п</w:t>
      </w:r>
      <w:r>
        <w:t>о</w:t>
      </w:r>
      <w:r>
        <w:t>литику АТЭС.</w:t>
      </w:r>
    </w:p>
    <w:p w:rsidR="00000000" w:rsidRDefault="00000000">
      <w:pPr>
        <w:pStyle w:val="num"/>
      </w:pPr>
      <w:r>
        <w:t>В 2001 году были проведены существенные реформы для упорядочения системы подготовки, проверки и сертификации артистов, выезжающих на з</w:t>
      </w:r>
      <w:r>
        <w:t>а</w:t>
      </w:r>
      <w:r>
        <w:t>рубежные гастроли (АВЗГ), с целью сохранения их самобытности и пресеч</w:t>
      </w:r>
      <w:r>
        <w:t>е</w:t>
      </w:r>
      <w:r>
        <w:t>ния злоупотреблений, для чего требуется сложный процесс проверки и аккр</w:t>
      </w:r>
      <w:r>
        <w:t>е</w:t>
      </w:r>
      <w:r>
        <w:t>дитации. Соответствующие изменения, которые отражены в ведомственном указе № 10-2001 министерства труда, касаются замены системы академической подготовки и проверки на Всеобъемлющую программу ориентации для арт</w:t>
      </w:r>
      <w:r>
        <w:t>и</w:t>
      </w:r>
      <w:r>
        <w:t>стов; повышения исходных требований учебных центров, преподавателей и с</w:t>
      </w:r>
      <w:r>
        <w:t>о</w:t>
      </w:r>
      <w:r>
        <w:t>трудников, занимающихся вопросами проверки; передачи ответственности за предварительный просмотр программы выступления артистов до выезда в ту</w:t>
      </w:r>
      <w:r>
        <w:t>р</w:t>
      </w:r>
      <w:r>
        <w:t>не за границу отделам кадров и выпуска Реестра артистов непосредственно для АВЗГ или же для его распространения через соответствующие кадровые учр</w:t>
      </w:r>
      <w:r>
        <w:t>е</w:t>
      </w:r>
      <w:r>
        <w:t>ждения. Принятые политические меры предусматривают лицензирование ка</w:t>
      </w:r>
      <w:r>
        <w:t>д</w:t>
      </w:r>
      <w:r>
        <w:t>ровых агентств ПОЕА и аккредитацию учебных центров при Управлении по техническому образованию и развитию навыков (ТЕСДА). Таким образом, если продюсеры не получают соответствующую рецензию или аккредитацию в ра</w:t>
      </w:r>
      <w:r>
        <w:t>м</w:t>
      </w:r>
      <w:r>
        <w:t>ках этой системы, то они могут нарушить положения законов о борьбе с нез</w:t>
      </w:r>
      <w:r>
        <w:t>а</w:t>
      </w:r>
      <w:r>
        <w:t>конным приемом на работу и торговлей.</w:t>
      </w:r>
    </w:p>
    <w:p w:rsidR="00000000" w:rsidRDefault="00000000">
      <w:pPr>
        <w:pStyle w:val="num"/>
      </w:pPr>
      <w:r>
        <w:t>В 2002 году ПОЕА ввело новые правила и положения для работы за руб</w:t>
      </w:r>
      <w:r>
        <w:t>е</w:t>
      </w:r>
      <w:r>
        <w:t>жом, которые предусматривают повышение исходных требований для кадр</w:t>
      </w:r>
      <w:r>
        <w:t>о</w:t>
      </w:r>
      <w:r>
        <w:t>вых учреждений, ходатайствующих о выдаче им новых лицензий, а также уж</w:t>
      </w:r>
      <w:r>
        <w:t>е</w:t>
      </w:r>
      <w:r>
        <w:t>сточение мер наказания за нарушение закона. Были также либерализованы тр</w:t>
      </w:r>
      <w:r>
        <w:t>е</w:t>
      </w:r>
      <w:r>
        <w:t>бования в отношении аккредитации директоров зарубежных учебных завед</w:t>
      </w:r>
      <w:r>
        <w:t>е</w:t>
      </w:r>
      <w:r>
        <w:t>ний и обработки документов трудящихся-мигрантов и повышения ответстве</w:t>
      </w:r>
      <w:r>
        <w:t>н</w:t>
      </w:r>
      <w:r>
        <w:t>ности филиппинских сотрудников, занимающихся вопросами работы за руб</w:t>
      </w:r>
      <w:r>
        <w:t>е</w:t>
      </w:r>
      <w:r>
        <w:t>жом (ФСРЗ), и кадровых учреждений за их соответствующие обязанности и обязательства. В 2001 году министерство труда в своем ведомственном указе № 11 признало все более широкое использование такого альтернативного способа набора филиппинской обслуги для работы в Гонконге, который является д</w:t>
      </w:r>
      <w:r>
        <w:t>е</w:t>
      </w:r>
      <w:r>
        <w:t>шевле, быстрее и более надежным, то есть набор таких работников по рек</w:t>
      </w:r>
      <w:r>
        <w:t>о</w:t>
      </w:r>
      <w:r>
        <w:t>мендации других и родственников.</w:t>
      </w:r>
    </w:p>
    <w:p w:rsidR="00000000" w:rsidRDefault="00000000">
      <w:pPr>
        <w:pStyle w:val="num"/>
      </w:pPr>
      <w:r>
        <w:t>Совет управляющих ПОЕА в 2001 году, осознав что установленный м</w:t>
      </w:r>
      <w:r>
        <w:t>и</w:t>
      </w:r>
      <w:r>
        <w:t>нимальный возраст в 23 года для женщин-артисток является причиной разли</w:t>
      </w:r>
      <w:r>
        <w:t>ч</w:t>
      </w:r>
      <w:r>
        <w:t>ного рода обмана, снизил минимальный возраст для трудящихся-мигрантов до 18 лет в соответствии с минимальным возрастом, установленным в соответс</w:t>
      </w:r>
      <w:r>
        <w:t>т</w:t>
      </w:r>
      <w:r>
        <w:t>вующей конвенции МОТ, при том условии, что если принимающей страной у</w:t>
      </w:r>
      <w:r>
        <w:t>с</w:t>
      </w:r>
      <w:r>
        <w:t>тановлен более высокий минимальный возраст, то это требование будет собл</w:t>
      </w:r>
      <w:r>
        <w:t>ю</w:t>
      </w:r>
      <w:r>
        <w:t>даться.</w:t>
      </w:r>
    </w:p>
    <w:p w:rsidR="00000000" w:rsidRDefault="00000000">
      <w:pPr>
        <w:pStyle w:val="num"/>
      </w:pPr>
      <w:r>
        <w:t>За отчетный период правительство Филиппин разработало конкретные профессиональные, а в некоторых случаях общенациональные учебные пр</w:t>
      </w:r>
      <w:r>
        <w:t>о</w:t>
      </w:r>
      <w:r>
        <w:t>граммы для повышения навыков трудящихся, выезжающих для работы за гр</w:t>
      </w:r>
      <w:r>
        <w:t>а</w:t>
      </w:r>
      <w:r>
        <w:t>ницу. Они включают:</w:t>
      </w:r>
    </w:p>
    <w:p w:rsidR="00000000" w:rsidRDefault="00000000">
      <w:pPr>
        <w:pStyle w:val="SingleTxt"/>
      </w:pPr>
      <w:r>
        <w:rPr>
          <w:lang w:val="en-US"/>
        </w:rPr>
        <w:t>a</w:t>
      </w:r>
      <w:r>
        <w:t>)</w:t>
      </w:r>
      <w:r>
        <w:tab/>
        <w:t>Курсы ориентации для выезжающих за рубеж (КОВЗ), организованные для домашней прислуги (большую часть которой составляют женщины), в к</w:t>
      </w:r>
      <w:r>
        <w:t>о</w:t>
      </w:r>
      <w:r>
        <w:t>торые включены вопросы, касающиеся конкретных информационных потре</w:t>
      </w:r>
      <w:r>
        <w:t>б</w:t>
      </w:r>
      <w:r>
        <w:t>ностей трудящихся-женщин в таких областях, как отношения между мужчин</w:t>
      </w:r>
      <w:r>
        <w:t>а</w:t>
      </w:r>
      <w:r>
        <w:t>ми и женщинами и развитие, здравоохранение и секс, ВИЧ/СПИД и методы предохранения. Для повышения их навыков ПОЕА в 1999 году поручило ТЕСДА выдавать соответствующие свидетельства домашним работникам в к</w:t>
      </w:r>
      <w:r>
        <w:t>а</w:t>
      </w:r>
      <w:r>
        <w:t>честве тр</w:t>
      </w:r>
      <w:r>
        <w:t>е</w:t>
      </w:r>
      <w:r>
        <w:t>бования обработки новых трудовых контрактов.</w:t>
      </w:r>
    </w:p>
    <w:p w:rsidR="00000000" w:rsidRDefault="00000000">
      <w:pPr>
        <w:pStyle w:val="SingleTxt"/>
      </w:pPr>
      <w:r>
        <w:rPr>
          <w:lang w:val="en-US"/>
        </w:rPr>
        <w:t>b</w:t>
      </w:r>
      <w:r>
        <w:t>)</w:t>
      </w:r>
      <w:r>
        <w:tab/>
        <w:t>Всеобъемлющую ознакомительную программу для эстрадных артистов, цель которой заключается в обеспечении профессиональной готовности арт</w:t>
      </w:r>
      <w:r>
        <w:t>и</w:t>
      </w:r>
      <w:r>
        <w:t>стов, выезжающих с зарубежными гастролями, а также в повышении их заи</w:t>
      </w:r>
      <w:r>
        <w:t>н</w:t>
      </w:r>
      <w:r>
        <w:t>тересованности и стремления к дальнейшему совершенствованию своих пр</w:t>
      </w:r>
      <w:r>
        <w:t>о</w:t>
      </w:r>
      <w:r>
        <w:t>фессиональных навыков в интересах получения более интересной работы. Система профессиональной и учебной подготовки, проверки и сертификации артистов, выезжающих для работы за рубеж, впервые была введена в 1994 году рядом ведомственных указов и инструкций, и в 2001 и 2002 годах в нее были внесены соответствующие изменения (более подробную информацию см. в пунктах 382 и 383).</w:t>
      </w:r>
    </w:p>
    <w:p w:rsidR="00000000" w:rsidRDefault="00000000">
      <w:pPr>
        <w:pStyle w:val="SingleTxt"/>
      </w:pPr>
      <w:r>
        <w:rPr>
          <w:lang w:val="en-US"/>
        </w:rPr>
        <w:t>c</w:t>
      </w:r>
      <w:r>
        <w:t>)</w:t>
      </w:r>
      <w:r>
        <w:tab/>
        <w:t>Языковые учебно-проверочные курсы для медсестер, которые были орг</w:t>
      </w:r>
      <w:r>
        <w:t>а</w:t>
      </w:r>
      <w:r>
        <w:t>низованы в дополнение к проводимой филиппинскими сотрудниками по в</w:t>
      </w:r>
      <w:r>
        <w:t>о</w:t>
      </w:r>
      <w:r>
        <w:t>просам работы за рубежом проверке надлежащих условий работы медсестер в ночные смены до их назначения на работу.</w:t>
      </w:r>
    </w:p>
    <w:p w:rsidR="00000000" w:rsidRDefault="00000000">
      <w:pPr>
        <w:pStyle w:val="SingleTxt"/>
      </w:pPr>
      <w:r>
        <w:rPr>
          <w:lang w:val="en-US"/>
        </w:rPr>
        <w:t>d</w:t>
      </w:r>
      <w:r>
        <w:t>)</w:t>
      </w:r>
      <w:r>
        <w:tab/>
        <w:t>Для работников промышленных предприятий, а большинство их соста</w:t>
      </w:r>
      <w:r>
        <w:t>в</w:t>
      </w:r>
      <w:r>
        <w:t>ляют женщины, поскольку им отдают предпочтение предприятия по произво</w:t>
      </w:r>
      <w:r>
        <w:t>д</w:t>
      </w:r>
      <w:r>
        <w:t>ству полупроводников и компьютеров Тайвани и Кореи, КОВЗ предусматрив</w:t>
      </w:r>
      <w:r>
        <w:t>а</w:t>
      </w:r>
      <w:r>
        <w:t>ет ознакомление с условиями профессиональной и экологической безопасности на рабочем месте, с порядком пользования предметами безопасности и необх</w:t>
      </w:r>
      <w:r>
        <w:t>о</w:t>
      </w:r>
      <w:r>
        <w:t>димостью уметь следовать инструкциям и указаниям, используя для этого сп</w:t>
      </w:r>
      <w:r>
        <w:t>е</w:t>
      </w:r>
      <w:r>
        <w:t>циальные цвета, символы и знаки, которые заменяют собой знание письменн</w:t>
      </w:r>
      <w:r>
        <w:t>о</w:t>
      </w:r>
      <w:r>
        <w:t>го и устного иностранного языка.</w:t>
      </w:r>
    </w:p>
    <w:p w:rsidR="00000000" w:rsidRDefault="00000000">
      <w:pPr>
        <w:pStyle w:val="SingleTxt"/>
      </w:pPr>
      <w:r>
        <w:rPr>
          <w:lang w:val="en-US"/>
        </w:rPr>
        <w:t>e</w:t>
      </w:r>
      <w:r>
        <w:t>)</w:t>
      </w:r>
      <w:r>
        <w:tab/>
        <w:t>На небольшую, но постоянно возрастающую долю женщин, работающих на морских пассажи</w:t>
      </w:r>
      <w:r>
        <w:t>р</w:t>
      </w:r>
      <w:r>
        <w:t>ских судах или же полупогруженных жилых судах-гостиницах в качестве официанток, горничных или артисток, распространяю</w:t>
      </w:r>
      <w:r>
        <w:t>т</w:t>
      </w:r>
      <w:r>
        <w:t>ся международные стандарты безопасности, которые предусмотрены принят</w:t>
      </w:r>
      <w:r>
        <w:t>ы</w:t>
      </w:r>
      <w:r>
        <w:t>ми в 1978 году Стандартами профессиональной подготовки, сертификации и управления с внесенными в них поправками.</w:t>
      </w:r>
    </w:p>
    <w:p w:rsidR="00000000" w:rsidRDefault="00000000">
      <w:pPr>
        <w:pStyle w:val="num"/>
      </w:pPr>
      <w:r>
        <w:t>Женщины, занимающиеся вопросами работы за рубежом, в частности с</w:t>
      </w:r>
      <w:r>
        <w:t>о</w:t>
      </w:r>
      <w:r>
        <w:t>ветники по трудовым вопросам, сотрудники социального обеспечения и коо</w:t>
      </w:r>
      <w:r>
        <w:t>р</w:t>
      </w:r>
      <w:r>
        <w:t>динаторы центров социального обеспечения, направляются для работы в пр</w:t>
      </w:r>
      <w:r>
        <w:t>и</w:t>
      </w:r>
      <w:r>
        <w:t>нимающие страны, в которых работающие филиппинские женщины составл</w:t>
      </w:r>
      <w:r>
        <w:t>я</w:t>
      </w:r>
      <w:r>
        <w:t>ют значительную долю, и в административном плане они подчиняются дипл</w:t>
      </w:r>
      <w:r>
        <w:t>о</w:t>
      </w:r>
      <w:r>
        <w:t>матич</w:t>
      </w:r>
      <w:r>
        <w:t>е</w:t>
      </w:r>
      <w:r>
        <w:t>ским представительствам Филиппин. В апреле 2001 года женщины-советники по трудовым вопросам были назначены для работы в Гонконге, К</w:t>
      </w:r>
      <w:r>
        <w:t>о</w:t>
      </w:r>
      <w:r>
        <w:t>рее, Сингапуре и восьми других странах. Женщины-сотрудники социального обеспечения работают в Гонконге, Сингапуре, Токио, Осаке, на Тайване, в К</w:t>
      </w:r>
      <w:r>
        <w:t>у</w:t>
      </w:r>
      <w:r>
        <w:t>вейте, Дубаи и Греции. А женщины-координаторы центров социального обе</w:t>
      </w:r>
      <w:r>
        <w:t>с</w:t>
      </w:r>
      <w:r>
        <w:t>печения возгла</w:t>
      </w:r>
      <w:r>
        <w:t>в</w:t>
      </w:r>
      <w:r>
        <w:t>ляют такие центры в Гонконге, Брунее и Дубаи.</w:t>
      </w:r>
    </w:p>
    <w:p w:rsidR="00000000" w:rsidRDefault="00000000">
      <w:pPr>
        <w:pStyle w:val="num"/>
      </w:pPr>
      <w:r>
        <w:t>Национальная комиссия по трудовым отношениям (НКТО) создала отдел по делам трудящихся-мигрантов, который консультирует по вопросам востр</w:t>
      </w:r>
      <w:r>
        <w:t>е</w:t>
      </w:r>
      <w:r>
        <w:t>бования денежных выплат, возмещения ущерба и убытков для работающих за рубежом филиппинских трудящихся, включая тех, кто является жертвой нез</w:t>
      </w:r>
      <w:r>
        <w:t>а</w:t>
      </w:r>
      <w:r>
        <w:t>конной торговли. В этом отделе работают женщины, и его возглавляет арбитр по трудовым вопросам (или же, как это указано в инструкции Верховного с</w:t>
      </w:r>
      <w:r>
        <w:t>у</w:t>
      </w:r>
      <w:r>
        <w:t>да – судья по трудовым вопр</w:t>
      </w:r>
      <w:r>
        <w:t>о</w:t>
      </w:r>
      <w:r>
        <w:t>сам).</w:t>
      </w:r>
    </w:p>
    <w:p w:rsidR="00000000" w:rsidRDefault="00000000">
      <w:pPr>
        <w:pStyle w:val="num"/>
      </w:pPr>
      <w:r>
        <w:t>Условия работы филиппинских трудящихся-мигрантов определяются тр</w:t>
      </w:r>
      <w:r>
        <w:t>у</w:t>
      </w:r>
      <w:r>
        <w:t>довыми контрактами с учетом сопоставимых законов Филиппин и принима</w:t>
      </w:r>
      <w:r>
        <w:t>ю</w:t>
      </w:r>
      <w:r>
        <w:t>щей страны и со ссылкой на соответствующие международные конвенции или же положения двухсторонних соглашений. Поскольку филиппинские агентства по трудоустройству несут совместную с их иностранными партнерами ответс</w:t>
      </w:r>
      <w:r>
        <w:t>т</w:t>
      </w:r>
      <w:r>
        <w:t>венность, трудящиеся могут подать жалобы на нарушение контракта в НКТО и ПОЕА, указав одним из ответчиков агентство по трудоустройству. За период с июля 1995 года по сентябрь 2001 года НКТО ежегодно получало до 3370 жалоб на незаконное увольнение (43 процента) и иски на денежные возмещения и компенсацию за увечья (49 процентов). Ежегодно рассматривалось 63 процента таких дел. В 1999 году примерно 33 процента всех жалоб поступило от же</w:t>
      </w:r>
      <w:r>
        <w:t>н</w:t>
      </w:r>
      <w:r>
        <w:t>щин.</w:t>
      </w:r>
    </w:p>
    <w:p w:rsidR="00000000" w:rsidRDefault="00000000">
      <w:pPr>
        <w:pStyle w:val="num"/>
      </w:pPr>
      <w:r>
        <w:t>Начиная с сентября 2002 года, филиппинцы, работающие за рубежом в некоторых странах, могут воспользоваться дополнительными услугами соц</w:t>
      </w:r>
      <w:r>
        <w:t>и</w:t>
      </w:r>
      <w:r>
        <w:t>ального обеспечения на местах в рамках программы министерства социального обеспечения «Международные службы социального обеспечения для фили</w:t>
      </w:r>
      <w:r>
        <w:t>п</w:t>
      </w:r>
      <w:r>
        <w:t>пинцев». По линии этой программы министерство направило первую группу социальных работников в пять ближневосточных стран (Абу-Даби, Дубаи, К</w:t>
      </w:r>
      <w:r>
        <w:t>у</w:t>
      </w:r>
      <w:r>
        <w:t>вейт, Катар и Саудовскую Аравию) и три азиатские точки (Сингапур, Гонконг и Тайвань); а также оно направило одного советника по вопросам социального обеспечения в Малайзию и командировало социальных работников для работы в Японии. Ожидается, что они будут оказывать непосредственные услуги (п</w:t>
      </w:r>
      <w:r>
        <w:t>е</w:t>
      </w:r>
      <w:r>
        <w:t>ревозка, жилье и питание), а также рассматривать получаемые дела, в частн</w:t>
      </w:r>
      <w:r>
        <w:t>о</w:t>
      </w:r>
      <w:r>
        <w:t>сти направлять их в другие социальные службы, консультировать, организов</w:t>
      </w:r>
      <w:r>
        <w:t>ы</w:t>
      </w:r>
      <w:r>
        <w:t>вать групповую терапию и заполнять дела, посещать клиентов в тюрьмах и больницах, способствовать самоутверждению трудящихся и повышению их профессиональных навыков, вести разъяснительную работу и заниматься соц</w:t>
      </w:r>
      <w:r>
        <w:t>и</w:t>
      </w:r>
      <w:r>
        <w:t>альной мобилизацией. За год работы эти социальные работники смогли помочь 6429 филиппинцам: 3820 в Малайзии, 158 в Японии и Гонконге и 2451 в других странах, где социальные работники выполняют функцию технических помо</w:t>
      </w:r>
      <w:r>
        <w:t>щ</w:t>
      </w:r>
      <w:r>
        <w:t>ников советников по трудовым вопросам. Примерно 90 процентов всех клие</w:t>
      </w:r>
      <w:r>
        <w:t>н</w:t>
      </w:r>
      <w:r>
        <w:t>тов являются женщины в возрасте от 22 до 40 лет; остальные – мужчины и д</w:t>
      </w:r>
      <w:r>
        <w:t>е</w:t>
      </w:r>
      <w:r>
        <w:t>ти.</w:t>
      </w:r>
    </w:p>
    <w:p w:rsidR="00000000" w:rsidRDefault="00000000">
      <w:pPr>
        <w:pStyle w:val="num"/>
      </w:pPr>
      <w:r>
        <w:t>За отчетный период Филиппинским управлением по трудоустройству за рубежом (ФУТЗ) был осуществлен целый ряд программ обеспечения безопа</w:t>
      </w:r>
      <w:r>
        <w:t>с</w:t>
      </w:r>
      <w:r>
        <w:t>ности и социальной защиты лиц, работающих за рубежом. Из них можно отм</w:t>
      </w:r>
      <w:r>
        <w:t>е</w:t>
      </w:r>
      <w:r>
        <w:t>тить следующее:</w:t>
      </w:r>
    </w:p>
    <w:p w:rsidR="00000000" w:rsidRDefault="00000000">
      <w:pPr>
        <w:pStyle w:val="SingleTxt"/>
        <w:ind w:left="1740" w:right="1264" w:hanging="476"/>
      </w:pPr>
      <w:r>
        <w:rPr>
          <w:lang w:val="en-US"/>
        </w:rPr>
        <w:t>a</w:t>
      </w:r>
      <w:r>
        <w:t>)</w:t>
      </w:r>
      <w:r>
        <w:tab/>
        <w:t>Помощь в репатриации, на цели которой было выделено из бюджета 100 млн. филиппинских песо для экстренной репатриации зарегистрир</w:t>
      </w:r>
      <w:r>
        <w:t>о</w:t>
      </w:r>
      <w:r>
        <w:t>ванных трудящихся и облегчения безопасного возвращения на родину н</w:t>
      </w:r>
      <w:r>
        <w:t>а</w:t>
      </w:r>
      <w:r>
        <w:t>ходящихся в затруднительном положении филиппинцев, работающих за руб</w:t>
      </w:r>
      <w:r>
        <w:t>е</w:t>
      </w:r>
      <w:r>
        <w:t>жом.</w:t>
      </w:r>
    </w:p>
    <w:p w:rsidR="00000000" w:rsidRDefault="00000000">
      <w:pPr>
        <w:pStyle w:val="SingleTxt"/>
        <w:ind w:left="1740" w:right="1264" w:hanging="476"/>
      </w:pPr>
      <w:r>
        <w:rPr>
          <w:lang w:val="en-US"/>
        </w:rPr>
        <w:t>b</w:t>
      </w:r>
      <w:r>
        <w:t>)</w:t>
      </w:r>
      <w:r>
        <w:tab/>
        <w:t>Программу страхования, которая предусматривает страхование всех раб</w:t>
      </w:r>
      <w:r>
        <w:t>о</w:t>
      </w:r>
      <w:r>
        <w:t>тающих за рубежом филиппинцев, платящих свои взносы в ФУТЗ. В 2000 году в эту программу вступило 472 153 работающих за рубежом ф</w:t>
      </w:r>
      <w:r>
        <w:t>и</w:t>
      </w:r>
      <w:r>
        <w:t>липпинцев, и 4 310 заявителям были погашены страховые иски на 14 млн. филиппинских песо. Из этих заявителей 40 процентов составляли женщ</w:t>
      </w:r>
      <w:r>
        <w:t>и</w:t>
      </w:r>
      <w:r>
        <w:t>ны.</w:t>
      </w:r>
    </w:p>
    <w:p w:rsidR="00000000" w:rsidRDefault="00000000">
      <w:pPr>
        <w:pStyle w:val="SingleTxt"/>
        <w:ind w:left="1740" w:right="1264" w:hanging="476"/>
      </w:pPr>
      <w:r>
        <w:rPr>
          <w:lang w:val="en-US"/>
        </w:rPr>
        <w:t>c</w:t>
      </w:r>
      <w:r>
        <w:t>)</w:t>
      </w:r>
      <w:r>
        <w:tab/>
        <w:t>Помощь в связи с нетрудоспособностью, которая представляет собой в</w:t>
      </w:r>
      <w:r>
        <w:t>ы</w:t>
      </w:r>
      <w:r>
        <w:t>плату наличными от 1 500 до 10 000 филиппинских песо в зависимости от полученной травмы трудящимся-мигрантом, получившим кратковреме</w:t>
      </w:r>
      <w:r>
        <w:t>н</w:t>
      </w:r>
      <w:r>
        <w:t>ную травму или ставшим нетрудоспособным, работая за рубежом. По с</w:t>
      </w:r>
      <w:r>
        <w:t>о</w:t>
      </w:r>
      <w:r>
        <w:t>стоянию на 2001 год такая помощь была оказана 633 женщинам.</w:t>
      </w:r>
    </w:p>
    <w:p w:rsidR="00000000" w:rsidRDefault="00000000">
      <w:pPr>
        <w:pStyle w:val="SingleTxt"/>
        <w:ind w:left="1740" w:right="1264" w:hanging="476"/>
      </w:pPr>
      <w:r>
        <w:rPr>
          <w:lang w:val="en-US"/>
        </w:rPr>
        <w:t>d</w:t>
      </w:r>
      <w:r>
        <w:t>)</w:t>
      </w:r>
      <w:r>
        <w:tab/>
        <w:t>Помощь в организации похорон, которая предусматривает выплату до 10 000 филиппинских песо законным наследникам умершего трудящегося. Она может также предоставляться членам ФУТЗ, на которых не распр</w:t>
      </w:r>
      <w:r>
        <w:t>о</w:t>
      </w:r>
      <w:r>
        <w:t>страняется программа страхования. В 2001 году такая помощь была ок</w:t>
      </w:r>
      <w:r>
        <w:t>а</w:t>
      </w:r>
      <w:r>
        <w:t>зана 945 семьям же</w:t>
      </w:r>
      <w:r>
        <w:t>н</w:t>
      </w:r>
      <w:r>
        <w:t>щин, работавших за рубежом.</w:t>
      </w:r>
    </w:p>
    <w:p w:rsidR="00000000" w:rsidRDefault="00000000">
      <w:pPr>
        <w:pStyle w:val="SingleTxt"/>
        <w:ind w:left="1740" w:right="1264" w:hanging="476"/>
      </w:pPr>
      <w:r>
        <w:rPr>
          <w:lang w:val="en-US"/>
        </w:rPr>
        <w:t>e</w:t>
      </w:r>
      <w:r>
        <w:t>)</w:t>
      </w:r>
      <w:r>
        <w:tab/>
        <w:t>Финансовую помощь в виде денежных выплат до 5 000 филиппинских п</w:t>
      </w:r>
      <w:r>
        <w:t>е</w:t>
      </w:r>
      <w:r>
        <w:t>со членам ФУТЗ, потерявшим право на получение каких-либо социальных пособий, но нуждающимся в помощи по непредотвратимым и непредск</w:t>
      </w:r>
      <w:r>
        <w:t>а</w:t>
      </w:r>
      <w:r>
        <w:t>зуемым обстоятельствам. В 2001 году такая финансовая помощь была оказана 3 313 трудящимся (26 процентов – женщины). Кроме того, ну</w:t>
      </w:r>
      <w:r>
        <w:t>ж</w:t>
      </w:r>
      <w:r>
        <w:t>дающимся филиппинцам, ранее работавшим за рубежом, и членам ФУТЗ полагается денежная помощь до 7 000 филиппинских песо. В 2001 году такую помощь получили 48 женщин.</w:t>
      </w:r>
    </w:p>
    <w:p w:rsidR="00000000" w:rsidRDefault="00000000">
      <w:pPr>
        <w:pStyle w:val="SingleTxt"/>
        <w:ind w:left="1740" w:right="1264" w:hanging="476"/>
      </w:pPr>
      <w:r>
        <w:rPr>
          <w:lang w:val="en-US"/>
        </w:rPr>
        <w:t>f</w:t>
      </w:r>
      <w:r>
        <w:t>)</w:t>
      </w:r>
      <w:r>
        <w:tab/>
        <w:t>Юридические услуги, которые включают юридическое консультирование, ведение документации, примирение и посредничество. В 2002 году так</w:t>
      </w:r>
      <w:r>
        <w:t>и</w:t>
      </w:r>
      <w:r>
        <w:t>ми услугами воспользовались 2269 женщин, раб</w:t>
      </w:r>
      <w:r>
        <w:t>о</w:t>
      </w:r>
      <w:r>
        <w:t>тавших за рубежом.</w:t>
      </w:r>
    </w:p>
    <w:p w:rsidR="00000000" w:rsidRDefault="00000000">
      <w:pPr>
        <w:pStyle w:val="SingleTxt"/>
        <w:ind w:left="1740" w:right="1264" w:hanging="476"/>
      </w:pPr>
      <w:r>
        <w:rPr>
          <w:lang w:val="en-US"/>
        </w:rPr>
        <w:t>g</w:t>
      </w:r>
      <w:r>
        <w:t>)</w:t>
      </w:r>
      <w:r>
        <w:tab/>
        <w:t>Различные учебные стипендии и курсы профессиональной подготовки для отдельных филиппинцев, работающих за рубежом, и их иждивенцев. На настоящий момент женщины составляют 76 процентов тех, кто посещает бесплатные учебные курсы по технологии производства продуктов пит</w:t>
      </w:r>
      <w:r>
        <w:t>а</w:t>
      </w:r>
      <w:r>
        <w:t>ния и сельскохозяйственной технологии для бедных, но заслуживающих оказания помощи филиппинцев, работающих за рубежом, и их иждиве</w:t>
      </w:r>
      <w:r>
        <w:t>н</w:t>
      </w:r>
      <w:r>
        <w:t>цев, при возможности получения кредита для финансирования проектов обеспечения средств к существованию. В 2001 году подготовку в рамках такой программы учебных стипендий прошли примерно 1 717 женщин и их иждивенцев. Программой учебных стипендий для обучения в начал</w:t>
      </w:r>
      <w:r>
        <w:t>ь</w:t>
      </w:r>
      <w:r>
        <w:t>ных и средних школах детей находящихся в затруднительном финансовом положении филиппинцев, работающих за рубежом или вернувшихся на родину, было охвачено 483 ребенка. Из них 289 (60 процентов) детей б</w:t>
      </w:r>
      <w:r>
        <w:t>ы</w:t>
      </w:r>
      <w:r>
        <w:t>ли детьми работающих женщин.</w:t>
      </w:r>
    </w:p>
    <w:p w:rsidR="00000000" w:rsidRDefault="00000000">
      <w:pPr>
        <w:pStyle w:val="num"/>
      </w:pPr>
      <w:r>
        <w:t>Неправительственные организации принимали активное участие в де</w:t>
      </w:r>
      <w:r>
        <w:t>я</w:t>
      </w:r>
      <w:r>
        <w:t>тельности по распространению информации, обеспечению образования и пр</w:t>
      </w:r>
      <w:r>
        <w:t>о</w:t>
      </w:r>
      <w:r>
        <w:t>фессиональной подготовки. Например, Канлунганский фонд при поддержке МОТ выпустил справочник для работающих домашней прислугой филиппи</w:t>
      </w:r>
      <w:r>
        <w:t>н</w:t>
      </w:r>
      <w:r>
        <w:t>ских женщин, озаглавленный «Место н</w:t>
      </w:r>
      <w:r>
        <w:t>а</w:t>
      </w:r>
      <w:r>
        <w:t>значения: Ближний Восток».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и экономические зоны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Для защиты интересов женщин в экономических зонах ФУТЗ приняло нижеследующие меры. Оно потребовало, чтобы возможные разработчики предварительно регистрировались и представляли меморандум о предприн</w:t>
      </w:r>
      <w:r>
        <w:t>и</w:t>
      </w:r>
      <w:r>
        <w:t>мательстве, которым запрещалась бы практика использования детского труда на их предприятиях. Оно совместно с М</w:t>
      </w:r>
      <w:r>
        <w:t>е</w:t>
      </w:r>
      <w:r>
        <w:t>ждународной федерацией адвокатов-женщин и Коалицией КНЖ организовало семинары по разъяснению различных законов, касающихся трудящихся-женщин, в частности положений Закона о борьбе с сексуальным домогательством. Такие семинары были проведены в 11 экономических зонах, после чего были учреждены комитеты по правилам приличия и расследования или так называемые КППР (см. пункт 374). Влияние работы этих комитетов на положение в экономических зонах еще предстоит изучить.</w:t>
      </w:r>
    </w:p>
    <w:p w:rsidR="00000000" w:rsidRDefault="00000000">
      <w:pPr>
        <w:pStyle w:val="num"/>
      </w:pPr>
      <w:r>
        <w:t>Государство признает заключение коллективных договоров как право тр</w:t>
      </w:r>
      <w:r>
        <w:t>у</w:t>
      </w:r>
      <w:r>
        <w:t>дящихся и средство устранения неравенства в оплате труда мужчин и женщин. В поддержку организованного рынка труда министерство труда провело ко</w:t>
      </w:r>
      <w:r>
        <w:t>м</w:t>
      </w:r>
      <w:r>
        <w:t>панию по разъяснению касающихся трудовых отношений вопросов для орган</w:t>
      </w:r>
      <w:r>
        <w:t>и</w:t>
      </w:r>
      <w:r>
        <w:t>заций-членов и не членов профсоюзов, а также организовало учебные курсы и консультации по вопросам ведения переговоров и защите своих интересов для женщин-руководителей профсоюзов и трудящихся из 200 ассоциаций труд</w:t>
      </w:r>
      <w:r>
        <w:t>я</w:t>
      </w:r>
      <w:r>
        <w:t>щихся и трудовых организаций. В государственных экономических зонах были проведены семинары по разъяснению экономических прав среди трудящихся, членов профсоюзов и руководства местных предприятий, а при проведении общих трудовых инспекций стали учитываться и вопросы, касающиеся раве</w:t>
      </w:r>
      <w:r>
        <w:t>н</w:t>
      </w:r>
      <w:r>
        <w:t>ства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 в неформальном секторе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Программа министерства труда по оказанию помощи женщинам-предпринимателям в неформальном секторе включает: введение практических и недорогостоящих новшеств, направленных на повышение производительн</w:t>
      </w:r>
      <w:r>
        <w:t>о</w:t>
      </w:r>
      <w:r>
        <w:t>сти малых предприятий; развитие сферы занятости в сельских районах путем оказания сельским рабочим, включая женщин, технической помощи и орган</w:t>
      </w:r>
      <w:r>
        <w:t>и</w:t>
      </w:r>
      <w:r>
        <w:t>зации для них профессиональной подготовки по вопросам предпринимательс</w:t>
      </w:r>
      <w:r>
        <w:t>т</w:t>
      </w:r>
      <w:r>
        <w:t>ва; и осуществление программы развития предпринимательства и занятости среди работающих женщин (РПЗРЖ), как позитивной меры по улучшению судьбы филиппинских женщин, находящихся в наиболее неблагоприятном п</w:t>
      </w:r>
      <w:r>
        <w:t>о</w:t>
      </w:r>
      <w:r>
        <w:t>ложении. По линии этой программы оказывается финансовая и техническая поддержка в области самостоятельной занятости, предпринимательства и ко</w:t>
      </w:r>
      <w:r>
        <w:t>о</w:t>
      </w:r>
      <w:r>
        <w:t>перативной деятельности. В 2001 году по линии учебного компонента этой программы было проведено 209 мероприятий по наращиванию возможностей предпринимателей, в рамках которых приняли участие 6 390 женщин.</w:t>
      </w:r>
    </w:p>
    <w:p w:rsidR="00000000" w:rsidRDefault="00000000">
      <w:pPr>
        <w:pStyle w:val="num"/>
      </w:pPr>
      <w:r>
        <w:t>В мае 2001 года Женский центр ТЕСДА приступил к реализации проекта, названного «Касанайско-Кабугайская передвижная консультация», цель кот</w:t>
      </w:r>
      <w:r>
        <w:t>о</w:t>
      </w:r>
      <w:r>
        <w:t>рого заключается в расширении возможностей инвалидов и лиц, занятых в н</w:t>
      </w:r>
      <w:r>
        <w:t>е</w:t>
      </w:r>
      <w:r>
        <w:t>формальном секторе экономики, особенно женщин, в области занятости. За это время 801 женщине были оказаны услуги в следующих областях: оценка пр</w:t>
      </w:r>
      <w:r>
        <w:t>о</w:t>
      </w:r>
      <w:r>
        <w:t>фессиональных знаний, консультирование по вопросам карьерного роста, ра</w:t>
      </w:r>
      <w:r>
        <w:t>с</w:t>
      </w:r>
      <w:r>
        <w:t>пространение информации о вспомогательных службах за рубежом и местном рынке труда, профессиональная подготовка и переподготовка, предоставление учебных стипендий для изучения информационно-коммуникационных техн</w:t>
      </w:r>
      <w:r>
        <w:t>о</w:t>
      </w:r>
      <w:r>
        <w:t>логий и развитие предпринимательских навыков, кредитование и создание с</w:t>
      </w:r>
      <w:r>
        <w:t>е</w:t>
      </w:r>
      <w:r>
        <w:t>тей.</w:t>
      </w:r>
    </w:p>
    <w:p w:rsidR="00000000" w:rsidRDefault="00000000">
      <w:pPr>
        <w:pStyle w:val="num"/>
      </w:pPr>
      <w:r>
        <w:t>Совместно с Конференцией эпископов-бизнесменов, сотрудниками Н</w:t>
      </w:r>
      <w:r>
        <w:t>а</w:t>
      </w:r>
      <w:r>
        <w:t>циональной комиссии по борьбе с бедностью (НКББ) при Совете неформал</w:t>
      </w:r>
      <w:r>
        <w:t>ь</w:t>
      </w:r>
      <w:r>
        <w:t>ного сектора, НУЭР и другими заинтересованными сторонами министерство труда в 2001 и 2002 годах осуществило проект развития и защиты неформал</w:t>
      </w:r>
      <w:r>
        <w:t>ь</w:t>
      </w:r>
      <w:r>
        <w:t>ного сектора. В рамках этого проекта при поддержке МОТ и ПРООН была, в частности, разработана страновая программа для неформального сектора, н</w:t>
      </w:r>
      <w:r>
        <w:t>а</w:t>
      </w:r>
      <w:r>
        <w:t>званная «Разработка программ и политики для неформального сектора через местные органы правления». Эта программа была утверждена Комитетом по социальному развитию Кабинета министров в июле 2003 года. В ней были у</w:t>
      </w:r>
      <w:r>
        <w:t>ч</w:t>
      </w:r>
      <w:r>
        <w:t>тены результаты проведения различных экспериментальных проектов, включая укрепление потенциала местных органов правления в плане оказания поддер</w:t>
      </w:r>
      <w:r>
        <w:t>ж</w:t>
      </w:r>
      <w:r>
        <w:t>ки своим соответствующим неформальным секторам и укрепление организ</w:t>
      </w:r>
      <w:r>
        <w:t>а</w:t>
      </w:r>
      <w:r>
        <w:t>ции работников неформального сектора на уровне местных органов правления. В рамках этой страновой программы первоочередное внимание уделяется тем, кто раб</w:t>
      </w:r>
      <w:r>
        <w:t>о</w:t>
      </w:r>
      <w:r>
        <w:t>тает в неформальном секторе в сельских районах.</w:t>
      </w:r>
    </w:p>
    <w:p w:rsidR="00000000" w:rsidRDefault="00000000">
      <w:pPr>
        <w:pStyle w:val="num"/>
      </w:pPr>
      <w:r>
        <w:t>Министерство социального обеспечения оказывает помощь бедным же</w:t>
      </w:r>
      <w:r>
        <w:t>н</w:t>
      </w:r>
      <w:r>
        <w:t>щинам и женщинам, находящимся в неблагоприятном положении, по линии двух основных программ: программы поддержки индивидуальной трудовой деятельности – Каунларан (ПИТДК), которая представляет собой общинную программу наращивания потенциала в поддержку микропредприятий и разв</w:t>
      </w:r>
      <w:r>
        <w:t>и</w:t>
      </w:r>
      <w:r>
        <w:t>тия системы микрофинансирования для бедных и обездоленных слоев насел</w:t>
      </w:r>
      <w:r>
        <w:t>е</w:t>
      </w:r>
      <w:r>
        <w:t>ния; и программы «Повышение навыков женщин, находящихся в неблагопр</w:t>
      </w:r>
      <w:r>
        <w:t>и</w:t>
      </w:r>
      <w:r>
        <w:t>ятных условиях (ПНЖНУ)», в рамках которой женщины знакомятся с навык</w:t>
      </w:r>
      <w:r>
        <w:t>а</w:t>
      </w:r>
      <w:r>
        <w:t>ми шитья, изготовления игрушек, переработки продуктов питания, изготовл</w:t>
      </w:r>
      <w:r>
        <w:t>е</w:t>
      </w:r>
      <w:r>
        <w:t>ния изделий из керамики, раттана и с другими способами обеспечения себя средствами к существованию. Бюджет этой программы составляет 460,6 млн. филиппинских песо, и она охватывает 115 303 человека, из которых 70 процентов составляют женщины. Кроме того, в рамках этой программы б</w:t>
      </w:r>
      <w:r>
        <w:t>ы</w:t>
      </w:r>
      <w:r>
        <w:t>ло создано 15 ассоциаций матерей, при этом каждая из них получила начал</w:t>
      </w:r>
      <w:r>
        <w:t>ь</w:t>
      </w:r>
      <w:r>
        <w:t>ный капитал в 100 000 филиппинских песо на реализацию проектов обеспеч</w:t>
      </w:r>
      <w:r>
        <w:t>е</w:t>
      </w:r>
      <w:r>
        <w:t>ния средств к существованию. По состоянию на апрель 2002 года в стране с</w:t>
      </w:r>
      <w:r>
        <w:t>у</w:t>
      </w:r>
      <w:r>
        <w:t>щес</w:t>
      </w:r>
      <w:r>
        <w:t>т</w:t>
      </w:r>
      <w:r>
        <w:t>вовало 104 центра ПНЖНУ.</w:t>
      </w:r>
    </w:p>
    <w:p w:rsidR="00000000" w:rsidRDefault="00000000">
      <w:pPr>
        <w:pStyle w:val="num"/>
      </w:pPr>
      <w:r>
        <w:t>В июне 2002 года Банк развития Филиппин (</w:t>
      </w:r>
      <w:r>
        <w:rPr>
          <w:caps/>
        </w:rPr>
        <w:t>брф</w:t>
      </w:r>
      <w:r>
        <w:t>) разработал специал</w:t>
      </w:r>
      <w:r>
        <w:t>ь</w:t>
      </w:r>
      <w:r>
        <w:t xml:space="preserve">ную накопительную программу «Накопительный счет </w:t>
      </w:r>
      <w:r>
        <w:rPr>
          <w:i/>
        </w:rPr>
        <w:t>Магинхаванг Манггаг</w:t>
      </w:r>
      <w:r>
        <w:rPr>
          <w:i/>
        </w:rPr>
        <w:t>а</w:t>
      </w:r>
      <w:r>
        <w:rPr>
          <w:i/>
        </w:rPr>
        <w:t>ва</w:t>
      </w:r>
      <w:r>
        <w:t>» для членов системы социального обеспечения в неформальном секторе. Цель ее заключается в том, чтобы облегчить выплату работникам неформал</w:t>
      </w:r>
      <w:r>
        <w:t>ь</w:t>
      </w:r>
      <w:r>
        <w:t>ного сектора страховых премий по системе социального обеспечения путем объединения регулярных накопительных счетов со схемой автоматического д</w:t>
      </w:r>
      <w:r>
        <w:t>е</w:t>
      </w:r>
      <w:r>
        <w:t>бетования накопительных счетов членов системы социального обеспечения. Этот механизм был апробирован в трех городах: в Маниле, в Себу на островах Висайян и в Давао на острове Минданао.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Женщины-предприниматели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В 1995 году Конгресс принял Республиканский закон 7882, в котором он поручил правительству оказывать филиппинским женщинам помощь в прио</w:t>
      </w:r>
      <w:r>
        <w:t>б</w:t>
      </w:r>
      <w:r>
        <w:t>ретении ими малых предприятий и эксплуатации и управлении ими. В соотве</w:t>
      </w:r>
      <w:r>
        <w:t>т</w:t>
      </w:r>
      <w:r>
        <w:t>ствии с этим законом любая женщина, подтверждающая, что она получила с</w:t>
      </w:r>
      <w:r>
        <w:t>о</w:t>
      </w:r>
      <w:r>
        <w:t>ответствующую подготовку в государственном или аккредитованном при гос</w:t>
      </w:r>
      <w:r>
        <w:t>у</w:t>
      </w:r>
      <w:r>
        <w:t>дарстве учебном заведении, имеет право на получение займа от государстве</w:t>
      </w:r>
      <w:r>
        <w:t>н</w:t>
      </w:r>
      <w:r>
        <w:t>ных финансовых учреждений, которые должны 5 процентов всех своих займов выделять на цели осуществления женских проектов. В 2001 году министерство торговли и промышленности сообщило, что БРФ и Земельный банк Филиппин вместе выделили в соответствии с положениями Республиканского закона 7882 почти 4 млрд. филиппинских песо для оказания помощи порядка 4 000 женщин в ра</w:t>
      </w:r>
      <w:r>
        <w:t>з</w:t>
      </w:r>
      <w:r>
        <w:t>личных районах страны.</w:t>
      </w:r>
    </w:p>
    <w:p w:rsidR="00000000" w:rsidRDefault="00000000">
      <w:pPr>
        <w:pStyle w:val="num"/>
      </w:pPr>
      <w:r>
        <w:t>Как уже это обсуждалось в рамках статьи 10, правительство в 1996 году разработало осуществляемый ТЕСДА план позитивных мер для того, чтобы обеспечить производственное обучение женщин по тем специальностям, кот</w:t>
      </w:r>
      <w:r>
        <w:t>о</w:t>
      </w:r>
      <w:r>
        <w:t>рые традиционно считаются мужскими, и тем самым подготовить их для более ответственной и высокооплачиваемой работы. Эта политика предусматривает, что из всех проходящих производственное обучение по линии ТЕСДА лиц 10 процентов должны быть женщины. С тех пор ТЕСДА занимается обучением женщин нетрадиционным видам деятельности. В 1998 году такие учебные ку</w:t>
      </w:r>
      <w:r>
        <w:t>р</w:t>
      </w:r>
      <w:r>
        <w:t>сы в общей сложности закончило 317 женщин (приложение, Таблица В10.5). В 1999-2001 годах традиционным специальностям в общей сложности обучилось 479 женщин, а 172 женщины обучались нетрадиционным специальностям, т</w:t>
      </w:r>
      <w:r>
        <w:t>а</w:t>
      </w:r>
      <w:r>
        <w:t>ким, как автомеханика, сварочные работы, изготовление изделий из керамики и эле</w:t>
      </w:r>
      <w:r>
        <w:t>к</w:t>
      </w:r>
      <w:r>
        <w:t>троника.</w:t>
      </w:r>
    </w:p>
    <w:p w:rsidR="00000000" w:rsidRDefault="00000000">
      <w:pPr>
        <w:pStyle w:val="num"/>
      </w:pPr>
      <w:r>
        <w:t>Профессиональное обучение и обучение основным жизненным навыкам в таких областях, как изготовление подарков и домашней утвари, одежды и ра</w:t>
      </w:r>
      <w:r>
        <w:t>з</w:t>
      </w:r>
      <w:r>
        <w:t>личных аксессуаров, электроника и телекоммуникации, металлообработка, строительство, сельское хозяйство и лесное дело, обеспечивается и специал</w:t>
      </w:r>
      <w:r>
        <w:t>ь</w:t>
      </w:r>
      <w:r>
        <w:t>ными учебными центрами, и региональными отделениями министерства то</w:t>
      </w:r>
      <w:r>
        <w:t>р</w:t>
      </w:r>
      <w:r>
        <w:t>говли и промышленности. У них также имеются учебные программы для опт</w:t>
      </w:r>
      <w:r>
        <w:t>о</w:t>
      </w:r>
      <w:r>
        <w:t>вых продавцов, розничных продавцов, кооператоров, управляющих и руков</w:t>
      </w:r>
      <w:r>
        <w:t>о</w:t>
      </w:r>
      <w:r>
        <w:t>дящего состава. Центр технологии кустарного производства организует обуч</w:t>
      </w:r>
      <w:r>
        <w:t>е</w:t>
      </w:r>
      <w:r>
        <w:t>ние по следующим жизненно важным областям: шитье одежды, изготовление букетов, изготовление сумок и праздничных украшений, изготовление сувен</w:t>
      </w:r>
      <w:r>
        <w:t>и</w:t>
      </w:r>
      <w:r>
        <w:t>ров, изготовление бумажных изделий в домашних условиях, переработка пр</w:t>
      </w:r>
      <w:r>
        <w:t>о</w:t>
      </w:r>
      <w:r>
        <w:t>дуктов питания, ручное ткачество, изготовление плет</w:t>
      </w:r>
      <w:r>
        <w:t>е</w:t>
      </w:r>
      <w:r>
        <w:t>ных изделий и посуды.</w:t>
      </w:r>
    </w:p>
    <w:p w:rsidR="00000000" w:rsidRDefault="00000000">
      <w:pPr>
        <w:pStyle w:val="num"/>
      </w:pPr>
      <w:r>
        <w:t>Повышению заинтересованности в кредитовании малых и средних пре</w:t>
      </w:r>
      <w:r>
        <w:t>д</w:t>
      </w:r>
      <w:r>
        <w:t>приятий женщин способствовало принятие законодательных мер и информац</w:t>
      </w:r>
      <w:r>
        <w:t>и</w:t>
      </w:r>
      <w:r>
        <w:t>онно-разъяснительная работа, проведенная министерством торговли и пр</w:t>
      </w:r>
      <w:r>
        <w:t>о</w:t>
      </w:r>
      <w:r>
        <w:t>мышленности и самими занимающимися бизнесом женщинами, и все это пр</w:t>
      </w:r>
      <w:r>
        <w:t>и</w:t>
      </w:r>
      <w:r>
        <w:t>вело к принятию Национального плана развития МСП. В плане поддержки эт</w:t>
      </w:r>
      <w:r>
        <w:t>о</w:t>
      </w:r>
      <w:r>
        <w:t>го плана государственные финансовые учреждения совместно разработали единую программу кредитования с учетом финансовых потребностей МСП. Эта программа, названная «Комплексное кредитование МСП в интересах н</w:t>
      </w:r>
      <w:r>
        <w:t>а</w:t>
      </w:r>
      <w:r>
        <w:t>ционального роста» или СУЛОНГ, предусматривает упрощение и стандартиз</w:t>
      </w:r>
      <w:r>
        <w:t>а</w:t>
      </w:r>
      <w:r>
        <w:t>цию процедуры кредитования, что способствует созданию «более широкой и неограниченной финансовой системы» в целях удовлетворения кратко- и до</w:t>
      </w:r>
      <w:r>
        <w:t>л</w:t>
      </w:r>
      <w:r>
        <w:t>госрочных потребностей МСП. Среди участвующих государственных фина</w:t>
      </w:r>
      <w:r>
        <w:t>н</w:t>
      </w:r>
      <w:r>
        <w:t xml:space="preserve">совых учреждений можно отметить БРФ, ЗБФ, Национальный фонд поддержки (НФП), </w:t>
      </w:r>
      <w:r>
        <w:rPr>
          <w:caps/>
        </w:rPr>
        <w:t>э</w:t>
      </w:r>
      <w:r>
        <w:t xml:space="preserve">кспортно-импортный банк Филиппин (банк «Филексим»), Кедан, Сельская корпорация кредитного обеспечения (Кеданкор), а также </w:t>
      </w:r>
      <w:r>
        <w:rPr>
          <w:caps/>
        </w:rPr>
        <w:t>к</w:t>
      </w:r>
      <w:r>
        <w:t>орпорация страхования и финансирования малых предприятий (КСФМП). Согласно соо</w:t>
      </w:r>
      <w:r>
        <w:t>б</w:t>
      </w:r>
      <w:r>
        <w:t>щениям, расширение доступа малых и средних предприятий к финансовым средствам позволило создать новые рабочие места. Правительство заявляет, что с января по октябрь 2003 года, объем кредитования МСП составил в общей сложности 21 млрд. филиппинских песо по сравнению с 6 млрд. филиппинских песо в период с июля 1998 года по декабрь 2000 года (ППС, 2004 год). Кроме того, указывалось, что 52 малых и средних предприятия в течение шести мес</w:t>
      </w:r>
      <w:r>
        <w:t>я</w:t>
      </w:r>
      <w:r>
        <w:t>цев осуществления данной программы вышли на более высокий уровень пр</w:t>
      </w:r>
      <w:r>
        <w:t>о</w:t>
      </w:r>
      <w:r>
        <w:t>изводс</w:t>
      </w:r>
      <w:r>
        <w:t>т</w:t>
      </w:r>
      <w:r>
        <w:t>ва.</w:t>
      </w:r>
    </w:p>
    <w:p w:rsidR="00000000" w:rsidRDefault="00000000">
      <w:pPr>
        <w:pStyle w:val="num"/>
      </w:pPr>
      <w:r>
        <w:t>Министерством торговли и промышленности в 1997 году был создан Женский коммерческий совет Филиппин (ЖКСФ) в качестве «основного орг</w:t>
      </w:r>
      <w:r>
        <w:t>а</w:t>
      </w:r>
      <w:r>
        <w:t>на по защите и консультированию филиппинских женщин, занимающихся би</w:t>
      </w:r>
      <w:r>
        <w:t>з</w:t>
      </w:r>
      <w:r>
        <w:t>несом». После этого Советом было проведено обследование трех стран (М</w:t>
      </w:r>
      <w:r>
        <w:t>а</w:t>
      </w:r>
      <w:r>
        <w:t>лайзии, Таиланда и Филиппин) в отношении вклада женщин в экономику и влияния финансового кризиса 1997-1998 годов на положение коммерческих предприятий женщин. Им осуществляется также целый ряд программ, напра</w:t>
      </w:r>
      <w:r>
        <w:t>в</w:t>
      </w:r>
      <w:r>
        <w:t>ленных на улучшение доступа женщин-предпринимателей к профессиональной подгото</w:t>
      </w:r>
      <w:r>
        <w:t>в</w:t>
      </w:r>
      <w:r>
        <w:t>ке, информации, рынку и кредитам.</w:t>
      </w:r>
    </w:p>
    <w:p w:rsidR="00000000" w:rsidRDefault="00000000">
      <w:pPr>
        <w:pStyle w:val="SingleTxt"/>
        <w:ind w:left="1740" w:right="1264" w:hanging="476"/>
      </w:pPr>
      <w:r>
        <w:rPr>
          <w:lang w:val="en-US"/>
        </w:rPr>
        <w:t>a</w:t>
      </w:r>
      <w:r>
        <w:t>)</w:t>
      </w:r>
      <w:r>
        <w:rPr>
          <w:i/>
        </w:rPr>
        <w:tab/>
        <w:t>Доступ к профессиональной подготовке и информации</w:t>
      </w:r>
      <w:r>
        <w:t>. ЖКСФ были ра</w:t>
      </w:r>
      <w:r>
        <w:t>з</w:t>
      </w:r>
      <w:r>
        <w:t>работаны и проведены учитывающие интересы женщин семинары, в ч</w:t>
      </w:r>
      <w:r>
        <w:t>а</w:t>
      </w:r>
      <w:r>
        <w:t>стности по таким вопросам, как открытие коммерческого предприятия; совершенствование предпринимательской деятельности, выживание на рынке и расширение деятельности; развитие коммерческой деятельности; и подготовка соответствующих инструкторов. Согласно сообщениям, о</w:t>
      </w:r>
      <w:r>
        <w:t>р</w:t>
      </w:r>
      <w:r>
        <w:t>ганизация таких направленных на наращивание потенциала программ и более полное осознание участниками этих семинаров их прав как женщин и предпринимателей расширило их возможности в плане принятия реш</w:t>
      </w:r>
      <w:r>
        <w:t>е</w:t>
      </w:r>
      <w:r>
        <w:t>ний и укрепило их уверенность в себе, что позволило им стать более ц</w:t>
      </w:r>
      <w:r>
        <w:t>е</w:t>
      </w:r>
      <w:r>
        <w:t>леустремленными и более активными в деятельн</w:t>
      </w:r>
      <w:r>
        <w:t>о</w:t>
      </w:r>
      <w:r>
        <w:t>сти общин.</w:t>
      </w:r>
    </w:p>
    <w:p w:rsidR="00000000" w:rsidRDefault="00000000">
      <w:pPr>
        <w:pStyle w:val="SingleTxt"/>
        <w:ind w:left="1740" w:right="1264" w:hanging="476"/>
      </w:pPr>
      <w:r>
        <w:rPr>
          <w:lang w:val="en-US"/>
        </w:rPr>
        <w:t>b</w:t>
      </w:r>
      <w:r>
        <w:t>)</w:t>
      </w:r>
      <w:r>
        <w:rPr>
          <w:i/>
        </w:rPr>
        <w:tab/>
        <w:t>Доступ к рынкам и коммерческим связям</w:t>
      </w:r>
      <w:r>
        <w:t>. ЖКСФ, организовав учебные курсы по вопросам экспорта изделий кустарного производства в Канаду, помогла филиппинским женщинам-предпринимателям установить ко</w:t>
      </w:r>
      <w:r>
        <w:t>н</w:t>
      </w:r>
      <w:r>
        <w:t>такты с рынками за рубежом. Это позволило 60 женщинам-предпринимателям получить доступ к практической информации о том, как выйти на канадский рынок, в результате чего расширилась сеть мес</w:t>
      </w:r>
      <w:r>
        <w:t>т</w:t>
      </w:r>
      <w:r>
        <w:t>ных женщин-экспортеров; было проведено международное совещание по обеспечению согласованности коммерческих требований; филиппинские женщины-предприниматели приняли участие в международной видео-конференции с Австралией, Китаем, Малайзией и Сингапуром; и женщ</w:t>
      </w:r>
      <w:r>
        <w:t>и</w:t>
      </w:r>
      <w:r>
        <w:t>ны стали участвовать в качестве членов и руководителей в работе межд</w:t>
      </w:r>
      <w:r>
        <w:t>у</w:t>
      </w:r>
      <w:r>
        <w:t>народных организаций женщин-предпринимателей, таких, как Конфед</w:t>
      </w:r>
      <w:r>
        <w:t>е</w:t>
      </w:r>
      <w:r>
        <w:t>рация советов деловых женщин при АТЭС и Всемирная встреча на вы</w:t>
      </w:r>
      <w:r>
        <w:t>с</w:t>
      </w:r>
      <w:r>
        <w:t>шем уровне по положению женщин.</w:t>
      </w:r>
    </w:p>
    <w:p w:rsidR="00000000" w:rsidRDefault="00000000">
      <w:pPr>
        <w:pStyle w:val="SingleTxt"/>
        <w:ind w:left="1740" w:right="1264" w:hanging="476"/>
      </w:pPr>
      <w:r>
        <w:rPr>
          <w:lang w:val="en-US"/>
        </w:rPr>
        <w:t>c</w:t>
      </w:r>
      <w:r>
        <w:t>)</w:t>
      </w:r>
      <w:r>
        <w:rPr>
          <w:i/>
        </w:rPr>
        <w:tab/>
        <w:t>Доступ к кредитам. С</w:t>
      </w:r>
      <w:r>
        <w:t xml:space="preserve">пустя несколько лет после своего создания </w:t>
      </w:r>
      <w:r>
        <w:rPr>
          <w:caps/>
        </w:rPr>
        <w:t>жксф</w:t>
      </w:r>
      <w:r>
        <w:t xml:space="preserve"> провел успешные переговоры о выделении 3,1 млрд. филиппинских песо для женщин, руководящих МСП, с ведущими государственными финанс</w:t>
      </w:r>
      <w:r>
        <w:t>о</w:t>
      </w:r>
      <w:r>
        <w:t>выми учреждениями, такими, как Земельный банк Филиппин, Банк разв</w:t>
      </w:r>
      <w:r>
        <w:t>и</w:t>
      </w:r>
      <w:r>
        <w:t>тия Филиппин и Корпорация страхования и финансирования малых пре</w:t>
      </w:r>
      <w:r>
        <w:t>д</w:t>
      </w:r>
      <w:r>
        <w:t>приятий, а также ч</w:t>
      </w:r>
      <w:r>
        <w:t>а</w:t>
      </w:r>
      <w:r>
        <w:t>стные банки, например «Банко де Оро» и «Экуитабл-ПСИ банк». Совет активно распространяет информацию о принятой м</w:t>
      </w:r>
      <w:r>
        <w:t>и</w:t>
      </w:r>
      <w:r>
        <w:t>нистерством торговли и промышленности программе «Комплексное кр</w:t>
      </w:r>
      <w:r>
        <w:t>е</w:t>
      </w:r>
      <w:r>
        <w:t>дитование МСП в интересах национального развития» и назначил двух консультантов для оказания различного рода помощи членам ЖКСФ по вопросам, касающимся этой программы.</w:t>
      </w:r>
    </w:p>
    <w:p w:rsidR="00000000" w:rsidRDefault="00000000">
      <w:pPr>
        <w:pStyle w:val="num"/>
      </w:pPr>
      <w:r>
        <w:t>Женщины-предприниматели могут также получить кредиты по линии Фонда страхования сделок и прямого финансирования, который представляет собой программу, направленную на удовлетворение финансовый потребностей малых и средних предприятий в отношении конкретных или единовременных сделок. В августе 2001 года правительство вновь стало проводить политику предоставления государственных гарантий для МСП. С тех пор было утве</w:t>
      </w:r>
      <w:r>
        <w:t>р</w:t>
      </w:r>
      <w:r>
        <w:t>ждено гарантийное обеспечение для 466 займов на общую сумму 1,7 млрд. ф</w:t>
      </w:r>
      <w:r>
        <w:t>и</w:t>
      </w:r>
      <w:r>
        <w:t>липпинских песо.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Работающие девочки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В результате интенсивного лоббирования и информационной работы пр</w:t>
      </w:r>
      <w:r>
        <w:t>а</w:t>
      </w:r>
      <w:r>
        <w:t>вительство Филиппин ратифицировало в 1998 году Конвенцию МОТ 138 (о минимальном возрасте для приема на работу) и в 2000 году Конвенцию МОТ 182 (запрещение и пресечение наихудших форм детского труда). Для осущес</w:t>
      </w:r>
      <w:r>
        <w:t>т</w:t>
      </w:r>
      <w:r>
        <w:t>вления этих конвенций министерство труда разработало политику, а также по</w:t>
      </w:r>
      <w:r>
        <w:t>д</w:t>
      </w:r>
      <w:r>
        <w:t>готовило и реализовало программы и проекты постепенного пресечения на</w:t>
      </w:r>
      <w:r>
        <w:t>и</w:t>
      </w:r>
      <w:r>
        <w:t>худших форм детского труда. В 1999 году оно выпустило обновленный пер</w:t>
      </w:r>
      <w:r>
        <w:t>е</w:t>
      </w:r>
      <w:r>
        <w:t>чень опасных видов работы и деятельности для работающих детей, который, в частности, включает работу, подвергающую детей физическому, психологич</w:t>
      </w:r>
      <w:r>
        <w:t>е</w:t>
      </w:r>
      <w:r>
        <w:t>скому и сексуальному злоупотреблению, например в том, что касается непр</w:t>
      </w:r>
      <w:r>
        <w:t>и</w:t>
      </w:r>
      <w:r>
        <w:t>стойных представлений, кабаре, баров и дансинг-холлов. По состоянию на к</w:t>
      </w:r>
      <w:r>
        <w:t>о</w:t>
      </w:r>
      <w:r>
        <w:t>нец 2001 года пять человек были осуждены за нарушение положений Респу</w:t>
      </w:r>
      <w:r>
        <w:t>б</w:t>
      </w:r>
      <w:r>
        <w:t>ликанского закона 7658 (минимальный возраст для приема на работу) и Ре</w:t>
      </w:r>
      <w:r>
        <w:t>с</w:t>
      </w:r>
      <w:r>
        <w:t>публиканского закона 7610 (особая защита детей от злоупотребления, эксплу</w:t>
      </w:r>
      <w:r>
        <w:t>а</w:t>
      </w:r>
      <w:r>
        <w:t>тации и дискриминации), в частности, за публикацию фотографий детей в н</w:t>
      </w:r>
      <w:r>
        <w:t>е</w:t>
      </w:r>
      <w:r>
        <w:t>пристойных изданиях и привлечение их к участию в непристойных предста</w:t>
      </w:r>
      <w:r>
        <w:t>в</w:t>
      </w:r>
      <w:r>
        <w:t>лениях.</w:t>
      </w:r>
    </w:p>
    <w:p w:rsidR="00000000" w:rsidRDefault="00000000">
      <w:pPr>
        <w:pStyle w:val="num"/>
      </w:pPr>
      <w:r>
        <w:t>Государственная политика борьбы с детским трудом отражена в наци</w:t>
      </w:r>
      <w:r>
        <w:t>о</w:t>
      </w:r>
      <w:r>
        <w:t>нальной программе борьбы с детским трудом, одним из основных проектов к</w:t>
      </w:r>
      <w:r>
        <w:t>о</w:t>
      </w:r>
      <w:r>
        <w:t>торой является проект, названный «Спасти работающих детей». Этот проект, осуществление которого было официально начато в 1994 году, представляет собой межведомственный механизм быстрого реагирования, во главе которого стоит департамент труда, и задача которого заключается в выявлении, монит</w:t>
      </w:r>
      <w:r>
        <w:t>о</w:t>
      </w:r>
      <w:r>
        <w:t>ринге и спасении детей, работающих в опасных условиях или подвергающихся эксплуатации. Межведомственная группа специалистов посещает находящихся в таких условиях детей, для того чтобы оказать им необходимую помощь и воссоединить их с семьей и обществом. С 1993 года по первый семестр 2001 года в рамках этого проекта было проведено 303 таких спасательных оп</w:t>
      </w:r>
      <w:r>
        <w:t>е</w:t>
      </w:r>
      <w:r>
        <w:t>рации, в результате которых 1 000 несовершеннолетних детей были освобо</w:t>
      </w:r>
      <w:r>
        <w:t>ж</w:t>
      </w:r>
      <w:r>
        <w:t>дены от рабства и вынужденного труда, проституции и других опасных видов деятельности. В 2000 году была разработана новая программа такого типа на 2000-2004 годы, в центре внимания которой находится пресечение наихудших форм детского труда, изменение жизни работающих детей, их семей и общес</w:t>
      </w:r>
      <w:r>
        <w:t>т</w:t>
      </w:r>
      <w:r>
        <w:t>ва и обеспечение того, чтобы дети обеспечивались защитой, занимаясь таким видом вредной работы, и/или же бросали эту работу, восстанавливали свое здоровье и возвращались в заботящееся о них общество.</w:t>
      </w:r>
    </w:p>
    <w:p w:rsidR="00000000" w:rsidRDefault="00000000">
      <w:pPr>
        <w:pStyle w:val="num"/>
      </w:pPr>
      <w:r>
        <w:t>Инспекторская программа министерства труда нацелена на проверку тех заведений, которые подозреваются в использовании детского труда. Для укре</w:t>
      </w:r>
      <w:r>
        <w:t>п</w:t>
      </w:r>
      <w:r>
        <w:t>ления этой программы министерство через Управление по условиям труда в 1995 году организовало специальную подготовку инспекторов по вопросам детского труда и разработало дополнительную инспекционную анкету, каса</w:t>
      </w:r>
      <w:r>
        <w:t>ю</w:t>
      </w:r>
      <w:r>
        <w:t>щуюся нарушения законов о борьбе с детским трудом. За период с 1996 по 2000 годы в 255 заведениях было выявлено в общей сложности 568 работающих девочек. Дети, работающие во вредных условиях, сразу же были удалены из этих заведений с возмещением им невыплаченного вознагр</w:t>
      </w:r>
      <w:r>
        <w:t>а</w:t>
      </w:r>
      <w:r>
        <w:t>ждения.</w:t>
      </w:r>
    </w:p>
    <w:p w:rsidR="00000000" w:rsidRDefault="00000000">
      <w:pPr>
        <w:pStyle w:val="num"/>
      </w:pPr>
      <w:r>
        <w:t>С 1997 по 1999 год региональные отделения министерства труда предпр</w:t>
      </w:r>
      <w:r>
        <w:t>и</w:t>
      </w:r>
      <w:r>
        <w:t>няли собственные инициативы. Отделение в северной части острова Лусон з</w:t>
      </w:r>
      <w:r>
        <w:t>а</w:t>
      </w:r>
      <w:r>
        <w:t>нималось осуществлением проекта МОТ «Комплексная программа пресечения использования труда детей в сфере туризма и гостиничного бизнеса и их защ</w:t>
      </w:r>
      <w:r>
        <w:t>и</w:t>
      </w:r>
      <w:r>
        <w:t>ты». Оно организовало сеть поддержки из заинтересованных граждан для борьбы с использованием детского труда владельцами и управляющими гост</w:t>
      </w:r>
      <w:r>
        <w:t>и</w:t>
      </w:r>
      <w:r>
        <w:t>ницами, туристическим и увеселительным бизнесом в порядке оказания пом</w:t>
      </w:r>
      <w:r>
        <w:t>о</w:t>
      </w:r>
      <w:r>
        <w:t>щи в осуществлении этой программы. Такое более широкое ознакомление вл</w:t>
      </w:r>
      <w:r>
        <w:t>а</w:t>
      </w:r>
      <w:r>
        <w:t>дельцами предприятий, их сотрудниками и клиентами с вопросами детского труда позволило оказать помощь девочками из различных провинций, которые были незаконно приняты на работу и подвергались злоупотреблениям. На ос</w:t>
      </w:r>
      <w:r>
        <w:t>т</w:t>
      </w:r>
      <w:r>
        <w:t>ровах Висаян и в районах северной части Лусона и Бикола министерство труда занимается осуществлением оперативного плана борьбы с торговлей детьми для целей их эксплуатации. Этот план состоит из внутри- и внешнерегионал</w:t>
      </w:r>
      <w:r>
        <w:t>ь</w:t>
      </w:r>
      <w:r>
        <w:t>ных схем, предназначенных для ведения более четкого контроля за незаконным приемом детей на работу в провинциях.</w:t>
      </w:r>
    </w:p>
    <w:p w:rsidR="00000000" w:rsidRDefault="00000000">
      <w:pPr>
        <w:pStyle w:val="num"/>
      </w:pPr>
      <w:r>
        <w:t>Филиппины 17 января 1998 года организовали у себя Глобальный марш протеста против детского труда. Работодатели, занимающиеся приемом на р</w:t>
      </w:r>
      <w:r>
        <w:t>а</w:t>
      </w:r>
      <w:r>
        <w:t>боту детей, члены профсоюзов, представители религиозных групп, правител</w:t>
      </w:r>
      <w:r>
        <w:t>ь</w:t>
      </w:r>
      <w:r>
        <w:t>ства и неправительственных организаций присоединились к этому Глобальн</w:t>
      </w:r>
      <w:r>
        <w:t>о</w:t>
      </w:r>
      <w:r>
        <w:t>му маршу для мобилизации усилий всего мирового сообщества в поддержку прав детей, включая право не подвергаться экономической эксплуатации и не заниматься работой, которая наносит ущерб физическому, духовному, умстве</w:t>
      </w:r>
      <w:r>
        <w:t>н</w:t>
      </w:r>
      <w:r>
        <w:t>ному, моральному и социальному развитию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66" w:name="_Toc85174935"/>
      <w:r>
        <w:t xml:space="preserve">D. </w:t>
      </w:r>
      <w:r>
        <w:tab/>
        <w:t>Нерешенные проблемы и препятствия</w:t>
      </w:r>
      <w:bookmarkEnd w:id="6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Глобализация и либерализация экономики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Несмотря на все меры, которые были приняты для решения проблем р</w:t>
      </w:r>
      <w:r>
        <w:t>а</w:t>
      </w:r>
      <w:r>
        <w:t>ботающих женщин в различных областях, некоторые проблемы все еще треб</w:t>
      </w:r>
      <w:r>
        <w:t>у</w:t>
      </w:r>
      <w:r>
        <w:t>ют уд</w:t>
      </w:r>
      <w:r>
        <w:t>е</w:t>
      </w:r>
      <w:r>
        <w:t>ления им серьезного внимания.</w:t>
      </w:r>
    </w:p>
    <w:p w:rsidR="00000000" w:rsidRDefault="00000000">
      <w:pPr>
        <w:pStyle w:val="num"/>
      </w:pPr>
      <w:r>
        <w:t>Политика экономической и торговой либерализации благоприятно сказ</w:t>
      </w:r>
      <w:r>
        <w:t>а</w:t>
      </w:r>
      <w:r>
        <w:t>лась на некоторых секторах, однако она пагубно повлияла на экономическое положение женщин, поскольку коммерческие предприятия все чаще стали пр</w:t>
      </w:r>
      <w:r>
        <w:t>и</w:t>
      </w:r>
      <w:r>
        <w:t>бегать к гибким трудовым соглашениям (сокращая основной штат работников и увеличивая число временных и непостоянных сотрудников, а также лиц, р</w:t>
      </w:r>
      <w:r>
        <w:t>а</w:t>
      </w:r>
      <w:r>
        <w:t>ботающих на почасовой основе или на дому) для того, чтобы в целом остават</w:t>
      </w:r>
      <w:r>
        <w:t>ь</w:t>
      </w:r>
      <w:r>
        <w:t>ся конкурентоспособными. Такая гибкая система занятости, как правило, в</w:t>
      </w:r>
      <w:r>
        <w:t>ы</w:t>
      </w:r>
      <w:r>
        <w:t>ходит за пределы законодательства о труде и системы социальной защиты. П</w:t>
      </w:r>
      <w:r>
        <w:t>о</w:t>
      </w:r>
      <w:r>
        <w:t>терявшие работу женщины, которые обосновываются в неформальном секторе, вынуждены получать «неиндексируемую зарплату» или вознаграждение при общем росте цен. Включение гендерных вопросов в работу по проведению экономических обследований и анализа экономической политики может п</w:t>
      </w:r>
      <w:r>
        <w:t>о</w:t>
      </w:r>
      <w:r>
        <w:t>мочь уравнять возможности мужчин и женщин в экономической области, п</w:t>
      </w:r>
      <w:r>
        <w:t>о</w:t>
      </w:r>
      <w:r>
        <w:t>скольку это означает учет того, каким образом такая политика влияет на разн</w:t>
      </w:r>
      <w:r>
        <w:t>и</w:t>
      </w:r>
      <w:r>
        <w:t>цу в оплате труда мужчин и женщин, производственную безопасность и кач</w:t>
      </w:r>
      <w:r>
        <w:t>е</w:t>
      </w:r>
      <w:r>
        <w:t>ство р</w:t>
      </w:r>
      <w:r>
        <w:t>а</w:t>
      </w:r>
      <w:r>
        <w:t>боты мужчины и женщин.</w:t>
      </w:r>
    </w:p>
    <w:p w:rsidR="00000000" w:rsidRDefault="00000000">
      <w:pPr>
        <w:pStyle w:val="num"/>
      </w:pPr>
      <w:r>
        <w:t>Для максимального ослабления пагубного последствия глобализации для женщин необходимо принять дополнительные меры социальной защиты раб</w:t>
      </w:r>
      <w:r>
        <w:t>о</w:t>
      </w:r>
      <w:r>
        <w:t>тающих женщин. Основной задачей здесь должно стать расширение доступа женщин, занятых в различных видах неформальной экономической деятельн</w:t>
      </w:r>
      <w:r>
        <w:t>о</w:t>
      </w:r>
      <w:r>
        <w:t>сти, к пособиям по линии социального страхования и к правовой защите. Для этого, возможно, нужно принять альтернативные системы социального обесп</w:t>
      </w:r>
      <w:r>
        <w:t>е</w:t>
      </w:r>
      <w:r>
        <w:t>чения и поддержать те общественные группы, которые могут обеспечить нео</w:t>
      </w:r>
      <w:r>
        <w:t>б</w:t>
      </w:r>
      <w:r>
        <w:t>ходимую основу для социальной солидарности и взаимного страхования и з</w:t>
      </w:r>
      <w:r>
        <w:t>а</w:t>
      </w:r>
      <w:r>
        <w:t>щиты. Следует также рассмотреть возможность разработки целевой стратегии мобилиз</w:t>
      </w:r>
      <w:r>
        <w:t>а</w:t>
      </w:r>
      <w:r>
        <w:t>ции внутренних сбережений и привлечения услуг кредитных служб.</w:t>
      </w:r>
    </w:p>
    <w:p w:rsidR="00000000" w:rsidRDefault="00000000">
      <w:pPr>
        <w:pStyle w:val="num"/>
      </w:pPr>
      <w:r>
        <w:t>Женщины, занимающиеся малым и средним предпринимательством, ну</w:t>
      </w:r>
      <w:r>
        <w:t>ж</w:t>
      </w:r>
      <w:r>
        <w:t>даются в системе социальной защиты, поскольку они сталкиваются с жесткой конкуренцией со стороны производителей более дешевой продукции из других стран. Как и другим местным промышленным предприятиям, им необходима разумная защита от слишком дешевого импорта товаров и услуг.</w:t>
      </w:r>
    </w:p>
    <w:p w:rsidR="00000000" w:rsidRDefault="00000000">
      <w:pPr>
        <w:pStyle w:val="num"/>
      </w:pPr>
      <w:r>
        <w:t>Выезд за рубеж для работы по-прежнему связан с определенной опасн</w:t>
      </w:r>
      <w:r>
        <w:t>о</w:t>
      </w:r>
      <w:r>
        <w:t>стью, особенно для женщин. Инициативы по заключению двухсторонних и многосторонних соглашений с принимающими странами следует рассматр</w:t>
      </w:r>
      <w:r>
        <w:t>и</w:t>
      </w:r>
      <w:r>
        <w:t>вать как меры краткосрочного или среднесрочного характера, поскольку долг</w:t>
      </w:r>
      <w:r>
        <w:t>о</w:t>
      </w:r>
      <w:r>
        <w:t>срочное решение проблемы миграции связано с созданием на местах для же</w:t>
      </w:r>
      <w:r>
        <w:t>н</w:t>
      </w:r>
      <w:r>
        <w:t>щин и мужчин надежных рабочих мест. Долларовые поступления от тех, кто работает за рубежом, должны инвестироваться в развитие надежных и в целом конкурентоспособных промышленных и сельскохозяйственных предприятий, которые бы давали рабочие места для жителей страны, обеспечивали прод</w:t>
      </w:r>
      <w:r>
        <w:t>о</w:t>
      </w:r>
      <w:r>
        <w:t>вольственную безопасность и позволяли наращивать финансовый потенциал страны, необходимый для оказания надлежащих социальных услуг.</w:t>
      </w:r>
    </w:p>
    <w:p w:rsidR="00000000" w:rsidRDefault="00000000">
      <w:pPr>
        <w:pStyle w:val="num"/>
      </w:pPr>
      <w:r>
        <w:t>Необходимо регулярно изучать воздействие процесса глобализации, н</w:t>
      </w:r>
      <w:r>
        <w:t>а</w:t>
      </w:r>
      <w:r>
        <w:t>пример, в рамках политики экономической либерализации. Для этого следует дезагригировать по признаку пола, сектору или подсектору деятельности да</w:t>
      </w:r>
      <w:r>
        <w:t>н</w:t>
      </w:r>
      <w:r>
        <w:t>ные о занятости, зарплатах, продолжительности рабочего дня и характере р</w:t>
      </w:r>
      <w:r>
        <w:t>а</w:t>
      </w:r>
      <w:r>
        <w:t>боты (временная работа, работа полный рабочий день; повременная оплата труда, сдельная оплата труда), предприятиях, сокращающих свой штат или прекращающих свою деятельность, трудящихся, страдающих от несоблюдения трудовых стандартов, соблюдении стандартов, касающихся равноправия му</w:t>
      </w:r>
      <w:r>
        <w:t>ж</w:t>
      </w:r>
      <w:r>
        <w:t>чин и женщин, и т.д. Необходимо также внимательно изучить положение же</w:t>
      </w:r>
      <w:r>
        <w:t>н</w:t>
      </w:r>
      <w:r>
        <w:t>щин-предпринимателей, однако какую-либо базу данных по ним составить б</w:t>
      </w:r>
      <w:r>
        <w:t>у</w:t>
      </w:r>
      <w:r>
        <w:t>дет сложно.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Условия труда и социальная защита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Необходимо пересмотреть Закон о борьбе с сексуальным домогательс</w:t>
      </w:r>
      <w:r>
        <w:t>т</w:t>
      </w:r>
      <w:r>
        <w:t>вом, в частности в том, что касается сферы его применения и соблюдения в ч</w:t>
      </w:r>
      <w:r>
        <w:t>а</w:t>
      </w:r>
      <w:r>
        <w:t>стном секторе. В настоящее время в этом законе нет четких положений насчет того, какое учреждение должно контролировать соблюдение этого закона в ч</w:t>
      </w:r>
      <w:r>
        <w:t>а</w:t>
      </w:r>
      <w:r>
        <w:t>стном секторе. Не имеется также и да</w:t>
      </w:r>
      <w:r>
        <w:t>н</w:t>
      </w:r>
      <w:r>
        <w:t>ных о его соблюдении в этом секторе.</w:t>
      </w:r>
    </w:p>
    <w:p w:rsidR="00000000" w:rsidRDefault="00000000">
      <w:pPr>
        <w:pStyle w:val="num"/>
      </w:pPr>
      <w:r>
        <w:t>Следует регулярно проверять порядок соблюдения законов, запрещающих дискриминацию в отношении женщин, и наказывать виновных в их наруш</w:t>
      </w:r>
      <w:r>
        <w:t>е</w:t>
      </w:r>
      <w:r>
        <w:t>нии. Можно предположить, что если не соблюдаются условия труда в целом, такие, как минимальная заработная плата и выплата работодателями пособий по линии системы социального обеспечения, то и не соблюдаются стандарты, касающиеся обеспечения равенства мужчин и женщин, или что положение здесь еще хуже.</w:t>
      </w:r>
    </w:p>
    <w:p w:rsidR="00000000" w:rsidRDefault="00000000">
      <w:pPr>
        <w:pStyle w:val="num"/>
      </w:pPr>
      <w:r>
        <w:t>Женщины и мужчины, юноши и девушки по-прежнему подвергаются производственным рискам. Они, возможно, более серьезны в неформальном секторе и на малых предприятиях, где трудящиеся зачастую даже не предста</w:t>
      </w:r>
      <w:r>
        <w:t>в</w:t>
      </w:r>
      <w:r>
        <w:t>ляют, каким производственным рискам они подвергаются. Необходимо широко распространить соответствующую информацию для ознакомления их с этими рисками и соответствующими мерами защиты. Это можно обеспечить путем постоянного проведения для малых и средних предприятий, занимающихся опасными видами деятельности, семинаров с целью разъяснения как труд</w:t>
      </w:r>
      <w:r>
        <w:t>я</w:t>
      </w:r>
      <w:r>
        <w:t>щимся, так и владельцам связанных с их работой рисков.</w:t>
      </w:r>
    </w:p>
    <w:p w:rsidR="00000000" w:rsidRDefault="00000000">
      <w:pPr>
        <w:pStyle w:val="num"/>
      </w:pPr>
      <w:r>
        <w:t>Данные о получателях пособий необходимо дезагригировать по признаку пола с целью определения того, сколько мужчин и женщин получают социал</w:t>
      </w:r>
      <w:r>
        <w:t>ь</w:t>
      </w:r>
      <w:r>
        <w:t>ные пособия и имеют к ним доступ. Это особенно важно ввиду того, что сре</w:t>
      </w:r>
      <w:r>
        <w:t>д</w:t>
      </w:r>
      <w:r>
        <w:t>няя продолжительность жизни у женщин выше, чем у мужчин, и они в старо</w:t>
      </w:r>
      <w:r>
        <w:t>с</w:t>
      </w:r>
      <w:r>
        <w:t>ти зависят от получаемой пенсии. Что касается медицинского страхования, то необходимо обеспечить полное покрытие расходов на пребывание в больнице, услуги врачей, расходы на различные операции и услуги по планированию с</w:t>
      </w:r>
      <w:r>
        <w:t>е</w:t>
      </w:r>
      <w:r>
        <w:t>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Поддержка лиц, занимающихся индивидуальной трудовой деятельностью, в частн</w:t>
      </w:r>
      <w:r>
        <w:t>о</w:t>
      </w:r>
      <w:r>
        <w:t>сти в неформальном секторе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Работники неформального сектора продолжают сталкиваться с проблем</w:t>
      </w:r>
      <w:r>
        <w:t>а</w:t>
      </w:r>
      <w:r>
        <w:t>ми, касающимися с социальной защиты. Имеются определенные трудности в получении доступа к формальной системе социального обеспечения, что об</w:t>
      </w:r>
      <w:r>
        <w:t>ъ</w:t>
      </w:r>
      <w:r>
        <w:t>ясняется сложностью связанных с этой системой формальностей в отношении как регистрации, сбора взносов и проверки исков, так и фактической выплаты пособий. Поскольку работники неформального сектора получают доходы не регулярно и в зависимости от сезона работы, их финансовые возможности в плане выплаты необходимых взносов уже представляют серьезные проблемы. Это, к тому же, осложняется необходимостью определения точной и требуемой суммы взноса и порядка сбора таких взносов. Сложно также определить и п</w:t>
      </w:r>
      <w:r>
        <w:t>о</w:t>
      </w:r>
      <w:r>
        <w:t>рядок начисления и выплаты пособий, например в том, что касается требов</w:t>
      </w:r>
      <w:r>
        <w:t>а</w:t>
      </w:r>
      <w:r>
        <w:t>ний и процедур доступа, в частности для лиц, занимающихся индивидуальной трудовой деятельностью. Наконец, работники неформального сектора не им</w:t>
      </w:r>
      <w:r>
        <w:t>е</w:t>
      </w:r>
      <w:r>
        <w:t>ют своих организаций. Их разбросанность, а иногда изолированность друг от друга, затрудняет установление учреждениями по социальному развитию и, возможно, специальными страховыми кампаниями контакта с ними на предмет обеспечения им социальной защиты и оказания различных вспомогательных услуг.</w:t>
      </w:r>
    </w:p>
    <w:p w:rsidR="00000000" w:rsidRDefault="00000000">
      <w:pPr>
        <w:pStyle w:val="num"/>
      </w:pPr>
      <w:r>
        <w:t>Неформальный сектор представляет собой весьма разнородную группу работников. Это необходимо учитывать при разработке комплексной програ</w:t>
      </w:r>
      <w:r>
        <w:t>м</w:t>
      </w:r>
      <w:r>
        <w:t>мы социальной защиты, однако это уже входит в область расширения охвата существующей национальной системы социальной безопасности или же пр</w:t>
      </w:r>
      <w:r>
        <w:t>и</w:t>
      </w:r>
      <w:r>
        <w:t>нятия новаторских схем. Поскольку группы работников в этом секторе разн</w:t>
      </w:r>
      <w:r>
        <w:t>о</w:t>
      </w:r>
      <w:r>
        <w:t>образны, разнообразны и их потребности и возможности. Необходимо, в час</w:t>
      </w:r>
      <w:r>
        <w:t>т</w:t>
      </w:r>
      <w:r>
        <w:t>ности, определить тех, кого сложно объединить в единые группы на предмет оказания им п</w:t>
      </w:r>
      <w:r>
        <w:t>о</w:t>
      </w:r>
      <w:r>
        <w:t>мощи.</w:t>
      </w:r>
    </w:p>
    <w:p w:rsidR="00000000" w:rsidRDefault="00000000">
      <w:pPr>
        <w:pStyle w:val="num"/>
      </w:pPr>
      <w:r>
        <w:t>Женщинам-предпринимателям необходимо оказать техническую и фина</w:t>
      </w:r>
      <w:r>
        <w:t>н</w:t>
      </w:r>
      <w:r>
        <w:t>совую поддержку для того, чтобы они могли выйти на более высокий уровень, чем их микропредприятия.</w:t>
      </w:r>
    </w:p>
    <w:p w:rsidR="00000000" w:rsidRDefault="00000000">
      <w:pPr>
        <w:pStyle w:val="num"/>
      </w:pPr>
      <w:r>
        <w:t>Необходимо также изучить положение о домашней прислуге на предмет обеспечения их профессиональной подготовки с тем, чтобы они могли пов</w:t>
      </w:r>
      <w:r>
        <w:t>ы</w:t>
      </w:r>
      <w:r>
        <w:t>сить свой профессиональный статус и стать профессиональными работниками, получающими более высокую зарплату. За осуществлением закона о домашних работниках не ведется надлежащего контроля в плане их минимальной зарпл</w:t>
      </w:r>
      <w:r>
        <w:t>а</w:t>
      </w:r>
      <w:r>
        <w:t>ты, учебных пособий и членства в системе социального обеспечения. Поэтому Конгрессу следует принять закон о «Великой хартии вольностей для домашней прислуги», который бы официально закреплял условия работы домашней пр</w:t>
      </w:r>
      <w:r>
        <w:t>и</w:t>
      </w:r>
      <w:r>
        <w:t>слуги и предусматривал бы их улучшение.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67" w:name="_Toc85174936"/>
      <w:r>
        <w:t>Статья 12. Равный доступ к услугам в области здравоохранения</w:t>
      </w:r>
      <w:bookmarkEnd w:id="6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keepNext/>
        <w:rPr>
          <w:i/>
        </w:rPr>
      </w:pPr>
      <w:r>
        <w:rPr>
          <w:i/>
        </w:rPr>
        <w:t>Равенство мужчин и женщин в области здравоохранения; доступ к медици</w:t>
      </w:r>
      <w:r>
        <w:rPr>
          <w:i/>
        </w:rPr>
        <w:t>н</w:t>
      </w:r>
      <w:r>
        <w:rPr>
          <w:i/>
        </w:rPr>
        <w:t>скому обслуживанию, включая планирование размера семьи; надлежащие и бесплатные услуги в период беременности, родов и послеродовой период; на</w:t>
      </w:r>
      <w:r>
        <w:rPr>
          <w:i/>
        </w:rPr>
        <w:t>д</w:t>
      </w:r>
      <w:r>
        <w:rPr>
          <w:i/>
        </w:rPr>
        <w:t>лежащее пит</w:t>
      </w:r>
      <w:r>
        <w:rPr>
          <w:i/>
        </w:rPr>
        <w:t>а</w:t>
      </w:r>
      <w:r>
        <w:rPr>
          <w:i/>
        </w:rPr>
        <w:t>ние в период беременности и кормления</w:t>
      </w:r>
    </w:p>
    <w:p w:rsidR="00000000" w:rsidRDefault="00000000">
      <w:pPr>
        <w:pStyle w:val="num"/>
      </w:pPr>
      <w:r>
        <w:t>Медицинские услуги представляют собой одно из основных прав челов</w:t>
      </w:r>
      <w:r>
        <w:t>е</w:t>
      </w:r>
      <w:r>
        <w:t>ка. Раздел 15 статьи II Конституции предусматривает, что «государство обесп</w:t>
      </w:r>
      <w:r>
        <w:t>е</w:t>
      </w:r>
      <w:r>
        <w:t>чивает право населения на здравоохранение и воспитывает в нем здоровое с</w:t>
      </w:r>
      <w:r>
        <w:t>а</w:t>
      </w:r>
      <w:r>
        <w:t>мосознание». В то же время в разделе 11 статьи XIII предусматривается, что «государство принимает комплексный и всесторонний подход к развитию си</w:t>
      </w:r>
      <w:r>
        <w:t>с</w:t>
      </w:r>
      <w:r>
        <w:t>темы здравоохранения. Приоритет должен уделяться потребностям лиц, нах</w:t>
      </w:r>
      <w:r>
        <w:t>о</w:t>
      </w:r>
      <w:r>
        <w:t>дящихся в неблагоприятном положении, больных, престарелых, инвалидов, женщин или детей».</w:t>
      </w:r>
    </w:p>
    <w:p w:rsidR="00000000" w:rsidRDefault="00000000">
      <w:pPr>
        <w:pStyle w:val="num"/>
      </w:pPr>
      <w:r>
        <w:t>Медицинское обслуживание женщин включает обеспечение их физич</w:t>
      </w:r>
      <w:r>
        <w:t>е</w:t>
      </w:r>
      <w:r>
        <w:t>ского, умственного и социального благосостояния на протяжении всего их жизненного цикла. Оно касается также репродуктивного здоровья, половой жизни, отношений с мужчинами, насилия в отношении женщин, прав человека женщин, доступа к экономическим ресурсам, необходимым для медицинского обслуживания и всесторонней социально-культурной представленности же</w:t>
      </w:r>
      <w:r>
        <w:t>н</w:t>
      </w:r>
      <w:r>
        <w:t>щин и их репродуктивных функций. Состояние здоровья женщин влияет не только на производительные возможности половины населения, но и на здор</w:t>
      </w:r>
      <w:r>
        <w:t>о</w:t>
      </w:r>
      <w:r>
        <w:t>вье и благ</w:t>
      </w:r>
      <w:r>
        <w:t>о</w:t>
      </w:r>
      <w:r>
        <w:t>состояние последующих поколений.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68" w:name="_Toc85174937"/>
      <w:r>
        <w:t xml:space="preserve">А. </w:t>
      </w:r>
      <w:r>
        <w:tab/>
        <w:t>Положение женщин</w:t>
      </w:r>
      <w:bookmarkEnd w:id="6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Система медицинского обслуживания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В ведение министерства здравоохранения, как ведущего ведомства, зан</w:t>
      </w:r>
      <w:r>
        <w:t>и</w:t>
      </w:r>
      <w:r>
        <w:t>мающегося вопросами здравоохранения, входят профильные больницы, райо</w:t>
      </w:r>
      <w:r>
        <w:t>н</w:t>
      </w:r>
      <w:r>
        <w:t>ные больницы и поликлиники. В каждом районе оно имеет свои районные о</w:t>
      </w:r>
      <w:r>
        <w:t>т</w:t>
      </w:r>
      <w:r>
        <w:t>деления на местах, которые представляют собой провинциальные группы вр</w:t>
      </w:r>
      <w:r>
        <w:t>а</w:t>
      </w:r>
      <w:r>
        <w:t>чей-специалистов, состоящие из представителей местных советов здравоохр</w:t>
      </w:r>
      <w:r>
        <w:t>а</w:t>
      </w:r>
      <w:r>
        <w:t>нения и сотрудников. Участие частного сектора в обеспечении медицинского обслуживания населения весьма широко: медицинское обслуживание в пол</w:t>
      </w:r>
      <w:r>
        <w:t>и</w:t>
      </w:r>
      <w:r>
        <w:t>клиниках и больницах и медицинское страхование; производство лекарств, м</w:t>
      </w:r>
      <w:r>
        <w:t>е</w:t>
      </w:r>
      <w:r>
        <w:t>дикаментов, вакцин, медицинских препаратов, оборудования и других мед</w:t>
      </w:r>
      <w:r>
        <w:t>и</w:t>
      </w:r>
      <w:r>
        <w:t>цинских товаров и продуктов питания; исследования и разработки; развитие лю</w:t>
      </w:r>
      <w:r>
        <w:t>д</w:t>
      </w:r>
      <w:r>
        <w:t>ских ресурсов и других связанных со сферой здравоохранения услуг.</w:t>
      </w:r>
    </w:p>
    <w:p w:rsidR="00000000" w:rsidRDefault="00000000">
      <w:pPr>
        <w:pStyle w:val="num"/>
      </w:pPr>
      <w:r>
        <w:t>После передачи ответственности за обеспечение медицинского обслуж</w:t>
      </w:r>
      <w:r>
        <w:t>и</w:t>
      </w:r>
      <w:r>
        <w:t>вания местным органам власти, каждая провинция, город или муниципалитет создали у себя местный совет здравоохранения, во главе которого стоит дире</w:t>
      </w:r>
      <w:r>
        <w:t>к</w:t>
      </w:r>
      <w:r>
        <w:t>тор-распорядитель. Провинциальные и окружные больницы теперь входят в ведение органов власти провинций, а муниципальные органы власти отвечают за работу сельских медицинских отделений и пунктов. В 1997 году в стране имелось 1 817 больниц, рассчитанных на 86 468 койко-мест, то есть одно ко</w:t>
      </w:r>
      <w:r>
        <w:t>й</w:t>
      </w:r>
      <w:r>
        <w:t>ко-место на 868 человек (НСБ, 1999b). Спустя три года количество больниц с</w:t>
      </w:r>
      <w:r>
        <w:t>о</w:t>
      </w:r>
      <w:r>
        <w:t>кратилось до 1 712, а число койко-мест до 81 016, то есть одно койко-место стало приходиться на 1 060 человек (НСБ, 2002). Больницы закрывались как в частном, так и государственном секторе, однако в частном секторе закрылось больше больниц (79), чем в государственном секторе (23). К 2001 году 640 государственных больниц составляли 37,5 процента всех больниц в стране, т. е. показатель здесь увеличился по сравнению с 35,5 процента в 1997 году. На них приходится также больше половины всех койко-мест в стране. В 2000 году 15 204 поликлиники обслуживали 42 020 деревень по всей стране, и на каждый такой медицинский центр приходилось примерно 5 277 чел</w:t>
      </w:r>
      <w:r>
        <w:t>о</w:t>
      </w:r>
      <w:r>
        <w:t>век</w:t>
      </w:r>
    </w:p>
    <w:p w:rsidR="00000000" w:rsidRDefault="00000000">
      <w:pPr>
        <w:pStyle w:val="num"/>
      </w:pPr>
      <w:r>
        <w:t>Хотя система медицинского обслуживания широко развита, населению, особенно бедным слоям, не просто получить к ней доступ, что объясняется в</w:t>
      </w:r>
      <w:r>
        <w:t>ы</w:t>
      </w:r>
      <w:r>
        <w:t>сокими расходами и другими препятствиями физического, социального и кул</w:t>
      </w:r>
      <w:r>
        <w:t>ь</w:t>
      </w:r>
      <w:r>
        <w:t>турного характера. Количество медицинских работников весьма значительно, однако они распределены неравномерно. Многие специалисты работают в ч</w:t>
      </w:r>
      <w:r>
        <w:t>а</w:t>
      </w:r>
      <w:r>
        <w:t>стном секторе в Маниле и других городских центрах. В 2000 году соотношение между государственными медицинскими работниками и населением составл</w:t>
      </w:r>
      <w:r>
        <w:t>я</w:t>
      </w:r>
      <w:r>
        <w:t>ло один врач на 9 797 человек ,одни дантист на 36 481 человека, одна медсес</w:t>
      </w:r>
      <w:r>
        <w:t>т</w:t>
      </w:r>
      <w:r>
        <w:t>ра на 7 361 человека и одна акушерка на 4 503 человека.</w:t>
      </w:r>
    </w:p>
    <w:p w:rsidR="00000000" w:rsidRDefault="00000000">
      <w:pPr>
        <w:pStyle w:val="num"/>
      </w:pPr>
      <w:r>
        <w:t>Неравномерное распределение медицинских работников в городских и сельских районах ставит сельских женщин в неблагоприятное положение. П</w:t>
      </w:r>
      <w:r>
        <w:t>е</w:t>
      </w:r>
      <w:r>
        <w:t>редача ответственности за медицинское обслуживание местным органам вл</w:t>
      </w:r>
      <w:r>
        <w:t>а</w:t>
      </w:r>
      <w:r>
        <w:t>сти в соответствии с Кодексом местного самоуправления, вероятно, пагубно скажется на состоянии здоровья женщин, если только местные органы власти не примут незамедлительные меры для обеспечения выделения бюджетных средств, сбора поступлений и подг</w:t>
      </w:r>
      <w:r>
        <w:t>о</w:t>
      </w:r>
      <w:r>
        <w:t>товки медицинских работников.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56"/>
      </w:pPr>
      <w:r>
        <w:t>Положение с питанием</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Как и в большинстве развивающихся стран, на Филиппинах положение с продовольствием характеризуется скорее дефицитом, чем избытком. Недоед</w:t>
      </w:r>
      <w:r>
        <w:t>а</w:t>
      </w:r>
      <w:r>
        <w:t>ние в стране широко распространено и признается одной из национальных проблем. Обычный рацион среднего филиппинца состоит из риса, рыбы или мяса, некоторых овощей или иногда фруктов, а проведенные в 1978-1993 годах Научно-исследовательским институтом продовольствия и питания национал</w:t>
      </w:r>
      <w:r>
        <w:t>ь</w:t>
      </w:r>
      <w:r>
        <w:t>ные обследования положения с продовольствием и питанием показали, что в целом снизился уровень потребления на душу населения продовольствия, а также основных продуктов, в частности, зерновых и мучных изделий (с 367 граммов в 1978 году до 340 граммов в 1993 году) и фруктов (с 104 грамм до 77 грамм). В то же время средний уровень потребления овощей на душу н</w:t>
      </w:r>
      <w:r>
        <w:t>а</w:t>
      </w:r>
      <w:r>
        <w:t>селения повысился (с 95 до 106 грамм). Только уровень потребления рыбы, м</w:t>
      </w:r>
      <w:r>
        <w:t>я</w:t>
      </w:r>
      <w:r>
        <w:t>са и птицы остался выше, чем в 1978 году, хотя в период с 1987 по 1993 годы он знач</w:t>
      </w:r>
      <w:r>
        <w:t>и</w:t>
      </w:r>
      <w:r>
        <w:t>тельно снизился (с 157 до 147 грамм).</w:t>
      </w:r>
    </w:p>
    <w:p w:rsidR="00000000" w:rsidRDefault="00000000">
      <w:pPr>
        <w:pStyle w:val="num"/>
      </w:pPr>
      <w:r>
        <w:t>Национальное обследование положения в области питания в 1998 году по сравнению с результатами аналогичных обследований 1993 и 1996 годов пок</w:t>
      </w:r>
      <w:r>
        <w:t>а</w:t>
      </w:r>
      <w:r>
        <w:t>зало, что мужчины и женщины различного возраста сталкиваются с одними и теми же проблемами в плане питания. В целом женщины различного возраста короче или легче по весу, чем мужчины такого же возраста. В отношении н</w:t>
      </w:r>
      <w:r>
        <w:t>е</w:t>
      </w:r>
      <w:r>
        <w:t>доедания была отмечена следующая структура. В возрасте от 0 до 5 лет мал</w:t>
      </w:r>
      <w:r>
        <w:t>ь</w:t>
      </w:r>
      <w:r>
        <w:t>чики и девочки питаются практически одинаково, а уже в возрасте 6-10 лет д</w:t>
      </w:r>
      <w:r>
        <w:t>е</w:t>
      </w:r>
      <w:r>
        <w:t>вочки питаются хуже, чем мальчики: 25 процентов против 35 процентов в том, что касается недостаточного веса, и 35 процентов против 47 процентов в том, что касается низкого роста. Однако, уже в период взросления в 11-12 лет и в годы юношества в 13-19 лет у девушек чаще, чем у юношей, отмечается ож</w:t>
      </w:r>
      <w:r>
        <w:t>и</w:t>
      </w:r>
      <w:r>
        <w:t>рение.</w:t>
      </w:r>
    </w:p>
    <w:p w:rsidR="00000000" w:rsidRDefault="00000000">
      <w:pPr>
        <w:pStyle w:val="num"/>
      </w:pPr>
      <w:r>
        <w:t>Что касается взрослых, то женщины питаются хуже, чем мужчины, и ч</w:t>
      </w:r>
      <w:r>
        <w:t>а</w:t>
      </w:r>
      <w:r>
        <w:t>ще страдают от упадка сил и ожирения. А беременные и кормящие женщины, в частности, питаются хуже мужчин, что в последствии сказывается на девушках и женщинах. По-прежнему широко распространены случаи различного рода недоедания, особенно в отношении потребления протеинов и питательных микроэлементов. Женщины в возрасте 20 лет чаще, чем мужчины, страдают от упадка сил. В организме женщин чаще, чем у мужчин, отмечается нехватка ж</w:t>
      </w:r>
      <w:r>
        <w:t>е</w:t>
      </w:r>
      <w:r>
        <w:t>леза, особенно у беременных и кормящих женщин. Также среди женщин чаще, чем среди мужчин, распространены случаи заболевания зобом, нехватки в о</w:t>
      </w:r>
      <w:r>
        <w:t>р</w:t>
      </w:r>
      <w:r>
        <w:t>ганизме тиамина и рибофлавина.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Состояние здоровья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Несмотря на сохраняющиеся проблемы с питанием, в последние годы общее положение со здоровьем населения в стране стало неуклонно улучшат</w:t>
      </w:r>
      <w:r>
        <w:t>ь</w:t>
      </w:r>
      <w:r>
        <w:t>ся. Представляется, что целенаправленные усилия правительства по соверше</w:t>
      </w:r>
      <w:r>
        <w:t>н</w:t>
      </w:r>
      <w:r>
        <w:t>ствованию системы здравоохранения и прогресс в производстве лекарств и м</w:t>
      </w:r>
      <w:r>
        <w:t>е</w:t>
      </w:r>
      <w:r>
        <w:t>дицинском обслуживании способствовали улучшению состояния здоровья женщин. В последние годы состояние их здоровья действительно стало улу</w:t>
      </w:r>
      <w:r>
        <w:t>ч</w:t>
      </w:r>
      <w:r>
        <w:t>шаться, что, в частности, отражается на повышении средней продолжительн</w:t>
      </w:r>
      <w:r>
        <w:t>о</w:t>
      </w:r>
      <w:r>
        <w:t>сти жизни и снижении уровня смертности (НКПСЖ, 2000 год).</w:t>
      </w:r>
    </w:p>
    <w:p w:rsidR="00000000" w:rsidRDefault="00000000">
      <w:pPr>
        <w:pStyle w:val="num"/>
      </w:pPr>
      <w:r>
        <w:t>На протяжении многих последних лет продолжительность жизни мужчин и женщин стала повышаться. Эту тенденцию, возможно, следует объяснить развитием системы здравоохранения, улучшением условий жизни и соверше</w:t>
      </w:r>
      <w:r>
        <w:t>н</w:t>
      </w:r>
      <w:r>
        <w:t>ствованием работы по медицинскому просвещению, что могло способствовать также и снижению уровня смертности. Следует отметить, что уровень смер</w:t>
      </w:r>
      <w:r>
        <w:t>т</w:t>
      </w:r>
      <w:r>
        <w:t>ности существенно сократился для женщин, особенно в младенческом и ста</w:t>
      </w:r>
      <w:r>
        <w:t>р</w:t>
      </w:r>
      <w:r>
        <w:t>ческом возрасте. Женщины по-прежнему живут дольше, чем мужчины, и ра</w:t>
      </w:r>
      <w:r>
        <w:t>з</w:t>
      </w:r>
      <w:r>
        <w:t>рыв здесь за период с 1990 по 2000 годы значительно увеличился. В 1990 году средняя продолжительность жизни женщин составляла 66,4 года, то есть на 3,6 года больше, чем у мужчин. В 2000 году такая разница составляла 5,3 года, при этом средняя продолжительность жизни женщин достигала 71,6 года. В 2004 году средняя продолжительность жизни при рождении составляла 72,8 процента для женщин и 67,5 процента для мужчин (НСБ, цитируются по вэб-сайту НСКС).</w:t>
      </w:r>
    </w:p>
    <w:p w:rsidR="00000000" w:rsidRDefault="00000000">
      <w:pPr>
        <w:pStyle w:val="num"/>
      </w:pPr>
      <w:r>
        <w:t>За период с 1946 года по настоящее время уровень смертности среди мужчин и женщин резко снизился. Такое резкое сокращение общего коэффиц</w:t>
      </w:r>
      <w:r>
        <w:t>и</w:t>
      </w:r>
      <w:r>
        <w:t>ента смертности на 1 000 человек было отмечено после 1946 года, когда он с</w:t>
      </w:r>
      <w:r>
        <w:t>о</w:t>
      </w:r>
      <w:r>
        <w:t>ставлял 15,1, а затем в 1959 году снизился до 7,3 и в 1994 году до 4,7. В период с 1995 по 1999 год он колебался в пределах 3,7 и 5,0 (НСБ, 2002 год). Осно</w:t>
      </w:r>
      <w:r>
        <w:t>в</w:t>
      </w:r>
      <w:r>
        <w:t>ными причинами смертности были сердечные заболевания, заболевания се</w:t>
      </w:r>
      <w:r>
        <w:t>р</w:t>
      </w:r>
      <w:r>
        <w:t>дечно-сосудистой системы, пневмония, злокачественная опухоль или все фо</w:t>
      </w:r>
      <w:r>
        <w:t>р</w:t>
      </w:r>
      <w:r>
        <w:t>мы туберкулеза (МЗ, 1999 год). В 2000 году общий коэффициент смертности для же</w:t>
      </w:r>
      <w:r>
        <w:t>н</w:t>
      </w:r>
      <w:r>
        <w:t>щин составлял 3,9 процента, а для мужчин 5,6 процента.</w:t>
      </w:r>
    </w:p>
    <w:p w:rsidR="00000000" w:rsidRDefault="00000000">
      <w:pPr>
        <w:pStyle w:val="num"/>
      </w:pPr>
      <w:r>
        <w:t>С 1995 по 1997 год общий коэффициент фертильности на Филиппинах с</w:t>
      </w:r>
      <w:r>
        <w:t>о</w:t>
      </w:r>
      <w:r>
        <w:t>ставлял 3,7 ребенка на женщину (</w:t>
      </w:r>
      <w:r>
        <w:rPr>
          <w:caps/>
        </w:rPr>
        <w:t>нсБ,</w:t>
      </w:r>
      <w:r>
        <w:t xml:space="preserve"> 1998 год). Этот коэффициент, хотя он все еще является высоким по сравнению с другими странами Южно-Восточной Азии (3,2 в Малайзии, 2,3 в Индонезии, 2,0 в Таиланде и 1,7 в Сингапуре), н</w:t>
      </w:r>
      <w:r>
        <w:t>и</w:t>
      </w:r>
      <w:r>
        <w:t>же, чем он был в 1990-1993 годах, когда он составлял 4,1. По прогнозам, общий коэффициент фертильности в 2003 году будет на уровне 3,15 процента. Пр</w:t>
      </w:r>
      <w:r>
        <w:t>о</w:t>
      </w:r>
      <w:r>
        <w:t>гнозируется также, что в 2004 году он упадет до 3,08. Фактически в 1999 году общий коэффициент фертильности составлял 3,4 ребенка на женщину (3,0 в городских районах и 4,7 в сельских районах). Ожидается, что в 2005 году он еще снизится до 3 процентов.</w:t>
      </w:r>
    </w:p>
    <w:p w:rsidR="00000000" w:rsidRDefault="00000000">
      <w:pPr>
        <w:pStyle w:val="num"/>
      </w:pPr>
      <w:r>
        <w:t>В конце 1990-х годов дородовую помощь получали 99 процентов матерей, их обслуживали доктора, медсестры или акушерки или же так называемые тр</w:t>
      </w:r>
      <w:r>
        <w:t>а</w:t>
      </w:r>
      <w:r>
        <w:t xml:space="preserve">диционные </w:t>
      </w:r>
      <w:r>
        <w:rPr>
          <w:i/>
        </w:rPr>
        <w:t>повивалки</w:t>
      </w:r>
      <w:r>
        <w:t xml:space="preserve"> (НСБ, 1998 год). Традиционные </w:t>
      </w:r>
      <w:r>
        <w:rPr>
          <w:i/>
        </w:rPr>
        <w:t>повивалки</w:t>
      </w:r>
      <w:r>
        <w:t xml:space="preserve"> обслуживали 41 процент рожениц, в то время как доктора – 31 процент, а медсестры и ак</w:t>
      </w:r>
      <w:r>
        <w:t>у</w:t>
      </w:r>
      <w:r>
        <w:t>шерки – 26 процентов. Примерно 2/3 всех родов проходили в домашних усл</w:t>
      </w:r>
      <w:r>
        <w:t>о</w:t>
      </w:r>
      <w:r>
        <w:t>виях. Медицинская помощь при родах чаще оказывается малодетным женщ</w:t>
      </w:r>
      <w:r>
        <w:t>и</w:t>
      </w:r>
      <w:r>
        <w:t>нам, живущим в городских районах, которые более образованы и до родов ч</w:t>
      </w:r>
      <w:r>
        <w:t>е</w:t>
      </w:r>
      <w:r>
        <w:t>тыре или более раз посещают врачей. В Маниле профессиональные медици</w:t>
      </w:r>
      <w:r>
        <w:t>н</w:t>
      </w:r>
      <w:r>
        <w:t>ские работники присутствуют при 92 процентов родов, а в автономном м</w:t>
      </w:r>
      <w:r>
        <w:t>у</w:t>
      </w:r>
      <w:r>
        <w:t>сульманском регионе Минданао такое соотношение составляет только 16 процентов (МЗ, 1999 год).</w:t>
      </w:r>
    </w:p>
    <w:p w:rsidR="00000000" w:rsidRDefault="00000000">
      <w:pPr>
        <w:pStyle w:val="num"/>
      </w:pPr>
      <w:r>
        <w:t>Коэффициент младенческой смерти на 1 000 живорождений на Филипп</w:t>
      </w:r>
      <w:r>
        <w:t>и</w:t>
      </w:r>
      <w:r>
        <w:t>нах очень высок: 45,3 в 1985 году, 36,8 в 1990 году и 35,3 в 1995 году (НСБ, 1998 год). Согласно сообщениям, он за период с 2001 по 2003 годы снизился до 29 на 1 000 живорождений (НСБ), хотя и является более высоким, чем в сосе</w:t>
      </w:r>
      <w:r>
        <w:t>д</w:t>
      </w:r>
      <w:r>
        <w:t>них странах, в частности, в Сингапуре (7) и Малайзии (8). Уровень младенч</w:t>
      </w:r>
      <w:r>
        <w:t>е</w:t>
      </w:r>
      <w:r>
        <w:t>ской смертности зависит от социально-экономических и демографических фа</w:t>
      </w:r>
      <w:r>
        <w:t>к</w:t>
      </w:r>
      <w:r>
        <w:t>торов. В период с 1985 по 1995 годы он составлял 30,9 в городских районах и 40,9 в сельских районах. Он особенно высок среди детей матерей, не имеющих образования, не получавших дородовой медицинский уход и не рожавших с помощью профессиональных медицинских работников, а также в возрастной группе до 20 лет и после 40 лет. Уровень младенческой смертности также в</w:t>
      </w:r>
      <w:r>
        <w:t>ы</w:t>
      </w:r>
      <w:r>
        <w:t>сок среди мальчиков (39,4 на 1 000 мальчиков против 32,3 процента среди д</w:t>
      </w:r>
      <w:r>
        <w:t>е</w:t>
      </w:r>
      <w:r>
        <w:t>вочек; НСКС, 2003 год). Двумя основными причинами младенческой смертн</w:t>
      </w:r>
      <w:r>
        <w:t>о</w:t>
      </w:r>
      <w:r>
        <w:t>сти являются легочная недостаточность у зародышей и новорожденных и пневмония.</w:t>
      </w:r>
    </w:p>
    <w:p w:rsidR="00000000" w:rsidRDefault="00000000">
      <w:pPr>
        <w:pStyle w:val="num"/>
      </w:pPr>
      <w:r>
        <w:t>Уровень материнской смертности, хотя он по-прежнему высок, также н</w:t>
      </w:r>
      <w:r>
        <w:t>а</w:t>
      </w:r>
      <w:r>
        <w:t>чал снижаться с 209 смертей на 100 000 живорождений в 1990-1992 годах до 172 в 1995-1997 годах (НСБ, 1998 год). А далее до 96,1 на 100 000 живорождений в 2000 году (НСБ, 2000 год). Коэффициент материнской смертности составляет менее 1 процента от общего уровня смертности в стр</w:t>
      </w:r>
      <w:r>
        <w:t>а</w:t>
      </w:r>
      <w:r>
        <w:t>не, однако на него приходится 14 процентов смертности всех женщин в возра</w:t>
      </w:r>
      <w:r>
        <w:t>с</w:t>
      </w:r>
      <w:r>
        <w:t>те от 15 до 49 лет (НСБ, 1998 год). Материнская смертность, как правило, об</w:t>
      </w:r>
      <w:r>
        <w:t>ъ</w:t>
      </w:r>
      <w:r>
        <w:t>ясняется осложнениями, связанными с беременностью, во время родов и п</w:t>
      </w:r>
      <w:r>
        <w:t>о</w:t>
      </w:r>
      <w:r>
        <w:t>слеродовой период (40 процентов), повышенным давлением и соответству</w:t>
      </w:r>
      <w:r>
        <w:t>ю</w:t>
      </w:r>
      <w:r>
        <w:t>щими осложнениями (23 процента), послеродовым кровотечением (19 процентов), выкидышем (13 процентов) и кровотечением во время бер</w:t>
      </w:r>
      <w:r>
        <w:t>е</w:t>
      </w:r>
      <w:r>
        <w:t>менности (8 процентов; НСБ, 1997 год). Другими факторами материнской смертности являются невозможность получить дородовой медицинский уход и ограниченность доступа к профессиональному медицинскому уходу во время беременности и после беременности. Что касается большинства случаев ро</w:t>
      </w:r>
      <w:r>
        <w:t>ж</w:t>
      </w:r>
      <w:r>
        <w:t>дений (77 процентов), то матери три и более раза посещают врачей до родов, а в случае практически более половины всех рождений они свой первый визит к врачу до родов совершают в течение первых трех месяцев до родов. Знач</w:t>
      </w:r>
      <w:r>
        <w:t>и</w:t>
      </w:r>
      <w:r>
        <w:t>тельная часть (86 процентов) женщин посещает профессиональные медици</w:t>
      </w:r>
      <w:r>
        <w:t>н</w:t>
      </w:r>
      <w:r>
        <w:t>ские дородовые консультации, однако во время рождения только 56 процентов из них пользуются помощью професси</w:t>
      </w:r>
      <w:r>
        <w:t>о</w:t>
      </w:r>
      <w:r>
        <w:t>нальных врачей.</w:t>
      </w:r>
    </w:p>
    <w:p w:rsidR="00000000" w:rsidRDefault="00000000">
      <w:pPr>
        <w:pStyle w:val="num"/>
      </w:pPr>
      <w:r>
        <w:t>Одной из проблем по-прежнему остается применение противозачаточных средств. Эта тенденция определяется местом жительства, религиозными убе</w:t>
      </w:r>
      <w:r>
        <w:t>ж</w:t>
      </w:r>
      <w:r>
        <w:t>дениями, уровнем образования и возрастом. В целом, чаще других противоз</w:t>
      </w:r>
      <w:r>
        <w:t>а</w:t>
      </w:r>
      <w:r>
        <w:t>чаточными средствами пользуются женщины в городских районах, а также женщины с начальным образованием и женщины в возрасте от 25 до 39 лет. В 1996 году менее половины (48,1 процента) замужних в то время женщин и</w:t>
      </w:r>
      <w:r>
        <w:t>с</w:t>
      </w:r>
      <w:r>
        <w:t>пользовали, по крайней мере, один из способов противозачатия. Несколько больше женщин пользовались этими средствами в 2001 году (49,8 процента) и в 2002 году (48,8 процента; НСБ, 2003е). Несмотря на запрет, установленный католической церковью, степень применения современных противозачаточных средств выросла с 30,2 процента в 1996 году до 35,1 процента в 2002 году. Противозачаточные таблетки стали использоваться значительно чаще, чем тр</w:t>
      </w:r>
      <w:r>
        <w:t>а</w:t>
      </w:r>
      <w:r>
        <w:t>диционные методы, степень применения которых снизилась с 18 до 14 процентов. В 2002 году наиболее распространенными противозачаточными средствами были таблетки (15 процентов), учет менструальных циклов и ст</w:t>
      </w:r>
      <w:r>
        <w:t>е</w:t>
      </w:r>
      <w:r>
        <w:t>рилизация женщин (11 процентов; НСБ, 2003f). Презервативы используются менее чем 1 процент супружеских пар (НСБ, 2003е). Проведенные обследов</w:t>
      </w:r>
      <w:r>
        <w:t>а</w:t>
      </w:r>
      <w:r>
        <w:t>ния показали, что мужчины не согласны с принимаемым женами решением о</w:t>
      </w:r>
      <w:r>
        <w:t>т</w:t>
      </w:r>
      <w:r>
        <w:t>носительно регулирования размеров семьи, и мало кто из них использует пр</w:t>
      </w:r>
      <w:r>
        <w:t>е</w:t>
      </w:r>
      <w:r>
        <w:t>зервативы или же несет ответственность за применение каких-либо иных пр</w:t>
      </w:r>
      <w:r>
        <w:t>о</w:t>
      </w:r>
      <w:r>
        <w:t>тивозачаточных средств. Они, как правило, предпочитают иметь как можно больше детей, в отличие от подавляющего большинства замужних женщин (81 процент), которые желают либо продлить время между рождениями детей, либо ограничить количес</w:t>
      </w:r>
      <w:r>
        <w:t>т</w:t>
      </w:r>
      <w:r>
        <w:t>во детей (НСБ, 1998 год).</w:t>
      </w:r>
    </w:p>
    <w:p w:rsidR="00000000" w:rsidRDefault="00000000">
      <w:pPr>
        <w:pStyle w:val="num"/>
      </w:pPr>
      <w:r>
        <w:t>Опасность заболевания ВИЧ/СПИДом достигла в стране высокого уровня, хотя она в других странах не представляет серьезной проблемы. За период с 1984 года, когда было сообщено о первом случае ВИЧ-инфицирования в стр</w:t>
      </w:r>
      <w:r>
        <w:t>а</w:t>
      </w:r>
      <w:r>
        <w:t>не, до 2002 года Отделу учета больных СПИДом было сообщено о 1 789 случаях ВИЧ-инфицирования (НСБ, 2002 год). Из них 1 068 (66 процентов) случаев касались ВИЧ-позитивных больных, а 545 (или 34 процента) случаев закончились заболеванием СПИДом; сегодня 234 (43 процента) больных СПИДом умерли. Больше всего от этого вируса страдают мужчины (61 процент всех ВИЧ-инфицированных), а также эконом</w:t>
      </w:r>
      <w:r>
        <w:t>и</w:t>
      </w:r>
      <w:r>
        <w:t>чески активная часть населения. Среди мужчин больше всего от этого забол</w:t>
      </w:r>
      <w:r>
        <w:t>е</w:t>
      </w:r>
      <w:r>
        <w:t>вания страдают лица в возрасте от 30-39 лет, среди женщин – от 19 до 29 лет, при этом многие из них занимаются проституцией.</w:t>
      </w:r>
      <w:r>
        <w:rPr>
          <w:rStyle w:val="FootnoteReference"/>
        </w:rPr>
        <w:footnoteReference w:id="21"/>
      </w:r>
      <w:r>
        <w:t xml:space="preserve"> Случаи ВИЧ-инфицирования и заболевания </w:t>
      </w:r>
      <w:r>
        <w:rPr>
          <w:caps/>
        </w:rPr>
        <w:t>спид</w:t>
      </w:r>
      <w:r>
        <w:t>ом сегодня отмечены среди жен работн</w:t>
      </w:r>
      <w:r>
        <w:t>и</w:t>
      </w:r>
      <w:r>
        <w:t>ков морского транспорта и работающей за рубежом филиппинской пр</w:t>
      </w:r>
      <w:r>
        <w:t>и</w:t>
      </w:r>
      <w:r>
        <w:t>слуги.</w:t>
      </w:r>
    </w:p>
    <w:p w:rsidR="00000000" w:rsidRDefault="00000000">
      <w:pPr>
        <w:pStyle w:val="num"/>
      </w:pPr>
      <w:r>
        <w:t>В 84 процентах случаев ВИЧ-инфицирования инфекция передается пол</w:t>
      </w:r>
      <w:r>
        <w:t>о</w:t>
      </w:r>
      <w:r>
        <w:t>вым путем: 74 процента –гетеросексуальным путем; 20 процентов – гомосекс</w:t>
      </w:r>
      <w:r>
        <w:t>у</w:t>
      </w:r>
      <w:r>
        <w:t>альным путем; и 6 процентов – бисексуальным. Меньше всего этот вирус пер</w:t>
      </w:r>
      <w:r>
        <w:t>е</w:t>
      </w:r>
      <w:r>
        <w:t xml:space="preserve">дается в результате использования необработанных игл для укалывания, через кровь или производные от крови вещества, а также среди наркоманов (2 процента); по оставшимся 14 процентов какой-либо информации не имеется. Вначале число инфицированных выросло с 69 в 1992 году до 100 в 1993 году и достигло наибольшего показателя в 1998 году – 190 случаев. Что касается СПИДа, то ежегодное число заболевших </w:t>
      </w:r>
      <w:r>
        <w:rPr>
          <w:caps/>
        </w:rPr>
        <w:t>спид</w:t>
      </w:r>
      <w:r>
        <w:t>ом увеличилось с 56 в 1994 году и с тех пор повышалось в среднем на 50 человек в год (НСБ, 2002 год). По состоянию на июнь 2003 года в стране было зарегистрировано 12 ВИЧ-инфицированных, из которых 4 – женщины.</w:t>
      </w:r>
    </w:p>
    <w:p w:rsidR="00000000" w:rsidRDefault="00000000">
      <w:pPr>
        <w:pStyle w:val="num"/>
      </w:pPr>
      <w:r>
        <w:t>Заболевания, передающиеся половым путем (ЗПП), представляют собой определенную общественную угрозу для здоровья населения, поскольку они имеют серьезные последствия для здоровья женщин и новорожденных. Пров</w:t>
      </w:r>
      <w:r>
        <w:t>е</w:t>
      </w:r>
      <w:r>
        <w:t>денное в 1994 году обследование на предмет заболевания ЗПП среди женщин, занимающихся проституцией, показало, что гонореей болеют 16 процентов, хламидией – 20 процентов, трихомодальным кольпитом – 18,6 процента и с</w:t>
      </w:r>
      <w:r>
        <w:t>и</w:t>
      </w:r>
      <w:r>
        <w:t xml:space="preserve">филисом </w:t>
      </w:r>
      <w:r>
        <w:rPr>
          <w:rFonts w:ascii="Arial Unicode MS" w:eastAsia="Arial Unicode MS" w:hAnsi="Arial Unicode MS"/>
        </w:rPr>
        <w:t>–</w:t>
      </w:r>
      <w:r>
        <w:t>4,6 процента. Это же обследование выявило, что среди населения женщины, находящиеся в дородовом периоде, меньше болеют ЗПП и на их д</w:t>
      </w:r>
      <w:r>
        <w:t>о</w:t>
      </w:r>
      <w:r>
        <w:t>лю приходится 1 процент больных гонореей, 6 процентов – хламидией, 1 процент – т</w:t>
      </w:r>
      <w:r>
        <w:t>р</w:t>
      </w:r>
      <w:r>
        <w:t>ихомонадным кольпитом и 0,5 процента – сифилисом (МЗ).</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69" w:name="_Toc85174938"/>
      <w:r>
        <w:t xml:space="preserve">В. </w:t>
      </w:r>
      <w:r>
        <w:tab/>
        <w:t>Принятые меры</w:t>
      </w:r>
      <w:bookmarkEnd w:id="69"/>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Меры политического характера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Правительство Филиппин стремится обеспечить надлежащую законод</w:t>
      </w:r>
      <w:r>
        <w:t>а</w:t>
      </w:r>
      <w:r>
        <w:t>тельную основу для осуществления программ здравоохранения и развития се</w:t>
      </w:r>
      <w:r>
        <w:t>к</w:t>
      </w:r>
      <w:r>
        <w:t>тора здравоохранения.</w:t>
      </w:r>
    </w:p>
    <w:p w:rsidR="00000000" w:rsidRDefault="00000000">
      <w:pPr>
        <w:pStyle w:val="SingleTxt"/>
        <w:ind w:left="1740" w:right="1264" w:hanging="476"/>
      </w:pPr>
      <w:r>
        <w:rPr>
          <w:lang w:val="en-US"/>
        </w:rPr>
        <w:t>a</w:t>
      </w:r>
      <w:r>
        <w:t>)</w:t>
      </w:r>
      <w:r>
        <w:tab/>
        <w:t xml:space="preserve">В </w:t>
      </w:r>
      <w:r>
        <w:rPr>
          <w:caps/>
        </w:rPr>
        <w:t>р</w:t>
      </w:r>
      <w:r>
        <w:t>еспубликанском законе 7875, или законе 1995 года о Национальном медицинском страховании, женщины конкретно определяются как одна из уязвимых и находящихся в неблагоприятном положении групп населения, которая должна охватываться системой медицинского страхования и п</w:t>
      </w:r>
      <w:r>
        <w:t>о</w:t>
      </w:r>
      <w:r>
        <w:t>лучать медицинские пособия. Домашнее хозяйство служит основой для вовлечения в эту систему нуждающихся людей, однако сегодня предпр</w:t>
      </w:r>
      <w:r>
        <w:t>и</w:t>
      </w:r>
      <w:r>
        <w:t>нимаются усилия по решению более широкого круга интересующих же</w:t>
      </w:r>
      <w:r>
        <w:t>н</w:t>
      </w:r>
      <w:r>
        <w:t>щин вопросов и обеспечению им равного доступа к медицинским пособ</w:t>
      </w:r>
      <w:r>
        <w:t>и</w:t>
      </w:r>
      <w:r>
        <w:t>ям. В данный момент пересматриваются правила и положения об осущ</w:t>
      </w:r>
      <w:r>
        <w:t>е</w:t>
      </w:r>
      <w:r>
        <w:t>ствлении этого закона с тем, чтобы включить в него перечень телесных повреждений, нанесенных в результате совершения насилия в отношении женщины, а также вопросы аккредитации акушерок, а это означает, что роды на дому подпадают под категорию исковых требований. Законом предусматриваются две программы для вовлечения в эту систему лиц, з</w:t>
      </w:r>
      <w:r>
        <w:t>а</w:t>
      </w:r>
      <w:r>
        <w:t>нимающихся индивидуальной трудовой деятельностью. Первая програ</w:t>
      </w:r>
      <w:r>
        <w:t>м</w:t>
      </w:r>
      <w:r>
        <w:t>ма, или индивидуальная платная программа, открыта для всех занима</w:t>
      </w:r>
      <w:r>
        <w:t>ю</w:t>
      </w:r>
      <w:r>
        <w:t>щихся индивидуальной трудовой деятельностью лиц, будь то члены или не члены, или добровольные члены системы социального обеспечения, а также для лиц, работающих на работодателя, работников неформального сектора и лиц, вышедших из категории официальных иждивенцев или же из других программных компонентов Национальной программы медици</w:t>
      </w:r>
      <w:r>
        <w:t>н</w:t>
      </w:r>
      <w:r>
        <w:t>ского страхования (НПМС). Взносы здесь составляют 1 200 филиппинских песо в год. Их можно выплачивать один раз в год или же двумя или четырьмя равными долями. Другая программа предназнач</w:t>
      </w:r>
      <w:r>
        <w:t>е</w:t>
      </w:r>
      <w:r>
        <w:t>на для нуждающихся слоев населения. Это программа сотрудничества между Филиппинской корпорацией медицинского страхования и местн</w:t>
      </w:r>
      <w:r>
        <w:t>ы</w:t>
      </w:r>
      <w:r>
        <w:t>ми органами власти, и в ее рамках субсидируется охват наиболее бедных слоев населения НПМС. Помимо обычных пособий по линии государс</w:t>
      </w:r>
      <w:r>
        <w:t>т</w:t>
      </w:r>
      <w:r>
        <w:t>венной программы бесплатной медицинской помощи, нуждающиеся м</w:t>
      </w:r>
      <w:r>
        <w:t>о</w:t>
      </w:r>
      <w:r>
        <w:t>гут также получать пособия по амбулаторному лечению и диагностич</w:t>
      </w:r>
      <w:r>
        <w:t>е</w:t>
      </w:r>
      <w:r>
        <w:t>скому обследованию от аккредитованных сельских медицинских отдел</w:t>
      </w:r>
      <w:r>
        <w:t>е</w:t>
      </w:r>
      <w:r>
        <w:t>ний или поликлиник. К 2003 году был принят Закон о медицинском стр</w:t>
      </w:r>
      <w:r>
        <w:t>а</w:t>
      </w:r>
      <w:r>
        <w:t>ховании. Им предусматриваются выплаты пособий по дородовому уходу и материнству в случае, если роды проходят без осложнений.</w:t>
      </w:r>
    </w:p>
    <w:p w:rsidR="00000000" w:rsidRDefault="00000000">
      <w:pPr>
        <w:pStyle w:val="SingleTxt"/>
        <w:ind w:left="1740" w:right="1264" w:hanging="476"/>
      </w:pPr>
      <w:r>
        <w:rPr>
          <w:lang w:val="en-US"/>
        </w:rPr>
        <w:t>b</w:t>
      </w:r>
      <w:r>
        <w:t>)</w:t>
      </w:r>
      <w:r>
        <w:tab/>
        <w:t>В соответствии с Программой социальных реформ администрации Рам</w:t>
      </w:r>
      <w:r>
        <w:t>о</w:t>
      </w:r>
      <w:r>
        <w:t>са, которую администрация Арройо приняла в рамках Программы КАЛАХИ, министерство образования приняло правила и положения об осуществлении Закона о стимулировании медицинских работников сел</w:t>
      </w:r>
      <w:r>
        <w:t>ь</w:t>
      </w:r>
      <w:r>
        <w:t xml:space="preserve">ских общин (Республиканский закон 7883). Как цитируется в четвертом докладе Филиппин по </w:t>
      </w:r>
      <w:r>
        <w:rPr>
          <w:caps/>
        </w:rPr>
        <w:t>к</w:t>
      </w:r>
      <w:r>
        <w:t>онвенции о ликвидации всех форм дискримин</w:t>
      </w:r>
      <w:r>
        <w:t>а</w:t>
      </w:r>
      <w:r>
        <w:t>ции в отношении женщин, этот закон конкретно направлен на улучшение положения сельских медицинских работников, большую часть которых составляют женщины. Однако, каких-либо данных о количестве женщин, на которых распространяется этот закон, за отчетный п</w:t>
      </w:r>
      <w:r>
        <w:t>е</w:t>
      </w:r>
      <w:r>
        <w:t>риод не имеется.</w:t>
      </w:r>
    </w:p>
    <w:p w:rsidR="00000000" w:rsidRDefault="00000000">
      <w:pPr>
        <w:pStyle w:val="SingleTxt"/>
        <w:ind w:left="1740" w:right="1264" w:hanging="476"/>
      </w:pPr>
      <w:r>
        <w:rPr>
          <w:lang w:val="en-US"/>
        </w:rPr>
        <w:t>c</w:t>
      </w:r>
      <w:r>
        <w:t>)</w:t>
      </w:r>
      <w:r>
        <w:tab/>
        <w:t>Республиканский закон 8503, или Закон 1998 года о научных исследов</w:t>
      </w:r>
      <w:r>
        <w:t>а</w:t>
      </w:r>
      <w:r>
        <w:t>ниях и разработках в области медицины, нацелен на поощрение провед</w:t>
      </w:r>
      <w:r>
        <w:t>е</w:t>
      </w:r>
      <w:r>
        <w:t>ния научных исследований и разработок и предусматривает создание Н</w:t>
      </w:r>
      <w:r>
        <w:t>а</w:t>
      </w:r>
      <w:r>
        <w:t>ционального медицинского института, который будет координировать деятельность существующих научно-исследовательских институтов при Филиппинском ун</w:t>
      </w:r>
      <w:r>
        <w:t>и</w:t>
      </w:r>
      <w:r>
        <w:t>верситете в Маниле и других институтов и научно-исследовательских программ в области здравоохранения, которые могут быть в последствии созданы. Она нацелена на поощрение проведения н</w:t>
      </w:r>
      <w:r>
        <w:t>а</w:t>
      </w:r>
      <w:r>
        <w:t>учно-технических исследований и разработок (НИОКР) в области мед</w:t>
      </w:r>
      <w:r>
        <w:t>и</w:t>
      </w:r>
      <w:r>
        <w:t>цины, а также на обеспечение того, чтобы результаты таких НИОКР и</w:t>
      </w:r>
      <w:r>
        <w:t>с</w:t>
      </w:r>
      <w:r>
        <w:t>пользовались для улучшения состояния здоровья женщин и мужчин.</w:t>
      </w:r>
    </w:p>
    <w:p w:rsidR="00000000" w:rsidRDefault="00000000">
      <w:pPr>
        <w:pStyle w:val="SingleTxt"/>
        <w:ind w:left="1740" w:right="1264" w:hanging="476"/>
      </w:pPr>
      <w:r>
        <w:rPr>
          <w:lang w:val="en-US"/>
        </w:rPr>
        <w:t>d</w:t>
      </w:r>
      <w:r>
        <w:t>)</w:t>
      </w:r>
      <w:r>
        <w:tab/>
        <w:t>Республиканский закон 8504, или Закон 1998 года о предотвращении СПИДа и борьбе с ним на Филиппинах, предусматривает повышение о</w:t>
      </w:r>
      <w:r>
        <w:t>с</w:t>
      </w:r>
      <w:r>
        <w:t>ведомленности населения в вопросах, касающихся ВИЧ/СПИДа. Он тр</w:t>
      </w:r>
      <w:r>
        <w:t>е</w:t>
      </w:r>
      <w:r>
        <w:t>бует проведения разъяснительной работы по этим вопросам в школах, на рабочих местах, для филиппинцев, выезжающих за рубеж, для общин, т</w:t>
      </w:r>
      <w:r>
        <w:t>у</w:t>
      </w:r>
      <w:r>
        <w:t>ристов и лиц, временно проживающих в стране. Закон обязует государс</w:t>
      </w:r>
      <w:r>
        <w:t>т</w:t>
      </w:r>
      <w:r>
        <w:t>во изучить и попытаться устранить те условия, которые способствуют расширению масштабов этого заболевания, и это, в частности, касается неравенства мужчин и женщин, проституции, наркомании и неграмотн</w:t>
      </w:r>
      <w:r>
        <w:t>о</w:t>
      </w:r>
      <w:r>
        <w:t>сти. Ожидается, что этот закон поможет женщинам и мужчинам, особенно тем, кто занимается проституцией, осознать всю опасность ВИЧ/СПИДа, а также поможет им принять меры самозащиты от эт</w:t>
      </w:r>
      <w:r>
        <w:t>о</w:t>
      </w:r>
      <w:r>
        <w:t>го заболевания.</w:t>
      </w:r>
    </w:p>
    <w:p w:rsidR="00000000" w:rsidRDefault="00000000">
      <w:pPr>
        <w:pStyle w:val="SingleTxt"/>
        <w:ind w:left="1740" w:right="1264" w:hanging="476"/>
      </w:pPr>
      <w:r>
        <w:rPr>
          <w:lang w:val="en-US"/>
        </w:rPr>
        <w:t>e</w:t>
      </w:r>
      <w:r>
        <w:t>)</w:t>
      </w:r>
      <w:r>
        <w:tab/>
        <w:t>Республиканский закон 8172, или Закон о йодировании соли в стране, был принят в декабре 1995 года с целью предотвращения заболеваний, в</w:t>
      </w:r>
      <w:r>
        <w:t>ы</w:t>
      </w:r>
      <w:r>
        <w:t>званных нехваткой йода в организме, и устранения их последствий, кот</w:t>
      </w:r>
      <w:r>
        <w:t>о</w:t>
      </w:r>
      <w:r>
        <w:t>рые включают повреждение мозга, психические недостатки и замедление умственного развития; врожденные физические недостатки; выкидыши и мертворождения; а также нарушение функций щитовидной железы. Этот закон предусматривает оказание помощи женщинам и детям, которые наиболее подвержены таким заболеваниям. По имеющимся данным, на настоящий момент йодированной солью пользуются 10 процентов фили</w:t>
      </w:r>
      <w:r>
        <w:t>п</w:t>
      </w:r>
      <w:r>
        <w:t>пинских семей, однако нет точных данных о том, как использование й</w:t>
      </w:r>
      <w:r>
        <w:t>о</w:t>
      </w:r>
      <w:r>
        <w:t>дированной соли повлияло на состояние здоровья женщин и девочек.</w:t>
      </w:r>
    </w:p>
    <w:p w:rsidR="00000000" w:rsidRDefault="00000000">
      <w:pPr>
        <w:pStyle w:val="SingleTxt"/>
        <w:ind w:left="1740" w:right="1264" w:hanging="476"/>
      </w:pPr>
      <w:r>
        <w:rPr>
          <w:lang w:val="en-US"/>
        </w:rPr>
        <w:t>f</w:t>
      </w:r>
      <w:r>
        <w:t>)</w:t>
      </w:r>
      <w:r>
        <w:tab/>
        <w:t>Республиканским законом 8980, или Законом 2000 года об уходе за детьми в раннем возрасте и их развитии (УЗРВР), официально предусматривается принятие комплексной программы и создание национальной системы ухода за детьми в раннем возрасте и их развития, которая учитывает все основные потребности маленьких детей в возрасте до 6 лет. Теперь, с принятием и осуществлением этого закона, воспитание детей не является исключительной обязанностью матери. В обеспечении основных потре</w:t>
      </w:r>
      <w:r>
        <w:t>б</w:t>
      </w:r>
      <w:r>
        <w:t>ностей детей сегодня принимают участие община, национальные и мес</w:t>
      </w:r>
      <w:r>
        <w:t>т</w:t>
      </w:r>
      <w:r>
        <w:t>ные органы власти и другие учр</w:t>
      </w:r>
      <w:r>
        <w:t>е</w:t>
      </w:r>
      <w:r>
        <w:t>ждения.</w:t>
      </w:r>
    </w:p>
    <w:p w:rsidR="00000000" w:rsidRDefault="00000000">
      <w:pPr>
        <w:pStyle w:val="SingleTxt"/>
        <w:ind w:left="1740" w:right="1264" w:hanging="476"/>
      </w:pPr>
      <w:r>
        <w:rPr>
          <w:lang w:val="en-US"/>
        </w:rPr>
        <w:t>g</w:t>
      </w:r>
      <w:r>
        <w:t>)</w:t>
      </w:r>
      <w:r>
        <w:tab/>
        <w:t>Два законопроекта, находящиеся на рассмотрении в Конгрессе (4110 и 2325, или Закон 2002 года об охране репродуктивного здоровья), пред</w:t>
      </w:r>
      <w:r>
        <w:t>у</w:t>
      </w:r>
      <w:r>
        <w:t>сматривают разработку комплексной национальной политики и програ</w:t>
      </w:r>
      <w:r>
        <w:t>м</w:t>
      </w:r>
      <w:r>
        <w:t>мы по охране репродуктивного здоровья, в которых признавались бы р</w:t>
      </w:r>
      <w:r>
        <w:t>е</w:t>
      </w:r>
      <w:r>
        <w:t>продуктивные права женщин, равенство мужчин и женщин и обеспеч</w:t>
      </w:r>
      <w:r>
        <w:t>и</w:t>
      </w:r>
      <w:r>
        <w:t>вался бы всеобщий доступ к репродуктивному здоровью, услугам, и</w:t>
      </w:r>
      <w:r>
        <w:t>н</w:t>
      </w:r>
      <w:r>
        <w:t>формации и просвещению в этой области. Этими законопроектами пред</w:t>
      </w:r>
      <w:r>
        <w:t>у</w:t>
      </w:r>
      <w:r>
        <w:t>сматривается также расширение охвата национальной программы мед</w:t>
      </w:r>
      <w:r>
        <w:t>и</w:t>
      </w:r>
      <w:r>
        <w:t>цинского страхования с целью включения в нее более широких слоев н</w:t>
      </w:r>
      <w:r>
        <w:t>а</w:t>
      </w:r>
      <w:r>
        <w:t>селения, в частности бедных слоев населения, а также широкого спектра услуг и товаров, необходимых для охраны сексуального и репродуктивн</w:t>
      </w:r>
      <w:r>
        <w:t>о</w:t>
      </w:r>
      <w:r>
        <w:t>го здоровья.</w:t>
      </w:r>
    </w:p>
    <w:p w:rsidR="00000000" w:rsidRDefault="00000000">
      <w:pPr>
        <w:pStyle w:val="num"/>
      </w:pPr>
      <w:r>
        <w:t>Инвестиции в охрану здоровья сказываются на благосостоянии населения, особенно женщин, поскольку они несут основную ответственность за здоровье членов своей семьи. Надлежащая медицинская инфраструктура требует с</w:t>
      </w:r>
      <w:r>
        <w:t>о</w:t>
      </w:r>
      <w:r>
        <w:t>трудников, оборудования, лекарств и препаратов, а также проведения разъя</w:t>
      </w:r>
      <w:r>
        <w:t>с</w:t>
      </w:r>
      <w:r>
        <w:t>нительной работы среди общественности по вопросу о том, как пользоваться медицинскими услугами. Охрана здоровья населения и санитария также тр</w:t>
      </w:r>
      <w:r>
        <w:t>е</w:t>
      </w:r>
      <w:r>
        <w:t>буют инвестиций для целей вывоза мусора, его удаления и обеспечения без</w:t>
      </w:r>
      <w:r>
        <w:t>о</w:t>
      </w:r>
      <w:r>
        <w:t>пасной и чистой воды для каждой семьи. Понимая, что от здорового населения зависит общее экономически-социальное благополучие страны, правительство проводит в жизнь комплексную политику и программу охраны здоровья для различных слоев населения, таких, как женщины, дети, престарелые, школьн</w:t>
      </w:r>
      <w:r>
        <w:t>и</w:t>
      </w:r>
      <w:r>
        <w:t>ки, бедные и сельские жители и медицинские работники. Из основных прин</w:t>
      </w:r>
      <w:r>
        <w:t>я</w:t>
      </w:r>
      <w:r>
        <w:t>тых директивных мер можно отметить следу</w:t>
      </w:r>
      <w:r>
        <w:t>ю</w:t>
      </w:r>
      <w:r>
        <w:t>щее:</w:t>
      </w:r>
    </w:p>
    <w:p w:rsidR="00000000" w:rsidRDefault="00000000">
      <w:pPr>
        <w:pStyle w:val="SingleTxt"/>
      </w:pPr>
      <w:r>
        <w:rPr>
          <w:lang w:val="en-US"/>
        </w:rPr>
        <w:t>a</w:t>
      </w:r>
      <w:r>
        <w:t>)</w:t>
      </w:r>
      <w:r>
        <w:tab/>
        <w:t>Разработанный министерством здравоохранения 10-летний план инвест</w:t>
      </w:r>
      <w:r>
        <w:t>и</w:t>
      </w:r>
      <w:r>
        <w:t>ционных мероприятий (1996-2005 годы) включает общие цели и стратегии се</w:t>
      </w:r>
      <w:r>
        <w:t>к</w:t>
      </w:r>
      <w:r>
        <w:t>тора здравоохранения и нацелен на обеспечение неуклонной реализации н</w:t>
      </w:r>
      <w:r>
        <w:t>а</w:t>
      </w:r>
      <w:r>
        <w:t>циональных программ здравоохранения, поддержку процесса децентрализ</w:t>
      </w:r>
      <w:r>
        <w:t>а</w:t>
      </w:r>
      <w:r>
        <w:t>ции, рационализацию расходов этого сектора и укрепление организационного потенциала в области управления и планирования. Примерно 30 процентов и</w:t>
      </w:r>
      <w:r>
        <w:t>н</w:t>
      </w:r>
      <w:r>
        <w:t>вестиционного пакета этого плана выделены на улучшение состояния здоровья женщин, и в этой области осуществление некоторых проектов все еще не з</w:t>
      </w:r>
      <w:r>
        <w:t>а</w:t>
      </w:r>
      <w:r>
        <w:t>вершено. В настоящее время основой для инвестиций в сектор здравоохран</w:t>
      </w:r>
      <w:r>
        <w:t>е</w:t>
      </w:r>
      <w:r>
        <w:t>ния служит Программа реформы сектора здравоохранения, которая предста</w:t>
      </w:r>
      <w:r>
        <w:t>в</w:t>
      </w:r>
      <w:r>
        <w:t>ляет собой обновленный и усовершенствованный вариант плана. Цель Пр</w:t>
      </w:r>
      <w:r>
        <w:t>о</w:t>
      </w:r>
      <w:r>
        <w:t>граммы – улучшить эффективный охват населения национальными и местными программами народного здравоохранения, расширить доступ к медицинским услугам, особенно для бедных, и снизить финансовое бремя расходов для о</w:t>
      </w:r>
      <w:r>
        <w:t>т</w:t>
      </w:r>
      <w:r>
        <w:t>дельных семей.</w:t>
      </w:r>
    </w:p>
    <w:p w:rsidR="00000000" w:rsidRDefault="00000000">
      <w:pPr>
        <w:pStyle w:val="SingleTxt"/>
        <w:ind w:left="1740" w:right="1264" w:hanging="476"/>
      </w:pPr>
      <w:r>
        <w:rPr>
          <w:lang w:val="en-US"/>
        </w:rPr>
        <w:t>b</w:t>
      </w:r>
      <w:r>
        <w:t>)</w:t>
      </w:r>
      <w:r>
        <w:tab/>
        <w:t>Среднесрочный филиппинский план действий по организации правильн</w:t>
      </w:r>
      <w:r>
        <w:t>о</w:t>
      </w:r>
      <w:r>
        <w:t>го питания на 1999-2004 годы направлен на увеличение доли детей с но</w:t>
      </w:r>
      <w:r>
        <w:t>р</w:t>
      </w:r>
      <w:r>
        <w:t>мальным весом и сокращение случаев белковой недостаточности в орг</w:t>
      </w:r>
      <w:r>
        <w:t>а</w:t>
      </w:r>
      <w:r>
        <w:t>низме у детей, хронической усталости у взрослых, а также нехватки ми</w:t>
      </w:r>
      <w:r>
        <w:t>к</w:t>
      </w:r>
      <w:r>
        <w:t>ропитательных эл</w:t>
      </w:r>
      <w:r>
        <w:t>е</w:t>
      </w:r>
      <w:r>
        <w:t>ментов или ожирения среди детей и взрослых.</w:t>
      </w:r>
    </w:p>
    <w:p w:rsidR="00000000" w:rsidRDefault="00000000">
      <w:pPr>
        <w:pStyle w:val="SingleTxt"/>
        <w:ind w:left="1740" w:right="1264" w:hanging="476"/>
      </w:pPr>
      <w:r>
        <w:rPr>
          <w:lang w:val="en-US"/>
        </w:rPr>
        <w:t>c</w:t>
      </w:r>
      <w:r>
        <w:t>)</w:t>
      </w:r>
      <w:r>
        <w:tab/>
        <w:t xml:space="preserve">В результате реорганизации министерства здравоохранения в 2000 году было унифицировано </w:t>
      </w:r>
      <w:r>
        <w:rPr>
          <w:caps/>
        </w:rPr>
        <w:t>у</w:t>
      </w:r>
      <w:r>
        <w:t>правление медицинскими программами и прое</w:t>
      </w:r>
      <w:r>
        <w:t>к</w:t>
      </w:r>
      <w:r>
        <w:t>тами, финансируемыми за счет зарубежных источников, в рамках Упра</w:t>
      </w:r>
      <w:r>
        <w:t>в</w:t>
      </w:r>
      <w:r>
        <w:t>ления по международному сотрудничеству в области здравоохранения. Здесь можно отметить пятилетний проект, предусматривающий участие медицинских отделений местных органов власти в реализации комплек</w:t>
      </w:r>
      <w:r>
        <w:t>с</w:t>
      </w:r>
      <w:r>
        <w:t>ных программ улучшения состояния здоровья женщин и обеспечения безопасной беременности, а также разработку семейных пакетов мед</w:t>
      </w:r>
      <w:r>
        <w:t>и</w:t>
      </w:r>
      <w:r>
        <w:t>цинских услуг для удовлетворения особых потребностей местных общин в области охраны здоровья.</w:t>
      </w:r>
    </w:p>
    <w:p w:rsidR="00000000" w:rsidRDefault="00000000">
      <w:pPr>
        <w:pStyle w:val="num"/>
      </w:pPr>
      <w:r>
        <w:t xml:space="preserve">Комитет </w:t>
      </w:r>
      <w:r>
        <w:rPr>
          <w:caps/>
        </w:rPr>
        <w:t>о</w:t>
      </w:r>
      <w:r>
        <w:t xml:space="preserve">рганизации </w:t>
      </w:r>
      <w:r>
        <w:rPr>
          <w:caps/>
        </w:rPr>
        <w:t>о</w:t>
      </w:r>
      <w:r>
        <w:t xml:space="preserve">бъединенных </w:t>
      </w:r>
      <w:r>
        <w:rPr>
          <w:caps/>
        </w:rPr>
        <w:t>н</w:t>
      </w:r>
      <w:r>
        <w:t>аций по ликвидации всех форм дискриминации в отношении женщин в связи с четвертым докладом Филиппин выразил свою обеспокоенность по поводу децентрализации службы здрав</w:t>
      </w:r>
      <w:r>
        <w:t>о</w:t>
      </w:r>
      <w:r>
        <w:t>охранения, которая привела к сбоям в осуществлении политики использования противозачаточных средств, и высказал такое предположение, что необходимо принять соответствующий закон, обеспечивающий доступность услуг по рег</w:t>
      </w:r>
      <w:r>
        <w:t>у</w:t>
      </w:r>
      <w:r>
        <w:t>лированию размеров семьи для женщин во всех областях. В ответ на это пр</w:t>
      </w:r>
      <w:r>
        <w:t>а</w:t>
      </w:r>
      <w:r>
        <w:t>вительство Филиппин приняло политику, строящуюся на учете демографич</w:t>
      </w:r>
      <w:r>
        <w:t>е</w:t>
      </w:r>
      <w:r>
        <w:t>ских факторов и необходимости охраны репродуктивного здоровья, а также культурных обычаев и ценности Филиппин и вопросов равенства мужчин и женщин. В этой связи министерство здравоохранения в своем администрати</w:t>
      </w:r>
      <w:r>
        <w:t>в</w:t>
      </w:r>
      <w:r>
        <w:t>ном постановлении 50</w:t>
      </w:r>
      <w:r>
        <w:noBreakHyphen/>
        <w:t>А s. 2001 года переориентировало программу планир</w:t>
      </w:r>
      <w:r>
        <w:t>о</w:t>
      </w:r>
      <w:r>
        <w:t>вания размеров семьи с демографических целей на необходимость обеспечения услуг по регулированию размеров семьи как медицинского вмешательства, н</w:t>
      </w:r>
      <w:r>
        <w:t>а</w:t>
      </w:r>
      <w:r>
        <w:t>правленного на укрепление состояния здоровья, особенно женщин и детей. В то же время какой-либо прогресс в отношении внесения поправок в Кодекс м</w:t>
      </w:r>
      <w:r>
        <w:t>е</w:t>
      </w:r>
      <w:r>
        <w:t>стных органов власти относительно привлечения на постоянной основе с</w:t>
      </w:r>
      <w:r>
        <w:t>о</w:t>
      </w:r>
      <w:r>
        <w:t>трудн</w:t>
      </w:r>
      <w:r>
        <w:t>и</w:t>
      </w:r>
      <w:r>
        <w:t>ков по демографическим вопросам отмечен не был.</w:t>
      </w:r>
    </w:p>
    <w:p w:rsidR="00000000" w:rsidRDefault="00000000">
      <w:pPr>
        <w:pStyle w:val="num"/>
      </w:pPr>
      <w:r>
        <w:t>Правительство приняло гендерно-взвешенную программную основу в о</w:t>
      </w:r>
      <w:r>
        <w:t>б</w:t>
      </w:r>
      <w:r>
        <w:t>ласти демографии, которая охватывает репродуктивное здоровье, с целью улучшения системы демографического планирования и разработки политики. Филиппинский план управления демографическими процессами Комиссии по народонаселению включает, в частности, такие основные компоненты, как р</w:t>
      </w:r>
      <w:r>
        <w:t>а</w:t>
      </w:r>
      <w:r>
        <w:t>венство мужчин и женщин и расширение возможностей женщин. Сегодня пр</w:t>
      </w:r>
      <w:r>
        <w:t>и</w:t>
      </w:r>
      <w:r>
        <w:t>нимаются усилия для пересмотра существующей программной основы и вкл</w:t>
      </w:r>
      <w:r>
        <w:t>ю</w:t>
      </w:r>
      <w:r>
        <w:t>чения в нее соответствующих аспектов охраны здоровья женщин, гендерных вопросов и других проблем как концептуального, так и оперативного характ</w:t>
      </w:r>
      <w:r>
        <w:t>е</w:t>
      </w:r>
      <w:r>
        <w:t xml:space="preserve">ра. Эти усилия включают создание </w:t>
      </w:r>
      <w:r>
        <w:rPr>
          <w:caps/>
        </w:rPr>
        <w:t>ц</w:t>
      </w:r>
      <w:r>
        <w:t>елевой группы по планированию размеров семьи/репродуктивному здоровью, разработку показателей в области репр</w:t>
      </w:r>
      <w:r>
        <w:t>о</w:t>
      </w:r>
      <w:r>
        <w:t>дуктивного здоровья и создание национальной полицией Филиппин в полице</w:t>
      </w:r>
      <w:r>
        <w:t>й</w:t>
      </w:r>
      <w:r>
        <w:t>ских участках специальных «женских отделов» для рассмотрения случаев н</w:t>
      </w:r>
      <w:r>
        <w:t>а</w:t>
      </w:r>
      <w:r>
        <w:t>руш</w:t>
      </w:r>
      <w:r>
        <w:t>е</w:t>
      </w:r>
      <w:r>
        <w:t>ний, касающихся женщин.</w:t>
      </w:r>
    </w:p>
    <w:p w:rsidR="00000000" w:rsidRDefault="00000000">
      <w:pPr>
        <w:pStyle w:val="num"/>
      </w:pPr>
      <w:r>
        <w:t>Министерство здравоохранения в своем административном постановл</w:t>
      </w:r>
      <w:r>
        <w:t>е</w:t>
      </w:r>
      <w:r>
        <w:t>нии № 1-А, которое было принято в январе 1998 года, определило програм</w:t>
      </w:r>
      <w:r>
        <w:t>м</w:t>
      </w:r>
      <w:r>
        <w:t>ную основу в области репродуктивного здоровья, в которую вошли десять эл</w:t>
      </w:r>
      <w:r>
        <w:t>е</w:t>
      </w:r>
      <w:r>
        <w:t>ментов пакета услуг по охране репродуктивного здоровья, а именно: (1) план</w:t>
      </w:r>
      <w:r>
        <w:t>и</w:t>
      </w:r>
      <w:r>
        <w:t>рование размеров семьи; (2) охрана здоровья матери и ребенка и питание; (3) предотвращение последствий абортов; (4) профилактика и лечение инфекц</w:t>
      </w:r>
      <w:r>
        <w:t>и</w:t>
      </w:r>
      <w:r>
        <w:t>онных заболеваний воспроизводительного тракта, заболеваний, передающихся половым путем, и ВИЧ/СПИДа; (5) рак груди и половых органов и другие г</w:t>
      </w:r>
      <w:r>
        <w:t>и</w:t>
      </w:r>
      <w:r>
        <w:t>некологические осложнения; (6) репродуктивное здоровье подростков; (7) и</w:t>
      </w:r>
      <w:r>
        <w:t>н</w:t>
      </w:r>
      <w:r>
        <w:t>формационно-разъяснительная и консультативная помощь по вопросам секс</w:t>
      </w:r>
      <w:r>
        <w:t>у</w:t>
      </w:r>
      <w:r>
        <w:t>альности и сексуального здоровья; (8) репродуктивное здоровье мужчин; (9) насилие в отношении женщин; (10) профилактика и лечение бесплодия и пол</w:t>
      </w:r>
      <w:r>
        <w:t>о</w:t>
      </w:r>
      <w:r>
        <w:t>вых забол</w:t>
      </w:r>
      <w:r>
        <w:t>е</w:t>
      </w:r>
      <w:r>
        <w:t>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Программы решения проблем, связанных со здоровьем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У министерства здравоохранения есть ряд крупных программ услуг и других наборов пособий, которые имеют универсальный охват и предоставл</w:t>
      </w:r>
      <w:r>
        <w:t>я</w:t>
      </w:r>
      <w:r>
        <w:t>ются бесплатно во всех государственных медицинских учреждениях. К ним о</w:t>
      </w:r>
      <w:r>
        <w:t>т</w:t>
      </w:r>
      <w:r>
        <w:t>нося</w:t>
      </w:r>
      <w:r>
        <w:t>т</w:t>
      </w:r>
      <w:r>
        <w:t>ся:</w:t>
      </w:r>
    </w:p>
    <w:p w:rsidR="00000000" w:rsidRDefault="00000000">
      <w:pPr>
        <w:pStyle w:val="SingleTxt"/>
        <w:ind w:left="1740" w:right="1264" w:hanging="476"/>
      </w:pPr>
      <w:r>
        <w:rPr>
          <w:i/>
          <w:lang w:val="en-US"/>
        </w:rPr>
        <w:t>a</w:t>
      </w:r>
      <w:r>
        <w:rPr>
          <w:i/>
        </w:rPr>
        <w:t>)</w:t>
      </w:r>
      <w:r>
        <w:rPr>
          <w:i/>
        </w:rPr>
        <w:tab/>
        <w:t>Программа укрепления здоровья женщин и развития</w:t>
      </w:r>
      <w:r>
        <w:t>. Она направлена на создание прочной технической основы для принятия практических мер и оперативных действий по вопросам равенства мужчин и женщин и укре</w:t>
      </w:r>
      <w:r>
        <w:t>п</w:t>
      </w:r>
      <w:r>
        <w:t>ления здоровья женщин; усиление интеграции гендерной перспективы в политику, услуги программы в области здравоохранения; создание базы данных и системы пробных профилактических мер по возникающим ге</w:t>
      </w:r>
      <w:r>
        <w:t>н</w:t>
      </w:r>
      <w:r>
        <w:t>дерным вопросам; обеспечение участия женщин в разработке, осущест</w:t>
      </w:r>
      <w:r>
        <w:t>в</w:t>
      </w:r>
      <w:r>
        <w:t>лении и оценке программ и политики в области здравоохранения; и вед</w:t>
      </w:r>
      <w:r>
        <w:t>е</w:t>
      </w:r>
      <w:r>
        <w:t>ние разъяснительной работы и распространение информации о положении со здоровьем женщин с уч</w:t>
      </w:r>
      <w:r>
        <w:t>е</w:t>
      </w:r>
      <w:r>
        <w:t>том гендерных вопросов и вопросов развития.</w:t>
      </w:r>
    </w:p>
    <w:p w:rsidR="00000000" w:rsidRDefault="00000000">
      <w:pPr>
        <w:pStyle w:val="SingleTxt"/>
        <w:ind w:left="1740" w:right="1264" w:hanging="476"/>
      </w:pPr>
      <w:r>
        <w:rPr>
          <w:i/>
          <w:lang w:val="en-US"/>
        </w:rPr>
        <w:t>b</w:t>
      </w:r>
      <w:r>
        <w:rPr>
          <w:i/>
        </w:rPr>
        <w:t>)</w:t>
      </w:r>
      <w:r>
        <w:rPr>
          <w:i/>
        </w:rPr>
        <w:tab/>
        <w:t>Программа охраны репродуктивного здоровья</w:t>
      </w:r>
      <w:r>
        <w:t>. Она предлагает целый ряд противозачаточных средств (современные способы естественного план</w:t>
      </w:r>
      <w:r>
        <w:t>и</w:t>
      </w:r>
      <w:r>
        <w:t>рования размеров семьи, таблетки, кондомы, инъекции, стерилизация) с использованием подхода, предусматривающего охрану репродуктивного здоровья. Она также нацелена на улучшение питания младенцев и насто</w:t>
      </w:r>
      <w:r>
        <w:t>я</w:t>
      </w:r>
      <w:r>
        <w:t>тельно призывает роддома и детские поликлиники проводить с матерями работу для того, чтобы убедить их в необходимости кормления детей гр</w:t>
      </w:r>
      <w:r>
        <w:t>у</w:t>
      </w:r>
      <w:r>
        <w:t>дью до достижения ими дву</w:t>
      </w:r>
      <w:r>
        <w:t>х</w:t>
      </w:r>
      <w:r>
        <w:t>летнего возраста.</w:t>
      </w:r>
    </w:p>
    <w:p w:rsidR="00000000" w:rsidRDefault="00000000">
      <w:pPr>
        <w:pStyle w:val="SingleTxt"/>
        <w:ind w:left="1740" w:right="1264" w:hanging="476"/>
      </w:pPr>
      <w:r>
        <w:rPr>
          <w:i/>
          <w:lang w:val="en-US"/>
        </w:rPr>
        <w:t>c</w:t>
      </w:r>
      <w:r>
        <w:rPr>
          <w:i/>
        </w:rPr>
        <w:t>)</w:t>
      </w:r>
      <w:r>
        <w:rPr>
          <w:i/>
        </w:rPr>
        <w:tab/>
        <w:t>Программа безопасного материнства</w:t>
      </w:r>
      <w:r>
        <w:t>. В рамках этой программы был разработан и сегодня оказывается всеобъемлющий комплекс услуг по обеспечению безопасного материнства, который включает качественный дородовой, родовой и послеродовой уход, обеспечение микропищевыми добавками и вакцинацию от столбняка. Послеродовые услуги включают в себя консультирование женщин по вопросам фертильности, ответственн</w:t>
      </w:r>
      <w:r>
        <w:t>о</w:t>
      </w:r>
      <w:r>
        <w:t>го материнства, использования противозачаточных средств, в том числе естественных способов регулирования размеров семьи, питания, грудного кормления, личной гигиены и ухода за детьми.</w:t>
      </w:r>
    </w:p>
    <w:p w:rsidR="00000000" w:rsidRDefault="00000000">
      <w:pPr>
        <w:pStyle w:val="SingleTxt"/>
        <w:ind w:left="1740" w:right="1264" w:hanging="476"/>
      </w:pPr>
      <w:r>
        <w:rPr>
          <w:i/>
          <w:lang w:val="en-US"/>
        </w:rPr>
        <w:t>d</w:t>
      </w:r>
      <w:r>
        <w:rPr>
          <w:i/>
        </w:rPr>
        <w:t>)</w:t>
      </w:r>
      <w:r>
        <w:rPr>
          <w:i/>
        </w:rPr>
        <w:tab/>
        <w:t>Кампания по профилактике рака груди и матки</w:t>
      </w:r>
      <w:r>
        <w:t>. При поддержки по линии двух программ охраны здоровья женщин (см. пункты [a] и [c] выше) Н</w:t>
      </w:r>
      <w:r>
        <w:t>а</w:t>
      </w:r>
      <w:r>
        <w:t>циональная программа профилактики и лечения рака приступила к пров</w:t>
      </w:r>
      <w:r>
        <w:t>е</w:t>
      </w:r>
      <w:r>
        <w:t>дению интенсивной информационно-разъяснительной кампании по в</w:t>
      </w:r>
      <w:r>
        <w:t>о</w:t>
      </w:r>
      <w:r>
        <w:t>просам профилактики рака груди и шейки матки. Ею также предусматр</w:t>
      </w:r>
      <w:r>
        <w:t>и</w:t>
      </w:r>
      <w:r>
        <w:t>ваются оказание учебной и материально-технической поддержки госуда</w:t>
      </w:r>
      <w:r>
        <w:t>р</w:t>
      </w:r>
      <w:r>
        <w:t>ственным больницам с тем, чтобы они могли предоставлять качественные услуги женщинам репродуктивного возраста. Она предусматривает, что женщины старше 30 лет должны регулярно сами обследовать свою грудь, а женщины старше 34 лет должны сдавать ан</w:t>
      </w:r>
      <w:r>
        <w:t>а</w:t>
      </w:r>
      <w:r>
        <w:t>лиз на мазок Папаниколау.</w:t>
      </w:r>
    </w:p>
    <w:p w:rsidR="00000000" w:rsidRDefault="00000000">
      <w:pPr>
        <w:pStyle w:val="SingleTxt"/>
        <w:ind w:left="1740" w:right="1264" w:hanging="476"/>
      </w:pPr>
      <w:r>
        <w:rPr>
          <w:i/>
          <w:lang w:val="en-US"/>
        </w:rPr>
        <w:t>e</w:t>
      </w:r>
      <w:r>
        <w:rPr>
          <w:i/>
        </w:rPr>
        <w:t>)</w:t>
      </w:r>
      <w:r>
        <w:rPr>
          <w:i/>
        </w:rPr>
        <w:tab/>
        <w:t>Национальная программа профилактики и лечения ВИЧ/СПИДа</w:t>
      </w:r>
      <w:r>
        <w:t>. В ра</w:t>
      </w:r>
      <w:r>
        <w:t>м</w:t>
      </w:r>
      <w:r>
        <w:t>ках этой программы проводятся следующие мероприятия: постоянная оценка положения с ВИЧ/СПИДом в стране на предмет разработки тех мер, которые необходимо принять; информационная работа с лицами, входящими в группу риска, и с населением в целом; и усиление системы управления деятельностью клинических учреждений. Эта программа б</w:t>
      </w:r>
      <w:r>
        <w:t>ы</w:t>
      </w:r>
      <w:r>
        <w:t>ла принята для предотвращения распространения эпидемии ВИЧ/СПИДа, особенно среди подверженных высокому риску работников развлекател</w:t>
      </w:r>
      <w:r>
        <w:t>ь</w:t>
      </w:r>
      <w:r>
        <w:t>ной индустрии, и ослабления психологических последствий такого заб</w:t>
      </w:r>
      <w:r>
        <w:t>о</w:t>
      </w:r>
      <w:r>
        <w:t>левания для больных, их семей и о</w:t>
      </w:r>
      <w:r>
        <w:t>б</w:t>
      </w:r>
      <w:r>
        <w:t>щин.</w:t>
      </w:r>
    </w:p>
    <w:p w:rsidR="00000000" w:rsidRDefault="00000000">
      <w:pPr>
        <w:pStyle w:val="SingleTxt"/>
        <w:ind w:left="1740" w:right="1264" w:hanging="476"/>
      </w:pPr>
      <w:r>
        <w:rPr>
          <w:i/>
          <w:lang w:val="en-US"/>
        </w:rPr>
        <w:t>f</w:t>
      </w:r>
      <w:r>
        <w:rPr>
          <w:i/>
        </w:rPr>
        <w:t>)</w:t>
      </w:r>
      <w:r>
        <w:rPr>
          <w:i/>
        </w:rPr>
        <w:tab/>
        <w:t>Национальная программа охраны здоровья престарелых</w:t>
      </w:r>
      <w:r>
        <w:t>. Она учитывает потребности престарелых мужчин и женщин в области охраны их здор</w:t>
      </w:r>
      <w:r>
        <w:t>о</w:t>
      </w:r>
      <w:r>
        <w:t>вья. В координации с министерством социального обеспечения этой пр</w:t>
      </w:r>
      <w:r>
        <w:t>о</w:t>
      </w:r>
      <w:r>
        <w:t>граммой было создано в общей сложности 130 дневных медицинских центров для престар</w:t>
      </w:r>
      <w:r>
        <w:t>е</w:t>
      </w:r>
      <w:r>
        <w:t>лых в отдельных районах страны.</w:t>
      </w:r>
    </w:p>
    <w:p w:rsidR="00000000" w:rsidRDefault="00000000">
      <w:pPr>
        <w:pStyle w:val="num"/>
      </w:pPr>
      <w:r>
        <w:t>Другие программы министерства здравоохранения и других государс</w:t>
      </w:r>
      <w:r>
        <w:t>т</w:t>
      </w:r>
      <w:r>
        <w:t>венных ведомств, касающиеся вопросов охраны здоровья и питания женщин и девочек, включают следующее:</w:t>
      </w:r>
    </w:p>
    <w:p w:rsidR="00000000" w:rsidRDefault="00000000">
      <w:pPr>
        <w:pStyle w:val="SingleTxt"/>
        <w:ind w:left="1740" w:right="1264" w:hanging="476"/>
      </w:pPr>
      <w:r>
        <w:rPr>
          <w:lang w:val="en-US"/>
        </w:rPr>
        <w:t>a</w:t>
      </w:r>
      <w:r>
        <w:t>)</w:t>
      </w:r>
      <w:r>
        <w:tab/>
        <w:t>Программы социального обеспечения, содержащие компонент, каса</w:t>
      </w:r>
      <w:r>
        <w:t>ю</w:t>
      </w:r>
      <w:r>
        <w:t>щийся развития навыков личной гигиены и ухода за детьми, который пр</w:t>
      </w:r>
      <w:r>
        <w:t>е</w:t>
      </w:r>
      <w:r>
        <w:t>дусматривает самостоятельный уход женщин за собой во время половой зрелости, менструального цикла, беременности и рождения ребенка, кормления грудью, отучения от груди, обнаружения рака груди и других распространенных женских забол</w:t>
      </w:r>
      <w:r>
        <w:t>е</w:t>
      </w:r>
      <w:r>
        <w:t>ваний; и</w:t>
      </w:r>
    </w:p>
    <w:p w:rsidR="00000000" w:rsidRDefault="00000000">
      <w:pPr>
        <w:pStyle w:val="SingleTxt"/>
        <w:ind w:left="1740" w:right="1264" w:hanging="476"/>
      </w:pPr>
      <w:r>
        <w:rPr>
          <w:lang w:val="en-US"/>
        </w:rPr>
        <w:t>b</w:t>
      </w:r>
      <w:r>
        <w:t>)</w:t>
      </w:r>
      <w:r>
        <w:tab/>
        <w:t>Программы первичной медико-санитарной помощи и питания, в рамках которых женщинам предоставляются на постоянной основе информация и инструкции относительно того, как можно обеспечить здоровый образ жизни для себя и членов своей семьи. Эти программы предусматривают выдачу беременным и кормящим матерям витаминов А, добавок йода и железа; обеспечение более широкой практики включения микропитател</w:t>
      </w:r>
      <w:r>
        <w:t>ь</w:t>
      </w:r>
      <w:r>
        <w:t>ных добавок в обрабатываемые продукты питания; разъяснительную р</w:t>
      </w:r>
      <w:r>
        <w:t>а</w:t>
      </w:r>
      <w:r>
        <w:t>боту по вопросам питания с целью решения проблемы неправильного п</w:t>
      </w:r>
      <w:r>
        <w:t>и</w:t>
      </w:r>
      <w:r>
        <w:t>тания детей дошкольного возраста, беременных женщин и кормящих м</w:t>
      </w:r>
      <w:r>
        <w:t>а</w:t>
      </w:r>
      <w:r>
        <w:t>терей; и расширение практики разведения домашнего скота и устройства огородов в семьях, общинах и школах.</w:t>
      </w:r>
    </w:p>
    <w:p w:rsidR="00000000" w:rsidRDefault="00000000">
      <w:pPr>
        <w:pStyle w:val="num"/>
      </w:pPr>
      <w:r>
        <w:t>Министерство здравоохранения и шесть органов местной власти создали при районных, окружных и провинциальных больницах в стране 44 отделения по охране здоровья женщин и детей. На Лузоне, Висайян и Минданао были у</w:t>
      </w:r>
      <w:r>
        <w:t>ч</w:t>
      </w:r>
      <w:r>
        <w:t>реждены центры сотрудничества по борьбе с насилием в отношении женщин и детей для оказания нео</w:t>
      </w:r>
      <w:r>
        <w:t>т</w:t>
      </w:r>
      <w:r>
        <w:t>ложной помощи жертвам насилия.</w:t>
      </w:r>
    </w:p>
    <w:p w:rsidR="00000000" w:rsidRDefault="00000000">
      <w:pPr>
        <w:pStyle w:val="num"/>
      </w:pPr>
      <w:r>
        <w:t>Комиссией по высшему образованию была разработана и утверждена пр</w:t>
      </w:r>
      <w:r>
        <w:t>о</w:t>
      </w:r>
      <w:r>
        <w:t>грамма «Включение вопросов бытового насилия/насилия в семье в учебную программу подготовки медсестер». Эта программа сегодня уже на экспериме</w:t>
      </w:r>
      <w:r>
        <w:t>н</w:t>
      </w:r>
      <w:r>
        <w:t>тальной основе введена в Колледже медсестер при университете Силлимана. Аналогичный проект разрабатывается совместно с Ассоциацией филиппинских медицинских колледжей и для учебной программы подготовки врачей. Эта инициатива позволит будущим врачам и медсестрам оказывать надлежащую помощь жертвам насилия.</w:t>
      </w:r>
    </w:p>
    <w:p w:rsidR="00000000" w:rsidRDefault="00000000">
      <w:pPr>
        <w:pStyle w:val="num"/>
      </w:pPr>
      <w:r>
        <w:t>Следует отметить принимаемые на местном уровне меры по улучшению благосостояния женщин, работающих в увеселительных заведениях на бывших военных базах. В городе Олонгапо медицинские и социальные службы рег</w:t>
      </w:r>
      <w:r>
        <w:t>у</w:t>
      </w:r>
      <w:r>
        <w:t>лярно проводят осмотр их физического состояния, оказывают медицинскую помощь, организуют курсы повышения квалификации и предоставляют ст</w:t>
      </w:r>
      <w:r>
        <w:t>и</w:t>
      </w:r>
      <w:r>
        <w:t>пендии для обучения детей, жертв ВИЧ/СПИДа. Оказываемые ими услуги для родителей облегчают вовлечение бывших работников сферы развлечений и членов их семей в жизнь общины. Такие неправительственные организации как Буклод и ЖООРЭК также ведут соответствующую работу с женщинами, зан</w:t>
      </w:r>
      <w:r>
        <w:t>и</w:t>
      </w:r>
      <w:r>
        <w:t>мающим</w:t>
      </w:r>
      <w:r>
        <w:t>и</w:t>
      </w:r>
      <w:r>
        <w:t>ся проституцией в Анхелесе и Олонгапо.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Программы охраны здоровья детей, включая девочек</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Страновая программа для детей, которая осуществляется правительством и ЮНИСЕФ, предусматривает, в частности, диетологическое воспитание, и</w:t>
      </w:r>
      <w:r>
        <w:t>с</w:t>
      </w:r>
      <w:r>
        <w:t>пользование микропитательных добавок, производство продуктов питания в домашних условиях и продовольственную безопасность, уход за детьми в ра</w:t>
      </w:r>
      <w:r>
        <w:t>н</w:t>
      </w:r>
      <w:r>
        <w:t>нем возрасте и проведение информационно-разъяснительной работы среди р</w:t>
      </w:r>
      <w:r>
        <w:t>у</w:t>
      </w:r>
      <w:r>
        <w:t>ководителей по вопросам развития и питания детей. Эта программа предназн</w:t>
      </w:r>
      <w:r>
        <w:t>а</w:t>
      </w:r>
      <w:r>
        <w:t>чена для всех детей в возрасте до 59 месяцев, будь то мальчиков или девочек, в отдельных провинциях и муниципалитетах 12 реги</w:t>
      </w:r>
      <w:r>
        <w:t>о</w:t>
      </w:r>
      <w:r>
        <w:t>нов.</w:t>
      </w:r>
    </w:p>
    <w:p w:rsidR="00000000" w:rsidRDefault="00000000">
      <w:pPr>
        <w:pStyle w:val="num"/>
      </w:pPr>
      <w:r>
        <w:t>В 1995 году были определены три связанных со сферой здравоохранения вопроса, касающихся девочек, которые по-прежнему остаются актуальными: подверженность девочек нехватке железа в организме, заболеванию щитови</w:t>
      </w:r>
      <w:r>
        <w:t>д</w:t>
      </w:r>
      <w:r>
        <w:t>ной железы и инфекционным заболеваниям в результате плохого питания, об</w:t>
      </w:r>
      <w:r>
        <w:t>ъ</w:t>
      </w:r>
      <w:r>
        <w:t>ясняющегося традиционной практикой, в соответствии с которой здесь пре</w:t>
      </w:r>
      <w:r>
        <w:t>д</w:t>
      </w:r>
      <w:r>
        <w:t>почтение отдается другим членам семьи; беременность и материнство среди подростков; подверженность девочек заболеванию ВИЧ/СПИДом и другим п</w:t>
      </w:r>
      <w:r>
        <w:t>е</w:t>
      </w:r>
      <w:r>
        <w:t>редающимся половым путем заболеваниям в связи с ранним и небезопасным вступлением в половые связи, сексуальным надругательством и эксплуатацией. По состоянию на январь 2002 года в списке больных СПИДом министерства здравоохранения зарегистрировано 40 девочек и 23 мальчика, ВИЧ-позитивных.</w:t>
      </w:r>
    </w:p>
    <w:p w:rsidR="00000000" w:rsidRDefault="00000000">
      <w:pPr>
        <w:pStyle w:val="num"/>
      </w:pPr>
      <w:r>
        <w:t>Министерством здравоохранения были разработаны политика и руков</w:t>
      </w:r>
      <w:r>
        <w:t>о</w:t>
      </w:r>
      <w:r>
        <w:t>дящие указания относительно использования микропитательных добавок и оказана техническая и материальная помощь всем местным органам правления. В 1998 году оно поставило содержащие препараты железа капли для детей с пониженным весом, т.е. для 57 процентов девочек и 56 процентов мальчиков, а также витамины А для детей дошкольного возраста от 12 до 59 месяцев, т.е. для 71 процента девочек и 70 процентов мальчиков. Нехватка средств не п</w:t>
      </w:r>
      <w:r>
        <w:t>о</w:t>
      </w:r>
      <w:r>
        <w:t>зволяет министерству поставлять йодированное масло для девочек с заболев</w:t>
      </w:r>
      <w:r>
        <w:t>а</w:t>
      </w:r>
      <w:r>
        <w:t>нием щитовидной железы. Министерство совместно с пищевой промышленн</w:t>
      </w:r>
      <w:r>
        <w:t>о</w:t>
      </w:r>
      <w:r>
        <w:t>стью разработало комплексный план повышения питательности продуктов п</w:t>
      </w:r>
      <w:r>
        <w:t>и</w:t>
      </w:r>
      <w:r>
        <w:t>тания. Добавки витамина А, железа и йода подлежат включению в следующие продукты питания: пшеничную муку, растительное масло, соль, переработа</w:t>
      </w:r>
      <w:r>
        <w:t>н</w:t>
      </w:r>
      <w:r>
        <w:t>ные продукты питания с маркой "Sangkap Pinoy" (хот-доги, фруктовый сок, вермишель, чипсы, маргарин, сардины) и детское питание. Управление по в</w:t>
      </w:r>
      <w:r>
        <w:t>о</w:t>
      </w:r>
      <w:r>
        <w:t>просам производства продовольствия и лекарств следит за соблюдением этих положений предприятиями пищ</w:t>
      </w:r>
      <w:r>
        <w:t>е</w:t>
      </w:r>
      <w:r>
        <w:t>вой промышленности.</w:t>
      </w:r>
    </w:p>
    <w:p w:rsidR="00000000" w:rsidRDefault="00000000">
      <w:pPr>
        <w:pStyle w:val="num"/>
      </w:pPr>
      <w:r>
        <w:t>Предпринимаются также меры для соблюдения правил грудного кормл</w:t>
      </w:r>
      <w:r>
        <w:t>е</w:t>
      </w:r>
      <w:r>
        <w:t>ния путем обучения медицинских работников работе по консультированию по вопросам грудного кормления, профессиональной подготовки по осуществл</w:t>
      </w:r>
      <w:r>
        <w:t>е</w:t>
      </w:r>
      <w:r>
        <w:t>нию контроля за соблюдением этих правил и распространения практики гру</w:t>
      </w:r>
      <w:r>
        <w:t>д</w:t>
      </w:r>
      <w:r>
        <w:t>ного кормления в больницах в рамках инициативы создания родильных отд</w:t>
      </w:r>
      <w:r>
        <w:t>е</w:t>
      </w:r>
      <w:r>
        <w:t>лений и де</w:t>
      </w:r>
      <w:r>
        <w:t>т</w:t>
      </w:r>
      <w:r>
        <w:t>ских отделений.</w:t>
      </w:r>
    </w:p>
    <w:p w:rsidR="00000000" w:rsidRDefault="00000000">
      <w:pPr>
        <w:pStyle w:val="num"/>
      </w:pPr>
      <w:r>
        <w:t>В рамках Расширенной программы иммунизации были приняты политика и руководящие принципы, касающиеся вакцинации всех детей в возрасте до 11 месяцев от семи заболеваний. Благодаря поставке вакцин местным органам власти и подготовке медицинских работников, эта программа в 1998 году охв</w:t>
      </w:r>
      <w:r>
        <w:t>а</w:t>
      </w:r>
      <w:r>
        <w:t>тила 74 процента женских и мужских целевых групп. Компанией борьбы с п</w:t>
      </w:r>
      <w:r>
        <w:t>о</w:t>
      </w:r>
      <w:r>
        <w:t>лиомиелитом, которая была направлена на иммунизацию всех детей в возрасте до 59 месяцев с целью искоренения полиомиелита к 2000 году, в 1996 и 1997 годах было охвачено 97 процентов целевых групп населения. В 2000 году Всемирная организация здравоохранения объявила эту страну свободной от полиомиелита. Кампания борьбы с корью на Филиппинах, осуществление к</w:t>
      </w:r>
      <w:r>
        <w:t>о</w:t>
      </w:r>
      <w:r>
        <w:t>торой должно начаться в феврале 2004 года, нацелена на вакцинацию всех д</w:t>
      </w:r>
      <w:r>
        <w:t>е</w:t>
      </w:r>
      <w:r>
        <w:t>тей в возрасте от 9 месяцев до 15 лет и искоренение кори путем охвата этой компанией 98,4 процента всех целевых групп в школах к 2008 году. Стратегией этой кампании предусматривается регулярная вакцинация в поликлиниках и проведение кампании по вакцинации на дому.</w:t>
      </w:r>
    </w:p>
    <w:p w:rsidR="00000000" w:rsidRDefault="00000000">
      <w:pPr>
        <w:pStyle w:val="num"/>
      </w:pPr>
      <w:r>
        <w:t>Всемирный банк и Азиатский банк развития поддерживают осуществл</w:t>
      </w:r>
      <w:r>
        <w:t>е</w:t>
      </w:r>
      <w:r>
        <w:t>ние межведомственного проекта министерства социального обеспечения и ра</w:t>
      </w:r>
      <w:r>
        <w:t>з</w:t>
      </w:r>
      <w:r>
        <w:t>вития, названного «Проект развития детей в раннем возрасте» (ПРДРВ). Реал</w:t>
      </w:r>
      <w:r>
        <w:t>и</w:t>
      </w:r>
      <w:r>
        <w:t>зация этого проекта была начата в 1999 году, и он представляет собой шест</w:t>
      </w:r>
      <w:r>
        <w:t>и</w:t>
      </w:r>
      <w:r>
        <w:t>летний проект, предусматривающий развитие системы оказания детям и сем</w:t>
      </w:r>
      <w:r>
        <w:t>ь</w:t>
      </w:r>
      <w:r>
        <w:t>ям соответствующих услуг с целью повышения качества и расширения охвата основных услуг в области охраны здоровья, питания, психологического разв</w:t>
      </w:r>
      <w:r>
        <w:t>и</w:t>
      </w:r>
      <w:r>
        <w:t>тия и воспитания в раннем возрасте для детей в возрасте до 6 лет. Он осущес</w:t>
      </w:r>
      <w:r>
        <w:t>т</w:t>
      </w:r>
      <w:r>
        <w:t>вляется в трех регионах, дополняя и укрепляя возможности местных органов власти, занимающихся реализацией этого проекта. В частности проектом пр</w:t>
      </w:r>
      <w:r>
        <w:t>е</w:t>
      </w:r>
      <w:r>
        <w:t>дусматривается поставка оборудования для расширенной программы иммун</w:t>
      </w:r>
      <w:r>
        <w:t>и</w:t>
      </w:r>
      <w:r>
        <w:t>зации, подготовка специалистов по вопросам комплексного лечения детей, п</w:t>
      </w:r>
      <w:r>
        <w:t>о</w:t>
      </w:r>
      <w:r>
        <w:t>ставка микропитательных элементов (витамина А и препаратов железа) и п</w:t>
      </w:r>
      <w:r>
        <w:t>о</w:t>
      </w:r>
      <w:r>
        <w:t>вышение питательности продуктов питания.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Программы борьбы с ВИЧ/СПИДом и ЗПП</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Как уже отмечалось в пункте 444 d выше, Республиканский закон 8504 обеспечивает юридическую основу для проведения государством камп</w:t>
      </w:r>
      <w:r>
        <w:t>а</w:t>
      </w:r>
      <w:r>
        <w:t>нии по борьбе с ВИЧ/СПИДом. Он также предусматривает защиту прав инф</w:t>
      </w:r>
      <w:r>
        <w:t>и</w:t>
      </w:r>
      <w:r>
        <w:t>цированных девочек (и мальчиков), а также тех из них, кто подозревается в том, что он инфицирован ВИЧ или болен СПИДом. Филиппинским национал</w:t>
      </w:r>
      <w:r>
        <w:t>ь</w:t>
      </w:r>
      <w:r>
        <w:t>ным советом борьбы со СПИДом разрабатываются правила и положения ос</w:t>
      </w:r>
      <w:r>
        <w:t>у</w:t>
      </w:r>
      <w:r>
        <w:t>ществления этого закона, однако «информация и руководящие принципы, к</w:t>
      </w:r>
      <w:r>
        <w:t>а</w:t>
      </w:r>
      <w:r>
        <w:t>сающиеся борьбы с ЗПП среди детей», уже были распространены на предмет их осуществления на всех уровнях системы медицинского обеспечения для т</w:t>
      </w:r>
      <w:r>
        <w:t>о</w:t>
      </w:r>
      <w:r>
        <w:t>го, чтобы девочки-жертвы сексуального надругательства могли получать соо</w:t>
      </w:r>
      <w:r>
        <w:t>т</w:t>
      </w:r>
      <w:r>
        <w:t>ветствующее лечение в случае заболевания половых органов. В министерстве здравоохранения имеется «горячая линия» по СПИДу, и оно оказывает по</w:t>
      </w:r>
      <w:r>
        <w:t>д</w:t>
      </w:r>
      <w:r>
        <w:t>держку пациентам, больным ВИЧ/СПИДом, а также техническую помощь м</w:t>
      </w:r>
      <w:r>
        <w:t>е</w:t>
      </w:r>
      <w:r>
        <w:t>стным орг</w:t>
      </w:r>
      <w:r>
        <w:t>а</w:t>
      </w:r>
      <w:r>
        <w:t>нам власти.</w:t>
      </w:r>
    </w:p>
    <w:p w:rsidR="00000000" w:rsidRDefault="00000000">
      <w:pPr>
        <w:pStyle w:val="num"/>
      </w:pPr>
      <w:r>
        <w:t>Министерство социального обеспечения занимается решением проблемы ВИЧ/СПИДа в рамках своей Комплексной программы для семей/детей, вход</w:t>
      </w:r>
      <w:r>
        <w:t>я</w:t>
      </w:r>
      <w:r>
        <w:t>щих в группу риска, подверженную злоупотреблению наркотиками и ВИЧ/СПИДу. По линии этой программы молодежь и взрослых учат быть ра</w:t>
      </w:r>
      <w:r>
        <w:t>в</w:t>
      </w:r>
      <w:r>
        <w:t>ноправными советниками и наставниками по вопросам наркомании и ВИЧ-инфекции, а семьям оказываются услуги по уходу и поддержке ВИЧ-инфицированных членов семьи. В свою очередь министерство здравоохран</w:t>
      </w:r>
      <w:r>
        <w:t>е</w:t>
      </w:r>
      <w:r>
        <w:t>ния по линии своей Программы укрепления здоровья подростков и молодежи (ПУЗПМ) организовало консультативный семинар для разработки политики, руководящих принципов и рамок для решения вопросов репродуктивного зд</w:t>
      </w:r>
      <w:r>
        <w:t>о</w:t>
      </w:r>
      <w:r>
        <w:t>ровья подростков, в частности, в том, что касается прерывания беременности и абортов среди подростков, ЗПП и ВИЧ/СПИДа. В первом квартале 1999 года был подготовлен план информационно-воспитательной и коммуникационной работы, а в конце 2002 года был разработан учебный компонент этого плана, и основные инструкторы уже прошли соответствующую подготовку. Однако, в государственных больницах все еще необходимо открыть отделения для подр</w:t>
      </w:r>
      <w:r>
        <w:t>о</w:t>
      </w:r>
      <w:r>
        <w:t>стков. Хотя ПЗУПМ по-прежнему находится на стадии разработки, многие н</w:t>
      </w:r>
      <w:r>
        <w:t>е</w:t>
      </w:r>
      <w:r>
        <w:t>правительственные организации уже оказывают свою консультативную п</w:t>
      </w:r>
      <w:r>
        <w:t>о</w:t>
      </w:r>
      <w:r>
        <w:t>мощь и другие услуги подросткам. Из этих неправительственных организаций в первую очередь следует отметить Фонд развития подростков, Фонд борьбы со СПИДом Ремедиоса, Институт охраны здоровья матери и ребенка, Каугмаон и молодежные центры Багио. Несколько неправительственных организаций предоставляют также учебные и вспомогательные услуги детям и молодежи, ведя в школах и общинах разъяснительно-воспитательную работу по вопросам ВИЧ/СПИДа (МОТ, 2003 год).</w:t>
      </w:r>
    </w:p>
    <w:p w:rsidR="00000000" w:rsidRDefault="00000000">
      <w:pPr>
        <w:pStyle w:val="num"/>
      </w:pPr>
      <w:r>
        <w:t>Национальная программа по СПИДу/ЗПП совместно с министерством о</w:t>
      </w:r>
      <w:r>
        <w:t>б</w:t>
      </w:r>
      <w:r>
        <w:t>разования и соответствующими учреждениями координирует усилия по вкл</w:t>
      </w:r>
      <w:r>
        <w:t>ю</w:t>
      </w:r>
      <w:r>
        <w:t>чению воспитательной работы по вопросам ВИЧ/СПИДа в школьные програ</w:t>
      </w:r>
      <w:r>
        <w:t>м</w:t>
      </w:r>
      <w:r>
        <w:t>мы для средних школ, профессионально-технических училищ и колледжей. В этой связи была разработана специальная учебная программа, и учителя были ознако</w:t>
      </w:r>
      <w:r>
        <w:t>м</w:t>
      </w:r>
      <w:r>
        <w:t>лены с 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Пропагандистско-разъяснительная работа и научные исследования в области охраны здоровья женщин</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Для ознакомления широких слоев населения с такими вопросами, как права женщин, необходимость самостоятельного обследования состояния гр</w:t>
      </w:r>
      <w:r>
        <w:t>у</w:t>
      </w:r>
      <w:r>
        <w:t>ди, и с другими вопросами, касающимися здоровья женщин, проводились так называемые «ленточные» пропагандистско-разъяснительные кампании, в кот</w:t>
      </w:r>
      <w:r>
        <w:t>о</w:t>
      </w:r>
      <w:r>
        <w:t>рых участвовали медицинские работники, специалисты, учащиеся и другие женщины и мужчины. Каждый месяц посвящается определенной проблеме, связанной с охраной здоровья женщин, и участники этих мероприятий прикр</w:t>
      </w:r>
      <w:r>
        <w:t>е</w:t>
      </w:r>
      <w:r>
        <w:t>пляют на свою одежду ленточки соответствующего цвета. Для поддержки св</w:t>
      </w:r>
      <w:r>
        <w:t>я</w:t>
      </w:r>
      <w:r>
        <w:t>занных с охраной здоровья программ и кампаний, осуществляемых правител</w:t>
      </w:r>
      <w:r>
        <w:t>ь</w:t>
      </w:r>
      <w:r>
        <w:t>с</w:t>
      </w:r>
      <w:r>
        <w:t>т</w:t>
      </w:r>
      <w:r>
        <w:t>вом, широко используются средства массовой информации.</w:t>
      </w:r>
    </w:p>
    <w:p w:rsidR="00000000" w:rsidRDefault="00000000">
      <w:pPr>
        <w:pStyle w:val="num"/>
      </w:pPr>
      <w:r>
        <w:t>НКПФЖ и Фонд Организации Объединенных Наций для деятельности в области народонаселения (ЮНФПА) в 1996-1998 годах осуществили проект «Разработка политики и пропагандистско-разъяснительная работа по вопросам, касающимся охраны здоровья женщин, народонаселения и развития». Осно</w:t>
      </w:r>
      <w:r>
        <w:t>в</w:t>
      </w:r>
      <w:r>
        <w:t>ные мероприятия в рамках этого проекта касались подготовки соответству</w:t>
      </w:r>
      <w:r>
        <w:t>ю</w:t>
      </w:r>
      <w:r>
        <w:t>щих документов и распространения информации об имеющихся законах и пр</w:t>
      </w:r>
      <w:r>
        <w:t>о</w:t>
      </w:r>
      <w:r>
        <w:t>граммах, например: «Издержки насилия в отношении женщин для экономики»; «Закон о национальной системе медицинского страхования и Кодекс гражда</w:t>
      </w:r>
      <w:r>
        <w:t>н</w:t>
      </w:r>
      <w:r>
        <w:t>ской службы: Обзор отдельных касающихся женщин положений»; «К разр</w:t>
      </w:r>
      <w:r>
        <w:t>а</w:t>
      </w:r>
      <w:r>
        <w:t>ботке гендерной программы СБФМ»; и «К созданию учитывающих потребн</w:t>
      </w:r>
      <w:r>
        <w:t>о</w:t>
      </w:r>
      <w:r>
        <w:t>сти женщин рабочих мест: Учет интересов женщин системой техники безопа</w:t>
      </w:r>
      <w:r>
        <w:t>с</w:t>
      </w:r>
      <w:r>
        <w:t>ности и медицинского обслуживания». Кроме того, были подготовлены четыре директивных инструкций и шесть директивных документов по касающимся охраны здоровья женщин и народонаселения приоритетным вопросам, в том числе по зарегистрированным в больницах случаям насилия в отношении женщин и учитывающей потребности женщин системе оценки технологич</w:t>
      </w:r>
      <w:r>
        <w:t>е</w:t>
      </w:r>
      <w:r>
        <w:t>ского воздействия. В рамках этого проекта оказывалась также поддержка в проведении общественно-информационных кампаний, например, в том, что к</w:t>
      </w:r>
      <w:r>
        <w:t>а</w:t>
      </w:r>
      <w:r>
        <w:t>сается "Beijing Watch Bulletin", диалога в средствах информации, пресс-релизов, информационных буклетов и документальных видеоматери</w:t>
      </w:r>
      <w:r>
        <w:t>а</w:t>
      </w:r>
      <w:r>
        <w:t>лов.</w:t>
      </w:r>
    </w:p>
    <w:p w:rsidR="00000000" w:rsidRDefault="00000000">
      <w:pPr>
        <w:pStyle w:val="num"/>
      </w:pPr>
      <w:r>
        <w:t>Увеличивается число проводимых научных исследований по различным вопросам охраны здор</w:t>
      </w:r>
      <w:r>
        <w:t>о</w:t>
      </w:r>
      <w:r>
        <w:t>вья. Из этих исследований можно отметить следующее:</w:t>
      </w:r>
    </w:p>
    <w:p w:rsidR="00000000" w:rsidRDefault="00000000">
      <w:pPr>
        <w:pStyle w:val="SingleTxt"/>
        <w:ind w:left="1740" w:right="1264" w:hanging="476"/>
      </w:pPr>
      <w:r>
        <w:rPr>
          <w:lang w:val="en-US"/>
        </w:rPr>
        <w:t>a</w:t>
      </w:r>
      <w:r>
        <w:t>)</w:t>
      </w:r>
      <w:r>
        <w:tab/>
        <w:t>Два исследования, проведенных Центром техники безопасности и мед</w:t>
      </w:r>
      <w:r>
        <w:t>и</w:t>
      </w:r>
      <w:r>
        <w:t>цинского обслуживания, касаются влияния техники безопасности на р</w:t>
      </w:r>
      <w:r>
        <w:t>е</w:t>
      </w:r>
      <w:r>
        <w:t>продуктивное здоровье женщин. Исследование, проведенное среди же</w:t>
      </w:r>
      <w:r>
        <w:t>н</w:t>
      </w:r>
      <w:r>
        <w:t>щин в производящих полупроводники компаниях, показало, что постоя</w:t>
      </w:r>
      <w:r>
        <w:t>н</w:t>
      </w:r>
      <w:r>
        <w:t>ный контакт со свинцом, ртутью, газо-наркотическими смесями, окисью углерода, ионизирующей радиацией пагубно влияет на здоровье женщин и их потомство. Другое исследование о вредном воздействии опасных у</w:t>
      </w:r>
      <w:r>
        <w:t>с</w:t>
      </w:r>
      <w:r>
        <w:t>ловий труда на здоровье женщин выявило, что вредные условия труда п</w:t>
      </w:r>
      <w:r>
        <w:t>а</w:t>
      </w:r>
      <w:r>
        <w:t>губно влияют на менструальный и овуляторный цикл и на гормоны, что сказывается на фертильности супружеских пар и способности женщин к деторождению; влияют на результаты родов, в частности это касается опасности выкидыша, досрочных родов, небольшого веса младенца при рождении, врожденных пороков и заболеваний у потомства; и могут пр</w:t>
      </w:r>
      <w:r>
        <w:t>и</w:t>
      </w:r>
      <w:r>
        <w:t>вести к вызванному инфекциями бесплодию и младенческой смертности в результате воздействия химических и физических загрязнителей. Другие проведенные исследования рассматриваются в положениях доклада, к</w:t>
      </w:r>
      <w:r>
        <w:t>а</w:t>
      </w:r>
      <w:r>
        <w:t>сающихся статьи 11.</w:t>
      </w:r>
    </w:p>
    <w:p w:rsidR="00000000" w:rsidRDefault="00000000">
      <w:pPr>
        <w:pStyle w:val="SingleTxt"/>
        <w:ind w:left="1740" w:right="1264" w:hanging="476"/>
      </w:pPr>
      <w:r>
        <w:rPr>
          <w:lang w:val="en-US"/>
        </w:rPr>
        <w:t>b</w:t>
      </w:r>
      <w:r>
        <w:t>)</w:t>
      </w:r>
      <w:r>
        <w:tab/>
        <w:t xml:space="preserve">В 1995 году </w:t>
      </w:r>
      <w:r>
        <w:rPr>
          <w:caps/>
        </w:rPr>
        <w:t>ц</w:t>
      </w:r>
      <w:r>
        <w:t>ентр исследований проблем женщин (</w:t>
      </w:r>
      <w:r>
        <w:rPr>
          <w:caps/>
        </w:rPr>
        <w:t>ЦИПЖ</w:t>
      </w:r>
      <w:r>
        <w:t>) при Униве</w:t>
      </w:r>
      <w:r>
        <w:t>р</w:t>
      </w:r>
      <w:r>
        <w:t>ситете Филиппин совместно с двумя другими учебно-исследовательскими центрами и шестью женскими неправительственными организациями создал рабочую группу для проведения трехлетнего исследования, п</w:t>
      </w:r>
      <w:r>
        <w:t>о</w:t>
      </w:r>
      <w:r>
        <w:t>священного вопросам охраны здоровья женщин. В рамках этого проекта, финансируемого ЮНФПА, была собрана информация и разработана те</w:t>
      </w:r>
      <w:r>
        <w:t>х</w:t>
      </w:r>
      <w:r>
        <w:t>нология, необходимая для всестороннего понимания женских проблем. Это исследование было направлено на изучение отношения женщин к свои репродуктивным правам, перспектив для потребителя в плане и</w:t>
      </w:r>
      <w:r>
        <w:t>с</w:t>
      </w:r>
      <w:r>
        <w:t>пользования методов регулирования фертильности и связей между нас</w:t>
      </w:r>
      <w:r>
        <w:t>и</w:t>
      </w:r>
      <w:r>
        <w:t>лием в отношении женщин и состоянием здоровья женщин. Полученные результаты показали, что, несмотря на нежелание женщин осуществлять свои права в ходе репродуктивного процесса, понятие репродуктивных прав существенным образом определяет восприятие женщинами своей сексуальности и их роль в обществе. Проведенные исследования также показали, что многие женщины знают о МРФ, однако ввиду отсутствия информации они не могут сделать свой свободный и осознанный выбор. Это также объясняется и отсутствием соответствующих услуг и госпо</w:t>
      </w:r>
      <w:r>
        <w:t>д</w:t>
      </w:r>
      <w:r>
        <w:t>ством мужчин. У женщин нет достаточно сил, чтобы отказаться от всту</w:t>
      </w:r>
      <w:r>
        <w:t>п</w:t>
      </w:r>
      <w:r>
        <w:t>ления в половую связь, поскольку они знают, что в этом случае они могут подвергнуться насилию (ЦИПЖ, 2001 год). Выводом проведенных иссл</w:t>
      </w:r>
      <w:r>
        <w:t>е</w:t>
      </w:r>
      <w:r>
        <w:t>дований стало то, что для регулирования фертильности необходимо обе</w:t>
      </w:r>
      <w:r>
        <w:t>с</w:t>
      </w:r>
      <w:r>
        <w:t>печить активное участие мужчин, а также провести биомедицинские и</w:t>
      </w:r>
      <w:r>
        <w:t>с</w:t>
      </w:r>
      <w:r>
        <w:t>следования с целью поиска более удобных для му</w:t>
      </w:r>
      <w:r>
        <w:t>ж</w:t>
      </w:r>
      <w:r>
        <w:t>чин МРФ.</w:t>
      </w:r>
    </w:p>
    <w:p w:rsidR="00000000" w:rsidRDefault="00000000">
      <w:pPr>
        <w:pStyle w:val="SingleTxt"/>
        <w:ind w:left="1740" w:right="1264" w:hanging="476"/>
      </w:pPr>
      <w:r>
        <w:rPr>
          <w:lang w:val="en-US"/>
        </w:rPr>
        <w:t>c</w:t>
      </w:r>
      <w:r>
        <w:t>)</w:t>
      </w:r>
      <w:r>
        <w:tab/>
        <w:t>Фонд Форда спонсировал ряд исследований и публикаций по вопросам репродуктивного здоровья женщин и их прав, работа над которыми коо</w:t>
      </w:r>
      <w:r>
        <w:t>р</w:t>
      </w:r>
      <w:r>
        <w:t>динировалась ЦИПЖ. Одно исследование было посвящено определению отношений между мужчинами и женщинами и их репродуктивной роли на примере двух поколений в одной из сельских общин. Была отмечена н</w:t>
      </w:r>
      <w:r>
        <w:t>е</w:t>
      </w:r>
      <w:r>
        <w:t>обходимость разработки программы полового воспитания и использов</w:t>
      </w:r>
      <w:r>
        <w:t>а</w:t>
      </w:r>
      <w:r>
        <w:t>ния противозачаточных средств в рамках определения отношений между мужчинами и женщинами и их роли, а роль мужчин и женщин следует пересмотреть с тем, чтобы супружеские и семейные отношения характ</w:t>
      </w:r>
      <w:r>
        <w:t>е</w:t>
      </w:r>
      <w:r>
        <w:t>ризовались не только священностью, гармонией и уважением, но и раве</w:t>
      </w:r>
      <w:r>
        <w:t>н</w:t>
      </w:r>
      <w:r>
        <w:t>ством и равноправием мужчин и женщин различных поколений. В рамках других трех исследований решались вопросы отношений между мужч</w:t>
      </w:r>
      <w:r>
        <w:t>и</w:t>
      </w:r>
      <w:r>
        <w:t>нами и женщинами и репродуктивного здоровья на островах Висайян: о</w:t>
      </w:r>
      <w:r>
        <w:t>д</w:t>
      </w:r>
      <w:r>
        <w:t>но из них было посвящено раздельному жительству супругов, другое – традиционным методам регулирования деторождения среди коренных н</w:t>
      </w:r>
      <w:r>
        <w:t>а</w:t>
      </w:r>
      <w:r>
        <w:t>родов острова Панай, а третье – случаям изнасилования и сексуального надруг</w:t>
      </w:r>
      <w:r>
        <w:t>а</w:t>
      </w:r>
      <w:r>
        <w:t>тельства во время свиданий.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Деятельность НПО в области охраны здоровья женщин и девочек</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После 1994 года филиппинским отделением организации «Чайлдхоуп Эйшиа» в рамках его учебно-воспитательного проекта для уличных детей были организованы занятия по вопросам медицинского образования в таких обла</w:t>
      </w:r>
      <w:r>
        <w:t>с</w:t>
      </w:r>
      <w:r>
        <w:t>тях, как первичная медико-санитарная помощь, ВИЧ/СПИД, ЗПП, обычные з</w:t>
      </w:r>
      <w:r>
        <w:t>а</w:t>
      </w:r>
      <w:r>
        <w:t>болевания и сексуальность и репродуктивное здоровье подростков. В период с 1994 по 1998 годы такими занятиями по медицинскому просвещению было о</w:t>
      </w:r>
      <w:r>
        <w:t>х</w:t>
      </w:r>
      <w:r>
        <w:t>вачено 3 907 детей, а услуги по оказанию первичной медицинской помощи б</w:t>
      </w:r>
      <w:r>
        <w:t>ы</w:t>
      </w:r>
      <w:r>
        <w:t>ли оказаны 5 808 детям. За период с последнего квартала 1998 года по 1999 год организация «Чайлдхоуп» стала дезагригировать свои получаемые данные по признаку пола. Она насчитала 485 уличных девочек, которым была оказана м</w:t>
      </w:r>
      <w:r>
        <w:t>е</w:t>
      </w:r>
      <w:r>
        <w:t>дицинская помощь и другие медицинские услуги, и 198 уличных девочек, к</w:t>
      </w:r>
      <w:r>
        <w:t>о</w:t>
      </w:r>
      <w:r>
        <w:t>торые посещали занятия по вопросам личной гигиены, профилактики ЗПП и ВИЧ и полового воспитания.</w:t>
      </w:r>
    </w:p>
    <w:p w:rsidR="00000000" w:rsidRDefault="00000000">
      <w:pPr>
        <w:pStyle w:val="num"/>
      </w:pPr>
      <w:r>
        <w:t>В 1995 и 1996 годах «Лундуян» (бывший Фонд исследований проблем д</w:t>
      </w:r>
      <w:r>
        <w:t>е</w:t>
      </w:r>
      <w:r>
        <w:t>тей) организовал в шести районах города Кесон учебно-разъяснительную ка</w:t>
      </w:r>
      <w:r>
        <w:t>м</w:t>
      </w:r>
      <w:r>
        <w:t>панию. Он спонсировал шесть конкурсов на лучший плакат и лозунг, посв</w:t>
      </w:r>
      <w:r>
        <w:t>я</w:t>
      </w:r>
      <w:r>
        <w:t>щенный борьбе с ВИЧ/СПИДом и ЗПП, и организовал учебные семинары для 20 непрофессиональных воспитателей и 34 районных молодежных лидеров. Десятью непрофессиональными воспитателями было проведено 35 занятий для 772 детей и подростков, более половины из которых участвовали в реализации данного проекта в среднем в течение 4 месяцев; в это же время для молодых лидеров и чиновников была организована учеба по вопросам руководства и оказания содействия, оценки и планирования и проведения мероприятий по повышению осведомленности общин в том, что касается ЗПП и ВИЧ/СПИДа. Данный проект позволил создать сеть поддержки и совместно с шестью ра</w:t>
      </w:r>
      <w:r>
        <w:t>й</w:t>
      </w:r>
      <w:r>
        <w:t>онами открыть в каждом районе детское отделение. Материалы этого проекта в настоящее время используются детскими молодежными сетями национального проекта оказания помощи уличным детям и другими неправительственными организациями. В 1998 и 1999 годах фонд «Лундуян» совместно с Советом с</w:t>
      </w:r>
      <w:r>
        <w:t>о</w:t>
      </w:r>
      <w:r>
        <w:t>циальной поддержки Пампанги (САКОП), Францисканскими миссионерами и «Бахай Тулуян» работал над тем, чтобы включить вопросы профилактики ВИЧ/СПИДа и защиты прав ребенка в текущую деятельность этих организаций в области пр</w:t>
      </w:r>
      <w:r>
        <w:t>и</w:t>
      </w:r>
      <w:r>
        <w:t>обретения земли, переселения и борьбы с бедностью.</w:t>
      </w:r>
    </w:p>
    <w:p w:rsidR="00000000" w:rsidRDefault="00000000">
      <w:pPr>
        <w:pStyle w:val="num"/>
      </w:pPr>
      <w:r>
        <w:t>Другой неправительственной организацией, кооперативным движением ИНСАЙТ, было организовано восемь учебных сессий для сотрудников мин</w:t>
      </w:r>
      <w:r>
        <w:t>и</w:t>
      </w:r>
      <w:r>
        <w:t>стерства здравоохранения по вопросам учета гендерных вопросов в осущест</w:t>
      </w:r>
      <w:r>
        <w:t>в</w:t>
      </w:r>
      <w:r>
        <w:t>ляемых ими проектах и мероприятиях. Три таких сессии были проведены в центральном учреждении этой организации, а пять – в ее региональных отд</w:t>
      </w:r>
      <w:r>
        <w:t>е</w:t>
      </w:r>
      <w:r>
        <w:t>лениях. Аналогичная подготовка была также проведена и для сотрудников м</w:t>
      </w:r>
      <w:r>
        <w:t>е</w:t>
      </w:r>
      <w:r>
        <w:t>стных органов власти.</w:t>
      </w:r>
    </w:p>
    <w:p w:rsidR="00000000" w:rsidRDefault="00000000">
      <w:pPr>
        <w:pStyle w:val="num"/>
      </w:pPr>
      <w:r>
        <w:t>Филиппинская ассоциация девочек-скаутов организовала учебные сессии по вопросам питания (взвешивание, кормление и наблюдение за ростом), ли</w:t>
      </w:r>
      <w:r>
        <w:t>ч</w:t>
      </w:r>
      <w:r>
        <w:t>ной гигиены, охраны здоровья и планирования размеров семьи, а также оказ</w:t>
      </w:r>
      <w:r>
        <w:t>ы</w:t>
      </w:r>
      <w:r>
        <w:t>вала бесплатные стоматологические и медицинские услуги, услуги по вывед</w:t>
      </w:r>
      <w:r>
        <w:t>е</w:t>
      </w:r>
      <w:r>
        <w:t>нию глистов и иммунизации и участвовала в проводимых министерством здр</w:t>
      </w:r>
      <w:r>
        <w:t>а</w:t>
      </w:r>
      <w:r>
        <w:t>воохранения семинарах по методам оральной дегидратации. Девочки-скауты занимаются также севом семян, выращиванием растений и оказывают общинам помощь в оборудовании туалетов со сливными бачками или компостных ям, комнат отдыха и систем снабжения безопасной водой.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70" w:name="_Toc85174939"/>
      <w:r>
        <w:t xml:space="preserve">С. </w:t>
      </w:r>
      <w:r>
        <w:tab/>
        <w:t>Нерешенные проблемы и препятствия</w:t>
      </w:r>
      <w:bookmarkEnd w:id="7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Правительство прилагает все силы для того, чтобы удовлетворить разли</w:t>
      </w:r>
      <w:r>
        <w:t>ч</w:t>
      </w:r>
      <w:r>
        <w:t>ные потребности женщин в охране их здоровья. Однако все еще не решен в</w:t>
      </w:r>
      <w:r>
        <w:t>о</w:t>
      </w:r>
      <w:r>
        <w:t>прос об удовлетворении потребностей престарелых женщин, поскольку же</w:t>
      </w:r>
      <w:r>
        <w:t>н</w:t>
      </w:r>
      <w:r>
        <w:t>щины, как правило, живут дольше мужчин. Надлежащего внимания не пол</w:t>
      </w:r>
      <w:r>
        <w:t>у</w:t>
      </w:r>
      <w:r>
        <w:t>чают и другие возрастные группы, например, подростки и женщины менопа</w:t>
      </w:r>
      <w:r>
        <w:t>у</w:t>
      </w:r>
      <w:r>
        <w:t>зального периода. Необходимо активизировать осуществление существующих программ и услуг комплексным образом, чтобы они могли надлежащим обр</w:t>
      </w:r>
      <w:r>
        <w:t>а</w:t>
      </w:r>
      <w:r>
        <w:t>зом реагировать на потребности женщин на протяжении всего их жизненного цикла. Для того, чтобы программы медицинского обслуживания могли расш</w:t>
      </w:r>
      <w:r>
        <w:t>и</w:t>
      </w:r>
      <w:r>
        <w:t>рить свой географический охват, необходимо выделить дополнительные ресу</w:t>
      </w:r>
      <w:r>
        <w:t>р</w:t>
      </w:r>
      <w:r>
        <w:t>сы. Следует также документально регистрировать конкретные результаты ос</w:t>
      </w:r>
      <w:r>
        <w:t>у</w:t>
      </w:r>
      <w:r>
        <w:t>ществления правительственных программ и услуг в области охраны здоровья и благосо</w:t>
      </w:r>
      <w:r>
        <w:t>с</w:t>
      </w:r>
      <w:r>
        <w:t>тояния женщин.</w:t>
      </w:r>
    </w:p>
    <w:p w:rsidR="00000000" w:rsidRDefault="00000000">
      <w:pPr>
        <w:pStyle w:val="num"/>
      </w:pPr>
      <w:r>
        <w:t>Местные государственные органы играют важную роль в обеспечении осуществления программ охраны здоровья женщин и оказания общинам соо</w:t>
      </w:r>
      <w:r>
        <w:t>т</w:t>
      </w:r>
      <w:r>
        <w:t>ветствующих услуг. Необходимо в срочном порядке решить вопросы, связа</w:t>
      </w:r>
      <w:r>
        <w:t>н</w:t>
      </w:r>
      <w:r>
        <w:t>ные с децентрализацией системы оказания медицинских услуг, а также укр</w:t>
      </w:r>
      <w:r>
        <w:t>е</w:t>
      </w:r>
      <w:r>
        <w:t>пить финансовые и технические возможности местных органов власти по ре</w:t>
      </w:r>
      <w:r>
        <w:t>а</w:t>
      </w:r>
      <w:r>
        <w:t>лизации программ с учетом процесса децентрализации. Кроме того, подготовка специалистов и создание потенциала во всех аспектах местного управления должны включать гендерные вопросы. Такие потребности местных государс</w:t>
      </w:r>
      <w:r>
        <w:t>т</w:t>
      </w:r>
      <w:r>
        <w:t>венных органов уже стали учитываться в рамках осуществления некоторых проектов ЮНФПА и Европейского Союза, и необходимо обеспечить контроль за выполнением поставленных здесь целей. Статистику здравоохранения сл</w:t>
      </w:r>
      <w:r>
        <w:t>е</w:t>
      </w:r>
      <w:r>
        <w:t>дует постоянно дезагригировать по признаку пола и по другим факторам, ос</w:t>
      </w:r>
      <w:r>
        <w:t>о</w:t>
      </w:r>
      <w:r>
        <w:t>бенно на местном уровне.</w:t>
      </w:r>
    </w:p>
    <w:p w:rsidR="00000000" w:rsidRDefault="00000000">
      <w:pPr>
        <w:pStyle w:val="num"/>
      </w:pPr>
      <w:r>
        <w:t>Помощь жертвам насилия в отношении женщин является по своему х</w:t>
      </w:r>
      <w:r>
        <w:t>а</w:t>
      </w:r>
      <w:r>
        <w:t>рактеру чисто медицинской, хотя сегодня стали предприниматься усилия для разъяснения медицинским работникам и медицинским центрам того, какую помощь н</w:t>
      </w:r>
      <w:r>
        <w:t>е</w:t>
      </w:r>
      <w:r>
        <w:t>обходимо оказывать жертвам насилия (см. пункт 211).</w:t>
      </w:r>
    </w:p>
    <w:p w:rsidR="00000000" w:rsidRDefault="00000000">
      <w:pPr>
        <w:pStyle w:val="num"/>
      </w:pPr>
      <w:r>
        <w:t>Необходимо также тщательно контролировать пересмотр правил и пол</w:t>
      </w:r>
      <w:r>
        <w:t>о</w:t>
      </w:r>
      <w:r>
        <w:t>жений об осуществлении Закона о национальной системе медицинского стр</w:t>
      </w:r>
      <w:r>
        <w:t>а</w:t>
      </w:r>
      <w:r>
        <w:t>хования с тем, чтобы были приняты во внимание учитывающие интересы женщин положения и чтобы они были включены в программу. В Плане 500, к</w:t>
      </w:r>
      <w:r>
        <w:t>о</w:t>
      </w:r>
      <w:r>
        <w:t>торый предусматривает расширение сферы применения программы наци</w:t>
      </w:r>
      <w:r>
        <w:t>о</w:t>
      </w:r>
      <w:r>
        <w:t>нального медицинского страхования, ничего не говорится об особом полож</w:t>
      </w:r>
      <w:r>
        <w:t>е</w:t>
      </w:r>
      <w:r>
        <w:t>нии женщин. Следует пересмотреть этот план и изучить пути включения ге</w:t>
      </w:r>
      <w:r>
        <w:t>н</w:t>
      </w:r>
      <w:r>
        <w:t>дерных вопросов в его о</w:t>
      </w:r>
      <w:r>
        <w:t>с</w:t>
      </w:r>
      <w:r>
        <w:t>новные элементы.</w:t>
      </w:r>
    </w:p>
    <w:p w:rsidR="00000000" w:rsidRDefault="00000000">
      <w:pPr>
        <w:pStyle w:val="num"/>
      </w:pPr>
      <w:r>
        <w:t>Хотя в регионах и центральных учреждениях проводится подготовка с</w:t>
      </w:r>
      <w:r>
        <w:t>о</w:t>
      </w:r>
      <w:r>
        <w:t>трудников министерства здравоохранения по гендерным вопросам и вопросам здравоохранения, осуществление программ действий соответствующих учас</w:t>
      </w:r>
      <w:r>
        <w:t>т</w:t>
      </w:r>
      <w:r>
        <w:t>ников по включению гендерных вопросов в их проекты и деятельность еще н</w:t>
      </w:r>
      <w:r>
        <w:t>а</w:t>
      </w:r>
      <w:r>
        <w:t>чато не было. Например, они должны активизировать свои усилия по привл</w:t>
      </w:r>
      <w:r>
        <w:t>е</w:t>
      </w:r>
      <w:r>
        <w:t>чению мужчин и их поддержке в отношении выполнения родительских фун</w:t>
      </w:r>
      <w:r>
        <w:t>к</w:t>
      </w:r>
      <w:r>
        <w:t>ций, которые включают планирование размера семьи и воспитания детей, чт</w:t>
      </w:r>
      <w:r>
        <w:t>о</w:t>
      </w:r>
      <w:r>
        <w:t>бы обеспечить благ</w:t>
      </w:r>
      <w:r>
        <w:t>о</w:t>
      </w:r>
      <w:r>
        <w:t>получие и здоровье своих детей и жен.</w:t>
      </w:r>
    </w:p>
    <w:p w:rsidR="00000000" w:rsidRDefault="00000000">
      <w:pPr>
        <w:pStyle w:val="num"/>
      </w:pPr>
      <w:r>
        <w:t>В 2002 году при разработке Закона об охране репродуктивного здоровья возник некоторый спор. Оживленное обсуждение вызвала пояснительная з</w:t>
      </w:r>
      <w:r>
        <w:t>а</w:t>
      </w:r>
      <w:r>
        <w:t>писка к этому закону, в которой отмечалась необходимость устранения юрид</w:t>
      </w:r>
      <w:r>
        <w:t>и</w:t>
      </w:r>
      <w:r>
        <w:t>ческих препятствий для производства аборта. Министерство здравоохранения подчеркнуло, что правительство не поддерживает производство аборта как м</w:t>
      </w:r>
      <w:r>
        <w:t>е</w:t>
      </w:r>
      <w:r>
        <w:t>тод регулирования размеров семьи. Предотвращение и лечение последствий абортов вызывает определенные проблемы. Министерство здравоохранения поддерживает этот закон, поскольку он позволил бы помимо программы пл</w:t>
      </w:r>
      <w:r>
        <w:t>а</w:t>
      </w:r>
      <w:r>
        <w:t>нирования размеров семьи оказывать, особенно бедным, дополнительные усл</w:t>
      </w:r>
      <w:r>
        <w:t>у</w:t>
      </w:r>
      <w:r>
        <w:t>ги и предоставлять им дополнительные товары. Однако, оно не согласно с включением в него положения об использовании крайних средств прерывания беременности. До этого оно поддерживало их применение, поскольку ВОЗ д</w:t>
      </w:r>
      <w:r>
        <w:t>о</w:t>
      </w:r>
      <w:r>
        <w:t>казало, что оно безвредно для половой системы женщины. Но в последствии оно заняло позицию нынешней администрации, заключающуюся в запрещении применения таких искусственных методов, а затем пригласило зарубежных и</w:t>
      </w:r>
      <w:r>
        <w:t>с</w:t>
      </w:r>
      <w:r>
        <w:t>следователей, занимающихся изучением применения крайних средств прер</w:t>
      </w:r>
      <w:r>
        <w:t>ы</w:t>
      </w:r>
      <w:r>
        <w:t>вания беременности, которые заявили, что это является средством, вызыва</w:t>
      </w:r>
      <w:r>
        <w:t>ю</w:t>
      </w:r>
      <w:r>
        <w:t>щим аборт. Некоторые местные органы правления, например в Маниле, уже з</w:t>
      </w:r>
      <w:r>
        <w:t>а</w:t>
      </w:r>
      <w:r>
        <w:t>претили распространение информации о таких средствах и их продажу, равно как и использование искусственных методов противозачатия.</w:t>
      </w:r>
    </w:p>
    <w:p w:rsidR="00000000" w:rsidRDefault="00000000">
      <w:pPr>
        <w:pStyle w:val="num"/>
      </w:pPr>
      <w:r>
        <w:t>В настоящий момент обеспокоенность вызывает обеспечение всесторо</w:t>
      </w:r>
      <w:r>
        <w:t>н</w:t>
      </w:r>
      <w:r>
        <w:t>них потребностей женщин в охране их здоровья на протяжении всего их жи</w:t>
      </w:r>
      <w:r>
        <w:t>з</w:t>
      </w:r>
      <w:r>
        <w:t>ненного цикла. Потребности женщин в охране здоровья и питании следует ра</w:t>
      </w:r>
      <w:r>
        <w:t>с</w:t>
      </w:r>
      <w:r>
        <w:t>сматривать в контексте их роли на протяжении всей жизни. Помимо репроду</w:t>
      </w:r>
      <w:r>
        <w:t>к</w:t>
      </w:r>
      <w:r>
        <w:t>тивного здоровья, необходимо уделить внимание психическому здоровью, те</w:t>
      </w:r>
      <w:r>
        <w:t>х</w:t>
      </w:r>
      <w:r>
        <w:t>нике безопасности труда и влиянию окружающей среды на состояние здоровья женщин. Для того, чтобы женщины имели возможность вести производител</w:t>
      </w:r>
      <w:r>
        <w:t>ь</w:t>
      </w:r>
      <w:r>
        <w:t>ный и здоровый образ жизни, необходимо обеспечить доступ к медицинским услугам в отношении всех проблем женщин в области охраны их здоровья, включая репродуктивное здоровье. Женщины и мужчины должны быть дост</w:t>
      </w:r>
      <w:r>
        <w:t>а</w:t>
      </w:r>
      <w:r>
        <w:t>точно образованными и информированными, с тем чтобы они могли делать осознанный выбор в том, что касается их репродуктивного зд</w:t>
      </w:r>
      <w:r>
        <w:t>о</w:t>
      </w:r>
      <w:r>
        <w:t>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71" w:name="_Toc85174940"/>
      <w:r>
        <w:t>Статья 13. Социальные и экономические пособия</w:t>
      </w:r>
      <w:bookmarkEnd w:id="7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rPr>
          <w:i/>
        </w:rPr>
      </w:pPr>
      <w:r>
        <w:rPr>
          <w:i/>
        </w:rPr>
        <w:t>Обеспечение равных прав в других областях экономической и социальной жи</w:t>
      </w:r>
      <w:r>
        <w:rPr>
          <w:i/>
        </w:rPr>
        <w:t>з</w:t>
      </w:r>
      <w:r>
        <w:rPr>
          <w:i/>
        </w:rPr>
        <w:t>ни, в частности в отношении семейных пособий, финансовых кредитов и уч</w:t>
      </w:r>
      <w:r>
        <w:rPr>
          <w:i/>
        </w:rPr>
        <w:t>а</w:t>
      </w:r>
      <w:r>
        <w:rPr>
          <w:i/>
        </w:rPr>
        <w:t>стия в мероприятиях, связанных с отдыхом, занятиях спортом и во всех о</w:t>
      </w:r>
      <w:r>
        <w:rPr>
          <w:i/>
        </w:rPr>
        <w:t>б</w:t>
      </w:r>
      <w:r>
        <w:rPr>
          <w:i/>
        </w:rPr>
        <w:t>ластях кул</w:t>
      </w:r>
      <w:r>
        <w:rPr>
          <w:i/>
        </w:rPr>
        <w:t>ь</w:t>
      </w:r>
      <w:r>
        <w:rPr>
          <w:i/>
        </w:rPr>
        <w:t>турной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72" w:name="_Toc85174941"/>
      <w:r>
        <w:t xml:space="preserve">А. </w:t>
      </w:r>
      <w:r>
        <w:tab/>
        <w:t>Положение женщин</w:t>
      </w:r>
      <w:bookmarkEnd w:id="72"/>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Конституцией в качестве государственной политики предусматривается оказание содействия установлению справедливого и динамически развивающ</w:t>
      </w:r>
      <w:r>
        <w:t>е</w:t>
      </w:r>
      <w:r>
        <w:t>гося социального порядка и социальной справедливости на всех этапах наци</w:t>
      </w:r>
      <w:r>
        <w:t>о</w:t>
      </w:r>
      <w:r>
        <w:t>нального развития (статья II, разделы 9 и 10). Она нацелена на то, чтобы осв</w:t>
      </w:r>
      <w:r>
        <w:t>о</w:t>
      </w:r>
      <w:r>
        <w:t>бодить народ от бедности путем предоставления ему надлежащих социальных услуг и обеспечения полной занятости, повышения уровня жизни и улучшения качества жизни для всех. В ней также закрепляются равные права для всех. Н</w:t>
      </w:r>
      <w:r>
        <w:t>е</w:t>
      </w:r>
      <w:r>
        <w:t>смотря на все такие устремления, неразвитая экономика и существование н</w:t>
      </w:r>
      <w:r>
        <w:t>е</w:t>
      </w:r>
      <w:r>
        <w:t>которых культурных традиций являются причиной неравенства между мужч</w:t>
      </w:r>
      <w:r>
        <w:t>и</w:t>
      </w:r>
      <w:r>
        <w:t>нами и женщинами, богатыми и бедными, и женщинами, живущими в горо</w:t>
      </w:r>
      <w:r>
        <w:t>д</w:t>
      </w:r>
      <w:r>
        <w:t>ских районах и сельской местности. Женщины больше всех страдают от бедн</w:t>
      </w:r>
      <w:r>
        <w:t>о</w:t>
      </w:r>
      <w:r>
        <w:t>сти, поскольку на их плечи ложатся обязанности по обеспечению благососто</w:t>
      </w:r>
      <w:r>
        <w:t>я</w:t>
      </w:r>
      <w:r>
        <w:t>ния семьи и уходу за членами семьи.</w:t>
      </w:r>
    </w:p>
    <w:p w:rsidR="00000000" w:rsidRDefault="00000000">
      <w:pPr>
        <w:pStyle w:val="num"/>
      </w:pPr>
      <w:r>
        <w:t>Предыдущая и нынешняя администрация уделяли серьезное внимание вопросам борьбы с бедностью. В результате были приняты различные полит</w:t>
      </w:r>
      <w:r>
        <w:t>и</w:t>
      </w:r>
      <w:r>
        <w:t>ческие меры и разработаны программы по улучшению положения бедных. Многие из них специально предназначены для оказания помощи женщинам, как осно</w:t>
      </w:r>
      <w:r>
        <w:t>в</w:t>
      </w:r>
      <w:r>
        <w:t>ным бенефициарам.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73" w:name="_Toc85174942"/>
      <w:r>
        <w:t xml:space="preserve">В. </w:t>
      </w:r>
      <w:r>
        <w:tab/>
        <w:t>Меры политического характера и программы</w:t>
      </w:r>
      <w:bookmarkEnd w:id="7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Семейные пособия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Признавая широкие масштабы бедности в филиппинском обществе, пр</w:t>
      </w:r>
      <w:r>
        <w:t>е</w:t>
      </w:r>
      <w:r>
        <w:t>зиденты рассматривали борьбу с бедностью как одну из основных целей де</w:t>
      </w:r>
      <w:r>
        <w:t>я</w:t>
      </w:r>
      <w:r>
        <w:t>тельн</w:t>
      </w:r>
      <w:r>
        <w:t>о</w:t>
      </w:r>
      <w:r>
        <w:t>сти их администрации.</w:t>
      </w:r>
    </w:p>
    <w:p w:rsidR="00000000" w:rsidRDefault="00000000">
      <w:pPr>
        <w:pStyle w:val="SingleTxt"/>
        <w:ind w:left="1740" w:right="1264" w:hanging="476"/>
      </w:pPr>
      <w:r>
        <w:rPr>
          <w:lang w:val="en-US"/>
        </w:rPr>
        <w:t>a</w:t>
      </w:r>
      <w:r>
        <w:t>)</w:t>
      </w:r>
      <w:r>
        <w:tab/>
        <w:t>При президентстве Рамоса (1992-1998 гг.) была создана организационная основа для включения программ и проектов участия населения и ко</w:t>
      </w:r>
      <w:r>
        <w:t>м</w:t>
      </w:r>
      <w:r>
        <w:t>плексной борьбы с бедностью в Программу социальных реформ (ПСР). Эта программа, опирающаяся на принципы минимальных базовых п</w:t>
      </w:r>
      <w:r>
        <w:t>о</w:t>
      </w:r>
      <w:r>
        <w:t>требностей (МБП) и всеобъемлющего и комплексного оказания социал</w:t>
      </w:r>
      <w:r>
        <w:t>ь</w:t>
      </w:r>
      <w:r>
        <w:t>ных услуг (ВКОСУ), предусматривает комплекс правительственных мер, нацеленных на вовлечение находящихся в неблагоприятном положении групп населения в политическую и экономическую жизнь Филиппин.</w:t>
      </w:r>
    </w:p>
    <w:p w:rsidR="00000000" w:rsidRDefault="00000000">
      <w:pPr>
        <w:pStyle w:val="SingleTxt"/>
        <w:ind w:left="1740" w:right="1264" w:hanging="476"/>
      </w:pPr>
      <w:r>
        <w:rPr>
          <w:lang w:val="en-US"/>
        </w:rPr>
        <w:t>b</w:t>
      </w:r>
      <w:r>
        <w:t>)</w:t>
      </w:r>
      <w:r>
        <w:tab/>
        <w:t>Во время президентства Эстрады (1998-2000 гг.) доступ к социальным у</w:t>
      </w:r>
      <w:r>
        <w:t>с</w:t>
      </w:r>
      <w:r>
        <w:t>лугам был обеспечен для семей и общин посредством осуществления О</w:t>
      </w:r>
      <w:r>
        <w:t>с</w:t>
      </w:r>
      <w:r>
        <w:t>новной программы ВКОСУ. Помимо оказания социальных услуг, эта пр</w:t>
      </w:r>
      <w:r>
        <w:t>о</w:t>
      </w:r>
      <w:r>
        <w:t>грамма предусматривает расширение возможностей общин и местных г</w:t>
      </w:r>
      <w:r>
        <w:t>о</w:t>
      </w:r>
      <w:r>
        <w:t>сударственных органов власти в области общинного планирования, по</w:t>
      </w:r>
      <w:r>
        <w:t>д</w:t>
      </w:r>
      <w:r>
        <w:t>готовки проектов и управления ими и мобилизации ресурсов, и она пол</w:t>
      </w:r>
      <w:r>
        <w:t>у</w:t>
      </w:r>
      <w:r>
        <w:t>чила международное признание за то, что ее удалось быстро и эффекти</w:t>
      </w:r>
      <w:r>
        <w:t>в</w:t>
      </w:r>
      <w:r>
        <w:t>но распространить на всю территорию страны. Лежащий в ее основе те</w:t>
      </w:r>
      <w:r>
        <w:t>х</w:t>
      </w:r>
      <w:r>
        <w:t>нологический подход был также принят и в рамках других основных пр</w:t>
      </w:r>
      <w:r>
        <w:t>о</w:t>
      </w:r>
      <w:r>
        <w:t>грамм министерства социального обеспечения. Министерство социальн</w:t>
      </w:r>
      <w:r>
        <w:t>о</w:t>
      </w:r>
      <w:r>
        <w:t>го обеспечения руководит общим направлением осуществления проекта ВКОСУ, который нацелен на обеспечение минимальных базовых потре</w:t>
      </w:r>
      <w:r>
        <w:t>б</w:t>
      </w:r>
      <w:r>
        <w:t>ностей находящихся в неблагоприятном положении семей и общин во всех муниципалитетах 6-го и 5-го класса, а также в бедных городских районах с тем, чтобы они могли получить доступ к социальным услугам. Система ВКОСУ предусматривает использование четырехстороннего подхода, заключающегося в организации общин, развитии всех семей, сближении и целенаправленной помощи в расширении возможностей с</w:t>
      </w:r>
      <w:r>
        <w:t>е</w:t>
      </w:r>
      <w:r>
        <w:t>мей в плане занятия производственной деятельностью. Министерство заявило, что за период с 1994 по 1998 годы в среднем на 68 процентов снизился уровень неудовлетворения десяти основных минимальных баз</w:t>
      </w:r>
      <w:r>
        <w:t>о</w:t>
      </w:r>
      <w:r>
        <w:t>вых потребностей. По состоянию на декабрь 2000 года эта программа б</w:t>
      </w:r>
      <w:r>
        <w:t>ы</w:t>
      </w:r>
      <w:r>
        <w:t>ла осуществлена в 3 250 сельских общинах, 1 084 муниципалитетах и в 100 городских бедных общинах, то есть бенефициарами ее стали 233 128 семей.</w:t>
      </w:r>
    </w:p>
    <w:p w:rsidR="00000000" w:rsidRDefault="00000000">
      <w:pPr>
        <w:pStyle w:val="SingleTxt"/>
        <w:ind w:left="1740" w:right="1264" w:hanging="476"/>
      </w:pPr>
      <w:r>
        <w:rPr>
          <w:lang w:val="en-US"/>
        </w:rPr>
        <w:t>c</w:t>
      </w:r>
      <w:r>
        <w:t>)</w:t>
      </w:r>
      <w:r>
        <w:tab/>
        <w:t>В 2001 году при президенте Арройо была принята программа Национал</w:t>
      </w:r>
      <w:r>
        <w:t>ь</w:t>
      </w:r>
      <w:r>
        <w:t xml:space="preserve">ной комиссии по борьбе с бедностью (НКББ) </w:t>
      </w:r>
      <w:r>
        <w:rPr>
          <w:i/>
        </w:rPr>
        <w:t>"Kapit-Bisig Laban sa Kah</w:t>
      </w:r>
      <w:r>
        <w:rPr>
          <w:i/>
        </w:rPr>
        <w:t>i</w:t>
      </w:r>
      <w:r>
        <w:rPr>
          <w:i/>
        </w:rPr>
        <w:t>rapan"</w:t>
      </w:r>
      <w:r>
        <w:t xml:space="preserve"> (КАЛАХИ) в качестве основы стратегии ускоренной, целенапра</w:t>
      </w:r>
      <w:r>
        <w:t>в</w:t>
      </w:r>
      <w:r>
        <w:t>ленной и систематической борьбы с бедностью. Эта программа была ра</w:t>
      </w:r>
      <w:r>
        <w:t>з</w:t>
      </w:r>
      <w:r>
        <w:t>работана после проведения консультаций с представителями бедных сл</w:t>
      </w:r>
      <w:r>
        <w:t>о</w:t>
      </w:r>
      <w:r>
        <w:t>ев населения. В 2002 году по линии программы КАЛАХИ финансиров</w:t>
      </w:r>
      <w:r>
        <w:t>а</w:t>
      </w:r>
      <w:r>
        <w:t>лись проекты обеспечения неудовлетворенных минимальных базовых п</w:t>
      </w:r>
      <w:r>
        <w:t>о</w:t>
      </w:r>
      <w:r>
        <w:t>требностей бедных слоев населения в 367 сельских общинах в муницип</w:t>
      </w:r>
      <w:r>
        <w:t>а</w:t>
      </w:r>
      <w:r>
        <w:t>литетах с наиболее низким уровнем доходов (5 и 6 классы) по всей стр</w:t>
      </w:r>
      <w:r>
        <w:t>а</w:t>
      </w:r>
      <w:r>
        <w:t>не. Эти проекты, как правило, предусматривали создание инфраструкт</w:t>
      </w:r>
      <w:r>
        <w:t>у</w:t>
      </w:r>
      <w:r>
        <w:t>ры, осуществление проектов электрификации, оказание помощи в пол</w:t>
      </w:r>
      <w:r>
        <w:t>у</w:t>
      </w:r>
      <w:r>
        <w:t>чении жилья, средств существования и реализацию других базовых пр</w:t>
      </w:r>
      <w:r>
        <w:t>о</w:t>
      </w:r>
      <w:r>
        <w:t>грамм услуг различных ведомств. В январе 2003 года КАЛАХИ стала применять принцип ВКОСУ. КАЛАХИ-ВКОСУ – представляет собой «ориентированный на общины проект развития, в рамках которого реш</w:t>
      </w:r>
      <w:r>
        <w:t>е</w:t>
      </w:r>
      <w:r>
        <w:t>ния принимаются самими общинами… За осуществление общинных пр</w:t>
      </w:r>
      <w:r>
        <w:t>о</w:t>
      </w:r>
      <w:r>
        <w:t>ектов и управление ими также отвечают общины, которые руководствую</w:t>
      </w:r>
      <w:r>
        <w:t>т</w:t>
      </w:r>
      <w:r>
        <w:t>ся принципами благого правления и устойч</w:t>
      </w:r>
      <w:r>
        <w:t>и</w:t>
      </w:r>
      <w:r>
        <w:t>вости» (МСОР, 2004 г.).</w:t>
      </w:r>
    </w:p>
    <w:p w:rsidR="00000000" w:rsidRDefault="00000000">
      <w:pPr>
        <w:pStyle w:val="SingleTxt"/>
        <w:ind w:left="1740" w:right="1264" w:hanging="476"/>
      </w:pPr>
      <w:r>
        <w:rPr>
          <w:lang w:val="en-US"/>
        </w:rPr>
        <w:t>d</w:t>
      </w:r>
      <w:r>
        <w:t>)</w:t>
      </w:r>
      <w:r>
        <w:tab/>
        <w:t>После января 2003 года, как сообщалось, программа КАЛАХИ-ВКОСУ охватила в общей сложности 1 503 бедных сельских общин в 67 муниципалитетах, или 35 процентов целевых районов и 38 процентов целевых муниципалитетов за период, что составляет 17 процентов от о</w:t>
      </w:r>
      <w:r>
        <w:t>б</w:t>
      </w:r>
      <w:r>
        <w:t>щей цели проекта. Сообщается также, что ею охвачено более 80 процентов общей целевой группы сельских общин, а иногда даже 98 процентов в некоторых районах. Общинные добровольцы, которые б</w:t>
      </w:r>
      <w:r>
        <w:t>ы</w:t>
      </w:r>
      <w:r>
        <w:t>ли выбраны сельскими общинами, разработали план действий по разв</w:t>
      </w:r>
      <w:r>
        <w:t>и</w:t>
      </w:r>
      <w:r>
        <w:t xml:space="preserve">тию районов, который в последствии был представлен ассамблее сельских общин на утверждение. К настоящему дню программа </w:t>
      </w:r>
      <w:r>
        <w:rPr>
          <w:caps/>
        </w:rPr>
        <w:t>калахи-вкосу</w:t>
      </w:r>
      <w:r>
        <w:t xml:space="preserve"> финансирует осуществление проектов общинного развития в 114 из 201 района, выбранного для этапа I; на местных общинных партнеров, с</w:t>
      </w:r>
      <w:r>
        <w:t>о</w:t>
      </w:r>
      <w:r>
        <w:t xml:space="preserve">гласно сообщениям, приходится 37 процентов всех проектных расходов. По состоянию на 15 ноября 2003 года программа </w:t>
      </w:r>
      <w:r>
        <w:rPr>
          <w:caps/>
        </w:rPr>
        <w:t xml:space="preserve">калахи-вкосу </w:t>
      </w:r>
      <w:r>
        <w:t>ф</w:t>
      </w:r>
      <w:r>
        <w:t>и</w:t>
      </w:r>
      <w:r>
        <w:t>нансировала реализацию проектов водных ресурсов (47 процентов), пр</w:t>
      </w:r>
      <w:r>
        <w:t>о</w:t>
      </w:r>
      <w:r>
        <w:t>ектов строительства дорог (24 процента), помещений для школ (7 процентов), многоцелевых зданий (5 процентов), центров по уходу за детьми в дневное время (4 процента), медицинских центров (3 процента), и т.д.</w:t>
      </w:r>
    </w:p>
    <w:p w:rsidR="00000000" w:rsidRDefault="00000000">
      <w:pPr>
        <w:pStyle w:val="num"/>
      </w:pPr>
      <w:r>
        <w:t>За это время Конгрессом Филиппин были приняты соответствующие з</w:t>
      </w:r>
      <w:r>
        <w:t>а</w:t>
      </w:r>
      <w:r>
        <w:t>коны и рассмотрены законопроекты, предусматривающие оказание помощи или поддержки женщинам в выполнении ими различных семейных обязанн</w:t>
      </w:r>
      <w:r>
        <w:t>о</w:t>
      </w:r>
      <w:r>
        <w:t>стей.</w:t>
      </w:r>
    </w:p>
    <w:p w:rsidR="00000000" w:rsidRDefault="00000000">
      <w:pPr>
        <w:pStyle w:val="SingleTxt"/>
        <w:ind w:left="1740" w:right="1264" w:hanging="476"/>
      </w:pPr>
      <w:r>
        <w:rPr>
          <w:lang w:val="en-US"/>
        </w:rPr>
        <w:t>a</w:t>
      </w:r>
      <w:r>
        <w:t>)</w:t>
      </w:r>
      <w:r>
        <w:tab/>
        <w:t>Как уже отмечалось в пунктах, касающихся статьи 11, Республиканский закон 8972, или так называемый Закон 2000 года о социальном обеспеч</w:t>
      </w:r>
      <w:r>
        <w:t>е</w:t>
      </w:r>
      <w:r>
        <w:t>нии родителей-одиночек, предусматривает осуществление всеобъемл</w:t>
      </w:r>
      <w:r>
        <w:t>ю</w:t>
      </w:r>
      <w:r>
        <w:t>щей программы социального развития и услуг в области социального обеспечения для родителей-одиночек и их детей. В осуществлении этого закона принимают участие министерства социального обеспечения, здр</w:t>
      </w:r>
      <w:r>
        <w:t>а</w:t>
      </w:r>
      <w:r>
        <w:t>воохранения, образования, труда и внутренних дел, а также местные г</w:t>
      </w:r>
      <w:r>
        <w:t>о</w:t>
      </w:r>
      <w:r>
        <w:t>сударственные органы власти, равно как и Комиссия по высшему образ</w:t>
      </w:r>
      <w:r>
        <w:t>о</w:t>
      </w:r>
      <w:r>
        <w:t>ванию, Управление по профессионально-техническому образованию и развитию и Национальное управление по жилью. Правила и положения осуществления этого закона были приняты в а</w:t>
      </w:r>
      <w:r>
        <w:t>п</w:t>
      </w:r>
      <w:r>
        <w:t>реле 2002 года.</w:t>
      </w:r>
    </w:p>
    <w:p w:rsidR="00000000" w:rsidRDefault="00000000">
      <w:pPr>
        <w:pStyle w:val="SingleTxt"/>
        <w:ind w:left="1740" w:right="1264" w:hanging="476"/>
      </w:pPr>
      <w:r>
        <w:rPr>
          <w:lang w:val="en-US"/>
        </w:rPr>
        <w:t>b</w:t>
      </w:r>
      <w:r>
        <w:t>)</w:t>
      </w:r>
      <w:r>
        <w:tab/>
        <w:t>Как уже отмечалось в пункте 158, закон 2000 года об уходе за детьми в раннем возрасте и их развитии обеспечивает правовую основу для осущ</w:t>
      </w:r>
      <w:r>
        <w:t>е</w:t>
      </w:r>
      <w:r>
        <w:t>ствления всеобъемлющей, комплексной и постоянной национальной пр</w:t>
      </w:r>
      <w:r>
        <w:t>о</w:t>
      </w:r>
      <w:r>
        <w:t>граммы оказания помощи женщинам и мужчинам в их уходе за своими маленькими детьми и их развитии.</w:t>
      </w:r>
    </w:p>
    <w:p w:rsidR="00000000" w:rsidRDefault="00000000">
      <w:pPr>
        <w:pStyle w:val="SingleTxt"/>
        <w:ind w:left="1740" w:right="1264" w:hanging="476"/>
      </w:pPr>
      <w:r>
        <w:rPr>
          <w:lang w:val="en-US"/>
        </w:rPr>
        <w:t>c</w:t>
      </w:r>
      <w:r>
        <w:t>)</w:t>
      </w:r>
      <w:r>
        <w:tab/>
        <w:t>Дополненный закон 2003 года о престарелых (Республиканский закон 9257) предусматривает предоставление престарелым дополнительных выплат и льгот, и вносит соответствующие поправки в Республиканский закон 7432. Такие дополнительные выплаты и льготы включают разли</w:t>
      </w:r>
      <w:r>
        <w:t>ч</w:t>
      </w:r>
      <w:r>
        <w:t>ные скидки, освобождение от выплаты подоходного налога, медицинские и стоматологические льготы в государственных медицинских учрежден</w:t>
      </w:r>
      <w:r>
        <w:t>и</w:t>
      </w:r>
      <w:r>
        <w:t>ях и в частных клиниках, и т.д.</w:t>
      </w:r>
    </w:p>
    <w:p w:rsidR="00000000" w:rsidRDefault="00000000">
      <w:pPr>
        <w:pStyle w:val="SingleTxt"/>
        <w:ind w:left="1740" w:right="1264" w:hanging="476"/>
      </w:pPr>
      <w:r>
        <w:rPr>
          <w:lang w:val="en-US"/>
        </w:rPr>
        <w:t>d</w:t>
      </w:r>
      <w:r>
        <w:t>)</w:t>
      </w:r>
      <w:r>
        <w:tab/>
        <w:t>На рассмотрении Палаты представителей находится законопроект № 1010, который предусматривает создание и поддержание в нормальном состо</w:t>
      </w:r>
      <w:r>
        <w:t>я</w:t>
      </w:r>
      <w:r>
        <w:t>нии в общественных местах пунктов кормления грудью.</w:t>
      </w:r>
    </w:p>
    <w:p w:rsidR="00000000" w:rsidRDefault="00000000">
      <w:pPr>
        <w:pStyle w:val="num"/>
      </w:pPr>
      <w:r>
        <w:t>Министерство социального обеспечения расширяет осуществление своей программы создания детских садов. В своем ведомственном постановлении № 11, серия 2000 года, оно установило минимальные стандарты и принципы, касающиеся обеспечения качественного оказания услуг путем аккредитации детских садов и из работников. Оно также приступило к экспериментальному осуществлению стратегии охвата детей, страдающих аутизмом, программой обычных услуг детских садов. Комплексная программа оказания услуг по ух</w:t>
      </w:r>
      <w:r>
        <w:t>о</w:t>
      </w:r>
      <w:r>
        <w:t>ду за престарелыми и детьми в дневное время позволяет детям, посещающим такие заведения, в контакте с престарелыми осваивать основы жизни. В рамках связанной с этим программы оказания помощи престарелым «Местные услуги по поддержке престарелых», которая на экспериментальной основе осущест</w:t>
      </w:r>
      <w:r>
        <w:t>в</w:t>
      </w:r>
      <w:r>
        <w:t>ляется в трех регионах, отмечаются те причины, которые влияют на возможн</w:t>
      </w:r>
      <w:r>
        <w:t>о</w:t>
      </w:r>
      <w:r>
        <w:t>сти семьи поддерживать своих престарелых членов и предусматривается ра</w:t>
      </w:r>
      <w:r>
        <w:t>с</w:t>
      </w:r>
      <w:r>
        <w:t>ширение возможностей потенциальных лиц, ухаживающих за ними как в с</w:t>
      </w:r>
      <w:r>
        <w:t>е</w:t>
      </w:r>
      <w:r>
        <w:t>мье, так и в общине. Этой программой предполагается разделение ответстве</w:t>
      </w:r>
      <w:r>
        <w:t>н</w:t>
      </w:r>
      <w:r>
        <w:t>ности. По линии несколько иного ведомственного проекта "Sagip Kalinga" р</w:t>
      </w:r>
      <w:r>
        <w:t>е</w:t>
      </w:r>
      <w:r>
        <w:t>шается проблема роста масштабов попрошайничеств в городских районах с тем, чтобы оградить бродяг, нищих и тех детей и взрослых, которые проводят все свое время и живут на улице, от опасностей уличной жизни и обеспечить им соответс</w:t>
      </w:r>
      <w:r>
        <w:t>т</w:t>
      </w:r>
      <w:r>
        <w:t>вующий социальный уход.</w:t>
      </w:r>
    </w:p>
    <w:p w:rsidR="00000000" w:rsidRDefault="00000000">
      <w:pPr>
        <w:pStyle w:val="num"/>
      </w:pPr>
      <w:r>
        <w:t>Программа оказания помощи членам семей военнослужащих представл</w:t>
      </w:r>
      <w:r>
        <w:t>я</w:t>
      </w:r>
      <w:r>
        <w:t>ет собой программу, предусматривающую оказание помощи женам и дочерям военнослужащих. Она была начата в июле 2002 года и осуществляется в коо</w:t>
      </w:r>
      <w:r>
        <w:t>р</w:t>
      </w:r>
      <w:r>
        <w:t xml:space="preserve">динации с </w:t>
      </w:r>
      <w:r>
        <w:rPr>
          <w:caps/>
        </w:rPr>
        <w:t>в</w:t>
      </w:r>
      <w:r>
        <w:t>ооруженными силами Филиппин и ТЕСДА, и она нацелена на обеспечение профессиональной подготовки в рамках ТЕСДА с тем, чтобы они могли начать зарабатывать себе на жизнь. Эта программа осуществляется в трех военных подразделениях в национальном столичном регионе, двух на Л</w:t>
      </w:r>
      <w:r>
        <w:t>у</w:t>
      </w:r>
      <w:r>
        <w:t>зоне, одном – на островах Висайян и одном – на Минданао. К настоящему вр</w:t>
      </w:r>
      <w:r>
        <w:t>е</w:t>
      </w:r>
      <w:r>
        <w:t>мени этой программой охвачено по крайней мере 250 женщин, и 150 женщин пр</w:t>
      </w:r>
      <w:r>
        <w:t>о</w:t>
      </w:r>
      <w:r>
        <w:t>шли курс предпринимательства в Женском центре ТЕСДА.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Финансовые кредиты и техническая помощь</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Как уже также отмечалось в пунктах, касающихся статьи 11, в соответс</w:t>
      </w:r>
      <w:r>
        <w:t>т</w:t>
      </w:r>
      <w:r>
        <w:t>вии с Республиканским законом 7882 были учреждены Банк развития Фили</w:t>
      </w:r>
      <w:r>
        <w:t>п</w:t>
      </w:r>
      <w:r>
        <w:t>пин и Земельный банк Филиппин в качестве ведущих банков по осуществл</w:t>
      </w:r>
      <w:r>
        <w:t>е</w:t>
      </w:r>
      <w:r>
        <w:t>нию программы займов. Займы предоставляются предприятиям в области сельского хозяйства и фермерского хозяйства, переработки сельскохозяйстве</w:t>
      </w:r>
      <w:r>
        <w:t>н</w:t>
      </w:r>
      <w:r>
        <w:t>ной продукции, профессиональной подготовки общего назначения, жилья и строительства, земли и морского транспорта, промышленности и сферы услуг. С 1998 по 2001 годы такими займами воспользовалось возросшее число же</w:t>
      </w:r>
      <w:r>
        <w:t>н</w:t>
      </w:r>
      <w:r>
        <w:t>щин (см. приложение, таблица В13.1). Однако, занимающиеся осуществлением этого проекта государственные учреждения высказали некоторые оговорки в отношении того, что выполнение этого закона принесет свои плоды лишь в долгосрочной перспективе. Например, женщинам для расширения их предпр</w:t>
      </w:r>
      <w:r>
        <w:t>и</w:t>
      </w:r>
      <w:r>
        <w:t>ятия могут потребоваться крупные ссуды, требующие более высоких рыночных процентных ставок. Если они не готовы выплачивать такие более высокие пр</w:t>
      </w:r>
      <w:r>
        <w:t>о</w:t>
      </w:r>
      <w:r>
        <w:t>центы, им будет сложно получить необходимый капитал для того, чтобы пр</w:t>
      </w:r>
      <w:r>
        <w:t>е</w:t>
      </w:r>
      <w:r>
        <w:t>вратить свои микро- или домашние предприятия в более крупные предприятия. По мнению большинства государственных финансовых учреждений, 12%-ная ставка слишком низкая для того, чтобы быть эффективной.</w:t>
      </w:r>
    </w:p>
    <w:p w:rsidR="00000000" w:rsidRDefault="00000000">
      <w:pPr>
        <w:pStyle w:val="num"/>
      </w:pPr>
      <w:r>
        <w:t>В своем послании к народу о положении в стране в 2001 году президент Глория Макапагал-Арройо заявила, что ее администрация в борьбе с бедн</w:t>
      </w:r>
      <w:r>
        <w:t>о</w:t>
      </w:r>
      <w:r>
        <w:t>стью возлагает основные надежды на микрофинансирование. Она дала указ</w:t>
      </w:r>
      <w:r>
        <w:t>а</w:t>
      </w:r>
      <w:r>
        <w:t>ние Финансовой корпорации кредитования населения (ФККН) выделить кред</w:t>
      </w:r>
      <w:r>
        <w:t>и</w:t>
      </w:r>
      <w:r>
        <w:t>ты 1 млн. заемщикам до июня 2004 года. По состоянию на июнь 2001 года ФККН выдала кредиты примерно 349 036 заемщикам. В период с июня 2001 года по декабрь 2003 года эта корпорация сообщила, что она выдала кр</w:t>
      </w:r>
      <w:r>
        <w:t>е</w:t>
      </w:r>
      <w:r>
        <w:t>диты уже 864 965 человекам. Из них примерно 98 процентов составляют же</w:t>
      </w:r>
      <w:r>
        <w:t>н</w:t>
      </w:r>
      <w:r>
        <w:t>щины.</w:t>
      </w:r>
    </w:p>
    <w:p w:rsidR="00000000" w:rsidRDefault="00000000">
      <w:pPr>
        <w:pStyle w:val="num"/>
      </w:pPr>
      <w:r>
        <w:t>В целях поддержки женщин-предпринимателей две женщины-сенатора подали в сенат законопроекты № 601 и 1248, предусматривающие оказание им помощи в области финансирования, образования и информации с тем, чтобы они могли добиться более высоких успехов в коммерции и торговле (более подробную информацию см. пункт 494, касающийся статьи 13).</w:t>
      </w:r>
    </w:p>
    <w:p w:rsidR="00000000" w:rsidRDefault="00000000">
      <w:pPr>
        <w:pStyle w:val="num"/>
      </w:pPr>
      <w:r>
        <w:t>Как уже отмечалось в пунктах, касающихся статьи 11, министерство с</w:t>
      </w:r>
      <w:r>
        <w:t>о</w:t>
      </w:r>
      <w:r>
        <w:t>циального обеспечения разработало ряд программ оказания помощи женщ</w:t>
      </w:r>
      <w:r>
        <w:t>и</w:t>
      </w:r>
      <w:r>
        <w:t>нам, живущим в условиях бедности. Первой программой является Программа производственного обучения и повышения навыков женщин, испытывающих материальные трудности (ПОПН). Только в 2001 году помощь по линии этой программы была оказана 31 827 женщинам, которые прошли курсы профе</w:t>
      </w:r>
      <w:r>
        <w:t>с</w:t>
      </w:r>
      <w:r>
        <w:t>сиональной подготовки по различным специальностям; 9 из 10 нашли себе о</w:t>
      </w:r>
      <w:r>
        <w:t>п</w:t>
      </w:r>
      <w:r>
        <w:t>лачиваемую работу как лица, занимающиеся индивидуальной трудовой де</w:t>
      </w:r>
      <w:r>
        <w:t>я</w:t>
      </w:r>
      <w:r>
        <w:t>тельностью, инструкторы, работающие по субконтракту, и специалисты в др</w:t>
      </w:r>
      <w:r>
        <w:t>у</w:t>
      </w:r>
      <w:r>
        <w:t>гих областях. Первым уровнем второй программы, Комплексной программы ПИТД-Каунларан, было охвачено 24 422 семьи, и в 2001 году было организов</w:t>
      </w:r>
      <w:r>
        <w:t>а</w:t>
      </w:r>
      <w:r>
        <w:t>но 753 ассоциаций ПИТД-Каунларан. Второй уровень (в соответствии с ведо</w:t>
      </w:r>
      <w:r>
        <w:t>м</w:t>
      </w:r>
      <w:r>
        <w:t>ственным постановлением 17, серия 1997 года) связан с созданием отделений ПИТД-Кабаянс, которые могли бы получать доступ к более крупным займам на цели создания микропредприятий, строительства жилья или их ремонта. В 2001 году примерно 17 таких отделений, членами которых стали 890 семей, получили дополнительную финансовую помощь. Третья программа «Повыш</w:t>
      </w:r>
      <w:r>
        <w:t>е</w:t>
      </w:r>
      <w:r>
        <w:t>ние роли и статуса филиппинских женщин в области социального развития» предусматривает обеспечение женщинам доступа к кредитным учреждениям и нацелена на создание общинных организаций (754 ассоциации в 2000 году), которые могли бы принять на себя управление программой оказания помощи своим членам в получении кредитов.</w:t>
      </w:r>
    </w:p>
    <w:p w:rsidR="00000000" w:rsidRDefault="00000000">
      <w:pPr>
        <w:pStyle w:val="num"/>
      </w:pPr>
      <w:r>
        <w:t>Женщины-предприниматели, нуждающиеся в финансовой и технической поддержке, могли бы воспользоваться услугами программы министерства то</w:t>
      </w:r>
      <w:r>
        <w:t>р</w:t>
      </w:r>
      <w:r>
        <w:t>говли и промышленности "Tulong sa Tao", которая предусматривает предоста</w:t>
      </w:r>
      <w:r>
        <w:t>в</w:t>
      </w:r>
      <w:r>
        <w:t>ление кредитов микропредприятиям. Эта кредитная программа осуществляется через государственные финансовые учреждения и аккредитованные неправ</w:t>
      </w:r>
      <w:r>
        <w:t>и</w:t>
      </w:r>
      <w:r>
        <w:t>тельственные организации. За период с 1998 по 2000 годы помощь по ее линии была оказана 1 538 женщинам-владельцам микропредприятий (примерно 75 процентов всех бенефициаров). В рамках этой программы были выданы кредиты почти на сумму 51,24 млн. филиппинских песо, и 68 процентов их б</w:t>
      </w:r>
      <w:r>
        <w:t>ы</w:t>
      </w:r>
      <w:r>
        <w:t>ли выделены женщинам. Она также позволила создать в стране 8 198 рабочих мест, из которых 6 148 (75 процентов) пр</w:t>
      </w:r>
      <w:r>
        <w:t>и</w:t>
      </w:r>
      <w:r>
        <w:t>ходилось на женщин.</w:t>
      </w:r>
    </w:p>
    <w:p w:rsidR="00000000" w:rsidRDefault="00000000">
      <w:pPr>
        <w:pStyle w:val="num"/>
      </w:pPr>
      <w:r>
        <w:t>Одна из целей этой программы министерства торговли и промышленн</w:t>
      </w:r>
      <w:r>
        <w:t>о</w:t>
      </w:r>
      <w:r>
        <w:t>сти заключалась в создании и укреплении возможностей неправительственных организаций путем организации профессиональной подготовки бенефициаров, подготовки инструкторов и оказания консультативных услуг. За период с 1996 по 2001 годы в двух учебно-профессиональных центрах министерства, Филиппинском торгово-учебном центре и Технологическом центре кустарного производства, подготовку в общей сложности прошло 14 071 человек, из кот</w:t>
      </w:r>
      <w:r>
        <w:t>о</w:t>
      </w:r>
      <w:r>
        <w:t>рых 52 процента были женщинами (приложение, таблица В13.2). Женщины приняли значительно более широкое участие, по сравнению с мужчинами, (3:1) в учебных программах по кустарному производству, но не в учебных програ</w:t>
      </w:r>
      <w:r>
        <w:t>м</w:t>
      </w:r>
      <w:r>
        <w:t>мах по вопросам крупномасштабного экспорта (4:5). По сообщениям мин</w:t>
      </w:r>
      <w:r>
        <w:t>и</w:t>
      </w:r>
      <w:r>
        <w:t>стерства, в результате организации такой учебно-профессиональной подгото</w:t>
      </w:r>
      <w:r>
        <w:t>в</w:t>
      </w:r>
      <w:r>
        <w:t>ки женские неправительственные организации добились значительных улу</w:t>
      </w:r>
      <w:r>
        <w:t>ч</w:t>
      </w:r>
      <w:r>
        <w:t>шений в своей коммерческой деятельности, о чем свидетельствует более че</w:t>
      </w:r>
      <w:r>
        <w:t>т</w:t>
      </w:r>
      <w:r>
        <w:t>кий контроль за займами, улучшение системы отчетности, более высокий ур</w:t>
      </w:r>
      <w:r>
        <w:t>о</w:t>
      </w:r>
      <w:r>
        <w:t>вень сбора, более четкие указания и б</w:t>
      </w:r>
      <w:r>
        <w:t>о</w:t>
      </w:r>
      <w:r>
        <w:t>лее ответственное руководство.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Спорт и отдых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На сентябрь 1998 года Национальная сборная команда состояла из 533 спортсменов, из которых 174 были женщины, т.е. они составляли только одну треть общего состава. Мужчин было намного больше и среди тренеров и их помо</w:t>
      </w:r>
      <w:r>
        <w:t>щ</w:t>
      </w:r>
      <w:r>
        <w:t>ников: 167 к 15.</w:t>
      </w:r>
    </w:p>
    <w:p w:rsidR="00000000" w:rsidRDefault="00000000">
      <w:pPr>
        <w:pStyle w:val="num"/>
      </w:pPr>
      <w:r>
        <w:t>Пятилетний план развития спорта на Филиппинах, который был разраб</w:t>
      </w:r>
      <w:r>
        <w:t>о</w:t>
      </w:r>
      <w:r>
        <w:t>тан Филиппинской комиссией по спорту, предусматривает, что одной из его ц</w:t>
      </w:r>
      <w:r>
        <w:t>е</w:t>
      </w:r>
      <w:r>
        <w:t>лей является обеспечение гендерного равенства в спорте. Для достижения этой цели планом предусматривается использование женских ролевых моделей, женской спортивной стратегии, гендерной сбалансированности во всех публ</w:t>
      </w:r>
      <w:r>
        <w:t>и</w:t>
      </w:r>
      <w:r>
        <w:t>кациях и альтернативной программы клубных соревнований для женщин. К</w:t>
      </w:r>
      <w:r>
        <w:t>о</w:t>
      </w:r>
      <w:r>
        <w:t>миссия предусмотрела также возможность для юниорок проходить подготовку по программам, направленным на укрепление из возможностей, в то время как различные национальные спортивные организации субсидируют подготовку спортсменов из числа как женщин, так и мужчин. Кроме того, Комиссия дол</w:t>
      </w:r>
      <w:r>
        <w:t>ж</w:t>
      </w:r>
      <w:r>
        <w:t>ным образом признает достижения опытных женщин-спортсменок, которые блестяще выступали за страну в последних ме</w:t>
      </w:r>
      <w:r>
        <w:t>ж</w:t>
      </w:r>
      <w:r>
        <w:t>дународных соревнованиях.</w:t>
      </w:r>
    </w:p>
    <w:p w:rsidR="00000000" w:rsidRDefault="00000000">
      <w:pPr>
        <w:pStyle w:val="num"/>
      </w:pPr>
      <w:r>
        <w:t>На рассмотрении Сената все еще находятся законопроекты 764, 1104, 1108 и 1247, которые предусматривают обеспечение женщинам равных во</w:t>
      </w:r>
      <w:r>
        <w:t>з</w:t>
      </w:r>
      <w:r>
        <w:t>можностей в плане получения спортивных учебных пособий и спортивных премий (по</w:t>
      </w:r>
      <w:r>
        <w:t>д</w:t>
      </w:r>
      <w:r>
        <w:t>робную информацию см. пункт 292).</w:t>
      </w:r>
    </w:p>
    <w:p w:rsidR="00000000" w:rsidRDefault="00000000">
      <w:pPr>
        <w:pStyle w:val="H23"/>
      </w:pPr>
      <w:bookmarkStart w:id="74" w:name="_Toc85174943"/>
      <w:r>
        <w:t xml:space="preserve">С. </w:t>
      </w:r>
      <w:r>
        <w:tab/>
        <w:t>Нерешенные проблемы и препятствия</w:t>
      </w:r>
      <w:bookmarkEnd w:id="74"/>
    </w:p>
    <w:p w:rsidR="00000000" w:rsidRDefault="00000000">
      <w:pPr>
        <w:pStyle w:val="num"/>
      </w:pPr>
      <w:r>
        <w:t>Предпринимаются различные меры для обеспечения женщинам более широкого доступа к социально-экономическим преимуществам, однако, выс</w:t>
      </w:r>
      <w:r>
        <w:t>о</w:t>
      </w:r>
      <w:r>
        <w:t>кие процентные ставки и жесткая кредитная политика кредитно-финансовых учрежд</w:t>
      </w:r>
      <w:r>
        <w:t>е</w:t>
      </w:r>
      <w:r>
        <w:t>ний тормозят увеличение числа женских предприятий.</w:t>
      </w:r>
    </w:p>
    <w:p w:rsidR="00000000" w:rsidRDefault="00000000">
      <w:pPr>
        <w:pStyle w:val="num"/>
      </w:pPr>
      <w:r>
        <w:t>Женские микро- и малые предприятия фактически занимаются произво</w:t>
      </w:r>
      <w:r>
        <w:t>д</w:t>
      </w:r>
      <w:r>
        <w:t>ством того, что является основными видами продукции, например, одежды, продовольствия и сувениров для экспортного рынка. Эти предприятия нужд</w:t>
      </w:r>
      <w:r>
        <w:t>а</w:t>
      </w:r>
      <w:r>
        <w:t>ются во всесторонней технической и финансовой поддержке для того, чтобы они могли быть более дееспособными и в целом конкурентными. Владельцы микропредприятий жалуются на нехватку капитала, снижение спроса и конк</w:t>
      </w:r>
      <w:r>
        <w:t>у</w:t>
      </w:r>
      <w:r>
        <w:t>ренцию со стороны более дешевого импорта. Эти проблемы можно решить п</w:t>
      </w:r>
      <w:r>
        <w:t>у</w:t>
      </w:r>
      <w:r>
        <w:t>тем предоставления всем женщинам из бедных слоев населения массированн</w:t>
      </w:r>
      <w:r>
        <w:t>о</w:t>
      </w:r>
      <w:r>
        <w:t>го кредита в отличие от микрокредитов; укрепления кооперативных связей среди женщин; и обеспечения профессионально-технической подготовки в в</w:t>
      </w:r>
      <w:r>
        <w:t>о</w:t>
      </w:r>
      <w:r>
        <w:t>просах управления и увязывания схем кредитования с обеспечением средств сущ</w:t>
      </w:r>
      <w:r>
        <w:t>е</w:t>
      </w:r>
      <w:r>
        <w:t>ствования и развития предприятий.</w:t>
      </w:r>
    </w:p>
    <w:p w:rsidR="00000000" w:rsidRDefault="00000000">
      <w:pPr>
        <w:pStyle w:val="num"/>
      </w:pPr>
      <w:r>
        <w:t>Необходимо широко внедрять комплексный подход к оказанию женским сельскохозяйственным предприятиям кредитной и технической помощи с уд</w:t>
      </w:r>
      <w:r>
        <w:t>е</w:t>
      </w:r>
      <w:r>
        <w:t>лением особого внимания вопросам обеспечения продовольственной безопа</w:t>
      </w:r>
      <w:r>
        <w:t>с</w:t>
      </w:r>
      <w:r>
        <w:t>ности, поскольку они производят и поставляют на рынок в целом конкурент</w:t>
      </w:r>
      <w:r>
        <w:t>о</w:t>
      </w:r>
      <w:r>
        <w:t>способную сельскохозяйственную пр</w:t>
      </w:r>
      <w:r>
        <w:t>о</w:t>
      </w:r>
      <w:r>
        <w:t>дукцию.</w:t>
      </w:r>
    </w:p>
    <w:p w:rsidR="00000000" w:rsidRDefault="00000000">
      <w:pPr>
        <w:pStyle w:val="num"/>
      </w:pPr>
      <w:r>
        <w:t>Участие женщин в спорте все еще ограничено. В лучшем случае вним</w:t>
      </w:r>
      <w:r>
        <w:t>а</w:t>
      </w:r>
      <w:r>
        <w:t>ние уделяется только известным спортсменкам. Все еще отсутствует всест</w:t>
      </w:r>
      <w:r>
        <w:t>о</w:t>
      </w:r>
      <w:r>
        <w:t>ронняя и целенаправленная программа развития спорта, нацеленная на поиск способных девушек из сельских районов, их подготовку для серьезных спо</w:t>
      </w:r>
      <w:r>
        <w:t>р</w:t>
      </w:r>
      <w:r>
        <w:t>тивных соревнований. Спортивные организации обращают внимание только на тех, кто добивается каких-либо успехов по своей собственной инициативе и имеет финансовые возможности заниматься спортом, например, плаванием и теннисом. В настоящее время необходимо устранить диспропорцию в пре</w:t>
      </w:r>
      <w:r>
        <w:t>д</w:t>
      </w:r>
      <w:r>
        <w:t>ставленности женщин в сфере спорта. Женщины должны не только участвовать в самих спортивных соревнованиях, но, что более важно, они должны занимать самые высокие должности в администрации спортивных организаций. Обесп</w:t>
      </w:r>
      <w:r>
        <w:t>е</w:t>
      </w:r>
      <w:r>
        <w:t>чение равенства и равноправия мужчин и женщин в спорте возможно только путем проведения соответствующих информационно-пропагандистских мер</w:t>
      </w:r>
      <w:r>
        <w:t>о</w:t>
      </w:r>
      <w:r>
        <w:t>приятий. Высокие должностные лица, занимающиеся вопросами спорта, все еще не имеют четкого предста</w:t>
      </w:r>
      <w:r>
        <w:t>в</w:t>
      </w:r>
      <w:r>
        <w:t>ления об особых потребностях женщин-спортсменок.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75" w:name="_Toc85174944"/>
      <w:r>
        <w:t>Статья 14. Сельские женщины</w:t>
      </w:r>
      <w:bookmarkEnd w:id="7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rPr>
          <w:i/>
        </w:rPr>
      </w:pPr>
      <w:r>
        <w:rPr>
          <w:i/>
        </w:rPr>
        <w:t>Проблемы, с которыми сталкиваются женщины, проживающие в сельской местности, и их роль в обеспечении экономического благосостояния своих с</w:t>
      </w:r>
      <w:r>
        <w:rPr>
          <w:i/>
        </w:rPr>
        <w:t>е</w:t>
      </w:r>
      <w:r>
        <w:rPr>
          <w:i/>
        </w:rPr>
        <w:t>мей, включая их деятельность в нетоварных отраслях хозяйства; ликвидация дискриминации в отношении женщин в сельских районах и их участие на осн</w:t>
      </w:r>
      <w:r>
        <w:rPr>
          <w:i/>
        </w:rPr>
        <w:t>о</w:t>
      </w:r>
      <w:r>
        <w:rPr>
          <w:i/>
        </w:rPr>
        <w:t>ве равенства с мужчинами в развитии сельских районов; доступ к медици</w:t>
      </w:r>
      <w:r>
        <w:rPr>
          <w:i/>
        </w:rPr>
        <w:t>н</w:t>
      </w:r>
      <w:r>
        <w:rPr>
          <w:i/>
        </w:rPr>
        <w:t>скому обслуживанию и услугам по планированию размера семьи, социальному страхованию, образованию и консультативным услугам; участие в группах самопомощи и общинной деятельности; доступ к сельскохозяйственным кр</w:t>
      </w:r>
      <w:r>
        <w:rPr>
          <w:i/>
        </w:rPr>
        <w:t>е</w:t>
      </w:r>
      <w:r>
        <w:rPr>
          <w:i/>
        </w:rPr>
        <w:t>дитам и другим возможностям и на</w:t>
      </w:r>
      <w:r>
        <w:rPr>
          <w:i/>
        </w:rPr>
        <w:t>д</w:t>
      </w:r>
      <w:r>
        <w:rPr>
          <w:i/>
        </w:rPr>
        <w:t>лежащим условиям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keepLines w:val="0"/>
        <w:ind w:firstLine="0"/>
      </w:pPr>
      <w:bookmarkStart w:id="76" w:name="_Toc85174945"/>
      <w:r>
        <w:t xml:space="preserve">А. </w:t>
      </w:r>
      <w:r>
        <w:tab/>
        <w:t>Положение женщин</w:t>
      </w:r>
      <w:bookmarkEnd w:id="7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В 2000 году население Филиппин составляло 76,5 млн. человек. Почти 59 процентов жили в городских районах по сравнению с 37,5 процента в 1990 году и 48,8 процента в 1995 году. Самая крупная концентрация городского населения, примерно 10 млн. человек, приходится на Манилу или национал</w:t>
      </w:r>
      <w:r>
        <w:t>ь</w:t>
      </w:r>
      <w:r>
        <w:t>ный столичный регион. За исключением провинции Себу и Манилы в других районах ср</w:t>
      </w:r>
      <w:r>
        <w:t>е</w:t>
      </w:r>
      <w:r>
        <w:t>ди жителей мужчин больше, чем женщин.</w:t>
      </w:r>
    </w:p>
    <w:p w:rsidR="00000000" w:rsidRDefault="00000000">
      <w:pPr>
        <w:pStyle w:val="num"/>
      </w:pPr>
      <w:r>
        <w:t>Обсуждение статьи 11 в пунктах выше показывает, что независимо от места жительства только 51,7 процента женщин, потенциально могущих раб</w:t>
      </w:r>
      <w:r>
        <w:t>о</w:t>
      </w:r>
      <w:r>
        <w:t>тать, имеют или ищут работу (приложение, таблица В11.4). Однако, характер работы женщин в сельских районах позволяет им увязывать свою работу на фермах или в других экономических секторах со своими обязанностями по д</w:t>
      </w:r>
      <w:r>
        <w:t>о</w:t>
      </w:r>
      <w:r>
        <w:t>му, в результате чего уровень занятости среди сельских женщин выше, чем среди городских женщин. В то же время такая работа в сельской местности, как правило, носит сезонный характер и не занимает полный рабочий день, а количество рабочих часов зависит от каждого конкретного дня. Как показано в таблице В11.6 в приложении, у женщин и мужчин в городских районах в сре</w:t>
      </w:r>
      <w:r>
        <w:t>д</w:t>
      </w:r>
      <w:r>
        <w:t>нем раб</w:t>
      </w:r>
      <w:r>
        <w:t>о</w:t>
      </w:r>
      <w:r>
        <w:t>чая неделя длиннее, чем в сельской местности.</w:t>
      </w:r>
    </w:p>
    <w:p w:rsidR="00000000" w:rsidRDefault="00000000">
      <w:pPr>
        <w:pStyle w:val="num"/>
      </w:pPr>
      <w:r>
        <w:t>До середины 80-х годов сельское хозяйство поглощало половину всей р</w:t>
      </w:r>
      <w:r>
        <w:t>а</w:t>
      </w:r>
      <w:r>
        <w:t>бочей силы, однако в последующие десятилетия масштабы сельского хозяйства стали сокращаться. К 2000 году в сельском хозяйстве было занято только 37 процентов трудящихся, большей частью мужчин: 72 процента – в сельском хозяйстве, охотничьем промысле и лесном хозяйстве, и 94 процента – в рыбной промышленности (НСБ, 2002 год). Из 11,5 млн. сельских женщин трудосп</w:t>
      </w:r>
      <w:r>
        <w:t>о</w:t>
      </w:r>
      <w:r>
        <w:t>собного возраста 4,9 млн. работают, а 0,6 млн. не имеют работы. Сокращение возможностей в плане обеспечения себя средствами существования, особенно для молодых женщин, заставляет многих из них перебираться в Манилу и др</w:t>
      </w:r>
      <w:r>
        <w:t>у</w:t>
      </w:r>
      <w:r>
        <w:t>гие г</w:t>
      </w:r>
      <w:r>
        <w:t>о</w:t>
      </w:r>
      <w:r>
        <w:t>родские центры и даже уезжать за рубеж.</w:t>
      </w:r>
    </w:p>
    <w:p w:rsidR="00000000" w:rsidRDefault="00000000">
      <w:pPr>
        <w:pStyle w:val="num"/>
      </w:pPr>
      <w:r>
        <w:t>В октябре 2001 года из работающих женщин в сельской области примерно 43 процента были разнорабочими или неквалифицированными рабочими; 15 процентов работали на фермах в лесном и рыболовецком хозяйстве, а 6 процентов были профессиональными работниками, как правило, учителями. Порядка 32 процента занимались индивидуальной трудовой деятельностью и 28 процентов – неоплачиваемой работой по дому. Около 9 процентов работали в государственных структурах как учителя и служ</w:t>
      </w:r>
      <w:r>
        <w:t>а</w:t>
      </w:r>
      <w:r>
        <w:t>щие (УСТЗ, 2003с).</w:t>
      </w:r>
    </w:p>
    <w:p w:rsidR="00000000" w:rsidRDefault="00000000">
      <w:pPr>
        <w:pStyle w:val="num"/>
      </w:pPr>
      <w:r>
        <w:t>Экономическая деятельность в сельских районах не приносит столь выс</w:t>
      </w:r>
      <w:r>
        <w:t>о</w:t>
      </w:r>
      <w:r>
        <w:t>ких доходов как коммерческая деятельность или работа в городах. В 2000 году средний уровень доходов сельских семей (59 820 филиппинских песо) был в два раза ниже, чем соответствующий показатель для городских районов (136 338 филиппинских песо) (НСБ, 2002 год). Масштабы бедности также в</w:t>
      </w:r>
      <w:r>
        <w:t>ы</w:t>
      </w:r>
      <w:r>
        <w:t>ше в сельских районах: 56,0 процента по сравнению с 37,9 процента в 1991 году, 47,0 процента по сравнению с 30,1 процента в 1994 году и 44,4 процента против 23,2 процента в 1997 году. Данных об уровне бедности за 2000 год не имеется ни по городским, ни по сельским районам, однако в менее урбанизированных районах и провинциях были отмечены более высокие те</w:t>
      </w:r>
      <w:r>
        <w:t>м</w:t>
      </w:r>
      <w:r>
        <w:t>пы обнищания (НСБ, 2003а). Усилению бедности в сельских районах спосо</w:t>
      </w:r>
      <w:r>
        <w:t>б</w:t>
      </w:r>
      <w:r>
        <w:t>ствовали запущенность сельскохозяйственного сектора и неравномерное ра</w:t>
      </w:r>
      <w:r>
        <w:t>с</w:t>
      </w:r>
      <w:r>
        <w:t>пределение ресурсов. Только денежные поступления от трудящихся-мигрантов позволяли их семьям бороться с бедностью, вызванной стагнацией сельскох</w:t>
      </w:r>
      <w:r>
        <w:t>о</w:t>
      </w:r>
      <w:r>
        <w:t>зяйственного производства, жесткой конкуренцией со стороны более дешевого импорта продовольствия и периодическими засухами и наводнениями, которые губят урожаи и не позволяют получить необходимые средства к существов</w:t>
      </w:r>
      <w:r>
        <w:t>а</w:t>
      </w:r>
      <w:r>
        <w:t>нию.</w:t>
      </w:r>
    </w:p>
    <w:p w:rsidR="00000000" w:rsidRDefault="00000000">
      <w:pPr>
        <w:pStyle w:val="num"/>
      </w:pPr>
      <w:r>
        <w:t>Серьезной проблемой остается неравномерное распределение доходов. На самые бедные 30 процентов семей приходится не более 8 процентов доходов, в то время как на самые богатые 10 процентов – почти 40 процентов всех дох</w:t>
      </w:r>
      <w:r>
        <w:t>о</w:t>
      </w:r>
      <w:r>
        <w:t>дов (НСБ, 2002 год).</w:t>
      </w:r>
    </w:p>
    <w:p w:rsidR="00000000" w:rsidRDefault="00000000">
      <w:pPr>
        <w:pStyle w:val="num"/>
      </w:pPr>
      <w:r>
        <w:t>Внешняя задолженность страны и ее бюджетный дефицит вынуждают правительство ограничивать свои расходы, в частности на социальные услуги для бедных. В последние несколько лет отчетного периода ассигнования на с</w:t>
      </w:r>
      <w:r>
        <w:t>о</w:t>
      </w:r>
      <w:r>
        <w:t>циальные услуги были увеличены, однако их объем по-прежнему зависит от расходов на погашение внешней задолженности (приложение, таблица В14.1). Сокращение государственных расходов на социальные услуги (образование, здравоохранение, планирование размеров семьи, социальное обеспечение) больше сказывается на женщинах, чем на мужчинах, поскольку они занимают главенствующее положение на рынке труда и должны заниматься обеспечением тех у</w:t>
      </w:r>
      <w:r>
        <w:t>с</w:t>
      </w:r>
      <w:r>
        <w:t>луг, которые государство перестало оказывать.</w:t>
      </w:r>
    </w:p>
    <w:p w:rsidR="00000000" w:rsidRDefault="00000000">
      <w:pPr>
        <w:pStyle w:val="num"/>
      </w:pPr>
      <w:r>
        <w:t>Набор женщин правительственными и неправительственными организ</w:t>
      </w:r>
      <w:r>
        <w:t>а</w:t>
      </w:r>
      <w:r>
        <w:t>циями на работу в качестве добровольцев по оказанию медицинской помощи и помощи в области питания или же участников доходоприносящих проектов микрофинансирования или микропредпринимательства определяется воспр</w:t>
      </w:r>
      <w:r>
        <w:t>и</w:t>
      </w:r>
      <w:r>
        <w:t>ятием женщин как домохозяек и дополнительного источника доходов. Женщ</w:t>
      </w:r>
      <w:r>
        <w:t>и</w:t>
      </w:r>
      <w:r>
        <w:t>ны-производители давно уже рассматриваются как неоплачиваемые домашние работники и редко когда их подключают к работе по распространению сельск</w:t>
      </w:r>
      <w:r>
        <w:t>о</w:t>
      </w:r>
      <w:r>
        <w:t>хозяйственных знаний, разработке сельскохозяйственной технологи и ее пер</w:t>
      </w:r>
      <w:r>
        <w:t>е</w:t>
      </w:r>
      <w:r>
        <w:t>даче. Все еще считается, что фермером, рыбаком или производителем сельск</w:t>
      </w:r>
      <w:r>
        <w:t>о</w:t>
      </w:r>
      <w:r>
        <w:t>хозяйственной продукции должен быть мужчина, что пагубно влияет на доступ сельских женщин к земельным и иным ресурсам. Кроме того, в связи с этим многие женщины-фермеры не входят в состав фермерских организаций и ко</w:t>
      </w:r>
      <w:r>
        <w:t>о</w:t>
      </w:r>
      <w:r>
        <w:t>перативов, которые как правило считаются мужскими. Последние данные Управления по развитию кооперативного движения показывают, что женщины составляют 35 процентов членов фермерских кооперативов и 21 процент рук</w:t>
      </w:r>
      <w:r>
        <w:t>о</w:t>
      </w:r>
      <w:r>
        <w:t>водителей кооперативных организ</w:t>
      </w:r>
      <w:r>
        <w:t>а</w:t>
      </w:r>
      <w:r>
        <w:t>ций.</w:t>
      </w:r>
    </w:p>
    <w:p w:rsidR="00000000" w:rsidRDefault="00000000">
      <w:pPr>
        <w:pStyle w:val="num"/>
      </w:pPr>
      <w:r>
        <w:t>Однако, фермерские кооперативы составляют незначительную часть всех кооперативов, существующих на Филиппинах. Многие другие общинные ко</w:t>
      </w:r>
      <w:r>
        <w:t>о</w:t>
      </w:r>
      <w:r>
        <w:t>перативы открыты для тех женщин и мужчин, которые заинтересованы в том, чтобы присоединиться к ним и могут принять в них участие на равной с др</w:t>
      </w:r>
      <w:r>
        <w:t>у</w:t>
      </w:r>
      <w:r>
        <w:t>гими основе. В целом, в таких кооперативах женщин больше, чем мужчин. Проведенное в 1999 году обследование выборки из 1 200 отделений Наци</w:t>
      </w:r>
      <w:r>
        <w:t>о</w:t>
      </w:r>
      <w:r>
        <w:t>нальной конфедерации кооперативов, самой крупной в стране федерации час</w:t>
      </w:r>
      <w:r>
        <w:t>т</w:t>
      </w:r>
      <w:r>
        <w:t>ных, коллективных и сберегательных кооперативов, показало, что женщины составляют 60 процентов их членов, 42 процента членов советов, 23 процента председателей советов, 51 процент управляющих кооперативов и 59 процентов служащих. Хотя эти данные свидетельствуют о том, что женщины составляют большинство членов, управляющих и сотрудников кооперативов, они реже и</w:t>
      </w:r>
      <w:r>
        <w:t>з</w:t>
      </w:r>
      <w:r>
        <w:t>бираются директорами правлений.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77" w:name="_Toc85174946"/>
      <w:r>
        <w:t xml:space="preserve">В. </w:t>
      </w:r>
      <w:r>
        <w:tab/>
        <w:t>Предпринятые меры: меры политического характера и программы</w:t>
      </w:r>
      <w:bookmarkEnd w:id="7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Инициативы законодательной и исполнительной власти, нацеленные на улу</w:t>
      </w:r>
      <w:r>
        <w:t>ч</w:t>
      </w:r>
      <w:r>
        <w:t>шение положения сельского населения, включают следующее:</w:t>
      </w:r>
    </w:p>
    <w:p w:rsidR="00000000" w:rsidRDefault="00000000">
      <w:pPr>
        <w:pStyle w:val="SingleTxt"/>
        <w:ind w:left="1740" w:right="1264" w:hanging="476"/>
      </w:pPr>
      <w:r>
        <w:rPr>
          <w:lang w:val="en-US"/>
        </w:rPr>
        <w:t>a</w:t>
      </w:r>
      <w:r>
        <w:t>)</w:t>
      </w:r>
      <w:r>
        <w:tab/>
        <w:t>Закон о рыболовстве 1998 года предусматривает предоставление женщ</w:t>
      </w:r>
      <w:r>
        <w:t>и</w:t>
      </w:r>
      <w:r>
        <w:t>нам права быть представленными в местных советах, учреждаемых для осуществления правительственной программы управления ресурсами прибрежных районов. Однако, этот закон был подвергнут критике за то, что он ставит в привилегированное положение коммерческие рыболове</w:t>
      </w:r>
      <w:r>
        <w:t>ц</w:t>
      </w:r>
      <w:r>
        <w:t>кие артели, а не городские артели и тех, кто занимается рыболовством в целях извлечения прибыли, а не тех, кто занимается этим для того, чтобы прокормить свою семью, что не отвечает интересам женщин в рыбол</w:t>
      </w:r>
      <w:r>
        <w:t>о</w:t>
      </w:r>
      <w:r>
        <w:t>вецких общинах.</w:t>
      </w:r>
    </w:p>
    <w:p w:rsidR="00000000" w:rsidRDefault="00000000">
      <w:pPr>
        <w:pStyle w:val="SingleTxt"/>
        <w:ind w:left="1740" w:right="1264" w:hanging="476"/>
      </w:pPr>
      <w:r>
        <w:rPr>
          <w:lang w:val="en-US"/>
        </w:rPr>
        <w:t>b</w:t>
      </w:r>
      <w:r>
        <w:t>)</w:t>
      </w:r>
      <w:r>
        <w:tab/>
        <w:t>Закон 1997 года о социальной реформе и борьбе с бедностью служит о</w:t>
      </w:r>
      <w:r>
        <w:t>с</w:t>
      </w:r>
      <w:r>
        <w:t>новой для программ борьбы с бедностью, которые осуществлялись всеми тремя президентами. В 2001 году администрация Арройо приступила к реализации программы "Kapit-Bisig Laban sa Kahirapan" (см. также пун</w:t>
      </w:r>
      <w:r>
        <w:t>к</w:t>
      </w:r>
      <w:r>
        <w:t>ты 479 с и 479 d), которая охватывает такие области как помощь в пол</w:t>
      </w:r>
      <w:r>
        <w:t>у</w:t>
      </w:r>
      <w:r>
        <w:t>чении жилья, инфраструктура, электрификация, средства к существов</w:t>
      </w:r>
      <w:r>
        <w:t>а</w:t>
      </w:r>
      <w:r>
        <w:t>нию и оказание других основных услуг, крайне необходимых в сельских ра</w:t>
      </w:r>
      <w:r>
        <w:t>й</w:t>
      </w:r>
      <w:r>
        <w:t>онах.</w:t>
      </w:r>
    </w:p>
    <w:p w:rsidR="00000000" w:rsidRDefault="00000000">
      <w:pPr>
        <w:pStyle w:val="SingleTxt"/>
        <w:ind w:left="1740" w:right="1264" w:hanging="476"/>
      </w:pPr>
      <w:r>
        <w:rPr>
          <w:lang w:val="en-US"/>
        </w:rPr>
        <w:t>c</w:t>
      </w:r>
      <w:r>
        <w:t>)</w:t>
      </w:r>
      <w:r>
        <w:tab/>
        <w:t>Как уже отмечалось в пункте 146 b, закон о правах коренных народов предусматривает обеспечение равенства мужчин и женщин в коренных народах в отношении прав и возможностей в различных областях жизни и участия коренных женщин в процессе принятия решения на всех уровнях. Осуществление этого закона сталкивается с серьезными препятствиями, связанными с формой о</w:t>
      </w:r>
      <w:r>
        <w:t>т</w:t>
      </w:r>
      <w:r>
        <w:t>ношений наследуемых земель.</w:t>
      </w:r>
    </w:p>
    <w:p w:rsidR="00000000" w:rsidRDefault="00000000">
      <w:pPr>
        <w:pStyle w:val="SingleTxt"/>
        <w:ind w:left="1740" w:right="1264" w:hanging="476"/>
      </w:pPr>
      <w:r>
        <w:rPr>
          <w:lang w:val="en-US"/>
        </w:rPr>
        <w:t>d</w:t>
      </w:r>
      <w:r>
        <w:t>)</w:t>
      </w:r>
      <w:r>
        <w:tab/>
        <w:t>Находящийся на рассмотрении Палаты представителей законопроект 2970 (или Закон о правах женщин в области развития сельских районов) предусматривает обеспечение защиты и оказание содействия осуществл</w:t>
      </w:r>
      <w:r>
        <w:t>е</w:t>
      </w:r>
      <w:r>
        <w:t>нию прав сельских женщин. Им признается роль и вклад сельских же</w:t>
      </w:r>
      <w:r>
        <w:t>н</w:t>
      </w:r>
      <w:r>
        <w:t>щин в экономическое развитие страны и обеспечение продовольственной безопасности, и предусматривается принятие мер по совершенствованию и развитию их навыков, обеспечение их работой и предоставление им возможностей вносить свой п</w:t>
      </w:r>
      <w:r>
        <w:t>о</w:t>
      </w:r>
      <w:r>
        <w:t>сильный вклад в развитие общин.</w:t>
      </w:r>
    </w:p>
    <w:p w:rsidR="00000000" w:rsidRDefault="00000000">
      <w:pPr>
        <w:pStyle w:val="SingleTxt"/>
        <w:ind w:left="1740" w:right="1264" w:hanging="476"/>
      </w:pPr>
      <w:r>
        <w:rPr>
          <w:lang w:val="en-US"/>
        </w:rPr>
        <w:t>e</w:t>
      </w:r>
      <w:r>
        <w:t>)</w:t>
      </w:r>
      <w:r>
        <w:tab/>
        <w:t>В соответствии с постановлением № 1105 15 октября было объявлено Н</w:t>
      </w:r>
      <w:r>
        <w:t>а</w:t>
      </w:r>
      <w:r>
        <w:t>циональным днем сельских женщин. В нем обращается внимание на судьбу сельского сектора и содержится призыв к принятию совместных мер всеми слоями общества. В ходе проведения в 2003 году Национальн</w:t>
      </w:r>
      <w:r>
        <w:t>о</w:t>
      </w:r>
      <w:r>
        <w:t>го конгресса сельских женщин участники приняли «Повестку дня для сельских женщин: видение на десятилетие вперед», в которой содержатся 8 пунктов и соответствующие проекты резолюций, включая обеспечение имущественных прав сельских женщин в рамках аграрной реформы в о</w:t>
      </w:r>
      <w:r>
        <w:t>б</w:t>
      </w:r>
      <w:r>
        <w:t>ласти наследования и освоения ресурсов прибрежных районов, а также расширение доступа сельских женщин к надлежащему продовольствию, безопасной питьевой воде и базовым усл</w:t>
      </w:r>
      <w:r>
        <w:t>у</w:t>
      </w:r>
      <w:r>
        <w:t>гам.</w:t>
      </w:r>
    </w:p>
    <w:p w:rsidR="00000000" w:rsidRDefault="00000000">
      <w:pPr>
        <w:pStyle w:val="num"/>
      </w:pPr>
      <w:r>
        <w:t>Министерство окружающей среды и природных ресурсов разработало ряд основных политических программ по предоставлению женщинам равного до</w:t>
      </w:r>
      <w:r>
        <w:t>с</w:t>
      </w:r>
      <w:r>
        <w:t>тупа к природным ресурсам. Его Общинная программа рационального испол</w:t>
      </w:r>
      <w:r>
        <w:t>ь</w:t>
      </w:r>
      <w:r>
        <w:t>зования лесных ресурсов была принята в качестве учитывающего гендерные вопросы руководства по обеспечению равенства мужчин и женщин при ее осуществлении. Кроме того, министерство предоставляет служебные контра</w:t>
      </w:r>
      <w:r>
        <w:t>к</w:t>
      </w:r>
      <w:r>
        <w:t>ты и обеспечивает доступ к учебным программам как для мужей, так и для жен. Однако, прогресс в этой области все еще ограничен, что объясняется м</w:t>
      </w:r>
      <w:r>
        <w:t>е</w:t>
      </w:r>
      <w:r>
        <w:t>стной политикой, отсутствием инфраструктуры и вспомогательных служб и все еще бытующим в сельских и горных районах стереотипным представлением о мужчинах и женщ</w:t>
      </w:r>
      <w:r>
        <w:t>и</w:t>
      </w:r>
      <w:r>
        <w:t>нах.</w:t>
      </w:r>
    </w:p>
    <w:p w:rsidR="00000000" w:rsidRDefault="00000000">
      <w:pPr>
        <w:pStyle w:val="num"/>
      </w:pPr>
      <w:r>
        <w:t>Закон о всеобъемлющей аграрной реформе предусматривает, что «Все для практического обеспечения этого положения министерство аграрной реформы приняло принцип гендерных отношений и развития (ГОР) в качестве основн</w:t>
      </w:r>
      <w:r>
        <w:t>о</w:t>
      </w:r>
      <w:r>
        <w:t>го принципа осуществления Программы всеобъемлющей аграрной реформы (ПВАР) и ключевого элемента подхода к развитию в рамках Сообщества агра</w:t>
      </w:r>
      <w:r>
        <w:t>р</w:t>
      </w:r>
      <w:r>
        <w:t>ной реформы (САР)</w:t>
      </w:r>
      <w:r>
        <w:rPr>
          <w:rStyle w:val="FootnoteReference"/>
        </w:rPr>
        <w:footnoteReference w:id="22"/>
      </w:r>
      <w:r>
        <w:t>. Этот закон представляет собой также классифицирова</w:t>
      </w:r>
      <w:r>
        <w:t>н</w:t>
      </w:r>
      <w:r>
        <w:t>ное руководство по обеспечению равенства мужчин и женщин в том, что кас</w:t>
      </w:r>
      <w:r>
        <w:t>а</w:t>
      </w:r>
      <w:r>
        <w:t>ется подготовки и выдачи свидетельства об освобождении земли и свидетел</w:t>
      </w:r>
      <w:r>
        <w:t>ь</w:t>
      </w:r>
      <w:r>
        <w:t>ства о приобретении прав на землю (СОЗ/СППЗ) в отношениях между супр</w:t>
      </w:r>
      <w:r>
        <w:t>у</w:t>
      </w:r>
      <w:r>
        <w:t>гами, являющимися бенефициарами аграрной реформы (БАР).</w:t>
      </w:r>
    </w:p>
    <w:p w:rsidR="00000000" w:rsidRDefault="00000000">
      <w:pPr>
        <w:pStyle w:val="num"/>
      </w:pPr>
      <w:r>
        <w:t>В последние несколько лет министерство приняло дополнительные гара</w:t>
      </w:r>
      <w:r>
        <w:t>н</w:t>
      </w:r>
      <w:r>
        <w:t>тии, например, Административное постановление № 1, серия 2001 года. Это было сделано для обеспечения защиты прав обоих супругов на владение зе</w:t>
      </w:r>
      <w:r>
        <w:t>м</w:t>
      </w:r>
      <w:r>
        <w:t>лей. Для этого необходимо получить СОЗ/СППЗ на имя каждого из супругов в соответствии с действующими положениями семейного кодекса и гражданск</w:t>
      </w:r>
      <w:r>
        <w:t>о</w:t>
      </w:r>
      <w:r>
        <w:t>го кодекса, касающимися имущественных отношений, связанных с лицами, н</w:t>
      </w:r>
      <w:r>
        <w:t>а</w:t>
      </w:r>
      <w:r>
        <w:t>ходящимися в законном или гражданском браке. Также предусматривается включение учитывающей гендерные вопросы системы отчетности в систему отчетности о приобретении и распределении земли и в компьютеризированную информационную систему министерства. Национальный руководящий комитет по ГОР этого министерства через Коммуникационный пункт технической р</w:t>
      </w:r>
      <w:r>
        <w:t>а</w:t>
      </w:r>
      <w:r>
        <w:t>бочей группы по ГОР обеспечивает руководство и контроль за осуществлением учитывающих гендерные вопросы программ аграрной реформы. В качестве о</w:t>
      </w:r>
      <w:r>
        <w:t>р</w:t>
      </w:r>
      <w:r>
        <w:t>ганов, отвечающих за осуществление этих программ, выступают региональные и провинциальные целевые группы по ГОР.</w:t>
      </w:r>
    </w:p>
    <w:p w:rsidR="00000000" w:rsidRDefault="00000000">
      <w:pPr>
        <w:pStyle w:val="num"/>
      </w:pPr>
      <w:r>
        <w:t>Представляется, что предпринятые в последние годы усилия по обеспеч</w:t>
      </w:r>
      <w:r>
        <w:t>е</w:t>
      </w:r>
      <w:r>
        <w:t>нию равенства мужчин и женщин в вопросах распределения земли, начали приносить свои плоды. За период с января по д</w:t>
      </w:r>
      <w:r>
        <w:t>е</w:t>
      </w:r>
      <w:r>
        <w:t>кабрь 2003 года женщинам-бенефициарам программ (33 процента всех бенефициаров) было выдано 18 205 СОЗ/СППЗ. К этому числу относятся отдельные бенефициары, как м</w:t>
      </w:r>
      <w:r>
        <w:t>у</w:t>
      </w:r>
      <w:r>
        <w:t>жья, так и жены, которые решили, что их СОЗ/СППЗ должны быть выданы о</w:t>
      </w:r>
      <w:r>
        <w:t>т</w:t>
      </w:r>
      <w:r>
        <w:t>дельно, а в случае выдачи коллективных СОЗ/СППЗ – что они должны быть указаны или перечислены как отдельные бенефициары независимо от их с</w:t>
      </w:r>
      <w:r>
        <w:t>е</w:t>
      </w:r>
      <w:r>
        <w:t>мейных отношений при условии, что переданные им соответствующие права на присужденные земли были проверены и подтверждены в соответствии с п</w:t>
      </w:r>
      <w:r>
        <w:t>о</w:t>
      </w:r>
      <w:r>
        <w:t>л</w:t>
      </w:r>
      <w:r>
        <w:t>о</w:t>
      </w:r>
      <w:r>
        <w:t>жениями закона.</w:t>
      </w:r>
    </w:p>
    <w:p w:rsidR="00000000" w:rsidRDefault="00000000">
      <w:pPr>
        <w:pStyle w:val="num"/>
      </w:pPr>
      <w:r>
        <w:t>За период с 1993 по декабрь 2003 года министерство аграрной реформы создало 1 587 коммун аграрной реформы в различных районах страны, в ра</w:t>
      </w:r>
      <w:r>
        <w:t>м</w:t>
      </w:r>
      <w:r>
        <w:t>ках которых свою землю обрабатывает 66 201 бенефициар этой программы. В этих районах в общей сложности функционирует 3 391 фермерская организ</w:t>
      </w:r>
      <w:r>
        <w:t>а</w:t>
      </w:r>
      <w:r>
        <w:t>ция или кооператив. На долю женщин в составе этих организаций приходится 35 процентов. Они также составляют 41 процент членов коммун, однако среди рук</w:t>
      </w:r>
      <w:r>
        <w:t>о</w:t>
      </w:r>
      <w:r>
        <w:t>водителей этих коммун их только 28 процентов.</w:t>
      </w:r>
    </w:p>
    <w:p w:rsidR="00000000" w:rsidRDefault="00000000">
      <w:pPr>
        <w:pStyle w:val="num"/>
      </w:pPr>
      <w:r>
        <w:t>Как уже говорилось в пунктах, касающихся статьи 13, министерство с</w:t>
      </w:r>
      <w:r>
        <w:t>о</w:t>
      </w:r>
      <w:r>
        <w:t>циального обеспечения играет ведущую роль в оказании социальных услуг наиболее бедным слоям населения. Оно создало и обеспечивает функционир</w:t>
      </w:r>
      <w:r>
        <w:t>о</w:t>
      </w:r>
      <w:r>
        <w:t>вание районных центров по уходу за детьми в дневное время, многие из кот</w:t>
      </w:r>
      <w:r>
        <w:t>о</w:t>
      </w:r>
      <w:r>
        <w:t>рых расположены в сельских районах. Оно зан</w:t>
      </w:r>
      <w:r>
        <w:t>и</w:t>
      </w:r>
      <w:r>
        <w:t>мается профессионально-технической подготовкой, предоставлением расширенной финансовой помощи, а также обеспечивает комплекс социальных услуг для оказания помощи сем</w:t>
      </w:r>
      <w:r>
        <w:t>ь</w:t>
      </w:r>
      <w:r>
        <w:t>ям, жив</w:t>
      </w:r>
      <w:r>
        <w:t>у</w:t>
      </w:r>
      <w:r>
        <w:t>щим в условиях бедности.</w:t>
      </w:r>
    </w:p>
    <w:p w:rsidR="00000000" w:rsidRDefault="00000000">
      <w:pPr>
        <w:pStyle w:val="num"/>
      </w:pPr>
      <w:r>
        <w:t>Министерство сельского хозяйства через свои различные управления и отделения осуществляет целый ряд ориентированных на учет гендерных в</w:t>
      </w:r>
      <w:r>
        <w:t>о</w:t>
      </w:r>
      <w:r>
        <w:t>просов программ. В их число входят следующие програ</w:t>
      </w:r>
      <w:r>
        <w:t>м</w:t>
      </w:r>
      <w:r>
        <w:t>мы:</w:t>
      </w:r>
    </w:p>
    <w:p w:rsidR="00000000" w:rsidRDefault="00000000">
      <w:pPr>
        <w:pStyle w:val="SingleTxt"/>
        <w:ind w:left="1740" w:right="1264" w:hanging="476"/>
        <w:rPr>
          <w:spacing w:val="-2"/>
        </w:rPr>
      </w:pPr>
      <w:r>
        <w:rPr>
          <w:lang w:val="en-US"/>
        </w:rPr>
        <w:t>a</w:t>
      </w:r>
      <w:r>
        <w:t>)</w:t>
      </w:r>
      <w:r>
        <w:tab/>
        <w:t>Программа расширения возможностей для получения средств к существ</w:t>
      </w:r>
      <w:r>
        <w:t>о</w:t>
      </w:r>
      <w:r>
        <w:t>ванию в целях развития сельского хозяйства, которая осуществляется Н</w:t>
      </w:r>
      <w:r>
        <w:t>а</w:t>
      </w:r>
      <w:r>
        <w:t>циональным советом по сельскому хозяйству и рыболовству и охватывает 423 проекта, в рамках которых помощь оказывается 27 150 сельским женщинам в различных районах страны и фонд которых составляет п</w:t>
      </w:r>
      <w:r>
        <w:t>о</w:t>
      </w:r>
      <w:r>
        <w:t>рядка 60 млн. филиппинских песо. Министерство в качестве показателя успешного осуществления этой программы использует экономическую надежность и устойчивость проектов, которые в конечном итоге должны принести пользу женщинам.</w:t>
      </w:r>
    </w:p>
    <w:p w:rsidR="00000000" w:rsidRDefault="00000000">
      <w:pPr>
        <w:pStyle w:val="SingleTxt"/>
        <w:ind w:left="1740" w:right="1264" w:hanging="476"/>
      </w:pPr>
      <w:r>
        <w:rPr>
          <w:spacing w:val="-2"/>
          <w:lang w:val="en-US"/>
        </w:rPr>
        <w:t>b</w:t>
      </w:r>
      <w:r>
        <w:rPr>
          <w:spacing w:val="-2"/>
        </w:rPr>
        <w:t>)</w:t>
      </w:r>
      <w:r>
        <w:rPr>
          <w:spacing w:val="-2"/>
        </w:rPr>
        <w:tab/>
        <w:t>Учебный институт сельского хозяйства за период с 1996 по 2000 годы орган</w:t>
      </w:r>
      <w:r>
        <w:rPr>
          <w:spacing w:val="-2"/>
        </w:rPr>
        <w:t>и</w:t>
      </w:r>
      <w:r>
        <w:rPr>
          <w:spacing w:val="-2"/>
        </w:rPr>
        <w:t>зовал примерно 10 674 учебных курсов по вопросам, касающимся производс</w:t>
      </w:r>
      <w:r>
        <w:rPr>
          <w:spacing w:val="-2"/>
        </w:rPr>
        <w:t>т</w:t>
      </w:r>
      <w:r>
        <w:rPr>
          <w:spacing w:val="-2"/>
        </w:rPr>
        <w:t>венной технологии и технологии переработки продовольствия, предприним</w:t>
      </w:r>
      <w:r>
        <w:rPr>
          <w:spacing w:val="-2"/>
        </w:rPr>
        <w:t>а</w:t>
      </w:r>
      <w:r>
        <w:rPr>
          <w:spacing w:val="-2"/>
        </w:rPr>
        <w:t>тельских навыков, развития кооперативного движения и т.д. В этих курсах приняли участие 174 000 женщин, т.е. 40 процентов всех лиц, прошедших по</w:t>
      </w:r>
      <w:r>
        <w:rPr>
          <w:spacing w:val="-2"/>
        </w:rPr>
        <w:t>д</w:t>
      </w:r>
      <w:r>
        <w:rPr>
          <w:spacing w:val="-2"/>
        </w:rPr>
        <w:t>готовку на этих курсах. Такие учебно-информационные услуги предоставл</w:t>
      </w:r>
      <w:r>
        <w:rPr>
          <w:spacing w:val="-2"/>
        </w:rPr>
        <w:t>я</w:t>
      </w:r>
      <w:r>
        <w:rPr>
          <w:spacing w:val="-2"/>
        </w:rPr>
        <w:t>лись как женщинам, так и мужчинам, а впоследствии было принято специал</w:t>
      </w:r>
      <w:r>
        <w:rPr>
          <w:spacing w:val="-2"/>
        </w:rPr>
        <w:t>ь</w:t>
      </w:r>
      <w:r>
        <w:rPr>
          <w:spacing w:val="-2"/>
        </w:rPr>
        <w:t>ное решение привлекать к ним больше же</w:t>
      </w:r>
      <w:r>
        <w:rPr>
          <w:spacing w:val="-2"/>
        </w:rPr>
        <w:t>н</w:t>
      </w:r>
      <w:r>
        <w:rPr>
          <w:spacing w:val="-2"/>
        </w:rPr>
        <w:t>щин.</w:t>
      </w:r>
    </w:p>
    <w:p w:rsidR="00000000" w:rsidRDefault="00000000">
      <w:pPr>
        <w:pStyle w:val="SingleTxt"/>
        <w:ind w:left="1740" w:right="1264" w:hanging="476"/>
      </w:pPr>
      <w:r>
        <w:rPr>
          <w:lang w:val="en-US"/>
        </w:rPr>
        <w:t>c</w:t>
      </w:r>
      <w:r>
        <w:t>)</w:t>
      </w:r>
      <w:r>
        <w:tab/>
        <w:t>По линии КЕДАНКОР предоставлялись сельскохозяйственные кредиты, и доля женщин среди заемщиков составила 64 процента. Однако в общем объеме выданных кредитов на сумму 4,78 млн. филиппинских песо доля женщин составила тол</w:t>
      </w:r>
      <w:r>
        <w:t>ь</w:t>
      </w:r>
      <w:r>
        <w:t>ко 36 процентов.</w:t>
      </w:r>
    </w:p>
    <w:p w:rsidR="00000000" w:rsidRDefault="00000000">
      <w:pPr>
        <w:pStyle w:val="SingleTxt"/>
        <w:ind w:left="1740" w:right="1264" w:hanging="476"/>
      </w:pPr>
      <w:r>
        <w:rPr>
          <w:lang w:val="en-US"/>
        </w:rPr>
        <w:t>d</w:t>
      </w:r>
      <w:r>
        <w:t>)</w:t>
      </w:r>
      <w:r>
        <w:tab/>
        <w:t>Кредитные отделения министерства сельского хозяйства выдали 56 000 женщин кредит для финансирования женских проектов в секторе сельского хозяйства и рыболовства. Из 11,2 млрд. филиппинских песо в виде займов, предоставленных в этом секторе за период с 1996 по 2003 годы, женщины получили 2,7 млрд. филиппинских песо.</w:t>
      </w:r>
    </w:p>
    <w:p w:rsidR="00000000" w:rsidRDefault="00000000">
      <w:pPr>
        <w:pStyle w:val="SingleTxt"/>
        <w:ind w:left="1740" w:right="1264" w:hanging="476"/>
      </w:pPr>
      <w:r>
        <w:rPr>
          <w:lang w:val="en-US"/>
        </w:rPr>
        <w:t>e</w:t>
      </w:r>
      <w:r>
        <w:t>)</w:t>
      </w:r>
      <w:r>
        <w:tab/>
        <w:t>Министерством и НКРПФЖ был осуществлен совместный проект учета гендерных аспектов при осуществлении закона о модернизации сельского хозяйства и рыболовства (ЗМСХР). В этот закон были включены полож</w:t>
      </w:r>
      <w:r>
        <w:t>е</w:t>
      </w:r>
      <w:r>
        <w:t>ния, предусматривающие предоставление работающим в этом секторе женщинам возможности участвовать в планировании и осуществлении сельскохозяйственных программ и пользоваться их результатами на ра</w:t>
      </w:r>
      <w:r>
        <w:t>в</w:t>
      </w:r>
      <w:r>
        <w:t>ной с мужчинами основе. По крайней мере 5 процентов бюджета мин</w:t>
      </w:r>
      <w:r>
        <w:t>и</w:t>
      </w:r>
      <w:r>
        <w:t>стерства выделяется на упорядочение гендерных вопросов в рамках ос</w:t>
      </w:r>
      <w:r>
        <w:t>у</w:t>
      </w:r>
      <w:r>
        <w:t>ществления программ развития.</w:t>
      </w:r>
    </w:p>
    <w:p w:rsidR="00000000" w:rsidRDefault="00000000">
      <w:pPr>
        <w:pStyle w:val="SingleTxt"/>
        <w:ind w:left="1740" w:right="1264" w:hanging="476"/>
      </w:pPr>
      <w:r>
        <w:rPr>
          <w:lang w:val="en-US"/>
        </w:rPr>
        <w:t>f</w:t>
      </w:r>
      <w:r>
        <w:t>)</w:t>
      </w:r>
      <w:r>
        <w:tab/>
        <w:t>В механизмы сбора данных Управления по научно-исследовательской и информационной работе в послеуборочный период (УНИРП) были вкл</w:t>
      </w:r>
      <w:r>
        <w:t>ю</w:t>
      </w:r>
      <w:r>
        <w:t>чены гендерные вопросы, что повлияло на разработку параметров посл</w:t>
      </w:r>
      <w:r>
        <w:t>е</w:t>
      </w:r>
      <w:r>
        <w:t>уборочной технологии. Управление разрабатывает и постоянно соверше</w:t>
      </w:r>
      <w:r>
        <w:t>н</w:t>
      </w:r>
      <w:r>
        <w:t>ствует оборудование для переработки продовольствия, удобного в работе как для женщин, так и для мужчин, например, механических шелушил</w:t>
      </w:r>
      <w:r>
        <w:t>ь</w:t>
      </w:r>
      <w:r>
        <w:t>ных машин для очистки ор</w:t>
      </w:r>
      <w:r>
        <w:t>е</w:t>
      </w:r>
      <w:r>
        <w:t>хов.</w:t>
      </w:r>
    </w:p>
    <w:p w:rsidR="00000000" w:rsidRDefault="00000000">
      <w:pPr>
        <w:pStyle w:val="num"/>
      </w:pPr>
      <w:r>
        <w:t>Министерство сельского хозяйства поощряет также более широкое уч</w:t>
      </w:r>
      <w:r>
        <w:t>а</w:t>
      </w:r>
      <w:r>
        <w:t>стие женщин в принятии директивных решений, привлекая их к работе советов по сельскому хозяйству и рыболовству в регионах (РССХР), провинциях (ПССХР) и муниципалитетах (МССХР). По состоянию на 30 июня 2001 года участие в разработке и принятии проектов строительства в сельской местности приняли участие примерно 40 процентов женщин в РССХР, 30 процентов в ПССХР и 45 процентов в МССХР.</w:t>
      </w:r>
    </w:p>
    <w:p w:rsidR="00000000" w:rsidRDefault="00000000">
      <w:pPr>
        <w:pStyle w:val="num"/>
      </w:pPr>
      <w:r>
        <w:t>В каждом городе специалист по сельскохозяйственной технологии оказ</w:t>
      </w:r>
      <w:r>
        <w:t>ы</w:t>
      </w:r>
      <w:r>
        <w:t>вает техническую помощь Клубу развития сельской местности, который пре</w:t>
      </w:r>
      <w:r>
        <w:t>д</w:t>
      </w:r>
      <w:r>
        <w:t>ставляет собой районную женскую организацию, служащую каналом для ра</w:t>
      </w:r>
      <w:r>
        <w:t>з</w:t>
      </w:r>
      <w:r>
        <w:t>вития руководящих навыков и потенциала женщин в интересах улучшения жизни в семье и общине. На декабрь 2000 года было создано и функционир</w:t>
      </w:r>
      <w:r>
        <w:t>о</w:t>
      </w:r>
      <w:r>
        <w:t>вало примерно 19 200 таких клубов в различных районах страны с членским составом в 480 000 человек.</w:t>
      </w:r>
    </w:p>
    <w:p w:rsidR="00000000" w:rsidRDefault="00000000">
      <w:pPr>
        <w:pStyle w:val="num"/>
      </w:pPr>
      <w:r>
        <w:t>Министерство труда осуществляет проект, названный «Расширение во</w:t>
      </w:r>
      <w:r>
        <w:t>з</w:t>
      </w:r>
      <w:r>
        <w:t>можностей в области занятости в сельских районах путем развития индивид</w:t>
      </w:r>
      <w:r>
        <w:t>у</w:t>
      </w:r>
      <w:r>
        <w:t>альной трудовой деятельности» (ПРЕ-СЕЕД), который включает в себя разв</w:t>
      </w:r>
      <w:r>
        <w:t>и</w:t>
      </w:r>
      <w:r>
        <w:t>тие профессиональных навыков в области совершенствования работы пре</w:t>
      </w:r>
      <w:r>
        <w:t>д</w:t>
      </w:r>
      <w:r>
        <w:t>приятий по производству продовольствия, укрепление партнерских отношений на основе аккредитации и оказание кредитной помощи сельским работникам, находящимся за чертой бедности. За период с 1996 по 2000 годы, согласно с</w:t>
      </w:r>
      <w:r>
        <w:t>о</w:t>
      </w:r>
      <w:r>
        <w:t>общ</w:t>
      </w:r>
      <w:r>
        <w:t>е</w:t>
      </w:r>
      <w:r>
        <w:t>ниям, в рамках этого проекта помощь была оказана 18 295 женщинам.</w:t>
      </w:r>
    </w:p>
    <w:p w:rsidR="00000000" w:rsidRDefault="00000000">
      <w:pPr>
        <w:pStyle w:val="num"/>
      </w:pPr>
      <w:r>
        <w:t>Управление по техническому образованию и развитию навыков (ТЕСДА) продолжало заниматься профессиональной подготовкой специалистов в своих региональных и провинциальных центрах в различных частях страны. Как уже отмечалось в пунктах, касающихся статьи 11, в рамках программ ТЕСДА уче</w:t>
      </w:r>
      <w:r>
        <w:t>б</w:t>
      </w:r>
      <w:r>
        <w:t>ные курсы организовывались по нетрадиционным профессиям (например, св</w:t>
      </w:r>
      <w:r>
        <w:t>а</w:t>
      </w:r>
      <w:r>
        <w:t>рочные работы, ремонт автомобилей и электронной техники), равно как и по традиционным для женщин профессиям, однако большая часть из 60 000 женщин, прошедших подготовку на курсах ТЕСДА, выбрала для себя традиционные женские профессии. Имеющиеся данные не позволяют точно установить долю сельских же</w:t>
      </w:r>
      <w:r>
        <w:t>н</w:t>
      </w:r>
      <w:r>
        <w:t>щин, прошедших подготовку на таких курсах.</w:t>
      </w:r>
    </w:p>
    <w:p w:rsidR="00000000" w:rsidRDefault="00000000">
      <w:pPr>
        <w:pStyle w:val="num"/>
        <w:rPr>
          <w:spacing w:val="-2"/>
        </w:rPr>
      </w:pPr>
      <w:r>
        <w:t>Министерством образования осуществляется учебная программа осво</w:t>
      </w:r>
      <w:r>
        <w:t>е</w:t>
      </w:r>
      <w:r>
        <w:t>ния основ чтения, которая представляет собой программу борьбы с неграмо</w:t>
      </w:r>
      <w:r>
        <w:t>т</w:t>
      </w:r>
      <w:r>
        <w:t>ностью среди взрослых, предназначенную как для женщин, так и для мужчин в различных общинах. Однако данных за отчетный период, касающихся участия сельского населения в этой программе, нет.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78" w:name="_Toc85174947"/>
      <w:r>
        <w:t xml:space="preserve">C. </w:t>
      </w:r>
      <w:r>
        <w:tab/>
        <w:t>Нерешенные проблемы и препятствия</w:t>
      </w:r>
      <w:bookmarkEnd w:id="7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rPr>
          <w:spacing w:val="-2"/>
        </w:rPr>
      </w:pPr>
      <w:r>
        <w:t>Несмотря на предпринимаемые правительством усилия по облегчению судьбы сельской бедноты, бедность по-прежнему является основной пробл</w:t>
      </w:r>
      <w:r>
        <w:t>е</w:t>
      </w:r>
      <w:r>
        <w:t>мой, с которой сталкиваются сельские женщины. Бедность связана с такими вопросами, как нехватка рабочих мест, образование и профессиональная по</w:t>
      </w:r>
      <w:r>
        <w:t>д</w:t>
      </w:r>
      <w:r>
        <w:t>готовка и мир и порядок. Несбалансированность в распределении ресурсов между городскими и сельскими районами приводит к серьезным диспропорц</w:t>
      </w:r>
      <w:r>
        <w:t>и</w:t>
      </w:r>
      <w:r>
        <w:t>ям в развитии этих районов в пользу городов. Плохое здоровье, безземелье, уход из школы и широкое привлечение детей к труду является лишь нескол</w:t>
      </w:r>
      <w:r>
        <w:t>ь</w:t>
      </w:r>
      <w:r>
        <w:t>кими проявлениями бедности сельского населения. Правительство должно в</w:t>
      </w:r>
      <w:r>
        <w:t>ы</w:t>
      </w:r>
      <w:r>
        <w:t>работать более реалистичный и комплексный подход к решению этой пробл</w:t>
      </w:r>
      <w:r>
        <w:t>е</w:t>
      </w:r>
      <w:r>
        <w:t>мы, который предусматривал бы более активное участие женщин в принятии решений и обеспечении их необходимыми средствами и ресурсами, чтобы они могли вырваться из порочного круга нищеты. Осуществление положений К</w:t>
      </w:r>
      <w:r>
        <w:t>о</w:t>
      </w:r>
      <w:r>
        <w:t>декса о местных органах управления, который предусматривает передачу по</w:t>
      </w:r>
      <w:r>
        <w:t>л</w:t>
      </w:r>
      <w:r>
        <w:t>номочий и средств местным государственным отделениям, должно позволить обеспечить более равномерное распределение ресурсов для целей здравоохр</w:t>
      </w:r>
      <w:r>
        <w:t>а</w:t>
      </w:r>
      <w:r>
        <w:t>нения, образования, занятости и других социальных услуг в помощь бедным слоям сел</w:t>
      </w:r>
      <w:r>
        <w:t>ь</w:t>
      </w:r>
      <w:r>
        <w:t>ского населения.</w:t>
      </w:r>
    </w:p>
    <w:p w:rsidR="00000000" w:rsidRDefault="00000000">
      <w:pPr>
        <w:pStyle w:val="num"/>
      </w:pPr>
      <w:r>
        <w:t>Для обеспечения более сбалансированного развития сельских и городских районов правительство должно создать надежную сельскохозяйственную пр</w:t>
      </w:r>
      <w:r>
        <w:t>о</w:t>
      </w:r>
      <w:r>
        <w:t>мышленность, обеспечить средства к существованию и занятость для сельских женщин, чтобы увеличить объем ресурсов, имеющихся в этой области, при обеспечении продовольственной безопасности и охраны окружающей среды. Профессиональная подготовка и расширение возможностей женщин должны соответствовать профессиональным потребностям местных предприятий, к</w:t>
      </w:r>
      <w:r>
        <w:t>о</w:t>
      </w:r>
      <w:r>
        <w:t>торые уже существуют или которые запланировано создать, чтобы можно было приостановить м</w:t>
      </w:r>
      <w:r>
        <w:t>и</w:t>
      </w:r>
      <w:r>
        <w:t>грацию женщин в городские центры в поисках работы.</w:t>
      </w:r>
    </w:p>
    <w:p w:rsidR="00000000" w:rsidRDefault="00000000">
      <w:pPr>
        <w:pStyle w:val="num"/>
      </w:pPr>
      <w:r>
        <w:t>Местные органы власти и децентрализованные правительственные учр</w:t>
      </w:r>
      <w:r>
        <w:t>е</w:t>
      </w:r>
      <w:r>
        <w:t>ждения должны оказывать основные социальные услуги с учетом конкретных потребностей женщин в сельских районах. Соответствующие программы и у</w:t>
      </w:r>
      <w:r>
        <w:t>с</w:t>
      </w:r>
      <w:r>
        <w:t>луги должны оказываться сельским женщинам на основе всеобъемлющего сб</w:t>
      </w:r>
      <w:r>
        <w:t>о</w:t>
      </w:r>
      <w:r>
        <w:t>ра и анализа социально-экономических данных о потребностях и проблемах женщин на местах.</w:t>
      </w:r>
    </w:p>
    <w:p w:rsidR="00000000" w:rsidRDefault="00000000">
      <w:pPr>
        <w:pStyle w:val="num"/>
      </w:pPr>
      <w:r>
        <w:t>Поддержание мира и порядка – это национальная проблема которая имеет самые серьезные последствия для сельских районов. Как видно из пунктов в различных разделах настоящего доклада, в некоторых районах Минданао все еще активно сепаратистское движение и часты случаи похищения людей ради выкупа. Сельские женщины, находящиеся в центре вооруженного конфликта, страдают не только от нищеты, но и от серьезной обеспокоенности и угрозы их безопасности. Необходимо решить проблему с восстановлением мира и поря</w:t>
      </w:r>
      <w:r>
        <w:t>д</w:t>
      </w:r>
      <w:r>
        <w:t>ка на Минданао и осуществить там комплексную программу развития, в час</w:t>
      </w:r>
      <w:r>
        <w:t>т</w:t>
      </w:r>
      <w:r>
        <w:t>ности, в интересах женщин и детей-жертв вооруженного конфликта.</w:t>
      </w:r>
    </w:p>
    <w:p w:rsidR="00000000" w:rsidRDefault="00000000">
      <w:pPr>
        <w:pStyle w:val="num"/>
      </w:pPr>
      <w:r>
        <w:t>Сельское хозяйство и рыболовство рассматриваются как мужские виды деятельности, хотя такой работой занимаются и женщины. Сельские женщины страдают от такого непризнания их роли в этом секторе. У них ограничен до</w:t>
      </w:r>
      <w:r>
        <w:t>с</w:t>
      </w:r>
      <w:r>
        <w:t>туп к ресурсам, вспомогательным сельскохозяйственным службам, професси</w:t>
      </w:r>
      <w:r>
        <w:t>о</w:t>
      </w:r>
      <w:r>
        <w:t>нальной подготовке и технологии. Многие из них мигрируют в города или же выезжают за рубеж в поисках работы. Бедность в сельской местности зачастую является основным фа</w:t>
      </w:r>
      <w:r>
        <w:t>к</w:t>
      </w:r>
      <w:r>
        <w:t>тором миграции сельских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79" w:name="_Toc85174948"/>
      <w:r>
        <w:t>Статья 15. Равенство перед законом и в гражданских делах</w:t>
      </w:r>
      <w:bookmarkEnd w:id="79"/>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keepNext/>
        <w:rPr>
          <w:i/>
        </w:rPr>
      </w:pPr>
      <w:r>
        <w:rPr>
          <w:i/>
        </w:rPr>
        <w:t>Равенство женщин перед законом и в гражданских делах; равные возможн</w:t>
      </w:r>
      <w:r>
        <w:rPr>
          <w:i/>
        </w:rPr>
        <w:t>о</w:t>
      </w:r>
      <w:r>
        <w:rPr>
          <w:i/>
        </w:rPr>
        <w:t>сти реализации правоспособности, например, при заключении договоров и управлении имуществом; равное отношение к ним при разбирательстве в с</w:t>
      </w:r>
      <w:r>
        <w:rPr>
          <w:i/>
        </w:rPr>
        <w:t>у</w:t>
      </w:r>
      <w:r>
        <w:rPr>
          <w:i/>
        </w:rPr>
        <w:t>дах и трибуналах, и т.д.</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80" w:name="_Toc85174949"/>
      <w:r>
        <w:t>A.</w:t>
      </w:r>
      <w:r>
        <w:tab/>
        <w:t>Положение женщин</w:t>
      </w:r>
      <w:bookmarkEnd w:id="80"/>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Как это уже рассматривалось в пунктах, касающихся предыдущих статей, филиппинские женщины, как и мужчины, равны перед законом, что гарантир</w:t>
      </w:r>
      <w:r>
        <w:t>у</w:t>
      </w:r>
      <w:r>
        <w:t>ется конституцией Филиппин и другими закон</w:t>
      </w:r>
      <w:r>
        <w:t>а</w:t>
      </w:r>
      <w:r>
        <w:t>ми.</w:t>
      </w:r>
    </w:p>
    <w:p w:rsidR="00000000" w:rsidRDefault="00000000">
      <w:pPr>
        <w:pStyle w:val="num"/>
        <w:rPr>
          <w:spacing w:val="-2"/>
        </w:rPr>
      </w:pPr>
      <w:r>
        <w:t>Как это четко указано в Республиканском законе 7192, женщины прав</w:t>
      </w:r>
      <w:r>
        <w:t>о</w:t>
      </w:r>
      <w:r>
        <w:t>способного возраста, независимо от их гражданского положения, могут нара</w:t>
      </w:r>
      <w:r>
        <w:t>в</w:t>
      </w:r>
      <w:r>
        <w:t>не с мужчинами при одних и тех же условиях выступать в личном качестве и заключать договора. Во всех случаях заключения договора, когда женатый мужчина имеет право выступать в личном качестве, замужняя женщина также имеет равные права. Женщинам также гарантируется равное отношение к ним на всех этапах разбирател</w:t>
      </w:r>
      <w:r>
        <w:t>ь</w:t>
      </w:r>
      <w:r>
        <w:t>ства в суде.</w:t>
      </w:r>
    </w:p>
    <w:p w:rsidR="00000000" w:rsidRDefault="00000000">
      <w:pPr>
        <w:pStyle w:val="num"/>
      </w:pPr>
      <w:r>
        <w:t>Как это уже отмечалось в других разделах настоящего доклада, все еще сохраняются проблемы, касающиеся осуществления законов. Это указывалось в отношении трудового законодательства (статья 11) и законов об образовании (статья 10) и здрав</w:t>
      </w:r>
      <w:r>
        <w:t>о</w:t>
      </w:r>
      <w:r>
        <w:t>охранения (статья 12).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81" w:name="_Toc85174950"/>
      <w:r>
        <w:t xml:space="preserve">B. </w:t>
      </w:r>
      <w:r>
        <w:tab/>
        <w:t>Принятые меры: меры политического характера</w:t>
      </w:r>
      <w:bookmarkEnd w:id="81"/>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Правительственные учреждения медленно, но начинают признавать пр</w:t>
      </w:r>
      <w:r>
        <w:t>а</w:t>
      </w:r>
      <w:r>
        <w:t>воспособность женщин, особенно в том, что касается заключения договоров, владения землей и имущественных отношений. Как никогда раньше, замужние женщины сегодня могут покупать или арендовать общественные земли без письменного разрешения их мужей. Как это уже отмечалось в рамках статьи 14, министерство агра</w:t>
      </w:r>
      <w:r>
        <w:t>р</w:t>
      </w:r>
      <w:r>
        <w:t>ной реформы защищает права женщин-землевладельцев/фермеров путем выдачи свидетельств об освобожд</w:t>
      </w:r>
      <w:r>
        <w:t>е</w:t>
      </w:r>
      <w:r>
        <w:t>нии/свидетельств о владении землей на имя как мужа, так и жены. Аналоги</w:t>
      </w:r>
      <w:r>
        <w:t>ч</w:t>
      </w:r>
      <w:r>
        <w:t>ным образом, министерство окружающей среды и природных ресурсов выдает свидетельство на договоры о партнерских отношениях как мужу, так и жене. В 2002 году оно отменило давно уже существующую политику, в соответствии с которой замужним женщинам запрещалось подавать заявление на получение свидетельства о владении землей, за исключением некоторых случаев, и им н</w:t>
      </w:r>
      <w:r>
        <w:t>е</w:t>
      </w:r>
      <w:r>
        <w:t>обходимо было получить письменное согласие своего мужа, прежде чем под</w:t>
      </w:r>
      <w:r>
        <w:t>а</w:t>
      </w:r>
      <w:r>
        <w:t>вать заявление на покупку или аренду общественных земель. Спустя 66 лет филиппинские женщины независимо от их статуса могут сегодня пользоваться равными с мужчинами правами при заполнении, утверждении, обработке и принятии з</w:t>
      </w:r>
      <w:r>
        <w:t>а</w:t>
      </w:r>
      <w:r>
        <w:t>явлений на приобретение общественных земель.</w:t>
      </w:r>
    </w:p>
    <w:p w:rsidR="00000000" w:rsidRDefault="00000000">
      <w:pPr>
        <w:pStyle w:val="num"/>
      </w:pPr>
      <w:r>
        <w:t>Что касается судебного разбирательства, то недавно был создан подком</w:t>
      </w:r>
      <w:r>
        <w:t>и</w:t>
      </w:r>
      <w:r>
        <w:t>тет по пересмотру правил суда, что было сделано ввиду участившихся случаев злоупотребления в отношении детей и замечания о том, что национальные пр</w:t>
      </w:r>
      <w:r>
        <w:t>а</w:t>
      </w:r>
      <w:r>
        <w:t>вила, процедуры и дача свидетельских показаний ориентированы на взрослых и не учитывают интересы детей. Национальная судебная академия разработала проект правил о даче свидетельских показаний детьми, которые позволяют д</w:t>
      </w:r>
      <w:r>
        <w:t>е</w:t>
      </w:r>
      <w:r>
        <w:t>тям давать надежные и достаточные показания, свести к минимуму возмо</w:t>
      </w:r>
      <w:r>
        <w:t>ж</w:t>
      </w:r>
      <w:r>
        <w:t>ность получения ими травмы и способствуют даче ими свидетельских показ</w:t>
      </w:r>
      <w:r>
        <w:t>а</w:t>
      </w:r>
      <w:r>
        <w:t>ний в ходе юридического разбирательства, облегчают подтверждение правд</w:t>
      </w:r>
      <w:r>
        <w:t>и</w:t>
      </w:r>
      <w:r>
        <w:t>вых показаний и обеспечивают защиту конституционного права обвиняемого. Проект таких правил включает следующее: (a) ребенок расценивается как по</w:t>
      </w:r>
      <w:r>
        <w:t>л</w:t>
      </w:r>
      <w:r>
        <w:t>ноправный свидетель, (b) назначаются специальные сотрудники для оказания детям, дающим показания, помощи в зале суда и за его пределами; (c) вносятся изменения в порядок работы суда и (d) принимаются показания по телевизио</w:t>
      </w:r>
      <w:r>
        <w:t>н</w:t>
      </w:r>
      <w:r>
        <w:t>ной и иной связи с целью избежания личного контакта с обвиняемым, (e) д</w:t>
      </w:r>
      <w:r>
        <w:t>о</w:t>
      </w:r>
      <w:r>
        <w:t>пускается получение показаний детей-жертв насилия с чужих слов и (f) пок</w:t>
      </w:r>
      <w:r>
        <w:t>а</w:t>
      </w:r>
      <w:r>
        <w:t>зания ребенка н</w:t>
      </w:r>
      <w:r>
        <w:t>о</w:t>
      </w:r>
      <w:r>
        <w:t>сят конфиденциальный характер и подлежат защите.</w:t>
      </w:r>
    </w:p>
    <w:p w:rsidR="00000000" w:rsidRDefault="00000000">
      <w:pPr>
        <w:pStyle w:val="num"/>
      </w:pPr>
      <w:r>
        <w:t>Как это уже обсуждалось в пункте 180 выше, Верховный суд принял пр</w:t>
      </w:r>
      <w:r>
        <w:t>а</w:t>
      </w:r>
      <w:r>
        <w:t>вила обращения с подростками, находящимися в конфликте с законом, которые вступили в силу 15 апреля 2002 года с целью защиты и осуществления прав подростков, находящихся в конфликте с законом, в соответствии с Конвенцией о правах ребенка (КПР) и соответствующими стандартами ООН, и поручил судьям регулярно проверять состояние заключенных, особенно несовершенн</w:t>
      </w:r>
      <w:r>
        <w:t>о</w:t>
      </w:r>
      <w:r>
        <w:t>летних, путем проведения диалога с соответствующими государственными служащими и посещения тюрем.</w:t>
      </w:r>
    </w:p>
    <w:p w:rsidR="00000000" w:rsidRDefault="00000000">
      <w:pPr>
        <w:pStyle w:val="num"/>
      </w:pPr>
      <w:r>
        <w:rPr>
          <w:spacing w:val="-2"/>
        </w:rPr>
        <w:t>Верховный суд в 2003 году приступил к проведению своей гендерной камп</w:t>
      </w:r>
      <w:r>
        <w:rPr>
          <w:spacing w:val="-2"/>
        </w:rPr>
        <w:t>а</w:t>
      </w:r>
      <w:r>
        <w:rPr>
          <w:spacing w:val="-2"/>
        </w:rPr>
        <w:t>нии, создав Комитет по учитывающей гендерные вопросы судебной системе, спо</w:t>
      </w:r>
      <w:r>
        <w:rPr>
          <w:spacing w:val="-2"/>
        </w:rPr>
        <w:t>н</w:t>
      </w:r>
      <w:r>
        <w:rPr>
          <w:spacing w:val="-2"/>
        </w:rPr>
        <w:t>сировав организацию ряда рабочих семинаров по подготовке комитета и отдела по управлению программой к введению пропагандистско-разъяснительной работы по ГОР в судебной системе и разработки учитывающего гендерные вопросы плана т</w:t>
      </w:r>
      <w:r>
        <w:rPr>
          <w:spacing w:val="-2"/>
        </w:rPr>
        <w:t>а</w:t>
      </w:r>
      <w:r>
        <w:rPr>
          <w:spacing w:val="-2"/>
        </w:rPr>
        <w:t>кой работы</w:t>
      </w:r>
      <w:r>
        <w:t>. В связи с этим Филиппинский университет завершил проведение научного исследования, касающегося политических мер, по вопросам учета интересов женщин в судебной системе Филиппин.</w:t>
      </w:r>
    </w:p>
    <w:p w:rsidR="00000000" w:rsidRDefault="00000000">
      <w:pPr>
        <w:pStyle w:val="num"/>
        <w:rPr>
          <w:spacing w:val="-4"/>
        </w:rPr>
      </w:pPr>
      <w:r>
        <w:rPr>
          <w:spacing w:val="-4"/>
        </w:rPr>
        <w:t xml:space="preserve">Как это уже рассматривалось в пункте 199, </w:t>
      </w:r>
      <w:r>
        <w:t xml:space="preserve">министерство юстиции в </w:t>
      </w:r>
      <w:r>
        <w:rPr>
          <w:spacing w:val="-4"/>
        </w:rPr>
        <w:t>1998 приняло Руководство по рассмотрению случаев изнасилования взрослых для обеспечения, в частности, справедливого и достойного отношения к взрослым-жертвам изнасилования и защиты лиц, пострадавших от насилия, от дальнейшего проявления к ним нас</w:t>
      </w:r>
      <w:r>
        <w:rPr>
          <w:spacing w:val="-4"/>
        </w:rPr>
        <w:t>и</w:t>
      </w:r>
      <w:r>
        <w:rPr>
          <w:spacing w:val="-4"/>
        </w:rPr>
        <w:t>лия.</w:t>
      </w:r>
    </w:p>
    <w:p w:rsidR="00000000" w:rsidRDefault="00000000">
      <w:pPr>
        <w:pStyle w:val="num"/>
      </w:pPr>
      <w:r>
        <w:t>В ведомственном постановлении 22, серия 1998 года, министерство соц</w:t>
      </w:r>
      <w:r>
        <w:t>и</w:t>
      </w:r>
      <w:r>
        <w:t>ального обеспечения приняло руководящие принципы, регулирующие освещ</w:t>
      </w:r>
      <w:r>
        <w:t>е</w:t>
      </w:r>
      <w:r>
        <w:t>ние в средствах массовой информации событий, связанных с жертвами зл</w:t>
      </w:r>
      <w:r>
        <w:t>о</w:t>
      </w:r>
      <w:r>
        <w:t>употре</w:t>
      </w:r>
      <w:r>
        <w:t>б</w:t>
      </w:r>
      <w:r>
        <w:t>ления и эксплуатации.</w:t>
      </w:r>
    </w:p>
    <w:p w:rsidR="00000000" w:rsidRDefault="00000000">
      <w:pPr>
        <w:pStyle w:val="H23"/>
      </w:pPr>
      <w:bookmarkStart w:id="82" w:name="_Toc85174951"/>
      <w:r>
        <w:t xml:space="preserve">C. </w:t>
      </w:r>
      <w:r>
        <w:tab/>
        <w:t>Нерешенные проблемы и препятствия</w:t>
      </w:r>
      <w:bookmarkEnd w:id="82"/>
    </w:p>
    <w:p w:rsidR="00000000" w:rsidRDefault="00000000">
      <w:pPr>
        <w:pStyle w:val="num"/>
      </w:pPr>
      <w:r>
        <w:t>Правительством предпринимались различные усилия для обеспечения р</w:t>
      </w:r>
      <w:r>
        <w:t>а</w:t>
      </w:r>
      <w:r>
        <w:t>венства женщин перед законом и в гражданских правах и для расширения их прав на имущественные отношения и обращение с ними в ходе судебного ра</w:t>
      </w:r>
      <w:r>
        <w:t>з</w:t>
      </w:r>
      <w:r>
        <w:t>бирательства. Однако, неравенство женщин в том, что касается их правосп</w:t>
      </w:r>
      <w:r>
        <w:t>о</w:t>
      </w:r>
      <w:r>
        <w:t>собности, проявляется в браке и в рамках семейных отношений, что влияет на их права заключать договоры, владеть землей и управлять собственностью.</w:t>
      </w:r>
    </w:p>
    <w:p w:rsidR="00000000" w:rsidRDefault="00000000">
      <w:pPr>
        <w:pStyle w:val="num"/>
      </w:pPr>
      <w:r>
        <w:t>В некоторых законах имеются положения, которые сводят на нет равенс</w:t>
      </w:r>
      <w:r>
        <w:t>т</w:t>
      </w:r>
      <w:r>
        <w:t>во женщин в осуществлении ими своих прав. Примером может служить статья 39 Гражданского кодекса, которая гласит: «Замужняя женщина в возрасте 21 года и старше вправе совершать все гражданские акты за исключением сл</w:t>
      </w:r>
      <w:r>
        <w:t>у</w:t>
      </w:r>
      <w:r>
        <w:t>чаев, конкретно оговариваемых законом». Другим примером служит фили</w:t>
      </w:r>
      <w:r>
        <w:t>п</w:t>
      </w:r>
      <w:r>
        <w:t>пинский закон 1996 года о паспортах, которым предусматривается такое д</w:t>
      </w:r>
      <w:r>
        <w:t>о</w:t>
      </w:r>
      <w:r>
        <w:t>полнительное требование при получении женщинами паспорта, как предоста</w:t>
      </w:r>
      <w:r>
        <w:t>в</w:t>
      </w:r>
      <w:r>
        <w:t>ление доказательства о браке, разводе или отмене брака. Предоставление таких документированных доказательств требуется только от женщин, а не от му</w:t>
      </w:r>
      <w:r>
        <w:t>ж</w:t>
      </w:r>
      <w:r>
        <w:t>чин. В вышеуказанные законы следует внести изменения с целью обеспечения равноправия женщин во всех сферах жизни.</w:t>
      </w:r>
    </w:p>
    <w:p w:rsidR="00000000" w:rsidRDefault="00000000">
      <w:pPr>
        <w:pStyle w:val="num"/>
      </w:pPr>
      <w:r>
        <w:t>Правительство должно обеспечить, чтобы соответствующие государс</w:t>
      </w:r>
      <w:r>
        <w:t>т</w:t>
      </w:r>
      <w:r>
        <w:t>венные и негосударственные структуры осуществляли положения законов, к</w:t>
      </w:r>
      <w:r>
        <w:t>а</w:t>
      </w:r>
      <w:r>
        <w:t>сающихся заключения договоров и управления собственностью, поскольку здесь все еще имеются определенные пробелы. Например, согласно сообщен</w:t>
      </w:r>
      <w:r>
        <w:t>и</w:t>
      </w:r>
      <w:r>
        <w:t>ям, некоторые банки нарушают положение о том, что женщины имеют право занимать и получать кредиты или же заключать кредитные соглашения. Же</w:t>
      </w:r>
      <w:r>
        <w:t>н</w:t>
      </w:r>
      <w:r>
        <w:t>щины должны добровольно вступать в ГССС или ССО, а эти системы сами не начинают пр</w:t>
      </w:r>
      <w:r>
        <w:t>о</w:t>
      </w:r>
      <w:r>
        <w:t>цедуры привлечения женщин в свои ряды.</w:t>
      </w:r>
    </w:p>
    <w:p w:rsidR="00000000" w:rsidRDefault="00000000">
      <w:pPr>
        <w:pStyle w:val="num"/>
      </w:pPr>
      <w:r>
        <w:t>Для обеспечения равного обращения с мужчинами и девочками-жертвами насилия необходимо добиться эффективности деятельности судов. Для слуш</w:t>
      </w:r>
      <w:r>
        <w:t>а</w:t>
      </w:r>
      <w:r>
        <w:t>ния случаев о насилии в семье также необходимо участие в большей степени ориентированных на гендерные вопросы отделений суда.</w:t>
      </w:r>
    </w:p>
    <w:p w:rsidR="00000000" w:rsidRDefault="00000000">
      <w:pPr>
        <w:pStyle w:val="num"/>
        <w:rPr>
          <w:spacing w:val="-2"/>
        </w:rPr>
      </w:pPr>
      <w:r>
        <w:t>Необходимо также расширить услуги судов по оказанию помощи жертвам домашнего насилия. Более конкретно, они должны обеспечивать защиту и безопасность жертв и свидетелей. Необходимо обеспечить наличие четкой и</w:t>
      </w:r>
      <w:r>
        <w:t>н</w:t>
      </w:r>
      <w:r>
        <w:t>формации о судебно-уголовных процедурах, защиту жертв путем принятия с</w:t>
      </w:r>
      <w:r>
        <w:t>о</w:t>
      </w:r>
      <w:r>
        <w:t>ответствующих постановлений суда и предотвращения того, чтобы виновная сторона продолжала использовать незаконные средства для установления пр</w:t>
      </w:r>
      <w:r>
        <w:t>и</w:t>
      </w:r>
      <w:r>
        <w:t>нудительного контроля за жертвой.</w:t>
      </w:r>
    </w:p>
    <w:p w:rsidR="00000000" w:rsidRDefault="00000000">
      <w:pPr>
        <w:pStyle w:val="num"/>
        <w:rPr>
          <w:spacing w:val="-2"/>
        </w:rPr>
      </w:pPr>
      <w:r>
        <w:rPr>
          <w:spacing w:val="-2"/>
        </w:rPr>
        <w:t>Широкому распространению информации о правах женщин следует уделить самое первоочередное внимание с тем, чтобы женщины действительно могли ра</w:t>
      </w:r>
      <w:r>
        <w:rPr>
          <w:spacing w:val="-2"/>
        </w:rPr>
        <w:t>с</w:t>
      </w:r>
      <w:r>
        <w:rPr>
          <w:spacing w:val="-2"/>
        </w:rPr>
        <w:t>ширить свои возможности. Необходимо контролировать ход строгого осуществл</w:t>
      </w:r>
      <w:r>
        <w:rPr>
          <w:spacing w:val="-2"/>
        </w:rPr>
        <w:t>е</w:t>
      </w:r>
      <w:r>
        <w:rPr>
          <w:spacing w:val="-2"/>
        </w:rPr>
        <w:t>ния законов, закрепляющих равные права и равный доступ к возможностям, а также пересматривать принимаемые политические меры и законы с целью устранения име</w:t>
      </w:r>
      <w:r>
        <w:rPr>
          <w:spacing w:val="-2"/>
        </w:rPr>
        <w:t>ю</w:t>
      </w:r>
      <w:r>
        <w:rPr>
          <w:spacing w:val="-2"/>
        </w:rPr>
        <w:t>щихся пробелов.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83" w:name="_Toc85174952"/>
      <w:r>
        <w:t>Статья 16. Равенство в браке и равноправие по семейному праву</w:t>
      </w:r>
      <w:bookmarkEnd w:id="83"/>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keepNext/>
        <w:rPr>
          <w:i/>
        </w:rPr>
      </w:pPr>
      <w:r>
        <w:rPr>
          <w:i/>
        </w:rPr>
        <w:t>Равные права в отношении вступления в брак и семейных отношений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84" w:name="_Toc85174953"/>
      <w:r>
        <w:t xml:space="preserve">A. </w:t>
      </w:r>
      <w:r>
        <w:tab/>
        <w:t>Положение женщин</w:t>
      </w:r>
      <w:bookmarkEnd w:id="84"/>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По мере развития страны меняется и семья на Филиппинах, которая стала меньше по размеру и более целостной по составу. Однако по стандартам разв</w:t>
      </w:r>
      <w:r>
        <w:t>и</w:t>
      </w:r>
      <w:r>
        <w:t>вающейся страны, филиппинские женщины все еще вступают в брак в раннем возрасте. В 1998 году средний возраст вступления женщины в первый брак в возрасте 25-49 лет составлял 22,1 года, т.е. увеличился на 0,5 года по сравн</w:t>
      </w:r>
      <w:r>
        <w:t>е</w:t>
      </w:r>
      <w:r>
        <w:t>нию с показателем 1993 года, который составлял 21,6 года. В 1998 году было зарегистрировано в общей сложности 549 265 браков, что на 9,0 процента п</w:t>
      </w:r>
      <w:r>
        <w:t>о</w:t>
      </w:r>
      <w:r>
        <w:t>высило показатель 1995 года – 503 650 (НСУ, 2002 год).</w:t>
      </w:r>
    </w:p>
    <w:p w:rsidR="00000000" w:rsidRDefault="00000000">
      <w:pPr>
        <w:pStyle w:val="num"/>
      </w:pPr>
      <w:r>
        <w:rPr>
          <w:spacing w:val="-2"/>
        </w:rPr>
        <w:t>На возраст вступления в брак, как представляется, влияет уровень образов</w:t>
      </w:r>
      <w:r>
        <w:rPr>
          <w:spacing w:val="-2"/>
        </w:rPr>
        <w:t>а</w:t>
      </w:r>
      <w:r>
        <w:rPr>
          <w:spacing w:val="-2"/>
        </w:rPr>
        <w:t>ния. Для женщин с аттестатом об окончании средней школы средний возраст всту</w:t>
      </w:r>
      <w:r>
        <w:rPr>
          <w:spacing w:val="-2"/>
        </w:rPr>
        <w:t>п</w:t>
      </w:r>
      <w:r>
        <w:rPr>
          <w:spacing w:val="-2"/>
        </w:rPr>
        <w:t>ления в первый брак составлял 21,5 года по сравнению с 19,8 и 18,7 лет для тех, кто закончил начальную школу и не имеет школьного образования, соответственно. Для выпускников колледжей средний возраст составлял пр</w:t>
      </w:r>
      <w:r>
        <w:rPr>
          <w:spacing w:val="-2"/>
        </w:rPr>
        <w:t>и</w:t>
      </w:r>
      <w:r>
        <w:rPr>
          <w:spacing w:val="-2"/>
        </w:rPr>
        <w:t>мерно 25,2 года.</w:t>
      </w:r>
    </w:p>
    <w:p w:rsidR="00000000" w:rsidRDefault="00000000">
      <w:pPr>
        <w:pStyle w:val="num"/>
      </w:pPr>
      <w:r>
        <w:t>Для обеспечения и защиты равных прав женщин в браке и семейных о</w:t>
      </w:r>
      <w:r>
        <w:t>т</w:t>
      </w:r>
      <w:r>
        <w:t>ношениях был предпринят целый ряд политических и программных иници</w:t>
      </w:r>
      <w:r>
        <w:t>а</w:t>
      </w:r>
      <w:r>
        <w:t>тив. Однако несмотря на то, что женщины уже играют активную роль в экон</w:t>
      </w:r>
      <w:r>
        <w:t>о</w:t>
      </w:r>
      <w:r>
        <w:t>мической жизни страны, в обществе все еще существует традиционное пре</w:t>
      </w:r>
      <w:r>
        <w:t>д</w:t>
      </w:r>
      <w:r>
        <w:t>ставл</w:t>
      </w:r>
      <w:r>
        <w:t>е</w:t>
      </w:r>
      <w:r>
        <w:t>ние о роли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23"/>
      </w:pPr>
      <w:bookmarkStart w:id="85" w:name="_Toc85174954"/>
      <w:r>
        <w:t xml:space="preserve">B. </w:t>
      </w:r>
      <w:r>
        <w:tab/>
        <w:t>Предпринятые меры</w:t>
      </w:r>
      <w:bookmarkEnd w:id="8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Меры политического характера</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Из Семейного кодекса 1997 года были исключены многие положения ди</w:t>
      </w:r>
      <w:r>
        <w:t>с</w:t>
      </w:r>
      <w:r>
        <w:t>криминационного характера, в соответствии с гражданским кодексом. В нем был установлен единый минимальный возраст вступления в брак – 18 лет, а также предусмотрено, что муж и жена несут совместную ответственность за воспитание своих детей, управление семейной собственностью и выбор места жительства семьи. Он наделяет жену правом заниматься работой и получать подарки без согласия своего мужа, вступать в повторный брак даже до истеч</w:t>
      </w:r>
      <w:r>
        <w:t>е</w:t>
      </w:r>
      <w:r>
        <w:t>ния 300 дней после смерти супруга, а также право сохранять за собой род</w:t>
      </w:r>
      <w:r>
        <w:t>и</w:t>
      </w:r>
      <w:r>
        <w:t>тельскую ответственность в отношении своих детей после вступления в брак. Этим кодексом расширяются также основания для официального расторжения брака, включая постоянное насилие, психологическую недееспособность, г</w:t>
      </w:r>
      <w:r>
        <w:t>о</w:t>
      </w:r>
      <w:r>
        <w:t>мосексуальные наклонности и злоупотребление наркотическими веществами. В нем вместо супружеской неверности в качестве основания для расторжения брака используется выражение «прелюбодеяние жены или внебрачное сож</w:t>
      </w:r>
      <w:r>
        <w:t>и</w:t>
      </w:r>
      <w:r>
        <w:t>тельство мужа».</w:t>
      </w:r>
    </w:p>
    <w:p w:rsidR="00000000" w:rsidRDefault="00000000">
      <w:pPr>
        <w:pStyle w:val="num"/>
      </w:pPr>
      <w:r>
        <w:t>В 1998 году в Семейный кодекс были внесены соответствующие поправки в соответствии с Республиканским законом 8533. В соответствии со старым кодексом аргументы за или против объявления брака недействительным на о</w:t>
      </w:r>
      <w:r>
        <w:t>с</w:t>
      </w:r>
      <w:r>
        <w:t>новании психологической недееспособности теряют силу через 10 лет. В новом законе это правило было изменено, поскольку отныне такие аргументы не т</w:t>
      </w:r>
      <w:r>
        <w:t>е</w:t>
      </w:r>
      <w:r>
        <w:t>ряют силы.</w:t>
      </w:r>
    </w:p>
    <w:p w:rsidR="00000000" w:rsidRDefault="00000000">
      <w:pPr>
        <w:pStyle w:val="num"/>
      </w:pPr>
      <w:r>
        <w:t>Республиканский закон 8187 или Закон 1996 года об отпуске для отцов предусматривает, что каждый женатый мужчина, работающий в частном или государственном секторе, имеет право на семидневный оплачиваемый отпуск в случае рождения его законной супругой ребенка или же выкидыша с тем, чт</w:t>
      </w:r>
      <w:r>
        <w:t>о</w:t>
      </w:r>
      <w:r>
        <w:t>бы он мог поддержать свою жену в период восстановления ее здоровья или же ухода за новорожденным. Однако семидневный период слишком короток для того, чтобы можно было помочь своей жене и новорожденному. К тому же т</w:t>
      </w:r>
      <w:r>
        <w:t>а</w:t>
      </w:r>
      <w:r>
        <w:t>кой отпуск полагается только женатым работникам. Он ставит в дискримин</w:t>
      </w:r>
      <w:r>
        <w:t>а</w:t>
      </w:r>
      <w:r>
        <w:t>ционное положение неженатых отцов и незамужних матерей, не препятствуя при этом вступлению их в брак друг с другом, поскольку их решение не вст</w:t>
      </w:r>
      <w:r>
        <w:t>у</w:t>
      </w:r>
      <w:r>
        <w:t>пать в брак лишает их возможности получить такой отпуск.</w:t>
      </w:r>
    </w:p>
    <w:p w:rsidR="00000000" w:rsidRDefault="00000000">
      <w:pPr>
        <w:pStyle w:val="num"/>
      </w:pPr>
      <w:r>
        <w:t>Другим законом, который, пожалуй, служит поддержкой для женщин, н</w:t>
      </w:r>
      <w:r>
        <w:t>а</w:t>
      </w:r>
      <w:r>
        <w:t>ходящихся в тяжелом семейном положении, является Закон 1997 года о судах по семейным делам (Республиканский закон 8369). Этот закон предусматрив</w:t>
      </w:r>
      <w:r>
        <w:t>а</w:t>
      </w:r>
      <w:r>
        <w:t>ет создание в крупных городах в различных районах страны судов по семе</w:t>
      </w:r>
      <w:r>
        <w:t>й</w:t>
      </w:r>
      <w:r>
        <w:t>ным делам, предоставление им исключительной юрисдикции в отношении ра</w:t>
      </w:r>
      <w:r>
        <w:t>с</w:t>
      </w:r>
      <w:r>
        <w:t>смотрения дел, связанных с детьми и семьей. В их функции входят вопросы опеки, аннулирования брака, объявления брака недействительным и юридич</w:t>
      </w:r>
      <w:r>
        <w:t>е</w:t>
      </w:r>
      <w:r>
        <w:t>ского расторжения брака, ведения судопроизводства в суммарном порядке в соответствии с положениями Семейного кодекса, усыновления, попечения, поддержки, создания семейного дома, а также случаи домашнего насилия в о</w:t>
      </w:r>
      <w:r>
        <w:t>т</w:t>
      </w:r>
      <w:r>
        <w:t>ношении женщин и детей. С ним связан еще один закон – Закон 1998 года об усыновлении/удочерении (Республиканский закон 8552). Посредством этого закона государство пытается обеспечить альтернативные виды защиты и п</w:t>
      </w:r>
      <w:r>
        <w:t>о</w:t>
      </w:r>
      <w:r>
        <w:t>мощи путем усыновления/удочерения заброшенных детей, сирот и беспризо</w:t>
      </w:r>
      <w:r>
        <w:t>р</w:t>
      </w:r>
      <w:r>
        <w:t>ников.</w:t>
      </w:r>
    </w:p>
    <w:p w:rsidR="00000000" w:rsidRDefault="00000000">
      <w:pPr>
        <w:pStyle w:val="num"/>
      </w:pPr>
      <w:r>
        <w:t>Признавая рост числа родителей-одиночек, особенно среди женщин, Ко</w:t>
      </w:r>
      <w:r>
        <w:t>н</w:t>
      </w:r>
      <w:r>
        <w:t>гресс принял закон 2000 года о социальном обеспечении родителей-одиночек (Республиканский закон 8972), который предусматривает осуществление вс</w:t>
      </w:r>
      <w:r>
        <w:t>е</w:t>
      </w:r>
      <w:r>
        <w:t>объемлющей программы оказания услуг по социальному развитию и обеспеч</w:t>
      </w:r>
      <w:r>
        <w:t>е</w:t>
      </w:r>
      <w:r>
        <w:t>нию для родителей-одиночек и их детей (см. также пункты доклада, посвяще</w:t>
      </w:r>
      <w:r>
        <w:t>н</w:t>
      </w:r>
      <w:r>
        <w:t>ные статье 11). В соответствии с этим законом различным учреждениям пор</w:t>
      </w:r>
      <w:r>
        <w:t>у</w:t>
      </w:r>
      <w:r>
        <w:t>чается осуществлять разнообразные программы/оказывать услуги, например в том, что касается гибкого рабочего графика и предоставления семидневного отпуска для отцов, услуг по обеспечению средств к существованию, учебных и ж</w:t>
      </w:r>
      <w:r>
        <w:t>и</w:t>
      </w:r>
      <w:r>
        <w:t>лищных пособий и т.д.</w:t>
      </w:r>
    </w:p>
    <w:p w:rsidR="00000000" w:rsidRDefault="00000000">
      <w:pPr>
        <w:pStyle w:val="num"/>
      </w:pPr>
      <w:r>
        <w:t>Закон 2000 года об уходе за детьми в раннем возрасте и их развитии (УДРВР) учреждает всеобъемлющую, комплексную и устойчивую эмоционал</w:t>
      </w:r>
      <w:r>
        <w:t>ь</w:t>
      </w:r>
      <w:r>
        <w:t>ную систему УДРВР. Он предусматривает активное участие родителей и общин в осуществлении широкого круга программ, нацеленных на удовлетворение основных потребностей маленьких детей в области здравоохранения, питания, раннего воспитания и социальных услуг.</w:t>
      </w:r>
    </w:p>
    <w:p w:rsidR="00000000" w:rsidRDefault="00000000">
      <w:pPr>
        <w:pStyle w:val="num"/>
      </w:pPr>
      <w:r>
        <w:t>Правительственным распоряжением № 340 от 5 февраля 1997 года наци</w:t>
      </w:r>
      <w:r>
        <w:t>о</w:t>
      </w:r>
      <w:r>
        <w:t>нальным государственным учреждениям и корпорациям, находящимся во вл</w:t>
      </w:r>
      <w:r>
        <w:t>а</w:t>
      </w:r>
      <w:r>
        <w:t>дении государств и контролируемым им, было поручено обеспечить для детей своих сотрудников в возрасте до 5 лет условия для ухода за ними в дневное время. Министерство социального обеспечения в 2000 году выпустило руков</w:t>
      </w:r>
      <w:r>
        <w:t>о</w:t>
      </w:r>
      <w:r>
        <w:t>дство по вопросам аккредитации центров по уходу за детьми в дневное время и их работников.</w:t>
      </w:r>
    </w:p>
    <w:p w:rsidR="00000000" w:rsidRDefault="00000000">
      <w:pPr>
        <w:pStyle w:val="num"/>
        <w:rPr>
          <w:spacing w:val="-2"/>
        </w:rPr>
      </w:pPr>
      <w:r>
        <w:t>Как это уже обсуждалось в пунктах, касающихся статьи 14, министерство окружающей среды и природных ресурсов выступило за обеспечение равных прав домохозяек на владение землей в соответствии с применимыми полож</w:t>
      </w:r>
      <w:r>
        <w:t>е</w:t>
      </w:r>
      <w:r>
        <w:t>ниями Семейного кодекса и Гражданского кодекса об имущественных отнош</w:t>
      </w:r>
      <w:r>
        <w:t>е</w:t>
      </w:r>
      <w:r>
        <w:t>ниях между супругами, находящимися в законном или гра</w:t>
      </w:r>
      <w:r>
        <w:t>ж</w:t>
      </w:r>
      <w:r>
        <w:t>данском браке.</w:t>
      </w:r>
    </w:p>
    <w:p w:rsidR="00000000" w:rsidRDefault="00000000">
      <w:pPr>
        <w:pStyle w:val="num"/>
      </w:pPr>
      <w:r>
        <w:t>Как это уже обсуждалось в пунктах, касающихся статьей 14 и 15, мин</w:t>
      </w:r>
      <w:r>
        <w:t>и</w:t>
      </w:r>
      <w:r>
        <w:t>стерство окружающей среды и природных ресурсов в 2002 году приняло п</w:t>
      </w:r>
      <w:r>
        <w:t>о</w:t>
      </w:r>
      <w:r>
        <w:t>становление, вносящее поправки в его правила и положения, касающиеся о</w:t>
      </w:r>
      <w:r>
        <w:t>т</w:t>
      </w:r>
      <w:r>
        <w:t>чуждаемых и свободных государственных земель, тем самым предоставив женщинам, независимо от их гражданского состояния, равные права на поку</w:t>
      </w:r>
      <w:r>
        <w:t>п</w:t>
      </w:r>
      <w:r>
        <w:t>ку или аренду государственных земель.</w:t>
      </w:r>
    </w:p>
    <w:p w:rsidR="00000000" w:rsidRDefault="00000000">
      <w:pPr>
        <w:pStyle w:val="num"/>
      </w:pPr>
      <w:r>
        <w:t>Связанные с этим законопроекты, например, законы Палаты представит</w:t>
      </w:r>
      <w:r>
        <w:t>е</w:t>
      </w:r>
      <w:r>
        <w:t>лей 375 и 2518, предусматривают предоставление равных прав в отношении супружеских и семейных отношений, однако они все еще находятся на ра</w:t>
      </w:r>
      <w:r>
        <w:t>с</w:t>
      </w:r>
      <w:r>
        <w:t>смотрении в Комитете Палаты представителей по пересмотру зак</w:t>
      </w:r>
      <w:r>
        <w:t>о</w:t>
      </w:r>
      <w:r>
        <w:t>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Программы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Были приняты новые меры для оказания помощи женщинам, вышедшим замуж за иностранцев, которые, как известно, сталкиваются с определенными проблемами, связанными с межрасовыми браками. Как это уже отмечалось в пункте 156 выше, Республиканский закон 6955, который объявляет незаконной так называемую практику заказа невесты по почте, служит основой для осущ</w:t>
      </w:r>
      <w:r>
        <w:t>е</w:t>
      </w:r>
      <w:r>
        <w:t>ствления программ защиты женщин, находящихся в подобном положении. К</w:t>
      </w:r>
      <w:r>
        <w:t>о</w:t>
      </w:r>
      <w:r>
        <w:t>миссия по делам филиппинцев за рубежом (КФЗ), которая сотрудничает с м</w:t>
      </w:r>
      <w:r>
        <w:t>и</w:t>
      </w:r>
      <w:r>
        <w:t>нистерством иностранных дел и другими заинтересованными ведомствами, я</w:t>
      </w:r>
      <w:r>
        <w:t>в</w:t>
      </w:r>
      <w:r>
        <w:t>ляется главным учреждением, предоставляющим услуги по оказанию помощи женщинам в преодолении проблем, связанных с межрасовыми браками, и их защите от торго</w:t>
      </w:r>
      <w:r>
        <w:t>в</w:t>
      </w:r>
      <w:r>
        <w:t>ли.</w:t>
      </w:r>
    </w:p>
    <w:p w:rsidR="00000000" w:rsidRDefault="00000000">
      <w:pPr>
        <w:pStyle w:val="SingleTxt"/>
        <w:ind w:left="1740" w:right="1264" w:hanging="476"/>
        <w:rPr>
          <w:spacing w:val="-2"/>
        </w:rPr>
      </w:pPr>
      <w:r>
        <w:rPr>
          <w:lang w:val="en-US"/>
        </w:rPr>
        <w:t>a</w:t>
      </w:r>
      <w:r>
        <w:t>)</w:t>
      </w:r>
      <w:r>
        <w:tab/>
        <w:t>С целью оказания помощи филиппинским женщинам, находящимся в межрасовом браке или мигрировавшим за границу, КФЗ предоставляет по всей стране невестам или супругам иностранных граждан соответству</w:t>
      </w:r>
      <w:r>
        <w:t>ю</w:t>
      </w:r>
      <w:r>
        <w:t>щие ориентационно-консультативные услуги. Служба таких услуг предо</w:t>
      </w:r>
      <w:r>
        <w:t>с</w:t>
      </w:r>
      <w:r>
        <w:t>тавляет клиентам информацию о касающихся их миграционных законах, по вопросам брака, а также относительно путей решения различных пр</w:t>
      </w:r>
      <w:r>
        <w:t>о</w:t>
      </w:r>
      <w:r>
        <w:t>блем, имеющихся служб социального обеспечения и социальных служб за границей и об их индивидуальных и супружеских правах. За период с 1989 по 1998 годы КФЗ оказала помощь в общей сложности 162 286 невестам и супругам иностранных граждан. Эта служба расшир</w:t>
      </w:r>
      <w:r>
        <w:t>и</w:t>
      </w:r>
      <w:r>
        <w:t>ла свою деятельность, и теперь она охватывает предоставление консул</w:t>
      </w:r>
      <w:r>
        <w:t>ь</w:t>
      </w:r>
      <w:r>
        <w:t>тативных услуг по 16 конкретным странам и по четырем направлениям общего характера.</w:t>
      </w:r>
    </w:p>
    <w:p w:rsidR="00000000" w:rsidRDefault="00000000">
      <w:pPr>
        <w:pStyle w:val="SingleTxt"/>
        <w:ind w:left="1740" w:right="1264" w:hanging="476"/>
        <w:rPr>
          <w:spacing w:val="-2"/>
        </w:rPr>
      </w:pPr>
      <w:r>
        <w:rPr>
          <w:spacing w:val="-2"/>
          <w:lang w:val="en-US"/>
        </w:rPr>
        <w:t>b</w:t>
      </w:r>
      <w:r>
        <w:rPr>
          <w:spacing w:val="-2"/>
        </w:rPr>
        <w:t>)</w:t>
      </w:r>
      <w:r>
        <w:rPr>
          <w:spacing w:val="-2"/>
        </w:rPr>
        <w:tab/>
        <w:t>В 1998 году для координации деятельности по борьбе с торговлей был создан Межведомственный комитет по межнациональным бракам. В 2000 году в с</w:t>
      </w:r>
      <w:r>
        <w:rPr>
          <w:spacing w:val="-2"/>
        </w:rPr>
        <w:t>о</w:t>
      </w:r>
      <w:r>
        <w:rPr>
          <w:spacing w:val="-2"/>
        </w:rPr>
        <w:t>ответствии с правительственным распоряжением №</w:t>
      </w:r>
      <w:r>
        <w:rPr>
          <w:spacing w:val="-2"/>
          <w:lang w:val="en-GB"/>
        </w:rPr>
        <w:t> </w:t>
      </w:r>
      <w:r>
        <w:rPr>
          <w:spacing w:val="-2"/>
        </w:rPr>
        <w:t>220 вместо этого комитета был учрежден Совет по борьбе с торговлей людьми, в частности женщинами и детьми. Этот совет, который возглавил министр иностранных дел, установил официальный порядок координации и сотрудничества между соответству</w:t>
      </w:r>
      <w:r>
        <w:rPr>
          <w:spacing w:val="-2"/>
        </w:rPr>
        <w:t>ю</w:t>
      </w:r>
      <w:r>
        <w:rPr>
          <w:spacing w:val="-2"/>
        </w:rPr>
        <w:t>щими ведомствами в том, что касается осуществления программ борьбы с то</w:t>
      </w:r>
      <w:r>
        <w:rPr>
          <w:spacing w:val="-2"/>
        </w:rPr>
        <w:t>р</w:t>
      </w:r>
      <w:r>
        <w:rPr>
          <w:spacing w:val="-2"/>
        </w:rPr>
        <w:t>говлей людьми. После принятия Республиканского закона 9208, или Закона 2003 года о борьбе с торговлей лицами, функции Совета были переданы Ме</w:t>
      </w:r>
      <w:r>
        <w:rPr>
          <w:spacing w:val="-2"/>
        </w:rPr>
        <w:t>ж</w:t>
      </w:r>
      <w:r>
        <w:rPr>
          <w:spacing w:val="-2"/>
        </w:rPr>
        <w:t>ведомственному совету по борьбе с торговлей.</w:t>
      </w:r>
    </w:p>
    <w:p w:rsidR="00000000" w:rsidRDefault="00000000">
      <w:pPr>
        <w:pStyle w:val="SingleTxt"/>
        <w:ind w:left="1740" w:right="1264" w:hanging="476"/>
        <w:rPr>
          <w:spacing w:val="-2"/>
        </w:rPr>
      </w:pPr>
      <w:r>
        <w:rPr>
          <w:spacing w:val="-2"/>
          <w:lang w:val="en-US"/>
        </w:rPr>
        <w:t>c</w:t>
      </w:r>
      <w:r>
        <w:rPr>
          <w:spacing w:val="-2"/>
        </w:rPr>
        <w:t>)</w:t>
      </w:r>
      <w:r>
        <w:rPr>
          <w:spacing w:val="-2"/>
        </w:rPr>
        <w:tab/>
        <w:t>Для облегчения доступа к информации была создана система КФЗ по учету иностранных спонсоров. В рамках этой системы особое внимание уделяется проверке так называемых групповых или серийных спонсоров, особенно тех, кто связан со случаями домашнего насилия. Информационно-контрольная си</w:t>
      </w:r>
      <w:r>
        <w:rPr>
          <w:spacing w:val="-2"/>
        </w:rPr>
        <w:t>с</w:t>
      </w:r>
      <w:r>
        <w:rPr>
          <w:spacing w:val="-2"/>
        </w:rPr>
        <w:t>тема, которая имеет базу дезагригированных по признаку пола данных, док</w:t>
      </w:r>
      <w:r>
        <w:rPr>
          <w:spacing w:val="-2"/>
        </w:rPr>
        <w:t>у</w:t>
      </w:r>
      <w:r>
        <w:rPr>
          <w:spacing w:val="-2"/>
        </w:rPr>
        <w:t>ментирует и контролирует случаи, передаваемые на рассмотрение КФЗ с ц</w:t>
      </w:r>
      <w:r>
        <w:rPr>
          <w:spacing w:val="-2"/>
        </w:rPr>
        <w:t>е</w:t>
      </w:r>
      <w:r>
        <w:rPr>
          <w:spacing w:val="-2"/>
        </w:rPr>
        <w:t>лью оказания помощи. Согласно сообщениям, КФЗ зарегистрировала 171 случай, связанный с торговлей людьми, в частности с иммиграцией и с</w:t>
      </w:r>
      <w:r>
        <w:rPr>
          <w:spacing w:val="-2"/>
        </w:rPr>
        <w:t>е</w:t>
      </w:r>
      <w:r>
        <w:rPr>
          <w:spacing w:val="-2"/>
        </w:rPr>
        <w:t>мейными отношениями, а также внесла в список 731 иностранного граждан</w:t>
      </w:r>
      <w:r>
        <w:rPr>
          <w:spacing w:val="-2"/>
        </w:rPr>
        <w:t>и</w:t>
      </w:r>
      <w:r>
        <w:rPr>
          <w:spacing w:val="-2"/>
        </w:rPr>
        <w:t>на, которые за период с 1996 по 2000 годы подавали заявки на, по крайней м</w:t>
      </w:r>
      <w:r>
        <w:rPr>
          <w:spacing w:val="-2"/>
        </w:rPr>
        <w:t>е</w:t>
      </w:r>
      <w:r>
        <w:rPr>
          <w:spacing w:val="-2"/>
        </w:rPr>
        <w:t>ре, двух филиппинских невест или супруг. Было сообщено также об одинн</w:t>
      </w:r>
      <w:r>
        <w:rPr>
          <w:spacing w:val="-2"/>
        </w:rPr>
        <w:t>а</w:t>
      </w:r>
      <w:r>
        <w:rPr>
          <w:spacing w:val="-2"/>
        </w:rPr>
        <w:t>дцати случаях насилия в семье. В отношении соответствующих сторон пре</w:t>
      </w:r>
      <w:r>
        <w:rPr>
          <w:spacing w:val="-2"/>
        </w:rPr>
        <w:t>д</w:t>
      </w:r>
      <w:r>
        <w:rPr>
          <w:spacing w:val="-2"/>
        </w:rPr>
        <w:t>принимаются более жесткие меры по оценке и консультиров</w:t>
      </w:r>
      <w:r>
        <w:rPr>
          <w:spacing w:val="-2"/>
        </w:rPr>
        <w:t>а</w:t>
      </w:r>
      <w:r>
        <w:rPr>
          <w:spacing w:val="-2"/>
        </w:rPr>
        <w:t>нию.</w:t>
      </w:r>
    </w:p>
    <w:p w:rsidR="00000000" w:rsidRDefault="00000000">
      <w:pPr>
        <w:pStyle w:val="SingleTxt"/>
        <w:ind w:left="1740" w:right="1264" w:hanging="476"/>
      </w:pPr>
      <w:r>
        <w:rPr>
          <w:lang w:val="en-US"/>
        </w:rPr>
        <w:t>d</w:t>
      </w:r>
      <w:r>
        <w:t>)</w:t>
      </w:r>
      <w:r>
        <w:tab/>
        <w:t>Филиппинским женщинам, выезжающим за границу в качестве невест или супругов иностранных граждан, выдается список групп поддержки мигрантов, которые оказывают мигрантам помощь в их странах назнач</w:t>
      </w:r>
      <w:r>
        <w:t>е</w:t>
      </w:r>
      <w:r>
        <w:t>ния. Кроме того, КФЗ поддерживает связи с находящимися за рубежом филиппинцами в рамках поступающей от них ответной информации или же личной переписки между советниками и клиентами с целью постоя</w:t>
      </w:r>
      <w:r>
        <w:t>н</w:t>
      </w:r>
      <w:r>
        <w:t>ного выявления серьезных областей, требующих возможного принятия мер со стороны правительства.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4"/>
      </w:pPr>
      <w:r>
        <w:t>Нерешенные проблемы и препятствия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num"/>
      </w:pPr>
      <w:r>
        <w:t>С целью более четкого определения ответственности за воспитание и ра</w:t>
      </w:r>
      <w:r>
        <w:t>з</w:t>
      </w:r>
      <w:r>
        <w:t>витие детей министерство социального обеспечения приступило к осуществл</w:t>
      </w:r>
      <w:r>
        <w:t>е</w:t>
      </w:r>
      <w:r>
        <w:t>нию проекта, названного РЗРО или «Расширение и закрепление родительской ответственности» (на разговорном языке в Филиппинах это означает «отец»), цель которого заключается в развитии навыков отцов по воспитанию детей и уходу за ними. Будущей частью национальной программы подготовки отцов к тому, чтобы они обучали других отцов в общинах этим вопросам, в рамках эт</w:t>
      </w:r>
      <w:r>
        <w:t>о</w:t>
      </w:r>
      <w:r>
        <w:t>го проекта обучение в качестве инструкторов прошло в общей сложности 186 отцов. Осуществлением такого рода программ неправительственные орг</w:t>
      </w:r>
      <w:r>
        <w:t>а</w:t>
      </w:r>
      <w:r>
        <w:t>низации з</w:t>
      </w:r>
      <w:r>
        <w:t>а</w:t>
      </w:r>
      <w:r>
        <w:t>нимаются и в других областях.</w:t>
      </w:r>
    </w:p>
    <w:p w:rsidR="00000000" w:rsidRDefault="00000000">
      <w:pPr>
        <w:pStyle w:val="num"/>
      </w:pPr>
      <w:r>
        <w:t>Положения законодательства, о которых говорилось в четвертом докладе как о дискриминационных по отношению к женщинам или не соответству</w:t>
      </w:r>
      <w:r>
        <w:t>ю</w:t>
      </w:r>
      <w:r>
        <w:t>щих новым законам, все еще отменены не были. Такие законодательные пол</w:t>
      </w:r>
      <w:r>
        <w:t>о</w:t>
      </w:r>
      <w:r>
        <w:t>жения можно найти в Семейном кодексе и Гражданском кодексе, Кодексе м</w:t>
      </w:r>
      <w:r>
        <w:t>у</w:t>
      </w:r>
      <w:r>
        <w:t>сульманских законов личности, пересмотренном Уголовном кодексе и обычном праве. Например, несмотря на положения Семейного кодекса 1997 года, в пер</w:t>
      </w:r>
      <w:r>
        <w:t>е</w:t>
      </w:r>
      <w:r>
        <w:t>смотренном Уголовном кодексе (статьи 333 и 334) понятие супружеской неве</w:t>
      </w:r>
      <w:r>
        <w:t>р</w:t>
      </w:r>
      <w:r>
        <w:t>ности в браке по-прежнему рассматривается с двух сторон, как прелюбодеяние со стороны жены и внебрачное сожительство со стороны мужа. Приводится т</w:t>
      </w:r>
      <w:r>
        <w:t>а</w:t>
      </w:r>
      <w:r>
        <w:t>кой довод, что женщине достаточно один раз изменить своему мужу, чтобы этот факт рассматривался как супружеская неверность. В то время как для т</w:t>
      </w:r>
      <w:r>
        <w:t>о</w:t>
      </w:r>
      <w:r>
        <w:t>го, чтобы доказать неверность мужа необходимо, чтобы его внебрачные отн</w:t>
      </w:r>
      <w:r>
        <w:t>о</w:t>
      </w:r>
      <w:r>
        <w:t>шения длились длительный период времени, например, чтобы он содержал о</w:t>
      </w:r>
      <w:r>
        <w:t>т</w:t>
      </w:r>
      <w:r>
        <w:t>дельное жилье для любовницы или даже для детей от нее. Кроме того, за пр</w:t>
      </w:r>
      <w:r>
        <w:t>е</w:t>
      </w:r>
      <w:r>
        <w:t>любодеяние полагается более строгое наказание, чем за внебрачные отношения мужа. За прелюбодеяние наказание полагается в виде тюремного заключения сроком в среднем от двух лет, четырех месяцев и одного дня до четырех лет и двух месяцев и максимальным сроком от четырех лет, двух месяцев и одного дня до шести лет. С другой стороны, внебрачные связи мужа влекут за собой меру наказания в виде тюремного заключения с минимальным сроком от шести месяцев и одного дня до двух лет и четырех месяцев и вышеуказанным сре</w:t>
      </w:r>
      <w:r>
        <w:t>д</w:t>
      </w:r>
      <w:r>
        <w:t>ним сроком.</w:t>
      </w:r>
    </w:p>
    <w:p w:rsidR="00000000" w:rsidRDefault="00000000">
      <w:pPr>
        <w:pStyle w:val="num"/>
      </w:pPr>
      <w:r>
        <w:t>Стала вызывать сомнение эффективность деятельности шариатских судов, которые рассматривают случаи, подпадающие под действие Кодекса мусул</w:t>
      </w:r>
      <w:r>
        <w:t>ь</w:t>
      </w:r>
      <w:r>
        <w:t>манских законов личности (КМЗЛ). Проведенные исследования показали, что мусульманские женщины подают в эти суды более 80 процентов всех исков. Большая часть жалоб касается развода, возмещения невыплаченного приданого и поддержки. Кроме того, не все судебные округа, созданные в рамках КМЗЛ, были в достаточной мере организованы и обеспечены судьями, в результате ч</w:t>
      </w:r>
      <w:r>
        <w:t>е</w:t>
      </w:r>
      <w:r>
        <w:t>го суды являются недоступными и возникают дополнительные проблемы с удовлетворением исков (например, касающихся поддержки), принятых окру</w:t>
      </w:r>
      <w:r>
        <w:t>ж</w:t>
      </w:r>
      <w:r>
        <w:t>ными судами. По поданным апелляциям, как правило, не выносится судебное решение, поскольку в апелляционных судах (окружных судах) нет судей. В К</w:t>
      </w:r>
      <w:r>
        <w:t>о</w:t>
      </w:r>
      <w:r>
        <w:t>митет по мусульманским делам Палаты представителей было подано предл</w:t>
      </w:r>
      <w:r>
        <w:t>о</w:t>
      </w:r>
      <w:r>
        <w:t>жение о внесении поправок в КМЗЛ, однако никакого законопроекта о таких поправках еще разработано не было. Что касается усовершенствования работы шариатских судов, то конкретные программы таких мер являются частью Пл</w:t>
      </w:r>
      <w:r>
        <w:t>а</w:t>
      </w:r>
      <w:r>
        <w:t>на действий Верховного суда по расформированию судебной системы.</w:t>
      </w:r>
    </w:p>
    <w:p w:rsidR="00000000" w:rsidRDefault="00000000">
      <w:pPr>
        <w:pStyle w:val="num"/>
      </w:pPr>
      <w:r>
        <w:t>Положения Республиканского закона 6955, или Закона 1990 года о борьбе с заказом невесты по почте, который нацелен на обеспечение защиты фили</w:t>
      </w:r>
      <w:r>
        <w:t>п</w:t>
      </w:r>
      <w:r>
        <w:t>пинских женщин от эксплуатации в виде вступления в брак по почтовому зак</w:t>
      </w:r>
      <w:r>
        <w:t>а</w:t>
      </w:r>
      <w:r>
        <w:t>зу, не выполняются ввиду использования новых технологий и различных др</w:t>
      </w:r>
      <w:r>
        <w:t>у</w:t>
      </w:r>
      <w:r>
        <w:t>гих средств. Распространение услуг интернета привело к созданию веб-сайтов, которые предлагают различные услуги по знакомству. Однако, поскольку оп</w:t>
      </w:r>
      <w:r>
        <w:t>е</w:t>
      </w:r>
      <w:r>
        <w:t>раторы этих веб-сайтов находятся за пределами Филиппин, очень сложно пр</w:t>
      </w:r>
      <w:r>
        <w:t>о</w:t>
      </w:r>
      <w:r>
        <w:t>контролировать или предотвратить использование таких услуг филиппинцами или иностранными гражданами. Поэтому, необходимо усилить осуществление Республиканского закона 6955 в отношении использования таких новых техн</w:t>
      </w:r>
      <w:r>
        <w:t>о</w:t>
      </w:r>
      <w:r>
        <w:t>логий. В то же время после того, как этот закон был принят в 1990 году, из г</w:t>
      </w:r>
      <w:r>
        <w:t>а</w:t>
      </w:r>
      <w:r>
        <w:t>зет исчезли объявления о коммерчески организуемых браках, которые до этого регулярно в них появлялись. Однако в реальности же принятие этого закона привело к тому, что те, кто занимался организацией поставки невест по почт</w:t>
      </w:r>
      <w:r>
        <w:t>о</w:t>
      </w:r>
      <w:r>
        <w:t>вым заказам, продолжают заниматься этим подпольно. По оценкам, ежегодно в агентства по поставке невест по почтовым заказам обращаются от 1 000 до 2 000 филиппинских женщин, и большинство из них вступает в такие браки, как это указывалось в четвертом периодическом докладе Филиппин по Ко</w:t>
      </w:r>
      <w:r>
        <w:t>н</w:t>
      </w:r>
      <w:r>
        <w:t>венции о ликвид</w:t>
      </w:r>
      <w:r>
        <w:t>а</w:t>
      </w:r>
      <w:r>
        <w:t>ции дискриминации в отношении женщин.</w:t>
      </w:r>
    </w:p>
    <w:p w:rsidR="00000000" w:rsidRDefault="00000000">
      <w:pPr>
        <w:pStyle w:val="SingleTxt"/>
        <w:pageBreakBefore/>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keepNext/>
      </w:pPr>
      <w:bookmarkStart w:id="86" w:name="_Toc85174955"/>
      <w:r>
        <w:t>Справочный материал</w:t>
      </w:r>
      <w:bookmarkEnd w:id="86"/>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firstLine="476"/>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rPr>
          <w:lang w:val="en-GB"/>
        </w:rPr>
      </w:pPr>
      <w:r>
        <w:rPr>
          <w:lang w:val="en-GB"/>
        </w:rPr>
        <w:t>Abitona</w:t>
      </w:r>
      <w:r>
        <w:t xml:space="preserve">, </w:t>
      </w:r>
      <w:r>
        <w:rPr>
          <w:lang w:val="en-GB"/>
        </w:rPr>
        <w:t>Cheryl</w:t>
      </w:r>
      <w:r>
        <w:t xml:space="preserve"> </w:t>
      </w:r>
      <w:r>
        <w:rPr>
          <w:lang w:val="en-GB"/>
        </w:rPr>
        <w:t>T</w:t>
      </w:r>
      <w:r>
        <w:t xml:space="preserve">. 2002. </w:t>
      </w:r>
      <w:r>
        <w:rPr>
          <w:lang w:val="en-GB"/>
        </w:rPr>
        <w:t>«Children Involvement in the MILF.» Paper read at the Third National Conference of the Women’s Studies Association of the Philippines, Cagayan de Oro City, 4-6 March.</w:t>
      </w:r>
    </w:p>
    <w:p w:rsidR="00000000" w:rsidRDefault="00000000">
      <w:pPr>
        <w:pStyle w:val="SingleTxt"/>
        <w:rPr>
          <w:lang w:val="en-GB"/>
        </w:rPr>
      </w:pPr>
      <w:r>
        <w:rPr>
          <w:lang w:val="en-GB"/>
        </w:rPr>
        <w:t xml:space="preserve">Aganon, Marie. 1999. «Women Workers and Unions in the Formal Sector: Adjusting to the Crisis.» In </w:t>
      </w:r>
      <w:r>
        <w:rPr>
          <w:i/>
          <w:lang w:val="en-GB"/>
        </w:rPr>
        <w:t>Carrying the Burden of the World: Women Reflecting on the Effects of the Crisis on Women and Girls</w:t>
      </w:r>
      <w:r>
        <w:rPr>
          <w:lang w:val="en-GB"/>
        </w:rPr>
        <w:t>, edited by Jeanne Frances I. Illo and Rosalinda Pineda Ofreneo. Quezon City: Center for Integrative and Development Studies, University of the Philippines.</w:t>
      </w:r>
    </w:p>
    <w:p w:rsidR="00000000" w:rsidRDefault="00000000">
      <w:pPr>
        <w:pStyle w:val="SingleTxt"/>
        <w:rPr>
          <w:lang w:val="en-GB"/>
        </w:rPr>
      </w:pPr>
      <w:r>
        <w:rPr>
          <w:lang w:val="de-AT"/>
        </w:rPr>
        <w:t xml:space="preserve">Alba, Michael M. n.d. </w:t>
      </w:r>
      <w:r>
        <w:rPr>
          <w:lang w:val="en-GB"/>
        </w:rPr>
        <w:t>«The Distribution and Structure of Wages and Their Implic</w:t>
      </w:r>
      <w:r>
        <w:rPr>
          <w:lang w:val="en-GB"/>
        </w:rPr>
        <w:t>a</w:t>
      </w:r>
      <w:r>
        <w:rPr>
          <w:lang w:val="en-GB"/>
        </w:rPr>
        <w:t>tions on the Gender and Inter-Industry Wage Differentials.» A research report su</w:t>
      </w:r>
      <w:r>
        <w:rPr>
          <w:lang w:val="en-GB"/>
        </w:rPr>
        <w:t>b</w:t>
      </w:r>
      <w:r>
        <w:rPr>
          <w:lang w:val="en-GB"/>
        </w:rPr>
        <w:t>mitted to the Philippine APEC Study Ce</w:t>
      </w:r>
      <w:r>
        <w:rPr>
          <w:lang w:val="en-GB"/>
        </w:rPr>
        <w:t>n</w:t>
      </w:r>
      <w:r>
        <w:rPr>
          <w:lang w:val="en-GB"/>
        </w:rPr>
        <w:t>ter.</w:t>
      </w:r>
    </w:p>
    <w:p w:rsidR="00000000" w:rsidRDefault="00000000">
      <w:pPr>
        <w:pStyle w:val="SingleTxt"/>
        <w:rPr>
          <w:lang w:val="en-GB"/>
        </w:rPr>
      </w:pPr>
      <w:r>
        <w:rPr>
          <w:lang w:val="en-GB"/>
        </w:rPr>
        <w:t xml:space="preserve">Alcid, Mary Lou L. 2002. «Trends in Overseas Employment of Filipina Workers Four Years After the Asian Financial and Economic Crisis.» In </w:t>
      </w:r>
      <w:r>
        <w:rPr>
          <w:i/>
          <w:lang w:val="en-GB"/>
        </w:rPr>
        <w:t>Carrying the Burden of the World: Women Reflecting on the Effects of the Crisis on Women and Girls</w:t>
      </w:r>
      <w:r>
        <w:rPr>
          <w:lang w:val="en-GB"/>
        </w:rPr>
        <w:t>, edited by Jeanne Frances I. Illo and Rosalinda Pineda Ofreneo. Updated edition. Quezon City: Center for Integrative and Development Studies, University of the Phili</w:t>
      </w:r>
      <w:r>
        <w:rPr>
          <w:lang w:val="en-GB"/>
        </w:rPr>
        <w:t>p</w:t>
      </w:r>
      <w:r>
        <w:rPr>
          <w:lang w:val="en-GB"/>
        </w:rPr>
        <w:t>pines.</w:t>
      </w:r>
    </w:p>
    <w:p w:rsidR="00000000" w:rsidRDefault="00000000">
      <w:pPr>
        <w:pStyle w:val="SingleTxt"/>
        <w:rPr>
          <w:lang w:val="en-GB"/>
        </w:rPr>
      </w:pPr>
      <w:r>
        <w:rPr>
          <w:lang w:val="en-GB"/>
        </w:rPr>
        <w:t xml:space="preserve">Amnesty International, </w:t>
      </w:r>
      <w:r>
        <w:rPr>
          <w:i/>
          <w:lang w:val="en-GB"/>
        </w:rPr>
        <w:t>Report covering the period January to December 2000</w:t>
      </w:r>
      <w:r>
        <w:rPr>
          <w:lang w:val="en-GB"/>
        </w:rPr>
        <w:t>, 2001.</w:t>
      </w:r>
    </w:p>
    <w:p w:rsidR="00000000" w:rsidRDefault="00000000">
      <w:pPr>
        <w:pStyle w:val="SingleTxt"/>
        <w:rPr>
          <w:lang w:val="en-GB"/>
        </w:rPr>
      </w:pPr>
      <w:r>
        <w:rPr>
          <w:lang w:val="en-GB"/>
        </w:rPr>
        <w:t>Asia Pacific Economic Cooperation (APEC). 2002. «Gender Implications of Trade Liberalisation: Issues from the Experience of the Philippines and New Zealand.» Unpublished background paper prepared by Philippines (NCRFW and Women and Gender Institute, Miriam College) and New Zealand for the Second Ministerial Meeting on Women, Guadalajara, Mexico, September.</w:t>
      </w:r>
    </w:p>
    <w:p w:rsidR="00000000" w:rsidRDefault="00000000">
      <w:pPr>
        <w:pStyle w:val="SingleTxt"/>
        <w:rPr>
          <w:lang w:val="en-GB"/>
        </w:rPr>
      </w:pPr>
      <w:r>
        <w:rPr>
          <w:lang w:val="en-GB"/>
        </w:rPr>
        <w:t xml:space="preserve">Asia Foundation (2002). </w:t>
      </w:r>
      <w:hyperlink r:id="rId14" w:history="1">
        <w:r>
          <w:rPr>
            <w:rStyle w:val="Normal"/>
            <w:lang w:val="en-GB"/>
          </w:rPr>
          <w:t>http://www.asiafoundation.org</w:t>
        </w:r>
      </w:hyperlink>
      <w:r>
        <w:rPr>
          <w:lang w:val="en-GB"/>
        </w:rPr>
        <w:t>.</w:t>
      </w:r>
    </w:p>
    <w:p w:rsidR="00000000" w:rsidRDefault="00000000">
      <w:pPr>
        <w:pStyle w:val="SingleTxt"/>
        <w:rPr>
          <w:lang w:val="en-GB"/>
        </w:rPr>
      </w:pPr>
      <w:r>
        <w:rPr>
          <w:lang w:val="en-GB"/>
        </w:rPr>
        <w:t xml:space="preserve">Asian Development Bank (ADB). 2001. </w:t>
      </w:r>
      <w:r>
        <w:rPr>
          <w:i/>
          <w:lang w:val="en-GB"/>
        </w:rPr>
        <w:t>Key Indicators 2001: Growth and Change in Asia and the Pacific.</w:t>
      </w:r>
      <w:r>
        <w:rPr>
          <w:lang w:val="en-GB"/>
        </w:rPr>
        <w:t xml:space="preserve"> New York: Oxford University Press for the Asian Develo</w:t>
      </w:r>
      <w:r>
        <w:rPr>
          <w:lang w:val="en-GB"/>
        </w:rPr>
        <w:t>p</w:t>
      </w:r>
      <w:r>
        <w:rPr>
          <w:lang w:val="en-GB"/>
        </w:rPr>
        <w:t>ment Bank.</w:t>
      </w:r>
    </w:p>
    <w:p w:rsidR="00000000" w:rsidRDefault="00000000">
      <w:pPr>
        <w:pStyle w:val="SingleTxt"/>
        <w:rPr>
          <w:lang w:val="en-GB"/>
        </w:rPr>
      </w:pPr>
      <w:r>
        <w:rPr>
          <w:lang w:val="en-GB"/>
        </w:rPr>
        <w:t xml:space="preserve">Asian Development Bank and World Bank [ADB/WB]. 1999. </w:t>
      </w:r>
      <w:r>
        <w:rPr>
          <w:i/>
          <w:lang w:val="en-GB"/>
        </w:rPr>
        <w:t>Philippine Education for the 21</w:t>
      </w:r>
      <w:r>
        <w:rPr>
          <w:i/>
          <w:vertAlign w:val="superscript"/>
          <w:lang w:val="en-GB"/>
        </w:rPr>
        <w:t>st</w:t>
      </w:r>
      <w:r>
        <w:rPr>
          <w:i/>
          <w:lang w:val="en-GB"/>
        </w:rPr>
        <w:t xml:space="preserve"> Century: The Philippines Education Sector Survey</w:t>
      </w:r>
      <w:r>
        <w:rPr>
          <w:lang w:val="en-GB"/>
        </w:rPr>
        <w:t>. A joint study of the World Bank and the Asian Development Bank undertaken in collaboration with DECS, CHED, TESDA and NEDA of the Government of the Philippines. Manila: Asian Development Bank and World Bank.</w:t>
      </w:r>
    </w:p>
    <w:p w:rsidR="00000000" w:rsidRDefault="00000000">
      <w:pPr>
        <w:pStyle w:val="SingleTxt"/>
        <w:rPr>
          <w:lang w:val="en-GB"/>
        </w:rPr>
      </w:pPr>
      <w:r>
        <w:rPr>
          <w:lang w:val="en-GB"/>
        </w:rPr>
        <w:t>Asiaweek, January 1997 &amp; 2001.</w:t>
      </w:r>
    </w:p>
    <w:p w:rsidR="00000000" w:rsidRDefault="00000000">
      <w:pPr>
        <w:pStyle w:val="SingleTxt"/>
        <w:rPr>
          <w:lang w:val="en-GB"/>
        </w:rPr>
      </w:pPr>
      <w:r>
        <w:rPr>
          <w:lang w:val="en-GB"/>
        </w:rPr>
        <w:t>Barros-Deveza, Teresita. VAWC: Methods of Measurement Using Police Statistics and a National Survey, 2001.</w:t>
      </w:r>
    </w:p>
    <w:p w:rsidR="00000000" w:rsidRDefault="00000000">
      <w:pPr>
        <w:pStyle w:val="SingleTxt"/>
        <w:rPr>
          <w:lang w:val="en-GB"/>
        </w:rPr>
      </w:pPr>
      <w:r>
        <w:rPr>
          <w:lang w:val="en-GB"/>
        </w:rPr>
        <w:t>Baseline Survey on Child Sexual Abuse and Exploitation in the Philippines, 1998.</w:t>
      </w:r>
    </w:p>
    <w:p w:rsidR="00000000" w:rsidRDefault="00000000">
      <w:pPr>
        <w:pStyle w:val="SingleTxt"/>
        <w:rPr>
          <w:lang w:val="en-GB"/>
        </w:rPr>
      </w:pPr>
      <w:r>
        <w:rPr>
          <w:lang w:val="en-GB"/>
        </w:rPr>
        <w:t xml:space="preserve">Bureau of Labor and Employment Statistics (BLES). 2003a. «Key Labor Statistics.» Last updated 1 August 2003. </w:t>
      </w:r>
      <w:hyperlink r:id="rId15" w:history="1">
        <w:r>
          <w:rPr>
            <w:rStyle w:val="Normal"/>
            <w:lang w:val="en-GB"/>
          </w:rPr>
          <w:t>http</w:t>
        </w:r>
        <w:r>
          <w:rPr>
            <w:rStyle w:val="Normal"/>
          </w:rPr>
          <w:t>://</w:t>
        </w:r>
        <w:r>
          <w:rPr>
            <w:rStyle w:val="Normal"/>
            <w:lang w:val="en-GB"/>
          </w:rPr>
          <w:t>www</w:t>
        </w:r>
        <w:r>
          <w:rPr>
            <w:rStyle w:val="Normal"/>
          </w:rPr>
          <w:t>.</w:t>
        </w:r>
        <w:r>
          <w:rPr>
            <w:rStyle w:val="Normal"/>
            <w:lang w:val="en-GB"/>
          </w:rPr>
          <w:t>manila</w:t>
        </w:r>
        <w:r>
          <w:rPr>
            <w:rStyle w:val="Normal"/>
          </w:rPr>
          <w:t>-</w:t>
        </w:r>
        <w:r>
          <w:rPr>
            <w:rStyle w:val="Normal"/>
            <w:lang w:val="en-GB"/>
          </w:rPr>
          <w:t>online</w:t>
        </w:r>
        <w:r>
          <w:rPr>
            <w:rStyle w:val="Normal"/>
          </w:rPr>
          <w:t>.</w:t>
        </w:r>
        <w:r>
          <w:rPr>
            <w:rStyle w:val="Normal"/>
            <w:lang w:val="en-GB"/>
          </w:rPr>
          <w:t>net</w:t>
        </w:r>
        <w:r>
          <w:rPr>
            <w:rStyle w:val="Normal"/>
          </w:rPr>
          <w:t>/</w:t>
        </w:r>
        <w:r>
          <w:rPr>
            <w:rStyle w:val="Normal"/>
            <w:lang w:val="en-GB"/>
          </w:rPr>
          <w:t>bles</w:t>
        </w:r>
      </w:hyperlink>
      <w:r>
        <w:t xml:space="preserve">. </w:t>
      </w:r>
      <w:r>
        <w:rPr>
          <w:lang w:val="en-GB"/>
        </w:rPr>
        <w:t>Accessed 13 August.</w:t>
      </w:r>
    </w:p>
    <w:p w:rsidR="00000000" w:rsidRDefault="00000000">
      <w:pPr>
        <w:pStyle w:val="SingleTxt"/>
      </w:pPr>
      <w:r>
        <w:rPr>
          <w:lang w:val="en-GB"/>
        </w:rPr>
        <w:t xml:space="preserve">__________. 2003b. «LABSTAT Updates: Part-Time Workers.» Vol. 7, No. 6, May. </w:t>
      </w:r>
      <w:hyperlink r:id="rId16" w:history="1">
        <w:r>
          <w:rPr>
            <w:rStyle w:val="Normal"/>
            <w:lang w:val="en-GB"/>
          </w:rPr>
          <w:t>http</w:t>
        </w:r>
        <w:r>
          <w:rPr>
            <w:rStyle w:val="Normal"/>
          </w:rPr>
          <w:t>://</w:t>
        </w:r>
        <w:r>
          <w:rPr>
            <w:rStyle w:val="Normal"/>
            <w:lang w:val="en-GB"/>
          </w:rPr>
          <w:t>www</w:t>
        </w:r>
        <w:r>
          <w:rPr>
            <w:rStyle w:val="Normal"/>
          </w:rPr>
          <w:t>.</w:t>
        </w:r>
        <w:r>
          <w:rPr>
            <w:rStyle w:val="Normal"/>
            <w:lang w:val="en-GB"/>
          </w:rPr>
          <w:t>manila</w:t>
        </w:r>
        <w:r>
          <w:rPr>
            <w:rStyle w:val="Normal"/>
          </w:rPr>
          <w:t>-</w:t>
        </w:r>
        <w:r>
          <w:rPr>
            <w:rStyle w:val="Normal"/>
            <w:lang w:val="en-GB"/>
          </w:rPr>
          <w:t>online</w:t>
        </w:r>
        <w:r>
          <w:rPr>
            <w:rStyle w:val="Normal"/>
          </w:rPr>
          <w:t>.</w:t>
        </w:r>
        <w:r>
          <w:rPr>
            <w:rStyle w:val="Normal"/>
            <w:lang w:val="en-GB"/>
          </w:rPr>
          <w:t>net</w:t>
        </w:r>
        <w:r>
          <w:rPr>
            <w:rStyle w:val="Normal"/>
          </w:rPr>
          <w:t>/</w:t>
        </w:r>
        <w:r>
          <w:rPr>
            <w:rStyle w:val="Normal"/>
            <w:lang w:val="en-GB"/>
          </w:rPr>
          <w:t>bles</w:t>
        </w:r>
      </w:hyperlink>
      <w:r>
        <w:t>.</w:t>
      </w:r>
    </w:p>
    <w:p w:rsidR="00000000" w:rsidRDefault="00000000">
      <w:pPr>
        <w:pStyle w:val="SingleTxt"/>
        <w:rPr>
          <w:lang w:val="en-GB"/>
        </w:rPr>
      </w:pPr>
      <w:r>
        <w:rPr>
          <w:lang w:val="en-GB"/>
        </w:rPr>
        <w:t xml:space="preserve">__________. 2003c. </w:t>
      </w:r>
      <w:r>
        <w:rPr>
          <w:i/>
          <w:lang w:val="en-GB"/>
        </w:rPr>
        <w:t>Updated 2001 Gender Statistics on Labor and Employment.</w:t>
      </w:r>
      <w:r>
        <w:rPr>
          <w:lang w:val="en-GB"/>
        </w:rPr>
        <w:t xml:space="preserve"> CD-ROM of BLES Publications. Manila: BLES, Department of Labor and E</w:t>
      </w:r>
      <w:r>
        <w:rPr>
          <w:lang w:val="en-GB"/>
        </w:rPr>
        <w:t>m</w:t>
      </w:r>
      <w:r>
        <w:rPr>
          <w:lang w:val="en-GB"/>
        </w:rPr>
        <w:t>ployment. February.</w:t>
      </w:r>
    </w:p>
    <w:p w:rsidR="00000000" w:rsidRDefault="00000000">
      <w:pPr>
        <w:pStyle w:val="SingleTxt"/>
        <w:rPr>
          <w:lang w:val="en-GB"/>
        </w:rPr>
      </w:pPr>
      <w:r>
        <w:rPr>
          <w:lang w:val="en-GB"/>
        </w:rPr>
        <w:t xml:space="preserve">__________. 2003d. </w:t>
      </w:r>
      <w:r>
        <w:rPr>
          <w:i/>
          <w:lang w:val="en-GB"/>
        </w:rPr>
        <w:t>2002 Yearbook of Labor Statistics.</w:t>
      </w:r>
      <w:r>
        <w:rPr>
          <w:lang w:val="en-GB"/>
        </w:rPr>
        <w:t xml:space="preserve"> CD-ROM of BLES Publ</w:t>
      </w:r>
      <w:r>
        <w:rPr>
          <w:lang w:val="en-GB"/>
        </w:rPr>
        <w:t>i</w:t>
      </w:r>
      <w:r>
        <w:rPr>
          <w:lang w:val="en-GB"/>
        </w:rPr>
        <w:t>cations. Manila: BLES, Department of Labor and Employment. February.</w:t>
      </w:r>
    </w:p>
    <w:p w:rsidR="00000000" w:rsidRDefault="00000000">
      <w:pPr>
        <w:pStyle w:val="SingleTxt"/>
        <w:rPr>
          <w:lang w:val="en-GB"/>
        </w:rPr>
      </w:pPr>
      <w:r>
        <w:rPr>
          <w:lang w:val="en-GB"/>
        </w:rPr>
        <w:t xml:space="preserve">__________. 2002. </w:t>
      </w:r>
      <w:r>
        <w:rPr>
          <w:i/>
          <w:lang w:val="en-GB"/>
        </w:rPr>
        <w:t>2000 Yearbook of Labor Statistics</w:t>
      </w:r>
      <w:r>
        <w:rPr>
          <w:lang w:val="en-GB"/>
        </w:rPr>
        <w:t>. Manila: BLES, Department of Labor and Employment.</w:t>
      </w:r>
    </w:p>
    <w:p w:rsidR="00000000" w:rsidRDefault="00000000">
      <w:pPr>
        <w:pStyle w:val="SingleTxt"/>
        <w:rPr>
          <w:lang w:val="en-GB"/>
        </w:rPr>
      </w:pPr>
      <w:r>
        <w:rPr>
          <w:lang w:val="en-GB"/>
        </w:rPr>
        <w:t xml:space="preserve">__________. 2000. </w:t>
      </w:r>
      <w:r>
        <w:rPr>
          <w:i/>
          <w:lang w:val="en-GB"/>
        </w:rPr>
        <w:t>1998 Yearbook of Labor Statistics</w:t>
      </w:r>
      <w:r>
        <w:rPr>
          <w:lang w:val="en-GB"/>
        </w:rPr>
        <w:t>. Manila: BLES, Department of Labor and Employment.</w:t>
      </w:r>
    </w:p>
    <w:p w:rsidR="00000000" w:rsidRDefault="00000000">
      <w:pPr>
        <w:pStyle w:val="SingleTxt"/>
        <w:rPr>
          <w:lang w:val="en-GB"/>
        </w:rPr>
      </w:pPr>
      <w:r>
        <w:rPr>
          <w:lang w:val="en-GB"/>
        </w:rPr>
        <w:t xml:space="preserve">__________. (n.d.). </w:t>
      </w:r>
      <w:r>
        <w:rPr>
          <w:i/>
          <w:lang w:val="en-GB"/>
        </w:rPr>
        <w:t>Glossary of Terms Commonly Used in Labor and Employment Statistics.</w:t>
      </w:r>
      <w:r>
        <w:rPr>
          <w:lang w:val="en-GB"/>
        </w:rPr>
        <w:t xml:space="preserve"> Manila: BLES, D</w:t>
      </w:r>
      <w:r>
        <w:rPr>
          <w:lang w:val="en-GB"/>
        </w:rPr>
        <w:t>e</w:t>
      </w:r>
      <w:r>
        <w:rPr>
          <w:lang w:val="en-GB"/>
        </w:rPr>
        <w:t>partment of Labor and Employment.</w:t>
      </w:r>
    </w:p>
    <w:p w:rsidR="00000000" w:rsidRDefault="00000000">
      <w:pPr>
        <w:pStyle w:val="SingleTxt"/>
        <w:rPr>
          <w:lang w:val="en-GB"/>
        </w:rPr>
      </w:pPr>
      <w:r>
        <w:rPr>
          <w:lang w:val="en-GB"/>
        </w:rPr>
        <w:t>Cantal-Albasin, Grace; and Nestor P. Burgos, Jr. SC upholds sexual harassment ru</w:t>
      </w:r>
      <w:r>
        <w:rPr>
          <w:lang w:val="en-GB"/>
        </w:rPr>
        <w:t>l</w:t>
      </w:r>
      <w:r>
        <w:rPr>
          <w:lang w:val="en-GB"/>
        </w:rPr>
        <w:t>ing: Manila Times, April 02, 2002.</w:t>
      </w:r>
    </w:p>
    <w:p w:rsidR="00000000" w:rsidRDefault="00000000">
      <w:pPr>
        <w:pStyle w:val="SingleTxt"/>
        <w:rPr>
          <w:lang w:val="en-GB"/>
        </w:rPr>
      </w:pPr>
      <w:r>
        <w:rPr>
          <w:lang w:val="en-GB"/>
        </w:rPr>
        <w:t>CFO. Handbook for Filipinos Overseas, 1999.</w:t>
      </w:r>
    </w:p>
    <w:p w:rsidR="00000000" w:rsidRDefault="00000000">
      <w:pPr>
        <w:pStyle w:val="SingleTxt"/>
        <w:rPr>
          <w:lang w:val="en-GB"/>
        </w:rPr>
      </w:pPr>
      <w:r>
        <w:rPr>
          <w:lang w:val="en-GB"/>
        </w:rPr>
        <w:t>Claudio, Sylvia Estrada. Women and Health. Philippine Post-Beijing Score Board.</w:t>
      </w:r>
    </w:p>
    <w:p w:rsidR="00000000" w:rsidRDefault="00000000">
      <w:pPr>
        <w:pStyle w:val="SingleTxt"/>
        <w:rPr>
          <w:lang w:val="en-GB"/>
        </w:rPr>
      </w:pPr>
      <w:r>
        <w:rPr>
          <w:lang w:val="en-GB"/>
        </w:rPr>
        <w:t>CSC, 1999 Inventory of Government Personnel.</w:t>
      </w:r>
    </w:p>
    <w:p w:rsidR="00000000" w:rsidRDefault="00000000">
      <w:pPr>
        <w:pStyle w:val="SingleTxt"/>
        <w:rPr>
          <w:lang w:val="en-GB"/>
        </w:rPr>
      </w:pPr>
      <w:r>
        <w:rPr>
          <w:lang w:val="en-GB"/>
        </w:rPr>
        <w:t>CSC. Strategies for En-gendering Merit Promotion Plan, July 7, 2000.</w:t>
      </w:r>
    </w:p>
    <w:p w:rsidR="00000000" w:rsidRDefault="00000000">
      <w:pPr>
        <w:pStyle w:val="SingleTxt"/>
        <w:rPr>
          <w:lang w:val="en-GB"/>
        </w:rPr>
      </w:pPr>
      <w:r>
        <w:rPr>
          <w:lang w:val="en-GB"/>
        </w:rPr>
        <w:t>DAR Administrative Order 01, s. 2001 (Guidelines Governing the Non-Gender B</w:t>
      </w:r>
      <w:r>
        <w:rPr>
          <w:lang w:val="en-GB"/>
        </w:rPr>
        <w:t>i</w:t>
      </w:r>
      <w:r>
        <w:rPr>
          <w:lang w:val="en-GB"/>
        </w:rPr>
        <w:t>ased Implementation of Agra</w:t>
      </w:r>
      <w:r>
        <w:rPr>
          <w:lang w:val="en-GB"/>
        </w:rPr>
        <w:t>r</w:t>
      </w:r>
      <w:r>
        <w:rPr>
          <w:lang w:val="en-GB"/>
        </w:rPr>
        <w:t>ian Laws.</w:t>
      </w:r>
    </w:p>
    <w:p w:rsidR="00000000" w:rsidRDefault="00000000">
      <w:pPr>
        <w:pStyle w:val="SingleTxt"/>
        <w:rPr>
          <w:lang w:val="en-GB"/>
        </w:rPr>
      </w:pPr>
      <w:r>
        <w:rPr>
          <w:lang w:val="en-GB"/>
        </w:rPr>
        <w:t>Del Rosario, Rosario S. The Girl Child. Philippine Beijing Score Board.</w:t>
      </w:r>
    </w:p>
    <w:p w:rsidR="00000000" w:rsidRDefault="00000000">
      <w:pPr>
        <w:pStyle w:val="SingleTxt"/>
        <w:rPr>
          <w:lang w:val="en-GB"/>
        </w:rPr>
      </w:pPr>
      <w:r>
        <w:rPr>
          <w:lang w:val="en-GB"/>
        </w:rPr>
        <w:t>Deped. Compilation of Enrolment Data for the Elementary and Secondary, Level, 2000-2001.</w:t>
      </w:r>
    </w:p>
    <w:p w:rsidR="00000000" w:rsidRDefault="00000000">
      <w:pPr>
        <w:pStyle w:val="SingleTxt"/>
        <w:rPr>
          <w:lang w:val="en-GB"/>
        </w:rPr>
      </w:pPr>
      <w:r>
        <w:rPr>
          <w:lang w:val="en-GB"/>
        </w:rPr>
        <w:t>Department of Health (DOH). 1999. «National Objectives for Health, 1999-2004.» Manila: DOH.</w:t>
      </w:r>
    </w:p>
    <w:p w:rsidR="00000000" w:rsidRDefault="00000000">
      <w:pPr>
        <w:pStyle w:val="SingleTxt"/>
        <w:rPr>
          <w:lang w:val="en-GB"/>
        </w:rPr>
      </w:pPr>
      <w:r>
        <w:rPr>
          <w:lang w:val="en-GB"/>
        </w:rPr>
        <w:t>DOH. Field Health Service Information System, 2002.</w:t>
      </w:r>
    </w:p>
    <w:p w:rsidR="00000000" w:rsidRDefault="00000000">
      <w:pPr>
        <w:pStyle w:val="SingleTxt"/>
        <w:rPr>
          <w:lang w:val="en-GB"/>
        </w:rPr>
      </w:pPr>
      <w:r>
        <w:rPr>
          <w:lang w:val="en-GB"/>
        </w:rPr>
        <w:t>DOH. National Objectives for Health, 1999-2004.</w:t>
      </w:r>
    </w:p>
    <w:p w:rsidR="00000000" w:rsidRDefault="00000000">
      <w:pPr>
        <w:pStyle w:val="SingleTxt"/>
        <w:rPr>
          <w:lang w:val="en-GB"/>
        </w:rPr>
      </w:pPr>
      <w:r>
        <w:rPr>
          <w:lang w:val="en-GB"/>
        </w:rPr>
        <w:t>Department of Labor and Employment (DOLE). 2002. «Decent Work in the Phili</w:t>
      </w:r>
      <w:r>
        <w:rPr>
          <w:lang w:val="en-GB"/>
        </w:rPr>
        <w:t>p</w:t>
      </w:r>
      <w:r>
        <w:rPr>
          <w:lang w:val="en-GB"/>
        </w:rPr>
        <w:t>pines.» Manila: DOLE.</w:t>
      </w:r>
    </w:p>
    <w:p w:rsidR="00000000" w:rsidRDefault="00000000">
      <w:pPr>
        <w:pStyle w:val="SingleTxt"/>
        <w:rPr>
          <w:lang w:val="en-GB"/>
        </w:rPr>
      </w:pPr>
      <w:r>
        <w:rPr>
          <w:lang w:val="en-GB"/>
        </w:rPr>
        <w:t>DILG. Rapid Field Appraisal of Women in Power and Decision-Making.</w:t>
      </w:r>
    </w:p>
    <w:p w:rsidR="00000000" w:rsidRDefault="00000000">
      <w:pPr>
        <w:pStyle w:val="SingleTxt"/>
        <w:rPr>
          <w:lang w:val="en-GB"/>
        </w:rPr>
      </w:pPr>
      <w:r>
        <w:rPr>
          <w:lang w:val="en-GB"/>
        </w:rPr>
        <w:t>DSWD. Compendium of DSWD Selected Statistics for CY 1996-2000.</w:t>
      </w:r>
    </w:p>
    <w:p w:rsidR="00000000" w:rsidRDefault="00000000">
      <w:pPr>
        <w:pStyle w:val="SingleTxt"/>
        <w:rPr>
          <w:lang w:val="en-GB"/>
        </w:rPr>
      </w:pPr>
      <w:r>
        <w:rPr>
          <w:lang w:val="en-GB"/>
        </w:rPr>
        <w:t>DSWD. Philippine Minimum National Social Data Set.</w:t>
      </w:r>
    </w:p>
    <w:p w:rsidR="00000000" w:rsidRDefault="00000000">
      <w:pPr>
        <w:pStyle w:val="SingleTxt"/>
        <w:rPr>
          <w:spacing w:val="-2"/>
          <w:lang w:val="en-GB"/>
        </w:rPr>
      </w:pPr>
      <w:r>
        <w:rPr>
          <w:spacing w:val="-2"/>
          <w:lang w:val="en-GB"/>
        </w:rPr>
        <w:t>Edralin, Divina. 2001. «Assessing the Situation of Women Working in the Calabarzon, Philippines.» R</w:t>
      </w:r>
      <w:r>
        <w:rPr>
          <w:spacing w:val="-2"/>
          <w:lang w:val="en-GB"/>
        </w:rPr>
        <w:t>e</w:t>
      </w:r>
      <w:r>
        <w:rPr>
          <w:spacing w:val="-2"/>
          <w:lang w:val="en-GB"/>
        </w:rPr>
        <w:t>search report submitted to the APEC Studies Center Network.</w:t>
      </w:r>
    </w:p>
    <w:p w:rsidR="00000000" w:rsidRDefault="00000000">
      <w:pPr>
        <w:pStyle w:val="SingleTxt"/>
        <w:rPr>
          <w:lang w:val="en-GB"/>
        </w:rPr>
      </w:pPr>
      <w:r>
        <w:rPr>
          <w:lang w:val="en-GB"/>
        </w:rPr>
        <w:t>Fabile, Josefa L. Gender Integration for rural development. Landmarks Special Feature.</w:t>
      </w:r>
    </w:p>
    <w:p w:rsidR="00000000" w:rsidRDefault="00000000">
      <w:pPr>
        <w:pStyle w:val="SingleTxt"/>
        <w:rPr>
          <w:lang w:val="en-GB"/>
        </w:rPr>
      </w:pPr>
      <w:r>
        <w:rPr>
          <w:lang w:val="en-GB"/>
        </w:rPr>
        <w:t>Feliciano Myrna S. Laws and Jurisprudence on Domestic Violence, 2000.</w:t>
      </w:r>
    </w:p>
    <w:p w:rsidR="00000000" w:rsidRDefault="00000000">
      <w:pPr>
        <w:pStyle w:val="SingleTxt"/>
        <w:rPr>
          <w:lang w:val="en-GB"/>
        </w:rPr>
      </w:pPr>
      <w:r>
        <w:rPr>
          <w:lang w:val="en-GB"/>
        </w:rPr>
        <w:t>______________. Rationale for the Proposed Rules on Examination of Child Wi</w:t>
      </w:r>
      <w:r>
        <w:rPr>
          <w:lang w:val="en-GB"/>
        </w:rPr>
        <w:t>t</w:t>
      </w:r>
      <w:r>
        <w:rPr>
          <w:lang w:val="en-GB"/>
        </w:rPr>
        <w:t>ness.</w:t>
      </w:r>
    </w:p>
    <w:p w:rsidR="00000000" w:rsidRDefault="00000000">
      <w:pPr>
        <w:pStyle w:val="SingleTxt"/>
        <w:rPr>
          <w:lang w:val="en-GB"/>
        </w:rPr>
      </w:pPr>
      <w:r>
        <w:rPr>
          <w:lang w:val="en-GB"/>
        </w:rPr>
        <w:t>______________. Non-Discrimination and Participation: Gender and Children I</w:t>
      </w:r>
      <w:r>
        <w:rPr>
          <w:lang w:val="en-GB"/>
        </w:rPr>
        <w:t>s</w:t>
      </w:r>
      <w:r>
        <w:rPr>
          <w:lang w:val="en-GB"/>
        </w:rPr>
        <w:t>sues. A paper for the Philippine</w:t>
      </w:r>
    </w:p>
    <w:p w:rsidR="00000000" w:rsidRDefault="00000000">
      <w:pPr>
        <w:pStyle w:val="SingleTxt"/>
        <w:rPr>
          <w:lang w:val="en-GB"/>
        </w:rPr>
      </w:pPr>
      <w:r>
        <w:rPr>
          <w:lang w:val="en-GB"/>
        </w:rPr>
        <w:t>Judiciary Workshop on Realizing Economic, Social and Cultural Arts, PHILJA, T</w:t>
      </w:r>
      <w:r>
        <w:rPr>
          <w:lang w:val="en-GB"/>
        </w:rPr>
        <w:t>a</w:t>
      </w:r>
      <w:r>
        <w:rPr>
          <w:lang w:val="en-GB"/>
        </w:rPr>
        <w:t>gaytay City, Sept. 14, 2001.</w:t>
      </w:r>
    </w:p>
    <w:p w:rsidR="00000000" w:rsidRDefault="00000000">
      <w:pPr>
        <w:pStyle w:val="SingleTxt"/>
        <w:rPr>
          <w:lang w:val="en-GB"/>
        </w:rPr>
      </w:pPr>
      <w:r>
        <w:rPr>
          <w:lang w:val="en-GB"/>
        </w:rPr>
        <w:t>Feliciano, Myrna, Pacifico A. Agabin, Merlin M. Magallona and Carmelo V. Sison.</w:t>
      </w:r>
    </w:p>
    <w:p w:rsidR="00000000" w:rsidRDefault="00000000">
      <w:pPr>
        <w:pStyle w:val="SingleTxt"/>
        <w:rPr>
          <w:lang w:val="en-GB"/>
        </w:rPr>
      </w:pPr>
      <w:r>
        <w:rPr>
          <w:lang w:val="en-GB"/>
        </w:rPr>
        <w:t>Modernization of Laws in the Philippines (in Women, law and Development, Inst</w:t>
      </w:r>
      <w:r>
        <w:rPr>
          <w:lang w:val="en-GB"/>
        </w:rPr>
        <w:t>i</w:t>
      </w:r>
      <w:r>
        <w:rPr>
          <w:lang w:val="en-GB"/>
        </w:rPr>
        <w:t>tute of</w:t>
      </w:r>
    </w:p>
    <w:p w:rsidR="00000000" w:rsidRDefault="00000000">
      <w:pPr>
        <w:pStyle w:val="SingleTxt"/>
        <w:rPr>
          <w:lang w:val="en-GB"/>
        </w:rPr>
      </w:pPr>
      <w:r>
        <w:rPr>
          <w:lang w:val="en-GB"/>
        </w:rPr>
        <w:t>Developing Economics, March 2001 (IDE Asian Law Series No.9).</w:t>
      </w:r>
    </w:p>
    <w:p w:rsidR="00000000" w:rsidRDefault="00000000">
      <w:pPr>
        <w:pStyle w:val="SingleTxt"/>
        <w:rPr>
          <w:lang w:val="en-GB"/>
        </w:rPr>
      </w:pPr>
      <w:r>
        <w:rPr>
          <w:lang w:val="en-GB"/>
        </w:rPr>
        <w:t>Ferrer, Miriam Coronel. 2003. «Philippine Political Context–Challenges of Dem</w:t>
      </w:r>
      <w:r>
        <w:rPr>
          <w:lang w:val="en-GB"/>
        </w:rPr>
        <w:t>o</w:t>
      </w:r>
      <w:r>
        <w:rPr>
          <w:lang w:val="en-GB"/>
        </w:rPr>
        <w:t>cratic Consolidation.» Philippine-Country Development Programming Framework (CDPF) Review: Political Theme written for the Canadian International Develo</w:t>
      </w:r>
      <w:r>
        <w:rPr>
          <w:lang w:val="en-GB"/>
        </w:rPr>
        <w:t>p</w:t>
      </w:r>
      <w:r>
        <w:rPr>
          <w:lang w:val="en-GB"/>
        </w:rPr>
        <w:t>ment Agency, Manila. Draft, 25 August.</w:t>
      </w:r>
    </w:p>
    <w:p w:rsidR="00000000" w:rsidRDefault="00000000">
      <w:pPr>
        <w:pStyle w:val="SingleTxt"/>
        <w:rPr>
          <w:spacing w:val="-2"/>
          <w:lang w:val="en-GB"/>
        </w:rPr>
      </w:pPr>
      <w:r>
        <w:rPr>
          <w:spacing w:val="-2"/>
          <w:lang w:val="en-GB"/>
        </w:rPr>
        <w:t>Government of the Philippines-United Nations/Multi-donor Programme (GOP-UN/MDP). n.d. «Project Document on Strengthening the Foundations of Lasting Peace and Develo</w:t>
      </w:r>
      <w:r>
        <w:rPr>
          <w:spacing w:val="-2"/>
          <w:lang w:val="en-GB"/>
        </w:rPr>
        <w:t>p</w:t>
      </w:r>
      <w:r>
        <w:rPr>
          <w:spacing w:val="-2"/>
          <w:lang w:val="en-GB"/>
        </w:rPr>
        <w:t>ment in Southern Phili</w:t>
      </w:r>
      <w:r>
        <w:rPr>
          <w:spacing w:val="-2"/>
          <w:lang w:val="en-GB"/>
        </w:rPr>
        <w:t>p</w:t>
      </w:r>
      <w:r>
        <w:rPr>
          <w:spacing w:val="-2"/>
          <w:lang w:val="en-GB"/>
        </w:rPr>
        <w:t>pines: Third Phase of the GOP-UN/Multi-donor Programme.»</w:t>
      </w:r>
    </w:p>
    <w:p w:rsidR="00000000" w:rsidRDefault="00000000">
      <w:pPr>
        <w:pStyle w:val="SingleTxt"/>
        <w:rPr>
          <w:lang w:val="en-GB"/>
        </w:rPr>
      </w:pPr>
      <w:r>
        <w:rPr>
          <w:lang w:val="en-GB"/>
        </w:rPr>
        <w:t>Guerrero, Sylvia H.; Maruja M.B. Asis; Agnes J. Españo; Teresita Ibarra-Taberdo; Huelen Dayo; Raymundo R</w:t>
      </w:r>
      <w:r>
        <w:rPr>
          <w:lang w:val="en-GB"/>
        </w:rPr>
        <w:t>o</w:t>
      </w:r>
      <w:r>
        <w:rPr>
          <w:lang w:val="en-GB"/>
        </w:rPr>
        <w:t>villos;</w:t>
      </w:r>
    </w:p>
    <w:p w:rsidR="00000000" w:rsidRDefault="00000000">
      <w:pPr>
        <w:pStyle w:val="SingleTxt"/>
        <w:rPr>
          <w:lang w:val="en-GB"/>
        </w:rPr>
      </w:pPr>
      <w:r>
        <w:rPr>
          <w:lang w:val="en-GB"/>
        </w:rPr>
        <w:t>and Thelma B. Kintanar. Women and Gender in Population and Development, 2001.</w:t>
      </w:r>
    </w:p>
    <w:p w:rsidR="00000000" w:rsidRDefault="00000000">
      <w:pPr>
        <w:pStyle w:val="SingleTxt"/>
        <w:rPr>
          <w:lang w:val="en-GB"/>
        </w:rPr>
      </w:pPr>
      <w:r>
        <w:rPr>
          <w:lang w:val="en-GB"/>
        </w:rPr>
        <w:t xml:space="preserve">Illo, Jeanne Frances I. 2003. </w:t>
      </w:r>
      <w:r>
        <w:rPr>
          <w:i/>
          <w:lang w:val="en-GB"/>
        </w:rPr>
        <w:t xml:space="preserve">On Their Own Behalf: Case Studies of Child and Youth Participation in the Philippines. </w:t>
      </w:r>
      <w:r>
        <w:rPr>
          <w:lang w:val="en-GB"/>
        </w:rPr>
        <w:t>Makati and Quezon City: Consuelo Foundation, United Children’s Fund, and the Institute of Philippine Culture, Ateneo de Manila University.</w:t>
      </w:r>
    </w:p>
    <w:p w:rsidR="00000000" w:rsidRDefault="00000000">
      <w:pPr>
        <w:pStyle w:val="SingleTxt"/>
        <w:rPr>
          <w:lang w:val="en-GB"/>
        </w:rPr>
      </w:pPr>
      <w:r>
        <w:rPr>
          <w:lang w:val="en-GB"/>
        </w:rPr>
        <w:t>__________. 2002a. Reforming Technical Cooperation: Philippines. Quezon City: Institute of Philippine Culture, Ateneo de Manila University.</w:t>
      </w:r>
    </w:p>
    <w:p w:rsidR="00000000" w:rsidRDefault="00000000">
      <w:pPr>
        <w:pStyle w:val="SingleTxt"/>
        <w:rPr>
          <w:lang w:val="en-GB"/>
        </w:rPr>
      </w:pPr>
      <w:r>
        <w:rPr>
          <w:lang w:val="en-GB"/>
        </w:rPr>
        <w:t>__________. 2002b. Gender Discrimination and Labor Standards, Philippine Cou</w:t>
      </w:r>
      <w:r>
        <w:rPr>
          <w:lang w:val="en-GB"/>
        </w:rPr>
        <w:t>n</w:t>
      </w:r>
      <w:r>
        <w:rPr>
          <w:lang w:val="en-GB"/>
        </w:rPr>
        <w:t>try R</w:t>
      </w:r>
      <w:r>
        <w:rPr>
          <w:lang w:val="en-GB"/>
        </w:rPr>
        <w:t>e</w:t>
      </w:r>
      <w:r>
        <w:rPr>
          <w:lang w:val="en-GB"/>
        </w:rPr>
        <w:t>port. Final Report submitted</w:t>
      </w:r>
    </w:p>
    <w:p w:rsidR="00000000" w:rsidRDefault="00000000">
      <w:pPr>
        <w:pStyle w:val="SingleTxt"/>
        <w:rPr>
          <w:lang w:val="en-GB"/>
        </w:rPr>
      </w:pPr>
      <w:r>
        <w:rPr>
          <w:lang w:val="en-GB"/>
        </w:rPr>
        <w:t>to the Asian Development Bank and the International Labor Organization.</w:t>
      </w:r>
    </w:p>
    <w:p w:rsidR="00000000" w:rsidRDefault="00000000">
      <w:pPr>
        <w:pStyle w:val="SingleTxt"/>
        <w:rPr>
          <w:i/>
          <w:lang w:val="en-GB"/>
        </w:rPr>
      </w:pPr>
      <w:r>
        <w:rPr>
          <w:lang w:val="en-GB"/>
        </w:rPr>
        <w:t>__________. 1999. «Gender Dimensions of the Financial and Economic Crisis in the Phi</w:t>
      </w:r>
      <w:r>
        <w:rPr>
          <w:lang w:val="en-GB"/>
        </w:rPr>
        <w:t>l</w:t>
      </w:r>
      <w:r>
        <w:rPr>
          <w:lang w:val="en-GB"/>
        </w:rPr>
        <w:t xml:space="preserve">ippines.» </w:t>
      </w:r>
      <w:r>
        <w:rPr>
          <w:i/>
          <w:lang w:val="en-GB"/>
        </w:rPr>
        <w:t>Philippine Labor</w:t>
      </w:r>
    </w:p>
    <w:p w:rsidR="00000000" w:rsidRDefault="00000000">
      <w:pPr>
        <w:pStyle w:val="SingleTxt"/>
        <w:rPr>
          <w:lang w:val="en-GB"/>
        </w:rPr>
      </w:pPr>
      <w:r>
        <w:rPr>
          <w:i/>
          <w:lang w:val="en-GB"/>
        </w:rPr>
        <w:t>Review</w:t>
      </w:r>
      <w:r>
        <w:rPr>
          <w:lang w:val="en-GB"/>
        </w:rPr>
        <w:t xml:space="preserve"> XXIII(2):57-124.</w:t>
      </w:r>
    </w:p>
    <w:p w:rsidR="00000000" w:rsidRDefault="00000000">
      <w:pPr>
        <w:pStyle w:val="SingleTxt"/>
        <w:rPr>
          <w:lang w:val="en-GB"/>
        </w:rPr>
      </w:pPr>
      <w:r>
        <w:rPr>
          <w:lang w:val="en-GB"/>
        </w:rPr>
        <w:t>__________. 1997</w:t>
      </w:r>
      <w:r>
        <w:rPr>
          <w:i/>
          <w:lang w:val="en-GB"/>
        </w:rPr>
        <w:t xml:space="preserve">. Women in the Philippines. ADB Country Briefing Paper. </w:t>
      </w:r>
      <w:r>
        <w:rPr>
          <w:lang w:val="en-GB"/>
        </w:rPr>
        <w:t>Manila: Programs Department East and Social Development Division, Asian Development Bank.</w:t>
      </w:r>
    </w:p>
    <w:p w:rsidR="00000000" w:rsidRDefault="00000000">
      <w:pPr>
        <w:pStyle w:val="SingleTxt"/>
        <w:rPr>
          <w:spacing w:val="-4"/>
          <w:lang w:val="en-GB"/>
        </w:rPr>
      </w:pPr>
      <w:r>
        <w:rPr>
          <w:spacing w:val="-4"/>
          <w:lang w:val="en-GB"/>
        </w:rPr>
        <w:t>Institute of Labor Studies (ILS). 1994. «The Informal Sector.» Manila: ILS, Department of L</w:t>
      </w:r>
      <w:r>
        <w:rPr>
          <w:spacing w:val="-4"/>
          <w:lang w:val="en-GB"/>
        </w:rPr>
        <w:t>a</w:t>
      </w:r>
      <w:r>
        <w:rPr>
          <w:spacing w:val="-4"/>
          <w:lang w:val="en-GB"/>
        </w:rPr>
        <w:t>bor and Employment.</w:t>
      </w:r>
    </w:p>
    <w:p w:rsidR="00000000" w:rsidRDefault="00000000">
      <w:pPr>
        <w:pStyle w:val="SingleTxt"/>
        <w:rPr>
          <w:lang w:val="en-GB"/>
        </w:rPr>
      </w:pPr>
      <w:r>
        <w:rPr>
          <w:lang w:val="en-GB"/>
        </w:rPr>
        <w:t>__________. 1996. «Social Security Protection for the Informal Sector in Metro Manila.» Manila: ILS, Department of Labor and Employment.</w:t>
      </w:r>
    </w:p>
    <w:p w:rsidR="00000000" w:rsidRDefault="00000000">
      <w:pPr>
        <w:pStyle w:val="SingleTxt"/>
        <w:rPr>
          <w:lang w:val="en-GB"/>
        </w:rPr>
      </w:pPr>
      <w:r>
        <w:rPr>
          <w:lang w:val="en-GB"/>
        </w:rPr>
        <w:t xml:space="preserve">International Labor Organization-International Program for the Elimination of Child Labour and National Statistics Office (ILO-IPEC/NSO). 2003. </w:t>
      </w:r>
      <w:r>
        <w:rPr>
          <w:i/>
          <w:lang w:val="en-GB"/>
        </w:rPr>
        <w:t>2001 Survey on Chi</w:t>
      </w:r>
      <w:r>
        <w:rPr>
          <w:i/>
          <w:lang w:val="en-GB"/>
        </w:rPr>
        <w:t>l</w:t>
      </w:r>
      <w:r>
        <w:rPr>
          <w:i/>
          <w:lang w:val="en-GB"/>
        </w:rPr>
        <w:t>dren 5-17 Years Old. Final Report</w:t>
      </w:r>
      <w:r>
        <w:rPr>
          <w:lang w:val="en-GB"/>
        </w:rPr>
        <w:t>. Manila: NSO and ILO-IPEC.</w:t>
      </w:r>
    </w:p>
    <w:p w:rsidR="00000000" w:rsidRDefault="00000000">
      <w:pPr>
        <w:pStyle w:val="SingleTxt"/>
        <w:rPr>
          <w:lang w:val="en-GB"/>
        </w:rPr>
      </w:pPr>
      <w:r>
        <w:rPr>
          <w:lang w:val="en-GB"/>
        </w:rPr>
        <w:t>ILS. Social Security Protection for the Informal Sector in Metro Manila, 1996.</w:t>
      </w:r>
    </w:p>
    <w:p w:rsidR="00000000" w:rsidRDefault="00000000">
      <w:pPr>
        <w:pStyle w:val="SingleTxt"/>
        <w:rPr>
          <w:lang w:val="en-GB"/>
        </w:rPr>
      </w:pPr>
      <w:r>
        <w:rPr>
          <w:lang w:val="en-GB"/>
        </w:rPr>
        <w:t>ILS. A Closer Look into the working Conditions and Occupational Safety and Health of Informal Sector Workers.</w:t>
      </w:r>
    </w:p>
    <w:p w:rsidR="00000000" w:rsidRDefault="00000000">
      <w:pPr>
        <w:pStyle w:val="SingleTxt"/>
        <w:rPr>
          <w:lang w:val="en-GB"/>
        </w:rPr>
      </w:pPr>
      <w:r>
        <w:rPr>
          <w:lang w:val="en-GB"/>
        </w:rPr>
        <w:t>ILS. Social Protection in the Philippines.</w:t>
      </w:r>
    </w:p>
    <w:p w:rsidR="00000000" w:rsidRDefault="00000000">
      <w:pPr>
        <w:pStyle w:val="SingleTxt"/>
        <w:rPr>
          <w:lang w:val="en-GB"/>
        </w:rPr>
      </w:pPr>
      <w:r>
        <w:rPr>
          <w:lang w:val="en-GB"/>
        </w:rPr>
        <w:t>Institute of Politics and Governance, Inc. Ang Kababaihan sa Pulitika at Pamam</w:t>
      </w:r>
      <w:r>
        <w:rPr>
          <w:lang w:val="en-GB"/>
        </w:rPr>
        <w:t>a</w:t>
      </w:r>
      <w:r>
        <w:rPr>
          <w:lang w:val="en-GB"/>
        </w:rPr>
        <w:t>hala: Ang Manual, 2000.</w:t>
      </w:r>
    </w:p>
    <w:p w:rsidR="00000000" w:rsidRDefault="00000000">
      <w:pPr>
        <w:pStyle w:val="SingleTxt"/>
        <w:rPr>
          <w:lang w:val="en-GB"/>
        </w:rPr>
      </w:pPr>
      <w:r>
        <w:rPr>
          <w:lang w:val="en-GB"/>
        </w:rPr>
        <w:t>Javate-De Dios, Aurora. Hidden No More: Violence Against Women in the Phili</w:t>
      </w:r>
      <w:r>
        <w:rPr>
          <w:lang w:val="en-GB"/>
        </w:rPr>
        <w:t>p</w:t>
      </w:r>
      <w:r>
        <w:rPr>
          <w:lang w:val="en-GB"/>
        </w:rPr>
        <w:t>pines, 2001.</w:t>
      </w:r>
    </w:p>
    <w:p w:rsidR="00000000" w:rsidRDefault="00000000">
      <w:pPr>
        <w:pStyle w:val="SingleTxt"/>
        <w:rPr>
          <w:lang w:val="en-GB"/>
        </w:rPr>
      </w:pPr>
      <w:r>
        <w:rPr>
          <w:lang w:val="en-GB"/>
        </w:rPr>
        <w:t xml:space="preserve">Jimenez-David. 2002. «DV is an anti-poverty issue.» </w:t>
      </w:r>
      <w:r>
        <w:rPr>
          <w:i/>
          <w:lang w:val="en-GB"/>
        </w:rPr>
        <w:t>Philippine Daily Inquirer,</w:t>
      </w:r>
      <w:r>
        <w:rPr>
          <w:lang w:val="en-GB"/>
        </w:rPr>
        <w:t xml:space="preserve"> 31 July.</w:t>
      </w:r>
    </w:p>
    <w:p w:rsidR="00000000" w:rsidRDefault="00000000">
      <w:pPr>
        <w:pStyle w:val="SingleTxt"/>
        <w:rPr>
          <w:lang w:val="en-GB"/>
        </w:rPr>
      </w:pPr>
      <w:r>
        <w:rPr>
          <w:lang w:val="en-GB"/>
        </w:rPr>
        <w:t xml:space="preserve">Josef, Jennifer C. 2003. «From Vegetable Vendors to Wagwageras: Cordillera Women in Baguio City Four Years into the Crisis. In </w:t>
      </w:r>
      <w:r>
        <w:rPr>
          <w:i/>
          <w:lang w:val="en-GB"/>
        </w:rPr>
        <w:t>Carrying the Burden of the World: Women Reflecting on the Effects of the Crisis on Women and Girls</w:t>
      </w:r>
      <w:r>
        <w:rPr>
          <w:lang w:val="en-GB"/>
        </w:rPr>
        <w:t>, edited by Jeanne Frances I. Illo and Rosalinda Pineda Ofreneo. Updated edition. Quezon City: Center for Integrative and Development Studies, University of the Philippines.</w:t>
      </w:r>
    </w:p>
    <w:p w:rsidR="00000000" w:rsidRDefault="00000000">
      <w:pPr>
        <w:pStyle w:val="SingleTxt"/>
        <w:rPr>
          <w:lang w:val="en-GB"/>
        </w:rPr>
      </w:pPr>
      <w:r>
        <w:rPr>
          <w:lang w:val="en-GB"/>
        </w:rPr>
        <w:t>KALAHI Midyear Report 2002.</w:t>
      </w:r>
    </w:p>
    <w:p w:rsidR="00000000" w:rsidRDefault="00000000">
      <w:pPr>
        <w:pStyle w:val="SingleTxt"/>
        <w:rPr>
          <w:spacing w:val="-2"/>
          <w:lang w:val="en-GB"/>
        </w:rPr>
      </w:pPr>
      <w:r>
        <w:rPr>
          <w:spacing w:val="-2"/>
          <w:lang w:val="en-GB"/>
        </w:rPr>
        <w:t>Licuanan, Victoria S. 1998. «Unlocking Doors: Filipino Women in Business.» Makati: Asian Institute of Management.</w:t>
      </w:r>
    </w:p>
    <w:p w:rsidR="00000000" w:rsidRDefault="00000000">
      <w:pPr>
        <w:pStyle w:val="SingleTxt"/>
        <w:rPr>
          <w:lang w:val="en-GB"/>
        </w:rPr>
      </w:pPr>
      <w:r>
        <w:rPr>
          <w:lang w:val="en-GB"/>
        </w:rPr>
        <w:t>Lim, Joseph Y. 2000. «The Effects of the East Asian Crisis on the Employment of Women and Men: The Phili</w:t>
      </w:r>
      <w:r>
        <w:rPr>
          <w:lang w:val="en-GB"/>
        </w:rPr>
        <w:t>p</w:t>
      </w:r>
      <w:r>
        <w:rPr>
          <w:lang w:val="en-GB"/>
        </w:rPr>
        <w:t xml:space="preserve">pine Case.» </w:t>
      </w:r>
      <w:r>
        <w:rPr>
          <w:i/>
          <w:lang w:val="en-GB"/>
        </w:rPr>
        <w:t>World Development</w:t>
      </w:r>
      <w:r>
        <w:rPr>
          <w:lang w:val="en-GB"/>
        </w:rPr>
        <w:t xml:space="preserve"> 28(7):1285-1306.</w:t>
      </w:r>
    </w:p>
    <w:p w:rsidR="00000000" w:rsidRDefault="00000000">
      <w:pPr>
        <w:pStyle w:val="SingleTxt"/>
        <w:rPr>
          <w:lang w:val="en-GB"/>
        </w:rPr>
      </w:pPr>
      <w:r>
        <w:rPr>
          <w:lang w:val="en-GB"/>
        </w:rPr>
        <w:t>Medium-Term Philippine Development Plan (MTPDP), 1987-1992, 1992-1998, 1998-2004, 2001-2004.</w:t>
      </w:r>
    </w:p>
    <w:p w:rsidR="00000000" w:rsidRDefault="00000000">
      <w:pPr>
        <w:pStyle w:val="SingleTxt"/>
        <w:rPr>
          <w:lang w:val="en-GB"/>
        </w:rPr>
      </w:pPr>
      <w:r>
        <w:rPr>
          <w:lang w:val="en-GB"/>
        </w:rPr>
        <w:t>Morada, Hector B and Lani Q. Santos (1998). «Pre-Employment Sex Discrimin</w:t>
      </w:r>
      <w:r>
        <w:rPr>
          <w:lang w:val="en-GB"/>
        </w:rPr>
        <w:t>a</w:t>
      </w:r>
      <w:r>
        <w:rPr>
          <w:lang w:val="en-GB"/>
        </w:rPr>
        <w:t>tion: A Three-Period Compariosn.» Paper presented at the 7</w:t>
      </w:r>
      <w:r>
        <w:rPr>
          <w:vertAlign w:val="superscript"/>
          <w:lang w:val="en-GB"/>
        </w:rPr>
        <w:t>th</w:t>
      </w:r>
      <w:r>
        <w:rPr>
          <w:lang w:val="en-GB"/>
        </w:rPr>
        <w:t xml:space="preserve"> National Convention on Statistics held on 2-4 December at Shangrila EDSA Plaza Hotel, Pasig City.</w:t>
      </w:r>
    </w:p>
    <w:p w:rsidR="00000000" w:rsidRDefault="00000000">
      <w:pPr>
        <w:pStyle w:val="SingleTxt"/>
        <w:rPr>
          <w:lang w:val="en-GB"/>
        </w:rPr>
      </w:pPr>
      <w:r>
        <w:rPr>
          <w:lang w:val="en-GB"/>
        </w:rPr>
        <w:t>Manila Times, Commentary on Human Development, July 27, 2002.</w:t>
      </w:r>
    </w:p>
    <w:p w:rsidR="00000000" w:rsidRDefault="00000000">
      <w:pPr>
        <w:pStyle w:val="SingleTxt"/>
        <w:rPr>
          <w:lang w:val="en-GB"/>
        </w:rPr>
      </w:pPr>
      <w:r>
        <w:rPr>
          <w:lang w:val="en-GB"/>
        </w:rPr>
        <w:t>Manila Times, Commentary on The Reality of displaced women and children, March 12, 2002.</w:t>
      </w:r>
    </w:p>
    <w:p w:rsidR="00000000" w:rsidRDefault="00000000">
      <w:pPr>
        <w:pStyle w:val="SingleTxt"/>
        <w:rPr>
          <w:lang w:val="en-GB"/>
        </w:rPr>
      </w:pPr>
      <w:r>
        <w:rPr>
          <w:lang w:val="en-GB"/>
        </w:rPr>
        <w:t>Media Information Pack, The Impact of Macroeconomic Changes on Women’s Lives, September 1995.</w:t>
      </w:r>
    </w:p>
    <w:p w:rsidR="00000000" w:rsidRDefault="00000000">
      <w:pPr>
        <w:pStyle w:val="SingleTxt"/>
        <w:rPr>
          <w:lang w:val="en-GB"/>
        </w:rPr>
      </w:pPr>
      <w:r>
        <w:rPr>
          <w:lang w:val="en-GB"/>
        </w:rPr>
        <w:t>Medium-Term Philippine Development Plan 2001-2004 (popular version).</w:t>
      </w:r>
    </w:p>
    <w:p w:rsidR="00000000" w:rsidRDefault="00000000">
      <w:pPr>
        <w:pStyle w:val="SingleTxt"/>
        <w:rPr>
          <w:lang w:val="en-GB"/>
        </w:rPr>
      </w:pPr>
      <w:r>
        <w:rPr>
          <w:lang w:val="en-GB"/>
        </w:rPr>
        <w:t>Mexico, Advancing Women’s Economic Interests and Opportunities in the New Economy: Overview Paper; a p</w:t>
      </w:r>
      <w:r>
        <w:rPr>
          <w:lang w:val="en-GB"/>
        </w:rPr>
        <w:t>a</w:t>
      </w:r>
      <w:r>
        <w:rPr>
          <w:lang w:val="en-GB"/>
        </w:rPr>
        <w:t>per</w:t>
      </w:r>
    </w:p>
    <w:p w:rsidR="00000000" w:rsidRDefault="00000000">
      <w:pPr>
        <w:pStyle w:val="SingleTxt"/>
        <w:rPr>
          <w:lang w:val="en-GB"/>
        </w:rPr>
      </w:pPr>
      <w:r>
        <w:rPr>
          <w:lang w:val="en-GB"/>
        </w:rPr>
        <w:t>prepared for the 2</w:t>
      </w:r>
      <w:r>
        <w:rPr>
          <w:vertAlign w:val="superscript"/>
          <w:lang w:val="en-GB"/>
        </w:rPr>
        <w:t>nd</w:t>
      </w:r>
      <w:r>
        <w:rPr>
          <w:lang w:val="en-GB"/>
        </w:rPr>
        <w:t xml:space="preserve"> APEC Ministerial Meeting on Women, 2002, Mexico.</w:t>
      </w:r>
    </w:p>
    <w:p w:rsidR="00000000" w:rsidRDefault="00000000">
      <w:pPr>
        <w:pStyle w:val="SingleTxt"/>
        <w:rPr>
          <w:lang w:val="en-GB"/>
        </w:rPr>
      </w:pPr>
      <w:r>
        <w:rPr>
          <w:lang w:val="en-GB"/>
        </w:rPr>
        <w:t>National Anti-Poverty Commission. Sectoral Assembly Participant’s Reference Documents, 2002.</w:t>
      </w:r>
    </w:p>
    <w:p w:rsidR="00000000" w:rsidRDefault="00000000">
      <w:pPr>
        <w:pStyle w:val="SingleTxt"/>
        <w:rPr>
          <w:lang w:val="en-GB"/>
        </w:rPr>
      </w:pPr>
      <w:r>
        <w:rPr>
          <w:lang w:val="en-GB"/>
        </w:rPr>
        <w:t>National Commission on the Role of Filipino Women (NCRFW). 2002a. «Fram</w:t>
      </w:r>
      <w:r>
        <w:rPr>
          <w:lang w:val="en-GB"/>
        </w:rPr>
        <w:t>e</w:t>
      </w:r>
      <w:r>
        <w:rPr>
          <w:lang w:val="en-GB"/>
        </w:rPr>
        <w:t>work Plan for Women, 2002-2004: A Brochure. Manila: NCRFW.</w:t>
      </w:r>
    </w:p>
    <w:p w:rsidR="00000000" w:rsidRDefault="00000000">
      <w:pPr>
        <w:pStyle w:val="SingleTxt"/>
        <w:rPr>
          <w:lang w:val="en-GB"/>
        </w:rPr>
      </w:pPr>
      <w:r>
        <w:rPr>
          <w:lang w:val="en-GB"/>
        </w:rPr>
        <w:t>__________. 2002b. «Gender Budgeting the Philippine Experience.» Manila: NCRFW.</w:t>
      </w:r>
    </w:p>
    <w:p w:rsidR="00000000" w:rsidRDefault="00000000">
      <w:pPr>
        <w:pStyle w:val="SingleTxt"/>
        <w:rPr>
          <w:lang w:val="en-GB"/>
        </w:rPr>
      </w:pPr>
      <w:r>
        <w:rPr>
          <w:lang w:val="en-GB"/>
        </w:rPr>
        <w:t>__________. 2002c. «Actual Project Outputs of Statistical Agencies Under ISP II, IRD 2002.» Typescript.</w:t>
      </w:r>
    </w:p>
    <w:p w:rsidR="00000000" w:rsidRDefault="00000000">
      <w:pPr>
        <w:pStyle w:val="SingleTxt"/>
        <w:rPr>
          <w:lang w:val="en-GB"/>
        </w:rPr>
      </w:pPr>
      <w:r>
        <w:rPr>
          <w:lang w:val="en-GB"/>
        </w:rPr>
        <w:t>__________. 1995-2002. GAD Budget Reports.» Manila: NCRFW.</w:t>
      </w:r>
    </w:p>
    <w:p w:rsidR="00000000" w:rsidRDefault="00000000">
      <w:pPr>
        <w:pStyle w:val="SingleTxt"/>
        <w:rPr>
          <w:lang w:val="en-GB"/>
        </w:rPr>
      </w:pPr>
      <w:r>
        <w:rPr>
          <w:lang w:val="en-GB"/>
        </w:rPr>
        <w:t>__________. 2001. «Gender and Development Codes.» Manila: NCRFW.</w:t>
      </w:r>
    </w:p>
    <w:p w:rsidR="00000000" w:rsidRDefault="00000000">
      <w:pPr>
        <w:pStyle w:val="SingleTxt"/>
        <w:rPr>
          <w:lang w:val="en-GB"/>
        </w:rPr>
      </w:pPr>
      <w:r>
        <w:rPr>
          <w:lang w:val="en-GB"/>
        </w:rPr>
        <w:t xml:space="preserve">National Commission on the Role of Filipino Women (NCRFW). 2000a. </w:t>
      </w:r>
      <w:r>
        <w:rPr>
          <w:i/>
          <w:lang w:val="en-GB"/>
        </w:rPr>
        <w:t>Compil</w:t>
      </w:r>
      <w:r>
        <w:rPr>
          <w:i/>
          <w:lang w:val="en-GB"/>
        </w:rPr>
        <w:t>a</w:t>
      </w:r>
      <w:r>
        <w:rPr>
          <w:i/>
          <w:lang w:val="en-GB"/>
        </w:rPr>
        <w:t>tion of Laws on Women</w:t>
      </w:r>
      <w:r>
        <w:rPr>
          <w:lang w:val="en-GB"/>
        </w:rPr>
        <w:t>. Manila: NCRFW.</w:t>
      </w:r>
    </w:p>
    <w:p w:rsidR="00000000" w:rsidRDefault="00000000">
      <w:pPr>
        <w:pStyle w:val="SingleTxt"/>
        <w:rPr>
          <w:lang w:val="en-GB"/>
        </w:rPr>
      </w:pPr>
      <w:r>
        <w:rPr>
          <w:lang w:val="en-GB"/>
        </w:rPr>
        <w:t>__________. 2000b. «Country Report on the Implementation of the Beijing Pla</w:t>
      </w:r>
      <w:r>
        <w:rPr>
          <w:lang w:val="en-GB"/>
        </w:rPr>
        <w:t>t</w:t>
      </w:r>
      <w:r>
        <w:rPr>
          <w:lang w:val="en-GB"/>
        </w:rPr>
        <w:t>form for Action, 1995-2000.»</w:t>
      </w:r>
    </w:p>
    <w:p w:rsidR="00000000" w:rsidRDefault="00000000">
      <w:pPr>
        <w:pStyle w:val="SingleTxt"/>
        <w:rPr>
          <w:lang w:val="en-GB"/>
        </w:rPr>
      </w:pPr>
      <w:r>
        <w:rPr>
          <w:lang w:val="en-GB"/>
        </w:rPr>
        <w:t>NCRFW. Filipino Women Facts and Figures, March 2002.</w:t>
      </w:r>
    </w:p>
    <w:p w:rsidR="00000000" w:rsidRDefault="00000000">
      <w:pPr>
        <w:pStyle w:val="SingleTxt"/>
        <w:rPr>
          <w:lang w:val="en-GB"/>
        </w:rPr>
      </w:pPr>
      <w:r>
        <w:rPr>
          <w:lang w:val="en-GB"/>
        </w:rPr>
        <w:t>NCRFW, Factsheets, October 2002.</w:t>
      </w:r>
    </w:p>
    <w:p w:rsidR="00000000" w:rsidRDefault="00000000">
      <w:pPr>
        <w:pStyle w:val="SingleTxt"/>
        <w:rPr>
          <w:lang w:val="en-GB"/>
        </w:rPr>
      </w:pPr>
      <w:r>
        <w:rPr>
          <w:lang w:val="en-GB"/>
        </w:rPr>
        <w:t>NCRFW. Economic Costs of Violence Against Women.</w:t>
      </w:r>
    </w:p>
    <w:p w:rsidR="00000000" w:rsidRDefault="00000000">
      <w:pPr>
        <w:pStyle w:val="SingleTxt"/>
        <w:rPr>
          <w:lang w:val="en-GB"/>
        </w:rPr>
      </w:pPr>
      <w:r>
        <w:rPr>
          <w:lang w:val="en-GB"/>
        </w:rPr>
        <w:t>NCRFW, State of Filipino Women Report 2001: Under GMA, women fared well in health,</w:t>
      </w:r>
    </w:p>
    <w:p w:rsidR="00000000" w:rsidRDefault="00000000">
      <w:pPr>
        <w:pStyle w:val="SingleTxt"/>
        <w:rPr>
          <w:lang w:val="en-GB"/>
        </w:rPr>
      </w:pPr>
      <w:r>
        <w:rPr>
          <w:lang w:val="en-GB"/>
        </w:rPr>
        <w:t>education and politics.</w:t>
      </w:r>
    </w:p>
    <w:p w:rsidR="00000000" w:rsidRDefault="00000000">
      <w:pPr>
        <w:pStyle w:val="SingleTxt"/>
        <w:rPr>
          <w:lang w:val="en-GB"/>
        </w:rPr>
      </w:pPr>
      <w:r>
        <w:rPr>
          <w:lang w:val="en-GB"/>
        </w:rPr>
        <w:t xml:space="preserve">NCRFW. 1995. </w:t>
      </w:r>
      <w:r>
        <w:rPr>
          <w:i/>
          <w:lang w:val="en-GB"/>
        </w:rPr>
        <w:t>The Philippine Plan for Gender-Responsive Development, 1995-2025</w:t>
      </w:r>
      <w:r>
        <w:rPr>
          <w:lang w:val="en-GB"/>
        </w:rPr>
        <w:t>. Manila: NEDA and NCRFW.</w:t>
      </w:r>
    </w:p>
    <w:p w:rsidR="00000000" w:rsidRDefault="00000000">
      <w:pPr>
        <w:pStyle w:val="SingleTxt"/>
        <w:rPr>
          <w:lang w:val="en-GB"/>
        </w:rPr>
      </w:pPr>
      <w:r>
        <w:rPr>
          <w:lang w:val="en-GB"/>
        </w:rPr>
        <w:t xml:space="preserve">__________. 1989. </w:t>
      </w:r>
      <w:r>
        <w:rPr>
          <w:i/>
          <w:lang w:val="en-GB"/>
        </w:rPr>
        <w:t>Philippine Development Plan for Women, 1989-1992</w:t>
      </w:r>
      <w:r>
        <w:rPr>
          <w:lang w:val="en-GB"/>
        </w:rPr>
        <w:t>. Manila: NEDA and NCRFW.</w:t>
      </w:r>
    </w:p>
    <w:p w:rsidR="00000000" w:rsidRDefault="00000000">
      <w:pPr>
        <w:pStyle w:val="SingleTxt"/>
        <w:rPr>
          <w:lang w:val="en-GB"/>
        </w:rPr>
      </w:pPr>
      <w:r>
        <w:rPr>
          <w:lang w:val="en-GB"/>
        </w:rPr>
        <w:t xml:space="preserve">National Statistical Coordination Board (NSCB). 2003a. «Statistics: Public Order, Safety and Justice.» </w:t>
      </w:r>
      <w:hyperlink r:id="rId17" w:history="1">
        <w:r>
          <w:rPr>
            <w:rStyle w:val="Normal"/>
            <w:lang w:val="en-GB"/>
          </w:rPr>
          <w:t>http://www.nscb.gov.ph</w:t>
        </w:r>
      </w:hyperlink>
      <w:r>
        <w:rPr>
          <w:lang w:val="en-GB"/>
        </w:rPr>
        <w:t xml:space="preserve"> Accessed 29 July.</w:t>
      </w:r>
    </w:p>
    <w:p w:rsidR="00000000" w:rsidRDefault="00000000">
      <w:pPr>
        <w:pStyle w:val="SingleTxt"/>
        <w:rPr>
          <w:lang w:val="en-GB"/>
        </w:rPr>
      </w:pPr>
      <w:r>
        <w:rPr>
          <w:lang w:val="en-GB"/>
        </w:rPr>
        <w:t xml:space="preserve">__________. 2003b. «StatWatch.» </w:t>
      </w:r>
      <w:hyperlink r:id="rId18" w:history="1">
        <w:r>
          <w:rPr>
            <w:rStyle w:val="Normal"/>
            <w:lang w:val="en-GB"/>
          </w:rPr>
          <w:t>http://www.nscb.gov.ph/stats/statwatch.asp</w:t>
        </w:r>
      </w:hyperlink>
      <w:r>
        <w:rPr>
          <w:lang w:val="en-GB"/>
        </w:rPr>
        <w:t>. U</w:t>
      </w:r>
      <w:r>
        <w:rPr>
          <w:lang w:val="en-GB"/>
        </w:rPr>
        <w:t>p</w:t>
      </w:r>
      <w:r>
        <w:rPr>
          <w:lang w:val="en-GB"/>
        </w:rPr>
        <w:t>dated 7 July.</w:t>
      </w:r>
    </w:p>
    <w:p w:rsidR="00000000" w:rsidRDefault="00000000">
      <w:pPr>
        <w:pStyle w:val="SingleTxt"/>
        <w:rPr>
          <w:lang w:val="en-GB"/>
        </w:rPr>
      </w:pPr>
      <w:r>
        <w:rPr>
          <w:lang w:val="en-GB"/>
        </w:rPr>
        <w:t xml:space="preserve">__________. 2003c. «Women and Men in the Philippines: Statistics on Women and Men in the Philippines.» </w:t>
      </w:r>
      <w:hyperlink r:id="rId19" w:history="1">
        <w:r>
          <w:rPr>
            <w:rStyle w:val="Normal"/>
          </w:rPr>
          <w:t>http:/</w:t>
        </w:r>
        <w:r>
          <w:rPr>
            <w:rStyle w:val="Normal"/>
          </w:rPr>
          <w:t>/</w:t>
        </w:r>
        <w:r>
          <w:rPr>
            <w:rStyle w:val="Normal"/>
          </w:rPr>
          <w:t>www.nscb.gov.ph/</w:t>
        </w:r>
        <w:r>
          <w:rPr>
            <w:rStyle w:val="Normal"/>
          </w:rPr>
          <w:t>s</w:t>
        </w:r>
        <w:r>
          <w:rPr>
            <w:rStyle w:val="Normal"/>
          </w:rPr>
          <w:t>tats/</w:t>
        </w:r>
        <w:r>
          <w:rPr>
            <w:rStyle w:val="Normal"/>
          </w:rPr>
          <w:t>w</w:t>
        </w:r>
        <w:r>
          <w:rPr>
            <w:rStyle w:val="Normal"/>
          </w:rPr>
          <w:t>mfa</w:t>
        </w:r>
        <w:r>
          <w:rPr>
            <w:rStyle w:val="Normal"/>
          </w:rPr>
          <w:t>c</w:t>
        </w:r>
        <w:r>
          <w:rPr>
            <w:rStyle w:val="Normal"/>
          </w:rPr>
          <w:t>t.asp</w:t>
        </w:r>
      </w:hyperlink>
      <w:r>
        <w:t xml:space="preserve">. </w:t>
      </w:r>
      <w:r>
        <w:rPr>
          <w:lang w:val="en-GB"/>
        </w:rPr>
        <w:t>Accessed 13 August.</w:t>
      </w:r>
    </w:p>
    <w:p w:rsidR="00000000" w:rsidRDefault="00000000">
      <w:pPr>
        <w:pStyle w:val="SingleTxt"/>
        <w:rPr>
          <w:lang w:val="en-GB"/>
        </w:rPr>
      </w:pPr>
      <w:r>
        <w:rPr>
          <w:lang w:val="en-GB"/>
        </w:rPr>
        <w:t>__________. 1995. «Final Report of the TWG on Maternal and Child Mortality.» Typ</w:t>
      </w:r>
      <w:r>
        <w:rPr>
          <w:lang w:val="en-GB"/>
        </w:rPr>
        <w:t>e</w:t>
      </w:r>
      <w:r>
        <w:rPr>
          <w:lang w:val="en-GB"/>
        </w:rPr>
        <w:t>script.</w:t>
      </w:r>
    </w:p>
    <w:p w:rsidR="00000000" w:rsidRDefault="00000000">
      <w:pPr>
        <w:pStyle w:val="SingleTxt"/>
        <w:rPr>
          <w:lang w:val="en-GB"/>
        </w:rPr>
      </w:pPr>
      <w:r>
        <w:rPr>
          <w:lang w:val="en-GB"/>
        </w:rPr>
        <w:t>NSCB. 2001 Statistical Handbook on Violence Against Women</w:t>
      </w:r>
    </w:p>
    <w:p w:rsidR="00000000" w:rsidRDefault="00000000">
      <w:pPr>
        <w:pStyle w:val="SingleTxt"/>
        <w:rPr>
          <w:lang w:val="en-GB"/>
        </w:rPr>
      </w:pPr>
      <w:r>
        <w:rPr>
          <w:lang w:val="en-GB"/>
        </w:rPr>
        <w:t>NSCB. Handbook on Women and Men in the Philippines, 1999.</w:t>
      </w:r>
    </w:p>
    <w:p w:rsidR="00000000" w:rsidRDefault="00000000">
      <w:pPr>
        <w:pStyle w:val="SingleTxt"/>
        <w:rPr>
          <w:lang w:val="en-GB"/>
        </w:rPr>
      </w:pPr>
      <w:r>
        <w:rPr>
          <w:lang w:val="en-GB"/>
        </w:rPr>
        <w:t>NSCB. Philippine Poverty Statistics: 2000 Preliminary Results, Sept. 2001.</w:t>
      </w:r>
    </w:p>
    <w:p w:rsidR="00000000" w:rsidRDefault="00000000">
      <w:pPr>
        <w:pStyle w:val="SingleTxt"/>
        <w:rPr>
          <w:lang w:val="en-GB"/>
        </w:rPr>
      </w:pPr>
      <w:r>
        <w:rPr>
          <w:lang w:val="en-GB"/>
        </w:rPr>
        <w:t>NSCB. Final Report of the TWG on Maternal and Child Mortality, 1995.</w:t>
      </w:r>
    </w:p>
    <w:p w:rsidR="00000000" w:rsidRDefault="00000000">
      <w:pPr>
        <w:pStyle w:val="SingleTxt"/>
        <w:rPr>
          <w:lang w:val="en-GB"/>
        </w:rPr>
      </w:pPr>
      <w:r>
        <w:rPr>
          <w:lang w:val="en-GB"/>
        </w:rPr>
        <w:t>NSCB. Development of Framework for Measuring Women and Men’s Contribution to the</w:t>
      </w:r>
    </w:p>
    <w:p w:rsidR="00000000" w:rsidRDefault="00000000">
      <w:pPr>
        <w:pStyle w:val="SingleTxt"/>
        <w:rPr>
          <w:lang w:val="en-GB"/>
        </w:rPr>
      </w:pPr>
      <w:r>
        <w:rPr>
          <w:lang w:val="en-GB"/>
        </w:rPr>
        <w:t>Economy.</w:t>
      </w:r>
    </w:p>
    <w:p w:rsidR="00000000" w:rsidRDefault="00000000">
      <w:pPr>
        <w:pStyle w:val="SingleTxt"/>
        <w:rPr>
          <w:lang w:val="en-GB"/>
        </w:rPr>
      </w:pPr>
      <w:r>
        <w:rPr>
          <w:lang w:val="en-GB"/>
        </w:rPr>
        <w:t>NSCB. Statistics Series, September 2002.</w:t>
      </w:r>
    </w:p>
    <w:p w:rsidR="00000000" w:rsidRDefault="00000000">
      <w:pPr>
        <w:pStyle w:val="SingleTxt"/>
        <w:rPr>
          <w:lang w:val="en-GB"/>
        </w:rPr>
      </w:pPr>
      <w:r>
        <w:rPr>
          <w:lang w:val="en-GB"/>
        </w:rPr>
        <w:t>National Statistics Office (NSO). 2003a. «Poverty incidences of population by r</w:t>
      </w:r>
      <w:r>
        <w:rPr>
          <w:lang w:val="en-GB"/>
        </w:rPr>
        <w:t>e</w:t>
      </w:r>
      <w:r>
        <w:rPr>
          <w:lang w:val="en-GB"/>
        </w:rPr>
        <w:t xml:space="preserve">gion, urban-rural, 1994, 1997, 2000.» </w:t>
      </w:r>
      <w:hyperlink r:id="rId20" w:history="1">
        <w:r>
          <w:rPr>
            <w:rStyle w:val="Normal"/>
          </w:rPr>
          <w:t>http://www.census.gov.ph</w:t>
        </w:r>
      </w:hyperlink>
      <w:r>
        <w:t xml:space="preserve">. </w:t>
      </w:r>
      <w:r>
        <w:rPr>
          <w:lang w:val="en-GB"/>
        </w:rPr>
        <w:t>Accessed 18 July.</w:t>
      </w:r>
    </w:p>
    <w:p w:rsidR="00000000" w:rsidRDefault="00000000">
      <w:pPr>
        <w:pStyle w:val="SingleTxt"/>
        <w:rPr>
          <w:lang w:val="en-GB"/>
        </w:rPr>
      </w:pPr>
      <w:r>
        <w:rPr>
          <w:lang w:val="en-GB"/>
        </w:rPr>
        <w:t xml:space="preserve">__________. 2003b. «Number of overseas Filipino workers, by region and sex, various years. (Based on the NSO Surveys of Overseas Filipinos). </w:t>
      </w:r>
      <w:hyperlink r:id="rId21" w:history="1">
        <w:r>
          <w:rPr>
            <w:rStyle w:val="Normal"/>
          </w:rPr>
          <w:t>http://www.census.gov.ph</w:t>
        </w:r>
      </w:hyperlink>
      <w:r>
        <w:t xml:space="preserve">. </w:t>
      </w:r>
      <w:r>
        <w:rPr>
          <w:lang w:val="en-GB"/>
        </w:rPr>
        <w:t>Accessed 20 July.</w:t>
      </w:r>
    </w:p>
    <w:p w:rsidR="00000000" w:rsidRDefault="00000000">
      <w:pPr>
        <w:pStyle w:val="SingleTxt"/>
        <w:rPr>
          <w:lang w:val="en-GB"/>
        </w:rPr>
      </w:pPr>
      <w:r>
        <w:rPr>
          <w:lang w:val="en-GB"/>
        </w:rPr>
        <w:t xml:space="preserve">__________. 2003c. «Labor force statistics tables,» various years. </w:t>
      </w:r>
      <w:hyperlink r:id="rId22" w:history="1">
        <w:r>
          <w:rPr>
            <w:rStyle w:val="Normal"/>
          </w:rPr>
          <w:t>http://www.census.gov.ph</w:t>
        </w:r>
      </w:hyperlink>
      <w:r>
        <w:t xml:space="preserve">. </w:t>
      </w:r>
      <w:r>
        <w:rPr>
          <w:lang w:val="en-GB"/>
        </w:rPr>
        <w:t>Accessed 20 July.</w:t>
      </w:r>
    </w:p>
    <w:p w:rsidR="00000000" w:rsidRDefault="00000000">
      <w:pPr>
        <w:pStyle w:val="SingleTxt"/>
        <w:rPr>
          <w:spacing w:val="-2"/>
          <w:lang w:val="en-GB"/>
        </w:rPr>
      </w:pPr>
      <w:r>
        <w:rPr>
          <w:spacing w:val="-2"/>
          <w:lang w:val="en-GB"/>
        </w:rPr>
        <w:t>__________. 2003d. «Annual Poverty Indicators Survey (APIS), July 2002 (Preliminary Results).» Date released, 8 Jan</w:t>
      </w:r>
      <w:r>
        <w:rPr>
          <w:spacing w:val="-2"/>
          <w:lang w:val="en-GB"/>
        </w:rPr>
        <w:t>u</w:t>
      </w:r>
      <w:r>
        <w:rPr>
          <w:spacing w:val="-2"/>
          <w:lang w:val="en-GB"/>
        </w:rPr>
        <w:t xml:space="preserve">ary 2003. </w:t>
      </w:r>
      <w:hyperlink r:id="rId23" w:history="1">
        <w:r>
          <w:rPr>
            <w:rStyle w:val="Normal"/>
            <w:spacing w:val="-2"/>
          </w:rPr>
          <w:t>http://www.census.gov.ph</w:t>
        </w:r>
      </w:hyperlink>
      <w:r>
        <w:rPr>
          <w:spacing w:val="-2"/>
        </w:rPr>
        <w:t xml:space="preserve">. </w:t>
      </w:r>
      <w:r>
        <w:rPr>
          <w:spacing w:val="-2"/>
          <w:lang w:val="en-GB"/>
        </w:rPr>
        <w:t>Accessed 4 August.</w:t>
      </w:r>
    </w:p>
    <w:p w:rsidR="00000000" w:rsidRDefault="00000000">
      <w:pPr>
        <w:pStyle w:val="SingleTxt"/>
        <w:rPr>
          <w:lang w:val="en-GB"/>
        </w:rPr>
      </w:pPr>
      <w:r>
        <w:rPr>
          <w:lang w:val="en-GB"/>
        </w:rPr>
        <w:t xml:space="preserve">__________. 2003e. Family Planning Statistics Tables, 1997, 2000, 2001, 2002. </w:t>
      </w:r>
      <w:hyperlink r:id="rId24" w:history="1">
        <w:r>
          <w:rPr>
            <w:rStyle w:val="Normal"/>
          </w:rPr>
          <w:t>http://www.census.gov.ph</w:t>
        </w:r>
      </w:hyperlink>
      <w:r>
        <w:t xml:space="preserve">. </w:t>
      </w:r>
      <w:r>
        <w:rPr>
          <w:lang w:val="en-GB"/>
        </w:rPr>
        <w:t>A</w:t>
      </w:r>
      <w:r>
        <w:rPr>
          <w:lang w:val="en-GB"/>
        </w:rPr>
        <w:t>c</w:t>
      </w:r>
      <w:r>
        <w:rPr>
          <w:lang w:val="en-GB"/>
        </w:rPr>
        <w:t>cessed 4 August.</w:t>
      </w:r>
    </w:p>
    <w:p w:rsidR="00000000" w:rsidRDefault="00000000">
      <w:pPr>
        <w:pStyle w:val="SingleTxt"/>
        <w:rPr>
          <w:lang w:val="en-GB"/>
        </w:rPr>
      </w:pPr>
      <w:r>
        <w:rPr>
          <w:lang w:val="en-GB"/>
        </w:rPr>
        <w:t xml:space="preserve">__________. 2003f. «Pills, female sterilization are leading family planning methods (Final Results from the 2002 Family Planning Survey).» 2003 Press Release. </w:t>
      </w:r>
      <w:hyperlink r:id="rId25" w:history="1">
        <w:r>
          <w:rPr>
            <w:rStyle w:val="Normal"/>
            <w:lang w:val="en-GB"/>
          </w:rPr>
          <w:t>http://www.census.gov.ph</w:t>
        </w:r>
      </w:hyperlink>
      <w:r>
        <w:rPr>
          <w:lang w:val="en-GB"/>
        </w:rPr>
        <w:t>. Accessed 20 July.</w:t>
      </w:r>
    </w:p>
    <w:p w:rsidR="00000000" w:rsidRDefault="00000000">
      <w:pPr>
        <w:pStyle w:val="SingleTxt"/>
        <w:rPr>
          <w:lang w:val="en-GB"/>
        </w:rPr>
      </w:pPr>
      <w:r>
        <w:rPr>
          <w:lang w:val="en-GB"/>
        </w:rPr>
        <w:t xml:space="preserve">__________. 2003g. «Use of modern methods up in most regions (Final Results from the 2002 Family Planning Survey.» 2003 Press Release. </w:t>
      </w:r>
      <w:hyperlink r:id="rId26" w:history="1">
        <w:r>
          <w:rPr>
            <w:rStyle w:val="Normal"/>
            <w:lang w:val="en-GB"/>
          </w:rPr>
          <w:t>http://www.census.gov.ph</w:t>
        </w:r>
      </w:hyperlink>
      <w:r>
        <w:rPr>
          <w:lang w:val="en-GB"/>
        </w:rPr>
        <w:t>. Accessed 29 July.</w:t>
      </w:r>
    </w:p>
    <w:p w:rsidR="00000000" w:rsidRDefault="00000000">
      <w:pPr>
        <w:pStyle w:val="SingleTxt"/>
        <w:rPr>
          <w:lang w:val="en-GB"/>
        </w:rPr>
      </w:pPr>
      <w:r>
        <w:rPr>
          <w:lang w:val="en-GB"/>
        </w:rPr>
        <w:t>__________. 2003h. «Gender Quickstat (An Update of NSO’s Most Requested Sex-disaggregated Statistics). As of 2</w:t>
      </w:r>
      <w:r>
        <w:rPr>
          <w:vertAlign w:val="superscript"/>
          <w:lang w:val="en-GB"/>
        </w:rPr>
        <w:t>nd</w:t>
      </w:r>
      <w:r>
        <w:rPr>
          <w:lang w:val="en-GB"/>
        </w:rPr>
        <w:t xml:space="preserve"> Quarter 2003. </w:t>
      </w:r>
      <w:hyperlink r:id="rId27" w:history="1">
        <w:r>
          <w:rPr>
            <w:rStyle w:val="Normal"/>
          </w:rPr>
          <w:t>http://www.census.gov.ph</w:t>
        </w:r>
      </w:hyperlink>
      <w:r>
        <w:t xml:space="preserve">. </w:t>
      </w:r>
      <w:r>
        <w:rPr>
          <w:lang w:val="en-GB"/>
        </w:rPr>
        <w:t>A</w:t>
      </w:r>
      <w:r>
        <w:rPr>
          <w:lang w:val="en-GB"/>
        </w:rPr>
        <w:t>c</w:t>
      </w:r>
      <w:r>
        <w:rPr>
          <w:lang w:val="en-GB"/>
        </w:rPr>
        <w:t>cessed 23 July.</w:t>
      </w:r>
    </w:p>
    <w:p w:rsidR="00000000" w:rsidRDefault="00000000">
      <w:pPr>
        <w:pStyle w:val="SingleTxt"/>
        <w:rPr>
          <w:lang w:val="en-GB"/>
        </w:rPr>
      </w:pPr>
      <w:r>
        <w:rPr>
          <w:lang w:val="en-GB"/>
        </w:rPr>
        <w:t xml:space="preserve">__________. 2002. </w:t>
      </w:r>
      <w:r>
        <w:rPr>
          <w:i/>
          <w:lang w:val="en-GB"/>
        </w:rPr>
        <w:t>2002 Philippine Yearbook</w:t>
      </w:r>
      <w:r>
        <w:rPr>
          <w:lang w:val="en-GB"/>
        </w:rPr>
        <w:t>. Manila: NSO</w:t>
      </w:r>
    </w:p>
    <w:p w:rsidR="00000000" w:rsidRDefault="00000000">
      <w:pPr>
        <w:pStyle w:val="SingleTxt"/>
        <w:rPr>
          <w:lang w:val="en-GB"/>
        </w:rPr>
      </w:pPr>
      <w:r>
        <w:rPr>
          <w:lang w:val="en-GB"/>
        </w:rPr>
        <w:t>__________. 2000. Census of Population 2000. Manila, NSO.</w:t>
      </w:r>
    </w:p>
    <w:p w:rsidR="00000000" w:rsidRDefault="00000000">
      <w:pPr>
        <w:pStyle w:val="SingleTxt"/>
        <w:rPr>
          <w:lang w:val="en-GB"/>
        </w:rPr>
      </w:pPr>
      <w:r>
        <w:rPr>
          <w:lang w:val="en-GB"/>
        </w:rPr>
        <w:t>__________. 1999a. Functional Literacy and Education and Mass Media Survey, 1994. Manila: NSO.</w:t>
      </w:r>
    </w:p>
    <w:p w:rsidR="00000000" w:rsidRDefault="00000000">
      <w:pPr>
        <w:pStyle w:val="SingleTxt"/>
        <w:rPr>
          <w:lang w:val="en-GB"/>
        </w:rPr>
      </w:pPr>
      <w:r>
        <w:rPr>
          <w:lang w:val="en-GB"/>
        </w:rPr>
        <w:t xml:space="preserve">__________. 1999b. </w:t>
      </w:r>
      <w:r>
        <w:rPr>
          <w:i/>
          <w:lang w:val="en-GB"/>
        </w:rPr>
        <w:t>1999 Philippine Yearbook</w:t>
      </w:r>
      <w:r>
        <w:rPr>
          <w:lang w:val="en-GB"/>
        </w:rPr>
        <w:t>. Manila: NSO</w:t>
      </w:r>
    </w:p>
    <w:p w:rsidR="00000000" w:rsidRDefault="00000000">
      <w:pPr>
        <w:pStyle w:val="SingleTxt"/>
        <w:rPr>
          <w:lang w:val="en-GB"/>
        </w:rPr>
      </w:pPr>
      <w:r>
        <w:rPr>
          <w:lang w:val="en-GB"/>
        </w:rPr>
        <w:t>__________. 1998. National Demographic and Health Survey. Manila: NSO.</w:t>
      </w:r>
    </w:p>
    <w:p w:rsidR="00000000" w:rsidRDefault="00000000">
      <w:pPr>
        <w:pStyle w:val="SingleTxt"/>
        <w:rPr>
          <w:lang w:val="en-GB"/>
        </w:rPr>
      </w:pPr>
      <w:r>
        <w:rPr>
          <w:lang w:val="en-GB"/>
        </w:rPr>
        <w:t>__________. 1997. Philippine Health Statistics. Manila: NSO.</w:t>
      </w:r>
    </w:p>
    <w:p w:rsidR="00000000" w:rsidRDefault="00000000">
      <w:pPr>
        <w:pStyle w:val="SingleTxt"/>
        <w:rPr>
          <w:lang w:val="en-GB"/>
        </w:rPr>
      </w:pPr>
      <w:r>
        <w:rPr>
          <w:lang w:val="en-GB"/>
        </w:rPr>
        <w:t>__________. 1995. Census of Population 1995. Manila: NSO.</w:t>
      </w:r>
    </w:p>
    <w:p w:rsidR="00000000" w:rsidRDefault="00000000">
      <w:pPr>
        <w:pStyle w:val="SingleTxt"/>
        <w:rPr>
          <w:lang w:val="en-GB"/>
        </w:rPr>
      </w:pPr>
      <w:r>
        <w:rPr>
          <w:lang w:val="en-GB"/>
        </w:rPr>
        <w:t>NSO, Census of Population, 1995.</w:t>
      </w:r>
    </w:p>
    <w:p w:rsidR="00000000" w:rsidRDefault="00000000">
      <w:pPr>
        <w:pStyle w:val="SingleTxt"/>
        <w:rPr>
          <w:lang w:val="en-GB"/>
        </w:rPr>
      </w:pPr>
      <w:r>
        <w:rPr>
          <w:lang w:val="en-GB"/>
        </w:rPr>
        <w:t>NSO. National Demographic and Health Survey, 1998.</w:t>
      </w:r>
    </w:p>
    <w:p w:rsidR="00000000" w:rsidRDefault="00000000">
      <w:pPr>
        <w:pStyle w:val="SingleTxt"/>
        <w:rPr>
          <w:lang w:val="en-GB"/>
        </w:rPr>
      </w:pPr>
      <w:r>
        <w:rPr>
          <w:lang w:val="en-GB"/>
        </w:rPr>
        <w:t>NSO. October Integrated Survey of Households Bulletin, 1995-2000.</w:t>
      </w:r>
    </w:p>
    <w:p w:rsidR="00000000" w:rsidRDefault="00000000">
      <w:pPr>
        <w:pStyle w:val="SingleTxt"/>
        <w:rPr>
          <w:lang w:val="en-GB"/>
        </w:rPr>
      </w:pPr>
      <w:r>
        <w:rPr>
          <w:lang w:val="en-GB"/>
        </w:rPr>
        <w:t>NSO. July Integrated Survey of Households Bulletin, 2001.</w:t>
      </w:r>
    </w:p>
    <w:p w:rsidR="00000000" w:rsidRDefault="00000000">
      <w:pPr>
        <w:pStyle w:val="SingleTxt"/>
        <w:rPr>
          <w:lang w:val="en-GB"/>
        </w:rPr>
      </w:pPr>
      <w:r>
        <w:rPr>
          <w:lang w:val="en-GB"/>
        </w:rPr>
        <w:t>NSO. Conduct of Pilot Time Survey in the Philippines.</w:t>
      </w:r>
    </w:p>
    <w:p w:rsidR="00000000" w:rsidRDefault="00000000">
      <w:pPr>
        <w:pStyle w:val="SingleTxt"/>
        <w:rPr>
          <w:lang w:val="en-GB"/>
        </w:rPr>
      </w:pPr>
      <w:r>
        <w:rPr>
          <w:lang w:val="en-GB"/>
        </w:rPr>
        <w:t>NSO. Family Planning Survey, 2001.</w:t>
      </w:r>
    </w:p>
    <w:p w:rsidR="00000000" w:rsidRDefault="00000000">
      <w:pPr>
        <w:pStyle w:val="SingleTxt"/>
        <w:rPr>
          <w:lang w:val="en-GB"/>
        </w:rPr>
      </w:pPr>
      <w:r>
        <w:rPr>
          <w:lang w:val="en-GB"/>
        </w:rPr>
        <w:t>NSO. Urban Informal Sector Survey, 1995.</w:t>
      </w:r>
    </w:p>
    <w:p w:rsidR="00000000" w:rsidRDefault="00000000">
      <w:pPr>
        <w:pStyle w:val="SingleTxt"/>
        <w:rPr>
          <w:lang w:val="en-GB"/>
        </w:rPr>
      </w:pPr>
      <w:r>
        <w:rPr>
          <w:lang w:val="en-GB"/>
        </w:rPr>
        <w:t>OSHC. Lead and Female Workers in the Semiconductor Industry, 1996.</w:t>
      </w:r>
    </w:p>
    <w:p w:rsidR="00000000" w:rsidRDefault="00000000">
      <w:pPr>
        <w:pStyle w:val="SingleTxt"/>
        <w:rPr>
          <w:lang w:val="en-GB"/>
        </w:rPr>
      </w:pPr>
      <w:r>
        <w:rPr>
          <w:lang w:val="en-GB"/>
        </w:rPr>
        <w:t>OSHC. Study on the Health of Public School Teachers (Phase 1), 1997.</w:t>
      </w:r>
    </w:p>
    <w:p w:rsidR="00000000" w:rsidRDefault="00000000">
      <w:pPr>
        <w:pStyle w:val="SingleTxt"/>
        <w:rPr>
          <w:lang w:val="en-GB"/>
        </w:rPr>
      </w:pPr>
      <w:r>
        <w:rPr>
          <w:lang w:val="en-GB"/>
        </w:rPr>
        <w:t>OSHC. Multiple Burden Among Government Women Workers, 1999.</w:t>
      </w:r>
    </w:p>
    <w:p w:rsidR="00000000" w:rsidRDefault="00000000">
      <w:pPr>
        <w:pStyle w:val="SingleTxt"/>
        <w:rPr>
          <w:lang w:val="en-GB"/>
        </w:rPr>
      </w:pPr>
      <w:r>
        <w:rPr>
          <w:lang w:val="en-GB"/>
        </w:rPr>
        <w:t>OSCH. Health Status of Women Workers Exposed to Organic Solvents in Selected Semiconductor and</w:t>
      </w:r>
    </w:p>
    <w:p w:rsidR="00000000" w:rsidRDefault="00000000">
      <w:pPr>
        <w:pStyle w:val="SingleTxt"/>
        <w:rPr>
          <w:lang w:val="en-GB"/>
        </w:rPr>
      </w:pPr>
      <w:r>
        <w:rPr>
          <w:lang w:val="en-GB"/>
        </w:rPr>
        <w:t>Microelectronics Companies in the Philippines, 2001.</w:t>
      </w:r>
    </w:p>
    <w:p w:rsidR="00000000" w:rsidRDefault="00000000">
      <w:pPr>
        <w:pStyle w:val="SingleTxt"/>
        <w:rPr>
          <w:lang w:val="en-GB"/>
        </w:rPr>
      </w:pPr>
      <w:r>
        <w:rPr>
          <w:lang w:val="en-GB"/>
        </w:rPr>
        <w:t>OSHC. Comparison of Health and Well-Being of Females Working in Day and Nigh Shift, 2001.</w:t>
      </w:r>
    </w:p>
    <w:p w:rsidR="00000000" w:rsidRDefault="00000000">
      <w:pPr>
        <w:pStyle w:val="SingleTxt"/>
        <w:rPr>
          <w:lang w:val="en-GB"/>
        </w:rPr>
      </w:pPr>
      <w:r>
        <w:rPr>
          <w:lang w:val="en-GB"/>
        </w:rPr>
        <w:t>Occupational Safety and Health Center (OSHC). 2001a. «Health Status of Women Workers Exposed to Organic Solvents in Selected Semiconductor and Microele</w:t>
      </w:r>
      <w:r>
        <w:rPr>
          <w:lang w:val="en-GB"/>
        </w:rPr>
        <w:t>c</w:t>
      </w:r>
      <w:r>
        <w:rPr>
          <w:lang w:val="en-GB"/>
        </w:rPr>
        <w:t>tronics Companies in the Philippines.» Quezon City: OSHC, Department of Labor and Employment.</w:t>
      </w:r>
    </w:p>
    <w:p w:rsidR="00000000" w:rsidRDefault="00000000">
      <w:pPr>
        <w:pStyle w:val="SingleTxt"/>
        <w:rPr>
          <w:lang w:val="en-GB"/>
        </w:rPr>
      </w:pPr>
      <w:r>
        <w:rPr>
          <w:lang w:val="en-GB"/>
        </w:rPr>
        <w:t>__________. 2001b. «Comparison of Health and Well-Being of Females Working in Day and Nigh Shift.» Quezon City: OSHC, Department of Labor and Emplo</w:t>
      </w:r>
      <w:r>
        <w:rPr>
          <w:lang w:val="en-GB"/>
        </w:rPr>
        <w:t>y</w:t>
      </w:r>
      <w:r>
        <w:rPr>
          <w:lang w:val="en-GB"/>
        </w:rPr>
        <w:t>ment.</w:t>
      </w:r>
    </w:p>
    <w:p w:rsidR="00000000" w:rsidRDefault="00000000">
      <w:pPr>
        <w:pStyle w:val="SingleTxt"/>
        <w:rPr>
          <w:lang w:val="en-GB"/>
        </w:rPr>
      </w:pPr>
      <w:r>
        <w:rPr>
          <w:lang w:val="en-GB"/>
        </w:rPr>
        <w:t>__________. 1999. «Multiple Burden Among Government Women Workers.» Qu</w:t>
      </w:r>
      <w:r>
        <w:rPr>
          <w:lang w:val="en-GB"/>
        </w:rPr>
        <w:t>e</w:t>
      </w:r>
      <w:r>
        <w:rPr>
          <w:lang w:val="en-GB"/>
        </w:rPr>
        <w:t>zon City: OSHC, Department of Labor and Employment.</w:t>
      </w:r>
    </w:p>
    <w:p w:rsidR="00000000" w:rsidRDefault="00000000">
      <w:pPr>
        <w:pStyle w:val="SingleTxt"/>
        <w:rPr>
          <w:lang w:val="en-GB"/>
        </w:rPr>
      </w:pPr>
      <w:r>
        <w:rPr>
          <w:lang w:val="en-GB"/>
        </w:rPr>
        <w:t>Occupational Safety and Health Center (OSHC). 1997.» Study on the Health of Public School Teachers (Phase 1).» Quezon City: OSHC, Department of Labor and E</w:t>
      </w:r>
      <w:r>
        <w:rPr>
          <w:lang w:val="en-GB"/>
        </w:rPr>
        <w:t>m</w:t>
      </w:r>
      <w:r>
        <w:rPr>
          <w:lang w:val="en-GB"/>
        </w:rPr>
        <w:t>ployment.</w:t>
      </w:r>
    </w:p>
    <w:p w:rsidR="00000000" w:rsidRDefault="00000000">
      <w:pPr>
        <w:pStyle w:val="SingleTxt"/>
        <w:rPr>
          <w:lang w:val="en-GB"/>
        </w:rPr>
      </w:pPr>
      <w:r>
        <w:rPr>
          <w:lang w:val="en-GB"/>
        </w:rPr>
        <w:t>__________. 1996.»Lead and Female Workers in the Semiconductor Industry.» Q</w:t>
      </w:r>
      <w:r>
        <w:rPr>
          <w:lang w:val="en-GB"/>
        </w:rPr>
        <w:t>u</w:t>
      </w:r>
      <w:r>
        <w:rPr>
          <w:lang w:val="en-GB"/>
        </w:rPr>
        <w:t>ezon City: OSHC, Department of</w:t>
      </w:r>
    </w:p>
    <w:p w:rsidR="00000000" w:rsidRDefault="00000000">
      <w:pPr>
        <w:pStyle w:val="SingleTxt"/>
        <w:rPr>
          <w:lang w:val="en-GB"/>
        </w:rPr>
      </w:pPr>
      <w:r>
        <w:rPr>
          <w:lang w:val="en-GB"/>
        </w:rPr>
        <w:t>Labor and Employment.</w:t>
      </w:r>
    </w:p>
    <w:p w:rsidR="00000000" w:rsidRDefault="00000000">
      <w:pPr>
        <w:pStyle w:val="SingleTxt"/>
        <w:rPr>
          <w:lang w:val="en-GB"/>
        </w:rPr>
      </w:pPr>
      <w:r>
        <w:rPr>
          <w:lang w:val="en-GB"/>
        </w:rPr>
        <w:t>Ofreneo, Rosalinda Pineda. Globalization and Economic Empowerment, unpu</w:t>
      </w:r>
      <w:r>
        <w:rPr>
          <w:lang w:val="en-GB"/>
        </w:rPr>
        <w:t>b</w:t>
      </w:r>
      <w:r>
        <w:rPr>
          <w:lang w:val="en-GB"/>
        </w:rPr>
        <w:t>lished, undated.</w:t>
      </w:r>
    </w:p>
    <w:p w:rsidR="00000000" w:rsidRDefault="00000000">
      <w:pPr>
        <w:pStyle w:val="SingleTxt"/>
        <w:rPr>
          <w:lang w:val="en-GB"/>
        </w:rPr>
      </w:pPr>
      <w:r>
        <w:rPr>
          <w:lang w:val="en-GB"/>
        </w:rPr>
        <w:t>Ofreneo, Rosalinda Pineda, Jurgette Honculada and Jocelyn Bellin. Persistent Health Issues of</w:t>
      </w:r>
    </w:p>
    <w:p w:rsidR="00000000" w:rsidRDefault="00000000">
      <w:pPr>
        <w:pStyle w:val="SingleTxt"/>
        <w:rPr>
          <w:lang w:val="en-GB"/>
        </w:rPr>
      </w:pPr>
      <w:r>
        <w:rPr>
          <w:lang w:val="en-GB"/>
        </w:rPr>
        <w:t>Women Workers in the Cavite Export Processing Zone (CEPZ), undated.</w:t>
      </w:r>
    </w:p>
    <w:p w:rsidR="00000000" w:rsidRDefault="00000000">
      <w:pPr>
        <w:pStyle w:val="SingleTxt"/>
        <w:rPr>
          <w:lang w:val="en-GB"/>
        </w:rPr>
      </w:pPr>
      <w:r>
        <w:rPr>
          <w:lang w:val="en-GB"/>
        </w:rPr>
        <w:t>Ofreneo, Rosalinda Pineda. Women and Poverty. Philippine Post-Beijing Score Board.</w:t>
      </w:r>
    </w:p>
    <w:p w:rsidR="00000000" w:rsidRDefault="00000000">
      <w:pPr>
        <w:pStyle w:val="SingleTxt"/>
        <w:rPr>
          <w:lang w:val="en-GB"/>
        </w:rPr>
      </w:pPr>
      <w:r>
        <w:rPr>
          <w:lang w:val="en-GB"/>
        </w:rPr>
        <w:t>Philippine-Beijing Score Board (PBSB). 1998. Bulletin of PBSB, 2nd of the four special issues on the Philippine NGO national preparations for the UN Five Year Review of the Beijing Platform for A</w:t>
      </w:r>
      <w:r>
        <w:rPr>
          <w:lang w:val="en-GB"/>
        </w:rPr>
        <w:t>c</w:t>
      </w:r>
      <w:r>
        <w:rPr>
          <w:lang w:val="en-GB"/>
        </w:rPr>
        <w:t>tion.</w:t>
      </w:r>
    </w:p>
    <w:p w:rsidR="00000000" w:rsidRDefault="00000000">
      <w:pPr>
        <w:pStyle w:val="SingleTxt"/>
        <w:rPr>
          <w:lang w:val="en-GB"/>
        </w:rPr>
      </w:pPr>
      <w:r>
        <w:rPr>
          <w:lang w:val="en-GB"/>
        </w:rPr>
        <w:t xml:space="preserve">Philippine Beijing Score Board, </w:t>
      </w:r>
      <w:r>
        <w:rPr>
          <w:i/>
          <w:lang w:val="en-GB"/>
        </w:rPr>
        <w:t>PBSB Bulletin</w:t>
      </w:r>
      <w:r>
        <w:rPr>
          <w:lang w:val="en-GB"/>
        </w:rPr>
        <w:t xml:space="preserve"> 2nd of the four special issues on the Philippine NGO national</w:t>
      </w:r>
    </w:p>
    <w:p w:rsidR="00000000" w:rsidRDefault="00000000">
      <w:pPr>
        <w:pStyle w:val="SingleTxt"/>
        <w:rPr>
          <w:lang w:val="en-GB"/>
        </w:rPr>
      </w:pPr>
      <w:r>
        <w:rPr>
          <w:lang w:val="en-GB"/>
        </w:rPr>
        <w:t>preparations for the UN Five Year Review of BPFA.</w:t>
      </w:r>
    </w:p>
    <w:p w:rsidR="00000000" w:rsidRDefault="00000000">
      <w:pPr>
        <w:pStyle w:val="SingleTxt"/>
        <w:rPr>
          <w:lang w:val="en-GB"/>
        </w:rPr>
      </w:pPr>
      <w:r>
        <w:rPr>
          <w:lang w:val="en-GB"/>
        </w:rPr>
        <w:t xml:space="preserve">Philippine Daily Inquirer. 2002. «The reality of displaced women and children.» </w:t>
      </w:r>
      <w:hyperlink r:id="rId28" w:history="1">
        <w:r>
          <w:rPr>
            <w:rStyle w:val="Normal"/>
          </w:rPr>
          <w:t>www.inq7.net</w:t>
        </w:r>
      </w:hyperlink>
      <w:r>
        <w:t xml:space="preserve">. </w:t>
      </w:r>
      <w:r>
        <w:rPr>
          <w:lang w:val="en-GB"/>
        </w:rPr>
        <w:t>Accessed 2 March.</w:t>
      </w:r>
    </w:p>
    <w:p w:rsidR="00000000" w:rsidRDefault="00000000">
      <w:pPr>
        <w:pStyle w:val="SingleTxt"/>
        <w:rPr>
          <w:lang w:val="en-GB"/>
        </w:rPr>
      </w:pPr>
      <w:r>
        <w:rPr>
          <w:lang w:val="en-GB"/>
        </w:rPr>
        <w:t>Philippine Human Development Report (PHDR). 1997.</w:t>
      </w:r>
    </w:p>
    <w:p w:rsidR="00000000" w:rsidRDefault="00000000">
      <w:pPr>
        <w:pStyle w:val="SingleTxt"/>
        <w:rPr>
          <w:lang w:val="en-GB"/>
        </w:rPr>
      </w:pPr>
      <w:r>
        <w:rPr>
          <w:lang w:val="en-GB"/>
        </w:rPr>
        <w:t>Philippine National Police (PNP). 2002. «Female and Male Personnel Year Entered Service as of November 14, 2002.» Directorate for Personnel and Records Manag</w:t>
      </w:r>
      <w:r>
        <w:rPr>
          <w:lang w:val="en-GB"/>
        </w:rPr>
        <w:t>e</w:t>
      </w:r>
      <w:r>
        <w:rPr>
          <w:lang w:val="en-GB"/>
        </w:rPr>
        <w:t>ment, PNP.</w:t>
      </w:r>
    </w:p>
    <w:p w:rsidR="00000000" w:rsidRDefault="00000000">
      <w:pPr>
        <w:pStyle w:val="SingleTxt"/>
        <w:rPr>
          <w:lang w:val="en-GB"/>
        </w:rPr>
      </w:pPr>
      <w:r>
        <w:rPr>
          <w:lang w:val="en-GB"/>
        </w:rPr>
        <w:t xml:space="preserve">Pineda Ofreneo, Rosalinda. 1999. «Confronting the Crisis: Women in the Informal Sector.» In </w:t>
      </w:r>
      <w:r>
        <w:rPr>
          <w:i/>
          <w:lang w:val="en-GB"/>
        </w:rPr>
        <w:t>Carrying the Burden of the World: Women Reflecting on the Effects of the Crisis on Women and Girls</w:t>
      </w:r>
      <w:r>
        <w:rPr>
          <w:lang w:val="en-GB"/>
        </w:rPr>
        <w:t>, edited by Jeanne Frances I. Illo and Rosalinda Pineda Ofreneo. Quezon City: Center for Integrative and Development Studies, University of the Philippines.</w:t>
      </w:r>
    </w:p>
    <w:p w:rsidR="00000000" w:rsidRDefault="00000000">
      <w:pPr>
        <w:pStyle w:val="SingleTxt"/>
        <w:rPr>
          <w:lang w:val="en-GB"/>
        </w:rPr>
      </w:pPr>
      <w:r>
        <w:rPr>
          <w:lang w:val="en-GB"/>
        </w:rPr>
        <w:t>Pineda Ofreneo, Rosalinda, Jurgette Honculada and Jocelyn Bellin. 1999. «Persi</w:t>
      </w:r>
      <w:r>
        <w:rPr>
          <w:lang w:val="en-GB"/>
        </w:rPr>
        <w:t>s</w:t>
      </w:r>
      <w:r>
        <w:rPr>
          <w:lang w:val="en-GB"/>
        </w:rPr>
        <w:t>tent Health Issues of Women Workers in the Cavite Export Processing Zone (CEPZ).» Paper presented during the National Conference on women Workers’ Health and Safety held on 14 October 1999 at the Occupational Safety and Health Center, Quezon City.</w:t>
      </w:r>
    </w:p>
    <w:p w:rsidR="00000000" w:rsidRDefault="00000000">
      <w:pPr>
        <w:pStyle w:val="SingleTxt"/>
        <w:rPr>
          <w:lang w:val="en-GB"/>
        </w:rPr>
      </w:pPr>
      <w:r>
        <w:rPr>
          <w:lang w:val="en-GB"/>
        </w:rPr>
        <w:t>Philippine Health Statistics, 1997.</w:t>
      </w:r>
    </w:p>
    <w:p w:rsidR="00000000" w:rsidRDefault="00000000">
      <w:pPr>
        <w:pStyle w:val="SingleTxt"/>
        <w:rPr>
          <w:lang w:val="en-GB"/>
        </w:rPr>
      </w:pPr>
      <w:r>
        <w:rPr>
          <w:lang w:val="en-GB"/>
        </w:rPr>
        <w:t>Philippine Labor Code.</w:t>
      </w:r>
    </w:p>
    <w:p w:rsidR="00000000" w:rsidRDefault="00000000">
      <w:pPr>
        <w:pStyle w:val="SingleTxt"/>
        <w:rPr>
          <w:lang w:val="en-GB"/>
        </w:rPr>
      </w:pPr>
      <w:r>
        <w:rPr>
          <w:lang w:val="en-GB"/>
        </w:rPr>
        <w:t>Philippine Legislator’s Committee on Population and Development Foundation. Justice and Healing: Twin</w:t>
      </w:r>
    </w:p>
    <w:p w:rsidR="00000000" w:rsidRDefault="00000000">
      <w:pPr>
        <w:pStyle w:val="SingleTxt"/>
        <w:rPr>
          <w:lang w:val="en-GB"/>
        </w:rPr>
      </w:pPr>
      <w:r>
        <w:rPr>
          <w:lang w:val="en-GB"/>
        </w:rPr>
        <w:t>Imperatives for the Twin Laws Against Rape, 2001.</w:t>
      </w:r>
    </w:p>
    <w:p w:rsidR="00000000" w:rsidRDefault="00000000">
      <w:pPr>
        <w:pStyle w:val="SingleTxt"/>
        <w:rPr>
          <w:lang w:val="en-GB"/>
        </w:rPr>
      </w:pPr>
      <w:r>
        <w:rPr>
          <w:lang w:val="en-GB"/>
        </w:rPr>
        <w:t>Philippine Network Against Trafficking in Women in collaboration with NCRFW. The</w:t>
      </w:r>
    </w:p>
    <w:p w:rsidR="00000000" w:rsidRDefault="00000000">
      <w:pPr>
        <w:pStyle w:val="SingleTxt"/>
        <w:rPr>
          <w:lang w:val="en-GB"/>
        </w:rPr>
      </w:pPr>
      <w:r>
        <w:rPr>
          <w:lang w:val="en-GB"/>
        </w:rPr>
        <w:t>Philippine-Belgian Pilot Project Against Trafficking in Women, a summary research report by the Ateneo de Manila University Research Team.</w:t>
      </w:r>
    </w:p>
    <w:p w:rsidR="00000000" w:rsidRDefault="00000000">
      <w:pPr>
        <w:pStyle w:val="SingleTxt"/>
        <w:rPr>
          <w:lang w:val="en-GB"/>
        </w:rPr>
      </w:pPr>
      <w:r>
        <w:rPr>
          <w:lang w:val="en-GB"/>
        </w:rPr>
        <w:t>PNP. Paper on Controlling Crimes of Major Concern: Problems and Counterme</w:t>
      </w:r>
      <w:r>
        <w:rPr>
          <w:lang w:val="en-GB"/>
        </w:rPr>
        <w:t>a</w:t>
      </w:r>
      <w:r>
        <w:rPr>
          <w:lang w:val="en-GB"/>
        </w:rPr>
        <w:t>sures Law Enforcement Pillar by</w:t>
      </w:r>
    </w:p>
    <w:p w:rsidR="00000000" w:rsidRDefault="00000000">
      <w:pPr>
        <w:pStyle w:val="SingleTxt"/>
        <w:rPr>
          <w:lang w:val="en-GB"/>
        </w:rPr>
      </w:pPr>
      <w:r>
        <w:rPr>
          <w:lang w:val="en-GB"/>
        </w:rPr>
        <w:t>P/Dir. General Leandro R. Mendoza.</w:t>
      </w:r>
    </w:p>
    <w:p w:rsidR="00000000" w:rsidRDefault="00000000">
      <w:pPr>
        <w:pStyle w:val="SingleTxt"/>
        <w:rPr>
          <w:lang w:val="en-GB"/>
        </w:rPr>
      </w:pPr>
      <w:r>
        <w:rPr>
          <w:lang w:val="en-GB"/>
        </w:rPr>
        <w:t>Presidential Task Force on the 20.20 Initiative. Investing in People: The Philippine 20/20 Initiative, 2002.</w:t>
      </w:r>
    </w:p>
    <w:p w:rsidR="00000000" w:rsidRDefault="00000000">
      <w:pPr>
        <w:pStyle w:val="SingleTxt"/>
        <w:rPr>
          <w:lang w:val="en-GB"/>
        </w:rPr>
      </w:pPr>
      <w:r>
        <w:rPr>
          <w:lang w:val="en-GB"/>
        </w:rPr>
        <w:t>Public Services Labor Independent Confederation (PSLINK), Country Report on Pay Equity in the Philippine Public</w:t>
      </w:r>
    </w:p>
    <w:p w:rsidR="00000000" w:rsidRDefault="00000000">
      <w:pPr>
        <w:pStyle w:val="SingleTxt"/>
        <w:rPr>
          <w:lang w:val="en-GB"/>
        </w:rPr>
      </w:pPr>
      <w:r>
        <w:rPr>
          <w:lang w:val="en-GB"/>
        </w:rPr>
        <w:t>Sector, November 2001.</w:t>
      </w:r>
    </w:p>
    <w:p w:rsidR="00000000" w:rsidRDefault="00000000">
      <w:pPr>
        <w:pStyle w:val="SingleTxt"/>
        <w:rPr>
          <w:lang w:val="en-GB"/>
        </w:rPr>
      </w:pPr>
      <w:r>
        <w:rPr>
          <w:lang w:val="en-GB"/>
        </w:rPr>
        <w:t>Quisumbing, Agnes (1990). «Land Rights, Schooling and Assets as Intergenerational Wealth Transfers in Philippine Rice Villages.» University of the Philippines Los Baňos and Yale University. Typescript.</w:t>
      </w:r>
    </w:p>
    <w:p w:rsidR="00000000" w:rsidRDefault="00000000">
      <w:pPr>
        <w:pStyle w:val="SingleTxt"/>
        <w:rPr>
          <w:lang w:val="en-GB"/>
        </w:rPr>
      </w:pPr>
      <w:r>
        <w:rPr>
          <w:lang w:val="en-GB"/>
        </w:rPr>
        <w:t>Reyes, Celia. 2003. «Assessment of the Social Sector.» Background paper written for the Philippine-Country Development Programming Framework, Canadian Inte</w:t>
      </w:r>
      <w:r>
        <w:rPr>
          <w:lang w:val="en-GB"/>
        </w:rPr>
        <w:t>r</w:t>
      </w:r>
      <w:r>
        <w:rPr>
          <w:lang w:val="en-GB"/>
        </w:rPr>
        <w:t>national Development Agency, Manila. Second Draft. August.</w:t>
      </w:r>
    </w:p>
    <w:p w:rsidR="00000000" w:rsidRDefault="00000000">
      <w:pPr>
        <w:pStyle w:val="SingleTxt"/>
        <w:rPr>
          <w:lang w:val="en-GB"/>
        </w:rPr>
      </w:pPr>
      <w:r>
        <w:rPr>
          <w:lang w:val="en-GB"/>
        </w:rPr>
        <w:t>Raymond, Januce G., Phd; Jean D’Cunha Phd; Siti Ruhaini Dzuhayatin, H. Patricia Hynes, Zoraida Ramirez Ro</w:t>
      </w:r>
      <w:r>
        <w:rPr>
          <w:lang w:val="en-GB"/>
        </w:rPr>
        <w:t>d</w:t>
      </w:r>
      <w:r>
        <w:rPr>
          <w:lang w:val="en-GB"/>
        </w:rPr>
        <w:t>riguez,</w:t>
      </w:r>
    </w:p>
    <w:p w:rsidR="00000000" w:rsidRDefault="00000000">
      <w:pPr>
        <w:pStyle w:val="SingleTxt"/>
        <w:rPr>
          <w:lang w:val="en-GB"/>
        </w:rPr>
      </w:pPr>
      <w:r>
        <w:rPr>
          <w:lang w:val="en-GB"/>
        </w:rPr>
        <w:t>Phd; and Aida Santos. A Comparative Study of Women Trafficked in the Migration Process: Patterns, Profiles and Health Consequences of Sexual Exploitation in Five Countries (Indonesia, the Philippines, Thailand, Venezuela and the United States)</w:t>
      </w:r>
    </w:p>
    <w:p w:rsidR="00000000" w:rsidRDefault="00000000">
      <w:pPr>
        <w:pStyle w:val="SingleTxt"/>
        <w:rPr>
          <w:lang w:val="en-GB"/>
        </w:rPr>
      </w:pPr>
      <w:r>
        <w:rPr>
          <w:lang w:val="en-GB"/>
        </w:rPr>
        <w:t xml:space="preserve">Rina Jimenez-David, </w:t>
      </w:r>
      <w:r>
        <w:rPr>
          <w:i/>
          <w:lang w:val="en-GB"/>
        </w:rPr>
        <w:t>DV is an anti-poverty issue</w:t>
      </w:r>
      <w:r>
        <w:rPr>
          <w:lang w:val="en-GB"/>
        </w:rPr>
        <w:t>, Philippine Daily Inquirer, March 31, 2002.</w:t>
      </w:r>
    </w:p>
    <w:p w:rsidR="00000000" w:rsidRDefault="00000000">
      <w:pPr>
        <w:pStyle w:val="SingleTxt"/>
        <w:rPr>
          <w:lang w:val="en-GB"/>
        </w:rPr>
      </w:pPr>
      <w:r>
        <w:rPr>
          <w:lang w:val="en-GB"/>
        </w:rPr>
        <w:t>Rodriguez, Agustin Martin G; and Djorina Velasco. Democracy Rising? The Trials and Triumphs of the 1998 Party List</w:t>
      </w:r>
    </w:p>
    <w:p w:rsidR="00000000" w:rsidRDefault="00000000">
      <w:pPr>
        <w:pStyle w:val="SingleTxt"/>
        <w:rPr>
          <w:lang w:val="en-GB"/>
        </w:rPr>
      </w:pPr>
      <w:r>
        <w:rPr>
          <w:lang w:val="en-GB"/>
        </w:rPr>
        <w:t>Elections, 1998.</w:t>
      </w:r>
    </w:p>
    <w:p w:rsidR="00000000" w:rsidRDefault="00000000">
      <w:pPr>
        <w:pStyle w:val="SingleTxt"/>
        <w:rPr>
          <w:lang w:val="en-GB"/>
        </w:rPr>
      </w:pPr>
      <w:r>
        <w:rPr>
          <w:lang w:val="en-GB"/>
        </w:rPr>
        <w:t>Santos, Atty. Soliman M., Merci Llarinas-Angeles, and Roberto M. Ador. Justice and Healing: Twin Imperatives for</w:t>
      </w:r>
    </w:p>
    <w:p w:rsidR="00000000" w:rsidRDefault="00000000">
      <w:pPr>
        <w:pStyle w:val="SingleTxt"/>
        <w:rPr>
          <w:lang w:val="en-GB"/>
        </w:rPr>
      </w:pPr>
      <w:r>
        <w:rPr>
          <w:lang w:val="en-GB"/>
        </w:rPr>
        <w:t>the Twin Laws Against Rape: Executive Summary for the Philippine Legislators Committee on Popul</w:t>
      </w:r>
      <w:r>
        <w:rPr>
          <w:lang w:val="en-GB"/>
        </w:rPr>
        <w:t>a</w:t>
      </w:r>
      <w:r>
        <w:rPr>
          <w:lang w:val="en-GB"/>
        </w:rPr>
        <w:t>tion and Development, 2001</w:t>
      </w:r>
    </w:p>
    <w:p w:rsidR="00000000" w:rsidRDefault="00000000">
      <w:pPr>
        <w:pStyle w:val="SingleTxt"/>
        <w:rPr>
          <w:lang w:val="en-GB"/>
        </w:rPr>
      </w:pPr>
      <w:r>
        <w:rPr>
          <w:lang w:val="en-GB"/>
        </w:rPr>
        <w:t>Santos, Aida F. Women in the International Migration Process: Patterns, Profiles and Health Consequences of Sexual</w:t>
      </w:r>
    </w:p>
    <w:p w:rsidR="00000000" w:rsidRDefault="00000000">
      <w:pPr>
        <w:pStyle w:val="SingleTxt"/>
        <w:rPr>
          <w:lang w:val="en-GB"/>
        </w:rPr>
      </w:pPr>
      <w:r>
        <w:rPr>
          <w:lang w:val="en-GB"/>
        </w:rPr>
        <w:t>Exploitation, 2002.</w:t>
      </w:r>
    </w:p>
    <w:p w:rsidR="00000000" w:rsidRDefault="00000000">
      <w:pPr>
        <w:pStyle w:val="SingleTxt"/>
        <w:rPr>
          <w:lang w:val="en-GB"/>
        </w:rPr>
      </w:pPr>
      <w:r>
        <w:rPr>
          <w:lang w:val="en-GB"/>
        </w:rPr>
        <w:t>Sarabia, Ana Lea. Using Media to Promote Self Protection Among Young Women and Girls (Handout)</w:t>
      </w:r>
    </w:p>
    <w:p w:rsidR="00000000" w:rsidRDefault="00000000">
      <w:pPr>
        <w:pStyle w:val="SingleTxt"/>
        <w:rPr>
          <w:lang w:val="en-GB"/>
        </w:rPr>
      </w:pPr>
      <w:r>
        <w:rPr>
          <w:lang w:val="en-GB"/>
        </w:rPr>
        <w:t>Sta. Maria, Amparita, Gilbert Sembrano and Ma. Glenda Ramirez. Filipino Migrant Workers in</w:t>
      </w:r>
    </w:p>
    <w:p w:rsidR="00000000" w:rsidRDefault="00000000">
      <w:pPr>
        <w:pStyle w:val="SingleTxt"/>
        <w:rPr>
          <w:lang w:val="en-GB"/>
        </w:rPr>
      </w:pPr>
      <w:r>
        <w:rPr>
          <w:lang w:val="en-GB"/>
        </w:rPr>
        <w:t>Singapore, Malaysia and Brunei: What They Need to Know (And What They Have to</w:t>
      </w:r>
    </w:p>
    <w:p w:rsidR="00000000" w:rsidRDefault="00000000">
      <w:pPr>
        <w:pStyle w:val="SingleTxt"/>
        <w:rPr>
          <w:lang w:val="en-GB"/>
        </w:rPr>
      </w:pPr>
      <w:r>
        <w:rPr>
          <w:lang w:val="en-GB"/>
        </w:rPr>
        <w:t>Tell), Ateneo Human Rights Center, Makati City</w:t>
      </w:r>
    </w:p>
    <w:p w:rsidR="00000000" w:rsidRDefault="00000000">
      <w:pPr>
        <w:pStyle w:val="SingleTxt"/>
        <w:rPr>
          <w:lang w:val="en-GB"/>
        </w:rPr>
      </w:pPr>
      <w:r>
        <w:rPr>
          <w:lang w:val="en-GB"/>
        </w:rPr>
        <w:t>SCRA No. 596, Phil. Telegraph &amp; Tel. Co vs. NLRC GC No. 118978, May 23 1997.</w:t>
      </w:r>
    </w:p>
    <w:p w:rsidR="00000000" w:rsidRDefault="00000000">
      <w:pPr>
        <w:pStyle w:val="SingleTxt"/>
        <w:rPr>
          <w:lang w:val="en-GB"/>
        </w:rPr>
      </w:pPr>
      <w:r>
        <w:rPr>
          <w:lang w:val="en-GB"/>
        </w:rPr>
        <w:t>SCRA GR No. 135083, may 26, 1999 in Ernesto Maceda, petitioner, vs. Eduardo Barrios-Manzano &amp; the COMELEC,</w:t>
      </w:r>
    </w:p>
    <w:p w:rsidR="00000000" w:rsidRDefault="00000000">
      <w:pPr>
        <w:pStyle w:val="SingleTxt"/>
        <w:rPr>
          <w:lang w:val="en-GB"/>
        </w:rPr>
      </w:pPr>
      <w:r>
        <w:rPr>
          <w:lang w:val="en-GB"/>
        </w:rPr>
        <w:t>respondents.</w:t>
      </w:r>
    </w:p>
    <w:p w:rsidR="00000000" w:rsidRDefault="00000000">
      <w:pPr>
        <w:pStyle w:val="SingleTxt"/>
        <w:rPr>
          <w:lang w:val="en-GB"/>
        </w:rPr>
      </w:pPr>
      <w:r>
        <w:rPr>
          <w:lang w:val="en-GB"/>
        </w:rPr>
        <w:t>Schalkwyck. 2002. CIDA Project Assessment Team Report.</w:t>
      </w:r>
    </w:p>
    <w:p w:rsidR="00000000" w:rsidRDefault="00000000">
      <w:pPr>
        <w:pStyle w:val="SingleTxt"/>
        <w:rPr>
          <w:spacing w:val="-2"/>
          <w:lang w:val="en-GB"/>
        </w:rPr>
      </w:pPr>
      <w:r>
        <w:rPr>
          <w:spacing w:val="-2"/>
          <w:lang w:val="en-GB"/>
        </w:rPr>
        <w:t>Santos, Atty. Soliman M., Merci Llarinas-Angeles, and Roberto M. Ador. 2001. Justice and Healing: Twin Imperatives for the Twin Laws Against Rape: Executive Summary for the Philippine Legislators Committee on Population and Development.</w:t>
      </w:r>
    </w:p>
    <w:p w:rsidR="00000000" w:rsidRDefault="00000000">
      <w:pPr>
        <w:pStyle w:val="SingleTxt"/>
        <w:rPr>
          <w:lang w:val="en-GB"/>
        </w:rPr>
      </w:pPr>
      <w:r>
        <w:rPr>
          <w:i/>
          <w:lang w:val="en-GB"/>
        </w:rPr>
        <w:t>Sinag</w:t>
      </w:r>
      <w:r>
        <w:rPr>
          <w:lang w:val="en-GB"/>
        </w:rPr>
        <w:t>, 1999. Volume 5, Number 2.</w:t>
      </w:r>
    </w:p>
    <w:p w:rsidR="00000000" w:rsidRDefault="00000000">
      <w:pPr>
        <w:pStyle w:val="SingleTxt"/>
        <w:rPr>
          <w:lang w:val="en-GB"/>
        </w:rPr>
      </w:pPr>
      <w:r>
        <w:rPr>
          <w:i/>
          <w:lang w:val="en-GB"/>
        </w:rPr>
        <w:t>Supreme Court Reports Annotated</w:t>
      </w:r>
      <w:r>
        <w:rPr>
          <w:lang w:val="en-GB"/>
        </w:rPr>
        <w:t xml:space="preserve"> (SCRA). 1999. Ernesto Mercado, petitioner, vs. Eduardo Barrios-Manzano and the</w:t>
      </w:r>
    </w:p>
    <w:p w:rsidR="00000000" w:rsidRDefault="00000000">
      <w:pPr>
        <w:pStyle w:val="SingleTxt"/>
        <w:rPr>
          <w:lang w:val="en-GB"/>
        </w:rPr>
      </w:pPr>
      <w:r>
        <w:rPr>
          <w:lang w:val="en-GB"/>
        </w:rPr>
        <w:t>Commission on Elections, respondents. G.R. No. 135083, May 26, 1999.</w:t>
      </w:r>
    </w:p>
    <w:p w:rsidR="00000000" w:rsidRDefault="00000000">
      <w:pPr>
        <w:pStyle w:val="SingleTxt"/>
        <w:rPr>
          <w:spacing w:val="-2"/>
          <w:lang w:val="en-GB"/>
        </w:rPr>
      </w:pPr>
      <w:r>
        <w:rPr>
          <w:lang w:val="en-GB"/>
        </w:rPr>
        <w:t xml:space="preserve">__________. 1997. </w:t>
      </w:r>
      <w:r>
        <w:rPr>
          <w:spacing w:val="-2"/>
          <w:lang w:val="en-GB"/>
        </w:rPr>
        <w:t>Philippine Telegraph &amp; Tel. Co. vs. NLRC. G.R. No. 118978, May 23, 1997.</w:t>
      </w:r>
    </w:p>
    <w:p w:rsidR="00000000" w:rsidRDefault="00000000">
      <w:pPr>
        <w:pStyle w:val="SingleTxt"/>
        <w:rPr>
          <w:lang w:val="en-GB"/>
        </w:rPr>
      </w:pPr>
      <w:r>
        <w:rPr>
          <w:lang w:val="en-GB"/>
        </w:rPr>
        <w:t>Tañada, Karen. Women and the Environment. Philippine Post-Beijing Score Board</w:t>
      </w:r>
    </w:p>
    <w:p w:rsidR="00000000" w:rsidRDefault="00000000">
      <w:pPr>
        <w:pStyle w:val="SingleTxt"/>
        <w:rPr>
          <w:lang w:val="en-GB"/>
        </w:rPr>
      </w:pPr>
      <w:r>
        <w:rPr>
          <w:lang w:val="en-GB"/>
        </w:rPr>
        <w:t>Technical Education and Skills Development Authority, Current TVET Statistics, 1</w:t>
      </w:r>
      <w:r>
        <w:rPr>
          <w:vertAlign w:val="superscript"/>
          <w:lang w:val="en-GB"/>
        </w:rPr>
        <w:t>st</w:t>
      </w:r>
      <w:r>
        <w:rPr>
          <w:lang w:val="en-GB"/>
        </w:rPr>
        <w:t xml:space="preserve"> Quarter, 2002.</w:t>
      </w:r>
    </w:p>
    <w:p w:rsidR="00000000" w:rsidRDefault="00000000">
      <w:pPr>
        <w:pStyle w:val="SingleTxt"/>
        <w:rPr>
          <w:lang w:val="en-GB"/>
        </w:rPr>
      </w:pPr>
      <w:r>
        <w:rPr>
          <w:lang w:val="en-GB"/>
        </w:rPr>
        <w:t>Technical Education and Skills Development Authority, Annual Report, 2001.</w:t>
      </w:r>
    </w:p>
    <w:p w:rsidR="00000000" w:rsidRDefault="00000000">
      <w:pPr>
        <w:pStyle w:val="SingleTxt"/>
        <w:rPr>
          <w:lang w:val="en-GB"/>
        </w:rPr>
      </w:pPr>
      <w:r>
        <w:t xml:space="preserve">Программа развития Организации Объединенных Наций (ПРООН). 2003. </w:t>
      </w:r>
      <w:r>
        <w:rPr>
          <w:i/>
        </w:rPr>
        <w:t>До</w:t>
      </w:r>
      <w:r>
        <w:rPr>
          <w:i/>
        </w:rPr>
        <w:t>к</w:t>
      </w:r>
      <w:r>
        <w:rPr>
          <w:i/>
        </w:rPr>
        <w:t>лад о развитии человеческого потенциала, 2003 год</w:t>
      </w:r>
      <w:r>
        <w:t xml:space="preserve">. </w:t>
      </w:r>
      <w:r>
        <w:rPr>
          <w:lang w:val="en-GB"/>
        </w:rPr>
        <w:t>New York and Oxford: UNDP and Oxford University Press.</w:t>
      </w:r>
    </w:p>
    <w:p w:rsidR="00000000" w:rsidRDefault="00000000">
      <w:pPr>
        <w:pStyle w:val="SingleTxt"/>
        <w:rPr>
          <w:lang w:val="en-GB"/>
        </w:rPr>
      </w:pPr>
      <w:r>
        <w:t xml:space="preserve">__________. 2002. </w:t>
      </w:r>
      <w:r>
        <w:rPr>
          <w:i/>
        </w:rPr>
        <w:t>Доклад о развитии человеческого потенциала, 2002 год</w:t>
      </w:r>
      <w:r>
        <w:t xml:space="preserve">. </w:t>
      </w:r>
      <w:r>
        <w:rPr>
          <w:lang w:val="en-GB"/>
        </w:rPr>
        <w:t>New York and Oxford: UNDP and Oxford University Press</w:t>
      </w:r>
    </w:p>
    <w:p w:rsidR="00000000" w:rsidRDefault="00000000">
      <w:pPr>
        <w:pStyle w:val="SingleTxt"/>
        <w:rPr>
          <w:lang w:val="en-GB"/>
        </w:rPr>
      </w:pPr>
      <w:r>
        <w:t xml:space="preserve">__________. 2001. </w:t>
      </w:r>
      <w:r>
        <w:rPr>
          <w:i/>
        </w:rPr>
        <w:t>Доклад о развитии человеческого потенциала, 2001 год</w:t>
      </w:r>
      <w:r>
        <w:t xml:space="preserve">. </w:t>
      </w:r>
      <w:r>
        <w:rPr>
          <w:lang w:val="en-GB"/>
        </w:rPr>
        <w:t>New York and Oxford: UNDP and Oxford University Press.</w:t>
      </w:r>
    </w:p>
    <w:p w:rsidR="00000000" w:rsidRDefault="00000000">
      <w:pPr>
        <w:pStyle w:val="SingleTxt"/>
        <w:rPr>
          <w:lang w:val="en-GB"/>
        </w:rPr>
      </w:pPr>
      <w:r>
        <w:t xml:space="preserve">__________. 2000. </w:t>
      </w:r>
      <w:r>
        <w:rPr>
          <w:i/>
        </w:rPr>
        <w:t>Доклад о развитии человека, 2000 год</w:t>
      </w:r>
      <w:r>
        <w:t xml:space="preserve">. </w:t>
      </w:r>
      <w:r>
        <w:rPr>
          <w:lang w:val="en-GB"/>
        </w:rPr>
        <w:t>New York and Oxford: UNDP and Oxford University Press.</w:t>
      </w:r>
    </w:p>
    <w:p w:rsidR="00000000" w:rsidRDefault="00000000">
      <w:pPr>
        <w:pStyle w:val="SingleTxt"/>
        <w:rPr>
          <w:lang w:val="en-GB"/>
        </w:rPr>
      </w:pPr>
      <w:r>
        <w:t xml:space="preserve">__________. 1999. </w:t>
      </w:r>
      <w:r>
        <w:rPr>
          <w:i/>
        </w:rPr>
        <w:t>Доклад о развитии человека, 1999 год</w:t>
      </w:r>
      <w:r>
        <w:t xml:space="preserve">. </w:t>
      </w:r>
      <w:r>
        <w:rPr>
          <w:lang w:val="en-GB"/>
        </w:rPr>
        <w:t>New York and Oxford: UNDP and Oxford University Press.</w:t>
      </w:r>
    </w:p>
    <w:p w:rsidR="00000000" w:rsidRDefault="00000000">
      <w:pPr>
        <w:pStyle w:val="SingleTxt"/>
        <w:rPr>
          <w:lang w:val="en-GB"/>
        </w:rPr>
      </w:pPr>
      <w:r>
        <w:t xml:space="preserve">__________. 1998. </w:t>
      </w:r>
      <w:r>
        <w:rPr>
          <w:i/>
        </w:rPr>
        <w:t>Доклад о развитии человека, 1998 год</w:t>
      </w:r>
      <w:r>
        <w:t xml:space="preserve">. </w:t>
      </w:r>
      <w:r>
        <w:rPr>
          <w:lang w:val="en-GB"/>
        </w:rPr>
        <w:t>New York and Oxford: UNDP and Oxford University Press.</w:t>
      </w:r>
    </w:p>
    <w:p w:rsidR="00000000" w:rsidRDefault="00000000">
      <w:pPr>
        <w:pStyle w:val="SingleTxt"/>
        <w:rPr>
          <w:lang w:val="en-GB"/>
        </w:rPr>
      </w:pPr>
      <w:r>
        <w:rPr>
          <w:lang w:val="en-GB"/>
        </w:rPr>
        <w:t xml:space="preserve">Uy, Cecile C. 1990. «Women and Men in a Community Health Project.» In </w:t>
      </w:r>
      <w:r>
        <w:rPr>
          <w:i/>
          <w:lang w:val="en-GB"/>
        </w:rPr>
        <w:t>Gender Analysis and Planning: The 1990 IPC-CIDA Workshops</w:t>
      </w:r>
      <w:r>
        <w:rPr>
          <w:lang w:val="en-GB"/>
        </w:rPr>
        <w:t>, edited by Jeanne Frances I. Illo. Quezon City: Institute of Philippine Culture, Ateneo de Manila University.</w:t>
      </w:r>
    </w:p>
    <w:p w:rsidR="00000000" w:rsidRDefault="00000000">
      <w:pPr>
        <w:pStyle w:val="SingleTxt"/>
        <w:rPr>
          <w:lang w:val="en-GB"/>
        </w:rPr>
      </w:pPr>
      <w:r>
        <w:rPr>
          <w:lang w:val="en-GB"/>
        </w:rPr>
        <w:t>UP CWS. Globalization of the Garments Industry: Impact on Women Workers.</w:t>
      </w:r>
    </w:p>
    <w:p w:rsidR="00000000" w:rsidRDefault="00000000">
      <w:pPr>
        <w:pStyle w:val="SingleTxt"/>
        <w:rPr>
          <w:lang w:val="en-GB"/>
        </w:rPr>
      </w:pPr>
      <w:r>
        <w:rPr>
          <w:lang w:val="en-GB"/>
        </w:rPr>
        <w:t>UP CWS. Indigenous Women, Globalization and the OPM: Women Stories of Ma</w:t>
      </w:r>
      <w:r>
        <w:rPr>
          <w:lang w:val="en-GB"/>
        </w:rPr>
        <w:t>r</w:t>
      </w:r>
      <w:r>
        <w:rPr>
          <w:lang w:val="en-GB"/>
        </w:rPr>
        <w:t>ginalization and Survival.</w:t>
      </w:r>
    </w:p>
    <w:p w:rsidR="00000000" w:rsidRDefault="00000000">
      <w:pPr>
        <w:pStyle w:val="SingleTxt"/>
        <w:rPr>
          <w:lang w:val="en-GB"/>
        </w:rPr>
      </w:pPr>
      <w:r>
        <w:rPr>
          <w:lang w:val="en-GB"/>
        </w:rPr>
        <w:t>UP CWS. Breaking the Silence: Realities of Family Violence in the Philippines and Recommendations for Change, 1997.</w:t>
      </w:r>
    </w:p>
    <w:p w:rsidR="00000000" w:rsidRDefault="00000000">
      <w:pPr>
        <w:pStyle w:val="SingleTxt"/>
        <w:rPr>
          <w:lang w:val="en-GB"/>
        </w:rPr>
      </w:pPr>
      <w:r>
        <w:rPr>
          <w:lang w:val="en-GB"/>
        </w:rPr>
        <w:t>UP CWS. The Many Faces of Violence: Abusers and Abusive Relationships in Fil</w:t>
      </w:r>
      <w:r>
        <w:rPr>
          <w:lang w:val="en-GB"/>
        </w:rPr>
        <w:t>i</w:t>
      </w:r>
      <w:r>
        <w:rPr>
          <w:lang w:val="en-GB"/>
        </w:rPr>
        <w:t>pino Families, 1999.</w:t>
      </w:r>
    </w:p>
    <w:p w:rsidR="00000000" w:rsidRDefault="00000000">
      <w:pPr>
        <w:pStyle w:val="SingleTxt"/>
        <w:rPr>
          <w:lang w:val="en-GB"/>
        </w:rPr>
      </w:pPr>
      <w:r>
        <w:rPr>
          <w:lang w:val="en-GB"/>
        </w:rPr>
        <w:t>UP CWS. Healing Wounded Families and Creating Peaceful Communities.</w:t>
      </w:r>
    </w:p>
    <w:p w:rsidR="00000000" w:rsidRDefault="00000000">
      <w:pPr>
        <w:pStyle w:val="SingleTxt"/>
        <w:rPr>
          <w:lang w:val="en-GB"/>
        </w:rPr>
      </w:pPr>
      <w:r>
        <w:rPr>
          <w:lang w:val="en-GB"/>
        </w:rPr>
        <w:t>UNDP. Assessing the Status of Women: A Guide to Reporting Under the Convention on the Elimination of All Forms</w:t>
      </w:r>
    </w:p>
    <w:p w:rsidR="00000000" w:rsidRDefault="00000000">
      <w:pPr>
        <w:pStyle w:val="SingleTxt"/>
        <w:rPr>
          <w:lang w:val="en-GB"/>
        </w:rPr>
      </w:pPr>
      <w:r>
        <w:rPr>
          <w:lang w:val="en-GB"/>
        </w:rPr>
        <w:t>of Discrimination Against Women, 2000.</w:t>
      </w:r>
    </w:p>
    <w:p w:rsidR="00000000" w:rsidRDefault="00000000">
      <w:pPr>
        <w:pStyle w:val="SingleTxt"/>
        <w:rPr>
          <w:i/>
          <w:lang w:val="en-GB"/>
        </w:rPr>
      </w:pPr>
      <w:r>
        <w:rPr>
          <w:lang w:val="en-GB"/>
        </w:rPr>
        <w:t xml:space="preserve">United Nations, </w:t>
      </w:r>
      <w:r>
        <w:rPr>
          <w:i/>
          <w:lang w:val="en-GB"/>
        </w:rPr>
        <w:t>Project Document on Strengthening the Foundations of Lasting Peace and Development in Southern</w:t>
      </w:r>
    </w:p>
    <w:p w:rsidR="00000000" w:rsidRDefault="00000000">
      <w:pPr>
        <w:pStyle w:val="SingleTxt"/>
        <w:rPr>
          <w:lang w:val="en-GB"/>
        </w:rPr>
      </w:pPr>
      <w:r>
        <w:rPr>
          <w:i/>
          <w:lang w:val="en-GB"/>
        </w:rPr>
        <w:t>Philippines: Third Phase of the GOP-UN/Multi-donor Programme</w:t>
      </w:r>
      <w:r>
        <w:rPr>
          <w:lang w:val="en-GB"/>
        </w:rPr>
        <w:t>.</w:t>
      </w:r>
    </w:p>
    <w:p w:rsidR="00000000" w:rsidRDefault="00000000">
      <w:pPr>
        <w:pStyle w:val="SingleTxt"/>
        <w:rPr>
          <w:lang w:val="en-GB"/>
        </w:rPr>
      </w:pPr>
      <w:r>
        <w:rPr>
          <w:lang w:val="en-GB"/>
        </w:rPr>
        <w:t>UNIFEM, First Draft Gender Assessment of the Philippine Development Situation prepared by the Women and Gender</w:t>
      </w:r>
    </w:p>
    <w:p w:rsidR="00000000" w:rsidRDefault="00000000">
      <w:pPr>
        <w:pStyle w:val="SingleTxt"/>
        <w:rPr>
          <w:lang w:val="en-GB"/>
        </w:rPr>
      </w:pPr>
      <w:r>
        <w:rPr>
          <w:lang w:val="en-GB"/>
        </w:rPr>
        <w:t>Institute, 2002.</w:t>
      </w:r>
    </w:p>
    <w:p w:rsidR="00000000" w:rsidRDefault="00000000">
      <w:pPr>
        <w:pStyle w:val="SingleTxt"/>
        <w:rPr>
          <w:lang w:val="en-GB"/>
        </w:rPr>
      </w:pPr>
      <w:r>
        <w:rPr>
          <w:lang w:val="en-GB"/>
        </w:rPr>
        <w:t>WCC. A Participatory Feminist Action Research on the Impact of Violence on Women’s Health.</w:t>
      </w:r>
    </w:p>
    <w:p w:rsidR="00000000" w:rsidRDefault="00000000">
      <w:pPr>
        <w:pStyle w:val="SingleTxt"/>
        <w:rPr>
          <w:lang w:val="en-GB"/>
        </w:rPr>
      </w:pPr>
      <w:r>
        <w:rPr>
          <w:lang w:val="en-GB"/>
        </w:rPr>
        <w:t>WLB. Women’s Health and the Law, 1995.</w:t>
      </w:r>
    </w:p>
    <w:p w:rsidR="00000000" w:rsidRDefault="00000000">
      <w:pPr>
        <w:pStyle w:val="SingleTxt"/>
        <w:rPr>
          <w:lang w:val="en-GB"/>
        </w:rPr>
      </w:pPr>
      <w:r>
        <w:rPr>
          <w:lang w:val="en-GB"/>
        </w:rPr>
        <w:t>Yao, Myrna. Economic Empowerment: Women hold key to coping with globaliz</w:t>
      </w:r>
      <w:r>
        <w:rPr>
          <w:lang w:val="en-GB"/>
        </w:rPr>
        <w:t>a</w:t>
      </w:r>
      <w:r>
        <w:rPr>
          <w:lang w:val="en-GB"/>
        </w:rPr>
        <w:t>tion, PDI, 2002.</w:t>
      </w:r>
    </w:p>
    <w:p w:rsidR="00000000" w:rsidRDefault="00000000">
      <w:pPr>
        <w:pStyle w:val="SingleTxt"/>
        <w:rPr>
          <w:lang w:val="en-GB"/>
        </w:rPr>
      </w:pPr>
      <w:hyperlink r:id="rId29" w:history="1">
        <w:r>
          <w:rPr>
            <w:rStyle w:val="Normal"/>
            <w:lang w:val="en-GB"/>
          </w:rPr>
          <w:t>www.bsp.gov.ph/statistics</w:t>
        </w:r>
      </w:hyperlink>
      <w:r>
        <w:rPr>
          <w:lang w:val="en-GB"/>
        </w:rPr>
        <w:t xml:space="preserve"> as of March 19, 2003.</w:t>
      </w:r>
    </w:p>
    <w:p w:rsidR="00000000" w:rsidRDefault="00000000">
      <w:pPr>
        <w:pStyle w:val="SingleTxt"/>
        <w:rPr>
          <w:lang w:val="en-GB"/>
        </w:rPr>
      </w:pPr>
      <w:hyperlink r:id="rId30" w:history="1">
        <w:r>
          <w:rPr>
            <w:rStyle w:val="Normal"/>
            <w:lang w:val="en-GB"/>
          </w:rPr>
          <w:t>www.unescap.org/huset/women/reports.philippines.pdf</w:t>
        </w:r>
      </w:hyperlink>
      <w:r>
        <w:rPr>
          <w:lang w:val="en-GB"/>
        </w:rPr>
        <w:t>, Accessed January 3, 2003.</w:t>
      </w:r>
    </w:p>
    <w:p w:rsidR="00000000" w:rsidRDefault="00000000">
      <w:pPr>
        <w:pStyle w:val="SingleTxt"/>
        <w:rPr>
          <w:lang w:val="en-GB"/>
        </w:rPr>
      </w:pPr>
      <w:hyperlink r:id="rId31" w:history="1">
        <w:r>
          <w:rPr>
            <w:rStyle w:val="Normal"/>
            <w:lang w:val="en-GB"/>
          </w:rPr>
          <w:t>www.inq7.net</w:t>
        </w:r>
      </w:hyperlink>
      <w:r>
        <w:rPr>
          <w:lang w:val="en-GB"/>
        </w:rPr>
        <w:t xml:space="preserve">, </w:t>
      </w:r>
      <w:r>
        <w:rPr>
          <w:i/>
          <w:lang w:val="en-GB"/>
        </w:rPr>
        <w:t>The reality of displaced women and children</w:t>
      </w:r>
      <w:r>
        <w:rPr>
          <w:lang w:val="en-GB"/>
        </w:rPr>
        <w:t>, Accessed March 12, 2002.</w:t>
      </w:r>
    </w:p>
    <w:p w:rsidR="00000000" w:rsidRDefault="00000000">
      <w:pPr>
        <w:pStyle w:val="SingleTxt"/>
        <w:rPr>
          <w:lang w:val="en-GB"/>
        </w:rPr>
      </w:pPr>
      <w:hyperlink r:id="rId32" w:history="1">
        <w:r>
          <w:rPr>
            <w:rStyle w:val="Normal"/>
            <w:lang w:val="en-GB"/>
          </w:rPr>
          <w:t>www.visayanforum.org/misc/resource/archives/article16.html</w:t>
        </w:r>
      </w:hyperlink>
      <w:r>
        <w:rPr>
          <w:lang w:val="en-GB"/>
        </w:rPr>
        <w:t>, Accessed June 17, 2004.</w:t>
      </w:r>
    </w:p>
    <w:p w:rsidR="00000000" w:rsidRDefault="00000000">
      <w:pPr>
        <w:pStyle w:val="SingleTxt"/>
        <w:rPr>
          <w:lang w:val="en-GB"/>
        </w:rPr>
      </w:pPr>
      <w:r>
        <w:rPr>
          <w:lang w:val="en-GB"/>
        </w:rPr>
        <w:t xml:space="preserve">World Bank (WB). 2003. «Country Profile Table: Philippines.» </w:t>
      </w:r>
      <w:hyperlink r:id="rId33" w:history="1">
        <w:r>
          <w:rPr>
            <w:rStyle w:val="Normal"/>
          </w:rPr>
          <w:t>http://www.devdata.worldbank.org/external</w:t>
        </w:r>
      </w:hyperlink>
      <w:r>
        <w:t xml:space="preserve">. </w:t>
      </w:r>
      <w:r>
        <w:rPr>
          <w:lang w:val="en-GB"/>
        </w:rPr>
        <w:t>A</w:t>
      </w:r>
      <w:r>
        <w:rPr>
          <w:lang w:val="en-GB"/>
        </w:rPr>
        <w:t>c</w:t>
      </w:r>
      <w:r>
        <w:rPr>
          <w:lang w:val="en-GB"/>
        </w:rPr>
        <w:t>cessed 29 July.</w:t>
      </w:r>
    </w:p>
    <w:p w:rsidR="00000000" w:rsidRDefault="00000000">
      <w:pPr>
        <w:pStyle w:val="SingleTxt"/>
        <w:rPr>
          <w:lang w:val="en-GB"/>
        </w:rPr>
      </w:pPr>
      <w:r>
        <w:rPr>
          <w:lang w:val="de-AT"/>
        </w:rPr>
        <w:t xml:space="preserve">Yu, Sandra O. 2001. </w:t>
      </w:r>
      <w:r>
        <w:rPr>
          <w:lang w:val="en-GB"/>
        </w:rPr>
        <w:t>«The Philippine Informal Sector.» Draft report submitted to the ILO/Manila office.</w:t>
      </w:r>
    </w:p>
    <w:p w:rsidR="00000000" w:rsidRDefault="00000000">
      <w:pPr>
        <w:pStyle w:val="SingleTxt"/>
        <w:pageBreakBefore/>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en-GB"/>
        </w:rPr>
      </w:pPr>
    </w:p>
    <w:p w:rsidR="00000000" w:rsidRDefault="00000000">
      <w:pPr>
        <w:pStyle w:val="H1"/>
        <w:keepNext/>
      </w:pPr>
      <w:bookmarkStart w:id="87" w:name="_Toc85174956"/>
      <w:r>
        <w:t>Ведомственные источники информации</w:t>
      </w:r>
      <w:bookmarkEnd w:id="87"/>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SingleTxt"/>
      </w:pPr>
      <w:r>
        <w:t>* Обратите внимание, что в дополнение к публикуемым и непубликуемым и</w:t>
      </w:r>
      <w:r>
        <w:t>с</w:t>
      </w:r>
      <w:r>
        <w:t>точникам справочной информации свои данные и административные записи в НКРФЖ подают также правительственные ведомства и неправительственные организации. Поэтому многие из них перечисляются ниже в качестве источн</w:t>
      </w:r>
      <w:r>
        <w:t>и</w:t>
      </w:r>
      <w:r>
        <w:t>ка данных.</w:t>
      </w:r>
    </w:p>
    <w:p w:rsidR="00000000" w:rsidRDefault="00000000">
      <w:pPr>
        <w:pStyle w:val="SingleTxt"/>
        <w:tabs>
          <w:tab w:val="clear" w:pos="1267"/>
          <w:tab w:val="clear" w:pos="1742"/>
          <w:tab w:val="clear" w:pos="2218"/>
        </w:tabs>
        <w:ind w:left="2694" w:hanging="1427"/>
      </w:pPr>
      <w:r>
        <w:t>ФУЖРК</w:t>
      </w:r>
      <w:r>
        <w:tab/>
        <w:t>Форум по участию женщин в развитии кооперативов</w:t>
      </w:r>
    </w:p>
    <w:p w:rsidR="00000000" w:rsidRDefault="00000000">
      <w:pPr>
        <w:pStyle w:val="SingleTxt"/>
        <w:tabs>
          <w:tab w:val="clear" w:pos="1267"/>
          <w:tab w:val="clear" w:pos="1742"/>
          <w:tab w:val="clear" w:pos="2218"/>
        </w:tabs>
        <w:ind w:left="2694" w:hanging="1427"/>
      </w:pPr>
      <w:r>
        <w:t>СУЖАТРП</w:t>
      </w:r>
      <w:r>
        <w:tab/>
        <w:t>Центр участия женщин азиатско-тихоокеанского региона в п</w:t>
      </w:r>
      <w:r>
        <w:t>о</w:t>
      </w:r>
      <w:r>
        <w:t>литике</w:t>
      </w:r>
    </w:p>
    <w:p w:rsidR="00000000" w:rsidRDefault="00000000">
      <w:pPr>
        <w:pStyle w:val="SingleTxt"/>
        <w:tabs>
          <w:tab w:val="clear" w:pos="1267"/>
          <w:tab w:val="clear" w:pos="1742"/>
          <w:tab w:val="clear" w:pos="2218"/>
        </w:tabs>
        <w:ind w:left="2694" w:hanging="1427"/>
      </w:pPr>
      <w:r>
        <w:t>СБТЖ АТР</w:t>
      </w:r>
      <w:r>
        <w:tab/>
        <w:t>Коалиция по борьбе с торговлей женщинами в азиатско-тихоокеанском регионе</w:t>
      </w:r>
    </w:p>
    <w:p w:rsidR="00000000" w:rsidRDefault="00000000">
      <w:pPr>
        <w:pStyle w:val="SingleTxt"/>
        <w:tabs>
          <w:tab w:val="clear" w:pos="1267"/>
          <w:tab w:val="clear" w:pos="1742"/>
          <w:tab w:val="clear" w:pos="2218"/>
        </w:tabs>
        <w:ind w:left="2694" w:hanging="1427"/>
      </w:pPr>
      <w:r>
        <w:rPr>
          <w:caps/>
        </w:rPr>
        <w:t>сксро</w:t>
      </w:r>
      <w:r>
        <w:tab/>
        <w:t>Совет по вопросам карьерной службы на руководящих должн</w:t>
      </w:r>
      <w:r>
        <w:t>о</w:t>
      </w:r>
      <w:r>
        <w:t>стях</w:t>
      </w:r>
    </w:p>
    <w:p w:rsidR="00000000" w:rsidRDefault="00000000">
      <w:pPr>
        <w:pStyle w:val="SingleTxt"/>
        <w:tabs>
          <w:tab w:val="clear" w:pos="1267"/>
          <w:tab w:val="clear" w:pos="1742"/>
          <w:tab w:val="clear" w:pos="2218"/>
        </w:tabs>
        <w:ind w:left="2694" w:hanging="1427"/>
      </w:pPr>
      <w:r>
        <w:t>КФЗ</w:t>
      </w:r>
      <w:r>
        <w:tab/>
        <w:t>Комиссия по делам филиппинцев за рубежом</w:t>
      </w:r>
    </w:p>
    <w:p w:rsidR="00000000" w:rsidRDefault="00000000">
      <w:pPr>
        <w:pStyle w:val="SingleTxt"/>
        <w:tabs>
          <w:tab w:val="clear" w:pos="1267"/>
          <w:tab w:val="clear" w:pos="1742"/>
          <w:tab w:val="clear" w:pos="2218"/>
        </w:tabs>
        <w:ind w:left="2694" w:hanging="1427"/>
      </w:pPr>
      <w:r>
        <w:t>КВО</w:t>
      </w:r>
      <w:r>
        <w:tab/>
        <w:t>Комиссия по высшему образованию</w:t>
      </w:r>
    </w:p>
    <w:p w:rsidR="00000000" w:rsidRDefault="00000000">
      <w:pPr>
        <w:pStyle w:val="SingleTxt"/>
        <w:tabs>
          <w:tab w:val="clear" w:pos="1267"/>
          <w:tab w:val="clear" w:pos="1742"/>
          <w:tab w:val="clear" w:pos="2218"/>
        </w:tabs>
        <w:ind w:left="2694" w:hanging="1427"/>
      </w:pPr>
      <w:r>
        <w:t>КПЧ</w:t>
      </w:r>
      <w:r>
        <w:tab/>
        <w:t>Комиссия по правам человека</w:t>
      </w:r>
    </w:p>
    <w:p w:rsidR="00000000" w:rsidRDefault="00000000">
      <w:pPr>
        <w:pStyle w:val="SingleTxt"/>
        <w:tabs>
          <w:tab w:val="clear" w:pos="1267"/>
          <w:tab w:val="clear" w:pos="1742"/>
          <w:tab w:val="clear" w:pos="2218"/>
        </w:tabs>
        <w:ind w:left="2694" w:hanging="1427"/>
      </w:pPr>
      <w:r>
        <w:t>ЦРЗ</w:t>
      </w:r>
      <w:r>
        <w:tab/>
        <w:t>Центр по разработке законодательства</w:t>
      </w:r>
    </w:p>
    <w:p w:rsidR="00000000" w:rsidRDefault="00000000">
      <w:pPr>
        <w:pStyle w:val="SingleTxt"/>
        <w:tabs>
          <w:tab w:val="clear" w:pos="1267"/>
          <w:tab w:val="clear" w:pos="1742"/>
          <w:tab w:val="clear" w:pos="2218"/>
        </w:tabs>
        <w:ind w:left="2694" w:hanging="1427"/>
      </w:pPr>
      <w:r>
        <w:t>КОМЕЛЕК</w:t>
      </w:r>
      <w:r>
        <w:tab/>
        <w:t>Избирательная комиссия</w:t>
      </w:r>
    </w:p>
    <w:p w:rsidR="00000000" w:rsidRDefault="00000000">
      <w:pPr>
        <w:pStyle w:val="SingleTxt"/>
        <w:tabs>
          <w:tab w:val="clear" w:pos="1267"/>
          <w:tab w:val="clear" w:pos="1742"/>
          <w:tab w:val="clear" w:pos="2218"/>
        </w:tabs>
        <w:ind w:left="2694" w:hanging="1427"/>
      </w:pPr>
      <w:r>
        <w:rPr>
          <w:caps/>
        </w:rPr>
        <w:t>кгс</w:t>
      </w:r>
      <w:r>
        <w:tab/>
        <w:t>Комиссия гражданской службы</w:t>
      </w:r>
    </w:p>
    <w:p w:rsidR="00000000" w:rsidRDefault="00000000">
      <w:pPr>
        <w:pStyle w:val="SingleTxt"/>
        <w:tabs>
          <w:tab w:val="clear" w:pos="1267"/>
          <w:tab w:val="clear" w:pos="1742"/>
          <w:tab w:val="clear" w:pos="2218"/>
        </w:tabs>
        <w:ind w:left="2694" w:hanging="1427"/>
      </w:pPr>
      <w:r>
        <w:t>МСХ</w:t>
      </w:r>
      <w:r>
        <w:tab/>
        <w:t>Министерство сельского хозяйства</w:t>
      </w:r>
    </w:p>
    <w:p w:rsidR="00000000" w:rsidRDefault="00000000">
      <w:pPr>
        <w:pStyle w:val="SingleTxt"/>
        <w:tabs>
          <w:tab w:val="clear" w:pos="1267"/>
          <w:tab w:val="clear" w:pos="1742"/>
          <w:tab w:val="clear" w:pos="2218"/>
        </w:tabs>
        <w:ind w:left="2694" w:hanging="1427"/>
      </w:pPr>
      <w:r>
        <w:t>МАР</w:t>
      </w:r>
      <w:r>
        <w:tab/>
        <w:t>Министерство аграрной реформы</w:t>
      </w:r>
    </w:p>
    <w:p w:rsidR="00000000" w:rsidRDefault="00000000">
      <w:pPr>
        <w:pStyle w:val="SingleTxt"/>
        <w:tabs>
          <w:tab w:val="clear" w:pos="1267"/>
          <w:tab w:val="clear" w:pos="1742"/>
          <w:tab w:val="clear" w:pos="2218"/>
        </w:tabs>
        <w:ind w:left="2694" w:hanging="1427"/>
      </w:pPr>
      <w:r>
        <w:rPr>
          <w:caps/>
        </w:rPr>
        <w:t>мбу</w:t>
      </w:r>
      <w:r>
        <w:tab/>
        <w:t>Министерство бюджета и управления</w:t>
      </w:r>
    </w:p>
    <w:p w:rsidR="00000000" w:rsidRDefault="00000000">
      <w:pPr>
        <w:pStyle w:val="SingleTxt"/>
        <w:tabs>
          <w:tab w:val="clear" w:pos="1267"/>
          <w:tab w:val="clear" w:pos="1742"/>
          <w:tab w:val="clear" w:pos="2218"/>
        </w:tabs>
        <w:ind w:left="2694" w:hanging="1427"/>
      </w:pPr>
      <w:r>
        <w:t>МО</w:t>
      </w:r>
      <w:r>
        <w:tab/>
        <w:t>Министерство образования</w:t>
      </w:r>
    </w:p>
    <w:p w:rsidR="00000000" w:rsidRDefault="00000000">
      <w:pPr>
        <w:pStyle w:val="SingleTxt"/>
        <w:tabs>
          <w:tab w:val="clear" w:pos="1267"/>
          <w:tab w:val="clear" w:pos="1742"/>
          <w:tab w:val="clear" w:pos="2218"/>
        </w:tabs>
        <w:ind w:left="2694" w:hanging="1427"/>
      </w:pPr>
      <w:r>
        <w:t>МПР</w:t>
      </w:r>
      <w:r>
        <w:rPr>
          <w:caps/>
        </w:rPr>
        <w:t>оос</w:t>
      </w:r>
      <w:r>
        <w:tab/>
        <w:t>Министерство природных ресурсов и по охране окружающей среды</w:t>
      </w:r>
    </w:p>
    <w:p w:rsidR="00000000" w:rsidRDefault="00000000">
      <w:pPr>
        <w:pStyle w:val="SingleTxt"/>
        <w:tabs>
          <w:tab w:val="clear" w:pos="1267"/>
          <w:tab w:val="clear" w:pos="1742"/>
          <w:tab w:val="clear" w:pos="2218"/>
        </w:tabs>
        <w:ind w:left="2694" w:hanging="1427"/>
      </w:pPr>
      <w:r>
        <w:t>МИД</w:t>
      </w:r>
      <w:r>
        <w:tab/>
        <w:t>Министерство иностранных дел</w:t>
      </w:r>
    </w:p>
    <w:p w:rsidR="00000000" w:rsidRDefault="00000000">
      <w:pPr>
        <w:pStyle w:val="SingleTxt"/>
        <w:tabs>
          <w:tab w:val="clear" w:pos="1267"/>
          <w:tab w:val="clear" w:pos="1742"/>
          <w:tab w:val="clear" w:pos="2218"/>
        </w:tabs>
        <w:ind w:left="2694" w:hanging="1427"/>
      </w:pPr>
      <w:r>
        <w:t>МВДМОВ</w:t>
      </w:r>
      <w:r>
        <w:tab/>
        <w:t>Министерство внутренних дел и местных органов власти</w:t>
      </w:r>
    </w:p>
    <w:p w:rsidR="00000000" w:rsidRDefault="00000000">
      <w:pPr>
        <w:pStyle w:val="SingleTxt"/>
        <w:tabs>
          <w:tab w:val="clear" w:pos="1267"/>
          <w:tab w:val="clear" w:pos="1742"/>
          <w:tab w:val="clear" w:pos="2218"/>
        </w:tabs>
        <w:ind w:left="2694" w:hanging="1427"/>
      </w:pPr>
      <w:r>
        <w:t>МЗ</w:t>
      </w:r>
      <w:r>
        <w:tab/>
        <w:t>Министерство здравоохранения</w:t>
      </w:r>
    </w:p>
    <w:p w:rsidR="00000000" w:rsidRDefault="00000000">
      <w:pPr>
        <w:pStyle w:val="SingleTxt"/>
        <w:tabs>
          <w:tab w:val="clear" w:pos="1267"/>
          <w:tab w:val="clear" w:pos="1742"/>
          <w:tab w:val="clear" w:pos="2218"/>
        </w:tabs>
        <w:ind w:left="2694" w:hanging="1427"/>
      </w:pPr>
      <w:r>
        <w:t>МЮ</w:t>
      </w:r>
      <w:r>
        <w:tab/>
        <w:t>Министерство юстиции</w:t>
      </w:r>
    </w:p>
    <w:p w:rsidR="00000000" w:rsidRDefault="00000000">
      <w:pPr>
        <w:pStyle w:val="SingleTxt"/>
        <w:tabs>
          <w:tab w:val="clear" w:pos="1267"/>
          <w:tab w:val="clear" w:pos="1742"/>
          <w:tab w:val="clear" w:pos="2218"/>
        </w:tabs>
        <w:ind w:left="2694" w:hanging="1427"/>
      </w:pPr>
      <w:r>
        <w:t>МЮ-ИУ</w:t>
      </w:r>
      <w:r>
        <w:tab/>
        <w:t>МЮ-Иммиграционное управление</w:t>
      </w:r>
    </w:p>
    <w:p w:rsidR="00000000" w:rsidRDefault="00000000">
      <w:pPr>
        <w:pStyle w:val="SingleTxt"/>
        <w:tabs>
          <w:tab w:val="clear" w:pos="1267"/>
          <w:tab w:val="clear" w:pos="1742"/>
          <w:tab w:val="clear" w:pos="2218"/>
        </w:tabs>
        <w:ind w:left="2694" w:hanging="1427"/>
      </w:pPr>
      <w:r>
        <w:t>МТЗ</w:t>
      </w:r>
      <w:r>
        <w:tab/>
        <w:t>Министерство труда и занятости</w:t>
      </w:r>
    </w:p>
    <w:p w:rsidR="00000000" w:rsidRDefault="00000000">
      <w:pPr>
        <w:pStyle w:val="SingleTxt"/>
        <w:tabs>
          <w:tab w:val="clear" w:pos="1267"/>
          <w:tab w:val="clear" w:pos="1742"/>
          <w:tab w:val="clear" w:pos="2218"/>
        </w:tabs>
        <w:ind w:left="2694" w:hanging="1427"/>
      </w:pPr>
      <w:r>
        <w:t>МТЗ-УДРЖЮ</w:t>
      </w:r>
      <w:r>
        <w:tab/>
        <w:t>МТЗ-Управление по делам работающих женщин и молодежи</w:t>
      </w:r>
    </w:p>
    <w:p w:rsidR="00000000" w:rsidRDefault="00000000">
      <w:pPr>
        <w:pStyle w:val="SingleTxt"/>
        <w:tabs>
          <w:tab w:val="clear" w:pos="1267"/>
          <w:tab w:val="clear" w:pos="1742"/>
          <w:tab w:val="clear" w:pos="2218"/>
        </w:tabs>
        <w:ind w:left="2694" w:hanging="1427"/>
      </w:pPr>
      <w:r>
        <w:t>МТЗ-ИИТ</w:t>
      </w:r>
      <w:r>
        <w:tab/>
        <w:t>МТЗ-Институт исследований по вопросам труда</w:t>
      </w:r>
    </w:p>
    <w:p w:rsidR="00000000" w:rsidRDefault="00000000">
      <w:pPr>
        <w:pStyle w:val="SingleTxt"/>
        <w:tabs>
          <w:tab w:val="clear" w:pos="1267"/>
          <w:tab w:val="clear" w:pos="1742"/>
          <w:tab w:val="clear" w:pos="2218"/>
        </w:tabs>
        <w:ind w:left="2694" w:hanging="1427"/>
      </w:pPr>
      <w:r>
        <w:t>МТЗ-НКТО</w:t>
      </w:r>
      <w:r>
        <w:tab/>
        <w:t>МТЗ-Национальная комиссия по трудовым отношениям</w:t>
      </w:r>
    </w:p>
    <w:p w:rsidR="00000000" w:rsidRDefault="00000000">
      <w:pPr>
        <w:pStyle w:val="SingleTxt"/>
        <w:tabs>
          <w:tab w:val="clear" w:pos="1267"/>
          <w:tab w:val="clear" w:pos="1742"/>
          <w:tab w:val="clear" w:pos="2218"/>
        </w:tabs>
        <w:ind w:left="2694" w:hanging="1427"/>
      </w:pPr>
      <w:r>
        <w:t>МТЗ-ЦБТОЗ</w:t>
      </w:r>
      <w:r>
        <w:tab/>
        <w:t>МТЗ-Центр безопасности труда и охраны здоровья</w:t>
      </w:r>
    </w:p>
    <w:p w:rsidR="00000000" w:rsidRDefault="00000000">
      <w:pPr>
        <w:pStyle w:val="SingleTxt"/>
        <w:tabs>
          <w:tab w:val="clear" w:pos="1267"/>
          <w:tab w:val="clear" w:pos="1742"/>
        </w:tabs>
        <w:ind w:left="2694" w:hanging="1427"/>
      </w:pPr>
      <w:r>
        <w:t>МТЗ-АФТРЗ</w:t>
      </w:r>
      <w:r>
        <w:tab/>
        <w:t>МТЗ-Администрация по вопросам филиппинских трудящихся, работающих за р</w:t>
      </w:r>
      <w:r>
        <w:t>у</w:t>
      </w:r>
      <w:r>
        <w:t>бежом</w:t>
      </w:r>
    </w:p>
    <w:p w:rsidR="00000000" w:rsidRDefault="00000000">
      <w:pPr>
        <w:pStyle w:val="SingleTxt"/>
        <w:tabs>
          <w:tab w:val="clear" w:pos="1267"/>
          <w:tab w:val="clear" w:pos="1742"/>
        </w:tabs>
        <w:ind w:left="2694" w:hanging="1427"/>
      </w:pPr>
      <w:r>
        <w:t>МТЗ-АНФЗ</w:t>
      </w:r>
      <w:r>
        <w:tab/>
        <w:t>МТЗ-Филиппинская администрация по вопросам работы за р</w:t>
      </w:r>
      <w:r>
        <w:t>у</w:t>
      </w:r>
      <w:r>
        <w:t>б</w:t>
      </w:r>
      <w:r>
        <w:t>е</w:t>
      </w:r>
      <w:r>
        <w:t>жом</w:t>
      </w:r>
    </w:p>
    <w:p w:rsidR="00000000" w:rsidRDefault="00000000">
      <w:pPr>
        <w:pStyle w:val="SingleTxt"/>
        <w:tabs>
          <w:tab w:val="clear" w:pos="1267"/>
          <w:tab w:val="clear" w:pos="1742"/>
          <w:tab w:val="clear" w:pos="2218"/>
        </w:tabs>
        <w:ind w:left="2694" w:hanging="1427"/>
      </w:pPr>
      <w:r>
        <w:t>МОРДС</w:t>
      </w:r>
      <w:r>
        <w:tab/>
        <w:t>Министерство общественных работ и дорожного строительства</w:t>
      </w:r>
    </w:p>
    <w:p w:rsidR="00000000" w:rsidRDefault="00000000">
      <w:pPr>
        <w:pStyle w:val="SingleTxt"/>
        <w:tabs>
          <w:tab w:val="clear" w:pos="1267"/>
          <w:tab w:val="clear" w:pos="1742"/>
          <w:tab w:val="clear" w:pos="2218"/>
        </w:tabs>
        <w:ind w:left="2694" w:hanging="1427"/>
      </w:pPr>
      <w:r>
        <w:t>МСОР</w:t>
      </w:r>
      <w:r>
        <w:tab/>
        <w:t>Министерство социального обеспечения и развития</w:t>
      </w:r>
    </w:p>
    <w:p w:rsidR="00000000" w:rsidRDefault="00000000">
      <w:pPr>
        <w:pStyle w:val="SingleTxt"/>
        <w:tabs>
          <w:tab w:val="clear" w:pos="1267"/>
          <w:tab w:val="clear" w:pos="1742"/>
          <w:tab w:val="clear" w:pos="2218"/>
        </w:tabs>
        <w:ind w:left="2694" w:hanging="1427"/>
      </w:pPr>
      <w:r>
        <w:t>МТП</w:t>
      </w:r>
      <w:r>
        <w:tab/>
        <w:t>Министерство торговли и промышленности</w:t>
      </w:r>
    </w:p>
    <w:p w:rsidR="00000000" w:rsidRDefault="00000000">
      <w:pPr>
        <w:pStyle w:val="SingleTxt"/>
        <w:tabs>
          <w:tab w:val="clear" w:pos="1267"/>
          <w:tab w:val="clear" w:pos="1742"/>
          <w:tab w:val="clear" w:pos="2218"/>
        </w:tabs>
        <w:ind w:left="2694" w:hanging="1427"/>
      </w:pPr>
      <w:r>
        <w:t>ФДС</w:t>
      </w:r>
      <w:r>
        <w:tab/>
        <w:t>Филиппинская организация девочек-скаутов</w:t>
      </w:r>
    </w:p>
    <w:p w:rsidR="00000000" w:rsidRDefault="00000000">
      <w:pPr>
        <w:pStyle w:val="SingleTxt"/>
        <w:tabs>
          <w:tab w:val="clear" w:pos="1267"/>
          <w:tab w:val="clear" w:pos="1742"/>
          <w:tab w:val="clear" w:pos="2218"/>
        </w:tabs>
        <w:ind w:left="2694" w:hanging="1427"/>
      </w:pPr>
      <w:r>
        <w:t>ИПР</w:t>
      </w:r>
      <w:r>
        <w:tab/>
        <w:t>Институт политики и руководства</w:t>
      </w:r>
    </w:p>
    <w:p w:rsidR="00000000" w:rsidRDefault="00000000">
      <w:pPr>
        <w:pStyle w:val="SingleTxt"/>
        <w:tabs>
          <w:tab w:val="clear" w:pos="1267"/>
          <w:tab w:val="clear" w:pos="1742"/>
          <w:tab w:val="clear" w:pos="2218"/>
        </w:tabs>
        <w:ind w:left="2694" w:hanging="1427"/>
      </w:pPr>
      <w:r>
        <w:t>НКК</w:t>
      </w:r>
      <w:r>
        <w:tab/>
        <w:t>Национальная конфедерация кооперативов</w:t>
      </w:r>
    </w:p>
    <w:p w:rsidR="00000000" w:rsidRDefault="00000000">
      <w:pPr>
        <w:pStyle w:val="SingleTxt"/>
        <w:tabs>
          <w:tab w:val="clear" w:pos="1267"/>
          <w:tab w:val="clear" w:pos="1742"/>
          <w:tab w:val="clear" w:pos="2218"/>
        </w:tabs>
        <w:ind w:left="2694" w:hanging="1427"/>
      </w:pPr>
      <w:r>
        <w:t>НБР</w:t>
      </w:r>
      <w:r>
        <w:tab/>
        <w:t>Национальное бюро расследований</w:t>
      </w:r>
    </w:p>
    <w:p w:rsidR="00000000" w:rsidRDefault="00000000">
      <w:pPr>
        <w:pStyle w:val="SingleTxt"/>
        <w:tabs>
          <w:tab w:val="clear" w:pos="1267"/>
          <w:tab w:val="clear" w:pos="1742"/>
          <w:tab w:val="clear" w:pos="2218"/>
        </w:tabs>
        <w:ind w:left="2694" w:hanging="1427"/>
      </w:pPr>
      <w:r>
        <w:t>НККН</w:t>
      </w:r>
      <w:r>
        <w:tab/>
        <w:t>Национальная комиссия по делам коренных народов</w:t>
      </w:r>
    </w:p>
    <w:p w:rsidR="00000000" w:rsidRDefault="00000000">
      <w:pPr>
        <w:pStyle w:val="SingleTxt"/>
        <w:tabs>
          <w:tab w:val="clear" w:pos="1267"/>
          <w:tab w:val="clear" w:pos="1742"/>
          <w:tab w:val="clear" w:pos="2218"/>
        </w:tabs>
        <w:ind w:left="2694" w:hanging="1427"/>
      </w:pPr>
      <w:r>
        <w:rPr>
          <w:caps/>
        </w:rPr>
        <w:t>нкПфж</w:t>
      </w:r>
      <w:r>
        <w:tab/>
        <w:t>Национальная комиссия по положению филиппинских женщин</w:t>
      </w:r>
    </w:p>
    <w:p w:rsidR="00000000" w:rsidRDefault="00000000">
      <w:pPr>
        <w:pStyle w:val="SingleTxt"/>
        <w:tabs>
          <w:tab w:val="clear" w:pos="1267"/>
          <w:tab w:val="clear" w:pos="1742"/>
          <w:tab w:val="clear" w:pos="2218"/>
        </w:tabs>
        <w:ind w:left="2694" w:hanging="1427"/>
      </w:pPr>
      <w:r>
        <w:t>НССР</w:t>
      </w:r>
      <w:r>
        <w:tab/>
        <w:t>Национальный совет социального развития</w:t>
      </w:r>
    </w:p>
    <w:p w:rsidR="00000000" w:rsidRDefault="00000000">
      <w:pPr>
        <w:pStyle w:val="SingleTxt"/>
        <w:tabs>
          <w:tab w:val="clear" w:pos="1267"/>
          <w:tab w:val="clear" w:pos="1742"/>
          <w:tab w:val="clear" w:pos="2218"/>
        </w:tabs>
        <w:ind w:left="2694" w:hanging="1427"/>
      </w:pPr>
      <w:r>
        <w:t>НУЭР</w:t>
      </w:r>
      <w:r>
        <w:tab/>
        <w:t>Национальное управление по вопросам экономики и ра</w:t>
      </w:r>
      <w:r>
        <w:t>з</w:t>
      </w:r>
      <w:r>
        <w:t>вития</w:t>
      </w:r>
    </w:p>
    <w:p w:rsidR="00000000" w:rsidRDefault="00000000">
      <w:pPr>
        <w:pStyle w:val="SingleTxt"/>
        <w:tabs>
          <w:tab w:val="clear" w:pos="1267"/>
          <w:tab w:val="clear" w:pos="1742"/>
          <w:tab w:val="clear" w:pos="2218"/>
        </w:tabs>
        <w:ind w:left="2694" w:hanging="1427"/>
      </w:pPr>
      <w:r>
        <w:t>НФЖК</w:t>
      </w:r>
      <w:r>
        <w:tab/>
        <w:t>Национальная федерация женских клубов</w:t>
      </w:r>
    </w:p>
    <w:p w:rsidR="00000000" w:rsidRDefault="00000000">
      <w:pPr>
        <w:pStyle w:val="SingleTxt"/>
        <w:tabs>
          <w:tab w:val="clear" w:pos="1267"/>
          <w:tab w:val="clear" w:pos="1742"/>
          <w:tab w:val="clear" w:pos="2218"/>
        </w:tabs>
        <w:ind w:left="2694" w:hanging="1427"/>
      </w:pPr>
      <w:r>
        <w:t>НСКС</w:t>
      </w:r>
      <w:r>
        <w:tab/>
        <w:t>Национальный статистический координационный совет</w:t>
      </w:r>
    </w:p>
    <w:p w:rsidR="00000000" w:rsidRDefault="00000000">
      <w:pPr>
        <w:pStyle w:val="SingleTxt"/>
        <w:tabs>
          <w:tab w:val="clear" w:pos="1267"/>
          <w:tab w:val="clear" w:pos="1742"/>
          <w:tab w:val="clear" w:pos="2218"/>
        </w:tabs>
        <w:ind w:left="2694" w:hanging="1427"/>
      </w:pPr>
      <w:r>
        <w:t>НСБ</w:t>
      </w:r>
      <w:r>
        <w:tab/>
        <w:t>Национальное статистическое бюро</w:t>
      </w:r>
    </w:p>
    <w:p w:rsidR="00000000" w:rsidRDefault="00000000">
      <w:pPr>
        <w:pStyle w:val="SingleTxt"/>
        <w:tabs>
          <w:tab w:val="clear" w:pos="1267"/>
          <w:tab w:val="clear" w:pos="1742"/>
          <w:tab w:val="clear" w:pos="2218"/>
        </w:tabs>
        <w:ind w:left="2694" w:hanging="1427"/>
      </w:pPr>
      <w:r>
        <w:t>НКМ</w:t>
      </w:r>
      <w:r>
        <w:tab/>
        <w:t>Национальная комиссия по делам молодежи</w:t>
      </w:r>
    </w:p>
    <w:p w:rsidR="00000000" w:rsidRDefault="00000000">
      <w:pPr>
        <w:pStyle w:val="SingleTxt"/>
        <w:tabs>
          <w:tab w:val="clear" w:pos="1267"/>
          <w:tab w:val="clear" w:pos="1742"/>
          <w:tab w:val="clear" w:pos="2218"/>
        </w:tabs>
        <w:ind w:left="2694" w:hanging="1427"/>
      </w:pPr>
      <w:r>
        <w:t>ФКС</w:t>
      </w:r>
      <w:r>
        <w:tab/>
        <w:t>Филиппинская комиссия по спорту</w:t>
      </w:r>
    </w:p>
    <w:p w:rsidR="00000000" w:rsidRDefault="00000000">
      <w:pPr>
        <w:pStyle w:val="SingleTxt"/>
        <w:tabs>
          <w:tab w:val="clear" w:pos="1267"/>
          <w:tab w:val="clear" w:pos="1742"/>
          <w:tab w:val="clear" w:pos="2218"/>
        </w:tabs>
        <w:ind w:left="2694" w:hanging="1427"/>
      </w:pPr>
      <w:r>
        <w:t>ФУЭЗ</w:t>
      </w:r>
      <w:r>
        <w:tab/>
        <w:t>Филиппинское управление по делам экономических зон</w:t>
      </w:r>
    </w:p>
    <w:p w:rsidR="00000000" w:rsidRDefault="00000000">
      <w:pPr>
        <w:pStyle w:val="SingleTxt"/>
        <w:tabs>
          <w:tab w:val="clear" w:pos="1267"/>
          <w:tab w:val="clear" w:pos="1742"/>
          <w:tab w:val="clear" w:pos="2218"/>
        </w:tabs>
        <w:ind w:left="2694" w:hanging="1427"/>
      </w:pPr>
      <w:r>
        <w:t>ФИА</w:t>
      </w:r>
      <w:r>
        <w:tab/>
        <w:t>Филиппинское информационное агентство</w:t>
      </w:r>
    </w:p>
    <w:p w:rsidR="00000000" w:rsidRDefault="00000000">
      <w:pPr>
        <w:pStyle w:val="SingleTxt"/>
        <w:tabs>
          <w:tab w:val="clear" w:pos="1267"/>
          <w:tab w:val="clear" w:pos="1742"/>
          <w:tab w:val="clear" w:pos="2218"/>
        </w:tabs>
        <w:ind w:left="2694" w:hanging="1427"/>
      </w:pPr>
      <w:r>
        <w:t>ФВА</w:t>
      </w:r>
      <w:r>
        <w:tab/>
        <w:t>Филиппинская военная академия</w:t>
      </w:r>
    </w:p>
    <w:p w:rsidR="00000000" w:rsidRDefault="00000000">
      <w:pPr>
        <w:pStyle w:val="SingleTxt"/>
        <w:tabs>
          <w:tab w:val="clear" w:pos="1267"/>
          <w:tab w:val="clear" w:pos="1742"/>
          <w:tab w:val="clear" w:pos="2218"/>
        </w:tabs>
        <w:ind w:left="2694" w:hanging="1427"/>
      </w:pPr>
      <w:r>
        <w:t>ФНП</w:t>
      </w:r>
      <w:r>
        <w:tab/>
        <w:t>Филиппинская национальная полиция</w:t>
      </w:r>
    </w:p>
    <w:p w:rsidR="00000000" w:rsidRDefault="00000000">
      <w:pPr>
        <w:pStyle w:val="SingleTxt"/>
        <w:tabs>
          <w:tab w:val="clear" w:pos="1267"/>
          <w:tab w:val="clear" w:pos="1742"/>
          <w:tab w:val="clear" w:pos="2218"/>
        </w:tabs>
        <w:ind w:left="2694" w:hanging="1427"/>
      </w:pPr>
      <w:r>
        <w:t>ПНГОК</w:t>
      </w:r>
      <w:r>
        <w:tab/>
        <w:t>Филиппинский совет неправительственных организаций по в</w:t>
      </w:r>
      <w:r>
        <w:t>о</w:t>
      </w:r>
      <w:r>
        <w:t>просам народонаселения, здравоохранения и социального обе</w:t>
      </w:r>
      <w:r>
        <w:t>с</w:t>
      </w:r>
      <w:r>
        <w:t>печ</w:t>
      </w:r>
      <w:r>
        <w:t>е</w:t>
      </w:r>
      <w:r>
        <w:t>ния</w:t>
      </w:r>
    </w:p>
    <w:p w:rsidR="00000000" w:rsidRDefault="00000000">
      <w:pPr>
        <w:pStyle w:val="SingleTxt"/>
        <w:tabs>
          <w:tab w:val="clear" w:pos="1267"/>
          <w:tab w:val="clear" w:pos="1742"/>
          <w:tab w:val="clear" w:pos="2218"/>
        </w:tabs>
        <w:ind w:left="2694" w:hanging="1427"/>
      </w:pPr>
      <w:r>
        <w:t>ПОПКОМ</w:t>
      </w:r>
      <w:r>
        <w:tab/>
        <w:t>Комиссия по народонаселению</w:t>
      </w:r>
    </w:p>
    <w:p w:rsidR="00000000" w:rsidRDefault="00000000">
      <w:pPr>
        <w:pStyle w:val="SingleTxt"/>
        <w:tabs>
          <w:tab w:val="clear" w:pos="1267"/>
          <w:tab w:val="clear" w:pos="1742"/>
          <w:tab w:val="clear" w:pos="2218"/>
        </w:tabs>
        <w:ind w:left="2694" w:hanging="1427"/>
        <w:rPr>
          <w:lang w:val="en-GB"/>
        </w:rPr>
      </w:pPr>
      <w:r>
        <w:t>САЛИГАН</w:t>
      </w:r>
      <w:r>
        <w:rPr>
          <w:lang w:val="en-GB"/>
        </w:rPr>
        <w:tab/>
      </w:r>
      <w:r>
        <w:rPr>
          <w:i/>
          <w:lang w:val="en-GB"/>
        </w:rPr>
        <w:t>Sentro ng Alternatibong Lingap Panlegal</w:t>
      </w:r>
      <w:r>
        <w:rPr>
          <w:lang w:val="en-GB"/>
        </w:rPr>
        <w:t xml:space="preserve"> (SALIGAN)</w:t>
      </w:r>
    </w:p>
    <w:p w:rsidR="00000000" w:rsidRDefault="00000000">
      <w:pPr>
        <w:pStyle w:val="SingleTxt"/>
        <w:tabs>
          <w:tab w:val="clear" w:pos="1267"/>
          <w:tab w:val="clear" w:pos="1742"/>
          <w:tab w:val="clear" w:pos="2218"/>
        </w:tabs>
        <w:ind w:left="2694" w:hanging="1427"/>
        <w:rPr>
          <w:lang w:val="en-GB"/>
        </w:rPr>
      </w:pPr>
      <w:r>
        <w:t>СИБОЛ</w:t>
      </w:r>
      <w:r>
        <w:rPr>
          <w:lang w:val="en-GB"/>
        </w:rPr>
        <w:tab/>
      </w:r>
      <w:r>
        <w:rPr>
          <w:i/>
          <w:lang w:val="en-GB"/>
        </w:rPr>
        <w:t>Sama-samang Inisyatiba ng Kababaihan sa Pagbabago ng Batas at Lipunan</w:t>
      </w:r>
    </w:p>
    <w:p w:rsidR="00000000" w:rsidRDefault="00000000">
      <w:pPr>
        <w:pStyle w:val="SingleTxt"/>
        <w:tabs>
          <w:tab w:val="clear" w:pos="1267"/>
          <w:tab w:val="clear" w:pos="1742"/>
          <w:tab w:val="clear" w:pos="2218"/>
        </w:tabs>
        <w:ind w:left="2694" w:hanging="1427"/>
      </w:pPr>
      <w:r>
        <w:t>ВС-СКА</w:t>
      </w:r>
      <w:r>
        <w:tab/>
        <w:t>Верховный суд-Совет коллегии адвокатов</w:t>
      </w:r>
    </w:p>
    <w:p w:rsidR="00000000" w:rsidRDefault="00000000">
      <w:pPr>
        <w:pStyle w:val="SingleTxt"/>
        <w:tabs>
          <w:tab w:val="clear" w:pos="1267"/>
          <w:tab w:val="clear" w:pos="1742"/>
          <w:tab w:val="clear" w:pos="2218"/>
        </w:tabs>
        <w:ind w:left="2694" w:hanging="1427"/>
      </w:pPr>
      <w:r>
        <w:t>КПФ-ЦС</w:t>
      </w:r>
      <w:r>
        <w:tab/>
        <w:t>Конгресс профсоюзов Филиппин-Центр солидарности</w:t>
      </w:r>
    </w:p>
    <w:p w:rsidR="00000000" w:rsidRDefault="00000000">
      <w:pPr>
        <w:pStyle w:val="SingleTxt"/>
        <w:tabs>
          <w:tab w:val="clear" w:pos="1267"/>
          <w:tab w:val="clear" w:pos="1742"/>
          <w:tab w:val="clear" w:pos="2218"/>
        </w:tabs>
        <w:ind w:left="2694" w:hanging="1427"/>
      </w:pPr>
      <w:r>
        <w:t>ТЕСДА</w:t>
      </w:r>
      <w:r>
        <w:tab/>
        <w:t>Управление по техническому образованию и развитию навыков</w:t>
      </w:r>
    </w:p>
    <w:p w:rsidR="00000000" w:rsidRDefault="00000000">
      <w:pPr>
        <w:pStyle w:val="SingleTxt"/>
        <w:tabs>
          <w:tab w:val="clear" w:pos="1267"/>
          <w:tab w:val="clear" w:pos="1742"/>
          <w:tab w:val="clear" w:pos="2218"/>
        </w:tabs>
        <w:ind w:left="2694" w:hanging="1427"/>
      </w:pPr>
      <w:r>
        <w:t>УКП</w:t>
      </w:r>
      <w:r>
        <w:tab/>
        <w:t>Филиппинская сеть участия женщин в политике и руководстве</w:t>
      </w:r>
    </w:p>
    <w:p w:rsidR="00000000" w:rsidRDefault="00000000">
      <w:pPr>
        <w:pStyle w:val="SingleTxt"/>
        <w:tabs>
          <w:tab w:val="clear" w:pos="1267"/>
          <w:tab w:val="clear" w:pos="1742"/>
          <w:tab w:val="clear" w:pos="2218"/>
        </w:tabs>
        <w:ind w:left="2694" w:hanging="1427"/>
      </w:pPr>
      <w:r>
        <w:t>ФУЦЖИ</w:t>
      </w:r>
      <w:r>
        <w:tab/>
        <w:t>Филиппинский университет-Центр женских исследований</w:t>
      </w:r>
    </w:p>
    <w:p w:rsidR="00000000" w:rsidRDefault="00000000">
      <w:pPr>
        <w:pStyle w:val="SingleTxt"/>
        <w:tabs>
          <w:tab w:val="clear" w:pos="1267"/>
          <w:tab w:val="clear" w:pos="1742"/>
          <w:tab w:val="clear" w:pos="2218"/>
        </w:tabs>
        <w:ind w:left="2694" w:hanging="1427"/>
      </w:pPr>
      <w:r>
        <w:t>СКВ</w:t>
      </w:r>
      <w:r>
        <w:tab/>
        <w:t>Совет по контролю за видеограммами</w:t>
      </w:r>
    </w:p>
    <w:p w:rsidR="00000000" w:rsidRDefault="00000000">
      <w:pPr>
        <w:pStyle w:val="SingleTxt"/>
        <w:tabs>
          <w:tab w:val="clear" w:pos="1267"/>
          <w:tab w:val="clear" w:pos="1742"/>
          <w:tab w:val="clear" w:pos="2218"/>
        </w:tabs>
        <w:ind w:left="2694" w:hanging="1427"/>
      </w:pPr>
      <w:r>
        <w:t>СЖБ</w:t>
      </w:r>
      <w:r>
        <w:tab/>
        <w:t>Совет женщин-бизнесменов</w:t>
      </w:r>
    </w:p>
    <w:p w:rsidR="00000000" w:rsidRDefault="00000000">
      <w:pPr>
        <w:pStyle w:val="SingleTxt"/>
        <w:tabs>
          <w:tab w:val="clear" w:pos="1267"/>
          <w:tab w:val="clear" w:pos="1742"/>
          <w:tab w:val="clear" w:pos="2218"/>
        </w:tabs>
        <w:ind w:left="2694" w:hanging="1427"/>
      </w:pPr>
      <w:r>
        <w:t>ЖКЦ</w:t>
      </w:r>
      <w:r>
        <w:tab/>
        <w:t>Женский кризисный центр</w:t>
      </w:r>
    </w:p>
    <w:p w:rsidR="00000000" w:rsidRDefault="00000000">
      <w:pPr>
        <w:pStyle w:val="SingleTxt"/>
        <w:tabs>
          <w:tab w:val="clear" w:pos="1267"/>
          <w:tab w:val="clear" w:pos="1742"/>
          <w:tab w:val="clear" w:pos="2218"/>
        </w:tabs>
        <w:ind w:left="2694" w:hanging="1427"/>
      </w:pPr>
      <w:r>
        <w:t>УЖФН</w:t>
      </w:r>
      <w:r>
        <w:tab/>
        <w:t>Участи женщин в формировании нации</w:t>
      </w:r>
    </w:p>
    <w:p w:rsidR="00000000" w:rsidRDefault="00000000">
      <w:pPr>
        <w:pStyle w:val="SingleTxt"/>
        <w:tabs>
          <w:tab w:val="clear" w:pos="1267"/>
          <w:tab w:val="clear" w:pos="1742"/>
          <w:tab w:val="clear" w:pos="2218"/>
        </w:tabs>
        <w:ind w:left="2694" w:hanging="1427"/>
      </w:pPr>
      <w:r>
        <w:t>ЖЮБ</w:t>
      </w:r>
      <w:r>
        <w:tab/>
        <w:t>Женское юридическое бюро</w:t>
      </w:r>
    </w:p>
    <w:p w:rsidR="00000000" w:rsidRDefault="00000000">
      <w:pPr>
        <w:pStyle w:val="SingleTxt"/>
        <w:tabs>
          <w:tab w:val="clear" w:pos="1267"/>
          <w:tab w:val="clear" w:pos="1742"/>
          <w:tab w:val="clear" w:pos="2218"/>
        </w:tabs>
        <w:ind w:left="2694" w:hanging="1427"/>
      </w:pPr>
      <w:r>
        <w:t>ЖФСИ</w:t>
      </w:r>
      <w:r>
        <w:tab/>
        <w:t>Женский фонд средств информации</w:t>
      </w:r>
    </w:p>
    <w:p w:rsidR="00000000" w:rsidRDefault="00000000">
      <w:pPr>
        <w:pStyle w:val="HCh"/>
      </w:pPr>
      <w:r>
        <w:br w:type="page"/>
      </w:r>
      <w:bookmarkStart w:id="88" w:name="_Toc85174957"/>
      <w:r>
        <w:t>Приложение A: Сопроводительные таблицы</w:t>
      </w:r>
      <w:bookmarkEnd w:id="88"/>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ind w:left="1276"/>
      </w:pPr>
      <w:bookmarkStart w:id="89" w:name="_Toc85174958"/>
      <w:r>
        <w:t>Приложение таблицы к Статье 10</w:t>
      </w:r>
      <w:bookmarkEnd w:id="89"/>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table"/>
      </w:pPr>
      <w:bookmarkStart w:id="90" w:name="_Toc85175492"/>
      <w:r>
        <w:t>Приложение. Таблица B10.1. Численность поступающих в школу детей и численность продолжающих учиться в школе детей с разбивкой на мал</w:t>
      </w:r>
      <w:r>
        <w:t>ь</w:t>
      </w:r>
      <w:r>
        <w:t>чиков и девочек по уровню образования</w:t>
      </w:r>
      <w:bookmarkEnd w:id="90"/>
    </w:p>
    <w:tbl>
      <w:tblPr>
        <w:tblW w:w="0" w:type="auto"/>
        <w:tblInd w:w="1278" w:type="dxa"/>
        <w:tblLayout w:type="fixed"/>
        <w:tblLook w:val="0000" w:firstRow="0" w:lastRow="0" w:firstColumn="0" w:lastColumn="0" w:noHBand="0" w:noVBand="0"/>
      </w:tblPr>
      <w:tblGrid>
        <w:gridCol w:w="1334"/>
        <w:gridCol w:w="1006"/>
        <w:gridCol w:w="1062"/>
        <w:gridCol w:w="950"/>
        <w:gridCol w:w="1035"/>
        <w:gridCol w:w="977"/>
        <w:gridCol w:w="1007"/>
      </w:tblGrid>
      <w:tr w:rsidR="00000000">
        <w:tblPrEx>
          <w:tblCellMar>
            <w:top w:w="0" w:type="dxa"/>
            <w:bottom w:w="0" w:type="dxa"/>
          </w:tblCellMar>
        </w:tblPrEx>
        <w:trPr>
          <w:cantSplit/>
          <w:trHeight w:val="269"/>
          <w:tblHeader/>
        </w:trPr>
        <w:tc>
          <w:tcPr>
            <w:tcW w:w="1334" w:type="dxa"/>
            <w:vMerge w:val="restart"/>
            <w:tcBorders>
              <w:top w:val="single" w:sz="4" w:space="0" w:color="auto"/>
            </w:tcBorders>
            <w:vAlign w:val="bottom"/>
          </w:tcPr>
          <w:p w:rsidR="00000000" w:rsidRDefault="00000000">
            <w:pPr>
              <w:spacing w:before="40" w:after="40" w:line="240" w:lineRule="auto"/>
              <w:jc w:val="center"/>
              <w:rPr>
                <w:i/>
                <w:sz w:val="17"/>
              </w:rPr>
            </w:pPr>
            <w:r>
              <w:rPr>
                <w:i/>
                <w:sz w:val="17"/>
              </w:rPr>
              <w:t>Уровень обр</w:t>
            </w:r>
            <w:r>
              <w:rPr>
                <w:i/>
                <w:sz w:val="17"/>
              </w:rPr>
              <w:t>а</w:t>
            </w:r>
            <w:r>
              <w:rPr>
                <w:i/>
                <w:sz w:val="17"/>
              </w:rPr>
              <w:t>зования и год обучения</w:t>
            </w:r>
          </w:p>
        </w:tc>
        <w:tc>
          <w:tcPr>
            <w:tcW w:w="2068" w:type="dxa"/>
            <w:gridSpan w:val="2"/>
            <w:tcBorders>
              <w:top w:val="single" w:sz="4" w:space="0" w:color="auto"/>
              <w:bottom w:val="single" w:sz="4" w:space="0" w:color="auto"/>
            </w:tcBorders>
            <w:vAlign w:val="bottom"/>
          </w:tcPr>
          <w:p w:rsidR="00000000" w:rsidRDefault="00000000">
            <w:pPr>
              <w:spacing w:before="40" w:after="40" w:line="240" w:lineRule="auto"/>
              <w:jc w:val="center"/>
              <w:rPr>
                <w:i/>
                <w:sz w:val="17"/>
              </w:rPr>
            </w:pPr>
            <w:r>
              <w:rPr>
                <w:i/>
                <w:sz w:val="17"/>
              </w:rPr>
              <w:t>Коэффициент отс</w:t>
            </w:r>
            <w:r>
              <w:rPr>
                <w:i/>
                <w:sz w:val="17"/>
              </w:rPr>
              <w:t>е</w:t>
            </w:r>
            <w:r>
              <w:rPr>
                <w:i/>
                <w:sz w:val="17"/>
              </w:rPr>
              <w:t>ва</w:t>
            </w:r>
          </w:p>
        </w:tc>
        <w:tc>
          <w:tcPr>
            <w:tcW w:w="1985" w:type="dxa"/>
            <w:gridSpan w:val="2"/>
            <w:tcBorders>
              <w:top w:val="single" w:sz="4" w:space="0" w:color="auto"/>
              <w:bottom w:val="single" w:sz="4" w:space="0" w:color="auto"/>
            </w:tcBorders>
            <w:vAlign w:val="bottom"/>
          </w:tcPr>
          <w:p w:rsidR="00000000" w:rsidRDefault="00000000">
            <w:pPr>
              <w:spacing w:before="40" w:after="40" w:line="240" w:lineRule="auto"/>
              <w:jc w:val="center"/>
              <w:rPr>
                <w:i/>
                <w:sz w:val="17"/>
              </w:rPr>
            </w:pPr>
            <w:r>
              <w:rPr>
                <w:i/>
                <w:sz w:val="17"/>
              </w:rPr>
              <w:t>Чистая доля пост</w:t>
            </w:r>
            <w:r>
              <w:rPr>
                <w:i/>
                <w:sz w:val="17"/>
              </w:rPr>
              <w:t>у</w:t>
            </w:r>
            <w:r>
              <w:rPr>
                <w:i/>
                <w:sz w:val="17"/>
              </w:rPr>
              <w:t>пающих</w:t>
            </w:r>
          </w:p>
        </w:tc>
        <w:tc>
          <w:tcPr>
            <w:tcW w:w="1984" w:type="dxa"/>
            <w:gridSpan w:val="2"/>
            <w:tcBorders>
              <w:top w:val="single" w:sz="4" w:space="0" w:color="auto"/>
              <w:bottom w:val="single" w:sz="4" w:space="0" w:color="auto"/>
            </w:tcBorders>
            <w:vAlign w:val="bottom"/>
          </w:tcPr>
          <w:p w:rsidR="00000000" w:rsidRDefault="00000000">
            <w:pPr>
              <w:spacing w:before="40" w:after="40" w:line="240" w:lineRule="auto"/>
              <w:jc w:val="center"/>
              <w:rPr>
                <w:i/>
                <w:sz w:val="17"/>
              </w:rPr>
            </w:pPr>
            <w:r>
              <w:rPr>
                <w:i/>
                <w:sz w:val="17"/>
              </w:rPr>
              <w:t>Доля детей, продо</w:t>
            </w:r>
            <w:r>
              <w:rPr>
                <w:i/>
                <w:sz w:val="17"/>
              </w:rPr>
              <w:t>л</w:t>
            </w:r>
            <w:r>
              <w:rPr>
                <w:i/>
                <w:sz w:val="17"/>
              </w:rPr>
              <w:t>жа</w:t>
            </w:r>
            <w:r>
              <w:rPr>
                <w:i/>
                <w:sz w:val="17"/>
              </w:rPr>
              <w:t>ю</w:t>
            </w:r>
            <w:r>
              <w:rPr>
                <w:i/>
                <w:sz w:val="17"/>
              </w:rPr>
              <w:t>щих учебу</w:t>
            </w:r>
          </w:p>
        </w:tc>
      </w:tr>
      <w:tr w:rsidR="00000000">
        <w:tblPrEx>
          <w:tblCellMar>
            <w:top w:w="0" w:type="dxa"/>
            <w:bottom w:w="0" w:type="dxa"/>
          </w:tblCellMar>
        </w:tblPrEx>
        <w:trPr>
          <w:cantSplit/>
          <w:tblHeader/>
        </w:trPr>
        <w:tc>
          <w:tcPr>
            <w:tcW w:w="1334" w:type="dxa"/>
            <w:vMerge/>
            <w:tcBorders>
              <w:bottom w:val="single" w:sz="12" w:space="0" w:color="auto"/>
            </w:tcBorders>
            <w:vAlign w:val="bottom"/>
          </w:tcPr>
          <w:p w:rsidR="00000000" w:rsidRDefault="00000000">
            <w:pPr>
              <w:spacing w:before="40" w:after="40" w:line="240" w:lineRule="auto"/>
              <w:jc w:val="center"/>
              <w:rPr>
                <w:i/>
                <w:sz w:val="17"/>
              </w:rPr>
            </w:pPr>
          </w:p>
        </w:tc>
        <w:tc>
          <w:tcPr>
            <w:tcW w:w="1006" w:type="dxa"/>
            <w:tcBorders>
              <w:top w:val="single" w:sz="4" w:space="0" w:color="auto"/>
              <w:bottom w:val="single" w:sz="12" w:space="0" w:color="auto"/>
            </w:tcBorders>
            <w:vAlign w:val="bottom"/>
          </w:tcPr>
          <w:p w:rsidR="00000000" w:rsidRDefault="00000000">
            <w:pPr>
              <w:pStyle w:val="Header"/>
              <w:tabs>
                <w:tab w:val="clear" w:pos="4320"/>
                <w:tab w:val="clear" w:pos="8640"/>
              </w:tabs>
              <w:spacing w:before="40" w:after="40"/>
              <w:jc w:val="center"/>
              <w:rPr>
                <w:i/>
                <w:noProof w:val="0"/>
                <w:spacing w:val="4"/>
                <w:w w:val="103"/>
                <w:kern w:val="14"/>
              </w:rPr>
            </w:pPr>
            <w:r>
              <w:rPr>
                <w:i/>
                <w:noProof w:val="0"/>
                <w:spacing w:val="4"/>
                <w:w w:val="103"/>
                <w:kern w:val="14"/>
              </w:rPr>
              <w:t>Дево</w:t>
            </w:r>
            <w:r>
              <w:rPr>
                <w:i/>
                <w:noProof w:val="0"/>
                <w:spacing w:val="4"/>
                <w:w w:val="103"/>
                <w:kern w:val="14"/>
              </w:rPr>
              <w:t>ч</w:t>
            </w:r>
            <w:r>
              <w:rPr>
                <w:i/>
                <w:noProof w:val="0"/>
                <w:spacing w:val="4"/>
                <w:w w:val="103"/>
                <w:kern w:val="14"/>
              </w:rPr>
              <w:t>ки</w:t>
            </w:r>
          </w:p>
        </w:tc>
        <w:tc>
          <w:tcPr>
            <w:tcW w:w="1062"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Мальч</w:t>
            </w:r>
            <w:r>
              <w:rPr>
                <w:i/>
                <w:sz w:val="17"/>
              </w:rPr>
              <w:t>и</w:t>
            </w:r>
            <w:r>
              <w:rPr>
                <w:i/>
                <w:sz w:val="17"/>
              </w:rPr>
              <w:t>ки</w:t>
            </w:r>
          </w:p>
        </w:tc>
        <w:tc>
          <w:tcPr>
            <w:tcW w:w="950"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Девочки</w:t>
            </w:r>
          </w:p>
        </w:tc>
        <w:tc>
          <w:tcPr>
            <w:tcW w:w="1035"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Мальчики</w:t>
            </w:r>
          </w:p>
        </w:tc>
        <w:tc>
          <w:tcPr>
            <w:tcW w:w="977"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Девочки</w:t>
            </w:r>
          </w:p>
        </w:tc>
        <w:tc>
          <w:tcPr>
            <w:tcW w:w="1007"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Мальчики</w:t>
            </w:r>
          </w:p>
        </w:tc>
      </w:tr>
      <w:tr w:rsidR="00000000">
        <w:tblPrEx>
          <w:tblCellMar>
            <w:top w:w="0" w:type="dxa"/>
            <w:bottom w:w="0" w:type="dxa"/>
          </w:tblCellMar>
        </w:tblPrEx>
        <w:trPr>
          <w:cantSplit/>
        </w:trPr>
        <w:tc>
          <w:tcPr>
            <w:tcW w:w="7371" w:type="dxa"/>
            <w:gridSpan w:val="7"/>
            <w:tcBorders>
              <w:top w:val="single" w:sz="12" w:space="0" w:color="auto"/>
            </w:tcBorders>
          </w:tcPr>
          <w:p w:rsidR="00000000" w:rsidRDefault="00000000">
            <w:pPr>
              <w:spacing w:before="40" w:after="40" w:line="240" w:lineRule="auto"/>
              <w:rPr>
                <w:sz w:val="17"/>
              </w:rPr>
            </w:pPr>
            <w:r>
              <w:rPr>
                <w:sz w:val="17"/>
              </w:rPr>
              <w:t>Начальная школа</w:t>
            </w:r>
          </w:p>
        </w:tc>
      </w:tr>
      <w:tr w:rsidR="00000000">
        <w:tblPrEx>
          <w:tblCellMar>
            <w:top w:w="0" w:type="dxa"/>
            <w:bottom w:w="0" w:type="dxa"/>
          </w:tblCellMar>
        </w:tblPrEx>
        <w:tc>
          <w:tcPr>
            <w:tcW w:w="1334" w:type="dxa"/>
          </w:tcPr>
          <w:p w:rsidR="00000000" w:rsidRDefault="00000000">
            <w:pPr>
              <w:pStyle w:val="Header"/>
              <w:tabs>
                <w:tab w:val="clear" w:pos="4320"/>
                <w:tab w:val="clear" w:pos="8640"/>
              </w:tabs>
              <w:spacing w:before="40" w:after="40"/>
              <w:rPr>
                <w:noProof w:val="0"/>
                <w:spacing w:val="4"/>
                <w:w w:val="103"/>
                <w:kern w:val="14"/>
              </w:rPr>
            </w:pPr>
            <w:r>
              <w:rPr>
                <w:noProof w:val="0"/>
                <w:spacing w:val="4"/>
                <w:w w:val="103"/>
                <w:kern w:val="14"/>
              </w:rPr>
              <w:t>1996/97 год</w:t>
            </w:r>
          </w:p>
        </w:tc>
        <w:tc>
          <w:tcPr>
            <w:tcW w:w="1006" w:type="dxa"/>
          </w:tcPr>
          <w:p w:rsidR="00000000" w:rsidRDefault="00000000">
            <w:pPr>
              <w:tabs>
                <w:tab w:val="decimal" w:pos="401"/>
              </w:tabs>
              <w:spacing w:before="40" w:after="40" w:line="240" w:lineRule="auto"/>
              <w:rPr>
                <w:sz w:val="17"/>
              </w:rPr>
            </w:pPr>
            <w:r>
              <w:rPr>
                <w:sz w:val="17"/>
              </w:rPr>
              <w:t>6,5</w:t>
            </w:r>
          </w:p>
        </w:tc>
        <w:tc>
          <w:tcPr>
            <w:tcW w:w="1062" w:type="dxa"/>
          </w:tcPr>
          <w:p w:rsidR="00000000" w:rsidRDefault="00000000">
            <w:pPr>
              <w:tabs>
                <w:tab w:val="decimal" w:pos="401"/>
              </w:tabs>
              <w:spacing w:before="40" w:after="40" w:line="240" w:lineRule="auto"/>
              <w:rPr>
                <w:sz w:val="17"/>
              </w:rPr>
            </w:pPr>
            <w:r>
              <w:rPr>
                <w:sz w:val="17"/>
              </w:rPr>
              <w:t>9,4</w:t>
            </w:r>
          </w:p>
        </w:tc>
        <w:tc>
          <w:tcPr>
            <w:tcW w:w="950" w:type="dxa"/>
          </w:tcPr>
          <w:p w:rsidR="00000000" w:rsidRDefault="00000000">
            <w:pPr>
              <w:tabs>
                <w:tab w:val="decimal" w:pos="401"/>
              </w:tabs>
              <w:spacing w:before="40" w:after="40" w:line="240" w:lineRule="auto"/>
              <w:rPr>
                <w:sz w:val="17"/>
              </w:rPr>
            </w:pPr>
          </w:p>
        </w:tc>
        <w:tc>
          <w:tcPr>
            <w:tcW w:w="1035" w:type="dxa"/>
          </w:tcPr>
          <w:p w:rsidR="00000000" w:rsidRDefault="00000000">
            <w:pPr>
              <w:tabs>
                <w:tab w:val="decimal" w:pos="401"/>
              </w:tabs>
              <w:spacing w:before="40" w:after="40" w:line="240" w:lineRule="auto"/>
              <w:rPr>
                <w:sz w:val="17"/>
              </w:rPr>
            </w:pPr>
          </w:p>
        </w:tc>
        <w:tc>
          <w:tcPr>
            <w:tcW w:w="977" w:type="dxa"/>
          </w:tcPr>
          <w:p w:rsidR="00000000" w:rsidRDefault="00000000">
            <w:pPr>
              <w:tabs>
                <w:tab w:val="decimal" w:pos="401"/>
              </w:tabs>
              <w:spacing w:before="40" w:after="40" w:line="240" w:lineRule="auto"/>
              <w:rPr>
                <w:sz w:val="17"/>
              </w:rPr>
            </w:pPr>
            <w:r>
              <w:rPr>
                <w:sz w:val="17"/>
              </w:rPr>
              <w:t>73,0</w:t>
            </w:r>
          </w:p>
        </w:tc>
        <w:tc>
          <w:tcPr>
            <w:tcW w:w="1007" w:type="dxa"/>
          </w:tcPr>
          <w:p w:rsidR="00000000" w:rsidRDefault="00000000">
            <w:pPr>
              <w:tabs>
                <w:tab w:val="decimal" w:pos="401"/>
              </w:tabs>
              <w:spacing w:before="40" w:after="40" w:line="240" w:lineRule="auto"/>
              <w:rPr>
                <w:sz w:val="17"/>
              </w:rPr>
            </w:pPr>
            <w:r>
              <w:rPr>
                <w:sz w:val="17"/>
              </w:rPr>
              <w:t>63,4</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1997/98 год</w:t>
            </w:r>
          </w:p>
        </w:tc>
        <w:tc>
          <w:tcPr>
            <w:tcW w:w="1006" w:type="dxa"/>
          </w:tcPr>
          <w:p w:rsidR="00000000" w:rsidRDefault="00000000">
            <w:pPr>
              <w:tabs>
                <w:tab w:val="decimal" w:pos="401"/>
              </w:tabs>
              <w:spacing w:before="40" w:after="40" w:line="240" w:lineRule="auto"/>
              <w:rPr>
                <w:sz w:val="17"/>
              </w:rPr>
            </w:pPr>
            <w:r>
              <w:rPr>
                <w:sz w:val="17"/>
              </w:rPr>
              <w:t>6,3</w:t>
            </w:r>
          </w:p>
        </w:tc>
        <w:tc>
          <w:tcPr>
            <w:tcW w:w="1062" w:type="dxa"/>
          </w:tcPr>
          <w:p w:rsidR="00000000" w:rsidRDefault="00000000">
            <w:pPr>
              <w:tabs>
                <w:tab w:val="decimal" w:pos="401"/>
              </w:tabs>
              <w:spacing w:before="40" w:after="40" w:line="240" w:lineRule="auto"/>
              <w:rPr>
                <w:sz w:val="17"/>
              </w:rPr>
            </w:pPr>
            <w:r>
              <w:rPr>
                <w:sz w:val="17"/>
              </w:rPr>
              <w:t>8,4</w:t>
            </w:r>
          </w:p>
        </w:tc>
        <w:tc>
          <w:tcPr>
            <w:tcW w:w="950" w:type="dxa"/>
          </w:tcPr>
          <w:p w:rsidR="00000000" w:rsidRDefault="00000000">
            <w:pPr>
              <w:tabs>
                <w:tab w:val="decimal" w:pos="401"/>
              </w:tabs>
              <w:spacing w:before="40" w:after="40" w:line="240" w:lineRule="auto"/>
              <w:rPr>
                <w:sz w:val="17"/>
              </w:rPr>
            </w:pPr>
          </w:p>
        </w:tc>
        <w:tc>
          <w:tcPr>
            <w:tcW w:w="1035" w:type="dxa"/>
          </w:tcPr>
          <w:p w:rsidR="00000000" w:rsidRDefault="00000000">
            <w:pPr>
              <w:tabs>
                <w:tab w:val="decimal" w:pos="401"/>
              </w:tabs>
              <w:spacing w:before="40" w:after="40" w:line="240" w:lineRule="auto"/>
              <w:rPr>
                <w:sz w:val="17"/>
              </w:rPr>
            </w:pPr>
          </w:p>
        </w:tc>
        <w:tc>
          <w:tcPr>
            <w:tcW w:w="977" w:type="dxa"/>
          </w:tcPr>
          <w:p w:rsidR="00000000" w:rsidRDefault="00000000">
            <w:pPr>
              <w:tabs>
                <w:tab w:val="decimal" w:pos="401"/>
              </w:tabs>
              <w:spacing w:before="40" w:after="40" w:line="240" w:lineRule="auto"/>
              <w:rPr>
                <w:sz w:val="17"/>
              </w:rPr>
            </w:pPr>
            <w:r>
              <w:rPr>
                <w:sz w:val="17"/>
              </w:rPr>
              <w:t>73,5</w:t>
            </w:r>
          </w:p>
        </w:tc>
        <w:tc>
          <w:tcPr>
            <w:tcW w:w="1007" w:type="dxa"/>
          </w:tcPr>
          <w:p w:rsidR="00000000" w:rsidRDefault="00000000">
            <w:pPr>
              <w:tabs>
                <w:tab w:val="decimal" w:pos="401"/>
              </w:tabs>
              <w:spacing w:before="40" w:after="40" w:line="240" w:lineRule="auto"/>
              <w:rPr>
                <w:sz w:val="17"/>
              </w:rPr>
            </w:pPr>
            <w:r>
              <w:rPr>
                <w:sz w:val="17"/>
              </w:rPr>
              <w:t>64,4</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1998/99 год</w:t>
            </w:r>
          </w:p>
        </w:tc>
        <w:tc>
          <w:tcPr>
            <w:tcW w:w="1006" w:type="dxa"/>
          </w:tcPr>
          <w:p w:rsidR="00000000" w:rsidRDefault="00000000">
            <w:pPr>
              <w:tabs>
                <w:tab w:val="decimal" w:pos="401"/>
              </w:tabs>
              <w:spacing w:before="40" w:after="40" w:line="240" w:lineRule="auto"/>
              <w:rPr>
                <w:sz w:val="17"/>
              </w:rPr>
            </w:pPr>
          </w:p>
        </w:tc>
        <w:tc>
          <w:tcPr>
            <w:tcW w:w="1062" w:type="dxa"/>
          </w:tcPr>
          <w:p w:rsidR="00000000" w:rsidRDefault="00000000">
            <w:pPr>
              <w:tabs>
                <w:tab w:val="decimal" w:pos="401"/>
              </w:tabs>
              <w:spacing w:before="40" w:after="40" w:line="240" w:lineRule="auto"/>
              <w:rPr>
                <w:sz w:val="17"/>
              </w:rPr>
            </w:pPr>
          </w:p>
        </w:tc>
        <w:tc>
          <w:tcPr>
            <w:tcW w:w="950" w:type="dxa"/>
          </w:tcPr>
          <w:p w:rsidR="00000000" w:rsidRDefault="00000000">
            <w:pPr>
              <w:tabs>
                <w:tab w:val="decimal" w:pos="401"/>
              </w:tabs>
              <w:spacing w:before="40" w:after="40" w:line="240" w:lineRule="auto"/>
              <w:rPr>
                <w:sz w:val="17"/>
              </w:rPr>
            </w:pPr>
            <w:r>
              <w:rPr>
                <w:sz w:val="17"/>
              </w:rPr>
              <w:t>94,0</w:t>
            </w:r>
          </w:p>
        </w:tc>
        <w:tc>
          <w:tcPr>
            <w:tcW w:w="1035" w:type="dxa"/>
          </w:tcPr>
          <w:p w:rsidR="00000000" w:rsidRDefault="00000000">
            <w:pPr>
              <w:tabs>
                <w:tab w:val="decimal" w:pos="401"/>
              </w:tabs>
              <w:spacing w:before="40" w:after="40" w:line="240" w:lineRule="auto"/>
              <w:rPr>
                <w:sz w:val="17"/>
              </w:rPr>
            </w:pPr>
            <w:r>
              <w:rPr>
                <w:sz w:val="17"/>
              </w:rPr>
              <w:t>97,4</w:t>
            </w:r>
          </w:p>
        </w:tc>
        <w:tc>
          <w:tcPr>
            <w:tcW w:w="977" w:type="dxa"/>
          </w:tcPr>
          <w:p w:rsidR="00000000" w:rsidRDefault="00000000">
            <w:pPr>
              <w:tabs>
                <w:tab w:val="decimal" w:pos="401"/>
              </w:tabs>
              <w:spacing w:before="40" w:after="40" w:line="240" w:lineRule="auto"/>
              <w:rPr>
                <w:sz w:val="17"/>
              </w:rPr>
            </w:pPr>
            <w:r>
              <w:rPr>
                <w:sz w:val="17"/>
              </w:rPr>
              <w:t>74,3</w:t>
            </w:r>
          </w:p>
        </w:tc>
        <w:tc>
          <w:tcPr>
            <w:tcW w:w="1007" w:type="dxa"/>
          </w:tcPr>
          <w:p w:rsidR="00000000" w:rsidRDefault="00000000">
            <w:pPr>
              <w:tabs>
                <w:tab w:val="decimal" w:pos="401"/>
              </w:tabs>
              <w:spacing w:before="40" w:after="40" w:line="240" w:lineRule="auto"/>
              <w:rPr>
                <w:sz w:val="17"/>
              </w:rPr>
            </w:pPr>
            <w:r>
              <w:rPr>
                <w:sz w:val="17"/>
              </w:rPr>
              <w:t>65,6</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1999/2000 год</w:t>
            </w:r>
          </w:p>
        </w:tc>
        <w:tc>
          <w:tcPr>
            <w:tcW w:w="1006" w:type="dxa"/>
          </w:tcPr>
          <w:p w:rsidR="00000000" w:rsidRDefault="00000000">
            <w:pPr>
              <w:tabs>
                <w:tab w:val="decimal" w:pos="401"/>
              </w:tabs>
              <w:spacing w:before="40" w:after="40" w:line="240" w:lineRule="auto"/>
              <w:rPr>
                <w:sz w:val="17"/>
              </w:rPr>
            </w:pPr>
            <w:r>
              <w:rPr>
                <w:sz w:val="17"/>
              </w:rPr>
              <w:t>7,3</w:t>
            </w:r>
          </w:p>
        </w:tc>
        <w:tc>
          <w:tcPr>
            <w:tcW w:w="1062" w:type="dxa"/>
          </w:tcPr>
          <w:p w:rsidR="00000000" w:rsidRDefault="00000000">
            <w:pPr>
              <w:tabs>
                <w:tab w:val="decimal" w:pos="401"/>
              </w:tabs>
              <w:spacing w:before="40" w:after="40" w:line="240" w:lineRule="auto"/>
              <w:rPr>
                <w:sz w:val="17"/>
              </w:rPr>
            </w:pPr>
            <w:r>
              <w:rPr>
                <w:sz w:val="17"/>
              </w:rPr>
              <w:t>8,7</w:t>
            </w:r>
          </w:p>
        </w:tc>
        <w:tc>
          <w:tcPr>
            <w:tcW w:w="950" w:type="dxa"/>
          </w:tcPr>
          <w:p w:rsidR="00000000" w:rsidRDefault="00000000">
            <w:pPr>
              <w:tabs>
                <w:tab w:val="decimal" w:pos="401"/>
              </w:tabs>
              <w:spacing w:before="40" w:after="40" w:line="240" w:lineRule="auto"/>
              <w:rPr>
                <w:sz w:val="17"/>
              </w:rPr>
            </w:pPr>
            <w:r>
              <w:rPr>
                <w:sz w:val="17"/>
              </w:rPr>
              <w:t>97,2</w:t>
            </w:r>
          </w:p>
        </w:tc>
        <w:tc>
          <w:tcPr>
            <w:tcW w:w="1035" w:type="dxa"/>
          </w:tcPr>
          <w:p w:rsidR="00000000" w:rsidRDefault="00000000">
            <w:pPr>
              <w:tabs>
                <w:tab w:val="decimal" w:pos="401"/>
              </w:tabs>
              <w:spacing w:before="40" w:after="40" w:line="240" w:lineRule="auto"/>
              <w:rPr>
                <w:sz w:val="17"/>
              </w:rPr>
            </w:pPr>
            <w:r>
              <w:rPr>
                <w:sz w:val="17"/>
              </w:rPr>
              <w:t>96,8</w:t>
            </w:r>
          </w:p>
        </w:tc>
        <w:tc>
          <w:tcPr>
            <w:tcW w:w="977" w:type="dxa"/>
          </w:tcPr>
          <w:p w:rsidR="00000000" w:rsidRDefault="00000000">
            <w:pPr>
              <w:tabs>
                <w:tab w:val="decimal" w:pos="401"/>
              </w:tabs>
              <w:spacing w:before="40" w:after="40" w:line="240" w:lineRule="auto"/>
              <w:rPr>
                <w:sz w:val="17"/>
              </w:rPr>
            </w:pPr>
            <w:r>
              <w:rPr>
                <w:sz w:val="17"/>
              </w:rPr>
              <w:t>74,2</w:t>
            </w:r>
          </w:p>
        </w:tc>
        <w:tc>
          <w:tcPr>
            <w:tcW w:w="1007" w:type="dxa"/>
          </w:tcPr>
          <w:p w:rsidR="00000000" w:rsidRDefault="00000000">
            <w:pPr>
              <w:tabs>
                <w:tab w:val="decimal" w:pos="401"/>
              </w:tabs>
              <w:spacing w:before="40" w:after="40" w:line="240" w:lineRule="auto"/>
              <w:rPr>
                <w:sz w:val="17"/>
              </w:rPr>
            </w:pPr>
            <w:r>
              <w:rPr>
                <w:sz w:val="17"/>
              </w:rPr>
              <w:t>64,9</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2000/01 год</w:t>
            </w:r>
          </w:p>
        </w:tc>
        <w:tc>
          <w:tcPr>
            <w:tcW w:w="1006" w:type="dxa"/>
          </w:tcPr>
          <w:p w:rsidR="00000000" w:rsidRDefault="00000000">
            <w:pPr>
              <w:tabs>
                <w:tab w:val="decimal" w:pos="401"/>
              </w:tabs>
              <w:spacing w:before="40" w:after="40" w:line="240" w:lineRule="auto"/>
              <w:rPr>
                <w:sz w:val="17"/>
              </w:rPr>
            </w:pPr>
            <w:r>
              <w:rPr>
                <w:sz w:val="17"/>
              </w:rPr>
              <w:t>5,8</w:t>
            </w:r>
          </w:p>
        </w:tc>
        <w:tc>
          <w:tcPr>
            <w:tcW w:w="1062" w:type="dxa"/>
          </w:tcPr>
          <w:p w:rsidR="00000000" w:rsidRDefault="00000000">
            <w:pPr>
              <w:tabs>
                <w:tab w:val="decimal" w:pos="401"/>
              </w:tabs>
              <w:spacing w:before="40" w:after="40" w:line="240" w:lineRule="auto"/>
              <w:rPr>
                <w:sz w:val="17"/>
              </w:rPr>
            </w:pPr>
            <w:r>
              <w:rPr>
                <w:sz w:val="17"/>
              </w:rPr>
              <w:t>8,4</w:t>
            </w:r>
          </w:p>
        </w:tc>
        <w:tc>
          <w:tcPr>
            <w:tcW w:w="950" w:type="dxa"/>
          </w:tcPr>
          <w:p w:rsidR="00000000" w:rsidRDefault="00000000">
            <w:pPr>
              <w:tabs>
                <w:tab w:val="decimal" w:pos="401"/>
              </w:tabs>
              <w:spacing w:before="40" w:after="40" w:line="240" w:lineRule="auto"/>
              <w:rPr>
                <w:sz w:val="17"/>
              </w:rPr>
            </w:pPr>
            <w:r>
              <w:rPr>
                <w:sz w:val="17"/>
              </w:rPr>
              <w:t>97,2</w:t>
            </w:r>
          </w:p>
        </w:tc>
        <w:tc>
          <w:tcPr>
            <w:tcW w:w="1035" w:type="dxa"/>
          </w:tcPr>
          <w:p w:rsidR="00000000" w:rsidRDefault="00000000">
            <w:pPr>
              <w:tabs>
                <w:tab w:val="decimal" w:pos="401"/>
              </w:tabs>
              <w:spacing w:before="40" w:after="40" w:line="240" w:lineRule="auto"/>
              <w:rPr>
                <w:sz w:val="17"/>
              </w:rPr>
            </w:pPr>
            <w:r>
              <w:rPr>
                <w:sz w:val="17"/>
              </w:rPr>
              <w:t>96,4</w:t>
            </w:r>
          </w:p>
        </w:tc>
        <w:tc>
          <w:tcPr>
            <w:tcW w:w="977" w:type="dxa"/>
          </w:tcPr>
          <w:p w:rsidR="00000000" w:rsidRDefault="00000000">
            <w:pPr>
              <w:tabs>
                <w:tab w:val="decimal" w:pos="401"/>
              </w:tabs>
              <w:spacing w:before="40" w:after="40" w:line="240" w:lineRule="auto"/>
              <w:rPr>
                <w:sz w:val="17"/>
              </w:rPr>
            </w:pPr>
          </w:p>
        </w:tc>
        <w:tc>
          <w:tcPr>
            <w:tcW w:w="1007" w:type="dxa"/>
          </w:tcPr>
          <w:p w:rsidR="00000000" w:rsidRDefault="00000000">
            <w:pPr>
              <w:tabs>
                <w:tab w:val="decimal" w:pos="401"/>
              </w:tabs>
              <w:spacing w:before="40" w:after="40" w:line="240" w:lineRule="auto"/>
              <w:rPr>
                <w:sz w:val="17"/>
              </w:rPr>
            </w:pPr>
          </w:p>
        </w:tc>
      </w:tr>
      <w:tr w:rsidR="00000000">
        <w:tblPrEx>
          <w:tblCellMar>
            <w:top w:w="0" w:type="dxa"/>
            <w:bottom w:w="0" w:type="dxa"/>
          </w:tblCellMar>
        </w:tblPrEx>
        <w:trPr>
          <w:cantSplit/>
        </w:trPr>
        <w:tc>
          <w:tcPr>
            <w:tcW w:w="7371" w:type="dxa"/>
            <w:gridSpan w:val="7"/>
          </w:tcPr>
          <w:p w:rsidR="00000000" w:rsidRDefault="00000000">
            <w:pPr>
              <w:spacing w:before="40" w:after="40" w:line="240" w:lineRule="auto"/>
              <w:rPr>
                <w:sz w:val="17"/>
              </w:rPr>
            </w:pPr>
            <w:r>
              <w:rPr>
                <w:sz w:val="17"/>
              </w:rPr>
              <w:t>Средняя школа</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1996/97 год</w:t>
            </w:r>
          </w:p>
        </w:tc>
        <w:tc>
          <w:tcPr>
            <w:tcW w:w="1006" w:type="dxa"/>
          </w:tcPr>
          <w:p w:rsidR="00000000" w:rsidRDefault="00000000">
            <w:pPr>
              <w:tabs>
                <w:tab w:val="decimal" w:pos="401"/>
              </w:tabs>
              <w:spacing w:before="40" w:after="40" w:line="240" w:lineRule="auto"/>
              <w:rPr>
                <w:sz w:val="17"/>
              </w:rPr>
            </w:pPr>
            <w:r>
              <w:rPr>
                <w:sz w:val="17"/>
              </w:rPr>
              <w:t>8,4</w:t>
            </w:r>
          </w:p>
        </w:tc>
        <w:tc>
          <w:tcPr>
            <w:tcW w:w="1062" w:type="dxa"/>
          </w:tcPr>
          <w:p w:rsidR="00000000" w:rsidRDefault="00000000">
            <w:pPr>
              <w:tabs>
                <w:tab w:val="decimal" w:pos="401"/>
              </w:tabs>
              <w:spacing w:before="40" w:after="40" w:line="240" w:lineRule="auto"/>
              <w:rPr>
                <w:sz w:val="17"/>
              </w:rPr>
            </w:pPr>
            <w:r>
              <w:rPr>
                <w:sz w:val="17"/>
              </w:rPr>
              <w:t>11,3</w:t>
            </w:r>
          </w:p>
        </w:tc>
        <w:tc>
          <w:tcPr>
            <w:tcW w:w="950" w:type="dxa"/>
          </w:tcPr>
          <w:p w:rsidR="00000000" w:rsidRDefault="00000000">
            <w:pPr>
              <w:tabs>
                <w:tab w:val="decimal" w:pos="401"/>
              </w:tabs>
              <w:spacing w:before="40" w:after="40" w:line="240" w:lineRule="auto"/>
              <w:rPr>
                <w:sz w:val="17"/>
              </w:rPr>
            </w:pPr>
          </w:p>
        </w:tc>
        <w:tc>
          <w:tcPr>
            <w:tcW w:w="1035" w:type="dxa"/>
          </w:tcPr>
          <w:p w:rsidR="00000000" w:rsidRDefault="00000000">
            <w:pPr>
              <w:tabs>
                <w:tab w:val="decimal" w:pos="401"/>
              </w:tabs>
              <w:spacing w:before="40" w:after="40" w:line="240" w:lineRule="auto"/>
              <w:rPr>
                <w:sz w:val="17"/>
              </w:rPr>
            </w:pPr>
          </w:p>
        </w:tc>
        <w:tc>
          <w:tcPr>
            <w:tcW w:w="977" w:type="dxa"/>
          </w:tcPr>
          <w:p w:rsidR="00000000" w:rsidRDefault="00000000">
            <w:pPr>
              <w:tabs>
                <w:tab w:val="decimal" w:pos="401"/>
              </w:tabs>
              <w:spacing w:before="40" w:after="40" w:line="240" w:lineRule="auto"/>
              <w:rPr>
                <w:sz w:val="17"/>
              </w:rPr>
            </w:pPr>
            <w:r>
              <w:rPr>
                <w:sz w:val="17"/>
              </w:rPr>
              <w:t>78,1</w:t>
            </w:r>
          </w:p>
        </w:tc>
        <w:tc>
          <w:tcPr>
            <w:tcW w:w="1007" w:type="dxa"/>
          </w:tcPr>
          <w:p w:rsidR="00000000" w:rsidRDefault="00000000">
            <w:pPr>
              <w:tabs>
                <w:tab w:val="decimal" w:pos="401"/>
              </w:tabs>
              <w:spacing w:before="40" w:after="40" w:line="240" w:lineRule="auto"/>
              <w:rPr>
                <w:sz w:val="17"/>
              </w:rPr>
            </w:pPr>
            <w:r>
              <w:rPr>
                <w:sz w:val="17"/>
              </w:rPr>
              <w:t>68,8</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1997/98 год</w:t>
            </w:r>
          </w:p>
        </w:tc>
        <w:tc>
          <w:tcPr>
            <w:tcW w:w="1006" w:type="dxa"/>
          </w:tcPr>
          <w:p w:rsidR="00000000" w:rsidRDefault="00000000">
            <w:pPr>
              <w:tabs>
                <w:tab w:val="decimal" w:pos="401"/>
              </w:tabs>
              <w:spacing w:before="40" w:after="40" w:line="240" w:lineRule="auto"/>
              <w:rPr>
                <w:sz w:val="17"/>
              </w:rPr>
            </w:pPr>
            <w:r>
              <w:rPr>
                <w:sz w:val="17"/>
              </w:rPr>
              <w:t>8,1</w:t>
            </w:r>
          </w:p>
        </w:tc>
        <w:tc>
          <w:tcPr>
            <w:tcW w:w="1062" w:type="dxa"/>
          </w:tcPr>
          <w:p w:rsidR="00000000" w:rsidRDefault="00000000">
            <w:pPr>
              <w:tabs>
                <w:tab w:val="decimal" w:pos="401"/>
              </w:tabs>
              <w:spacing w:before="40" w:after="40" w:line="240" w:lineRule="auto"/>
              <w:rPr>
                <w:sz w:val="17"/>
              </w:rPr>
            </w:pPr>
            <w:r>
              <w:rPr>
                <w:sz w:val="17"/>
              </w:rPr>
              <w:t>11,8</w:t>
            </w:r>
          </w:p>
        </w:tc>
        <w:tc>
          <w:tcPr>
            <w:tcW w:w="950" w:type="dxa"/>
          </w:tcPr>
          <w:p w:rsidR="00000000" w:rsidRDefault="00000000">
            <w:pPr>
              <w:tabs>
                <w:tab w:val="decimal" w:pos="401"/>
              </w:tabs>
              <w:spacing w:before="40" w:after="40" w:line="240" w:lineRule="auto"/>
              <w:rPr>
                <w:sz w:val="17"/>
              </w:rPr>
            </w:pPr>
          </w:p>
        </w:tc>
        <w:tc>
          <w:tcPr>
            <w:tcW w:w="1035" w:type="dxa"/>
          </w:tcPr>
          <w:p w:rsidR="00000000" w:rsidRDefault="00000000">
            <w:pPr>
              <w:tabs>
                <w:tab w:val="decimal" w:pos="401"/>
              </w:tabs>
              <w:spacing w:before="40" w:after="40" w:line="240" w:lineRule="auto"/>
              <w:rPr>
                <w:sz w:val="17"/>
              </w:rPr>
            </w:pPr>
          </w:p>
        </w:tc>
        <w:tc>
          <w:tcPr>
            <w:tcW w:w="977" w:type="dxa"/>
          </w:tcPr>
          <w:p w:rsidR="00000000" w:rsidRDefault="00000000">
            <w:pPr>
              <w:tabs>
                <w:tab w:val="decimal" w:pos="401"/>
              </w:tabs>
              <w:spacing w:before="40" w:after="40" w:line="240" w:lineRule="auto"/>
              <w:rPr>
                <w:sz w:val="17"/>
              </w:rPr>
            </w:pPr>
            <w:r>
              <w:rPr>
                <w:sz w:val="17"/>
              </w:rPr>
              <w:t>52,6</w:t>
            </w:r>
          </w:p>
        </w:tc>
        <w:tc>
          <w:tcPr>
            <w:tcW w:w="1007" w:type="dxa"/>
          </w:tcPr>
          <w:p w:rsidR="00000000" w:rsidRDefault="00000000">
            <w:pPr>
              <w:tabs>
                <w:tab w:val="decimal" w:pos="401"/>
              </w:tabs>
              <w:spacing w:before="40" w:after="40" w:line="240" w:lineRule="auto"/>
              <w:rPr>
                <w:sz w:val="17"/>
              </w:rPr>
            </w:pPr>
            <w:r>
              <w:rPr>
                <w:sz w:val="17"/>
              </w:rPr>
              <w:t>41,0</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1998/99 год</w:t>
            </w:r>
          </w:p>
        </w:tc>
        <w:tc>
          <w:tcPr>
            <w:tcW w:w="1006" w:type="dxa"/>
          </w:tcPr>
          <w:p w:rsidR="00000000" w:rsidRDefault="00000000">
            <w:pPr>
              <w:tabs>
                <w:tab w:val="decimal" w:pos="401"/>
              </w:tabs>
              <w:spacing w:before="40" w:after="40" w:line="240" w:lineRule="auto"/>
              <w:rPr>
                <w:sz w:val="17"/>
              </w:rPr>
            </w:pPr>
          </w:p>
        </w:tc>
        <w:tc>
          <w:tcPr>
            <w:tcW w:w="1062" w:type="dxa"/>
          </w:tcPr>
          <w:p w:rsidR="00000000" w:rsidRDefault="00000000">
            <w:pPr>
              <w:tabs>
                <w:tab w:val="decimal" w:pos="401"/>
              </w:tabs>
              <w:spacing w:before="40" w:after="40" w:line="240" w:lineRule="auto"/>
              <w:rPr>
                <w:sz w:val="17"/>
              </w:rPr>
            </w:pPr>
          </w:p>
        </w:tc>
        <w:tc>
          <w:tcPr>
            <w:tcW w:w="950" w:type="dxa"/>
          </w:tcPr>
          <w:p w:rsidR="00000000" w:rsidRDefault="00000000">
            <w:pPr>
              <w:tabs>
                <w:tab w:val="decimal" w:pos="401"/>
              </w:tabs>
              <w:spacing w:before="40" w:after="40" w:line="240" w:lineRule="auto"/>
              <w:rPr>
                <w:sz w:val="17"/>
              </w:rPr>
            </w:pPr>
            <w:r>
              <w:rPr>
                <w:sz w:val="17"/>
              </w:rPr>
              <w:t>68,0</w:t>
            </w:r>
          </w:p>
        </w:tc>
        <w:tc>
          <w:tcPr>
            <w:tcW w:w="1035" w:type="dxa"/>
          </w:tcPr>
          <w:p w:rsidR="00000000" w:rsidRDefault="00000000">
            <w:pPr>
              <w:tabs>
                <w:tab w:val="decimal" w:pos="401"/>
              </w:tabs>
              <w:spacing w:before="40" w:after="40" w:line="240" w:lineRule="auto"/>
              <w:rPr>
                <w:sz w:val="17"/>
              </w:rPr>
            </w:pPr>
            <w:r>
              <w:rPr>
                <w:sz w:val="17"/>
              </w:rPr>
              <w:t>62,4</w:t>
            </w:r>
          </w:p>
        </w:tc>
        <w:tc>
          <w:tcPr>
            <w:tcW w:w="977" w:type="dxa"/>
          </w:tcPr>
          <w:p w:rsidR="00000000" w:rsidRDefault="00000000">
            <w:pPr>
              <w:tabs>
                <w:tab w:val="decimal" w:pos="401"/>
              </w:tabs>
              <w:spacing w:before="40" w:after="40" w:line="240" w:lineRule="auto"/>
              <w:rPr>
                <w:sz w:val="17"/>
              </w:rPr>
            </w:pPr>
            <w:r>
              <w:rPr>
                <w:sz w:val="17"/>
              </w:rPr>
              <w:t>77,3</w:t>
            </w:r>
          </w:p>
        </w:tc>
        <w:tc>
          <w:tcPr>
            <w:tcW w:w="1007" w:type="dxa"/>
          </w:tcPr>
          <w:p w:rsidR="00000000" w:rsidRDefault="00000000">
            <w:pPr>
              <w:tabs>
                <w:tab w:val="decimal" w:pos="401"/>
              </w:tabs>
              <w:spacing w:before="40" w:after="40" w:line="240" w:lineRule="auto"/>
              <w:rPr>
                <w:sz w:val="17"/>
              </w:rPr>
            </w:pPr>
            <w:r>
              <w:rPr>
                <w:sz w:val="17"/>
              </w:rPr>
              <w:t>65,2</w:t>
            </w:r>
          </w:p>
        </w:tc>
      </w:tr>
      <w:tr w:rsidR="00000000">
        <w:tblPrEx>
          <w:tblCellMar>
            <w:top w:w="0" w:type="dxa"/>
            <w:bottom w:w="0" w:type="dxa"/>
          </w:tblCellMar>
        </w:tblPrEx>
        <w:tc>
          <w:tcPr>
            <w:tcW w:w="1334" w:type="dxa"/>
          </w:tcPr>
          <w:p w:rsidR="00000000" w:rsidRDefault="00000000">
            <w:pPr>
              <w:spacing w:before="40" w:after="40" w:line="240" w:lineRule="auto"/>
              <w:rPr>
                <w:sz w:val="17"/>
              </w:rPr>
            </w:pPr>
            <w:r>
              <w:rPr>
                <w:sz w:val="17"/>
              </w:rPr>
              <w:t>1999/2000 год</w:t>
            </w:r>
          </w:p>
        </w:tc>
        <w:tc>
          <w:tcPr>
            <w:tcW w:w="1006" w:type="dxa"/>
          </w:tcPr>
          <w:p w:rsidR="00000000" w:rsidRDefault="00000000">
            <w:pPr>
              <w:tabs>
                <w:tab w:val="decimal" w:pos="401"/>
              </w:tabs>
              <w:spacing w:before="40" w:after="40" w:line="240" w:lineRule="auto"/>
              <w:rPr>
                <w:sz w:val="17"/>
              </w:rPr>
            </w:pPr>
            <w:r>
              <w:rPr>
                <w:sz w:val="17"/>
              </w:rPr>
              <w:t>7,8</w:t>
            </w:r>
          </w:p>
        </w:tc>
        <w:tc>
          <w:tcPr>
            <w:tcW w:w="1062" w:type="dxa"/>
          </w:tcPr>
          <w:p w:rsidR="00000000" w:rsidRDefault="00000000">
            <w:pPr>
              <w:tabs>
                <w:tab w:val="decimal" w:pos="401"/>
              </w:tabs>
              <w:spacing w:before="40" w:after="40" w:line="240" w:lineRule="auto"/>
              <w:rPr>
                <w:sz w:val="17"/>
              </w:rPr>
            </w:pPr>
            <w:r>
              <w:rPr>
                <w:sz w:val="17"/>
              </w:rPr>
              <w:t>13,9</w:t>
            </w:r>
          </w:p>
        </w:tc>
        <w:tc>
          <w:tcPr>
            <w:tcW w:w="950" w:type="dxa"/>
          </w:tcPr>
          <w:p w:rsidR="00000000" w:rsidRDefault="00000000">
            <w:pPr>
              <w:tabs>
                <w:tab w:val="decimal" w:pos="401"/>
              </w:tabs>
              <w:spacing w:before="40" w:after="40" w:line="240" w:lineRule="auto"/>
              <w:rPr>
                <w:sz w:val="17"/>
              </w:rPr>
            </w:pPr>
            <w:r>
              <w:rPr>
                <w:sz w:val="17"/>
              </w:rPr>
              <w:t>68,2</w:t>
            </w:r>
          </w:p>
        </w:tc>
        <w:tc>
          <w:tcPr>
            <w:tcW w:w="1035" w:type="dxa"/>
          </w:tcPr>
          <w:p w:rsidR="00000000" w:rsidRDefault="00000000">
            <w:pPr>
              <w:tabs>
                <w:tab w:val="decimal" w:pos="401"/>
              </w:tabs>
              <w:spacing w:before="40" w:after="40" w:line="240" w:lineRule="auto"/>
              <w:rPr>
                <w:sz w:val="17"/>
              </w:rPr>
            </w:pPr>
            <w:r>
              <w:rPr>
                <w:sz w:val="17"/>
              </w:rPr>
              <w:t>62,7</w:t>
            </w:r>
          </w:p>
        </w:tc>
        <w:tc>
          <w:tcPr>
            <w:tcW w:w="977" w:type="dxa"/>
          </w:tcPr>
          <w:p w:rsidR="00000000" w:rsidRDefault="00000000">
            <w:pPr>
              <w:tabs>
                <w:tab w:val="decimal" w:pos="401"/>
              </w:tabs>
              <w:spacing w:before="40" w:after="40" w:line="240" w:lineRule="auto"/>
              <w:rPr>
                <w:sz w:val="17"/>
              </w:rPr>
            </w:pPr>
            <w:r>
              <w:rPr>
                <w:sz w:val="17"/>
              </w:rPr>
              <w:t>77,0</w:t>
            </w:r>
          </w:p>
        </w:tc>
        <w:tc>
          <w:tcPr>
            <w:tcW w:w="1007" w:type="dxa"/>
          </w:tcPr>
          <w:p w:rsidR="00000000" w:rsidRDefault="00000000">
            <w:pPr>
              <w:tabs>
                <w:tab w:val="decimal" w:pos="401"/>
              </w:tabs>
              <w:spacing w:before="40" w:after="40" w:line="240" w:lineRule="auto"/>
              <w:rPr>
                <w:sz w:val="17"/>
              </w:rPr>
            </w:pPr>
            <w:r>
              <w:rPr>
                <w:sz w:val="17"/>
              </w:rPr>
              <w:t>65,1</w:t>
            </w:r>
          </w:p>
        </w:tc>
      </w:tr>
      <w:tr w:rsidR="00000000">
        <w:tblPrEx>
          <w:tblCellMar>
            <w:top w:w="0" w:type="dxa"/>
            <w:bottom w:w="0" w:type="dxa"/>
          </w:tblCellMar>
        </w:tblPrEx>
        <w:tc>
          <w:tcPr>
            <w:tcW w:w="1334" w:type="dxa"/>
            <w:tcBorders>
              <w:bottom w:val="single" w:sz="12" w:space="0" w:color="auto"/>
            </w:tcBorders>
          </w:tcPr>
          <w:p w:rsidR="00000000" w:rsidRDefault="00000000">
            <w:pPr>
              <w:spacing w:before="40" w:after="40" w:line="240" w:lineRule="auto"/>
              <w:rPr>
                <w:sz w:val="17"/>
              </w:rPr>
            </w:pPr>
            <w:r>
              <w:rPr>
                <w:sz w:val="17"/>
              </w:rPr>
              <w:t>2000/01 год</w:t>
            </w:r>
          </w:p>
        </w:tc>
        <w:tc>
          <w:tcPr>
            <w:tcW w:w="1006" w:type="dxa"/>
            <w:tcBorders>
              <w:bottom w:val="single" w:sz="12" w:space="0" w:color="auto"/>
            </w:tcBorders>
          </w:tcPr>
          <w:p w:rsidR="00000000" w:rsidRDefault="00000000">
            <w:pPr>
              <w:tabs>
                <w:tab w:val="decimal" w:pos="401"/>
              </w:tabs>
              <w:spacing w:before="40" w:after="40" w:line="240" w:lineRule="auto"/>
              <w:rPr>
                <w:sz w:val="17"/>
              </w:rPr>
            </w:pPr>
            <w:r>
              <w:rPr>
                <w:sz w:val="17"/>
              </w:rPr>
              <w:t>7,1</w:t>
            </w:r>
          </w:p>
        </w:tc>
        <w:tc>
          <w:tcPr>
            <w:tcW w:w="1062" w:type="dxa"/>
            <w:tcBorders>
              <w:bottom w:val="single" w:sz="12" w:space="0" w:color="auto"/>
            </w:tcBorders>
          </w:tcPr>
          <w:p w:rsidR="00000000" w:rsidRDefault="00000000">
            <w:pPr>
              <w:tabs>
                <w:tab w:val="decimal" w:pos="401"/>
              </w:tabs>
              <w:spacing w:before="40" w:after="40" w:line="240" w:lineRule="auto"/>
              <w:rPr>
                <w:sz w:val="17"/>
              </w:rPr>
            </w:pPr>
            <w:r>
              <w:rPr>
                <w:sz w:val="17"/>
              </w:rPr>
              <w:t>10,4</w:t>
            </w:r>
          </w:p>
        </w:tc>
        <w:tc>
          <w:tcPr>
            <w:tcW w:w="950" w:type="dxa"/>
            <w:tcBorders>
              <w:bottom w:val="single" w:sz="12" w:space="0" w:color="auto"/>
            </w:tcBorders>
          </w:tcPr>
          <w:p w:rsidR="00000000" w:rsidRDefault="00000000">
            <w:pPr>
              <w:tabs>
                <w:tab w:val="decimal" w:pos="401"/>
              </w:tabs>
              <w:spacing w:before="40" w:after="40" w:line="240" w:lineRule="auto"/>
              <w:rPr>
                <w:sz w:val="17"/>
              </w:rPr>
            </w:pPr>
            <w:r>
              <w:rPr>
                <w:sz w:val="17"/>
              </w:rPr>
              <w:t>69,5</w:t>
            </w:r>
          </w:p>
        </w:tc>
        <w:tc>
          <w:tcPr>
            <w:tcW w:w="1035" w:type="dxa"/>
            <w:tcBorders>
              <w:bottom w:val="single" w:sz="12" w:space="0" w:color="auto"/>
            </w:tcBorders>
          </w:tcPr>
          <w:p w:rsidR="00000000" w:rsidRDefault="00000000">
            <w:pPr>
              <w:tabs>
                <w:tab w:val="decimal" w:pos="401"/>
              </w:tabs>
              <w:spacing w:before="40" w:after="40" w:line="240" w:lineRule="auto"/>
              <w:rPr>
                <w:sz w:val="17"/>
              </w:rPr>
            </w:pPr>
            <w:r>
              <w:rPr>
                <w:sz w:val="17"/>
              </w:rPr>
              <w:t>62,7</w:t>
            </w:r>
          </w:p>
        </w:tc>
        <w:tc>
          <w:tcPr>
            <w:tcW w:w="977" w:type="dxa"/>
            <w:tcBorders>
              <w:bottom w:val="single" w:sz="12" w:space="0" w:color="auto"/>
            </w:tcBorders>
          </w:tcPr>
          <w:p w:rsidR="00000000" w:rsidRDefault="00000000">
            <w:pPr>
              <w:tabs>
                <w:tab w:val="decimal" w:pos="401"/>
              </w:tabs>
              <w:spacing w:before="40" w:after="40" w:line="240" w:lineRule="auto"/>
              <w:rPr>
                <w:sz w:val="17"/>
              </w:rPr>
            </w:pPr>
          </w:p>
        </w:tc>
        <w:tc>
          <w:tcPr>
            <w:tcW w:w="1007" w:type="dxa"/>
            <w:tcBorders>
              <w:bottom w:val="single" w:sz="12" w:space="0" w:color="auto"/>
            </w:tcBorders>
          </w:tcPr>
          <w:p w:rsidR="00000000" w:rsidRDefault="00000000">
            <w:pPr>
              <w:tabs>
                <w:tab w:val="decimal" w:pos="401"/>
              </w:tabs>
              <w:spacing w:before="40" w:after="40" w:line="240" w:lineRule="auto"/>
              <w:rPr>
                <w:sz w:val="17"/>
              </w:rPr>
            </w:pPr>
          </w:p>
        </w:tc>
      </w:tr>
    </w:tbl>
    <w:p w:rsidR="00000000" w:rsidRDefault="00000000">
      <w:pPr>
        <w:pStyle w:val="SingleTxt"/>
        <w:rPr>
          <w:sz w:val="17"/>
        </w:rPr>
      </w:pPr>
      <w:r>
        <w:rPr>
          <w:i/>
          <w:sz w:val="17"/>
        </w:rPr>
        <w:t>Источник данных</w:t>
      </w:r>
      <w:r>
        <w:rPr>
          <w:sz w:val="17"/>
        </w:rPr>
        <w:t>: Служба планирования, министерство образования (цитируется по Reyes 2003).</w:t>
      </w:r>
    </w:p>
    <w:p w:rsidR="00000000" w:rsidRDefault="00000000">
      <w:pPr>
        <w:jc w:val="both"/>
      </w:pPr>
    </w:p>
    <w:p w:rsidR="00000000" w:rsidRDefault="00000000">
      <w:pPr>
        <w:pStyle w:val="table"/>
      </w:pPr>
      <w:bookmarkStart w:id="91" w:name="_Toc85175493"/>
      <w:r>
        <w:t>Приложение. Таблица B10.2. Число учащихся в высших учебных завед</w:t>
      </w:r>
      <w:r>
        <w:t>е</w:t>
      </w:r>
      <w:r>
        <w:t>ниях с разбивкой по полу по о</w:t>
      </w:r>
      <w:r>
        <w:t>т</w:t>
      </w:r>
      <w:r>
        <w:t>дельным годам</w:t>
      </w:r>
      <w:bookmarkEnd w:id="91"/>
    </w:p>
    <w:tbl>
      <w:tblPr>
        <w:tblW w:w="0" w:type="auto"/>
        <w:tblInd w:w="1278" w:type="dxa"/>
        <w:tblLayout w:type="fixed"/>
        <w:tblLook w:val="0000" w:firstRow="0" w:lastRow="0" w:firstColumn="0" w:lastColumn="0" w:noHBand="0" w:noVBand="0"/>
      </w:tblPr>
      <w:tblGrid>
        <w:gridCol w:w="1474"/>
        <w:gridCol w:w="1474"/>
        <w:gridCol w:w="1474"/>
        <w:gridCol w:w="1474"/>
        <w:gridCol w:w="1475"/>
      </w:tblGrid>
      <w:tr w:rsidR="00000000">
        <w:tblPrEx>
          <w:tblCellMar>
            <w:top w:w="0" w:type="dxa"/>
            <w:bottom w:w="0" w:type="dxa"/>
          </w:tblCellMar>
        </w:tblPrEx>
        <w:trPr>
          <w:tblHeader/>
        </w:trPr>
        <w:tc>
          <w:tcPr>
            <w:tcW w:w="1474"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Учебный год</w:t>
            </w:r>
          </w:p>
        </w:tc>
        <w:tc>
          <w:tcPr>
            <w:tcW w:w="1474"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Мужчины</w:t>
            </w:r>
          </w:p>
        </w:tc>
        <w:tc>
          <w:tcPr>
            <w:tcW w:w="1474"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Женщины</w:t>
            </w:r>
          </w:p>
        </w:tc>
        <w:tc>
          <w:tcPr>
            <w:tcW w:w="1474"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Всего</w:t>
            </w:r>
          </w:p>
        </w:tc>
        <w:tc>
          <w:tcPr>
            <w:tcW w:w="1475"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Процентная доля женщин</w:t>
            </w:r>
          </w:p>
        </w:tc>
      </w:tr>
      <w:tr w:rsidR="00000000">
        <w:tblPrEx>
          <w:tblCellMar>
            <w:top w:w="0" w:type="dxa"/>
            <w:bottom w:w="0" w:type="dxa"/>
          </w:tblCellMar>
        </w:tblPrEx>
        <w:tc>
          <w:tcPr>
            <w:tcW w:w="1474" w:type="dxa"/>
            <w:tcBorders>
              <w:top w:val="single" w:sz="12" w:space="0" w:color="auto"/>
            </w:tcBorders>
          </w:tcPr>
          <w:p w:rsidR="00000000" w:rsidRDefault="00000000">
            <w:pPr>
              <w:spacing w:before="40" w:after="40" w:line="240" w:lineRule="auto"/>
              <w:jc w:val="center"/>
              <w:rPr>
                <w:sz w:val="17"/>
              </w:rPr>
            </w:pPr>
            <w:r>
              <w:rPr>
                <w:sz w:val="17"/>
              </w:rPr>
              <w:t>1993-94</w:t>
            </w:r>
          </w:p>
        </w:tc>
        <w:tc>
          <w:tcPr>
            <w:tcW w:w="1474" w:type="dxa"/>
            <w:tcBorders>
              <w:top w:val="single" w:sz="12" w:space="0" w:color="auto"/>
            </w:tcBorders>
          </w:tcPr>
          <w:p w:rsidR="00000000" w:rsidRDefault="00000000">
            <w:pPr>
              <w:tabs>
                <w:tab w:val="decimal" w:pos="970"/>
              </w:tabs>
              <w:spacing w:before="40" w:after="40" w:line="240" w:lineRule="auto"/>
              <w:rPr>
                <w:sz w:val="17"/>
              </w:rPr>
            </w:pPr>
            <w:r>
              <w:rPr>
                <w:sz w:val="17"/>
              </w:rPr>
              <w:t>396 378</w:t>
            </w:r>
          </w:p>
        </w:tc>
        <w:tc>
          <w:tcPr>
            <w:tcW w:w="1474" w:type="dxa"/>
            <w:tcBorders>
              <w:top w:val="single" w:sz="12" w:space="0" w:color="auto"/>
            </w:tcBorders>
          </w:tcPr>
          <w:p w:rsidR="00000000" w:rsidRDefault="00000000">
            <w:pPr>
              <w:pStyle w:val="Header"/>
              <w:tabs>
                <w:tab w:val="clear" w:pos="4320"/>
                <w:tab w:val="clear" w:pos="8640"/>
                <w:tab w:val="decimal" w:pos="970"/>
              </w:tabs>
              <w:spacing w:before="40" w:after="40"/>
              <w:rPr>
                <w:noProof w:val="0"/>
                <w:spacing w:val="4"/>
                <w:w w:val="103"/>
                <w:kern w:val="14"/>
              </w:rPr>
            </w:pPr>
            <w:r>
              <w:rPr>
                <w:noProof w:val="0"/>
                <w:spacing w:val="4"/>
                <w:w w:val="103"/>
                <w:kern w:val="14"/>
              </w:rPr>
              <w:t>523 524</w:t>
            </w:r>
          </w:p>
        </w:tc>
        <w:tc>
          <w:tcPr>
            <w:tcW w:w="1474" w:type="dxa"/>
            <w:tcBorders>
              <w:top w:val="single" w:sz="12" w:space="0" w:color="auto"/>
            </w:tcBorders>
          </w:tcPr>
          <w:p w:rsidR="00000000" w:rsidRDefault="00000000">
            <w:pPr>
              <w:tabs>
                <w:tab w:val="decimal" w:pos="970"/>
              </w:tabs>
              <w:spacing w:before="40" w:after="40" w:line="240" w:lineRule="auto"/>
              <w:rPr>
                <w:sz w:val="17"/>
              </w:rPr>
            </w:pPr>
            <w:r>
              <w:rPr>
                <w:sz w:val="17"/>
              </w:rPr>
              <w:t>919 902</w:t>
            </w:r>
          </w:p>
        </w:tc>
        <w:tc>
          <w:tcPr>
            <w:tcW w:w="1475" w:type="dxa"/>
            <w:tcBorders>
              <w:top w:val="single" w:sz="12" w:space="0" w:color="auto"/>
            </w:tcBorders>
          </w:tcPr>
          <w:p w:rsidR="00000000" w:rsidRDefault="00000000">
            <w:pPr>
              <w:tabs>
                <w:tab w:val="decimal" w:pos="567"/>
              </w:tabs>
              <w:spacing w:before="40" w:after="40" w:line="240" w:lineRule="auto"/>
              <w:rPr>
                <w:sz w:val="17"/>
              </w:rPr>
            </w:pPr>
            <w:r>
              <w:rPr>
                <w:sz w:val="17"/>
              </w:rPr>
              <w:t>56,9</w:t>
            </w:r>
          </w:p>
        </w:tc>
      </w:tr>
      <w:tr w:rsidR="00000000">
        <w:tblPrEx>
          <w:tblCellMar>
            <w:top w:w="0" w:type="dxa"/>
            <w:bottom w:w="0" w:type="dxa"/>
          </w:tblCellMar>
        </w:tblPrEx>
        <w:tc>
          <w:tcPr>
            <w:tcW w:w="1474" w:type="dxa"/>
          </w:tcPr>
          <w:p w:rsidR="00000000" w:rsidRDefault="00000000">
            <w:pPr>
              <w:spacing w:before="40" w:after="40" w:line="240" w:lineRule="auto"/>
              <w:jc w:val="center"/>
              <w:rPr>
                <w:sz w:val="17"/>
              </w:rPr>
            </w:pPr>
            <w:r>
              <w:rPr>
                <w:sz w:val="17"/>
              </w:rPr>
              <w:t>1996-97</w:t>
            </w:r>
          </w:p>
        </w:tc>
        <w:tc>
          <w:tcPr>
            <w:tcW w:w="1474" w:type="dxa"/>
          </w:tcPr>
          <w:p w:rsidR="00000000" w:rsidRDefault="00000000">
            <w:pPr>
              <w:tabs>
                <w:tab w:val="decimal" w:pos="970"/>
              </w:tabs>
              <w:spacing w:before="40" w:after="40" w:line="240" w:lineRule="auto"/>
              <w:rPr>
                <w:sz w:val="17"/>
              </w:rPr>
            </w:pPr>
            <w:r>
              <w:rPr>
                <w:sz w:val="17"/>
              </w:rPr>
              <w:t>895 751</w:t>
            </w:r>
          </w:p>
        </w:tc>
        <w:tc>
          <w:tcPr>
            <w:tcW w:w="1474" w:type="dxa"/>
          </w:tcPr>
          <w:p w:rsidR="00000000" w:rsidRDefault="00000000">
            <w:pPr>
              <w:tabs>
                <w:tab w:val="decimal" w:pos="970"/>
              </w:tabs>
              <w:spacing w:before="40" w:after="40" w:line="240" w:lineRule="auto"/>
              <w:rPr>
                <w:sz w:val="17"/>
              </w:rPr>
            </w:pPr>
            <w:r>
              <w:rPr>
                <w:sz w:val="17"/>
              </w:rPr>
              <w:t>1 325 087</w:t>
            </w:r>
          </w:p>
        </w:tc>
        <w:tc>
          <w:tcPr>
            <w:tcW w:w="1474" w:type="dxa"/>
          </w:tcPr>
          <w:p w:rsidR="00000000" w:rsidRDefault="00000000">
            <w:pPr>
              <w:tabs>
                <w:tab w:val="decimal" w:pos="970"/>
              </w:tabs>
              <w:spacing w:before="40" w:after="40" w:line="240" w:lineRule="auto"/>
              <w:rPr>
                <w:sz w:val="17"/>
              </w:rPr>
            </w:pPr>
            <w:r>
              <w:rPr>
                <w:sz w:val="17"/>
              </w:rPr>
              <w:t>2 220 838</w:t>
            </w:r>
          </w:p>
        </w:tc>
        <w:tc>
          <w:tcPr>
            <w:tcW w:w="1475" w:type="dxa"/>
          </w:tcPr>
          <w:p w:rsidR="00000000" w:rsidRDefault="00000000">
            <w:pPr>
              <w:tabs>
                <w:tab w:val="decimal" w:pos="567"/>
              </w:tabs>
              <w:spacing w:before="40" w:after="40" w:line="240" w:lineRule="auto"/>
              <w:rPr>
                <w:sz w:val="17"/>
              </w:rPr>
            </w:pPr>
            <w:r>
              <w:rPr>
                <w:sz w:val="17"/>
              </w:rPr>
              <w:t>59,7</w:t>
            </w:r>
          </w:p>
        </w:tc>
      </w:tr>
      <w:tr w:rsidR="00000000">
        <w:tblPrEx>
          <w:tblCellMar>
            <w:top w:w="0" w:type="dxa"/>
            <w:bottom w:w="0" w:type="dxa"/>
          </w:tblCellMar>
        </w:tblPrEx>
        <w:tc>
          <w:tcPr>
            <w:tcW w:w="1474" w:type="dxa"/>
          </w:tcPr>
          <w:p w:rsidR="00000000" w:rsidRDefault="00000000">
            <w:pPr>
              <w:spacing w:before="40" w:after="40" w:line="240" w:lineRule="auto"/>
              <w:jc w:val="center"/>
              <w:rPr>
                <w:sz w:val="17"/>
              </w:rPr>
            </w:pPr>
            <w:r>
              <w:rPr>
                <w:sz w:val="17"/>
              </w:rPr>
              <w:t>1998-99</w:t>
            </w:r>
          </w:p>
        </w:tc>
        <w:tc>
          <w:tcPr>
            <w:tcW w:w="1474" w:type="dxa"/>
          </w:tcPr>
          <w:p w:rsidR="00000000" w:rsidRDefault="00000000">
            <w:pPr>
              <w:tabs>
                <w:tab w:val="decimal" w:pos="970"/>
              </w:tabs>
              <w:spacing w:before="40" w:after="40" w:line="240" w:lineRule="auto"/>
              <w:rPr>
                <w:sz w:val="17"/>
              </w:rPr>
            </w:pPr>
            <w:r>
              <w:rPr>
                <w:sz w:val="17"/>
              </w:rPr>
              <w:t>999 142</w:t>
            </w:r>
          </w:p>
        </w:tc>
        <w:tc>
          <w:tcPr>
            <w:tcW w:w="1474" w:type="dxa"/>
          </w:tcPr>
          <w:p w:rsidR="00000000" w:rsidRDefault="00000000">
            <w:pPr>
              <w:tabs>
                <w:tab w:val="decimal" w:pos="970"/>
              </w:tabs>
              <w:spacing w:before="40" w:after="40" w:line="240" w:lineRule="auto"/>
              <w:rPr>
                <w:sz w:val="17"/>
              </w:rPr>
            </w:pPr>
            <w:r>
              <w:rPr>
                <w:sz w:val="17"/>
              </w:rPr>
              <w:t>1 280 172</w:t>
            </w:r>
          </w:p>
        </w:tc>
        <w:tc>
          <w:tcPr>
            <w:tcW w:w="1474" w:type="dxa"/>
          </w:tcPr>
          <w:p w:rsidR="00000000" w:rsidRDefault="00000000">
            <w:pPr>
              <w:tabs>
                <w:tab w:val="decimal" w:pos="970"/>
              </w:tabs>
              <w:spacing w:before="40" w:after="40" w:line="240" w:lineRule="auto"/>
              <w:rPr>
                <w:sz w:val="17"/>
              </w:rPr>
            </w:pPr>
            <w:r>
              <w:rPr>
                <w:sz w:val="17"/>
              </w:rPr>
              <w:t>2 279 314</w:t>
            </w:r>
          </w:p>
        </w:tc>
        <w:tc>
          <w:tcPr>
            <w:tcW w:w="1475" w:type="dxa"/>
          </w:tcPr>
          <w:p w:rsidR="00000000" w:rsidRDefault="00000000">
            <w:pPr>
              <w:tabs>
                <w:tab w:val="decimal" w:pos="567"/>
              </w:tabs>
              <w:spacing w:before="40" w:after="40" w:line="240" w:lineRule="auto"/>
              <w:rPr>
                <w:sz w:val="17"/>
              </w:rPr>
            </w:pPr>
            <w:r>
              <w:rPr>
                <w:sz w:val="17"/>
              </w:rPr>
              <w:t>56,2</w:t>
            </w:r>
          </w:p>
        </w:tc>
      </w:tr>
      <w:tr w:rsidR="00000000">
        <w:tblPrEx>
          <w:tblCellMar>
            <w:top w:w="0" w:type="dxa"/>
            <w:bottom w:w="0" w:type="dxa"/>
          </w:tblCellMar>
        </w:tblPrEx>
        <w:tc>
          <w:tcPr>
            <w:tcW w:w="1474" w:type="dxa"/>
          </w:tcPr>
          <w:p w:rsidR="00000000" w:rsidRDefault="00000000">
            <w:pPr>
              <w:spacing w:before="40" w:after="40" w:line="240" w:lineRule="auto"/>
              <w:jc w:val="center"/>
              <w:rPr>
                <w:sz w:val="17"/>
              </w:rPr>
            </w:pPr>
            <w:r>
              <w:rPr>
                <w:sz w:val="17"/>
              </w:rPr>
              <w:t>1999-2000</w:t>
            </w:r>
          </w:p>
        </w:tc>
        <w:tc>
          <w:tcPr>
            <w:tcW w:w="1474" w:type="dxa"/>
          </w:tcPr>
          <w:p w:rsidR="00000000" w:rsidRDefault="00000000">
            <w:pPr>
              <w:tabs>
                <w:tab w:val="decimal" w:pos="970"/>
              </w:tabs>
              <w:spacing w:before="40" w:after="40" w:line="240" w:lineRule="auto"/>
              <w:rPr>
                <w:sz w:val="17"/>
              </w:rPr>
            </w:pPr>
            <w:r>
              <w:rPr>
                <w:sz w:val="17"/>
              </w:rPr>
              <w:t>1 063 246</w:t>
            </w:r>
          </w:p>
        </w:tc>
        <w:tc>
          <w:tcPr>
            <w:tcW w:w="1474" w:type="dxa"/>
          </w:tcPr>
          <w:p w:rsidR="00000000" w:rsidRDefault="00000000">
            <w:pPr>
              <w:tabs>
                <w:tab w:val="decimal" w:pos="970"/>
              </w:tabs>
              <w:spacing w:before="40" w:after="40" w:line="240" w:lineRule="auto"/>
              <w:rPr>
                <w:sz w:val="17"/>
              </w:rPr>
            </w:pPr>
            <w:r>
              <w:rPr>
                <w:sz w:val="17"/>
              </w:rPr>
              <w:t>1 310 240</w:t>
            </w:r>
          </w:p>
        </w:tc>
        <w:tc>
          <w:tcPr>
            <w:tcW w:w="1474" w:type="dxa"/>
          </w:tcPr>
          <w:p w:rsidR="00000000" w:rsidRDefault="00000000">
            <w:pPr>
              <w:tabs>
                <w:tab w:val="decimal" w:pos="970"/>
              </w:tabs>
              <w:spacing w:before="40" w:after="40" w:line="240" w:lineRule="auto"/>
              <w:rPr>
                <w:sz w:val="17"/>
              </w:rPr>
            </w:pPr>
            <w:r>
              <w:rPr>
                <w:sz w:val="17"/>
              </w:rPr>
              <w:t>2 373 486</w:t>
            </w:r>
          </w:p>
        </w:tc>
        <w:tc>
          <w:tcPr>
            <w:tcW w:w="1475" w:type="dxa"/>
          </w:tcPr>
          <w:p w:rsidR="00000000" w:rsidRDefault="00000000">
            <w:pPr>
              <w:tabs>
                <w:tab w:val="decimal" w:pos="567"/>
              </w:tabs>
              <w:spacing w:before="40" w:after="40" w:line="240" w:lineRule="auto"/>
              <w:rPr>
                <w:sz w:val="17"/>
              </w:rPr>
            </w:pPr>
            <w:r>
              <w:rPr>
                <w:sz w:val="17"/>
              </w:rPr>
              <w:t>55,2</w:t>
            </w:r>
          </w:p>
        </w:tc>
      </w:tr>
      <w:tr w:rsidR="00000000">
        <w:tblPrEx>
          <w:tblCellMar>
            <w:top w:w="0" w:type="dxa"/>
            <w:bottom w:w="0" w:type="dxa"/>
          </w:tblCellMar>
        </w:tblPrEx>
        <w:tc>
          <w:tcPr>
            <w:tcW w:w="1474" w:type="dxa"/>
            <w:tcBorders>
              <w:bottom w:val="single" w:sz="12" w:space="0" w:color="auto"/>
            </w:tcBorders>
          </w:tcPr>
          <w:p w:rsidR="00000000" w:rsidRDefault="00000000">
            <w:pPr>
              <w:spacing w:before="40" w:after="40" w:line="240" w:lineRule="auto"/>
              <w:jc w:val="center"/>
              <w:rPr>
                <w:sz w:val="17"/>
              </w:rPr>
            </w:pPr>
            <w:r>
              <w:rPr>
                <w:sz w:val="17"/>
              </w:rPr>
              <w:t>2000-01</w:t>
            </w:r>
          </w:p>
        </w:tc>
        <w:tc>
          <w:tcPr>
            <w:tcW w:w="1474" w:type="dxa"/>
            <w:tcBorders>
              <w:bottom w:val="single" w:sz="12" w:space="0" w:color="auto"/>
            </w:tcBorders>
          </w:tcPr>
          <w:p w:rsidR="00000000" w:rsidRDefault="00000000">
            <w:pPr>
              <w:tabs>
                <w:tab w:val="decimal" w:pos="970"/>
              </w:tabs>
              <w:spacing w:before="40" w:after="40" w:line="240" w:lineRule="auto"/>
              <w:rPr>
                <w:sz w:val="17"/>
              </w:rPr>
            </w:pPr>
            <w:r>
              <w:rPr>
                <w:sz w:val="17"/>
              </w:rPr>
              <w:t>1 159 462</w:t>
            </w:r>
          </w:p>
        </w:tc>
        <w:tc>
          <w:tcPr>
            <w:tcW w:w="1474" w:type="dxa"/>
            <w:tcBorders>
              <w:bottom w:val="single" w:sz="12" w:space="0" w:color="auto"/>
            </w:tcBorders>
          </w:tcPr>
          <w:p w:rsidR="00000000" w:rsidRDefault="00000000">
            <w:pPr>
              <w:tabs>
                <w:tab w:val="decimal" w:pos="970"/>
              </w:tabs>
              <w:spacing w:before="40" w:after="40" w:line="240" w:lineRule="auto"/>
              <w:rPr>
                <w:sz w:val="17"/>
              </w:rPr>
            </w:pPr>
            <w:r>
              <w:rPr>
                <w:sz w:val="17"/>
              </w:rPr>
              <w:t>1 250 840</w:t>
            </w:r>
          </w:p>
        </w:tc>
        <w:tc>
          <w:tcPr>
            <w:tcW w:w="1474" w:type="dxa"/>
            <w:tcBorders>
              <w:bottom w:val="single" w:sz="12" w:space="0" w:color="auto"/>
            </w:tcBorders>
          </w:tcPr>
          <w:p w:rsidR="00000000" w:rsidRDefault="00000000">
            <w:pPr>
              <w:tabs>
                <w:tab w:val="decimal" w:pos="970"/>
              </w:tabs>
              <w:spacing w:before="40" w:after="40" w:line="240" w:lineRule="auto"/>
              <w:rPr>
                <w:sz w:val="17"/>
              </w:rPr>
            </w:pPr>
            <w:r>
              <w:rPr>
                <w:sz w:val="17"/>
              </w:rPr>
              <w:t>2 410 302</w:t>
            </w:r>
          </w:p>
        </w:tc>
        <w:tc>
          <w:tcPr>
            <w:tcW w:w="1475" w:type="dxa"/>
            <w:tcBorders>
              <w:bottom w:val="single" w:sz="12" w:space="0" w:color="auto"/>
            </w:tcBorders>
          </w:tcPr>
          <w:p w:rsidR="00000000" w:rsidRDefault="00000000">
            <w:pPr>
              <w:tabs>
                <w:tab w:val="decimal" w:pos="567"/>
              </w:tabs>
              <w:spacing w:before="40" w:after="40" w:line="240" w:lineRule="auto"/>
              <w:rPr>
                <w:sz w:val="17"/>
              </w:rPr>
            </w:pPr>
            <w:r>
              <w:rPr>
                <w:sz w:val="17"/>
              </w:rPr>
              <w:t>51,9</w:t>
            </w:r>
          </w:p>
        </w:tc>
      </w:tr>
    </w:tbl>
    <w:p w:rsidR="00000000" w:rsidRDefault="00000000">
      <w:pPr>
        <w:pStyle w:val="SingleTxt"/>
        <w:rPr>
          <w:sz w:val="17"/>
        </w:rPr>
      </w:pPr>
      <w:r>
        <w:rPr>
          <w:i/>
          <w:sz w:val="17"/>
        </w:rPr>
        <w:t>Источник данных</w:t>
      </w:r>
      <w:r>
        <w:rPr>
          <w:sz w:val="17"/>
        </w:rPr>
        <w:t>: Комиссия по высшему образованию, 1993-2001 годы.</w:t>
      </w:r>
    </w:p>
    <w:p w:rsidR="00000000" w:rsidRDefault="00000000">
      <w:pPr>
        <w:pStyle w:val="table"/>
      </w:pPr>
      <w:bookmarkStart w:id="92" w:name="_Toc85175494"/>
      <w:r>
        <w:t>Приложение. Таблица B10.3. Отдельные дезагригированные по признаку пола статистические данные о количестве учащихся в высших учебных заведениях</w:t>
      </w:r>
      <w:bookmarkEnd w:id="92"/>
    </w:p>
    <w:tbl>
      <w:tblPr>
        <w:tblW w:w="0" w:type="auto"/>
        <w:tblInd w:w="1278" w:type="dxa"/>
        <w:tblLayout w:type="fixed"/>
        <w:tblLook w:val="0000" w:firstRow="0" w:lastRow="0" w:firstColumn="0" w:lastColumn="0" w:noHBand="0" w:noVBand="0"/>
      </w:tblPr>
      <w:tblGrid>
        <w:gridCol w:w="2954"/>
        <w:gridCol w:w="763"/>
        <w:gridCol w:w="764"/>
        <w:gridCol w:w="764"/>
        <w:gridCol w:w="1063"/>
        <w:gridCol w:w="1063"/>
      </w:tblGrid>
      <w:tr w:rsidR="00000000">
        <w:tblPrEx>
          <w:tblCellMar>
            <w:top w:w="0" w:type="dxa"/>
            <w:bottom w:w="0" w:type="dxa"/>
          </w:tblCellMar>
        </w:tblPrEx>
        <w:trPr>
          <w:cantSplit/>
          <w:tblHeader/>
        </w:trPr>
        <w:tc>
          <w:tcPr>
            <w:tcW w:w="2954"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Предмет</w:t>
            </w:r>
          </w:p>
        </w:tc>
        <w:tc>
          <w:tcPr>
            <w:tcW w:w="2291" w:type="dxa"/>
            <w:gridSpan w:val="3"/>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Процентная доля же</w:t>
            </w:r>
            <w:r>
              <w:rPr>
                <w:i/>
                <w:sz w:val="17"/>
              </w:rPr>
              <w:t>н</w:t>
            </w:r>
            <w:r>
              <w:rPr>
                <w:i/>
                <w:sz w:val="17"/>
              </w:rPr>
              <w:t>щин в общей численности уч</w:t>
            </w:r>
            <w:r>
              <w:rPr>
                <w:i/>
                <w:sz w:val="17"/>
              </w:rPr>
              <w:t>а</w:t>
            </w:r>
            <w:r>
              <w:rPr>
                <w:i/>
                <w:sz w:val="17"/>
              </w:rPr>
              <w:t>щихся</w:t>
            </w:r>
          </w:p>
        </w:tc>
        <w:tc>
          <w:tcPr>
            <w:tcW w:w="2126"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Процентное распред</w:t>
            </w:r>
            <w:r>
              <w:rPr>
                <w:i/>
                <w:sz w:val="17"/>
              </w:rPr>
              <w:t>е</w:t>
            </w:r>
            <w:r>
              <w:rPr>
                <w:i/>
                <w:sz w:val="17"/>
              </w:rPr>
              <w:t>ление учащихся, 1996-97 год</w:t>
            </w:r>
          </w:p>
        </w:tc>
      </w:tr>
      <w:tr w:rsidR="00000000">
        <w:tblPrEx>
          <w:tblCellMar>
            <w:top w:w="0" w:type="dxa"/>
            <w:bottom w:w="0" w:type="dxa"/>
          </w:tblCellMar>
        </w:tblPrEx>
        <w:trPr>
          <w:cantSplit/>
          <w:tblHeader/>
        </w:trPr>
        <w:tc>
          <w:tcPr>
            <w:tcW w:w="2954"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c>
          <w:tcPr>
            <w:tcW w:w="763"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1996-1997</w:t>
            </w:r>
          </w:p>
        </w:tc>
        <w:tc>
          <w:tcPr>
            <w:tcW w:w="764"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1997-1998</w:t>
            </w:r>
          </w:p>
        </w:tc>
        <w:tc>
          <w:tcPr>
            <w:tcW w:w="764"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1999-2000</w:t>
            </w:r>
          </w:p>
        </w:tc>
        <w:tc>
          <w:tcPr>
            <w:tcW w:w="1063"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Девочки</w:t>
            </w:r>
          </w:p>
        </w:tc>
        <w:tc>
          <w:tcPr>
            <w:tcW w:w="1063"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Мальч</w:t>
            </w:r>
            <w:r>
              <w:rPr>
                <w:i/>
                <w:sz w:val="17"/>
              </w:rPr>
              <w:t>и</w:t>
            </w:r>
            <w:r>
              <w:rPr>
                <w:i/>
                <w:sz w:val="17"/>
              </w:rPr>
              <w:t>ки</w:t>
            </w:r>
          </w:p>
        </w:tc>
      </w:tr>
      <w:tr w:rsidR="00000000">
        <w:tblPrEx>
          <w:tblCellMar>
            <w:top w:w="0" w:type="dxa"/>
            <w:bottom w:w="0" w:type="dxa"/>
          </w:tblCellMar>
        </w:tblPrEx>
        <w:tc>
          <w:tcPr>
            <w:tcW w:w="2954" w:type="dxa"/>
            <w:tcBorders>
              <w:top w:val="single" w:sz="12" w:space="0" w:color="auto"/>
            </w:tcBorders>
          </w:tcPr>
          <w:p w:rsidR="00000000" w:rsidRDefault="00000000">
            <w:pPr>
              <w:keepNext/>
              <w:spacing w:before="40" w:after="40" w:line="240" w:lineRule="auto"/>
              <w:rPr>
                <w:sz w:val="17"/>
              </w:rPr>
            </w:pPr>
            <w:r>
              <w:rPr>
                <w:sz w:val="17"/>
              </w:rPr>
              <w:t>Домоводство</w:t>
            </w:r>
          </w:p>
        </w:tc>
        <w:tc>
          <w:tcPr>
            <w:tcW w:w="763"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88,2</w:t>
            </w:r>
          </w:p>
        </w:tc>
        <w:tc>
          <w:tcPr>
            <w:tcW w:w="764"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92,7</w:t>
            </w:r>
          </w:p>
        </w:tc>
        <w:tc>
          <w:tcPr>
            <w:tcW w:w="764"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88,6</w:t>
            </w:r>
          </w:p>
        </w:tc>
        <w:tc>
          <w:tcPr>
            <w:tcW w:w="1063"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0,3</w:t>
            </w:r>
          </w:p>
        </w:tc>
        <w:tc>
          <w:tcPr>
            <w:tcW w:w="1063"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w:t>
            </w:r>
          </w:p>
        </w:tc>
      </w:tr>
      <w:tr w:rsidR="00000000">
        <w:tblPrEx>
          <w:tblCellMar>
            <w:top w:w="0" w:type="dxa"/>
            <w:bottom w:w="0" w:type="dxa"/>
          </w:tblCellMar>
        </w:tblPrEx>
        <w:tc>
          <w:tcPr>
            <w:tcW w:w="2954" w:type="dxa"/>
          </w:tcPr>
          <w:p w:rsidR="00000000" w:rsidRDefault="00000000">
            <w:pPr>
              <w:keepNext/>
              <w:spacing w:before="40" w:after="40" w:line="240" w:lineRule="auto"/>
              <w:rPr>
                <w:sz w:val="17"/>
              </w:rPr>
            </w:pPr>
            <w:r>
              <w:rPr>
                <w:sz w:val="17"/>
              </w:rPr>
              <w:t>Сфера обслуживания</w:t>
            </w:r>
          </w:p>
        </w:tc>
        <w:tc>
          <w:tcPr>
            <w:tcW w:w="763" w:type="dxa"/>
            <w:vAlign w:val="bottom"/>
          </w:tcPr>
          <w:p w:rsidR="00000000" w:rsidRDefault="00000000">
            <w:pPr>
              <w:keepNext/>
              <w:tabs>
                <w:tab w:val="decimal" w:pos="567"/>
              </w:tabs>
              <w:spacing w:before="40" w:after="40" w:line="240" w:lineRule="auto"/>
              <w:rPr>
                <w:sz w:val="17"/>
              </w:rPr>
            </w:pPr>
            <w:r>
              <w:rPr>
                <w:sz w:val="17"/>
              </w:rPr>
              <w:t>84,9</w:t>
            </w:r>
          </w:p>
        </w:tc>
        <w:tc>
          <w:tcPr>
            <w:tcW w:w="764" w:type="dxa"/>
            <w:vAlign w:val="bottom"/>
          </w:tcPr>
          <w:p w:rsidR="00000000" w:rsidRDefault="00000000">
            <w:pPr>
              <w:keepNext/>
              <w:tabs>
                <w:tab w:val="decimal" w:pos="567"/>
              </w:tabs>
              <w:spacing w:before="40" w:after="40" w:line="240" w:lineRule="auto"/>
              <w:rPr>
                <w:sz w:val="17"/>
              </w:rPr>
            </w:pPr>
            <w:r>
              <w:rPr>
                <w:sz w:val="17"/>
              </w:rPr>
              <w:t>82,0</w:t>
            </w:r>
          </w:p>
        </w:tc>
        <w:tc>
          <w:tcPr>
            <w:tcW w:w="764" w:type="dxa"/>
            <w:vAlign w:val="bottom"/>
          </w:tcPr>
          <w:p w:rsidR="00000000" w:rsidRDefault="00000000">
            <w:pPr>
              <w:keepNext/>
              <w:tabs>
                <w:tab w:val="decimal" w:pos="567"/>
              </w:tabs>
              <w:spacing w:before="40" w:after="40" w:line="240" w:lineRule="auto"/>
              <w:rPr>
                <w:sz w:val="17"/>
              </w:rPr>
            </w:pPr>
            <w:r>
              <w:rPr>
                <w:sz w:val="17"/>
              </w:rPr>
              <w:t>79,0</w:t>
            </w:r>
          </w:p>
        </w:tc>
        <w:tc>
          <w:tcPr>
            <w:tcW w:w="1063" w:type="dxa"/>
            <w:vAlign w:val="bottom"/>
          </w:tcPr>
          <w:p w:rsidR="00000000" w:rsidRDefault="00000000">
            <w:pPr>
              <w:keepNext/>
              <w:tabs>
                <w:tab w:val="decimal" w:pos="567"/>
              </w:tabs>
              <w:spacing w:before="40" w:after="40" w:line="240" w:lineRule="auto"/>
              <w:rPr>
                <w:sz w:val="17"/>
              </w:rPr>
            </w:pPr>
            <w:r>
              <w:rPr>
                <w:sz w:val="17"/>
              </w:rPr>
              <w:t>0,5</w:t>
            </w:r>
          </w:p>
        </w:tc>
        <w:tc>
          <w:tcPr>
            <w:tcW w:w="1063" w:type="dxa"/>
            <w:vAlign w:val="bottom"/>
          </w:tcPr>
          <w:p w:rsidR="00000000" w:rsidRDefault="00000000">
            <w:pPr>
              <w:keepNext/>
              <w:tabs>
                <w:tab w:val="decimal" w:pos="567"/>
              </w:tabs>
              <w:spacing w:before="40" w:after="40" w:line="240" w:lineRule="auto"/>
              <w:rPr>
                <w:sz w:val="17"/>
              </w:rPr>
            </w:pPr>
            <w:r>
              <w:rPr>
                <w:sz w:val="17"/>
              </w:rPr>
              <w:t>0,1</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Торговля, ремесленничество и промы</w:t>
            </w:r>
            <w:r>
              <w:rPr>
                <w:sz w:val="17"/>
              </w:rPr>
              <w:t>ш</w:t>
            </w:r>
            <w:r>
              <w:rPr>
                <w:sz w:val="17"/>
              </w:rPr>
              <w:t>ленные курсы</w:t>
            </w:r>
          </w:p>
        </w:tc>
        <w:tc>
          <w:tcPr>
            <w:tcW w:w="763" w:type="dxa"/>
            <w:vAlign w:val="bottom"/>
          </w:tcPr>
          <w:p w:rsidR="00000000" w:rsidRDefault="00000000">
            <w:pPr>
              <w:tabs>
                <w:tab w:val="decimal" w:pos="567"/>
              </w:tabs>
              <w:spacing w:before="40" w:after="40" w:line="240" w:lineRule="auto"/>
              <w:rPr>
                <w:sz w:val="17"/>
              </w:rPr>
            </w:pPr>
            <w:r>
              <w:rPr>
                <w:sz w:val="17"/>
              </w:rPr>
              <w:t>81,3</w:t>
            </w:r>
          </w:p>
        </w:tc>
        <w:tc>
          <w:tcPr>
            <w:tcW w:w="764" w:type="dxa"/>
            <w:vAlign w:val="bottom"/>
          </w:tcPr>
          <w:p w:rsidR="00000000" w:rsidRDefault="00000000">
            <w:pPr>
              <w:tabs>
                <w:tab w:val="decimal" w:pos="567"/>
              </w:tabs>
              <w:spacing w:before="40" w:after="40" w:line="240" w:lineRule="auto"/>
              <w:rPr>
                <w:sz w:val="17"/>
              </w:rPr>
            </w:pPr>
            <w:r>
              <w:rPr>
                <w:sz w:val="17"/>
              </w:rPr>
              <w:t>52,5</w:t>
            </w:r>
          </w:p>
        </w:tc>
        <w:tc>
          <w:tcPr>
            <w:tcW w:w="764" w:type="dxa"/>
            <w:vAlign w:val="bottom"/>
          </w:tcPr>
          <w:p w:rsidR="00000000" w:rsidRDefault="00000000">
            <w:pPr>
              <w:tabs>
                <w:tab w:val="decimal" w:pos="567"/>
              </w:tabs>
              <w:spacing w:before="40" w:after="40" w:line="240" w:lineRule="auto"/>
              <w:rPr>
                <w:sz w:val="17"/>
              </w:rPr>
            </w:pPr>
            <w:r>
              <w:rPr>
                <w:sz w:val="17"/>
              </w:rPr>
              <w:t>84,0</w:t>
            </w:r>
          </w:p>
        </w:tc>
        <w:tc>
          <w:tcPr>
            <w:tcW w:w="1063" w:type="dxa"/>
            <w:vAlign w:val="bottom"/>
          </w:tcPr>
          <w:p w:rsidR="00000000" w:rsidRDefault="00000000">
            <w:pPr>
              <w:tabs>
                <w:tab w:val="decimal" w:pos="567"/>
              </w:tabs>
              <w:spacing w:before="40" w:after="40" w:line="240" w:lineRule="auto"/>
              <w:rPr>
                <w:sz w:val="17"/>
              </w:rPr>
            </w:pPr>
            <w:r>
              <w:rPr>
                <w:sz w:val="17"/>
              </w:rPr>
              <w:t>-*</w:t>
            </w:r>
          </w:p>
        </w:tc>
        <w:tc>
          <w:tcPr>
            <w:tcW w:w="1063" w:type="dxa"/>
            <w:vAlign w:val="bottom"/>
          </w:tcPr>
          <w:p w:rsidR="00000000" w:rsidRDefault="00000000">
            <w:pPr>
              <w:tabs>
                <w:tab w:val="decimal" w:pos="567"/>
              </w:tabs>
              <w:spacing w:before="40" w:after="40" w:line="240" w:lineRule="auto"/>
              <w:rPr>
                <w:sz w:val="17"/>
              </w:rPr>
            </w:pPr>
            <w:r>
              <w:rPr>
                <w:sz w:val="17"/>
              </w:rPr>
              <w:t>-*</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Образование и педагогика</w:t>
            </w:r>
          </w:p>
        </w:tc>
        <w:tc>
          <w:tcPr>
            <w:tcW w:w="763" w:type="dxa"/>
            <w:vAlign w:val="bottom"/>
          </w:tcPr>
          <w:p w:rsidR="00000000" w:rsidRDefault="00000000">
            <w:pPr>
              <w:tabs>
                <w:tab w:val="decimal" w:pos="567"/>
              </w:tabs>
              <w:spacing w:before="40" w:after="40" w:line="240" w:lineRule="auto"/>
              <w:rPr>
                <w:sz w:val="17"/>
              </w:rPr>
            </w:pPr>
            <w:r>
              <w:rPr>
                <w:sz w:val="17"/>
              </w:rPr>
              <w:t>78,4</w:t>
            </w:r>
          </w:p>
        </w:tc>
        <w:tc>
          <w:tcPr>
            <w:tcW w:w="764" w:type="dxa"/>
            <w:vAlign w:val="bottom"/>
          </w:tcPr>
          <w:p w:rsidR="00000000" w:rsidRDefault="00000000">
            <w:pPr>
              <w:tabs>
                <w:tab w:val="decimal" w:pos="567"/>
              </w:tabs>
              <w:spacing w:before="40" w:after="40" w:line="240" w:lineRule="auto"/>
              <w:rPr>
                <w:sz w:val="17"/>
              </w:rPr>
            </w:pPr>
            <w:r>
              <w:rPr>
                <w:sz w:val="17"/>
              </w:rPr>
              <w:t>77,6</w:t>
            </w:r>
          </w:p>
        </w:tc>
        <w:tc>
          <w:tcPr>
            <w:tcW w:w="764" w:type="dxa"/>
            <w:vAlign w:val="bottom"/>
          </w:tcPr>
          <w:p w:rsidR="00000000" w:rsidRDefault="00000000">
            <w:pPr>
              <w:tabs>
                <w:tab w:val="decimal" w:pos="567"/>
              </w:tabs>
              <w:spacing w:before="40" w:after="40" w:line="240" w:lineRule="auto"/>
              <w:rPr>
                <w:sz w:val="17"/>
              </w:rPr>
            </w:pPr>
            <w:r>
              <w:rPr>
                <w:sz w:val="17"/>
              </w:rPr>
              <w:t>74,7</w:t>
            </w:r>
          </w:p>
        </w:tc>
        <w:tc>
          <w:tcPr>
            <w:tcW w:w="1063" w:type="dxa"/>
            <w:vAlign w:val="bottom"/>
          </w:tcPr>
          <w:p w:rsidR="00000000" w:rsidRDefault="00000000">
            <w:pPr>
              <w:tabs>
                <w:tab w:val="decimal" w:pos="567"/>
              </w:tabs>
              <w:spacing w:before="40" w:after="40" w:line="240" w:lineRule="auto"/>
              <w:rPr>
                <w:sz w:val="17"/>
              </w:rPr>
            </w:pPr>
            <w:r>
              <w:rPr>
                <w:sz w:val="17"/>
              </w:rPr>
              <w:t>17,8</w:t>
            </w:r>
          </w:p>
        </w:tc>
        <w:tc>
          <w:tcPr>
            <w:tcW w:w="1063" w:type="dxa"/>
            <w:vAlign w:val="bottom"/>
          </w:tcPr>
          <w:p w:rsidR="00000000" w:rsidRDefault="00000000">
            <w:pPr>
              <w:tabs>
                <w:tab w:val="decimal" w:pos="567"/>
              </w:tabs>
              <w:spacing w:before="40" w:after="40" w:line="240" w:lineRule="auto"/>
              <w:rPr>
                <w:sz w:val="17"/>
              </w:rPr>
            </w:pPr>
            <w:r>
              <w:rPr>
                <w:sz w:val="17"/>
              </w:rPr>
              <w:t>7,5</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Средства массовой коммуникации и док</w:t>
            </w:r>
            <w:r>
              <w:rPr>
                <w:sz w:val="17"/>
              </w:rPr>
              <w:t>у</w:t>
            </w:r>
            <w:r>
              <w:rPr>
                <w:sz w:val="17"/>
              </w:rPr>
              <w:t>ментации</w:t>
            </w:r>
          </w:p>
        </w:tc>
        <w:tc>
          <w:tcPr>
            <w:tcW w:w="763" w:type="dxa"/>
            <w:vAlign w:val="bottom"/>
          </w:tcPr>
          <w:p w:rsidR="00000000" w:rsidRDefault="00000000">
            <w:pPr>
              <w:tabs>
                <w:tab w:val="decimal" w:pos="567"/>
              </w:tabs>
              <w:spacing w:before="40" w:after="40" w:line="240" w:lineRule="auto"/>
              <w:rPr>
                <w:sz w:val="17"/>
              </w:rPr>
            </w:pPr>
            <w:r>
              <w:rPr>
                <w:sz w:val="17"/>
              </w:rPr>
              <w:t>76,6</w:t>
            </w:r>
          </w:p>
        </w:tc>
        <w:tc>
          <w:tcPr>
            <w:tcW w:w="764" w:type="dxa"/>
            <w:vAlign w:val="bottom"/>
          </w:tcPr>
          <w:p w:rsidR="00000000" w:rsidRDefault="00000000">
            <w:pPr>
              <w:tabs>
                <w:tab w:val="decimal" w:pos="567"/>
              </w:tabs>
              <w:spacing w:before="40" w:after="40" w:line="240" w:lineRule="auto"/>
              <w:rPr>
                <w:sz w:val="17"/>
              </w:rPr>
            </w:pPr>
            <w:r>
              <w:rPr>
                <w:sz w:val="17"/>
              </w:rPr>
              <w:t>77,7</w:t>
            </w:r>
          </w:p>
        </w:tc>
        <w:tc>
          <w:tcPr>
            <w:tcW w:w="764" w:type="dxa"/>
            <w:vAlign w:val="bottom"/>
          </w:tcPr>
          <w:p w:rsidR="00000000" w:rsidRDefault="00000000">
            <w:pPr>
              <w:tabs>
                <w:tab w:val="decimal" w:pos="567"/>
              </w:tabs>
              <w:spacing w:before="40" w:after="40" w:line="240" w:lineRule="auto"/>
              <w:rPr>
                <w:sz w:val="17"/>
              </w:rPr>
            </w:pPr>
            <w:r>
              <w:rPr>
                <w:sz w:val="17"/>
              </w:rPr>
              <w:t>65,4</w:t>
            </w:r>
          </w:p>
        </w:tc>
        <w:tc>
          <w:tcPr>
            <w:tcW w:w="1063" w:type="dxa"/>
            <w:vAlign w:val="bottom"/>
          </w:tcPr>
          <w:p w:rsidR="00000000" w:rsidRDefault="00000000">
            <w:pPr>
              <w:tabs>
                <w:tab w:val="decimal" w:pos="567"/>
              </w:tabs>
              <w:spacing w:before="40" w:after="40" w:line="240" w:lineRule="auto"/>
              <w:rPr>
                <w:sz w:val="17"/>
              </w:rPr>
            </w:pPr>
            <w:r>
              <w:rPr>
                <w:sz w:val="17"/>
              </w:rPr>
              <w:t>0,7</w:t>
            </w:r>
          </w:p>
        </w:tc>
        <w:tc>
          <w:tcPr>
            <w:tcW w:w="1063" w:type="dxa"/>
            <w:vAlign w:val="bottom"/>
          </w:tcPr>
          <w:p w:rsidR="00000000" w:rsidRDefault="00000000">
            <w:pPr>
              <w:tabs>
                <w:tab w:val="decimal" w:pos="567"/>
              </w:tabs>
              <w:spacing w:before="40" w:after="40" w:line="240" w:lineRule="auto"/>
              <w:rPr>
                <w:sz w:val="17"/>
              </w:rPr>
            </w:pPr>
            <w:r>
              <w:rPr>
                <w:sz w:val="17"/>
              </w:rPr>
              <w:t>0,3</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Управление коммерческой де</w:t>
            </w:r>
            <w:r>
              <w:rPr>
                <w:sz w:val="17"/>
              </w:rPr>
              <w:t>я</w:t>
            </w:r>
            <w:r>
              <w:rPr>
                <w:sz w:val="17"/>
              </w:rPr>
              <w:t>тельностью и связанные с этим предметы</w:t>
            </w:r>
          </w:p>
        </w:tc>
        <w:tc>
          <w:tcPr>
            <w:tcW w:w="763" w:type="dxa"/>
            <w:vAlign w:val="bottom"/>
          </w:tcPr>
          <w:p w:rsidR="00000000" w:rsidRDefault="00000000">
            <w:pPr>
              <w:tabs>
                <w:tab w:val="decimal" w:pos="567"/>
              </w:tabs>
              <w:spacing w:before="40" w:after="40" w:line="240" w:lineRule="auto"/>
              <w:rPr>
                <w:sz w:val="17"/>
              </w:rPr>
            </w:pPr>
            <w:r>
              <w:rPr>
                <w:sz w:val="17"/>
              </w:rPr>
              <w:t>74,9</w:t>
            </w:r>
          </w:p>
        </w:tc>
        <w:tc>
          <w:tcPr>
            <w:tcW w:w="764" w:type="dxa"/>
            <w:vAlign w:val="bottom"/>
          </w:tcPr>
          <w:p w:rsidR="00000000" w:rsidRDefault="00000000">
            <w:pPr>
              <w:tabs>
                <w:tab w:val="decimal" w:pos="567"/>
              </w:tabs>
              <w:spacing w:before="40" w:after="40" w:line="240" w:lineRule="auto"/>
              <w:rPr>
                <w:sz w:val="17"/>
              </w:rPr>
            </w:pPr>
            <w:r>
              <w:rPr>
                <w:sz w:val="17"/>
              </w:rPr>
              <w:t>68,0</w:t>
            </w:r>
          </w:p>
        </w:tc>
        <w:tc>
          <w:tcPr>
            <w:tcW w:w="764" w:type="dxa"/>
            <w:vAlign w:val="bottom"/>
          </w:tcPr>
          <w:p w:rsidR="00000000" w:rsidRDefault="00000000">
            <w:pPr>
              <w:tabs>
                <w:tab w:val="decimal" w:pos="567"/>
              </w:tabs>
              <w:spacing w:before="40" w:after="40" w:line="240" w:lineRule="auto"/>
              <w:rPr>
                <w:sz w:val="17"/>
              </w:rPr>
            </w:pPr>
            <w:r>
              <w:rPr>
                <w:sz w:val="17"/>
              </w:rPr>
              <w:t>65,7</w:t>
            </w:r>
          </w:p>
        </w:tc>
        <w:tc>
          <w:tcPr>
            <w:tcW w:w="1063" w:type="dxa"/>
            <w:vAlign w:val="bottom"/>
          </w:tcPr>
          <w:p w:rsidR="00000000" w:rsidRDefault="00000000">
            <w:pPr>
              <w:tabs>
                <w:tab w:val="decimal" w:pos="567"/>
              </w:tabs>
              <w:spacing w:before="40" w:after="40" w:line="240" w:lineRule="auto"/>
              <w:rPr>
                <w:sz w:val="17"/>
              </w:rPr>
            </w:pPr>
            <w:r>
              <w:rPr>
                <w:sz w:val="17"/>
              </w:rPr>
              <w:t>43,8</w:t>
            </w:r>
          </w:p>
        </w:tc>
        <w:tc>
          <w:tcPr>
            <w:tcW w:w="1063" w:type="dxa"/>
            <w:vAlign w:val="bottom"/>
          </w:tcPr>
          <w:p w:rsidR="00000000" w:rsidRDefault="00000000">
            <w:pPr>
              <w:tabs>
                <w:tab w:val="decimal" w:pos="567"/>
              </w:tabs>
              <w:spacing w:before="40" w:after="40" w:line="240" w:lineRule="auto"/>
              <w:rPr>
                <w:sz w:val="17"/>
              </w:rPr>
            </w:pPr>
            <w:r>
              <w:rPr>
                <w:sz w:val="17"/>
              </w:rPr>
              <w:t>21,7</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Медицина и другие связанные с этим предметы</w:t>
            </w:r>
          </w:p>
        </w:tc>
        <w:tc>
          <w:tcPr>
            <w:tcW w:w="763" w:type="dxa"/>
            <w:vAlign w:val="bottom"/>
          </w:tcPr>
          <w:p w:rsidR="00000000" w:rsidRDefault="00000000">
            <w:pPr>
              <w:tabs>
                <w:tab w:val="decimal" w:pos="567"/>
              </w:tabs>
              <w:spacing w:before="40" w:after="40" w:line="240" w:lineRule="auto"/>
              <w:rPr>
                <w:sz w:val="17"/>
              </w:rPr>
            </w:pPr>
            <w:r>
              <w:rPr>
                <w:sz w:val="17"/>
              </w:rPr>
              <w:t>73,8</w:t>
            </w:r>
          </w:p>
        </w:tc>
        <w:tc>
          <w:tcPr>
            <w:tcW w:w="764" w:type="dxa"/>
            <w:vAlign w:val="bottom"/>
          </w:tcPr>
          <w:p w:rsidR="00000000" w:rsidRDefault="00000000">
            <w:pPr>
              <w:tabs>
                <w:tab w:val="decimal" w:pos="567"/>
              </w:tabs>
              <w:spacing w:before="40" w:after="40" w:line="240" w:lineRule="auto"/>
              <w:rPr>
                <w:sz w:val="17"/>
              </w:rPr>
            </w:pPr>
            <w:r>
              <w:rPr>
                <w:sz w:val="17"/>
              </w:rPr>
              <w:t>72,4</w:t>
            </w:r>
          </w:p>
        </w:tc>
        <w:tc>
          <w:tcPr>
            <w:tcW w:w="764" w:type="dxa"/>
            <w:vAlign w:val="bottom"/>
          </w:tcPr>
          <w:p w:rsidR="00000000" w:rsidRDefault="00000000">
            <w:pPr>
              <w:tabs>
                <w:tab w:val="decimal" w:pos="567"/>
              </w:tabs>
              <w:spacing w:before="40" w:after="40" w:line="240" w:lineRule="auto"/>
              <w:rPr>
                <w:sz w:val="17"/>
              </w:rPr>
            </w:pPr>
            <w:r>
              <w:rPr>
                <w:sz w:val="17"/>
              </w:rPr>
              <w:t>69,0</w:t>
            </w:r>
          </w:p>
        </w:tc>
        <w:tc>
          <w:tcPr>
            <w:tcW w:w="1063" w:type="dxa"/>
            <w:vAlign w:val="bottom"/>
          </w:tcPr>
          <w:p w:rsidR="00000000" w:rsidRDefault="00000000">
            <w:pPr>
              <w:tabs>
                <w:tab w:val="decimal" w:pos="567"/>
              </w:tabs>
              <w:spacing w:before="40" w:after="40" w:line="240" w:lineRule="auto"/>
              <w:rPr>
                <w:sz w:val="17"/>
              </w:rPr>
            </w:pPr>
            <w:r>
              <w:rPr>
                <w:sz w:val="17"/>
              </w:rPr>
              <w:t>11,1</w:t>
            </w:r>
          </w:p>
        </w:tc>
        <w:tc>
          <w:tcPr>
            <w:tcW w:w="1063" w:type="dxa"/>
            <w:vAlign w:val="bottom"/>
          </w:tcPr>
          <w:p w:rsidR="00000000" w:rsidRDefault="00000000">
            <w:pPr>
              <w:tabs>
                <w:tab w:val="decimal" w:pos="567"/>
              </w:tabs>
              <w:spacing w:before="40" w:after="40" w:line="240" w:lineRule="auto"/>
              <w:rPr>
                <w:sz w:val="17"/>
              </w:rPr>
            </w:pPr>
            <w:r>
              <w:rPr>
                <w:sz w:val="17"/>
              </w:rPr>
              <w:t>5,8</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Социальные и поведенческие на</w:t>
            </w:r>
            <w:r>
              <w:rPr>
                <w:sz w:val="17"/>
              </w:rPr>
              <w:t>у</w:t>
            </w:r>
            <w:r>
              <w:rPr>
                <w:sz w:val="17"/>
              </w:rPr>
              <w:t>ки</w:t>
            </w:r>
          </w:p>
        </w:tc>
        <w:tc>
          <w:tcPr>
            <w:tcW w:w="763" w:type="dxa"/>
            <w:vAlign w:val="bottom"/>
          </w:tcPr>
          <w:p w:rsidR="00000000" w:rsidRDefault="00000000">
            <w:pPr>
              <w:tabs>
                <w:tab w:val="decimal" w:pos="567"/>
              </w:tabs>
              <w:spacing w:before="40" w:after="40" w:line="240" w:lineRule="auto"/>
              <w:rPr>
                <w:sz w:val="17"/>
              </w:rPr>
            </w:pPr>
            <w:r>
              <w:rPr>
                <w:sz w:val="17"/>
              </w:rPr>
              <w:t>69,7</w:t>
            </w:r>
          </w:p>
        </w:tc>
        <w:tc>
          <w:tcPr>
            <w:tcW w:w="764" w:type="dxa"/>
            <w:vAlign w:val="bottom"/>
          </w:tcPr>
          <w:p w:rsidR="00000000" w:rsidRDefault="00000000">
            <w:pPr>
              <w:tabs>
                <w:tab w:val="decimal" w:pos="567"/>
              </w:tabs>
              <w:spacing w:before="40" w:after="40" w:line="240" w:lineRule="auto"/>
              <w:rPr>
                <w:sz w:val="17"/>
              </w:rPr>
            </w:pPr>
            <w:r>
              <w:rPr>
                <w:sz w:val="17"/>
              </w:rPr>
              <w:t>70,2</w:t>
            </w:r>
          </w:p>
        </w:tc>
        <w:tc>
          <w:tcPr>
            <w:tcW w:w="764" w:type="dxa"/>
            <w:vAlign w:val="bottom"/>
          </w:tcPr>
          <w:p w:rsidR="00000000" w:rsidRDefault="00000000">
            <w:pPr>
              <w:tabs>
                <w:tab w:val="decimal" w:pos="567"/>
              </w:tabs>
              <w:spacing w:before="40" w:after="40" w:line="240" w:lineRule="auto"/>
              <w:rPr>
                <w:sz w:val="17"/>
              </w:rPr>
            </w:pPr>
            <w:r>
              <w:rPr>
                <w:sz w:val="17"/>
              </w:rPr>
              <w:t>62,7</w:t>
            </w:r>
          </w:p>
        </w:tc>
        <w:tc>
          <w:tcPr>
            <w:tcW w:w="1063" w:type="dxa"/>
            <w:vAlign w:val="bottom"/>
          </w:tcPr>
          <w:p w:rsidR="00000000" w:rsidRDefault="00000000">
            <w:pPr>
              <w:tabs>
                <w:tab w:val="decimal" w:pos="567"/>
              </w:tabs>
              <w:spacing w:before="40" w:after="40" w:line="240" w:lineRule="auto"/>
              <w:rPr>
                <w:sz w:val="17"/>
              </w:rPr>
            </w:pPr>
            <w:r>
              <w:rPr>
                <w:sz w:val="17"/>
              </w:rPr>
              <w:t>2,2</w:t>
            </w:r>
          </w:p>
        </w:tc>
        <w:tc>
          <w:tcPr>
            <w:tcW w:w="1063" w:type="dxa"/>
            <w:vAlign w:val="bottom"/>
          </w:tcPr>
          <w:p w:rsidR="00000000" w:rsidRDefault="00000000">
            <w:pPr>
              <w:tabs>
                <w:tab w:val="decimal" w:pos="567"/>
              </w:tabs>
              <w:spacing w:before="40" w:after="40" w:line="240" w:lineRule="auto"/>
              <w:rPr>
                <w:sz w:val="17"/>
              </w:rPr>
            </w:pPr>
            <w:r>
              <w:rPr>
                <w:sz w:val="17"/>
              </w:rPr>
              <w:t>1,4</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Естественные науки</w:t>
            </w:r>
          </w:p>
        </w:tc>
        <w:tc>
          <w:tcPr>
            <w:tcW w:w="763" w:type="dxa"/>
            <w:vAlign w:val="bottom"/>
          </w:tcPr>
          <w:p w:rsidR="00000000" w:rsidRDefault="00000000">
            <w:pPr>
              <w:tabs>
                <w:tab w:val="decimal" w:pos="567"/>
              </w:tabs>
              <w:spacing w:before="40" w:after="40" w:line="240" w:lineRule="auto"/>
              <w:rPr>
                <w:sz w:val="17"/>
              </w:rPr>
            </w:pPr>
            <w:r>
              <w:rPr>
                <w:sz w:val="17"/>
              </w:rPr>
              <w:t>66,4</w:t>
            </w:r>
          </w:p>
        </w:tc>
        <w:tc>
          <w:tcPr>
            <w:tcW w:w="764" w:type="dxa"/>
            <w:vAlign w:val="bottom"/>
          </w:tcPr>
          <w:p w:rsidR="00000000" w:rsidRDefault="00000000">
            <w:pPr>
              <w:tabs>
                <w:tab w:val="decimal" w:pos="567"/>
              </w:tabs>
              <w:spacing w:before="40" w:after="40" w:line="240" w:lineRule="auto"/>
              <w:rPr>
                <w:sz w:val="17"/>
              </w:rPr>
            </w:pPr>
            <w:r>
              <w:rPr>
                <w:sz w:val="17"/>
              </w:rPr>
              <w:t>65,2</w:t>
            </w:r>
          </w:p>
        </w:tc>
        <w:tc>
          <w:tcPr>
            <w:tcW w:w="764" w:type="dxa"/>
            <w:vAlign w:val="bottom"/>
          </w:tcPr>
          <w:p w:rsidR="00000000" w:rsidRDefault="00000000">
            <w:pPr>
              <w:tabs>
                <w:tab w:val="decimal" w:pos="567"/>
              </w:tabs>
              <w:spacing w:before="40" w:after="40" w:line="240" w:lineRule="auto"/>
              <w:rPr>
                <w:sz w:val="17"/>
              </w:rPr>
            </w:pPr>
            <w:r>
              <w:rPr>
                <w:sz w:val="17"/>
              </w:rPr>
              <w:t>64,2</w:t>
            </w:r>
          </w:p>
        </w:tc>
        <w:tc>
          <w:tcPr>
            <w:tcW w:w="1063" w:type="dxa"/>
            <w:vAlign w:val="bottom"/>
          </w:tcPr>
          <w:p w:rsidR="00000000" w:rsidRDefault="00000000">
            <w:pPr>
              <w:tabs>
                <w:tab w:val="decimal" w:pos="567"/>
              </w:tabs>
              <w:spacing w:before="40" w:after="40" w:line="240" w:lineRule="auto"/>
              <w:rPr>
                <w:sz w:val="17"/>
              </w:rPr>
            </w:pPr>
            <w:r>
              <w:rPr>
                <w:sz w:val="17"/>
              </w:rPr>
              <w:t>1,2</w:t>
            </w:r>
          </w:p>
        </w:tc>
        <w:tc>
          <w:tcPr>
            <w:tcW w:w="1063" w:type="dxa"/>
            <w:vAlign w:val="bottom"/>
          </w:tcPr>
          <w:p w:rsidR="00000000" w:rsidRDefault="00000000">
            <w:pPr>
              <w:tabs>
                <w:tab w:val="decimal" w:pos="567"/>
              </w:tabs>
              <w:spacing w:before="40" w:after="40" w:line="240" w:lineRule="auto"/>
              <w:rPr>
                <w:sz w:val="17"/>
              </w:rPr>
            </w:pPr>
            <w:r>
              <w:rPr>
                <w:sz w:val="17"/>
              </w:rPr>
              <w:t>0,9</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Гуманитарные науки</w:t>
            </w:r>
          </w:p>
        </w:tc>
        <w:tc>
          <w:tcPr>
            <w:tcW w:w="763" w:type="dxa"/>
            <w:vAlign w:val="bottom"/>
          </w:tcPr>
          <w:p w:rsidR="00000000" w:rsidRDefault="00000000">
            <w:pPr>
              <w:tabs>
                <w:tab w:val="decimal" w:pos="567"/>
              </w:tabs>
              <w:spacing w:before="40" w:after="40" w:line="240" w:lineRule="auto"/>
              <w:rPr>
                <w:sz w:val="17"/>
              </w:rPr>
            </w:pPr>
            <w:r>
              <w:rPr>
                <w:sz w:val="17"/>
              </w:rPr>
              <w:t>64,1</w:t>
            </w:r>
          </w:p>
        </w:tc>
        <w:tc>
          <w:tcPr>
            <w:tcW w:w="764" w:type="dxa"/>
            <w:vAlign w:val="bottom"/>
          </w:tcPr>
          <w:p w:rsidR="00000000" w:rsidRDefault="00000000">
            <w:pPr>
              <w:tabs>
                <w:tab w:val="decimal" w:pos="567"/>
              </w:tabs>
              <w:spacing w:before="40" w:after="40" w:line="240" w:lineRule="auto"/>
              <w:rPr>
                <w:sz w:val="17"/>
              </w:rPr>
            </w:pPr>
            <w:r>
              <w:rPr>
                <w:sz w:val="17"/>
              </w:rPr>
              <w:t>60,5</w:t>
            </w:r>
          </w:p>
        </w:tc>
        <w:tc>
          <w:tcPr>
            <w:tcW w:w="764" w:type="dxa"/>
            <w:vAlign w:val="bottom"/>
          </w:tcPr>
          <w:p w:rsidR="00000000" w:rsidRDefault="00000000">
            <w:pPr>
              <w:tabs>
                <w:tab w:val="decimal" w:pos="567"/>
              </w:tabs>
              <w:spacing w:before="40" w:after="40" w:line="240" w:lineRule="auto"/>
              <w:rPr>
                <w:sz w:val="17"/>
              </w:rPr>
            </w:pPr>
            <w:r>
              <w:rPr>
                <w:sz w:val="17"/>
              </w:rPr>
              <w:t>54,3</w:t>
            </w:r>
          </w:p>
        </w:tc>
        <w:tc>
          <w:tcPr>
            <w:tcW w:w="1063" w:type="dxa"/>
            <w:vAlign w:val="bottom"/>
          </w:tcPr>
          <w:p w:rsidR="00000000" w:rsidRDefault="00000000">
            <w:pPr>
              <w:tabs>
                <w:tab w:val="decimal" w:pos="567"/>
              </w:tabs>
              <w:spacing w:before="40" w:after="40" w:line="240" w:lineRule="auto"/>
              <w:rPr>
                <w:sz w:val="17"/>
              </w:rPr>
            </w:pPr>
            <w:r>
              <w:rPr>
                <w:sz w:val="17"/>
              </w:rPr>
              <w:t>0,7</w:t>
            </w:r>
          </w:p>
        </w:tc>
        <w:tc>
          <w:tcPr>
            <w:tcW w:w="1063" w:type="dxa"/>
            <w:vAlign w:val="bottom"/>
          </w:tcPr>
          <w:p w:rsidR="00000000" w:rsidRDefault="00000000">
            <w:pPr>
              <w:tabs>
                <w:tab w:val="decimal" w:pos="567"/>
              </w:tabs>
              <w:spacing w:before="40" w:after="40" w:line="240" w:lineRule="auto"/>
              <w:rPr>
                <w:sz w:val="17"/>
              </w:rPr>
            </w:pPr>
            <w:r>
              <w:rPr>
                <w:sz w:val="17"/>
              </w:rPr>
              <w:t>0,6</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Учебные курсы общепознавател</w:t>
            </w:r>
            <w:r>
              <w:rPr>
                <w:sz w:val="17"/>
              </w:rPr>
              <w:t>ь</w:t>
            </w:r>
            <w:r>
              <w:rPr>
                <w:sz w:val="17"/>
              </w:rPr>
              <w:t>ного х</w:t>
            </w:r>
            <w:r>
              <w:rPr>
                <w:sz w:val="17"/>
              </w:rPr>
              <w:t>а</w:t>
            </w:r>
            <w:r>
              <w:rPr>
                <w:sz w:val="17"/>
              </w:rPr>
              <w:t>рактера</w:t>
            </w:r>
          </w:p>
        </w:tc>
        <w:tc>
          <w:tcPr>
            <w:tcW w:w="763" w:type="dxa"/>
            <w:vAlign w:val="bottom"/>
          </w:tcPr>
          <w:p w:rsidR="00000000" w:rsidRDefault="00000000">
            <w:pPr>
              <w:tabs>
                <w:tab w:val="decimal" w:pos="567"/>
              </w:tabs>
              <w:spacing w:before="40" w:after="40" w:line="240" w:lineRule="auto"/>
              <w:rPr>
                <w:sz w:val="17"/>
              </w:rPr>
            </w:pPr>
            <w:r>
              <w:rPr>
                <w:sz w:val="17"/>
              </w:rPr>
              <w:t>62,5</w:t>
            </w:r>
          </w:p>
        </w:tc>
        <w:tc>
          <w:tcPr>
            <w:tcW w:w="764" w:type="dxa"/>
            <w:vAlign w:val="bottom"/>
          </w:tcPr>
          <w:p w:rsidR="00000000" w:rsidRDefault="00000000">
            <w:pPr>
              <w:tabs>
                <w:tab w:val="decimal" w:pos="567"/>
              </w:tabs>
              <w:spacing w:before="40" w:after="40" w:line="240" w:lineRule="auto"/>
              <w:rPr>
                <w:sz w:val="17"/>
              </w:rPr>
            </w:pPr>
            <w:r>
              <w:rPr>
                <w:sz w:val="17"/>
              </w:rPr>
              <w:t>63,0</w:t>
            </w:r>
          </w:p>
        </w:tc>
        <w:tc>
          <w:tcPr>
            <w:tcW w:w="764" w:type="dxa"/>
            <w:vAlign w:val="bottom"/>
          </w:tcPr>
          <w:p w:rsidR="00000000" w:rsidRDefault="00000000">
            <w:pPr>
              <w:tabs>
                <w:tab w:val="decimal" w:pos="567"/>
              </w:tabs>
              <w:spacing w:before="40" w:after="40" w:line="240" w:lineRule="auto"/>
              <w:rPr>
                <w:sz w:val="17"/>
              </w:rPr>
            </w:pPr>
            <w:r>
              <w:rPr>
                <w:sz w:val="17"/>
              </w:rPr>
              <w:t>62,6</w:t>
            </w:r>
          </w:p>
        </w:tc>
        <w:tc>
          <w:tcPr>
            <w:tcW w:w="1063" w:type="dxa"/>
            <w:vAlign w:val="bottom"/>
          </w:tcPr>
          <w:p w:rsidR="00000000" w:rsidRDefault="00000000">
            <w:pPr>
              <w:tabs>
                <w:tab w:val="decimal" w:pos="567"/>
              </w:tabs>
              <w:spacing w:before="40" w:after="40" w:line="240" w:lineRule="auto"/>
              <w:rPr>
                <w:sz w:val="17"/>
              </w:rPr>
            </w:pPr>
            <w:r>
              <w:rPr>
                <w:sz w:val="17"/>
              </w:rPr>
              <w:t>5,1</w:t>
            </w:r>
          </w:p>
        </w:tc>
        <w:tc>
          <w:tcPr>
            <w:tcW w:w="1063" w:type="dxa"/>
            <w:vAlign w:val="bottom"/>
          </w:tcPr>
          <w:p w:rsidR="00000000" w:rsidRDefault="00000000">
            <w:pPr>
              <w:tabs>
                <w:tab w:val="decimal" w:pos="567"/>
              </w:tabs>
              <w:spacing w:before="40" w:after="40" w:line="240" w:lineRule="auto"/>
              <w:rPr>
                <w:sz w:val="17"/>
              </w:rPr>
            </w:pPr>
            <w:r>
              <w:rPr>
                <w:sz w:val="17"/>
              </w:rPr>
              <w:t>4,5</w:t>
            </w:r>
          </w:p>
        </w:tc>
      </w:tr>
      <w:tr w:rsidR="00000000">
        <w:tblPrEx>
          <w:tblCellMar>
            <w:top w:w="0" w:type="dxa"/>
            <w:bottom w:w="0" w:type="dxa"/>
          </w:tblCellMar>
        </w:tblPrEx>
        <w:trPr>
          <w:trHeight w:val="197"/>
        </w:trPr>
        <w:tc>
          <w:tcPr>
            <w:tcW w:w="2954" w:type="dxa"/>
          </w:tcPr>
          <w:p w:rsidR="00000000" w:rsidRDefault="00000000">
            <w:pPr>
              <w:spacing w:before="40" w:after="40" w:line="240" w:lineRule="auto"/>
              <w:rPr>
                <w:sz w:val="17"/>
              </w:rPr>
            </w:pPr>
            <w:r>
              <w:rPr>
                <w:sz w:val="17"/>
              </w:rPr>
              <w:t>Математика и компьютерная те</w:t>
            </w:r>
            <w:r>
              <w:rPr>
                <w:sz w:val="17"/>
              </w:rPr>
              <w:t>х</w:t>
            </w:r>
            <w:r>
              <w:rPr>
                <w:sz w:val="17"/>
              </w:rPr>
              <w:t xml:space="preserve">ника </w:t>
            </w:r>
          </w:p>
        </w:tc>
        <w:tc>
          <w:tcPr>
            <w:tcW w:w="763" w:type="dxa"/>
            <w:vAlign w:val="bottom"/>
          </w:tcPr>
          <w:p w:rsidR="00000000" w:rsidRDefault="00000000">
            <w:pPr>
              <w:tabs>
                <w:tab w:val="decimal" w:pos="567"/>
              </w:tabs>
              <w:spacing w:before="40" w:after="40" w:line="240" w:lineRule="auto"/>
              <w:rPr>
                <w:sz w:val="17"/>
              </w:rPr>
            </w:pPr>
            <w:r>
              <w:rPr>
                <w:sz w:val="17"/>
              </w:rPr>
              <w:t>59,4</w:t>
            </w:r>
          </w:p>
        </w:tc>
        <w:tc>
          <w:tcPr>
            <w:tcW w:w="764" w:type="dxa"/>
            <w:vAlign w:val="bottom"/>
          </w:tcPr>
          <w:p w:rsidR="00000000" w:rsidRDefault="00000000">
            <w:pPr>
              <w:tabs>
                <w:tab w:val="decimal" w:pos="567"/>
              </w:tabs>
              <w:spacing w:before="40" w:after="40" w:line="240" w:lineRule="auto"/>
              <w:rPr>
                <w:sz w:val="17"/>
              </w:rPr>
            </w:pPr>
            <w:r>
              <w:rPr>
                <w:sz w:val="17"/>
              </w:rPr>
              <w:t>55,1</w:t>
            </w:r>
          </w:p>
        </w:tc>
        <w:tc>
          <w:tcPr>
            <w:tcW w:w="764" w:type="dxa"/>
            <w:vAlign w:val="bottom"/>
          </w:tcPr>
          <w:p w:rsidR="00000000" w:rsidRDefault="00000000">
            <w:pPr>
              <w:tabs>
                <w:tab w:val="decimal" w:pos="567"/>
              </w:tabs>
              <w:spacing w:before="40" w:after="40" w:line="240" w:lineRule="auto"/>
              <w:rPr>
                <w:sz w:val="17"/>
              </w:rPr>
            </w:pPr>
            <w:r>
              <w:rPr>
                <w:sz w:val="17"/>
              </w:rPr>
              <w:t>56,4</w:t>
            </w:r>
          </w:p>
        </w:tc>
        <w:tc>
          <w:tcPr>
            <w:tcW w:w="1063" w:type="dxa"/>
            <w:vAlign w:val="bottom"/>
          </w:tcPr>
          <w:p w:rsidR="00000000" w:rsidRDefault="00000000">
            <w:pPr>
              <w:tabs>
                <w:tab w:val="decimal" w:pos="567"/>
              </w:tabs>
              <w:spacing w:before="40" w:after="40" w:line="240" w:lineRule="auto"/>
              <w:rPr>
                <w:sz w:val="17"/>
              </w:rPr>
            </w:pPr>
            <w:r>
              <w:rPr>
                <w:sz w:val="17"/>
              </w:rPr>
              <w:t>6,9</w:t>
            </w:r>
          </w:p>
        </w:tc>
        <w:tc>
          <w:tcPr>
            <w:tcW w:w="1063" w:type="dxa"/>
            <w:vAlign w:val="bottom"/>
          </w:tcPr>
          <w:p w:rsidR="00000000" w:rsidRDefault="00000000">
            <w:pPr>
              <w:tabs>
                <w:tab w:val="decimal" w:pos="567"/>
              </w:tabs>
              <w:spacing w:before="40" w:after="40" w:line="240" w:lineRule="auto"/>
              <w:rPr>
                <w:sz w:val="17"/>
              </w:rPr>
            </w:pPr>
            <w:r>
              <w:rPr>
                <w:sz w:val="17"/>
              </w:rPr>
              <w:t>7,0</w:t>
            </w:r>
          </w:p>
        </w:tc>
      </w:tr>
      <w:tr w:rsidR="00000000">
        <w:tblPrEx>
          <w:tblCellMar>
            <w:top w:w="0" w:type="dxa"/>
            <w:bottom w:w="0" w:type="dxa"/>
          </w:tblCellMar>
        </w:tblPrEx>
        <w:trPr>
          <w:trHeight w:val="197"/>
        </w:trPr>
        <w:tc>
          <w:tcPr>
            <w:tcW w:w="2954" w:type="dxa"/>
          </w:tcPr>
          <w:p w:rsidR="00000000" w:rsidRDefault="00000000">
            <w:pPr>
              <w:spacing w:before="40" w:after="40" w:line="240" w:lineRule="auto"/>
              <w:rPr>
                <w:sz w:val="17"/>
              </w:rPr>
            </w:pPr>
            <w:r>
              <w:rPr>
                <w:sz w:val="17"/>
              </w:rPr>
              <w:t>Сельское хозяйство, лесное хозя</w:t>
            </w:r>
            <w:r>
              <w:rPr>
                <w:sz w:val="17"/>
              </w:rPr>
              <w:t>й</w:t>
            </w:r>
            <w:r>
              <w:rPr>
                <w:sz w:val="17"/>
              </w:rPr>
              <w:t>ство, р</w:t>
            </w:r>
            <w:r>
              <w:rPr>
                <w:sz w:val="17"/>
              </w:rPr>
              <w:t>ы</w:t>
            </w:r>
            <w:r>
              <w:rPr>
                <w:sz w:val="17"/>
              </w:rPr>
              <w:t>боловство, ветеринария</w:t>
            </w:r>
          </w:p>
        </w:tc>
        <w:tc>
          <w:tcPr>
            <w:tcW w:w="763" w:type="dxa"/>
            <w:vAlign w:val="bottom"/>
          </w:tcPr>
          <w:p w:rsidR="00000000" w:rsidRDefault="00000000">
            <w:pPr>
              <w:tabs>
                <w:tab w:val="decimal" w:pos="567"/>
              </w:tabs>
              <w:spacing w:before="40" w:after="40" w:line="240" w:lineRule="auto"/>
              <w:rPr>
                <w:sz w:val="17"/>
              </w:rPr>
            </w:pPr>
            <w:r>
              <w:rPr>
                <w:sz w:val="17"/>
              </w:rPr>
              <w:t>50,3</w:t>
            </w:r>
          </w:p>
        </w:tc>
        <w:tc>
          <w:tcPr>
            <w:tcW w:w="764" w:type="dxa"/>
            <w:vAlign w:val="bottom"/>
          </w:tcPr>
          <w:p w:rsidR="00000000" w:rsidRDefault="00000000">
            <w:pPr>
              <w:tabs>
                <w:tab w:val="decimal" w:pos="567"/>
              </w:tabs>
              <w:spacing w:before="40" w:after="40" w:line="240" w:lineRule="auto"/>
              <w:rPr>
                <w:sz w:val="17"/>
              </w:rPr>
            </w:pPr>
            <w:r>
              <w:rPr>
                <w:sz w:val="17"/>
              </w:rPr>
              <w:t>50,2</w:t>
            </w:r>
          </w:p>
        </w:tc>
        <w:tc>
          <w:tcPr>
            <w:tcW w:w="764" w:type="dxa"/>
            <w:vAlign w:val="bottom"/>
          </w:tcPr>
          <w:p w:rsidR="00000000" w:rsidRDefault="00000000">
            <w:pPr>
              <w:tabs>
                <w:tab w:val="decimal" w:pos="567"/>
              </w:tabs>
              <w:spacing w:before="40" w:after="40" w:line="240" w:lineRule="auto"/>
              <w:rPr>
                <w:sz w:val="17"/>
              </w:rPr>
            </w:pPr>
            <w:r>
              <w:rPr>
                <w:sz w:val="17"/>
              </w:rPr>
              <w:t>46,6</w:t>
            </w:r>
          </w:p>
        </w:tc>
        <w:tc>
          <w:tcPr>
            <w:tcW w:w="1063" w:type="dxa"/>
            <w:vAlign w:val="bottom"/>
          </w:tcPr>
          <w:p w:rsidR="00000000" w:rsidRDefault="00000000">
            <w:pPr>
              <w:tabs>
                <w:tab w:val="decimal" w:pos="567"/>
              </w:tabs>
              <w:spacing w:before="40" w:after="40" w:line="240" w:lineRule="auto"/>
              <w:rPr>
                <w:sz w:val="17"/>
              </w:rPr>
            </w:pPr>
            <w:r>
              <w:rPr>
                <w:sz w:val="17"/>
              </w:rPr>
              <w:t>2,7</w:t>
            </w:r>
          </w:p>
        </w:tc>
        <w:tc>
          <w:tcPr>
            <w:tcW w:w="1063" w:type="dxa"/>
            <w:vAlign w:val="bottom"/>
          </w:tcPr>
          <w:p w:rsidR="00000000" w:rsidRDefault="00000000">
            <w:pPr>
              <w:tabs>
                <w:tab w:val="decimal" w:pos="567"/>
              </w:tabs>
              <w:spacing w:before="40" w:after="40" w:line="240" w:lineRule="auto"/>
              <w:rPr>
                <w:sz w:val="17"/>
              </w:rPr>
            </w:pPr>
            <w:r>
              <w:rPr>
                <w:sz w:val="17"/>
              </w:rPr>
              <w:t>4,0</w:t>
            </w:r>
          </w:p>
        </w:tc>
      </w:tr>
      <w:tr w:rsidR="00000000">
        <w:tblPrEx>
          <w:tblCellMar>
            <w:top w:w="0" w:type="dxa"/>
            <w:bottom w:w="0" w:type="dxa"/>
          </w:tblCellMar>
        </w:tblPrEx>
        <w:trPr>
          <w:trHeight w:val="197"/>
        </w:trPr>
        <w:tc>
          <w:tcPr>
            <w:tcW w:w="2954" w:type="dxa"/>
          </w:tcPr>
          <w:p w:rsidR="00000000" w:rsidRDefault="00000000">
            <w:pPr>
              <w:spacing w:before="40" w:after="40" w:line="240" w:lineRule="auto"/>
              <w:rPr>
                <w:sz w:val="17"/>
              </w:rPr>
            </w:pPr>
            <w:r>
              <w:rPr>
                <w:sz w:val="17"/>
              </w:rPr>
              <w:t>Художественное и прикладное и</w:t>
            </w:r>
            <w:r>
              <w:rPr>
                <w:sz w:val="17"/>
              </w:rPr>
              <w:t>с</w:t>
            </w:r>
            <w:r>
              <w:rPr>
                <w:sz w:val="17"/>
              </w:rPr>
              <w:t>кусство</w:t>
            </w:r>
          </w:p>
        </w:tc>
        <w:tc>
          <w:tcPr>
            <w:tcW w:w="763" w:type="dxa"/>
            <w:vAlign w:val="bottom"/>
          </w:tcPr>
          <w:p w:rsidR="00000000" w:rsidRDefault="00000000">
            <w:pPr>
              <w:tabs>
                <w:tab w:val="decimal" w:pos="567"/>
              </w:tabs>
              <w:spacing w:before="40" w:after="40" w:line="240" w:lineRule="auto"/>
              <w:rPr>
                <w:sz w:val="17"/>
              </w:rPr>
            </w:pPr>
            <w:r>
              <w:rPr>
                <w:sz w:val="17"/>
              </w:rPr>
              <w:t>49,7</w:t>
            </w:r>
          </w:p>
        </w:tc>
        <w:tc>
          <w:tcPr>
            <w:tcW w:w="764" w:type="dxa"/>
            <w:vAlign w:val="bottom"/>
          </w:tcPr>
          <w:p w:rsidR="00000000" w:rsidRDefault="00000000">
            <w:pPr>
              <w:tabs>
                <w:tab w:val="decimal" w:pos="567"/>
              </w:tabs>
              <w:spacing w:before="40" w:after="40" w:line="240" w:lineRule="auto"/>
              <w:rPr>
                <w:sz w:val="17"/>
              </w:rPr>
            </w:pPr>
            <w:r>
              <w:rPr>
                <w:sz w:val="17"/>
              </w:rPr>
              <w:t>46,5</w:t>
            </w:r>
          </w:p>
        </w:tc>
        <w:tc>
          <w:tcPr>
            <w:tcW w:w="764" w:type="dxa"/>
            <w:vAlign w:val="bottom"/>
          </w:tcPr>
          <w:p w:rsidR="00000000" w:rsidRDefault="00000000">
            <w:pPr>
              <w:tabs>
                <w:tab w:val="decimal" w:pos="567"/>
              </w:tabs>
              <w:spacing w:before="40" w:after="40" w:line="240" w:lineRule="auto"/>
              <w:rPr>
                <w:sz w:val="17"/>
              </w:rPr>
            </w:pPr>
            <w:r>
              <w:rPr>
                <w:sz w:val="17"/>
              </w:rPr>
              <w:t>49,8</w:t>
            </w:r>
          </w:p>
        </w:tc>
        <w:tc>
          <w:tcPr>
            <w:tcW w:w="1063" w:type="dxa"/>
            <w:vAlign w:val="bottom"/>
          </w:tcPr>
          <w:p w:rsidR="00000000" w:rsidRDefault="00000000">
            <w:pPr>
              <w:tabs>
                <w:tab w:val="decimal" w:pos="567"/>
              </w:tabs>
              <w:spacing w:before="40" w:after="40" w:line="240" w:lineRule="auto"/>
              <w:rPr>
                <w:sz w:val="17"/>
              </w:rPr>
            </w:pPr>
            <w:r>
              <w:rPr>
                <w:sz w:val="17"/>
              </w:rPr>
              <w:t>0,4</w:t>
            </w:r>
          </w:p>
        </w:tc>
        <w:tc>
          <w:tcPr>
            <w:tcW w:w="1063" w:type="dxa"/>
            <w:vAlign w:val="bottom"/>
          </w:tcPr>
          <w:p w:rsidR="00000000" w:rsidRDefault="00000000">
            <w:pPr>
              <w:tabs>
                <w:tab w:val="decimal" w:pos="567"/>
              </w:tabs>
              <w:spacing w:before="40" w:after="40" w:line="240" w:lineRule="auto"/>
              <w:rPr>
                <w:sz w:val="17"/>
              </w:rPr>
            </w:pPr>
            <w:r>
              <w:rPr>
                <w:sz w:val="17"/>
              </w:rPr>
              <w:t>0,6</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Право</w:t>
            </w:r>
          </w:p>
        </w:tc>
        <w:tc>
          <w:tcPr>
            <w:tcW w:w="763" w:type="dxa"/>
            <w:vAlign w:val="bottom"/>
          </w:tcPr>
          <w:p w:rsidR="00000000" w:rsidRDefault="00000000">
            <w:pPr>
              <w:tabs>
                <w:tab w:val="decimal" w:pos="567"/>
              </w:tabs>
              <w:spacing w:before="40" w:after="40" w:line="240" w:lineRule="auto"/>
              <w:rPr>
                <w:sz w:val="17"/>
              </w:rPr>
            </w:pPr>
            <w:r>
              <w:rPr>
                <w:sz w:val="17"/>
              </w:rPr>
              <w:t>41,0</w:t>
            </w:r>
          </w:p>
        </w:tc>
        <w:tc>
          <w:tcPr>
            <w:tcW w:w="764" w:type="dxa"/>
            <w:vAlign w:val="bottom"/>
          </w:tcPr>
          <w:p w:rsidR="00000000" w:rsidRDefault="00000000">
            <w:pPr>
              <w:tabs>
                <w:tab w:val="decimal" w:pos="567"/>
              </w:tabs>
              <w:spacing w:before="40" w:after="40" w:line="240" w:lineRule="auto"/>
              <w:rPr>
                <w:sz w:val="17"/>
              </w:rPr>
            </w:pPr>
            <w:r>
              <w:rPr>
                <w:sz w:val="17"/>
              </w:rPr>
              <w:t>43,5</w:t>
            </w:r>
          </w:p>
        </w:tc>
        <w:tc>
          <w:tcPr>
            <w:tcW w:w="764" w:type="dxa"/>
            <w:vAlign w:val="bottom"/>
          </w:tcPr>
          <w:p w:rsidR="00000000" w:rsidRDefault="00000000">
            <w:pPr>
              <w:tabs>
                <w:tab w:val="decimal" w:pos="567"/>
              </w:tabs>
              <w:spacing w:before="40" w:after="40" w:line="240" w:lineRule="auto"/>
              <w:rPr>
                <w:sz w:val="17"/>
              </w:rPr>
            </w:pPr>
            <w:r>
              <w:rPr>
                <w:sz w:val="17"/>
              </w:rPr>
              <w:t>43,0</w:t>
            </w:r>
          </w:p>
        </w:tc>
        <w:tc>
          <w:tcPr>
            <w:tcW w:w="1063" w:type="dxa"/>
            <w:vAlign w:val="bottom"/>
          </w:tcPr>
          <w:p w:rsidR="00000000" w:rsidRDefault="00000000">
            <w:pPr>
              <w:tabs>
                <w:tab w:val="decimal" w:pos="567"/>
              </w:tabs>
              <w:spacing w:before="40" w:after="40" w:line="240" w:lineRule="auto"/>
              <w:rPr>
                <w:sz w:val="17"/>
              </w:rPr>
            </w:pPr>
            <w:r>
              <w:rPr>
                <w:sz w:val="17"/>
              </w:rPr>
              <w:t>0,5</w:t>
            </w:r>
          </w:p>
        </w:tc>
        <w:tc>
          <w:tcPr>
            <w:tcW w:w="1063" w:type="dxa"/>
            <w:vAlign w:val="bottom"/>
          </w:tcPr>
          <w:p w:rsidR="00000000" w:rsidRDefault="00000000">
            <w:pPr>
              <w:tabs>
                <w:tab w:val="decimal" w:pos="567"/>
              </w:tabs>
              <w:spacing w:before="40" w:after="40" w:line="240" w:lineRule="auto"/>
              <w:rPr>
                <w:sz w:val="17"/>
              </w:rPr>
            </w:pPr>
            <w:r>
              <w:rPr>
                <w:sz w:val="17"/>
              </w:rPr>
              <w:t>1,0</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Архитектура и планирование г</w:t>
            </w:r>
            <w:r>
              <w:rPr>
                <w:sz w:val="17"/>
              </w:rPr>
              <w:t>о</w:t>
            </w:r>
            <w:r>
              <w:rPr>
                <w:sz w:val="17"/>
              </w:rPr>
              <w:t>родов</w:t>
            </w:r>
          </w:p>
        </w:tc>
        <w:tc>
          <w:tcPr>
            <w:tcW w:w="763" w:type="dxa"/>
            <w:vAlign w:val="bottom"/>
          </w:tcPr>
          <w:p w:rsidR="00000000" w:rsidRDefault="00000000">
            <w:pPr>
              <w:tabs>
                <w:tab w:val="decimal" w:pos="567"/>
              </w:tabs>
              <w:spacing w:before="40" w:after="40" w:line="240" w:lineRule="auto"/>
              <w:rPr>
                <w:sz w:val="17"/>
              </w:rPr>
            </w:pPr>
            <w:r>
              <w:rPr>
                <w:sz w:val="17"/>
              </w:rPr>
              <w:t>24,6</w:t>
            </w:r>
          </w:p>
        </w:tc>
        <w:tc>
          <w:tcPr>
            <w:tcW w:w="764" w:type="dxa"/>
            <w:vAlign w:val="bottom"/>
          </w:tcPr>
          <w:p w:rsidR="00000000" w:rsidRDefault="00000000">
            <w:pPr>
              <w:tabs>
                <w:tab w:val="decimal" w:pos="567"/>
              </w:tabs>
              <w:spacing w:before="40" w:after="40" w:line="240" w:lineRule="auto"/>
              <w:rPr>
                <w:sz w:val="17"/>
              </w:rPr>
            </w:pPr>
            <w:r>
              <w:rPr>
                <w:sz w:val="17"/>
              </w:rPr>
              <w:t>25,6</w:t>
            </w:r>
          </w:p>
        </w:tc>
        <w:tc>
          <w:tcPr>
            <w:tcW w:w="764" w:type="dxa"/>
            <w:vAlign w:val="bottom"/>
          </w:tcPr>
          <w:p w:rsidR="00000000" w:rsidRDefault="00000000">
            <w:pPr>
              <w:tabs>
                <w:tab w:val="decimal" w:pos="567"/>
              </w:tabs>
              <w:spacing w:before="40" w:after="40" w:line="240" w:lineRule="auto"/>
              <w:rPr>
                <w:sz w:val="17"/>
              </w:rPr>
            </w:pPr>
            <w:r>
              <w:rPr>
                <w:sz w:val="17"/>
              </w:rPr>
              <w:t>34,7</w:t>
            </w:r>
          </w:p>
        </w:tc>
        <w:tc>
          <w:tcPr>
            <w:tcW w:w="1063" w:type="dxa"/>
            <w:vAlign w:val="bottom"/>
          </w:tcPr>
          <w:p w:rsidR="00000000" w:rsidRDefault="00000000">
            <w:pPr>
              <w:tabs>
                <w:tab w:val="decimal" w:pos="567"/>
              </w:tabs>
              <w:spacing w:before="40" w:after="40" w:line="240" w:lineRule="auto"/>
              <w:rPr>
                <w:sz w:val="17"/>
              </w:rPr>
            </w:pPr>
            <w:r>
              <w:rPr>
                <w:sz w:val="17"/>
              </w:rPr>
              <w:t>0,4</w:t>
            </w:r>
          </w:p>
        </w:tc>
        <w:tc>
          <w:tcPr>
            <w:tcW w:w="1063" w:type="dxa"/>
            <w:vAlign w:val="bottom"/>
          </w:tcPr>
          <w:p w:rsidR="00000000" w:rsidRDefault="00000000">
            <w:pPr>
              <w:tabs>
                <w:tab w:val="decimal" w:pos="567"/>
              </w:tabs>
              <w:spacing w:before="40" w:after="40" w:line="240" w:lineRule="auto"/>
              <w:rPr>
                <w:sz w:val="17"/>
              </w:rPr>
            </w:pPr>
            <w:r>
              <w:rPr>
                <w:sz w:val="17"/>
              </w:rPr>
              <w:t>1,9</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Инжениринг</w:t>
            </w:r>
          </w:p>
        </w:tc>
        <w:tc>
          <w:tcPr>
            <w:tcW w:w="763" w:type="dxa"/>
            <w:vAlign w:val="bottom"/>
          </w:tcPr>
          <w:p w:rsidR="00000000" w:rsidRDefault="00000000">
            <w:pPr>
              <w:tabs>
                <w:tab w:val="decimal" w:pos="567"/>
              </w:tabs>
              <w:spacing w:before="40" w:after="40" w:line="240" w:lineRule="auto"/>
              <w:rPr>
                <w:sz w:val="17"/>
              </w:rPr>
            </w:pPr>
            <w:r>
              <w:rPr>
                <w:sz w:val="17"/>
              </w:rPr>
              <w:t>20,0</w:t>
            </w:r>
          </w:p>
        </w:tc>
        <w:tc>
          <w:tcPr>
            <w:tcW w:w="764" w:type="dxa"/>
            <w:vAlign w:val="bottom"/>
          </w:tcPr>
          <w:p w:rsidR="00000000" w:rsidRDefault="00000000">
            <w:pPr>
              <w:tabs>
                <w:tab w:val="decimal" w:pos="567"/>
              </w:tabs>
              <w:spacing w:before="40" w:after="40" w:line="240" w:lineRule="auto"/>
              <w:rPr>
                <w:sz w:val="17"/>
              </w:rPr>
            </w:pPr>
            <w:r>
              <w:rPr>
                <w:sz w:val="17"/>
              </w:rPr>
              <w:t>21,3</w:t>
            </w:r>
          </w:p>
        </w:tc>
        <w:tc>
          <w:tcPr>
            <w:tcW w:w="764" w:type="dxa"/>
            <w:vAlign w:val="bottom"/>
          </w:tcPr>
          <w:p w:rsidR="00000000" w:rsidRDefault="00000000">
            <w:pPr>
              <w:tabs>
                <w:tab w:val="decimal" w:pos="567"/>
              </w:tabs>
              <w:spacing w:before="40" w:after="40" w:line="240" w:lineRule="auto"/>
              <w:rPr>
                <w:sz w:val="17"/>
              </w:rPr>
            </w:pPr>
            <w:r>
              <w:rPr>
                <w:sz w:val="17"/>
              </w:rPr>
              <w:t>25,7</w:t>
            </w:r>
          </w:p>
        </w:tc>
        <w:tc>
          <w:tcPr>
            <w:tcW w:w="1063" w:type="dxa"/>
            <w:vAlign w:val="bottom"/>
          </w:tcPr>
          <w:p w:rsidR="00000000" w:rsidRDefault="00000000">
            <w:pPr>
              <w:tabs>
                <w:tab w:val="decimal" w:pos="567"/>
              </w:tabs>
              <w:spacing w:before="40" w:after="40" w:line="240" w:lineRule="auto"/>
              <w:rPr>
                <w:sz w:val="17"/>
              </w:rPr>
            </w:pPr>
            <w:r>
              <w:rPr>
                <w:sz w:val="17"/>
              </w:rPr>
              <w:t>4,6</w:t>
            </w:r>
          </w:p>
        </w:tc>
        <w:tc>
          <w:tcPr>
            <w:tcW w:w="1063" w:type="dxa"/>
            <w:vAlign w:val="bottom"/>
          </w:tcPr>
          <w:p w:rsidR="00000000" w:rsidRDefault="00000000">
            <w:pPr>
              <w:tabs>
                <w:tab w:val="decimal" w:pos="567"/>
              </w:tabs>
              <w:spacing w:before="40" w:after="40" w:line="240" w:lineRule="auto"/>
              <w:rPr>
                <w:sz w:val="17"/>
              </w:rPr>
            </w:pPr>
            <w:r>
              <w:rPr>
                <w:sz w:val="17"/>
              </w:rPr>
              <w:t>10,6</w:t>
            </w:r>
          </w:p>
        </w:tc>
      </w:tr>
      <w:tr w:rsidR="00000000">
        <w:tblPrEx>
          <w:tblCellMar>
            <w:top w:w="0" w:type="dxa"/>
            <w:bottom w:w="0" w:type="dxa"/>
          </w:tblCellMar>
        </w:tblPrEx>
        <w:tc>
          <w:tcPr>
            <w:tcW w:w="2954" w:type="dxa"/>
          </w:tcPr>
          <w:p w:rsidR="00000000" w:rsidRDefault="00000000">
            <w:pPr>
              <w:spacing w:before="40" w:after="40" w:line="240" w:lineRule="auto"/>
              <w:rPr>
                <w:sz w:val="17"/>
              </w:rPr>
            </w:pPr>
            <w:r>
              <w:rPr>
                <w:sz w:val="17"/>
              </w:rPr>
              <w:t>Религия и теология</w:t>
            </w:r>
          </w:p>
        </w:tc>
        <w:tc>
          <w:tcPr>
            <w:tcW w:w="763" w:type="dxa"/>
            <w:vAlign w:val="bottom"/>
          </w:tcPr>
          <w:p w:rsidR="00000000" w:rsidRDefault="00000000">
            <w:pPr>
              <w:tabs>
                <w:tab w:val="decimal" w:pos="567"/>
              </w:tabs>
              <w:spacing w:before="40" w:after="40" w:line="240" w:lineRule="auto"/>
              <w:rPr>
                <w:sz w:val="17"/>
              </w:rPr>
            </w:pPr>
            <w:r>
              <w:rPr>
                <w:sz w:val="17"/>
              </w:rPr>
              <w:t>10,0</w:t>
            </w:r>
          </w:p>
        </w:tc>
        <w:tc>
          <w:tcPr>
            <w:tcW w:w="764" w:type="dxa"/>
            <w:vAlign w:val="bottom"/>
          </w:tcPr>
          <w:p w:rsidR="00000000" w:rsidRDefault="00000000">
            <w:pPr>
              <w:tabs>
                <w:tab w:val="decimal" w:pos="567"/>
              </w:tabs>
              <w:spacing w:before="40" w:after="40" w:line="240" w:lineRule="auto"/>
              <w:rPr>
                <w:sz w:val="17"/>
              </w:rPr>
            </w:pPr>
            <w:r>
              <w:rPr>
                <w:sz w:val="17"/>
              </w:rPr>
              <w:t>7,3</w:t>
            </w:r>
          </w:p>
        </w:tc>
        <w:tc>
          <w:tcPr>
            <w:tcW w:w="764" w:type="dxa"/>
            <w:vAlign w:val="bottom"/>
          </w:tcPr>
          <w:p w:rsidR="00000000" w:rsidRDefault="00000000">
            <w:pPr>
              <w:tabs>
                <w:tab w:val="decimal" w:pos="567"/>
              </w:tabs>
              <w:spacing w:before="40" w:after="40" w:line="240" w:lineRule="auto"/>
              <w:rPr>
                <w:sz w:val="17"/>
              </w:rPr>
            </w:pPr>
            <w:r>
              <w:rPr>
                <w:sz w:val="17"/>
              </w:rPr>
              <w:t>30,9</w:t>
            </w:r>
          </w:p>
        </w:tc>
        <w:tc>
          <w:tcPr>
            <w:tcW w:w="1063" w:type="dxa"/>
            <w:vAlign w:val="bottom"/>
          </w:tcPr>
          <w:p w:rsidR="00000000" w:rsidRDefault="00000000">
            <w:pPr>
              <w:tabs>
                <w:tab w:val="decimal" w:pos="567"/>
              </w:tabs>
              <w:spacing w:before="40" w:after="40" w:line="240" w:lineRule="auto"/>
              <w:rPr>
                <w:sz w:val="17"/>
              </w:rPr>
            </w:pPr>
            <w:r>
              <w:rPr>
                <w:sz w:val="17"/>
              </w:rPr>
              <w:t>-*</w:t>
            </w:r>
          </w:p>
        </w:tc>
        <w:tc>
          <w:tcPr>
            <w:tcW w:w="1063" w:type="dxa"/>
            <w:vAlign w:val="bottom"/>
          </w:tcPr>
          <w:p w:rsidR="00000000" w:rsidRDefault="00000000">
            <w:pPr>
              <w:tabs>
                <w:tab w:val="decimal" w:pos="567"/>
              </w:tabs>
              <w:spacing w:before="40" w:after="40" w:line="240" w:lineRule="auto"/>
              <w:rPr>
                <w:sz w:val="17"/>
              </w:rPr>
            </w:pPr>
            <w:r>
              <w:rPr>
                <w:sz w:val="17"/>
              </w:rPr>
              <w:t>-*</w:t>
            </w:r>
          </w:p>
        </w:tc>
      </w:tr>
      <w:tr w:rsidR="00000000">
        <w:tblPrEx>
          <w:tblCellMar>
            <w:top w:w="0" w:type="dxa"/>
            <w:bottom w:w="0" w:type="dxa"/>
          </w:tblCellMar>
        </w:tblPrEx>
        <w:tc>
          <w:tcPr>
            <w:tcW w:w="2954" w:type="dxa"/>
            <w:tcBorders>
              <w:bottom w:val="single" w:sz="12" w:space="0" w:color="auto"/>
            </w:tcBorders>
          </w:tcPr>
          <w:p w:rsidR="00000000" w:rsidRDefault="00000000">
            <w:pPr>
              <w:spacing w:before="40" w:after="40" w:line="240" w:lineRule="auto"/>
              <w:rPr>
                <w:sz w:val="17"/>
              </w:rPr>
            </w:pPr>
            <w:r>
              <w:rPr>
                <w:sz w:val="17"/>
              </w:rPr>
              <w:t>Всего</w:t>
            </w:r>
          </w:p>
        </w:tc>
        <w:tc>
          <w:tcPr>
            <w:tcW w:w="763"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59,7</w:t>
            </w:r>
          </w:p>
        </w:tc>
        <w:tc>
          <w:tcPr>
            <w:tcW w:w="764"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56,2</w:t>
            </w:r>
          </w:p>
        </w:tc>
        <w:tc>
          <w:tcPr>
            <w:tcW w:w="764"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55,2</w:t>
            </w:r>
          </w:p>
        </w:tc>
        <w:tc>
          <w:tcPr>
            <w:tcW w:w="1063"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1 325 087</w:t>
            </w:r>
          </w:p>
        </w:tc>
        <w:tc>
          <w:tcPr>
            <w:tcW w:w="1063"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895 751</w:t>
            </w:r>
          </w:p>
        </w:tc>
      </w:tr>
    </w:tbl>
    <w:p w:rsidR="00000000" w:rsidRDefault="00000000">
      <w:pPr>
        <w:pStyle w:val="SingleTxt"/>
        <w:tabs>
          <w:tab w:val="clear" w:pos="1267"/>
        </w:tabs>
        <w:ind w:left="1418" w:hanging="151"/>
        <w:rPr>
          <w:sz w:val="17"/>
        </w:rPr>
      </w:pPr>
      <w:r>
        <w:rPr>
          <w:sz w:val="17"/>
        </w:rPr>
        <w:t>*</w:t>
      </w:r>
      <w:r>
        <w:rPr>
          <w:sz w:val="17"/>
        </w:rPr>
        <w:tab/>
        <w:t>Менее 0,05 процента.</w:t>
      </w:r>
    </w:p>
    <w:p w:rsidR="00000000" w:rsidRDefault="00000000">
      <w:pPr>
        <w:pStyle w:val="SingleTxt"/>
        <w:rPr>
          <w:sz w:val="17"/>
        </w:rPr>
      </w:pPr>
      <w:r>
        <w:rPr>
          <w:i/>
          <w:sz w:val="17"/>
        </w:rPr>
        <w:t>Источники</w:t>
      </w:r>
      <w:r>
        <w:rPr>
          <w:sz w:val="17"/>
        </w:rPr>
        <w:t>: Комиссия по высшему образованию, 1996/97 и 1997/98 годы; и УСТЗ (2003c), за 1999/2000 год.</w:t>
      </w:r>
    </w:p>
    <w:p w:rsidR="00000000" w:rsidRDefault="00000000">
      <w:pPr>
        <w:pStyle w:val="table"/>
      </w:pPr>
      <w:bookmarkStart w:id="93" w:name="_Toc85175495"/>
      <w:r>
        <w:t>Приложение. Таблица B10.4. Стипендия КВО с разбивкой по программам и п</w:t>
      </w:r>
      <w:r>
        <w:t>о</w:t>
      </w:r>
      <w:r>
        <w:t>лу, 2002-03 год</w:t>
      </w:r>
      <w:bookmarkEnd w:id="93"/>
    </w:p>
    <w:tbl>
      <w:tblPr>
        <w:tblW w:w="0" w:type="auto"/>
        <w:tblInd w:w="1278" w:type="dxa"/>
        <w:tblLayout w:type="fixed"/>
        <w:tblLook w:val="0000" w:firstRow="0" w:lastRow="0" w:firstColumn="0" w:lastColumn="0" w:noHBand="0" w:noVBand="0"/>
      </w:tblPr>
      <w:tblGrid>
        <w:gridCol w:w="2977"/>
        <w:gridCol w:w="992"/>
        <w:gridCol w:w="992"/>
        <w:gridCol w:w="993"/>
        <w:gridCol w:w="1417"/>
      </w:tblGrid>
      <w:tr w:rsidR="00000000">
        <w:tblPrEx>
          <w:tblCellMar>
            <w:top w:w="0" w:type="dxa"/>
            <w:bottom w:w="0" w:type="dxa"/>
          </w:tblCellMar>
        </w:tblPrEx>
        <w:trPr>
          <w:cantSplit/>
          <w:tblHeader/>
        </w:trPr>
        <w:tc>
          <w:tcPr>
            <w:tcW w:w="2977"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Программа</w:t>
            </w:r>
          </w:p>
        </w:tc>
        <w:tc>
          <w:tcPr>
            <w:tcW w:w="2977" w:type="dxa"/>
            <w:gridSpan w:val="3"/>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Пол</w:t>
            </w:r>
          </w:p>
        </w:tc>
        <w:tc>
          <w:tcPr>
            <w:tcW w:w="1417"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Процентная доля женщин</w:t>
            </w:r>
          </w:p>
        </w:tc>
      </w:tr>
      <w:tr w:rsidR="00000000">
        <w:tblPrEx>
          <w:tblCellMar>
            <w:top w:w="0" w:type="dxa"/>
            <w:bottom w:w="0" w:type="dxa"/>
          </w:tblCellMar>
        </w:tblPrEx>
        <w:trPr>
          <w:cantSplit/>
          <w:tblHeader/>
        </w:trPr>
        <w:tc>
          <w:tcPr>
            <w:tcW w:w="2977"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c>
          <w:tcPr>
            <w:tcW w:w="992"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Мужч</w:t>
            </w:r>
            <w:r>
              <w:rPr>
                <w:i/>
                <w:sz w:val="17"/>
              </w:rPr>
              <w:t>и</w:t>
            </w:r>
            <w:r>
              <w:rPr>
                <w:i/>
                <w:sz w:val="17"/>
              </w:rPr>
              <w:t>ны</w:t>
            </w:r>
          </w:p>
        </w:tc>
        <w:tc>
          <w:tcPr>
            <w:tcW w:w="992"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Женщ</w:t>
            </w:r>
            <w:r>
              <w:rPr>
                <w:i/>
                <w:sz w:val="17"/>
              </w:rPr>
              <w:t>и</w:t>
            </w:r>
            <w:r>
              <w:rPr>
                <w:i/>
                <w:sz w:val="17"/>
              </w:rPr>
              <w:t>ны</w:t>
            </w:r>
          </w:p>
        </w:tc>
        <w:tc>
          <w:tcPr>
            <w:tcW w:w="993"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Всего</w:t>
            </w:r>
          </w:p>
        </w:tc>
        <w:tc>
          <w:tcPr>
            <w:tcW w:w="1417"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r>
      <w:tr w:rsidR="00000000">
        <w:tblPrEx>
          <w:tblCellMar>
            <w:top w:w="0" w:type="dxa"/>
            <w:bottom w:w="0" w:type="dxa"/>
          </w:tblCellMar>
        </w:tblPrEx>
        <w:tc>
          <w:tcPr>
            <w:tcW w:w="2977" w:type="dxa"/>
            <w:tcBorders>
              <w:top w:val="single" w:sz="12" w:space="0" w:color="auto"/>
            </w:tcBorders>
          </w:tcPr>
          <w:p w:rsidR="00000000" w:rsidRDefault="00000000">
            <w:pPr>
              <w:pStyle w:val="Header"/>
              <w:keepNext/>
              <w:tabs>
                <w:tab w:val="clear" w:pos="4320"/>
                <w:tab w:val="clear" w:pos="8640"/>
              </w:tabs>
              <w:spacing w:before="40" w:after="40"/>
              <w:rPr>
                <w:noProof w:val="0"/>
                <w:spacing w:val="4"/>
                <w:w w:val="103"/>
                <w:kern w:val="14"/>
              </w:rPr>
            </w:pPr>
            <w:r>
              <w:rPr>
                <w:noProof w:val="0"/>
                <w:spacing w:val="4"/>
                <w:w w:val="103"/>
                <w:kern w:val="14"/>
              </w:rPr>
              <w:t>Государственная программа ст</w:t>
            </w:r>
            <w:r>
              <w:rPr>
                <w:noProof w:val="0"/>
                <w:spacing w:val="4"/>
                <w:w w:val="103"/>
                <w:kern w:val="14"/>
              </w:rPr>
              <w:t>и</w:t>
            </w:r>
            <w:r>
              <w:rPr>
                <w:noProof w:val="0"/>
                <w:spacing w:val="4"/>
                <w:w w:val="103"/>
                <w:kern w:val="14"/>
              </w:rPr>
              <w:t>пендий</w:t>
            </w:r>
          </w:p>
        </w:tc>
        <w:tc>
          <w:tcPr>
            <w:tcW w:w="992"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310</w:t>
            </w:r>
          </w:p>
        </w:tc>
        <w:tc>
          <w:tcPr>
            <w:tcW w:w="992"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690</w:t>
            </w:r>
          </w:p>
        </w:tc>
        <w:tc>
          <w:tcPr>
            <w:tcW w:w="993"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1,000</w:t>
            </w:r>
          </w:p>
        </w:tc>
        <w:tc>
          <w:tcPr>
            <w:tcW w:w="1417"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69,0</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Национальная комплексная пр</w:t>
            </w:r>
            <w:r>
              <w:rPr>
                <w:sz w:val="17"/>
              </w:rPr>
              <w:t>о</w:t>
            </w:r>
            <w:r>
              <w:rPr>
                <w:sz w:val="17"/>
              </w:rPr>
              <w:t>грамма стипендий</w:t>
            </w:r>
          </w:p>
        </w:tc>
        <w:tc>
          <w:tcPr>
            <w:tcW w:w="992" w:type="dxa"/>
            <w:vAlign w:val="bottom"/>
          </w:tcPr>
          <w:p w:rsidR="00000000" w:rsidRDefault="00000000">
            <w:pPr>
              <w:tabs>
                <w:tab w:val="decimal" w:pos="567"/>
              </w:tabs>
              <w:spacing w:before="40" w:after="40" w:line="240" w:lineRule="auto"/>
              <w:rPr>
                <w:sz w:val="17"/>
              </w:rPr>
            </w:pPr>
            <w:r>
              <w:rPr>
                <w:sz w:val="17"/>
              </w:rPr>
              <w:t>374</w:t>
            </w:r>
          </w:p>
        </w:tc>
        <w:tc>
          <w:tcPr>
            <w:tcW w:w="992" w:type="dxa"/>
            <w:vAlign w:val="bottom"/>
          </w:tcPr>
          <w:p w:rsidR="00000000" w:rsidRDefault="00000000">
            <w:pPr>
              <w:tabs>
                <w:tab w:val="decimal" w:pos="567"/>
              </w:tabs>
              <w:spacing w:before="40" w:after="40" w:line="240" w:lineRule="auto"/>
              <w:rPr>
                <w:sz w:val="17"/>
              </w:rPr>
            </w:pPr>
            <w:r>
              <w:rPr>
                <w:sz w:val="17"/>
              </w:rPr>
              <w:t>890</w:t>
            </w:r>
          </w:p>
        </w:tc>
        <w:tc>
          <w:tcPr>
            <w:tcW w:w="993" w:type="dxa"/>
            <w:vAlign w:val="bottom"/>
          </w:tcPr>
          <w:p w:rsidR="00000000" w:rsidRDefault="00000000">
            <w:pPr>
              <w:tabs>
                <w:tab w:val="decimal" w:pos="567"/>
              </w:tabs>
              <w:spacing w:before="40" w:after="40" w:line="240" w:lineRule="auto"/>
              <w:rPr>
                <w:sz w:val="17"/>
              </w:rPr>
            </w:pPr>
            <w:r>
              <w:rPr>
                <w:sz w:val="17"/>
              </w:rPr>
              <w:t>1,264</w:t>
            </w:r>
          </w:p>
        </w:tc>
        <w:tc>
          <w:tcPr>
            <w:tcW w:w="1417" w:type="dxa"/>
            <w:vAlign w:val="bottom"/>
          </w:tcPr>
          <w:p w:rsidR="00000000" w:rsidRDefault="00000000">
            <w:pPr>
              <w:tabs>
                <w:tab w:val="decimal" w:pos="567"/>
              </w:tabs>
              <w:spacing w:before="40" w:after="40" w:line="240" w:lineRule="auto"/>
              <w:rPr>
                <w:sz w:val="17"/>
              </w:rPr>
            </w:pPr>
            <w:r>
              <w:rPr>
                <w:sz w:val="17"/>
              </w:rPr>
              <w:t>70,4</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Программа оказания помощи в учебе отдельным представителям этнических групп</w:t>
            </w:r>
          </w:p>
        </w:tc>
        <w:tc>
          <w:tcPr>
            <w:tcW w:w="992" w:type="dxa"/>
            <w:vAlign w:val="bottom"/>
          </w:tcPr>
          <w:p w:rsidR="00000000" w:rsidRDefault="00000000">
            <w:pPr>
              <w:tabs>
                <w:tab w:val="decimal" w:pos="567"/>
              </w:tabs>
              <w:spacing w:before="40" w:after="40" w:line="240" w:lineRule="auto"/>
              <w:rPr>
                <w:sz w:val="17"/>
              </w:rPr>
            </w:pPr>
            <w:r>
              <w:rPr>
                <w:sz w:val="17"/>
              </w:rPr>
              <w:t>429</w:t>
            </w:r>
          </w:p>
        </w:tc>
        <w:tc>
          <w:tcPr>
            <w:tcW w:w="992" w:type="dxa"/>
            <w:vAlign w:val="bottom"/>
          </w:tcPr>
          <w:p w:rsidR="00000000" w:rsidRDefault="00000000">
            <w:pPr>
              <w:tabs>
                <w:tab w:val="decimal" w:pos="567"/>
              </w:tabs>
              <w:spacing w:before="40" w:after="40" w:line="240" w:lineRule="auto"/>
              <w:rPr>
                <w:sz w:val="17"/>
              </w:rPr>
            </w:pPr>
            <w:r>
              <w:rPr>
                <w:sz w:val="17"/>
              </w:rPr>
              <w:t>871</w:t>
            </w:r>
          </w:p>
        </w:tc>
        <w:tc>
          <w:tcPr>
            <w:tcW w:w="993" w:type="dxa"/>
            <w:vAlign w:val="bottom"/>
          </w:tcPr>
          <w:p w:rsidR="00000000" w:rsidRDefault="00000000">
            <w:pPr>
              <w:tabs>
                <w:tab w:val="decimal" w:pos="567"/>
              </w:tabs>
              <w:spacing w:before="40" w:after="40" w:line="240" w:lineRule="auto"/>
              <w:rPr>
                <w:sz w:val="17"/>
              </w:rPr>
            </w:pPr>
            <w:r>
              <w:rPr>
                <w:sz w:val="17"/>
              </w:rPr>
              <w:t>1,300</w:t>
            </w:r>
          </w:p>
        </w:tc>
        <w:tc>
          <w:tcPr>
            <w:tcW w:w="1417" w:type="dxa"/>
            <w:vAlign w:val="bottom"/>
          </w:tcPr>
          <w:p w:rsidR="00000000" w:rsidRDefault="00000000">
            <w:pPr>
              <w:tabs>
                <w:tab w:val="decimal" w:pos="567"/>
              </w:tabs>
              <w:spacing w:before="40" w:after="40" w:line="240" w:lineRule="auto"/>
              <w:rPr>
                <w:sz w:val="17"/>
              </w:rPr>
            </w:pPr>
            <w:r>
              <w:rPr>
                <w:sz w:val="17"/>
              </w:rPr>
              <w:t>67,0</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Программа учебных пособий для сложивших оружие повстанцев по линии УСТМТ-КВО</w:t>
            </w:r>
          </w:p>
        </w:tc>
        <w:tc>
          <w:tcPr>
            <w:tcW w:w="992" w:type="dxa"/>
            <w:vAlign w:val="bottom"/>
          </w:tcPr>
          <w:p w:rsidR="00000000" w:rsidRDefault="00000000">
            <w:pPr>
              <w:tabs>
                <w:tab w:val="decimal" w:pos="567"/>
              </w:tabs>
              <w:spacing w:before="40" w:after="40" w:line="240" w:lineRule="auto"/>
              <w:rPr>
                <w:sz w:val="17"/>
              </w:rPr>
            </w:pPr>
            <w:r>
              <w:rPr>
                <w:sz w:val="17"/>
              </w:rPr>
              <w:t>637</w:t>
            </w:r>
          </w:p>
        </w:tc>
        <w:tc>
          <w:tcPr>
            <w:tcW w:w="992" w:type="dxa"/>
            <w:vAlign w:val="bottom"/>
          </w:tcPr>
          <w:p w:rsidR="00000000" w:rsidRDefault="00000000">
            <w:pPr>
              <w:tabs>
                <w:tab w:val="decimal" w:pos="567"/>
              </w:tabs>
              <w:spacing w:before="40" w:after="40" w:line="240" w:lineRule="auto"/>
              <w:rPr>
                <w:sz w:val="17"/>
              </w:rPr>
            </w:pPr>
            <w:r>
              <w:rPr>
                <w:sz w:val="17"/>
              </w:rPr>
              <w:t>837</w:t>
            </w:r>
          </w:p>
        </w:tc>
        <w:tc>
          <w:tcPr>
            <w:tcW w:w="993" w:type="dxa"/>
            <w:vAlign w:val="bottom"/>
          </w:tcPr>
          <w:p w:rsidR="00000000" w:rsidRDefault="00000000">
            <w:pPr>
              <w:tabs>
                <w:tab w:val="decimal" w:pos="567"/>
              </w:tabs>
              <w:spacing w:before="40" w:after="40" w:line="240" w:lineRule="auto"/>
              <w:rPr>
                <w:sz w:val="17"/>
              </w:rPr>
            </w:pPr>
            <w:r>
              <w:rPr>
                <w:sz w:val="17"/>
              </w:rPr>
              <w:t>1,474</w:t>
            </w:r>
          </w:p>
        </w:tc>
        <w:tc>
          <w:tcPr>
            <w:tcW w:w="1417" w:type="dxa"/>
            <w:vAlign w:val="bottom"/>
          </w:tcPr>
          <w:p w:rsidR="00000000" w:rsidRDefault="00000000">
            <w:pPr>
              <w:tabs>
                <w:tab w:val="decimal" w:pos="567"/>
              </w:tabs>
              <w:spacing w:before="40" w:after="40" w:line="240" w:lineRule="auto"/>
              <w:rPr>
                <w:sz w:val="17"/>
              </w:rPr>
            </w:pPr>
            <w:r>
              <w:rPr>
                <w:sz w:val="17"/>
              </w:rPr>
              <w:t>56,8</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Частная программа оказания ф</w:t>
            </w:r>
            <w:r>
              <w:rPr>
                <w:sz w:val="17"/>
              </w:rPr>
              <w:t>и</w:t>
            </w:r>
            <w:r>
              <w:rPr>
                <w:sz w:val="17"/>
              </w:rPr>
              <w:t>нансовой помощи в учебе учащи</w:t>
            </w:r>
            <w:r>
              <w:rPr>
                <w:sz w:val="17"/>
              </w:rPr>
              <w:t>х</w:t>
            </w:r>
            <w:r>
              <w:rPr>
                <w:sz w:val="17"/>
              </w:rPr>
              <w:t>ся</w:t>
            </w:r>
          </w:p>
        </w:tc>
        <w:tc>
          <w:tcPr>
            <w:tcW w:w="992" w:type="dxa"/>
            <w:vAlign w:val="bottom"/>
          </w:tcPr>
          <w:p w:rsidR="00000000" w:rsidRDefault="00000000">
            <w:pPr>
              <w:tabs>
                <w:tab w:val="decimal" w:pos="567"/>
              </w:tabs>
              <w:spacing w:before="40" w:after="40" w:line="240" w:lineRule="auto"/>
              <w:rPr>
                <w:sz w:val="17"/>
              </w:rPr>
            </w:pPr>
            <w:r>
              <w:rPr>
                <w:sz w:val="17"/>
              </w:rPr>
              <w:t>5,860</w:t>
            </w:r>
          </w:p>
        </w:tc>
        <w:tc>
          <w:tcPr>
            <w:tcW w:w="992" w:type="dxa"/>
            <w:vAlign w:val="bottom"/>
          </w:tcPr>
          <w:p w:rsidR="00000000" w:rsidRDefault="00000000">
            <w:pPr>
              <w:tabs>
                <w:tab w:val="decimal" w:pos="567"/>
              </w:tabs>
              <w:spacing w:before="40" w:after="40" w:line="240" w:lineRule="auto"/>
              <w:rPr>
                <w:sz w:val="17"/>
              </w:rPr>
            </w:pPr>
            <w:r>
              <w:rPr>
                <w:sz w:val="17"/>
              </w:rPr>
              <w:t>8,790</w:t>
            </w:r>
          </w:p>
        </w:tc>
        <w:tc>
          <w:tcPr>
            <w:tcW w:w="993" w:type="dxa"/>
            <w:vAlign w:val="bottom"/>
          </w:tcPr>
          <w:p w:rsidR="00000000" w:rsidRDefault="00000000">
            <w:pPr>
              <w:tabs>
                <w:tab w:val="decimal" w:pos="567"/>
              </w:tabs>
              <w:spacing w:before="40" w:after="40" w:line="240" w:lineRule="auto"/>
              <w:rPr>
                <w:sz w:val="17"/>
              </w:rPr>
            </w:pPr>
            <w:r>
              <w:rPr>
                <w:sz w:val="17"/>
              </w:rPr>
              <w:t>14,650</w:t>
            </w:r>
          </w:p>
        </w:tc>
        <w:tc>
          <w:tcPr>
            <w:tcW w:w="1417" w:type="dxa"/>
            <w:vAlign w:val="bottom"/>
          </w:tcPr>
          <w:p w:rsidR="00000000" w:rsidRDefault="00000000">
            <w:pPr>
              <w:tabs>
                <w:tab w:val="decimal" w:pos="567"/>
              </w:tabs>
              <w:spacing w:before="40" w:after="40" w:line="240" w:lineRule="auto"/>
              <w:rPr>
                <w:sz w:val="17"/>
              </w:rPr>
            </w:pPr>
            <w:r>
              <w:rPr>
                <w:sz w:val="17"/>
              </w:rPr>
              <w:t>60,0</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План кредитования учебы</w:t>
            </w:r>
          </w:p>
        </w:tc>
        <w:tc>
          <w:tcPr>
            <w:tcW w:w="992" w:type="dxa"/>
            <w:vAlign w:val="bottom"/>
          </w:tcPr>
          <w:p w:rsidR="00000000" w:rsidRDefault="00000000">
            <w:pPr>
              <w:tabs>
                <w:tab w:val="decimal" w:pos="567"/>
              </w:tabs>
              <w:spacing w:before="40" w:after="40" w:line="240" w:lineRule="auto"/>
              <w:rPr>
                <w:sz w:val="17"/>
              </w:rPr>
            </w:pPr>
            <w:r>
              <w:rPr>
                <w:sz w:val="17"/>
              </w:rPr>
              <w:t>444</w:t>
            </w:r>
          </w:p>
        </w:tc>
        <w:tc>
          <w:tcPr>
            <w:tcW w:w="992" w:type="dxa"/>
            <w:vAlign w:val="bottom"/>
          </w:tcPr>
          <w:p w:rsidR="00000000" w:rsidRDefault="00000000">
            <w:pPr>
              <w:tabs>
                <w:tab w:val="decimal" w:pos="567"/>
              </w:tabs>
              <w:spacing w:before="40" w:after="40" w:line="240" w:lineRule="auto"/>
              <w:rPr>
                <w:sz w:val="17"/>
              </w:rPr>
            </w:pPr>
            <w:r>
              <w:rPr>
                <w:sz w:val="17"/>
              </w:rPr>
              <w:t>746</w:t>
            </w:r>
          </w:p>
        </w:tc>
        <w:tc>
          <w:tcPr>
            <w:tcW w:w="993" w:type="dxa"/>
            <w:vAlign w:val="bottom"/>
          </w:tcPr>
          <w:p w:rsidR="00000000" w:rsidRDefault="00000000">
            <w:pPr>
              <w:tabs>
                <w:tab w:val="decimal" w:pos="567"/>
              </w:tabs>
              <w:spacing w:before="40" w:after="40" w:line="240" w:lineRule="auto"/>
              <w:rPr>
                <w:sz w:val="17"/>
              </w:rPr>
            </w:pPr>
            <w:r>
              <w:rPr>
                <w:sz w:val="17"/>
              </w:rPr>
              <w:t>1,190</w:t>
            </w:r>
          </w:p>
        </w:tc>
        <w:tc>
          <w:tcPr>
            <w:tcW w:w="1417" w:type="dxa"/>
            <w:vAlign w:val="bottom"/>
          </w:tcPr>
          <w:p w:rsidR="00000000" w:rsidRDefault="00000000">
            <w:pPr>
              <w:tabs>
                <w:tab w:val="decimal" w:pos="567"/>
              </w:tabs>
              <w:spacing w:before="40" w:after="40" w:line="240" w:lineRule="auto"/>
              <w:rPr>
                <w:sz w:val="17"/>
              </w:rPr>
            </w:pPr>
            <w:r>
              <w:rPr>
                <w:sz w:val="17"/>
              </w:rPr>
              <w:t>62,7</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Фонд развития при факультете колледжа</w:t>
            </w:r>
          </w:p>
        </w:tc>
        <w:tc>
          <w:tcPr>
            <w:tcW w:w="992" w:type="dxa"/>
            <w:vAlign w:val="bottom"/>
          </w:tcPr>
          <w:p w:rsidR="00000000" w:rsidRDefault="00000000">
            <w:pPr>
              <w:tabs>
                <w:tab w:val="decimal" w:pos="567"/>
              </w:tabs>
              <w:spacing w:before="40" w:after="40" w:line="240" w:lineRule="auto"/>
              <w:rPr>
                <w:sz w:val="17"/>
              </w:rPr>
            </w:pPr>
            <w:r>
              <w:rPr>
                <w:sz w:val="17"/>
              </w:rPr>
              <w:t>235</w:t>
            </w:r>
          </w:p>
        </w:tc>
        <w:tc>
          <w:tcPr>
            <w:tcW w:w="992" w:type="dxa"/>
            <w:vAlign w:val="bottom"/>
          </w:tcPr>
          <w:p w:rsidR="00000000" w:rsidRDefault="00000000">
            <w:pPr>
              <w:tabs>
                <w:tab w:val="decimal" w:pos="567"/>
              </w:tabs>
              <w:spacing w:before="40" w:after="40" w:line="240" w:lineRule="auto"/>
              <w:rPr>
                <w:sz w:val="17"/>
              </w:rPr>
            </w:pPr>
            <w:r>
              <w:rPr>
                <w:sz w:val="17"/>
              </w:rPr>
              <w:t>297</w:t>
            </w:r>
          </w:p>
        </w:tc>
        <w:tc>
          <w:tcPr>
            <w:tcW w:w="993" w:type="dxa"/>
            <w:vAlign w:val="bottom"/>
          </w:tcPr>
          <w:p w:rsidR="00000000" w:rsidRDefault="00000000">
            <w:pPr>
              <w:tabs>
                <w:tab w:val="decimal" w:pos="567"/>
              </w:tabs>
              <w:spacing w:before="40" w:after="40" w:line="240" w:lineRule="auto"/>
              <w:rPr>
                <w:sz w:val="17"/>
              </w:rPr>
            </w:pPr>
            <w:r>
              <w:rPr>
                <w:sz w:val="17"/>
              </w:rPr>
              <w:t>532</w:t>
            </w:r>
          </w:p>
        </w:tc>
        <w:tc>
          <w:tcPr>
            <w:tcW w:w="1417" w:type="dxa"/>
            <w:vAlign w:val="bottom"/>
          </w:tcPr>
          <w:p w:rsidR="00000000" w:rsidRDefault="00000000">
            <w:pPr>
              <w:tabs>
                <w:tab w:val="decimal" w:pos="567"/>
              </w:tabs>
              <w:spacing w:before="40" w:after="40" w:line="240" w:lineRule="auto"/>
              <w:rPr>
                <w:sz w:val="17"/>
              </w:rPr>
            </w:pPr>
            <w:r>
              <w:rPr>
                <w:sz w:val="17"/>
              </w:rPr>
              <w:t>55,8</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Программа стипендий КВО для наиболее отличившихся мусул</w:t>
            </w:r>
            <w:r>
              <w:rPr>
                <w:sz w:val="17"/>
              </w:rPr>
              <w:t>ь</w:t>
            </w:r>
            <w:r>
              <w:rPr>
                <w:sz w:val="17"/>
              </w:rPr>
              <w:t>ман Минданао</w:t>
            </w:r>
          </w:p>
        </w:tc>
        <w:tc>
          <w:tcPr>
            <w:tcW w:w="992" w:type="dxa"/>
            <w:vAlign w:val="bottom"/>
          </w:tcPr>
          <w:p w:rsidR="00000000" w:rsidRDefault="00000000">
            <w:pPr>
              <w:tabs>
                <w:tab w:val="decimal" w:pos="567"/>
              </w:tabs>
              <w:spacing w:before="40" w:after="40" w:line="240" w:lineRule="auto"/>
              <w:rPr>
                <w:sz w:val="17"/>
              </w:rPr>
            </w:pPr>
            <w:r>
              <w:rPr>
                <w:sz w:val="17"/>
              </w:rPr>
              <w:t>78</w:t>
            </w:r>
          </w:p>
        </w:tc>
        <w:tc>
          <w:tcPr>
            <w:tcW w:w="992" w:type="dxa"/>
            <w:vAlign w:val="bottom"/>
          </w:tcPr>
          <w:p w:rsidR="00000000" w:rsidRDefault="00000000">
            <w:pPr>
              <w:tabs>
                <w:tab w:val="decimal" w:pos="567"/>
              </w:tabs>
              <w:spacing w:before="40" w:after="40" w:line="240" w:lineRule="auto"/>
              <w:rPr>
                <w:sz w:val="17"/>
              </w:rPr>
            </w:pPr>
            <w:r>
              <w:rPr>
                <w:sz w:val="17"/>
              </w:rPr>
              <w:t>52</w:t>
            </w:r>
          </w:p>
        </w:tc>
        <w:tc>
          <w:tcPr>
            <w:tcW w:w="993" w:type="dxa"/>
            <w:vAlign w:val="bottom"/>
          </w:tcPr>
          <w:p w:rsidR="00000000" w:rsidRDefault="00000000">
            <w:pPr>
              <w:tabs>
                <w:tab w:val="decimal" w:pos="567"/>
              </w:tabs>
              <w:spacing w:before="40" w:after="40" w:line="240" w:lineRule="auto"/>
              <w:rPr>
                <w:sz w:val="17"/>
              </w:rPr>
            </w:pPr>
            <w:r>
              <w:rPr>
                <w:sz w:val="17"/>
              </w:rPr>
              <w:t>130</w:t>
            </w:r>
          </w:p>
        </w:tc>
        <w:tc>
          <w:tcPr>
            <w:tcW w:w="1417" w:type="dxa"/>
            <w:vAlign w:val="bottom"/>
          </w:tcPr>
          <w:p w:rsidR="00000000" w:rsidRDefault="00000000">
            <w:pPr>
              <w:tabs>
                <w:tab w:val="decimal" w:pos="567"/>
              </w:tabs>
              <w:spacing w:before="40" w:after="40" w:line="240" w:lineRule="auto"/>
              <w:rPr>
                <w:sz w:val="17"/>
              </w:rPr>
            </w:pPr>
            <w:r>
              <w:rPr>
                <w:sz w:val="17"/>
              </w:rPr>
              <w:t>40,0</w:t>
            </w:r>
          </w:p>
        </w:tc>
      </w:tr>
      <w:tr w:rsidR="00000000">
        <w:tblPrEx>
          <w:tblCellMar>
            <w:top w:w="0" w:type="dxa"/>
            <w:bottom w:w="0" w:type="dxa"/>
          </w:tblCellMar>
        </w:tblPrEx>
        <w:trPr>
          <w:trHeight w:val="242"/>
        </w:trPr>
        <w:tc>
          <w:tcPr>
            <w:tcW w:w="2977" w:type="dxa"/>
          </w:tcPr>
          <w:p w:rsidR="00000000" w:rsidRDefault="00000000">
            <w:pPr>
              <w:pStyle w:val="Header"/>
              <w:tabs>
                <w:tab w:val="clear" w:pos="4320"/>
                <w:tab w:val="clear" w:pos="8640"/>
              </w:tabs>
              <w:spacing w:before="40" w:after="40"/>
              <w:rPr>
                <w:noProof w:val="0"/>
                <w:spacing w:val="4"/>
                <w:w w:val="103"/>
                <w:kern w:val="14"/>
              </w:rPr>
            </w:pPr>
            <w:r>
              <w:rPr>
                <w:noProof w:val="0"/>
                <w:spacing w:val="4"/>
                <w:w w:val="103"/>
                <w:kern w:val="14"/>
              </w:rPr>
              <w:t>Программа учебных кредитов для Центра повышения кв</w:t>
            </w:r>
            <w:r>
              <w:rPr>
                <w:noProof w:val="0"/>
                <w:spacing w:val="4"/>
                <w:w w:val="103"/>
                <w:kern w:val="14"/>
              </w:rPr>
              <w:t>а</w:t>
            </w:r>
            <w:r>
              <w:rPr>
                <w:noProof w:val="0"/>
                <w:spacing w:val="4"/>
                <w:w w:val="103"/>
                <w:kern w:val="14"/>
              </w:rPr>
              <w:t>лификации</w:t>
            </w:r>
          </w:p>
        </w:tc>
        <w:tc>
          <w:tcPr>
            <w:tcW w:w="992" w:type="dxa"/>
            <w:vAlign w:val="bottom"/>
          </w:tcPr>
          <w:p w:rsidR="00000000" w:rsidRDefault="00000000">
            <w:pPr>
              <w:tabs>
                <w:tab w:val="decimal" w:pos="567"/>
              </w:tabs>
              <w:spacing w:before="40" w:after="40" w:line="240" w:lineRule="auto"/>
              <w:rPr>
                <w:sz w:val="17"/>
              </w:rPr>
            </w:pPr>
            <w:r>
              <w:rPr>
                <w:sz w:val="17"/>
              </w:rPr>
              <w:t>94</w:t>
            </w:r>
          </w:p>
        </w:tc>
        <w:tc>
          <w:tcPr>
            <w:tcW w:w="992" w:type="dxa"/>
            <w:vAlign w:val="bottom"/>
          </w:tcPr>
          <w:p w:rsidR="00000000" w:rsidRDefault="00000000">
            <w:pPr>
              <w:tabs>
                <w:tab w:val="decimal" w:pos="567"/>
              </w:tabs>
              <w:spacing w:before="40" w:after="40" w:line="240" w:lineRule="auto"/>
              <w:rPr>
                <w:sz w:val="17"/>
              </w:rPr>
            </w:pPr>
            <w:r>
              <w:rPr>
                <w:sz w:val="17"/>
              </w:rPr>
              <w:t>239</w:t>
            </w:r>
          </w:p>
        </w:tc>
        <w:tc>
          <w:tcPr>
            <w:tcW w:w="993" w:type="dxa"/>
            <w:vAlign w:val="bottom"/>
          </w:tcPr>
          <w:p w:rsidR="00000000" w:rsidRDefault="00000000">
            <w:pPr>
              <w:tabs>
                <w:tab w:val="decimal" w:pos="567"/>
              </w:tabs>
              <w:spacing w:before="40" w:after="40" w:line="240" w:lineRule="auto"/>
              <w:rPr>
                <w:sz w:val="17"/>
              </w:rPr>
            </w:pPr>
            <w:r>
              <w:rPr>
                <w:sz w:val="17"/>
              </w:rPr>
              <w:t>333</w:t>
            </w:r>
          </w:p>
        </w:tc>
        <w:tc>
          <w:tcPr>
            <w:tcW w:w="1417" w:type="dxa"/>
            <w:vAlign w:val="bottom"/>
          </w:tcPr>
          <w:p w:rsidR="00000000" w:rsidRDefault="00000000">
            <w:pPr>
              <w:tabs>
                <w:tab w:val="decimal" w:pos="567"/>
              </w:tabs>
              <w:spacing w:before="40" w:after="40" w:line="240" w:lineRule="auto"/>
              <w:rPr>
                <w:sz w:val="17"/>
              </w:rPr>
            </w:pPr>
            <w:r>
              <w:rPr>
                <w:sz w:val="17"/>
              </w:rPr>
              <w:t>71,7</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Государственная программа ст</w:t>
            </w:r>
            <w:r>
              <w:rPr>
                <w:sz w:val="17"/>
              </w:rPr>
              <w:t>и</w:t>
            </w:r>
            <w:r>
              <w:rPr>
                <w:sz w:val="17"/>
              </w:rPr>
              <w:t>пендий для отдельных выпускн</w:t>
            </w:r>
            <w:r>
              <w:rPr>
                <w:sz w:val="17"/>
              </w:rPr>
              <w:t>и</w:t>
            </w:r>
            <w:r>
              <w:rPr>
                <w:sz w:val="17"/>
              </w:rPr>
              <w:t>ков, с отличием окончивших сре</w:t>
            </w:r>
            <w:r>
              <w:rPr>
                <w:sz w:val="17"/>
              </w:rPr>
              <w:t>д</w:t>
            </w:r>
            <w:r>
              <w:rPr>
                <w:sz w:val="17"/>
              </w:rPr>
              <w:t>нюю шк</w:t>
            </w:r>
            <w:r>
              <w:rPr>
                <w:sz w:val="17"/>
              </w:rPr>
              <w:t>о</w:t>
            </w:r>
            <w:r>
              <w:rPr>
                <w:sz w:val="17"/>
              </w:rPr>
              <w:t>лу</w:t>
            </w:r>
          </w:p>
        </w:tc>
        <w:tc>
          <w:tcPr>
            <w:tcW w:w="992" w:type="dxa"/>
            <w:vAlign w:val="bottom"/>
          </w:tcPr>
          <w:p w:rsidR="00000000" w:rsidRDefault="00000000">
            <w:pPr>
              <w:tabs>
                <w:tab w:val="decimal" w:pos="567"/>
              </w:tabs>
              <w:spacing w:before="40" w:after="40" w:line="240" w:lineRule="auto"/>
              <w:rPr>
                <w:sz w:val="17"/>
              </w:rPr>
            </w:pPr>
            <w:r>
              <w:rPr>
                <w:sz w:val="17"/>
              </w:rPr>
              <w:t>47</w:t>
            </w:r>
          </w:p>
        </w:tc>
        <w:tc>
          <w:tcPr>
            <w:tcW w:w="992" w:type="dxa"/>
            <w:vAlign w:val="bottom"/>
          </w:tcPr>
          <w:p w:rsidR="00000000" w:rsidRDefault="00000000">
            <w:pPr>
              <w:tabs>
                <w:tab w:val="decimal" w:pos="567"/>
              </w:tabs>
              <w:spacing w:before="40" w:after="40" w:line="240" w:lineRule="auto"/>
              <w:rPr>
                <w:sz w:val="17"/>
              </w:rPr>
            </w:pPr>
            <w:r>
              <w:rPr>
                <w:sz w:val="17"/>
              </w:rPr>
              <w:t>57</w:t>
            </w:r>
          </w:p>
        </w:tc>
        <w:tc>
          <w:tcPr>
            <w:tcW w:w="993" w:type="dxa"/>
            <w:vAlign w:val="bottom"/>
          </w:tcPr>
          <w:p w:rsidR="00000000" w:rsidRDefault="00000000">
            <w:pPr>
              <w:tabs>
                <w:tab w:val="decimal" w:pos="567"/>
              </w:tabs>
              <w:spacing w:before="40" w:after="40" w:line="240" w:lineRule="auto"/>
              <w:rPr>
                <w:sz w:val="17"/>
              </w:rPr>
            </w:pPr>
            <w:r>
              <w:rPr>
                <w:sz w:val="17"/>
              </w:rPr>
              <w:t>104</w:t>
            </w:r>
          </w:p>
        </w:tc>
        <w:tc>
          <w:tcPr>
            <w:tcW w:w="1417" w:type="dxa"/>
            <w:vAlign w:val="bottom"/>
          </w:tcPr>
          <w:p w:rsidR="00000000" w:rsidRDefault="00000000">
            <w:pPr>
              <w:tabs>
                <w:tab w:val="decimal" w:pos="567"/>
              </w:tabs>
              <w:spacing w:before="40" w:after="40" w:line="240" w:lineRule="auto"/>
              <w:rPr>
                <w:sz w:val="17"/>
              </w:rPr>
            </w:pPr>
            <w:r>
              <w:rPr>
                <w:sz w:val="17"/>
              </w:rPr>
              <w:t>54,8</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Специальная программа учебных стипендий КВО для избирател</w:t>
            </w:r>
            <w:r>
              <w:rPr>
                <w:sz w:val="17"/>
              </w:rPr>
              <w:t>ь</w:t>
            </w:r>
            <w:r>
              <w:rPr>
                <w:sz w:val="17"/>
              </w:rPr>
              <w:t>ных округов</w:t>
            </w:r>
          </w:p>
        </w:tc>
        <w:tc>
          <w:tcPr>
            <w:tcW w:w="992" w:type="dxa"/>
            <w:vAlign w:val="bottom"/>
          </w:tcPr>
          <w:p w:rsidR="00000000" w:rsidRDefault="00000000">
            <w:pPr>
              <w:tabs>
                <w:tab w:val="decimal" w:pos="567"/>
              </w:tabs>
              <w:spacing w:before="40" w:after="40" w:line="240" w:lineRule="auto"/>
              <w:rPr>
                <w:sz w:val="17"/>
              </w:rPr>
            </w:pPr>
            <w:r>
              <w:rPr>
                <w:sz w:val="17"/>
              </w:rPr>
              <w:t>6 744</w:t>
            </w:r>
          </w:p>
        </w:tc>
        <w:tc>
          <w:tcPr>
            <w:tcW w:w="992" w:type="dxa"/>
            <w:vAlign w:val="bottom"/>
          </w:tcPr>
          <w:p w:rsidR="00000000" w:rsidRDefault="00000000">
            <w:pPr>
              <w:tabs>
                <w:tab w:val="decimal" w:pos="567"/>
              </w:tabs>
              <w:spacing w:before="40" w:after="40" w:line="240" w:lineRule="auto"/>
              <w:rPr>
                <w:sz w:val="17"/>
              </w:rPr>
            </w:pPr>
            <w:r>
              <w:rPr>
                <w:sz w:val="17"/>
              </w:rPr>
              <w:t>11 746</w:t>
            </w:r>
          </w:p>
        </w:tc>
        <w:tc>
          <w:tcPr>
            <w:tcW w:w="993" w:type="dxa"/>
            <w:vAlign w:val="bottom"/>
          </w:tcPr>
          <w:p w:rsidR="00000000" w:rsidRDefault="00000000">
            <w:pPr>
              <w:tabs>
                <w:tab w:val="decimal" w:pos="567"/>
              </w:tabs>
              <w:spacing w:before="40" w:after="40" w:line="240" w:lineRule="auto"/>
              <w:rPr>
                <w:sz w:val="17"/>
              </w:rPr>
            </w:pPr>
            <w:r>
              <w:rPr>
                <w:sz w:val="17"/>
              </w:rPr>
              <w:t>18 490</w:t>
            </w:r>
          </w:p>
        </w:tc>
        <w:tc>
          <w:tcPr>
            <w:tcW w:w="1417" w:type="dxa"/>
            <w:vAlign w:val="bottom"/>
          </w:tcPr>
          <w:p w:rsidR="00000000" w:rsidRDefault="00000000">
            <w:pPr>
              <w:tabs>
                <w:tab w:val="decimal" w:pos="567"/>
              </w:tabs>
              <w:spacing w:before="40" w:after="40" w:line="240" w:lineRule="auto"/>
              <w:rPr>
                <w:sz w:val="17"/>
              </w:rPr>
            </w:pPr>
            <w:r>
              <w:rPr>
                <w:sz w:val="17"/>
              </w:rPr>
              <w:t>63,5</w:t>
            </w:r>
          </w:p>
        </w:tc>
      </w:tr>
      <w:tr w:rsidR="00000000">
        <w:tblPrEx>
          <w:tblCellMar>
            <w:top w:w="0" w:type="dxa"/>
            <w:bottom w:w="0" w:type="dxa"/>
          </w:tblCellMar>
        </w:tblPrEx>
        <w:tc>
          <w:tcPr>
            <w:tcW w:w="2977" w:type="dxa"/>
          </w:tcPr>
          <w:p w:rsidR="00000000" w:rsidRDefault="00000000">
            <w:pPr>
              <w:spacing w:before="40" w:after="40" w:line="240" w:lineRule="auto"/>
              <w:rPr>
                <w:sz w:val="17"/>
              </w:rPr>
            </w:pPr>
            <w:r>
              <w:rPr>
                <w:sz w:val="17"/>
              </w:rPr>
              <w:t>Фонд учебных кредитов для ра</w:t>
            </w:r>
            <w:r>
              <w:rPr>
                <w:sz w:val="17"/>
              </w:rPr>
              <w:t>й</w:t>
            </w:r>
            <w:r>
              <w:rPr>
                <w:sz w:val="17"/>
              </w:rPr>
              <w:t>она V</w:t>
            </w:r>
          </w:p>
        </w:tc>
        <w:tc>
          <w:tcPr>
            <w:tcW w:w="992" w:type="dxa"/>
            <w:vAlign w:val="bottom"/>
          </w:tcPr>
          <w:p w:rsidR="00000000" w:rsidRDefault="00000000">
            <w:pPr>
              <w:tabs>
                <w:tab w:val="decimal" w:pos="567"/>
              </w:tabs>
              <w:spacing w:before="40" w:after="40" w:line="240" w:lineRule="auto"/>
              <w:rPr>
                <w:sz w:val="17"/>
              </w:rPr>
            </w:pPr>
            <w:r>
              <w:rPr>
                <w:sz w:val="17"/>
              </w:rPr>
              <w:t>356</w:t>
            </w:r>
          </w:p>
        </w:tc>
        <w:tc>
          <w:tcPr>
            <w:tcW w:w="992" w:type="dxa"/>
            <w:vAlign w:val="bottom"/>
          </w:tcPr>
          <w:p w:rsidR="00000000" w:rsidRDefault="00000000">
            <w:pPr>
              <w:tabs>
                <w:tab w:val="decimal" w:pos="567"/>
              </w:tabs>
              <w:spacing w:before="40" w:after="40" w:line="240" w:lineRule="auto"/>
              <w:rPr>
                <w:sz w:val="17"/>
              </w:rPr>
            </w:pPr>
            <w:r>
              <w:rPr>
                <w:sz w:val="17"/>
              </w:rPr>
              <w:t>543</w:t>
            </w:r>
          </w:p>
        </w:tc>
        <w:tc>
          <w:tcPr>
            <w:tcW w:w="993" w:type="dxa"/>
            <w:vAlign w:val="bottom"/>
          </w:tcPr>
          <w:p w:rsidR="00000000" w:rsidRDefault="00000000">
            <w:pPr>
              <w:tabs>
                <w:tab w:val="decimal" w:pos="567"/>
              </w:tabs>
              <w:spacing w:before="40" w:after="40" w:line="240" w:lineRule="auto"/>
              <w:rPr>
                <w:sz w:val="17"/>
              </w:rPr>
            </w:pPr>
            <w:r>
              <w:rPr>
                <w:sz w:val="17"/>
              </w:rPr>
              <w:t xml:space="preserve"> 899</w:t>
            </w:r>
          </w:p>
        </w:tc>
        <w:tc>
          <w:tcPr>
            <w:tcW w:w="1417" w:type="dxa"/>
            <w:vAlign w:val="bottom"/>
          </w:tcPr>
          <w:p w:rsidR="00000000" w:rsidRDefault="00000000">
            <w:pPr>
              <w:tabs>
                <w:tab w:val="decimal" w:pos="567"/>
              </w:tabs>
              <w:spacing w:before="40" w:after="40" w:line="240" w:lineRule="auto"/>
              <w:rPr>
                <w:sz w:val="17"/>
              </w:rPr>
            </w:pPr>
            <w:r>
              <w:rPr>
                <w:sz w:val="17"/>
              </w:rPr>
              <w:t>60,4</w:t>
            </w:r>
          </w:p>
        </w:tc>
      </w:tr>
      <w:tr w:rsidR="00000000">
        <w:tblPrEx>
          <w:tblCellMar>
            <w:top w:w="0" w:type="dxa"/>
            <w:bottom w:w="0" w:type="dxa"/>
          </w:tblCellMar>
        </w:tblPrEx>
        <w:tc>
          <w:tcPr>
            <w:tcW w:w="2977" w:type="dxa"/>
            <w:tcBorders>
              <w:bottom w:val="single" w:sz="12" w:space="0" w:color="auto"/>
            </w:tcBorders>
          </w:tcPr>
          <w:p w:rsidR="00000000" w:rsidRDefault="00000000">
            <w:pPr>
              <w:spacing w:before="40" w:after="40" w:line="240" w:lineRule="auto"/>
              <w:rPr>
                <w:sz w:val="17"/>
              </w:rPr>
            </w:pPr>
            <w:r>
              <w:rPr>
                <w:sz w:val="17"/>
              </w:rPr>
              <w:t>Всего</w:t>
            </w:r>
          </w:p>
        </w:tc>
        <w:tc>
          <w:tcPr>
            <w:tcW w:w="992"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15 608</w:t>
            </w:r>
          </w:p>
        </w:tc>
        <w:tc>
          <w:tcPr>
            <w:tcW w:w="992"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25 758</w:t>
            </w:r>
          </w:p>
        </w:tc>
        <w:tc>
          <w:tcPr>
            <w:tcW w:w="993"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41 366</w:t>
            </w:r>
          </w:p>
        </w:tc>
        <w:tc>
          <w:tcPr>
            <w:tcW w:w="1417"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62,3</w:t>
            </w:r>
          </w:p>
        </w:tc>
      </w:tr>
    </w:tbl>
    <w:p w:rsidR="00000000" w:rsidRDefault="00000000">
      <w:pPr>
        <w:pStyle w:val="table"/>
      </w:pPr>
      <w:bookmarkStart w:id="94" w:name="_Toc85175496"/>
      <w:r>
        <w:t>Приложение. Таблица B10.5. Число женщин-выпускниц учебных курсов ТЕСДА по нетрадиционным сп</w:t>
      </w:r>
      <w:r>
        <w:t>е</w:t>
      </w:r>
      <w:r>
        <w:t>циальностям, 1998-2001 годы</w:t>
      </w:r>
      <w:bookmarkEnd w:id="94"/>
    </w:p>
    <w:tbl>
      <w:tblPr>
        <w:tblW w:w="0" w:type="auto"/>
        <w:tblInd w:w="1278" w:type="dxa"/>
        <w:tblLayout w:type="fixed"/>
        <w:tblLook w:val="0000" w:firstRow="0" w:lastRow="0" w:firstColumn="0" w:lastColumn="0" w:noHBand="0" w:noVBand="0"/>
      </w:tblPr>
      <w:tblGrid>
        <w:gridCol w:w="2126"/>
        <w:gridCol w:w="1098"/>
        <w:gridCol w:w="1099"/>
        <w:gridCol w:w="1099"/>
        <w:gridCol w:w="1099"/>
        <w:gridCol w:w="850"/>
      </w:tblGrid>
      <w:tr w:rsidR="00000000">
        <w:tblPrEx>
          <w:tblCellMar>
            <w:top w:w="0" w:type="dxa"/>
            <w:bottom w:w="0" w:type="dxa"/>
          </w:tblCellMar>
        </w:tblPrEx>
        <w:trPr>
          <w:cantSplit/>
          <w:tblHeader/>
        </w:trPr>
        <w:tc>
          <w:tcPr>
            <w:tcW w:w="2126"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Вид подготовки</w:t>
            </w:r>
          </w:p>
        </w:tc>
        <w:tc>
          <w:tcPr>
            <w:tcW w:w="4395" w:type="dxa"/>
            <w:gridSpan w:val="4"/>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Специальность</w:t>
            </w:r>
          </w:p>
        </w:tc>
        <w:tc>
          <w:tcPr>
            <w:tcW w:w="850"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Всего</w:t>
            </w:r>
          </w:p>
        </w:tc>
      </w:tr>
      <w:tr w:rsidR="00000000">
        <w:tblPrEx>
          <w:tblCellMar>
            <w:top w:w="0" w:type="dxa"/>
            <w:bottom w:w="0" w:type="dxa"/>
          </w:tblCellMar>
        </w:tblPrEx>
        <w:trPr>
          <w:cantSplit/>
          <w:tblHeader/>
        </w:trPr>
        <w:tc>
          <w:tcPr>
            <w:tcW w:w="2126"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c>
          <w:tcPr>
            <w:tcW w:w="1098" w:type="dxa"/>
            <w:tcBorders>
              <w:top w:val="single" w:sz="4" w:space="0" w:color="auto"/>
              <w:bottom w:val="single" w:sz="12" w:space="0" w:color="auto"/>
            </w:tcBorders>
            <w:vAlign w:val="bottom"/>
          </w:tcPr>
          <w:p w:rsidR="00000000" w:rsidRDefault="00000000">
            <w:pPr>
              <w:pStyle w:val="Header"/>
              <w:keepNext/>
              <w:tabs>
                <w:tab w:val="clear" w:pos="4320"/>
                <w:tab w:val="clear" w:pos="8640"/>
              </w:tabs>
              <w:spacing w:before="40" w:after="40"/>
              <w:jc w:val="center"/>
              <w:rPr>
                <w:i/>
                <w:noProof w:val="0"/>
                <w:spacing w:val="4"/>
                <w:w w:val="103"/>
                <w:kern w:val="14"/>
              </w:rPr>
            </w:pPr>
            <w:r>
              <w:rPr>
                <w:i/>
                <w:noProof w:val="0"/>
                <w:spacing w:val="4"/>
                <w:w w:val="103"/>
                <w:kern w:val="14"/>
              </w:rPr>
              <w:t>Автомех</w:t>
            </w:r>
            <w:r>
              <w:rPr>
                <w:i/>
                <w:noProof w:val="0"/>
                <w:spacing w:val="4"/>
                <w:w w:val="103"/>
                <w:kern w:val="14"/>
              </w:rPr>
              <w:t>а</w:t>
            </w:r>
            <w:r>
              <w:rPr>
                <w:i/>
                <w:noProof w:val="0"/>
                <w:spacing w:val="4"/>
                <w:w w:val="103"/>
                <w:kern w:val="14"/>
              </w:rPr>
              <w:t>ника</w:t>
            </w:r>
          </w:p>
        </w:tc>
        <w:tc>
          <w:tcPr>
            <w:tcW w:w="1099"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Сварочные раб</w:t>
            </w:r>
            <w:r>
              <w:rPr>
                <w:i/>
                <w:sz w:val="17"/>
              </w:rPr>
              <w:t>о</w:t>
            </w:r>
            <w:r>
              <w:rPr>
                <w:i/>
                <w:sz w:val="17"/>
              </w:rPr>
              <w:t>ты</w:t>
            </w:r>
          </w:p>
        </w:tc>
        <w:tc>
          <w:tcPr>
            <w:tcW w:w="1099"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Электр</w:t>
            </w:r>
            <w:r>
              <w:rPr>
                <w:i/>
                <w:sz w:val="17"/>
              </w:rPr>
              <w:t>о</w:t>
            </w:r>
            <w:r>
              <w:rPr>
                <w:i/>
                <w:sz w:val="17"/>
              </w:rPr>
              <w:t>ника</w:t>
            </w:r>
          </w:p>
        </w:tc>
        <w:tc>
          <w:tcPr>
            <w:tcW w:w="1099"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Изгото</w:t>
            </w:r>
            <w:r>
              <w:rPr>
                <w:i/>
                <w:sz w:val="17"/>
              </w:rPr>
              <w:t>в</w:t>
            </w:r>
            <w:r>
              <w:rPr>
                <w:i/>
                <w:sz w:val="17"/>
              </w:rPr>
              <w:t>ление к</w:t>
            </w:r>
            <w:r>
              <w:rPr>
                <w:i/>
                <w:sz w:val="17"/>
              </w:rPr>
              <w:t>е</w:t>
            </w:r>
            <w:r>
              <w:rPr>
                <w:i/>
                <w:sz w:val="17"/>
              </w:rPr>
              <w:t>рамич</w:t>
            </w:r>
            <w:r>
              <w:rPr>
                <w:i/>
                <w:sz w:val="17"/>
              </w:rPr>
              <w:t>е</w:t>
            </w:r>
            <w:r>
              <w:rPr>
                <w:i/>
                <w:sz w:val="17"/>
              </w:rPr>
              <w:t>ских изд</w:t>
            </w:r>
            <w:r>
              <w:rPr>
                <w:i/>
                <w:sz w:val="17"/>
              </w:rPr>
              <w:t>е</w:t>
            </w:r>
            <w:r>
              <w:rPr>
                <w:i/>
                <w:sz w:val="17"/>
              </w:rPr>
              <w:t>лий</w:t>
            </w:r>
          </w:p>
        </w:tc>
        <w:tc>
          <w:tcPr>
            <w:tcW w:w="850"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r>
      <w:tr w:rsidR="00000000">
        <w:tblPrEx>
          <w:tblCellMar>
            <w:top w:w="0" w:type="dxa"/>
            <w:bottom w:w="0" w:type="dxa"/>
          </w:tblCellMar>
        </w:tblPrEx>
        <w:tc>
          <w:tcPr>
            <w:tcW w:w="2126" w:type="dxa"/>
            <w:tcBorders>
              <w:top w:val="single" w:sz="12" w:space="0" w:color="auto"/>
            </w:tcBorders>
          </w:tcPr>
          <w:p w:rsidR="00000000" w:rsidRDefault="00000000">
            <w:pPr>
              <w:pStyle w:val="Header"/>
              <w:keepNext/>
              <w:tabs>
                <w:tab w:val="clear" w:pos="4320"/>
                <w:tab w:val="clear" w:pos="8640"/>
              </w:tabs>
              <w:spacing w:before="40" w:after="40"/>
              <w:rPr>
                <w:noProof w:val="0"/>
                <w:spacing w:val="4"/>
                <w:w w:val="103"/>
                <w:kern w:val="14"/>
              </w:rPr>
            </w:pPr>
            <w:r>
              <w:rPr>
                <w:noProof w:val="0"/>
                <w:spacing w:val="4"/>
                <w:w w:val="103"/>
                <w:kern w:val="14"/>
              </w:rPr>
              <w:t>Подготовка до посту</w:t>
            </w:r>
            <w:r>
              <w:rPr>
                <w:noProof w:val="0"/>
                <w:spacing w:val="4"/>
                <w:w w:val="103"/>
                <w:kern w:val="14"/>
              </w:rPr>
              <w:t>п</w:t>
            </w:r>
            <w:r>
              <w:rPr>
                <w:noProof w:val="0"/>
                <w:spacing w:val="4"/>
                <w:w w:val="103"/>
                <w:kern w:val="14"/>
              </w:rPr>
              <w:t>ления на р</w:t>
            </w:r>
            <w:r>
              <w:rPr>
                <w:noProof w:val="0"/>
                <w:spacing w:val="4"/>
                <w:w w:val="103"/>
                <w:kern w:val="14"/>
              </w:rPr>
              <w:t>а</w:t>
            </w:r>
            <w:r>
              <w:rPr>
                <w:noProof w:val="0"/>
                <w:spacing w:val="4"/>
                <w:w w:val="103"/>
                <w:kern w:val="14"/>
              </w:rPr>
              <w:t>боту</w:t>
            </w:r>
          </w:p>
        </w:tc>
        <w:tc>
          <w:tcPr>
            <w:tcW w:w="1098"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73</w:t>
            </w:r>
          </w:p>
        </w:tc>
        <w:tc>
          <w:tcPr>
            <w:tcW w:w="1099"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44</w:t>
            </w:r>
          </w:p>
        </w:tc>
        <w:tc>
          <w:tcPr>
            <w:tcW w:w="1099"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107</w:t>
            </w:r>
          </w:p>
        </w:tc>
        <w:tc>
          <w:tcPr>
            <w:tcW w:w="1099"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39</w:t>
            </w:r>
          </w:p>
        </w:tc>
        <w:tc>
          <w:tcPr>
            <w:tcW w:w="850" w:type="dxa"/>
            <w:tcBorders>
              <w:top w:val="single" w:sz="12" w:space="0" w:color="auto"/>
            </w:tcBorders>
            <w:vAlign w:val="bottom"/>
          </w:tcPr>
          <w:p w:rsidR="00000000" w:rsidRDefault="00000000">
            <w:pPr>
              <w:keepNext/>
              <w:tabs>
                <w:tab w:val="decimal" w:pos="567"/>
              </w:tabs>
              <w:spacing w:before="40" w:after="40" w:line="240" w:lineRule="auto"/>
              <w:rPr>
                <w:sz w:val="17"/>
              </w:rPr>
            </w:pPr>
            <w:r>
              <w:rPr>
                <w:sz w:val="17"/>
              </w:rPr>
              <w:t>263</w:t>
            </w:r>
          </w:p>
        </w:tc>
      </w:tr>
      <w:tr w:rsidR="00000000">
        <w:tblPrEx>
          <w:tblCellMar>
            <w:top w:w="0" w:type="dxa"/>
            <w:bottom w:w="0" w:type="dxa"/>
          </w:tblCellMar>
        </w:tblPrEx>
        <w:tc>
          <w:tcPr>
            <w:tcW w:w="2126" w:type="dxa"/>
          </w:tcPr>
          <w:p w:rsidR="00000000" w:rsidRDefault="00000000">
            <w:pPr>
              <w:spacing w:before="40" w:after="40" w:line="240" w:lineRule="auto"/>
              <w:rPr>
                <w:sz w:val="17"/>
              </w:rPr>
            </w:pPr>
            <w:r>
              <w:rPr>
                <w:sz w:val="17"/>
              </w:rPr>
              <w:t>Повышение навыков</w:t>
            </w:r>
          </w:p>
        </w:tc>
        <w:tc>
          <w:tcPr>
            <w:tcW w:w="1098" w:type="dxa"/>
            <w:vAlign w:val="bottom"/>
          </w:tcPr>
          <w:p w:rsidR="00000000" w:rsidRDefault="00000000">
            <w:pPr>
              <w:tabs>
                <w:tab w:val="decimal" w:pos="567"/>
              </w:tabs>
              <w:spacing w:before="40" w:after="40" w:line="240" w:lineRule="auto"/>
              <w:rPr>
                <w:sz w:val="17"/>
              </w:rPr>
            </w:pPr>
            <w:r>
              <w:rPr>
                <w:sz w:val="17"/>
              </w:rPr>
              <w:t>17</w:t>
            </w:r>
          </w:p>
        </w:tc>
        <w:tc>
          <w:tcPr>
            <w:tcW w:w="1099" w:type="dxa"/>
            <w:vAlign w:val="bottom"/>
          </w:tcPr>
          <w:p w:rsidR="00000000" w:rsidRDefault="00000000">
            <w:pPr>
              <w:tabs>
                <w:tab w:val="decimal" w:pos="567"/>
              </w:tabs>
              <w:spacing w:before="40" w:after="40" w:line="240" w:lineRule="auto"/>
              <w:rPr>
                <w:sz w:val="17"/>
              </w:rPr>
            </w:pPr>
            <w:r>
              <w:rPr>
                <w:sz w:val="17"/>
              </w:rPr>
              <w:t>5</w:t>
            </w:r>
          </w:p>
        </w:tc>
        <w:tc>
          <w:tcPr>
            <w:tcW w:w="1099" w:type="dxa"/>
            <w:vAlign w:val="bottom"/>
          </w:tcPr>
          <w:p w:rsidR="00000000" w:rsidRDefault="00000000">
            <w:pPr>
              <w:tabs>
                <w:tab w:val="decimal" w:pos="567"/>
              </w:tabs>
              <w:spacing w:before="40" w:after="40" w:line="240" w:lineRule="auto"/>
              <w:rPr>
                <w:sz w:val="17"/>
              </w:rPr>
            </w:pPr>
            <w:r>
              <w:rPr>
                <w:sz w:val="17"/>
              </w:rPr>
              <w:t>0</w:t>
            </w:r>
          </w:p>
        </w:tc>
        <w:tc>
          <w:tcPr>
            <w:tcW w:w="1099" w:type="dxa"/>
            <w:vAlign w:val="bottom"/>
          </w:tcPr>
          <w:p w:rsidR="00000000" w:rsidRDefault="00000000">
            <w:pPr>
              <w:tabs>
                <w:tab w:val="decimal" w:pos="567"/>
              </w:tabs>
              <w:spacing w:before="40" w:after="40" w:line="240" w:lineRule="auto"/>
              <w:rPr>
                <w:sz w:val="17"/>
              </w:rPr>
            </w:pPr>
            <w:r>
              <w:rPr>
                <w:sz w:val="17"/>
              </w:rPr>
              <w:t>1</w:t>
            </w:r>
          </w:p>
        </w:tc>
        <w:tc>
          <w:tcPr>
            <w:tcW w:w="850" w:type="dxa"/>
            <w:vAlign w:val="bottom"/>
          </w:tcPr>
          <w:p w:rsidR="00000000" w:rsidRDefault="00000000">
            <w:pPr>
              <w:tabs>
                <w:tab w:val="decimal" w:pos="567"/>
              </w:tabs>
              <w:spacing w:before="40" w:after="40" w:line="240" w:lineRule="auto"/>
              <w:rPr>
                <w:sz w:val="17"/>
              </w:rPr>
            </w:pPr>
            <w:r>
              <w:rPr>
                <w:sz w:val="17"/>
              </w:rPr>
              <w:t xml:space="preserve"> 23</w:t>
            </w:r>
          </w:p>
        </w:tc>
      </w:tr>
      <w:tr w:rsidR="00000000">
        <w:tblPrEx>
          <w:tblCellMar>
            <w:top w:w="0" w:type="dxa"/>
            <w:bottom w:w="0" w:type="dxa"/>
          </w:tblCellMar>
        </w:tblPrEx>
        <w:tc>
          <w:tcPr>
            <w:tcW w:w="2126" w:type="dxa"/>
          </w:tcPr>
          <w:p w:rsidR="00000000" w:rsidRDefault="00000000">
            <w:pPr>
              <w:spacing w:before="40" w:after="40" w:line="240" w:lineRule="auto"/>
              <w:rPr>
                <w:sz w:val="17"/>
              </w:rPr>
            </w:pPr>
            <w:r>
              <w:rPr>
                <w:sz w:val="17"/>
              </w:rPr>
              <w:t>Комплексное обучение инстру</w:t>
            </w:r>
            <w:r>
              <w:rPr>
                <w:sz w:val="17"/>
              </w:rPr>
              <w:t>к</w:t>
            </w:r>
            <w:r>
              <w:rPr>
                <w:sz w:val="17"/>
              </w:rPr>
              <w:t>торов</w:t>
            </w:r>
          </w:p>
        </w:tc>
        <w:tc>
          <w:tcPr>
            <w:tcW w:w="1098" w:type="dxa"/>
            <w:vAlign w:val="bottom"/>
          </w:tcPr>
          <w:p w:rsidR="00000000" w:rsidRDefault="00000000">
            <w:pPr>
              <w:tabs>
                <w:tab w:val="decimal" w:pos="567"/>
              </w:tabs>
              <w:spacing w:before="40" w:after="40" w:line="240" w:lineRule="auto"/>
              <w:rPr>
                <w:sz w:val="17"/>
              </w:rPr>
            </w:pPr>
            <w:r>
              <w:rPr>
                <w:sz w:val="17"/>
              </w:rPr>
              <w:t>2</w:t>
            </w:r>
          </w:p>
        </w:tc>
        <w:tc>
          <w:tcPr>
            <w:tcW w:w="1099" w:type="dxa"/>
            <w:vAlign w:val="bottom"/>
          </w:tcPr>
          <w:p w:rsidR="00000000" w:rsidRDefault="00000000">
            <w:pPr>
              <w:tabs>
                <w:tab w:val="decimal" w:pos="567"/>
              </w:tabs>
              <w:spacing w:before="40" w:after="40" w:line="240" w:lineRule="auto"/>
              <w:rPr>
                <w:sz w:val="17"/>
              </w:rPr>
            </w:pPr>
            <w:r>
              <w:rPr>
                <w:sz w:val="17"/>
              </w:rPr>
              <w:t>12</w:t>
            </w:r>
          </w:p>
        </w:tc>
        <w:tc>
          <w:tcPr>
            <w:tcW w:w="1099" w:type="dxa"/>
            <w:vAlign w:val="bottom"/>
          </w:tcPr>
          <w:p w:rsidR="00000000" w:rsidRDefault="00000000">
            <w:pPr>
              <w:tabs>
                <w:tab w:val="decimal" w:pos="567"/>
              </w:tabs>
              <w:spacing w:before="40" w:after="40" w:line="240" w:lineRule="auto"/>
              <w:rPr>
                <w:sz w:val="17"/>
              </w:rPr>
            </w:pPr>
            <w:r>
              <w:rPr>
                <w:sz w:val="17"/>
              </w:rPr>
              <w:t>8</w:t>
            </w:r>
          </w:p>
        </w:tc>
        <w:tc>
          <w:tcPr>
            <w:tcW w:w="1099" w:type="dxa"/>
            <w:vAlign w:val="bottom"/>
          </w:tcPr>
          <w:p w:rsidR="00000000" w:rsidRDefault="00000000">
            <w:pPr>
              <w:tabs>
                <w:tab w:val="decimal" w:pos="567"/>
              </w:tabs>
              <w:spacing w:before="40" w:after="40" w:line="240" w:lineRule="auto"/>
              <w:rPr>
                <w:sz w:val="17"/>
              </w:rPr>
            </w:pPr>
            <w:r>
              <w:rPr>
                <w:sz w:val="17"/>
              </w:rPr>
              <w:t>9</w:t>
            </w:r>
          </w:p>
        </w:tc>
        <w:tc>
          <w:tcPr>
            <w:tcW w:w="850" w:type="dxa"/>
            <w:vAlign w:val="bottom"/>
          </w:tcPr>
          <w:p w:rsidR="00000000" w:rsidRDefault="00000000">
            <w:pPr>
              <w:tabs>
                <w:tab w:val="decimal" w:pos="567"/>
              </w:tabs>
              <w:spacing w:before="40" w:after="40" w:line="240" w:lineRule="auto"/>
              <w:rPr>
                <w:sz w:val="17"/>
              </w:rPr>
            </w:pPr>
            <w:r>
              <w:rPr>
                <w:sz w:val="17"/>
              </w:rPr>
              <w:t xml:space="preserve"> 31</w:t>
            </w:r>
          </w:p>
        </w:tc>
      </w:tr>
      <w:tr w:rsidR="00000000">
        <w:tblPrEx>
          <w:tblCellMar>
            <w:top w:w="0" w:type="dxa"/>
            <w:bottom w:w="0" w:type="dxa"/>
          </w:tblCellMar>
        </w:tblPrEx>
        <w:tc>
          <w:tcPr>
            <w:tcW w:w="2126" w:type="dxa"/>
            <w:tcBorders>
              <w:bottom w:val="single" w:sz="12" w:space="0" w:color="auto"/>
            </w:tcBorders>
          </w:tcPr>
          <w:p w:rsidR="00000000" w:rsidRDefault="00000000">
            <w:pPr>
              <w:spacing w:before="40" w:after="40" w:line="240" w:lineRule="auto"/>
              <w:rPr>
                <w:sz w:val="17"/>
              </w:rPr>
            </w:pPr>
            <w:r>
              <w:rPr>
                <w:sz w:val="17"/>
              </w:rPr>
              <w:t>Все виды подготовки</w:t>
            </w:r>
          </w:p>
        </w:tc>
        <w:tc>
          <w:tcPr>
            <w:tcW w:w="1098"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92</w:t>
            </w:r>
          </w:p>
        </w:tc>
        <w:tc>
          <w:tcPr>
            <w:tcW w:w="1099"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61</w:t>
            </w:r>
          </w:p>
        </w:tc>
        <w:tc>
          <w:tcPr>
            <w:tcW w:w="1099"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115</w:t>
            </w:r>
          </w:p>
        </w:tc>
        <w:tc>
          <w:tcPr>
            <w:tcW w:w="1099"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49</w:t>
            </w:r>
          </w:p>
        </w:tc>
        <w:tc>
          <w:tcPr>
            <w:tcW w:w="850"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317</w:t>
            </w:r>
          </w:p>
        </w:tc>
      </w:tr>
    </w:tbl>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H1"/>
      </w:pPr>
      <w:bookmarkStart w:id="95" w:name="_Toc85174959"/>
      <w:r>
        <w:t>Приложение: Таблицы, касающиеся Статьи 11</w:t>
      </w:r>
      <w:bookmarkEnd w:id="95"/>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lang w:val="fr-CA"/>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ind w:left="1264" w:right="1264"/>
        <w:rPr>
          <w:sz w:val="10"/>
        </w:rPr>
      </w:pPr>
    </w:p>
    <w:p w:rsidR="00000000" w:rsidRDefault="00000000">
      <w:pPr>
        <w:pStyle w:val="table"/>
      </w:pPr>
      <w:bookmarkStart w:id="96" w:name="_Toc85175497"/>
      <w:r>
        <w:t>Приложение. Таблица 11.1. Доля самодеятельного населения (в процентах) для городских и сельских районов с разбивкой по полу (данные октябр</w:t>
      </w:r>
      <w:r>
        <w:t>ь</w:t>
      </w:r>
      <w:r>
        <w:t>ского о</w:t>
      </w:r>
      <w:r>
        <w:t>б</w:t>
      </w:r>
      <w:r>
        <w:t>следования округлены)</w:t>
      </w:r>
      <w:bookmarkEnd w:id="96"/>
    </w:p>
    <w:tbl>
      <w:tblPr>
        <w:tblW w:w="0" w:type="auto"/>
        <w:tblInd w:w="1278" w:type="dxa"/>
        <w:tblLayout w:type="fixed"/>
        <w:tblLook w:val="0000" w:firstRow="0" w:lastRow="0" w:firstColumn="0" w:lastColumn="0" w:noHBand="0" w:noVBand="0"/>
      </w:tblPr>
      <w:tblGrid>
        <w:gridCol w:w="1334"/>
        <w:gridCol w:w="754"/>
        <w:gridCol w:w="755"/>
        <w:gridCol w:w="754"/>
        <w:gridCol w:w="755"/>
        <w:gridCol w:w="755"/>
        <w:gridCol w:w="754"/>
        <w:gridCol w:w="755"/>
        <w:gridCol w:w="755"/>
      </w:tblGrid>
      <w:tr w:rsidR="00000000">
        <w:tblPrEx>
          <w:tblCellMar>
            <w:top w:w="0" w:type="dxa"/>
            <w:bottom w:w="0" w:type="dxa"/>
          </w:tblCellMar>
        </w:tblPrEx>
        <w:trPr>
          <w:cantSplit/>
        </w:trPr>
        <w:tc>
          <w:tcPr>
            <w:tcW w:w="1334" w:type="dxa"/>
            <w:vMerge w:val="restart"/>
            <w:tcBorders>
              <w:top w:val="single" w:sz="4" w:space="0" w:color="auto"/>
              <w:bottom w:val="single" w:sz="4"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Категория</w:t>
            </w:r>
          </w:p>
        </w:tc>
        <w:tc>
          <w:tcPr>
            <w:tcW w:w="1509" w:type="dxa"/>
            <w:gridSpan w:val="2"/>
            <w:tcBorders>
              <w:top w:val="single" w:sz="4" w:space="0" w:color="auto"/>
              <w:bottom w:val="single" w:sz="4"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1996 год</w:t>
            </w:r>
          </w:p>
        </w:tc>
        <w:tc>
          <w:tcPr>
            <w:tcW w:w="1509" w:type="dxa"/>
            <w:gridSpan w:val="2"/>
            <w:tcBorders>
              <w:top w:val="single" w:sz="4" w:space="0" w:color="auto"/>
              <w:bottom w:val="single" w:sz="4"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1998 год</w:t>
            </w:r>
          </w:p>
        </w:tc>
        <w:tc>
          <w:tcPr>
            <w:tcW w:w="1509" w:type="dxa"/>
            <w:gridSpan w:val="2"/>
            <w:tcBorders>
              <w:top w:val="single" w:sz="4" w:space="0" w:color="auto"/>
              <w:bottom w:val="single" w:sz="4"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2000 год</w:t>
            </w:r>
          </w:p>
        </w:tc>
        <w:tc>
          <w:tcPr>
            <w:tcW w:w="1510" w:type="dxa"/>
            <w:gridSpan w:val="2"/>
            <w:tcBorders>
              <w:top w:val="single" w:sz="4" w:space="0" w:color="auto"/>
              <w:bottom w:val="single" w:sz="4"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2002 год</w:t>
            </w:r>
          </w:p>
        </w:tc>
      </w:tr>
      <w:tr w:rsidR="00000000">
        <w:tblPrEx>
          <w:tblCellMar>
            <w:top w:w="0" w:type="dxa"/>
            <w:bottom w:w="0" w:type="dxa"/>
          </w:tblCellMar>
        </w:tblPrEx>
        <w:trPr>
          <w:cantSplit/>
        </w:trPr>
        <w:tc>
          <w:tcPr>
            <w:tcW w:w="1334" w:type="dxa"/>
            <w:vMerge/>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p>
        </w:tc>
        <w:tc>
          <w:tcPr>
            <w:tcW w:w="754"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55"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54"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55"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55"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54"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55"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55"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r>
      <w:tr w:rsidR="00000000">
        <w:tblPrEx>
          <w:tblCellMar>
            <w:top w:w="0" w:type="dxa"/>
            <w:bottom w:w="0" w:type="dxa"/>
          </w:tblCellMar>
        </w:tblPrEx>
        <w:tc>
          <w:tcPr>
            <w:tcW w:w="1334" w:type="dxa"/>
            <w:tcBorders>
              <w:top w:val="single" w:sz="12" w:space="0" w:color="auto"/>
            </w:tcBorders>
          </w:tcPr>
          <w:p w:rsidR="00000000" w:rsidRDefault="00000000">
            <w:pPr>
              <w:pStyle w:val="BodyText3"/>
              <w:keepNext/>
              <w:spacing w:before="20" w:after="20" w:line="240" w:lineRule="auto"/>
              <w:jc w:val="left"/>
              <w:rPr>
                <w:b w:val="0"/>
                <w:sz w:val="17"/>
                <w:u w:val="none"/>
              </w:rPr>
            </w:pPr>
            <w:r>
              <w:rPr>
                <w:b w:val="0"/>
                <w:sz w:val="17"/>
                <w:u w:val="none"/>
              </w:rPr>
              <w:t>Всего</w:t>
            </w:r>
          </w:p>
        </w:tc>
        <w:tc>
          <w:tcPr>
            <w:tcW w:w="754"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49,0</w:t>
            </w:r>
          </w:p>
        </w:tc>
        <w:tc>
          <w:tcPr>
            <w:tcW w:w="755"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82,7</w:t>
            </w:r>
          </w:p>
        </w:tc>
        <w:tc>
          <w:tcPr>
            <w:tcW w:w="754"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49,3</w:t>
            </w:r>
          </w:p>
        </w:tc>
        <w:tc>
          <w:tcPr>
            <w:tcW w:w="755"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82,9</w:t>
            </w:r>
          </w:p>
        </w:tc>
        <w:tc>
          <w:tcPr>
            <w:tcW w:w="755"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48,4</w:t>
            </w:r>
          </w:p>
        </w:tc>
        <w:tc>
          <w:tcPr>
            <w:tcW w:w="754"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80,3</w:t>
            </w:r>
          </w:p>
        </w:tc>
        <w:tc>
          <w:tcPr>
            <w:tcW w:w="755"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51,7</w:t>
            </w:r>
          </w:p>
        </w:tc>
        <w:tc>
          <w:tcPr>
            <w:tcW w:w="755" w:type="dxa"/>
            <w:tcBorders>
              <w:top w:val="single" w:sz="12" w:space="0" w:color="auto"/>
            </w:tcBorders>
            <w:vAlign w:val="bottom"/>
          </w:tcPr>
          <w:p w:rsidR="00000000" w:rsidRDefault="00000000">
            <w:pPr>
              <w:pStyle w:val="BodyText3"/>
              <w:keepNext/>
              <w:tabs>
                <w:tab w:val="decimal" w:pos="259"/>
              </w:tabs>
              <w:spacing w:before="20" w:after="20" w:line="240" w:lineRule="auto"/>
              <w:jc w:val="left"/>
              <w:rPr>
                <w:b w:val="0"/>
                <w:sz w:val="17"/>
                <w:u w:val="none"/>
              </w:rPr>
            </w:pPr>
            <w:r>
              <w:rPr>
                <w:b w:val="0"/>
                <w:sz w:val="17"/>
                <w:u w:val="none"/>
              </w:rPr>
              <w:t>80,8</w:t>
            </w:r>
          </w:p>
        </w:tc>
      </w:tr>
      <w:tr w:rsidR="00000000">
        <w:tblPrEx>
          <w:tblCellMar>
            <w:top w:w="0" w:type="dxa"/>
            <w:bottom w:w="0" w:type="dxa"/>
          </w:tblCellMar>
        </w:tblPrEx>
        <w:tc>
          <w:tcPr>
            <w:tcW w:w="1334" w:type="dxa"/>
          </w:tcPr>
          <w:p w:rsidR="00000000" w:rsidRDefault="00000000">
            <w:pPr>
              <w:pStyle w:val="BodyText3"/>
              <w:spacing w:before="20" w:after="20" w:line="240" w:lineRule="auto"/>
              <w:jc w:val="left"/>
              <w:rPr>
                <w:b w:val="0"/>
                <w:sz w:val="17"/>
                <w:u w:val="none"/>
              </w:rPr>
            </w:pPr>
            <w:r>
              <w:rPr>
                <w:b w:val="0"/>
                <w:sz w:val="17"/>
                <w:u w:val="none"/>
              </w:rPr>
              <w:t>Городские районы</w:t>
            </w:r>
          </w:p>
        </w:tc>
        <w:tc>
          <w:tcPr>
            <w:tcW w:w="754"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48,6</w:t>
            </w:r>
          </w:p>
        </w:tc>
        <w:tc>
          <w:tcPr>
            <w:tcW w:w="755"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78,5</w:t>
            </w:r>
          </w:p>
        </w:tc>
        <w:tc>
          <w:tcPr>
            <w:tcW w:w="754"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50,1</w:t>
            </w:r>
          </w:p>
        </w:tc>
        <w:tc>
          <w:tcPr>
            <w:tcW w:w="755"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78,8</w:t>
            </w:r>
          </w:p>
        </w:tc>
        <w:tc>
          <w:tcPr>
            <w:tcW w:w="755"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48,8</w:t>
            </w:r>
          </w:p>
        </w:tc>
        <w:tc>
          <w:tcPr>
            <w:tcW w:w="754"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76,6</w:t>
            </w:r>
          </w:p>
        </w:tc>
        <w:tc>
          <w:tcPr>
            <w:tcW w:w="755"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51,7</w:t>
            </w:r>
          </w:p>
        </w:tc>
        <w:tc>
          <w:tcPr>
            <w:tcW w:w="755" w:type="dxa"/>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77,4</w:t>
            </w:r>
          </w:p>
        </w:tc>
      </w:tr>
      <w:tr w:rsidR="00000000">
        <w:tblPrEx>
          <w:tblCellMar>
            <w:top w:w="0" w:type="dxa"/>
            <w:bottom w:w="0" w:type="dxa"/>
          </w:tblCellMar>
        </w:tblPrEx>
        <w:tc>
          <w:tcPr>
            <w:tcW w:w="1334" w:type="dxa"/>
            <w:tcBorders>
              <w:bottom w:val="single" w:sz="12" w:space="0" w:color="auto"/>
            </w:tcBorders>
          </w:tcPr>
          <w:p w:rsidR="00000000" w:rsidRDefault="00000000">
            <w:pPr>
              <w:pStyle w:val="BodyText3"/>
              <w:spacing w:before="20" w:after="20" w:line="240" w:lineRule="auto"/>
              <w:jc w:val="left"/>
              <w:rPr>
                <w:b w:val="0"/>
                <w:sz w:val="17"/>
                <w:u w:val="none"/>
              </w:rPr>
            </w:pPr>
            <w:r>
              <w:rPr>
                <w:b w:val="0"/>
                <w:sz w:val="17"/>
                <w:u w:val="none"/>
              </w:rPr>
              <w:t>Сельские ра</w:t>
            </w:r>
            <w:r>
              <w:rPr>
                <w:b w:val="0"/>
                <w:sz w:val="17"/>
                <w:u w:val="none"/>
              </w:rPr>
              <w:t>й</w:t>
            </w:r>
            <w:r>
              <w:rPr>
                <w:b w:val="0"/>
                <w:sz w:val="17"/>
                <w:u w:val="none"/>
              </w:rPr>
              <w:t>оны</w:t>
            </w:r>
          </w:p>
        </w:tc>
        <w:tc>
          <w:tcPr>
            <w:tcW w:w="754"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49,3</w:t>
            </w:r>
          </w:p>
        </w:tc>
        <w:tc>
          <w:tcPr>
            <w:tcW w:w="755"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86,4</w:t>
            </w:r>
          </w:p>
        </w:tc>
        <w:tc>
          <w:tcPr>
            <w:tcW w:w="754"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48,5</w:t>
            </w:r>
          </w:p>
        </w:tc>
        <w:tc>
          <w:tcPr>
            <w:tcW w:w="755"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86,6</w:t>
            </w:r>
          </w:p>
        </w:tc>
        <w:tc>
          <w:tcPr>
            <w:tcW w:w="755"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47,9</w:t>
            </w:r>
          </w:p>
        </w:tc>
        <w:tc>
          <w:tcPr>
            <w:tcW w:w="754"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84,0</w:t>
            </w:r>
          </w:p>
        </w:tc>
        <w:tc>
          <w:tcPr>
            <w:tcW w:w="755"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51,7</w:t>
            </w:r>
          </w:p>
        </w:tc>
        <w:tc>
          <w:tcPr>
            <w:tcW w:w="755" w:type="dxa"/>
            <w:tcBorders>
              <w:bottom w:val="single" w:sz="12" w:space="0" w:color="auto"/>
            </w:tcBorders>
            <w:vAlign w:val="bottom"/>
          </w:tcPr>
          <w:p w:rsidR="00000000" w:rsidRDefault="00000000">
            <w:pPr>
              <w:pStyle w:val="BodyText3"/>
              <w:tabs>
                <w:tab w:val="decimal" w:pos="259"/>
              </w:tabs>
              <w:spacing w:before="20" w:after="20" w:line="240" w:lineRule="auto"/>
              <w:jc w:val="left"/>
              <w:rPr>
                <w:b w:val="0"/>
                <w:sz w:val="17"/>
                <w:u w:val="none"/>
              </w:rPr>
            </w:pPr>
            <w:r>
              <w:rPr>
                <w:b w:val="0"/>
                <w:sz w:val="17"/>
                <w:u w:val="none"/>
              </w:rPr>
              <w:t>84,0</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97" w:name="_Toc85175498"/>
      <w:r>
        <w:t>Приложение. Таблица 11.2. Доля самодеятельного населения (в процентах) с разбивкой по возрасту и полу (данные октябрьского обследования окру</w:t>
      </w:r>
      <w:r>
        <w:t>г</w:t>
      </w:r>
      <w:r>
        <w:t>лены)</w:t>
      </w:r>
      <w:bookmarkEnd w:id="97"/>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4"/>
        <w:gridCol w:w="754"/>
        <w:gridCol w:w="755"/>
        <w:gridCol w:w="754"/>
        <w:gridCol w:w="755"/>
        <w:gridCol w:w="755"/>
        <w:gridCol w:w="754"/>
        <w:gridCol w:w="755"/>
        <w:gridCol w:w="755"/>
      </w:tblGrid>
      <w:tr w:rsidR="00000000">
        <w:tblPrEx>
          <w:tblCellMar>
            <w:top w:w="0" w:type="dxa"/>
            <w:bottom w:w="0" w:type="dxa"/>
          </w:tblCellMar>
        </w:tblPrEx>
        <w:trPr>
          <w:cantSplit/>
        </w:trPr>
        <w:tc>
          <w:tcPr>
            <w:tcW w:w="1334"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Возрастная группа</w:t>
            </w:r>
          </w:p>
        </w:tc>
        <w:tc>
          <w:tcPr>
            <w:tcW w:w="1509"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1996 год</w:t>
            </w:r>
          </w:p>
        </w:tc>
        <w:tc>
          <w:tcPr>
            <w:tcW w:w="1509"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1998 год</w:t>
            </w:r>
          </w:p>
        </w:tc>
        <w:tc>
          <w:tcPr>
            <w:tcW w:w="1509"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2000 год</w:t>
            </w:r>
          </w:p>
        </w:tc>
        <w:tc>
          <w:tcPr>
            <w:tcW w:w="151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2002 год</w:t>
            </w:r>
          </w:p>
        </w:tc>
      </w:tr>
      <w:tr w:rsidR="00000000">
        <w:tblPrEx>
          <w:tblCellMar>
            <w:top w:w="0" w:type="dxa"/>
            <w:bottom w:w="0" w:type="dxa"/>
          </w:tblCellMar>
        </w:tblPrEx>
        <w:trPr>
          <w:cantSplit/>
        </w:trPr>
        <w:tc>
          <w:tcPr>
            <w:tcW w:w="1334" w:type="dxa"/>
            <w:vMerge/>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Же</w:t>
            </w:r>
            <w:r>
              <w:rPr>
                <w:b w:val="0"/>
                <w:sz w:val="17"/>
                <w:u w:val="none"/>
              </w:rPr>
              <w:t>н</w:t>
            </w:r>
            <w:r>
              <w:rPr>
                <w:b w:val="0"/>
                <w:sz w:val="17"/>
                <w:u w:val="none"/>
              </w:rPr>
              <w:t>щины</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Му</w:t>
            </w:r>
            <w:r>
              <w:rPr>
                <w:b w:val="0"/>
                <w:sz w:val="17"/>
                <w:u w:val="none"/>
              </w:rPr>
              <w:t>ж</w:t>
            </w:r>
            <w:r>
              <w:rPr>
                <w:b w:val="0"/>
                <w:sz w:val="17"/>
                <w:u w:val="none"/>
              </w:rPr>
              <w:t>чины</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Же</w:t>
            </w:r>
            <w:r>
              <w:rPr>
                <w:b w:val="0"/>
                <w:sz w:val="17"/>
                <w:u w:val="none"/>
              </w:rPr>
              <w:t>н</w:t>
            </w:r>
            <w:r>
              <w:rPr>
                <w:b w:val="0"/>
                <w:sz w:val="17"/>
                <w:u w:val="none"/>
              </w:rPr>
              <w:t>щины</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Му</w:t>
            </w:r>
            <w:r>
              <w:rPr>
                <w:b w:val="0"/>
                <w:sz w:val="17"/>
                <w:u w:val="none"/>
              </w:rPr>
              <w:t>ж</w:t>
            </w:r>
            <w:r>
              <w:rPr>
                <w:b w:val="0"/>
                <w:sz w:val="17"/>
                <w:u w:val="none"/>
              </w:rPr>
              <w:t>чины</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Же</w:t>
            </w:r>
            <w:r>
              <w:rPr>
                <w:b w:val="0"/>
                <w:sz w:val="17"/>
                <w:u w:val="none"/>
              </w:rPr>
              <w:t>н</w:t>
            </w:r>
            <w:r>
              <w:rPr>
                <w:b w:val="0"/>
                <w:sz w:val="17"/>
                <w:u w:val="none"/>
              </w:rPr>
              <w:t>щины</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Му</w:t>
            </w:r>
            <w:r>
              <w:rPr>
                <w:b w:val="0"/>
                <w:sz w:val="17"/>
                <w:u w:val="none"/>
              </w:rPr>
              <w:t>ж</w:t>
            </w:r>
            <w:r>
              <w:rPr>
                <w:b w:val="0"/>
                <w:sz w:val="17"/>
                <w:u w:val="none"/>
              </w:rPr>
              <w:t>чины</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Же</w:t>
            </w:r>
            <w:r>
              <w:rPr>
                <w:b w:val="0"/>
                <w:sz w:val="17"/>
                <w:u w:val="none"/>
              </w:rPr>
              <w:t>н</w:t>
            </w:r>
            <w:r>
              <w:rPr>
                <w:b w:val="0"/>
                <w:sz w:val="17"/>
                <w:u w:val="none"/>
              </w:rPr>
              <w:t>щины</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Му</w:t>
            </w:r>
            <w:r>
              <w:rPr>
                <w:b w:val="0"/>
                <w:sz w:val="17"/>
                <w:u w:val="none"/>
              </w:rPr>
              <w:t>ж</w:t>
            </w:r>
            <w:r>
              <w:rPr>
                <w:b w:val="0"/>
                <w:sz w:val="17"/>
                <w:u w:val="none"/>
              </w:rPr>
              <w:t>чины</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15-19 лет</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28,7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46,7</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27,3</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47,4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24,9</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41,6</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25,4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43,0</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20-24 года</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50,2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82,5</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51,2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82,2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52,0</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78,2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55,8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79,8</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25-34 года</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52,6</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97,2</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53,4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97,2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54,1</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96,8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57,7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96,6</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35-44 года</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58,4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98,8</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60,3</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98,9</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58,2</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97,9</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62,1</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98,2</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45-54 года</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62,3</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96,8</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62,1</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97,1</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59,3</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96,2</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65,0</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96,5</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55-64 года</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54,1</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87,2</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54,3</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88,3</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53,6</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85,4</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56,8</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86,6</w:t>
            </w:r>
          </w:p>
        </w:tc>
      </w:tr>
      <w:tr w:rsidR="00000000">
        <w:tblPrEx>
          <w:tblCellMar>
            <w:top w:w="0" w:type="dxa"/>
            <w:bottom w:w="0" w:type="dxa"/>
          </w:tblCellMar>
        </w:tblPrEx>
        <w:tc>
          <w:tcPr>
            <w:tcW w:w="13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rPr>
                <w:b w:val="0"/>
                <w:sz w:val="17"/>
                <w:u w:val="none"/>
              </w:rPr>
            </w:pPr>
            <w:r>
              <w:rPr>
                <w:b w:val="0"/>
                <w:sz w:val="17"/>
                <w:u w:val="none"/>
              </w:rPr>
              <w:t>65 лет и ста</w:t>
            </w:r>
            <w:r>
              <w:rPr>
                <w:b w:val="0"/>
                <w:sz w:val="17"/>
                <w:u w:val="none"/>
              </w:rPr>
              <w:t>р</w:t>
            </w:r>
            <w:r>
              <w:rPr>
                <w:b w:val="0"/>
                <w:sz w:val="17"/>
                <w:u w:val="none"/>
              </w:rPr>
              <w:t>ше</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29,0</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57,3</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29,6</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58,1</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28,9</w:t>
            </w:r>
          </w:p>
        </w:tc>
        <w:tc>
          <w:tcPr>
            <w:tcW w:w="75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55,7</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31,5</w:t>
            </w:r>
          </w:p>
        </w:tc>
        <w:tc>
          <w:tcPr>
            <w:tcW w:w="75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20" w:after="20" w:line="240" w:lineRule="auto"/>
              <w:jc w:val="center"/>
              <w:rPr>
                <w:b w:val="0"/>
                <w:sz w:val="17"/>
                <w:u w:val="none"/>
              </w:rPr>
            </w:pPr>
            <w:r>
              <w:rPr>
                <w:b w:val="0"/>
                <w:sz w:val="17"/>
                <w:u w:val="none"/>
              </w:rPr>
              <w:t>55,3</w:t>
            </w:r>
          </w:p>
        </w:tc>
      </w:tr>
    </w:tbl>
    <w:p w:rsidR="00000000" w:rsidRDefault="00000000">
      <w:pPr>
        <w:pStyle w:val="SingleTxt"/>
        <w:rPr>
          <w:spacing w:val="-2"/>
          <w:sz w:val="17"/>
        </w:rPr>
      </w:pPr>
      <w:r>
        <w:rPr>
          <w:i/>
          <w:sz w:val="17"/>
        </w:rPr>
        <w:t>Источник</w:t>
      </w:r>
      <w:r>
        <w:rPr>
          <w:sz w:val="17"/>
        </w:rPr>
        <w:t>: Национальное статистическое бюро, обследование рабочей силы за различные годы.</w:t>
      </w:r>
    </w:p>
    <w:p w:rsidR="00000000" w:rsidRDefault="00000000">
      <w:pPr>
        <w:pStyle w:val="table"/>
      </w:pPr>
      <w:bookmarkStart w:id="98" w:name="_Toc85175499"/>
      <w:r>
        <w:t>Приложение. Таблица B11.3. Доля работающих женщин в потенциальной рабочей силе (в общей численности населения в возрасте 15 лет и старше), рабочей силе (РС) и занятом населении (ЗН) с разбивкой по возрастным группам, 1996, 2000 и 2002 годы</w:t>
      </w:r>
      <w:bookmarkEnd w:id="98"/>
    </w:p>
    <w:tbl>
      <w:tblPr>
        <w:tblW w:w="0" w:type="auto"/>
        <w:tblInd w:w="1278" w:type="dxa"/>
        <w:tblLayout w:type="fixed"/>
        <w:tblLook w:val="0000" w:firstRow="0" w:lastRow="0" w:firstColumn="0" w:lastColumn="0" w:noHBand="0" w:noVBand="0"/>
      </w:tblPr>
      <w:tblGrid>
        <w:gridCol w:w="992"/>
        <w:gridCol w:w="653"/>
        <w:gridCol w:w="654"/>
        <w:gridCol w:w="725"/>
        <w:gridCol w:w="724"/>
        <w:gridCol w:w="725"/>
        <w:gridCol w:w="724"/>
        <w:gridCol w:w="725"/>
        <w:gridCol w:w="724"/>
        <w:gridCol w:w="725"/>
      </w:tblGrid>
      <w:tr w:rsidR="00000000">
        <w:tblPrEx>
          <w:tblCellMar>
            <w:top w:w="0" w:type="dxa"/>
            <w:bottom w:w="0" w:type="dxa"/>
          </w:tblCellMar>
        </w:tblPrEx>
        <w:trPr>
          <w:cantSplit/>
          <w:tblHeader/>
        </w:trPr>
        <w:tc>
          <w:tcPr>
            <w:tcW w:w="992" w:type="dxa"/>
            <w:vMerge w:val="restart"/>
            <w:tcBorders>
              <w:top w:val="single" w:sz="4" w:space="0" w:color="auto"/>
              <w:bottom w:val="single" w:sz="4" w:space="0" w:color="auto"/>
            </w:tcBorders>
            <w:vAlign w:val="bottom"/>
          </w:tcPr>
          <w:p w:rsidR="00000000" w:rsidRDefault="00000000">
            <w:pPr>
              <w:pStyle w:val="BodyText"/>
              <w:keepNext/>
              <w:spacing w:before="40" w:after="40" w:line="240" w:lineRule="auto"/>
              <w:ind w:left="0" w:right="0"/>
              <w:jc w:val="center"/>
              <w:rPr>
                <w:i/>
                <w:sz w:val="17"/>
              </w:rPr>
            </w:pPr>
            <w:r>
              <w:rPr>
                <w:i/>
                <w:sz w:val="17"/>
              </w:rPr>
              <w:t>Возра</w:t>
            </w:r>
            <w:r>
              <w:rPr>
                <w:i/>
                <w:sz w:val="17"/>
              </w:rPr>
              <w:t>с</w:t>
            </w:r>
            <w:r>
              <w:rPr>
                <w:i/>
                <w:sz w:val="17"/>
              </w:rPr>
              <w:t>тная группа</w:t>
            </w:r>
          </w:p>
        </w:tc>
        <w:tc>
          <w:tcPr>
            <w:tcW w:w="2032" w:type="dxa"/>
            <w:gridSpan w:val="3"/>
            <w:tcBorders>
              <w:top w:val="single" w:sz="4" w:space="0" w:color="auto"/>
              <w:bottom w:val="single" w:sz="4" w:space="0" w:color="auto"/>
            </w:tcBorders>
            <w:vAlign w:val="bottom"/>
          </w:tcPr>
          <w:p w:rsidR="00000000" w:rsidRDefault="00000000">
            <w:pPr>
              <w:pStyle w:val="BodyText"/>
              <w:keepNext/>
              <w:spacing w:before="40" w:after="40" w:line="240" w:lineRule="auto"/>
              <w:ind w:left="0" w:right="0"/>
              <w:jc w:val="center"/>
              <w:rPr>
                <w:i/>
                <w:sz w:val="17"/>
              </w:rPr>
            </w:pPr>
            <w:r>
              <w:rPr>
                <w:i/>
                <w:sz w:val="17"/>
              </w:rPr>
              <w:t>1996 год</w:t>
            </w:r>
          </w:p>
        </w:tc>
        <w:tc>
          <w:tcPr>
            <w:tcW w:w="2173" w:type="dxa"/>
            <w:gridSpan w:val="3"/>
            <w:tcBorders>
              <w:top w:val="single" w:sz="4" w:space="0" w:color="auto"/>
              <w:bottom w:val="single" w:sz="4" w:space="0" w:color="auto"/>
            </w:tcBorders>
            <w:vAlign w:val="bottom"/>
          </w:tcPr>
          <w:p w:rsidR="00000000" w:rsidRDefault="00000000">
            <w:pPr>
              <w:pStyle w:val="BodyText"/>
              <w:keepNext/>
              <w:spacing w:before="40" w:after="40" w:line="240" w:lineRule="auto"/>
              <w:ind w:left="0" w:right="0"/>
              <w:jc w:val="center"/>
              <w:rPr>
                <w:i/>
                <w:sz w:val="17"/>
              </w:rPr>
            </w:pPr>
            <w:r>
              <w:rPr>
                <w:i/>
                <w:sz w:val="17"/>
              </w:rPr>
              <w:t>2000 год</w:t>
            </w:r>
          </w:p>
        </w:tc>
        <w:tc>
          <w:tcPr>
            <w:tcW w:w="2174" w:type="dxa"/>
            <w:gridSpan w:val="3"/>
            <w:tcBorders>
              <w:top w:val="single" w:sz="4" w:space="0" w:color="auto"/>
              <w:bottom w:val="single" w:sz="4" w:space="0" w:color="auto"/>
            </w:tcBorders>
            <w:vAlign w:val="bottom"/>
          </w:tcPr>
          <w:p w:rsidR="00000000" w:rsidRDefault="00000000">
            <w:pPr>
              <w:pStyle w:val="BodyText"/>
              <w:keepNext/>
              <w:spacing w:before="40" w:after="40" w:line="240" w:lineRule="auto"/>
              <w:ind w:left="0" w:right="0"/>
              <w:jc w:val="center"/>
              <w:rPr>
                <w:i/>
                <w:sz w:val="17"/>
              </w:rPr>
            </w:pPr>
            <w:r>
              <w:rPr>
                <w:i/>
                <w:sz w:val="17"/>
              </w:rPr>
              <w:t>2002 год</w:t>
            </w:r>
          </w:p>
        </w:tc>
      </w:tr>
      <w:tr w:rsidR="00000000">
        <w:tblPrEx>
          <w:tblCellMar>
            <w:top w:w="0" w:type="dxa"/>
            <w:bottom w:w="0" w:type="dxa"/>
          </w:tblCellMar>
        </w:tblPrEx>
        <w:trPr>
          <w:cantSplit/>
          <w:trHeight w:val="1731"/>
          <w:tblHeader/>
        </w:trPr>
        <w:tc>
          <w:tcPr>
            <w:tcW w:w="992" w:type="dxa"/>
            <w:vMerge/>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p>
        </w:tc>
        <w:tc>
          <w:tcPr>
            <w:tcW w:w="653" w:type="dxa"/>
            <w:tcBorders>
              <w:top w:val="single" w:sz="4" w:space="0" w:color="auto"/>
              <w:bottom w:val="single" w:sz="12" w:space="0" w:color="auto"/>
            </w:tcBorders>
            <w:textDirection w:val="btLr"/>
            <w:vAlign w:val="center"/>
          </w:tcPr>
          <w:p w:rsidR="00000000" w:rsidRDefault="00000000">
            <w:pPr>
              <w:pStyle w:val="BodyText"/>
              <w:keepNext/>
              <w:spacing w:before="40" w:after="40" w:line="240" w:lineRule="auto"/>
              <w:ind w:left="113" w:right="113"/>
              <w:jc w:val="left"/>
              <w:rPr>
                <w:i/>
                <w:sz w:val="17"/>
              </w:rPr>
            </w:pPr>
            <w:r>
              <w:rPr>
                <w:i/>
                <w:sz w:val="17"/>
              </w:rPr>
              <w:t>Население в возрасте от 15 лет и старше</w:t>
            </w:r>
          </w:p>
        </w:tc>
        <w:tc>
          <w:tcPr>
            <w:tcW w:w="654"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РС</w:t>
            </w:r>
          </w:p>
        </w:tc>
        <w:tc>
          <w:tcPr>
            <w:tcW w:w="725"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ЗН</w:t>
            </w:r>
          </w:p>
        </w:tc>
        <w:tc>
          <w:tcPr>
            <w:tcW w:w="724" w:type="dxa"/>
            <w:tcBorders>
              <w:top w:val="single" w:sz="4" w:space="0" w:color="auto"/>
              <w:bottom w:val="single" w:sz="12" w:space="0" w:color="auto"/>
            </w:tcBorders>
            <w:textDirection w:val="btLr"/>
            <w:vAlign w:val="center"/>
          </w:tcPr>
          <w:p w:rsidR="00000000" w:rsidRDefault="00000000">
            <w:pPr>
              <w:pStyle w:val="BodyText"/>
              <w:keepNext/>
              <w:spacing w:before="40" w:after="40" w:line="240" w:lineRule="auto"/>
              <w:ind w:left="113" w:right="113"/>
              <w:jc w:val="left"/>
              <w:rPr>
                <w:i/>
                <w:sz w:val="17"/>
              </w:rPr>
            </w:pPr>
            <w:r>
              <w:rPr>
                <w:i/>
                <w:sz w:val="17"/>
              </w:rPr>
              <w:t>Насел</w:t>
            </w:r>
            <w:r>
              <w:rPr>
                <w:i/>
                <w:sz w:val="17"/>
              </w:rPr>
              <w:t>е</w:t>
            </w:r>
            <w:r>
              <w:rPr>
                <w:i/>
                <w:sz w:val="17"/>
              </w:rPr>
              <w:t>ние в возрасте от 15 лет и старше</w:t>
            </w:r>
          </w:p>
        </w:tc>
        <w:tc>
          <w:tcPr>
            <w:tcW w:w="725"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РС</w:t>
            </w:r>
          </w:p>
        </w:tc>
        <w:tc>
          <w:tcPr>
            <w:tcW w:w="724"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ЗН</w:t>
            </w:r>
          </w:p>
        </w:tc>
        <w:tc>
          <w:tcPr>
            <w:tcW w:w="725" w:type="dxa"/>
            <w:tcBorders>
              <w:top w:val="single" w:sz="4" w:space="0" w:color="auto"/>
              <w:bottom w:val="single" w:sz="12" w:space="0" w:color="auto"/>
            </w:tcBorders>
            <w:textDirection w:val="btLr"/>
            <w:vAlign w:val="center"/>
          </w:tcPr>
          <w:p w:rsidR="00000000" w:rsidRDefault="00000000">
            <w:pPr>
              <w:pStyle w:val="BodyText"/>
              <w:keepNext/>
              <w:spacing w:before="40" w:after="40" w:line="240" w:lineRule="auto"/>
              <w:ind w:left="113" w:right="113"/>
              <w:jc w:val="left"/>
              <w:rPr>
                <w:i/>
                <w:sz w:val="17"/>
              </w:rPr>
            </w:pPr>
            <w:r>
              <w:rPr>
                <w:i/>
                <w:sz w:val="17"/>
              </w:rPr>
              <w:t>Насел</w:t>
            </w:r>
            <w:r>
              <w:rPr>
                <w:i/>
                <w:sz w:val="17"/>
              </w:rPr>
              <w:t>е</w:t>
            </w:r>
            <w:r>
              <w:rPr>
                <w:i/>
                <w:sz w:val="17"/>
              </w:rPr>
              <w:t>ние в возрасте от 15 лет и старше</w:t>
            </w:r>
          </w:p>
        </w:tc>
        <w:tc>
          <w:tcPr>
            <w:tcW w:w="724"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РС</w:t>
            </w:r>
          </w:p>
        </w:tc>
        <w:tc>
          <w:tcPr>
            <w:tcW w:w="725" w:type="dxa"/>
            <w:tcBorders>
              <w:top w:val="single" w:sz="4" w:space="0" w:color="auto"/>
              <w:bottom w:val="single" w:sz="12" w:space="0" w:color="auto"/>
            </w:tcBorders>
            <w:vAlign w:val="bottom"/>
          </w:tcPr>
          <w:p w:rsidR="00000000" w:rsidRDefault="00000000">
            <w:pPr>
              <w:pStyle w:val="BodyText"/>
              <w:keepNext/>
              <w:spacing w:before="40" w:after="40" w:line="240" w:lineRule="auto"/>
              <w:ind w:left="0" w:right="0"/>
              <w:jc w:val="center"/>
              <w:rPr>
                <w:i/>
                <w:sz w:val="17"/>
              </w:rPr>
            </w:pPr>
            <w:r>
              <w:rPr>
                <w:i/>
                <w:sz w:val="17"/>
              </w:rPr>
              <w:t>ЗН</w:t>
            </w:r>
          </w:p>
        </w:tc>
      </w:tr>
      <w:tr w:rsidR="00000000">
        <w:tblPrEx>
          <w:tblCellMar>
            <w:top w:w="0" w:type="dxa"/>
            <w:bottom w:w="0" w:type="dxa"/>
          </w:tblCellMar>
        </w:tblPrEx>
        <w:tc>
          <w:tcPr>
            <w:tcW w:w="992" w:type="dxa"/>
            <w:tcBorders>
              <w:top w:val="single" w:sz="12" w:space="0" w:color="auto"/>
            </w:tcBorders>
          </w:tcPr>
          <w:p w:rsidR="00000000" w:rsidRDefault="00000000">
            <w:pPr>
              <w:pStyle w:val="BodyText3"/>
              <w:spacing w:before="40" w:after="40" w:line="240" w:lineRule="auto"/>
              <w:jc w:val="center"/>
              <w:rPr>
                <w:b w:val="0"/>
                <w:sz w:val="17"/>
                <w:u w:val="none"/>
              </w:rPr>
            </w:pPr>
            <w:r>
              <w:rPr>
                <w:b w:val="0"/>
                <w:sz w:val="17"/>
                <w:u w:val="none"/>
              </w:rPr>
              <w:t>15-24 г</w:t>
            </w:r>
            <w:r>
              <w:rPr>
                <w:b w:val="0"/>
                <w:sz w:val="17"/>
                <w:u w:val="none"/>
              </w:rPr>
              <w:t>о</w:t>
            </w:r>
            <w:r>
              <w:rPr>
                <w:b w:val="0"/>
                <w:sz w:val="17"/>
                <w:u w:val="none"/>
              </w:rPr>
              <w:t>да</w:t>
            </w:r>
          </w:p>
        </w:tc>
        <w:tc>
          <w:tcPr>
            <w:tcW w:w="653"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48,4</w:t>
            </w:r>
          </w:p>
        </w:tc>
        <w:tc>
          <w:tcPr>
            <w:tcW w:w="654"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36,6</w:t>
            </w:r>
          </w:p>
        </w:tc>
        <w:tc>
          <w:tcPr>
            <w:tcW w:w="725"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35,3</w:t>
            </w:r>
          </w:p>
        </w:tc>
        <w:tc>
          <w:tcPr>
            <w:tcW w:w="724"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47,3</w:t>
            </w:r>
          </w:p>
        </w:tc>
        <w:tc>
          <w:tcPr>
            <w:tcW w:w="725"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36,4</w:t>
            </w:r>
          </w:p>
        </w:tc>
        <w:tc>
          <w:tcPr>
            <w:tcW w:w="724" w:type="dxa"/>
            <w:tcBorders>
              <w:top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35,2</w:t>
            </w:r>
          </w:p>
        </w:tc>
        <w:tc>
          <w:tcPr>
            <w:tcW w:w="725" w:type="dxa"/>
            <w:tcBorders>
              <w:top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46,9</w:t>
            </w:r>
          </w:p>
        </w:tc>
        <w:tc>
          <w:tcPr>
            <w:tcW w:w="724" w:type="dxa"/>
            <w:tcBorders>
              <w:top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36,6</w:t>
            </w:r>
          </w:p>
        </w:tc>
        <w:tc>
          <w:tcPr>
            <w:tcW w:w="725" w:type="dxa"/>
            <w:tcBorders>
              <w:top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35,2</w:t>
            </w:r>
          </w:p>
        </w:tc>
      </w:tr>
      <w:tr w:rsidR="00000000">
        <w:tblPrEx>
          <w:tblCellMar>
            <w:top w:w="0" w:type="dxa"/>
            <w:bottom w:w="0" w:type="dxa"/>
          </w:tblCellMar>
        </w:tblPrEx>
        <w:tc>
          <w:tcPr>
            <w:tcW w:w="992" w:type="dxa"/>
          </w:tcPr>
          <w:p w:rsidR="00000000" w:rsidRDefault="00000000">
            <w:pPr>
              <w:pStyle w:val="BodyText3"/>
              <w:spacing w:before="40" w:after="40" w:line="240" w:lineRule="auto"/>
              <w:jc w:val="center"/>
              <w:rPr>
                <w:b w:val="0"/>
                <w:sz w:val="17"/>
                <w:u w:val="none"/>
              </w:rPr>
            </w:pPr>
            <w:r>
              <w:rPr>
                <w:b w:val="0"/>
                <w:sz w:val="17"/>
                <w:u w:val="none"/>
              </w:rPr>
              <w:t>25-44 г</w:t>
            </w:r>
            <w:r>
              <w:rPr>
                <w:b w:val="0"/>
                <w:sz w:val="17"/>
                <w:u w:val="none"/>
              </w:rPr>
              <w:t>о</w:t>
            </w:r>
            <w:r>
              <w:rPr>
                <w:b w:val="0"/>
                <w:sz w:val="17"/>
                <w:u w:val="none"/>
              </w:rPr>
              <w:t>да</w:t>
            </w:r>
          </w:p>
        </w:tc>
        <w:tc>
          <w:tcPr>
            <w:tcW w:w="653"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50,1</w:t>
            </w:r>
          </w:p>
        </w:tc>
        <w:tc>
          <w:tcPr>
            <w:tcW w:w="65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36,2</w:t>
            </w:r>
          </w:p>
        </w:tc>
        <w:tc>
          <w:tcPr>
            <w:tcW w:w="725"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36,0</w:t>
            </w:r>
          </w:p>
        </w:tc>
        <w:tc>
          <w:tcPr>
            <w:tcW w:w="72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50,6</w:t>
            </w:r>
          </w:p>
        </w:tc>
        <w:tc>
          <w:tcPr>
            <w:tcW w:w="725"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37,1</w:t>
            </w:r>
          </w:p>
        </w:tc>
        <w:tc>
          <w:tcPr>
            <w:tcW w:w="72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37,3</w:t>
            </w:r>
          </w:p>
        </w:tc>
        <w:tc>
          <w:tcPr>
            <w:tcW w:w="725" w:type="dxa"/>
            <w:vAlign w:val="bottom"/>
          </w:tcPr>
          <w:p w:rsidR="00000000" w:rsidRDefault="00000000">
            <w:pPr>
              <w:pStyle w:val="BodyText"/>
              <w:tabs>
                <w:tab w:val="decimal" w:pos="567"/>
              </w:tabs>
              <w:spacing w:before="40" w:after="40" w:line="240" w:lineRule="auto"/>
              <w:ind w:left="0" w:right="0"/>
              <w:jc w:val="left"/>
              <w:rPr>
                <w:sz w:val="17"/>
              </w:rPr>
            </w:pPr>
            <w:r>
              <w:rPr>
                <w:sz w:val="17"/>
              </w:rPr>
              <w:t>50,4</w:t>
            </w:r>
          </w:p>
        </w:tc>
        <w:tc>
          <w:tcPr>
            <w:tcW w:w="724" w:type="dxa"/>
            <w:vAlign w:val="bottom"/>
          </w:tcPr>
          <w:p w:rsidR="00000000" w:rsidRDefault="00000000">
            <w:pPr>
              <w:pStyle w:val="BodyText"/>
              <w:tabs>
                <w:tab w:val="decimal" w:pos="567"/>
              </w:tabs>
              <w:spacing w:before="40" w:after="40" w:line="240" w:lineRule="auto"/>
              <w:ind w:left="0" w:right="0"/>
              <w:jc w:val="left"/>
              <w:rPr>
                <w:sz w:val="17"/>
              </w:rPr>
            </w:pPr>
            <w:r>
              <w:rPr>
                <w:sz w:val="17"/>
              </w:rPr>
              <w:t>38,5</w:t>
            </w:r>
          </w:p>
        </w:tc>
        <w:tc>
          <w:tcPr>
            <w:tcW w:w="725" w:type="dxa"/>
            <w:vAlign w:val="bottom"/>
          </w:tcPr>
          <w:p w:rsidR="00000000" w:rsidRDefault="00000000">
            <w:pPr>
              <w:pStyle w:val="BodyText"/>
              <w:tabs>
                <w:tab w:val="decimal" w:pos="567"/>
              </w:tabs>
              <w:spacing w:before="40" w:after="40" w:line="240" w:lineRule="auto"/>
              <w:ind w:left="0" w:right="0"/>
              <w:jc w:val="left"/>
              <w:rPr>
                <w:sz w:val="17"/>
              </w:rPr>
            </w:pPr>
            <w:r>
              <w:rPr>
                <w:sz w:val="17"/>
              </w:rPr>
              <w:t>38,4</w:t>
            </w:r>
          </w:p>
        </w:tc>
      </w:tr>
      <w:tr w:rsidR="00000000">
        <w:tblPrEx>
          <w:tblCellMar>
            <w:top w:w="0" w:type="dxa"/>
            <w:bottom w:w="0" w:type="dxa"/>
          </w:tblCellMar>
        </w:tblPrEx>
        <w:tc>
          <w:tcPr>
            <w:tcW w:w="992" w:type="dxa"/>
          </w:tcPr>
          <w:p w:rsidR="00000000" w:rsidRDefault="00000000">
            <w:pPr>
              <w:pStyle w:val="BodyText3"/>
              <w:spacing w:before="40" w:after="40" w:line="240" w:lineRule="auto"/>
              <w:jc w:val="center"/>
              <w:rPr>
                <w:b w:val="0"/>
                <w:sz w:val="17"/>
                <w:u w:val="none"/>
              </w:rPr>
            </w:pPr>
            <w:r>
              <w:rPr>
                <w:b w:val="0"/>
                <w:sz w:val="17"/>
                <w:u w:val="none"/>
              </w:rPr>
              <w:t>45 лет и старше</w:t>
            </w:r>
          </w:p>
        </w:tc>
        <w:tc>
          <w:tcPr>
            <w:tcW w:w="653"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51,8</w:t>
            </w:r>
          </w:p>
        </w:tc>
        <w:tc>
          <w:tcPr>
            <w:tcW w:w="65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39,5</w:t>
            </w:r>
          </w:p>
        </w:tc>
        <w:tc>
          <w:tcPr>
            <w:tcW w:w="725"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39,7</w:t>
            </w:r>
          </w:p>
        </w:tc>
        <w:tc>
          <w:tcPr>
            <w:tcW w:w="72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52,6</w:t>
            </w:r>
          </w:p>
        </w:tc>
        <w:tc>
          <w:tcPr>
            <w:tcW w:w="725"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39,7</w:t>
            </w:r>
          </w:p>
        </w:tc>
        <w:tc>
          <w:tcPr>
            <w:tcW w:w="724" w:type="dxa"/>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40,2</w:t>
            </w:r>
          </w:p>
        </w:tc>
        <w:tc>
          <w:tcPr>
            <w:tcW w:w="725" w:type="dxa"/>
            <w:vAlign w:val="bottom"/>
          </w:tcPr>
          <w:p w:rsidR="00000000" w:rsidRDefault="00000000">
            <w:pPr>
              <w:pStyle w:val="BodyText"/>
              <w:tabs>
                <w:tab w:val="decimal" w:pos="567"/>
              </w:tabs>
              <w:spacing w:before="40" w:after="40" w:line="240" w:lineRule="auto"/>
              <w:ind w:left="0" w:right="0"/>
              <w:jc w:val="left"/>
              <w:rPr>
                <w:sz w:val="17"/>
              </w:rPr>
            </w:pPr>
            <w:r>
              <w:rPr>
                <w:sz w:val="17"/>
              </w:rPr>
              <w:t>52,6</w:t>
            </w:r>
          </w:p>
        </w:tc>
        <w:tc>
          <w:tcPr>
            <w:tcW w:w="724" w:type="dxa"/>
            <w:vAlign w:val="bottom"/>
          </w:tcPr>
          <w:p w:rsidR="00000000" w:rsidRDefault="00000000">
            <w:pPr>
              <w:pStyle w:val="BodyText"/>
              <w:tabs>
                <w:tab w:val="decimal" w:pos="567"/>
              </w:tabs>
              <w:spacing w:before="40" w:after="40" w:line="240" w:lineRule="auto"/>
              <w:ind w:left="0" w:right="0"/>
              <w:jc w:val="left"/>
              <w:rPr>
                <w:sz w:val="17"/>
              </w:rPr>
            </w:pPr>
            <w:r>
              <w:rPr>
                <w:sz w:val="17"/>
              </w:rPr>
              <w:t>41,6</w:t>
            </w:r>
          </w:p>
        </w:tc>
        <w:tc>
          <w:tcPr>
            <w:tcW w:w="725" w:type="dxa"/>
            <w:vAlign w:val="bottom"/>
          </w:tcPr>
          <w:p w:rsidR="00000000" w:rsidRDefault="00000000">
            <w:pPr>
              <w:pStyle w:val="BodyText"/>
              <w:tabs>
                <w:tab w:val="decimal" w:pos="567"/>
              </w:tabs>
              <w:spacing w:before="40" w:after="40" w:line="240" w:lineRule="auto"/>
              <w:ind w:left="0" w:right="0"/>
              <w:jc w:val="left"/>
              <w:rPr>
                <w:sz w:val="17"/>
              </w:rPr>
            </w:pPr>
            <w:r>
              <w:rPr>
                <w:sz w:val="17"/>
              </w:rPr>
              <w:t>42,1</w:t>
            </w:r>
          </w:p>
        </w:tc>
      </w:tr>
      <w:tr w:rsidR="00000000">
        <w:tblPrEx>
          <w:tblCellMar>
            <w:top w:w="0" w:type="dxa"/>
            <w:bottom w:w="0" w:type="dxa"/>
          </w:tblCellMar>
        </w:tblPrEx>
        <w:tc>
          <w:tcPr>
            <w:tcW w:w="992" w:type="dxa"/>
            <w:tcBorders>
              <w:bottom w:val="single" w:sz="12" w:space="0" w:color="auto"/>
            </w:tcBorders>
          </w:tcPr>
          <w:p w:rsidR="00000000" w:rsidRDefault="00000000">
            <w:pPr>
              <w:pStyle w:val="BodyText3"/>
              <w:spacing w:before="40" w:after="40" w:line="240" w:lineRule="auto"/>
              <w:jc w:val="center"/>
              <w:rPr>
                <w:b w:val="0"/>
                <w:sz w:val="17"/>
                <w:u w:val="none"/>
              </w:rPr>
            </w:pPr>
            <w:r>
              <w:rPr>
                <w:b w:val="0"/>
                <w:sz w:val="17"/>
                <w:u w:val="none"/>
              </w:rPr>
              <w:t>Вс</w:t>
            </w:r>
            <w:r>
              <w:rPr>
                <w:b w:val="0"/>
                <w:sz w:val="17"/>
                <w:u w:val="none"/>
              </w:rPr>
              <w:t>е</w:t>
            </w:r>
            <w:r>
              <w:rPr>
                <w:b w:val="0"/>
                <w:sz w:val="17"/>
                <w:u w:val="none"/>
              </w:rPr>
              <w:t>го</w:t>
            </w:r>
          </w:p>
        </w:tc>
        <w:tc>
          <w:tcPr>
            <w:tcW w:w="653"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50,1</w:t>
            </w:r>
          </w:p>
        </w:tc>
        <w:tc>
          <w:tcPr>
            <w:tcW w:w="654"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37,2</w:t>
            </w:r>
          </w:p>
        </w:tc>
        <w:tc>
          <w:tcPr>
            <w:tcW w:w="725"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36,9</w:t>
            </w:r>
          </w:p>
        </w:tc>
        <w:tc>
          <w:tcPr>
            <w:tcW w:w="724"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50,2</w:t>
            </w:r>
          </w:p>
        </w:tc>
        <w:tc>
          <w:tcPr>
            <w:tcW w:w="725"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37,8</w:t>
            </w:r>
          </w:p>
        </w:tc>
        <w:tc>
          <w:tcPr>
            <w:tcW w:w="724" w:type="dxa"/>
            <w:tcBorders>
              <w:bottom w:val="single" w:sz="12" w:space="0" w:color="auto"/>
            </w:tcBorders>
            <w:vAlign w:val="bottom"/>
          </w:tcPr>
          <w:p w:rsidR="00000000" w:rsidRDefault="00000000">
            <w:pPr>
              <w:pStyle w:val="BodyText3"/>
              <w:tabs>
                <w:tab w:val="decimal" w:pos="567"/>
              </w:tabs>
              <w:spacing w:before="40" w:after="40" w:line="240" w:lineRule="auto"/>
              <w:jc w:val="left"/>
              <w:rPr>
                <w:b w:val="0"/>
                <w:sz w:val="17"/>
                <w:u w:val="none"/>
              </w:rPr>
            </w:pPr>
            <w:r>
              <w:rPr>
                <w:b w:val="0"/>
                <w:sz w:val="17"/>
                <w:u w:val="none"/>
              </w:rPr>
              <w:t>37,9</w:t>
            </w:r>
          </w:p>
        </w:tc>
        <w:tc>
          <w:tcPr>
            <w:tcW w:w="725" w:type="dxa"/>
            <w:tcBorders>
              <w:bottom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48,1</w:t>
            </w:r>
          </w:p>
        </w:tc>
        <w:tc>
          <w:tcPr>
            <w:tcW w:w="724" w:type="dxa"/>
            <w:tcBorders>
              <w:bottom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39,1</w:t>
            </w:r>
          </w:p>
        </w:tc>
        <w:tc>
          <w:tcPr>
            <w:tcW w:w="725" w:type="dxa"/>
            <w:tcBorders>
              <w:bottom w:val="single" w:sz="12" w:space="0" w:color="auto"/>
            </w:tcBorders>
            <w:vAlign w:val="bottom"/>
          </w:tcPr>
          <w:p w:rsidR="00000000" w:rsidRDefault="00000000">
            <w:pPr>
              <w:pStyle w:val="BodyText"/>
              <w:tabs>
                <w:tab w:val="decimal" w:pos="567"/>
              </w:tabs>
              <w:spacing w:before="40" w:after="40" w:line="240" w:lineRule="auto"/>
              <w:ind w:left="0" w:right="0"/>
              <w:jc w:val="left"/>
              <w:rPr>
                <w:sz w:val="17"/>
              </w:rPr>
            </w:pPr>
            <w:r>
              <w:rPr>
                <w:sz w:val="17"/>
              </w:rPr>
              <w:t>39,1</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99" w:name="_Toc85175500"/>
      <w:r>
        <w:t>Таблица 11.4. Процент занятости для городских и сельских районов с ра</w:t>
      </w:r>
      <w:r>
        <w:t>з</w:t>
      </w:r>
      <w:r>
        <w:t>би</w:t>
      </w:r>
      <w:r>
        <w:t>в</w:t>
      </w:r>
      <w:r>
        <w:t>кой по полу (данные октябрьского обследования округлены)</w:t>
      </w:r>
      <w:bookmarkEnd w:id="99"/>
    </w:p>
    <w:tbl>
      <w:tblPr>
        <w:tblW w:w="0" w:type="auto"/>
        <w:tblInd w:w="1278" w:type="dxa"/>
        <w:tblLayout w:type="fixed"/>
        <w:tblLook w:val="0000" w:firstRow="0" w:lastRow="0" w:firstColumn="0" w:lastColumn="0" w:noHBand="0" w:noVBand="0"/>
      </w:tblPr>
      <w:tblGrid>
        <w:gridCol w:w="1134"/>
        <w:gridCol w:w="779"/>
        <w:gridCol w:w="780"/>
        <w:gridCol w:w="779"/>
        <w:gridCol w:w="780"/>
        <w:gridCol w:w="780"/>
        <w:gridCol w:w="779"/>
        <w:gridCol w:w="780"/>
        <w:gridCol w:w="780"/>
      </w:tblGrid>
      <w:tr w:rsidR="00000000">
        <w:tblPrEx>
          <w:tblCellMar>
            <w:top w:w="0" w:type="dxa"/>
            <w:bottom w:w="0" w:type="dxa"/>
          </w:tblCellMar>
        </w:tblPrEx>
        <w:trPr>
          <w:cantSplit/>
          <w:tblHeader/>
        </w:trPr>
        <w:tc>
          <w:tcPr>
            <w:tcW w:w="1134" w:type="dxa"/>
            <w:vMerge w:val="restart"/>
            <w:tcBorders>
              <w:top w:val="single" w:sz="4" w:space="0" w:color="auto"/>
              <w:bottom w:val="single" w:sz="4"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Категория</w:t>
            </w:r>
          </w:p>
        </w:tc>
        <w:tc>
          <w:tcPr>
            <w:tcW w:w="1559" w:type="dxa"/>
            <w:gridSpan w:val="2"/>
            <w:tcBorders>
              <w:top w:val="single" w:sz="4" w:space="0" w:color="auto"/>
              <w:bottom w:val="single" w:sz="4"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1996 год</w:t>
            </w:r>
          </w:p>
        </w:tc>
        <w:tc>
          <w:tcPr>
            <w:tcW w:w="1559" w:type="dxa"/>
            <w:gridSpan w:val="2"/>
            <w:tcBorders>
              <w:top w:val="single" w:sz="4" w:space="0" w:color="auto"/>
              <w:bottom w:val="single" w:sz="4"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1998 год</w:t>
            </w:r>
          </w:p>
        </w:tc>
        <w:tc>
          <w:tcPr>
            <w:tcW w:w="1559" w:type="dxa"/>
            <w:gridSpan w:val="2"/>
            <w:tcBorders>
              <w:top w:val="single" w:sz="4" w:space="0" w:color="auto"/>
              <w:bottom w:val="single" w:sz="4"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2000 год</w:t>
            </w:r>
          </w:p>
        </w:tc>
        <w:tc>
          <w:tcPr>
            <w:tcW w:w="1560" w:type="dxa"/>
            <w:gridSpan w:val="2"/>
            <w:tcBorders>
              <w:top w:val="single" w:sz="4" w:space="0" w:color="auto"/>
              <w:bottom w:val="single" w:sz="4"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2002 год</w:t>
            </w:r>
          </w:p>
        </w:tc>
      </w:tr>
      <w:tr w:rsidR="00000000">
        <w:tblPrEx>
          <w:tblCellMar>
            <w:top w:w="0" w:type="dxa"/>
            <w:bottom w:w="0" w:type="dxa"/>
          </w:tblCellMar>
        </w:tblPrEx>
        <w:trPr>
          <w:cantSplit/>
          <w:tblHeader/>
        </w:trPr>
        <w:tc>
          <w:tcPr>
            <w:tcW w:w="1134" w:type="dxa"/>
            <w:vMerge/>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p>
        </w:tc>
        <w:tc>
          <w:tcPr>
            <w:tcW w:w="77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80"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7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80"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80"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7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80"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80"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r>
      <w:tr w:rsidR="00000000">
        <w:tblPrEx>
          <w:tblCellMar>
            <w:top w:w="0" w:type="dxa"/>
            <w:bottom w:w="0" w:type="dxa"/>
          </w:tblCellMar>
        </w:tblPrEx>
        <w:tc>
          <w:tcPr>
            <w:tcW w:w="1134" w:type="dxa"/>
            <w:tcBorders>
              <w:top w:val="single" w:sz="12" w:space="0" w:color="auto"/>
            </w:tcBorders>
          </w:tcPr>
          <w:p w:rsidR="00000000" w:rsidRDefault="00000000">
            <w:pPr>
              <w:pStyle w:val="BodyText3"/>
              <w:spacing w:before="40" w:after="40" w:line="240" w:lineRule="auto"/>
              <w:jc w:val="left"/>
              <w:rPr>
                <w:b w:val="0"/>
                <w:sz w:val="17"/>
                <w:u w:val="none"/>
              </w:rPr>
            </w:pPr>
            <w:r>
              <w:rPr>
                <w:b w:val="0"/>
                <w:sz w:val="17"/>
                <w:u w:val="none"/>
              </w:rPr>
              <w:t>Всего</w:t>
            </w:r>
          </w:p>
        </w:tc>
        <w:tc>
          <w:tcPr>
            <w:tcW w:w="779"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91,8</w:t>
            </w:r>
          </w:p>
        </w:tc>
        <w:tc>
          <w:tcPr>
            <w:tcW w:w="780"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93,0</w:t>
            </w:r>
          </w:p>
        </w:tc>
        <w:tc>
          <w:tcPr>
            <w:tcW w:w="779"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90,2</w:t>
            </w:r>
          </w:p>
        </w:tc>
        <w:tc>
          <w:tcPr>
            <w:tcW w:w="780"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90,5</w:t>
            </w:r>
          </w:p>
        </w:tc>
        <w:tc>
          <w:tcPr>
            <w:tcW w:w="780"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90,1</w:t>
            </w:r>
          </w:p>
        </w:tc>
        <w:tc>
          <w:tcPr>
            <w:tcW w:w="779"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89,7</w:t>
            </w:r>
          </w:p>
        </w:tc>
        <w:tc>
          <w:tcPr>
            <w:tcW w:w="780"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89,8</w:t>
            </w:r>
          </w:p>
        </w:tc>
        <w:tc>
          <w:tcPr>
            <w:tcW w:w="780" w:type="dxa"/>
            <w:tcBorders>
              <w:top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89,9</w:t>
            </w:r>
          </w:p>
        </w:tc>
      </w:tr>
      <w:tr w:rsidR="00000000">
        <w:tblPrEx>
          <w:tblCellMar>
            <w:top w:w="0" w:type="dxa"/>
            <w:bottom w:w="0" w:type="dxa"/>
          </w:tblCellMar>
        </w:tblPrEx>
        <w:tc>
          <w:tcPr>
            <w:tcW w:w="1134" w:type="dxa"/>
          </w:tcPr>
          <w:p w:rsidR="00000000" w:rsidRDefault="00000000">
            <w:pPr>
              <w:pStyle w:val="BodyText3"/>
              <w:spacing w:before="40" w:after="40" w:line="240" w:lineRule="auto"/>
              <w:jc w:val="left"/>
              <w:rPr>
                <w:b w:val="0"/>
                <w:sz w:val="17"/>
                <w:u w:val="none"/>
              </w:rPr>
            </w:pPr>
            <w:r>
              <w:rPr>
                <w:b w:val="0"/>
                <w:sz w:val="17"/>
                <w:u w:val="none"/>
              </w:rPr>
              <w:t>Городские районы</w:t>
            </w:r>
          </w:p>
        </w:tc>
        <w:tc>
          <w:tcPr>
            <w:tcW w:w="779" w:type="dxa"/>
          </w:tcPr>
          <w:p w:rsidR="00000000" w:rsidRDefault="00000000">
            <w:pPr>
              <w:pStyle w:val="BodyText3"/>
              <w:tabs>
                <w:tab w:val="decimal" w:pos="459"/>
              </w:tabs>
              <w:spacing w:before="40" w:after="40" w:line="240" w:lineRule="auto"/>
              <w:jc w:val="left"/>
              <w:rPr>
                <w:b w:val="0"/>
                <w:sz w:val="17"/>
                <w:u w:val="none"/>
              </w:rPr>
            </w:pPr>
            <w:r>
              <w:rPr>
                <w:b w:val="0"/>
                <w:sz w:val="17"/>
                <w:u w:val="none"/>
              </w:rPr>
              <w:t>91,1</w:t>
            </w:r>
          </w:p>
        </w:tc>
        <w:tc>
          <w:tcPr>
            <w:tcW w:w="780" w:type="dxa"/>
          </w:tcPr>
          <w:p w:rsidR="00000000" w:rsidRDefault="00000000">
            <w:pPr>
              <w:pStyle w:val="BodyText3"/>
              <w:tabs>
                <w:tab w:val="decimal" w:pos="459"/>
              </w:tabs>
              <w:spacing w:before="40" w:after="40" w:line="240" w:lineRule="auto"/>
              <w:jc w:val="left"/>
              <w:rPr>
                <w:b w:val="0"/>
                <w:sz w:val="17"/>
                <w:u w:val="none"/>
              </w:rPr>
            </w:pPr>
            <w:r>
              <w:rPr>
                <w:b w:val="0"/>
                <w:sz w:val="17"/>
                <w:u w:val="none"/>
              </w:rPr>
              <w:t>90,0</w:t>
            </w:r>
          </w:p>
        </w:tc>
        <w:tc>
          <w:tcPr>
            <w:tcW w:w="779" w:type="dxa"/>
          </w:tcPr>
          <w:p w:rsidR="00000000" w:rsidRDefault="00000000">
            <w:pPr>
              <w:pStyle w:val="BodyText3"/>
              <w:tabs>
                <w:tab w:val="decimal" w:pos="459"/>
              </w:tabs>
              <w:spacing w:before="40" w:after="40" w:line="240" w:lineRule="auto"/>
              <w:jc w:val="left"/>
              <w:rPr>
                <w:b w:val="0"/>
                <w:sz w:val="17"/>
                <w:u w:val="none"/>
              </w:rPr>
            </w:pPr>
            <w:r>
              <w:rPr>
                <w:b w:val="0"/>
                <w:sz w:val="17"/>
                <w:u w:val="none"/>
              </w:rPr>
              <w:t>89,3</w:t>
            </w:r>
          </w:p>
        </w:tc>
        <w:tc>
          <w:tcPr>
            <w:tcW w:w="780" w:type="dxa"/>
          </w:tcPr>
          <w:p w:rsidR="00000000" w:rsidRDefault="00000000">
            <w:pPr>
              <w:pStyle w:val="BodyText3"/>
              <w:tabs>
                <w:tab w:val="decimal" w:pos="459"/>
              </w:tabs>
              <w:spacing w:before="40" w:after="40" w:line="240" w:lineRule="auto"/>
              <w:jc w:val="left"/>
              <w:rPr>
                <w:b w:val="0"/>
                <w:sz w:val="17"/>
                <w:u w:val="none"/>
              </w:rPr>
            </w:pPr>
            <w:r>
              <w:rPr>
                <w:b w:val="0"/>
                <w:sz w:val="17"/>
                <w:u w:val="none"/>
              </w:rPr>
              <w:t>86,9</w:t>
            </w:r>
          </w:p>
        </w:tc>
        <w:tc>
          <w:tcPr>
            <w:tcW w:w="780" w:type="dxa"/>
          </w:tcPr>
          <w:p w:rsidR="00000000" w:rsidRDefault="00000000">
            <w:pPr>
              <w:pStyle w:val="BodyText3"/>
              <w:tabs>
                <w:tab w:val="decimal" w:pos="459"/>
              </w:tabs>
              <w:spacing w:before="40" w:after="40" w:line="240" w:lineRule="auto"/>
              <w:jc w:val="left"/>
              <w:rPr>
                <w:b w:val="0"/>
                <w:sz w:val="17"/>
                <w:u w:val="none"/>
              </w:rPr>
            </w:pPr>
            <w:r>
              <w:rPr>
                <w:b w:val="0"/>
                <w:sz w:val="17"/>
                <w:u w:val="none"/>
              </w:rPr>
              <w:t>88,7</w:t>
            </w:r>
          </w:p>
        </w:tc>
        <w:tc>
          <w:tcPr>
            <w:tcW w:w="779" w:type="dxa"/>
          </w:tcPr>
          <w:p w:rsidR="00000000" w:rsidRDefault="00000000">
            <w:pPr>
              <w:pStyle w:val="BodyText3"/>
              <w:tabs>
                <w:tab w:val="decimal" w:pos="459"/>
              </w:tabs>
              <w:spacing w:before="40" w:after="40" w:line="240" w:lineRule="auto"/>
              <w:jc w:val="left"/>
              <w:rPr>
                <w:b w:val="0"/>
                <w:sz w:val="17"/>
                <w:u w:val="none"/>
              </w:rPr>
            </w:pPr>
            <w:r>
              <w:rPr>
                <w:b w:val="0"/>
                <w:sz w:val="17"/>
                <w:u w:val="none"/>
              </w:rPr>
              <w:t>85,3</w:t>
            </w:r>
          </w:p>
        </w:tc>
        <w:tc>
          <w:tcPr>
            <w:tcW w:w="780" w:type="dxa"/>
          </w:tcPr>
          <w:p w:rsidR="00000000" w:rsidRDefault="00000000">
            <w:pPr>
              <w:pStyle w:val="BodyText3"/>
              <w:tabs>
                <w:tab w:val="decimal" w:pos="459"/>
              </w:tabs>
              <w:spacing w:before="40" w:after="40" w:line="240" w:lineRule="auto"/>
              <w:jc w:val="left"/>
              <w:rPr>
                <w:b w:val="0"/>
                <w:sz w:val="17"/>
                <w:u w:val="none"/>
              </w:rPr>
            </w:pPr>
            <w:r>
              <w:rPr>
                <w:b w:val="0"/>
                <w:sz w:val="17"/>
                <w:u w:val="none"/>
              </w:rPr>
              <w:t>88,8</w:t>
            </w:r>
          </w:p>
        </w:tc>
        <w:tc>
          <w:tcPr>
            <w:tcW w:w="780" w:type="dxa"/>
          </w:tcPr>
          <w:p w:rsidR="00000000" w:rsidRDefault="00000000">
            <w:pPr>
              <w:pStyle w:val="BodyText3"/>
              <w:tabs>
                <w:tab w:val="decimal" w:pos="459"/>
              </w:tabs>
              <w:spacing w:before="40" w:after="40" w:line="240" w:lineRule="auto"/>
              <w:jc w:val="left"/>
              <w:rPr>
                <w:b w:val="0"/>
                <w:sz w:val="17"/>
                <w:u w:val="none"/>
              </w:rPr>
            </w:pPr>
            <w:r>
              <w:rPr>
                <w:b w:val="0"/>
                <w:sz w:val="17"/>
                <w:u w:val="none"/>
              </w:rPr>
              <w:t>85,4</w:t>
            </w:r>
          </w:p>
        </w:tc>
      </w:tr>
      <w:tr w:rsidR="00000000">
        <w:tblPrEx>
          <w:tblCellMar>
            <w:top w:w="0" w:type="dxa"/>
            <w:bottom w:w="0" w:type="dxa"/>
          </w:tblCellMar>
        </w:tblPrEx>
        <w:tc>
          <w:tcPr>
            <w:tcW w:w="1134" w:type="dxa"/>
            <w:tcBorders>
              <w:bottom w:val="single" w:sz="12" w:space="0" w:color="auto"/>
            </w:tcBorders>
          </w:tcPr>
          <w:p w:rsidR="00000000" w:rsidRDefault="00000000">
            <w:pPr>
              <w:pStyle w:val="BodyText3"/>
              <w:spacing w:before="40" w:after="40" w:line="240" w:lineRule="auto"/>
              <w:jc w:val="left"/>
              <w:rPr>
                <w:b w:val="0"/>
                <w:sz w:val="17"/>
                <w:u w:val="none"/>
              </w:rPr>
            </w:pPr>
            <w:r>
              <w:rPr>
                <w:b w:val="0"/>
                <w:sz w:val="17"/>
                <w:u w:val="none"/>
              </w:rPr>
              <w:t>Сельские районы</w:t>
            </w:r>
          </w:p>
        </w:tc>
        <w:tc>
          <w:tcPr>
            <w:tcW w:w="779"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92,5</w:t>
            </w:r>
          </w:p>
        </w:tc>
        <w:tc>
          <w:tcPr>
            <w:tcW w:w="780"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95,5</w:t>
            </w:r>
          </w:p>
        </w:tc>
        <w:tc>
          <w:tcPr>
            <w:tcW w:w="779"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91,1</w:t>
            </w:r>
          </w:p>
        </w:tc>
        <w:tc>
          <w:tcPr>
            <w:tcW w:w="780"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93,4</w:t>
            </w:r>
          </w:p>
        </w:tc>
        <w:tc>
          <w:tcPr>
            <w:tcW w:w="780"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91,7</w:t>
            </w:r>
          </w:p>
        </w:tc>
        <w:tc>
          <w:tcPr>
            <w:tcW w:w="779"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93,6</w:t>
            </w:r>
          </w:p>
        </w:tc>
        <w:tc>
          <w:tcPr>
            <w:tcW w:w="780"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90,8</w:t>
            </w:r>
          </w:p>
        </w:tc>
        <w:tc>
          <w:tcPr>
            <w:tcW w:w="780" w:type="dxa"/>
            <w:tcBorders>
              <w:bottom w:val="single" w:sz="12" w:space="0" w:color="auto"/>
            </w:tcBorders>
          </w:tcPr>
          <w:p w:rsidR="00000000" w:rsidRDefault="00000000">
            <w:pPr>
              <w:pStyle w:val="BodyText3"/>
              <w:tabs>
                <w:tab w:val="decimal" w:pos="459"/>
              </w:tabs>
              <w:spacing w:before="40" w:after="40" w:line="240" w:lineRule="auto"/>
              <w:jc w:val="left"/>
              <w:rPr>
                <w:b w:val="0"/>
                <w:sz w:val="17"/>
                <w:u w:val="none"/>
              </w:rPr>
            </w:pPr>
            <w:r>
              <w:rPr>
                <w:b w:val="0"/>
                <w:sz w:val="17"/>
                <w:u w:val="none"/>
              </w:rPr>
              <w:t>93,8</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100" w:name="_Toc85175501"/>
      <w:r>
        <w:t>Приложение. Таблица B11.5. Процентная доля работающих женщин в о</w:t>
      </w:r>
      <w:r>
        <w:t>б</w:t>
      </w:r>
      <w:r>
        <w:t>щей численности трудящихся с разбивкой по категориям трудящихся (данные октябрьского обслед</w:t>
      </w:r>
      <w:r>
        <w:t>о</w:t>
      </w:r>
      <w:r>
        <w:t>вания округлены)</w:t>
      </w:r>
      <w:bookmarkEnd w:id="100"/>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4"/>
        <w:gridCol w:w="1530"/>
        <w:gridCol w:w="1530"/>
        <w:gridCol w:w="1260"/>
        <w:gridCol w:w="1267"/>
      </w:tblGrid>
      <w:tr w:rsidR="00000000">
        <w:tblPrEx>
          <w:tblCellMar>
            <w:top w:w="0" w:type="dxa"/>
            <w:bottom w:w="0" w:type="dxa"/>
          </w:tblCellMar>
        </w:tblPrEx>
        <w:trPr>
          <w:tblHeader/>
        </w:trPr>
        <w:tc>
          <w:tcPr>
            <w:tcW w:w="178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line="240" w:lineRule="auto"/>
              <w:jc w:val="center"/>
              <w:rPr>
                <w:i/>
                <w:sz w:val="17"/>
              </w:rPr>
            </w:pPr>
            <w:r>
              <w:rPr>
                <w:i/>
                <w:sz w:val="17"/>
              </w:rPr>
              <w:t>Вид занятости</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line="240" w:lineRule="auto"/>
              <w:jc w:val="center"/>
              <w:rPr>
                <w:i/>
                <w:sz w:val="17"/>
              </w:rPr>
            </w:pPr>
            <w:r>
              <w:rPr>
                <w:i/>
                <w:sz w:val="17"/>
              </w:rPr>
              <w:t>1996 год</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line="240" w:lineRule="auto"/>
              <w:jc w:val="center"/>
              <w:rPr>
                <w:i/>
                <w:sz w:val="17"/>
              </w:rPr>
            </w:pPr>
            <w:r>
              <w:rPr>
                <w:i/>
                <w:sz w:val="17"/>
              </w:rPr>
              <w:t>1998 год</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line="240" w:lineRule="auto"/>
              <w:jc w:val="center"/>
              <w:rPr>
                <w:i/>
                <w:sz w:val="17"/>
              </w:rPr>
            </w:pPr>
            <w:r>
              <w:rPr>
                <w:i/>
                <w:sz w:val="17"/>
              </w:rPr>
              <w:t>2000 год</w:t>
            </w:r>
          </w:p>
        </w:tc>
        <w:tc>
          <w:tcPr>
            <w:tcW w:w="12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line="240" w:lineRule="auto"/>
              <w:jc w:val="center"/>
              <w:rPr>
                <w:i/>
                <w:sz w:val="17"/>
              </w:rPr>
            </w:pPr>
            <w:r>
              <w:rPr>
                <w:i/>
                <w:sz w:val="17"/>
              </w:rPr>
              <w:t>2002 год</w:t>
            </w:r>
          </w:p>
        </w:tc>
      </w:tr>
      <w:tr w:rsidR="00000000">
        <w:tblPrEx>
          <w:tblCellMar>
            <w:top w:w="0" w:type="dxa"/>
            <w:bottom w:w="0" w:type="dxa"/>
          </w:tblCellMar>
        </w:tblPrEx>
        <w:tc>
          <w:tcPr>
            <w:tcW w:w="17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rPr>
                <w:sz w:val="17"/>
              </w:rPr>
            </w:pPr>
            <w:r>
              <w:rPr>
                <w:sz w:val="17"/>
              </w:rPr>
              <w:t>Работающие сам</w:t>
            </w:r>
            <w:r>
              <w:rPr>
                <w:sz w:val="17"/>
              </w:rPr>
              <w:t>о</w:t>
            </w:r>
            <w:r>
              <w:rPr>
                <w:sz w:val="17"/>
              </w:rPr>
              <w:t>стоятельно</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clear" w:pos="4320"/>
                <w:tab w:val="clear" w:pos="8640"/>
                <w:tab w:val="decimal" w:pos="567"/>
              </w:tabs>
              <w:spacing w:before="40" w:after="40"/>
              <w:rPr>
                <w:noProof w:val="0"/>
                <w:spacing w:val="4"/>
                <w:w w:val="103"/>
                <w:kern w:val="14"/>
              </w:rPr>
            </w:pPr>
            <w:r>
              <w:rPr>
                <w:noProof w:val="0"/>
                <w:spacing w:val="4"/>
                <w:w w:val="103"/>
                <w:kern w:val="14"/>
              </w:rPr>
              <w:t>31,2</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32,8</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33,4</w:t>
            </w:r>
          </w:p>
        </w:tc>
        <w:tc>
          <w:tcPr>
            <w:tcW w:w="12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34,5</w:t>
            </w:r>
          </w:p>
        </w:tc>
      </w:tr>
      <w:tr w:rsidR="00000000">
        <w:tblPrEx>
          <w:tblCellMar>
            <w:top w:w="0" w:type="dxa"/>
            <w:bottom w:w="0" w:type="dxa"/>
          </w:tblCellMar>
        </w:tblPrEx>
        <w:tc>
          <w:tcPr>
            <w:tcW w:w="17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rPr>
                <w:sz w:val="17"/>
              </w:rPr>
            </w:pPr>
            <w:r>
              <w:rPr>
                <w:sz w:val="17"/>
              </w:rPr>
              <w:t>Работающие за зарплату и о</w:t>
            </w:r>
            <w:r>
              <w:rPr>
                <w:sz w:val="17"/>
              </w:rPr>
              <w:t>к</w:t>
            </w:r>
            <w:r>
              <w:rPr>
                <w:sz w:val="17"/>
              </w:rPr>
              <w:t>лад</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35,8</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36,9</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37,6</w:t>
            </w:r>
          </w:p>
        </w:tc>
        <w:tc>
          <w:tcPr>
            <w:tcW w:w="12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38,3</w:t>
            </w:r>
          </w:p>
        </w:tc>
      </w:tr>
      <w:tr w:rsidR="00000000">
        <w:tblPrEx>
          <w:tblCellMar>
            <w:top w:w="0" w:type="dxa"/>
            <w:bottom w:w="0" w:type="dxa"/>
          </w:tblCellMar>
        </w:tblPrEx>
        <w:tc>
          <w:tcPr>
            <w:tcW w:w="17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rPr>
                <w:sz w:val="17"/>
              </w:rPr>
            </w:pPr>
            <w:r>
              <w:rPr>
                <w:sz w:val="17"/>
              </w:rPr>
              <w:t>Неоплачиваемая семейная пр</w:t>
            </w:r>
            <w:r>
              <w:rPr>
                <w:sz w:val="17"/>
              </w:rPr>
              <w:t>и</w:t>
            </w:r>
            <w:r>
              <w:rPr>
                <w:sz w:val="17"/>
              </w:rPr>
              <w:t>слуга</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55,1</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53,0</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52,4</w:t>
            </w:r>
          </w:p>
        </w:tc>
        <w:tc>
          <w:tcPr>
            <w:tcW w:w="12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54,8</w:t>
            </w:r>
          </w:p>
        </w:tc>
      </w:tr>
      <w:tr w:rsidR="00000000">
        <w:tblPrEx>
          <w:tblCellMar>
            <w:top w:w="0" w:type="dxa"/>
            <w:bottom w:w="0" w:type="dxa"/>
          </w:tblCellMar>
        </w:tblPrEx>
        <w:tc>
          <w:tcPr>
            <w:tcW w:w="1784" w:type="dxa"/>
            <w:tcBorders>
              <w:top w:val="single" w:sz="4" w:space="0" w:color="auto"/>
              <w:left w:val="single" w:sz="4" w:space="0" w:color="auto"/>
              <w:bottom w:val="single" w:sz="4" w:space="0" w:color="auto"/>
              <w:right w:val="single" w:sz="4" w:space="0" w:color="auto"/>
            </w:tcBorders>
          </w:tcPr>
          <w:p w:rsidR="00000000" w:rsidRDefault="00000000">
            <w:pPr>
              <w:spacing w:before="40" w:after="40" w:line="240" w:lineRule="auto"/>
              <w:rPr>
                <w:sz w:val="17"/>
              </w:rPr>
            </w:pPr>
            <w:r>
              <w:rPr>
                <w:sz w:val="17"/>
              </w:rPr>
              <w:t>Все виды зан</w:t>
            </w:r>
            <w:r>
              <w:rPr>
                <w:sz w:val="17"/>
              </w:rPr>
              <w:t>я</w:t>
            </w:r>
            <w:r>
              <w:rPr>
                <w:sz w:val="17"/>
              </w:rPr>
              <w:t>тости</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36,9</w:t>
            </w:r>
          </w:p>
        </w:tc>
        <w:tc>
          <w:tcPr>
            <w:tcW w:w="15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37,5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37,9</w:t>
            </w:r>
          </w:p>
        </w:tc>
        <w:tc>
          <w:tcPr>
            <w:tcW w:w="126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67"/>
              </w:tabs>
              <w:spacing w:before="40" w:after="40" w:line="240" w:lineRule="auto"/>
              <w:rPr>
                <w:sz w:val="17"/>
              </w:rPr>
            </w:pPr>
            <w:r>
              <w:rPr>
                <w:sz w:val="17"/>
              </w:rPr>
              <w:t>42,1</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101" w:name="_Toc85175502"/>
      <w:r>
        <w:t>Приложение. Таблица B11.6. Среднее количество рабочих часов в неделю для лиц, работающих в сельских и городских районах, с разбивкой по полу (да</w:t>
      </w:r>
      <w:r>
        <w:t>н</w:t>
      </w:r>
      <w:r>
        <w:t>ные октябрьского обследования округлены)</w:t>
      </w:r>
      <w:bookmarkEnd w:id="101"/>
    </w:p>
    <w:tbl>
      <w:tblPr>
        <w:tblW w:w="0" w:type="auto"/>
        <w:tblInd w:w="1278" w:type="dxa"/>
        <w:tblLayout w:type="fixed"/>
        <w:tblLook w:val="0000" w:firstRow="0" w:lastRow="0" w:firstColumn="0" w:lastColumn="0" w:noHBand="0" w:noVBand="0"/>
      </w:tblPr>
      <w:tblGrid>
        <w:gridCol w:w="1222"/>
        <w:gridCol w:w="768"/>
        <w:gridCol w:w="769"/>
        <w:gridCol w:w="768"/>
        <w:gridCol w:w="769"/>
        <w:gridCol w:w="769"/>
        <w:gridCol w:w="768"/>
        <w:gridCol w:w="769"/>
        <w:gridCol w:w="769"/>
      </w:tblGrid>
      <w:tr w:rsidR="00000000">
        <w:tblPrEx>
          <w:tblCellMar>
            <w:top w:w="0" w:type="dxa"/>
            <w:bottom w:w="0" w:type="dxa"/>
          </w:tblCellMar>
        </w:tblPrEx>
        <w:trPr>
          <w:cantSplit/>
          <w:tblHeader/>
        </w:trPr>
        <w:tc>
          <w:tcPr>
            <w:tcW w:w="1222"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Катег</w:t>
            </w:r>
            <w:r>
              <w:rPr>
                <w:i/>
                <w:sz w:val="17"/>
              </w:rPr>
              <w:t>о</w:t>
            </w:r>
            <w:r>
              <w:rPr>
                <w:i/>
                <w:sz w:val="17"/>
              </w:rPr>
              <w:t>рия</w:t>
            </w:r>
          </w:p>
        </w:tc>
        <w:tc>
          <w:tcPr>
            <w:tcW w:w="1537" w:type="dxa"/>
            <w:gridSpan w:val="2"/>
            <w:tcBorders>
              <w:top w:val="single" w:sz="4" w:space="0" w:color="auto"/>
              <w:bottom w:val="single" w:sz="4" w:space="0" w:color="auto"/>
            </w:tcBorders>
            <w:vAlign w:val="bottom"/>
          </w:tcPr>
          <w:p w:rsidR="00000000" w:rsidRDefault="00000000">
            <w:pPr>
              <w:pStyle w:val="Header"/>
              <w:keepNext/>
              <w:tabs>
                <w:tab w:val="clear" w:pos="4320"/>
                <w:tab w:val="clear" w:pos="8640"/>
              </w:tabs>
              <w:spacing w:before="40" w:after="40"/>
              <w:jc w:val="center"/>
              <w:rPr>
                <w:i/>
                <w:noProof w:val="0"/>
                <w:spacing w:val="4"/>
                <w:w w:val="103"/>
                <w:kern w:val="14"/>
              </w:rPr>
            </w:pPr>
            <w:r>
              <w:rPr>
                <w:i/>
                <w:noProof w:val="0"/>
                <w:spacing w:val="4"/>
                <w:w w:val="103"/>
                <w:kern w:val="14"/>
              </w:rPr>
              <w:t>1995 год</w:t>
            </w:r>
          </w:p>
        </w:tc>
        <w:tc>
          <w:tcPr>
            <w:tcW w:w="1537"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1996 год</w:t>
            </w:r>
          </w:p>
        </w:tc>
        <w:tc>
          <w:tcPr>
            <w:tcW w:w="1537"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1997 год</w:t>
            </w:r>
          </w:p>
        </w:tc>
        <w:tc>
          <w:tcPr>
            <w:tcW w:w="1538"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1998 год</w:t>
            </w:r>
          </w:p>
        </w:tc>
      </w:tr>
      <w:tr w:rsidR="00000000">
        <w:tblPrEx>
          <w:tblCellMar>
            <w:top w:w="0" w:type="dxa"/>
            <w:bottom w:w="0" w:type="dxa"/>
          </w:tblCellMar>
        </w:tblPrEx>
        <w:trPr>
          <w:cantSplit/>
          <w:tblHeader/>
        </w:trPr>
        <w:tc>
          <w:tcPr>
            <w:tcW w:w="1222" w:type="dxa"/>
            <w:vMerge/>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p>
        </w:tc>
        <w:tc>
          <w:tcPr>
            <w:tcW w:w="768"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6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68"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6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6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68"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76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769" w:type="dxa"/>
            <w:tcBorders>
              <w:top w:val="single" w:sz="4" w:space="0" w:color="auto"/>
              <w:bottom w:val="single" w:sz="12" w:space="0" w:color="auto"/>
            </w:tcBorders>
            <w:vAlign w:val="bottom"/>
          </w:tcPr>
          <w:p w:rsidR="00000000" w:rsidRDefault="00000000">
            <w:pPr>
              <w:pStyle w:val="BodyText3"/>
              <w:keepNext/>
              <w:spacing w:before="40" w:after="4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r>
      <w:tr w:rsidR="00000000">
        <w:tblPrEx>
          <w:tblCellMar>
            <w:top w:w="0" w:type="dxa"/>
            <w:bottom w:w="0" w:type="dxa"/>
          </w:tblCellMar>
        </w:tblPrEx>
        <w:tc>
          <w:tcPr>
            <w:tcW w:w="1222" w:type="dxa"/>
            <w:tcBorders>
              <w:top w:val="single" w:sz="12" w:space="0" w:color="auto"/>
            </w:tcBorders>
          </w:tcPr>
          <w:p w:rsidR="00000000" w:rsidRDefault="00000000">
            <w:pPr>
              <w:pStyle w:val="BodyText3"/>
              <w:spacing w:before="40" w:after="40" w:line="240" w:lineRule="auto"/>
              <w:jc w:val="left"/>
              <w:rPr>
                <w:b w:val="0"/>
                <w:sz w:val="17"/>
                <w:u w:val="none"/>
              </w:rPr>
            </w:pPr>
            <w:r>
              <w:rPr>
                <w:b w:val="0"/>
                <w:sz w:val="17"/>
                <w:u w:val="none"/>
              </w:rPr>
              <w:t>Городские ра</w:t>
            </w:r>
            <w:r>
              <w:rPr>
                <w:b w:val="0"/>
                <w:sz w:val="17"/>
                <w:u w:val="none"/>
              </w:rPr>
              <w:t>й</w:t>
            </w:r>
            <w:r>
              <w:rPr>
                <w:b w:val="0"/>
                <w:sz w:val="17"/>
                <w:u w:val="none"/>
              </w:rPr>
              <w:t>оны</w:t>
            </w:r>
          </w:p>
        </w:tc>
        <w:tc>
          <w:tcPr>
            <w:tcW w:w="768"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46,7</w:t>
            </w:r>
          </w:p>
        </w:tc>
        <w:tc>
          <w:tcPr>
            <w:tcW w:w="769"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45,5</w:t>
            </w:r>
          </w:p>
        </w:tc>
        <w:tc>
          <w:tcPr>
            <w:tcW w:w="768"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47,2</w:t>
            </w:r>
          </w:p>
        </w:tc>
        <w:tc>
          <w:tcPr>
            <w:tcW w:w="769"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45,9</w:t>
            </w:r>
          </w:p>
        </w:tc>
        <w:tc>
          <w:tcPr>
            <w:tcW w:w="769"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46,8</w:t>
            </w:r>
          </w:p>
        </w:tc>
        <w:tc>
          <w:tcPr>
            <w:tcW w:w="768"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45,7</w:t>
            </w:r>
          </w:p>
        </w:tc>
        <w:tc>
          <w:tcPr>
            <w:tcW w:w="769"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46,6</w:t>
            </w:r>
          </w:p>
        </w:tc>
        <w:tc>
          <w:tcPr>
            <w:tcW w:w="769" w:type="dxa"/>
            <w:tcBorders>
              <w:top w:val="single" w:sz="12" w:space="0" w:color="auto"/>
            </w:tcBorders>
            <w:vAlign w:val="bottom"/>
          </w:tcPr>
          <w:p w:rsidR="00000000" w:rsidRDefault="00000000">
            <w:pPr>
              <w:tabs>
                <w:tab w:val="decimal" w:pos="371"/>
              </w:tabs>
              <w:spacing w:before="40" w:after="40" w:line="240" w:lineRule="auto"/>
              <w:rPr>
                <w:sz w:val="17"/>
              </w:rPr>
            </w:pPr>
            <w:r>
              <w:rPr>
                <w:sz w:val="17"/>
              </w:rPr>
              <w:t>44,8</w:t>
            </w:r>
          </w:p>
        </w:tc>
      </w:tr>
      <w:tr w:rsidR="00000000">
        <w:tblPrEx>
          <w:tblCellMar>
            <w:top w:w="0" w:type="dxa"/>
            <w:bottom w:w="0" w:type="dxa"/>
          </w:tblCellMar>
        </w:tblPrEx>
        <w:tc>
          <w:tcPr>
            <w:tcW w:w="1222" w:type="dxa"/>
            <w:tcBorders>
              <w:bottom w:val="single" w:sz="12" w:space="0" w:color="auto"/>
            </w:tcBorders>
          </w:tcPr>
          <w:p w:rsidR="00000000" w:rsidRDefault="00000000">
            <w:pPr>
              <w:pStyle w:val="BodyText3"/>
              <w:spacing w:before="40" w:after="40" w:line="240" w:lineRule="auto"/>
              <w:jc w:val="left"/>
              <w:rPr>
                <w:b w:val="0"/>
                <w:sz w:val="17"/>
                <w:u w:val="none"/>
              </w:rPr>
            </w:pPr>
            <w:r>
              <w:rPr>
                <w:b w:val="0"/>
                <w:sz w:val="17"/>
                <w:u w:val="none"/>
              </w:rPr>
              <w:t>Сельские районы</w:t>
            </w:r>
          </w:p>
        </w:tc>
        <w:tc>
          <w:tcPr>
            <w:tcW w:w="768"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35,9</w:t>
            </w:r>
          </w:p>
        </w:tc>
        <w:tc>
          <w:tcPr>
            <w:tcW w:w="769"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39,8</w:t>
            </w:r>
          </w:p>
        </w:tc>
        <w:tc>
          <w:tcPr>
            <w:tcW w:w="768"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34,6</w:t>
            </w:r>
          </w:p>
        </w:tc>
        <w:tc>
          <w:tcPr>
            <w:tcW w:w="769"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39,1</w:t>
            </w:r>
          </w:p>
        </w:tc>
        <w:tc>
          <w:tcPr>
            <w:tcW w:w="769"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35,3</w:t>
            </w:r>
          </w:p>
        </w:tc>
        <w:tc>
          <w:tcPr>
            <w:tcW w:w="768"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39,1</w:t>
            </w:r>
          </w:p>
        </w:tc>
        <w:tc>
          <w:tcPr>
            <w:tcW w:w="769"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36,1</w:t>
            </w:r>
          </w:p>
        </w:tc>
        <w:tc>
          <w:tcPr>
            <w:tcW w:w="769" w:type="dxa"/>
            <w:tcBorders>
              <w:bottom w:val="single" w:sz="12" w:space="0" w:color="auto"/>
            </w:tcBorders>
            <w:vAlign w:val="bottom"/>
          </w:tcPr>
          <w:p w:rsidR="00000000" w:rsidRDefault="00000000">
            <w:pPr>
              <w:tabs>
                <w:tab w:val="decimal" w:pos="371"/>
              </w:tabs>
              <w:spacing w:before="40" w:after="40" w:line="240" w:lineRule="auto"/>
              <w:rPr>
                <w:sz w:val="17"/>
              </w:rPr>
            </w:pPr>
            <w:r>
              <w:rPr>
                <w:sz w:val="17"/>
              </w:rPr>
              <w:t>38,5</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102" w:name="_Toc85175503"/>
      <w:r>
        <w:t>Приложение. Таблица B11.7. Отдельные статистические данные по лицам, з</w:t>
      </w:r>
      <w:r>
        <w:t>а</w:t>
      </w:r>
      <w:r>
        <w:t>нятым неполный рабочий день</w:t>
      </w:r>
      <w:bookmarkEnd w:id="102"/>
    </w:p>
    <w:tbl>
      <w:tblPr>
        <w:tblW w:w="0" w:type="auto"/>
        <w:tblInd w:w="1278" w:type="dxa"/>
        <w:tblLayout w:type="fixed"/>
        <w:tblLook w:val="0000" w:firstRow="0" w:lastRow="0" w:firstColumn="0" w:lastColumn="0" w:noHBand="0" w:noVBand="0"/>
      </w:tblPr>
      <w:tblGrid>
        <w:gridCol w:w="2410"/>
        <w:gridCol w:w="826"/>
        <w:gridCol w:w="827"/>
        <w:gridCol w:w="827"/>
        <w:gridCol w:w="827"/>
        <w:gridCol w:w="827"/>
        <w:gridCol w:w="827"/>
      </w:tblGrid>
      <w:tr w:rsidR="00000000">
        <w:tblPrEx>
          <w:tblCellMar>
            <w:top w:w="0" w:type="dxa"/>
            <w:bottom w:w="0" w:type="dxa"/>
          </w:tblCellMar>
        </w:tblPrEx>
        <w:trPr>
          <w:cantSplit/>
          <w:tblHeader/>
        </w:trPr>
        <w:tc>
          <w:tcPr>
            <w:tcW w:w="2410" w:type="dxa"/>
            <w:vMerge w:val="restart"/>
            <w:tcBorders>
              <w:top w:val="single" w:sz="4" w:space="0" w:color="auto"/>
              <w:bottom w:val="single" w:sz="4"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i/>
                <w:sz w:val="17"/>
              </w:rPr>
            </w:pPr>
            <w:r>
              <w:rPr>
                <w:i/>
                <w:sz w:val="17"/>
              </w:rPr>
              <w:t>Категория</w:t>
            </w:r>
          </w:p>
        </w:tc>
        <w:tc>
          <w:tcPr>
            <w:tcW w:w="1653" w:type="dxa"/>
            <w:gridSpan w:val="2"/>
            <w:tcBorders>
              <w:top w:val="single" w:sz="4" w:space="0" w:color="auto"/>
              <w:bottom w:val="single" w:sz="4"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i/>
                <w:sz w:val="17"/>
              </w:rPr>
            </w:pPr>
            <w:r>
              <w:rPr>
                <w:i/>
                <w:sz w:val="17"/>
              </w:rPr>
              <w:t>1998 год</w:t>
            </w:r>
          </w:p>
        </w:tc>
        <w:tc>
          <w:tcPr>
            <w:tcW w:w="1654" w:type="dxa"/>
            <w:gridSpan w:val="2"/>
            <w:tcBorders>
              <w:top w:val="single" w:sz="4" w:space="0" w:color="auto"/>
              <w:bottom w:val="single" w:sz="4"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i/>
                <w:sz w:val="17"/>
              </w:rPr>
            </w:pPr>
            <w:r>
              <w:rPr>
                <w:i/>
                <w:sz w:val="17"/>
              </w:rPr>
              <w:t>2000 год</w:t>
            </w:r>
          </w:p>
        </w:tc>
        <w:tc>
          <w:tcPr>
            <w:tcW w:w="1654" w:type="dxa"/>
            <w:gridSpan w:val="2"/>
            <w:tcBorders>
              <w:top w:val="single" w:sz="4" w:space="0" w:color="auto"/>
              <w:bottom w:val="single" w:sz="4"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i/>
                <w:sz w:val="17"/>
              </w:rPr>
            </w:pPr>
            <w:r>
              <w:rPr>
                <w:i/>
                <w:sz w:val="17"/>
              </w:rPr>
              <w:t>2002 год</w:t>
            </w:r>
          </w:p>
        </w:tc>
      </w:tr>
      <w:tr w:rsidR="00000000">
        <w:tblPrEx>
          <w:tblCellMar>
            <w:top w:w="0" w:type="dxa"/>
            <w:bottom w:w="0" w:type="dxa"/>
          </w:tblCellMar>
        </w:tblPrEx>
        <w:trPr>
          <w:cantSplit/>
          <w:tblHeader/>
        </w:trPr>
        <w:tc>
          <w:tcPr>
            <w:tcW w:w="2410" w:type="dxa"/>
            <w:vMerge/>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jc w:val="center"/>
              <w:rPr>
                <w:i/>
                <w:sz w:val="17"/>
              </w:rPr>
            </w:pPr>
          </w:p>
        </w:tc>
        <w:tc>
          <w:tcPr>
            <w:tcW w:w="826"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Же</w:t>
            </w:r>
            <w:r>
              <w:rPr>
                <w:b w:val="0"/>
                <w:i/>
                <w:sz w:val="17"/>
                <w:u w:val="none"/>
              </w:rPr>
              <w:t>н</w:t>
            </w:r>
            <w:r>
              <w:rPr>
                <w:b w:val="0"/>
                <w:i/>
                <w:sz w:val="17"/>
                <w:u w:val="none"/>
              </w:rPr>
              <w:t>щины</w:t>
            </w:r>
          </w:p>
        </w:tc>
        <w:tc>
          <w:tcPr>
            <w:tcW w:w="827" w:type="dxa"/>
            <w:tcBorders>
              <w:top w:val="single" w:sz="4" w:space="0" w:color="auto"/>
              <w:bottom w:val="single" w:sz="12" w:space="0" w:color="auto"/>
            </w:tcBorders>
            <w:vAlign w:val="bottom"/>
          </w:tcPr>
          <w:p w:rsidR="00000000" w:rsidRDefault="00000000">
            <w:pPr>
              <w:pStyle w:val="BodyText3"/>
              <w:keepNext/>
              <w:spacing w:before="20" w:after="20" w:line="240" w:lineRule="auto"/>
              <w:jc w:val="center"/>
              <w:rPr>
                <w:b w:val="0"/>
                <w:i/>
                <w:sz w:val="17"/>
                <w:u w:val="none"/>
              </w:rPr>
            </w:pPr>
            <w:r>
              <w:rPr>
                <w:b w:val="0"/>
                <w:i/>
                <w:sz w:val="17"/>
                <w:u w:val="none"/>
              </w:rPr>
              <w:t>Му</w:t>
            </w:r>
            <w:r>
              <w:rPr>
                <w:b w:val="0"/>
                <w:i/>
                <w:sz w:val="17"/>
                <w:u w:val="none"/>
              </w:rPr>
              <w:t>ж</w:t>
            </w:r>
            <w:r>
              <w:rPr>
                <w:b w:val="0"/>
                <w:i/>
                <w:sz w:val="17"/>
                <w:u w:val="none"/>
              </w:rPr>
              <w:t>чины</w:t>
            </w:r>
          </w:p>
        </w:tc>
        <w:tc>
          <w:tcPr>
            <w:tcW w:w="827" w:type="dxa"/>
            <w:tcBorders>
              <w:top w:val="single" w:sz="4" w:space="0" w:color="auto"/>
              <w:bottom w:val="single" w:sz="12" w:space="0" w:color="auto"/>
            </w:tcBorders>
            <w:vAlign w:val="bottom"/>
          </w:tcPr>
          <w:p w:rsidR="00000000" w:rsidRDefault="00000000">
            <w:pPr>
              <w:pStyle w:val="BodyText"/>
              <w:keepNext/>
              <w:spacing w:before="20" w:after="20" w:line="240" w:lineRule="auto"/>
              <w:ind w:left="0" w:right="0"/>
              <w:jc w:val="center"/>
              <w:rPr>
                <w:i/>
                <w:sz w:val="17"/>
              </w:rPr>
            </w:pPr>
            <w:r>
              <w:rPr>
                <w:i/>
                <w:sz w:val="17"/>
              </w:rPr>
              <w:t>Же</w:t>
            </w:r>
            <w:r>
              <w:rPr>
                <w:i/>
                <w:sz w:val="17"/>
              </w:rPr>
              <w:t>н</w:t>
            </w:r>
            <w:r>
              <w:rPr>
                <w:i/>
                <w:sz w:val="17"/>
              </w:rPr>
              <w:t>щины</w:t>
            </w:r>
          </w:p>
        </w:tc>
        <w:tc>
          <w:tcPr>
            <w:tcW w:w="827" w:type="dxa"/>
            <w:tcBorders>
              <w:top w:val="single" w:sz="4" w:space="0" w:color="auto"/>
              <w:bottom w:val="single" w:sz="12" w:space="0" w:color="auto"/>
            </w:tcBorders>
            <w:vAlign w:val="bottom"/>
          </w:tcPr>
          <w:p w:rsidR="00000000" w:rsidRDefault="00000000">
            <w:pPr>
              <w:pStyle w:val="BodyText"/>
              <w:keepNext/>
              <w:spacing w:before="20" w:after="20" w:line="240" w:lineRule="auto"/>
              <w:ind w:left="0" w:right="0"/>
              <w:jc w:val="center"/>
              <w:rPr>
                <w:i/>
                <w:sz w:val="17"/>
              </w:rPr>
            </w:pPr>
            <w:r>
              <w:rPr>
                <w:i/>
                <w:sz w:val="17"/>
              </w:rPr>
              <w:t>Му</w:t>
            </w:r>
            <w:r>
              <w:rPr>
                <w:i/>
                <w:sz w:val="17"/>
              </w:rPr>
              <w:t>ж</w:t>
            </w:r>
            <w:r>
              <w:rPr>
                <w:i/>
                <w:sz w:val="17"/>
              </w:rPr>
              <w:t>чины</w:t>
            </w:r>
          </w:p>
        </w:tc>
        <w:tc>
          <w:tcPr>
            <w:tcW w:w="827" w:type="dxa"/>
            <w:tcBorders>
              <w:top w:val="single" w:sz="4" w:space="0" w:color="auto"/>
              <w:bottom w:val="single" w:sz="12" w:space="0" w:color="auto"/>
            </w:tcBorders>
            <w:vAlign w:val="bottom"/>
          </w:tcPr>
          <w:p w:rsidR="00000000" w:rsidRDefault="00000000">
            <w:pPr>
              <w:pStyle w:val="BodyText"/>
              <w:keepNext/>
              <w:spacing w:before="20" w:after="20" w:line="240" w:lineRule="auto"/>
              <w:ind w:left="0" w:right="0"/>
              <w:jc w:val="center"/>
              <w:rPr>
                <w:i/>
                <w:sz w:val="17"/>
              </w:rPr>
            </w:pPr>
            <w:r>
              <w:rPr>
                <w:i/>
                <w:sz w:val="17"/>
              </w:rPr>
              <w:t>Же</w:t>
            </w:r>
            <w:r>
              <w:rPr>
                <w:i/>
                <w:sz w:val="17"/>
              </w:rPr>
              <w:t>н</w:t>
            </w:r>
            <w:r>
              <w:rPr>
                <w:i/>
                <w:sz w:val="17"/>
              </w:rPr>
              <w:t>щины</w:t>
            </w:r>
          </w:p>
        </w:tc>
        <w:tc>
          <w:tcPr>
            <w:tcW w:w="827" w:type="dxa"/>
            <w:tcBorders>
              <w:top w:val="single" w:sz="4" w:space="0" w:color="auto"/>
              <w:bottom w:val="single" w:sz="12" w:space="0" w:color="auto"/>
            </w:tcBorders>
            <w:vAlign w:val="bottom"/>
          </w:tcPr>
          <w:p w:rsidR="00000000" w:rsidRDefault="00000000">
            <w:pPr>
              <w:pStyle w:val="BodyText"/>
              <w:keepNext/>
              <w:spacing w:before="20" w:after="20" w:line="240" w:lineRule="auto"/>
              <w:ind w:left="0" w:right="0"/>
              <w:jc w:val="center"/>
              <w:rPr>
                <w:i/>
                <w:sz w:val="17"/>
              </w:rPr>
            </w:pPr>
            <w:r>
              <w:rPr>
                <w:i/>
                <w:sz w:val="17"/>
              </w:rPr>
              <w:t>Му</w:t>
            </w:r>
            <w:r>
              <w:rPr>
                <w:i/>
                <w:sz w:val="17"/>
              </w:rPr>
              <w:t>ж</w:t>
            </w:r>
            <w:r>
              <w:rPr>
                <w:i/>
                <w:sz w:val="17"/>
              </w:rPr>
              <w:t>чины</w:t>
            </w:r>
          </w:p>
        </w:tc>
      </w:tr>
      <w:tr w:rsidR="00000000">
        <w:tblPrEx>
          <w:tblCellMar>
            <w:top w:w="0" w:type="dxa"/>
            <w:bottom w:w="0" w:type="dxa"/>
          </w:tblCellMar>
        </w:tblPrEx>
        <w:trPr>
          <w:cantSplit/>
        </w:trPr>
        <w:tc>
          <w:tcPr>
            <w:tcW w:w="2410" w:type="dxa"/>
            <w:tcBorders>
              <w:top w:val="single" w:sz="12" w:space="0" w:color="auto"/>
            </w:tcBorders>
          </w:tcPr>
          <w:p w:rsidR="00000000" w:rsidRDefault="00000000">
            <w:pPr>
              <w:pStyle w:val="CommentT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z w:val="17"/>
              </w:rPr>
            </w:pPr>
            <w:r>
              <w:rPr>
                <w:sz w:val="17"/>
              </w:rPr>
              <w:t>Общая численность занят</w:t>
            </w:r>
            <w:r>
              <w:rPr>
                <w:sz w:val="17"/>
              </w:rPr>
              <w:t>о</w:t>
            </w:r>
            <w:r>
              <w:rPr>
                <w:sz w:val="17"/>
              </w:rPr>
              <w:t>го населения (в тысячах)</w:t>
            </w:r>
          </w:p>
        </w:tc>
        <w:tc>
          <w:tcPr>
            <w:tcW w:w="826"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10 608</w:t>
            </w:r>
          </w:p>
        </w:tc>
        <w:tc>
          <w:tcPr>
            <w:tcW w:w="827"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17 653</w:t>
            </w:r>
          </w:p>
        </w:tc>
        <w:tc>
          <w:tcPr>
            <w:tcW w:w="827"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10 516</w:t>
            </w:r>
          </w:p>
        </w:tc>
        <w:tc>
          <w:tcPr>
            <w:tcW w:w="827"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17 258</w:t>
            </w:r>
          </w:p>
        </w:tc>
        <w:tc>
          <w:tcPr>
            <w:tcW w:w="827"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11 812</w:t>
            </w:r>
          </w:p>
        </w:tc>
        <w:tc>
          <w:tcPr>
            <w:tcW w:w="827" w:type="dxa"/>
            <w:tcBorders>
              <w:top w:val="single" w:sz="12" w:space="0" w:color="auto"/>
            </w:tcBorders>
            <w:vAlign w:val="bottom"/>
          </w:tcPr>
          <w:p w:rsidR="00000000" w:rsidRDefault="00000000">
            <w:pPr>
              <w:tabs>
                <w:tab w:val="decimal" w:pos="567"/>
              </w:tabs>
              <w:spacing w:before="20" w:after="20" w:line="240" w:lineRule="auto"/>
              <w:rPr>
                <w:sz w:val="17"/>
              </w:rPr>
            </w:pPr>
            <w:r>
              <w:rPr>
                <w:sz w:val="17"/>
              </w:rPr>
              <w:t>18 439</w:t>
            </w:r>
          </w:p>
        </w:tc>
      </w:tr>
      <w:tr w:rsidR="00000000">
        <w:tblPrEx>
          <w:tblCellMar>
            <w:top w:w="0" w:type="dxa"/>
            <w:bottom w:w="0" w:type="dxa"/>
          </w:tblCellMar>
        </w:tblPrEx>
        <w:trPr>
          <w:cantSplit/>
        </w:trPr>
        <w:tc>
          <w:tcPr>
            <w:tcW w:w="2410" w:type="dxa"/>
            <w:tcBorders>
              <w:bottom w:val="single" w:sz="12"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20" w:after="20" w:line="240" w:lineRule="auto"/>
              <w:rPr>
                <w:sz w:val="17"/>
              </w:rPr>
            </w:pPr>
            <w:r>
              <w:rPr>
                <w:sz w:val="17"/>
              </w:rPr>
              <w:t>Процентная доля лиц, зан</w:t>
            </w:r>
            <w:r>
              <w:rPr>
                <w:sz w:val="17"/>
              </w:rPr>
              <w:t>я</w:t>
            </w:r>
            <w:r>
              <w:rPr>
                <w:sz w:val="17"/>
              </w:rPr>
              <w:t>тых неполный рабочий день</w:t>
            </w:r>
          </w:p>
        </w:tc>
        <w:tc>
          <w:tcPr>
            <w:tcW w:w="826"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34,0</w:t>
            </w:r>
          </w:p>
        </w:tc>
        <w:tc>
          <w:tcPr>
            <w:tcW w:w="827"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30,8</w:t>
            </w:r>
          </w:p>
        </w:tc>
        <w:tc>
          <w:tcPr>
            <w:tcW w:w="827"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33,6</w:t>
            </w:r>
          </w:p>
        </w:tc>
        <w:tc>
          <w:tcPr>
            <w:tcW w:w="827"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31,8</w:t>
            </w:r>
          </w:p>
        </w:tc>
        <w:tc>
          <w:tcPr>
            <w:tcW w:w="827"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37,9</w:t>
            </w:r>
          </w:p>
        </w:tc>
        <w:tc>
          <w:tcPr>
            <w:tcW w:w="827" w:type="dxa"/>
            <w:tcBorders>
              <w:bottom w:val="single" w:sz="12" w:space="0" w:color="auto"/>
            </w:tcBorders>
            <w:vAlign w:val="bottom"/>
          </w:tcPr>
          <w:p w:rsidR="00000000" w:rsidRDefault="00000000">
            <w:pPr>
              <w:tabs>
                <w:tab w:val="decimal" w:pos="567"/>
              </w:tabs>
              <w:spacing w:before="20" w:after="20" w:line="240" w:lineRule="auto"/>
              <w:rPr>
                <w:sz w:val="17"/>
              </w:rPr>
            </w:pPr>
            <w:r>
              <w:rPr>
                <w:sz w:val="17"/>
              </w:rPr>
              <w:t>36,9</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table"/>
      </w:pPr>
      <w:bookmarkStart w:id="103" w:name="_Toc85175504"/>
      <w:r>
        <w:t>Приложение. Таблица B11.8. Численность рабочей силы в неформальном секторе, лиц, занятых индивидуальной трудовой деятельностью, и нео</w:t>
      </w:r>
      <w:r>
        <w:t>п</w:t>
      </w:r>
      <w:r>
        <w:t>лачива</w:t>
      </w:r>
      <w:r>
        <w:t>е</w:t>
      </w:r>
      <w:r>
        <w:t>мых домашних работников (в тысячах), с разбивкой по полу</w:t>
      </w:r>
      <w:bookmarkEnd w:id="103"/>
    </w:p>
    <w:tbl>
      <w:tblPr>
        <w:tblW w:w="0" w:type="auto"/>
        <w:tblInd w:w="1278" w:type="dxa"/>
        <w:tblLayout w:type="fixed"/>
        <w:tblLook w:val="0000" w:firstRow="0" w:lastRow="0" w:firstColumn="0" w:lastColumn="0" w:noHBand="0" w:noVBand="0"/>
      </w:tblPr>
      <w:tblGrid>
        <w:gridCol w:w="2410"/>
        <w:gridCol w:w="886"/>
        <w:gridCol w:w="886"/>
        <w:gridCol w:w="886"/>
        <w:gridCol w:w="886"/>
        <w:gridCol w:w="1417"/>
      </w:tblGrid>
      <w:tr w:rsidR="00000000">
        <w:tblPrEx>
          <w:tblCellMar>
            <w:top w:w="0" w:type="dxa"/>
            <w:bottom w:w="0" w:type="dxa"/>
          </w:tblCellMar>
        </w:tblPrEx>
        <w:tc>
          <w:tcPr>
            <w:tcW w:w="2410" w:type="dxa"/>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Пол</w:t>
            </w:r>
          </w:p>
        </w:tc>
        <w:tc>
          <w:tcPr>
            <w:tcW w:w="886" w:type="dxa"/>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1996 год</w:t>
            </w:r>
          </w:p>
        </w:tc>
        <w:tc>
          <w:tcPr>
            <w:tcW w:w="886" w:type="dxa"/>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1998 год</w:t>
            </w:r>
          </w:p>
        </w:tc>
        <w:tc>
          <w:tcPr>
            <w:tcW w:w="886" w:type="dxa"/>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2000 год</w:t>
            </w:r>
          </w:p>
        </w:tc>
        <w:tc>
          <w:tcPr>
            <w:tcW w:w="886" w:type="dxa"/>
            <w:tcBorders>
              <w:top w:val="single" w:sz="4" w:space="0" w:color="auto"/>
              <w:bottom w:val="single" w:sz="12" w:space="0" w:color="auto"/>
            </w:tcBorders>
            <w:vAlign w:val="bottom"/>
          </w:tcPr>
          <w:p w:rsidR="00000000" w:rsidRDefault="00000000">
            <w:pPr>
              <w:keepNext/>
              <w:tabs>
                <w:tab w:val="left" w:pos="432"/>
                <w:tab w:val="left" w:pos="976"/>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2002 год</w:t>
            </w:r>
          </w:p>
        </w:tc>
        <w:tc>
          <w:tcPr>
            <w:tcW w:w="1417" w:type="dxa"/>
            <w:tcBorders>
              <w:top w:val="single" w:sz="4" w:space="0" w:color="auto"/>
              <w:bottom w:val="single" w:sz="12" w:space="0" w:color="auto"/>
            </w:tcBorders>
            <w:vAlign w:val="bottom"/>
          </w:tcPr>
          <w:p w:rsidR="00000000" w:rsidRDefault="00000000">
            <w:pPr>
              <w:keepNext/>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jc w:val="center"/>
              <w:rPr>
                <w:i/>
                <w:sz w:val="17"/>
              </w:rPr>
            </w:pPr>
            <w:r>
              <w:rPr>
                <w:i/>
                <w:sz w:val="17"/>
              </w:rPr>
              <w:t>Средние те</w:t>
            </w:r>
            <w:r>
              <w:rPr>
                <w:i/>
                <w:sz w:val="17"/>
              </w:rPr>
              <w:t>м</w:t>
            </w:r>
            <w:r>
              <w:rPr>
                <w:i/>
                <w:sz w:val="17"/>
              </w:rPr>
              <w:t>пы прироста за 1996-2002 годы (в %)</w:t>
            </w:r>
          </w:p>
        </w:tc>
      </w:tr>
      <w:tr w:rsidR="00000000">
        <w:tblPrEx>
          <w:tblCellMar>
            <w:top w:w="0" w:type="dxa"/>
            <w:bottom w:w="0" w:type="dxa"/>
          </w:tblCellMar>
        </w:tblPrEx>
        <w:tc>
          <w:tcPr>
            <w:tcW w:w="2410" w:type="dxa"/>
            <w:tcBorders>
              <w:top w:val="single" w:sz="12"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rPr>
                <w:sz w:val="17"/>
              </w:rPr>
            </w:pPr>
            <w:r>
              <w:rPr>
                <w:sz w:val="17"/>
              </w:rPr>
              <w:t>Женщ</w:t>
            </w:r>
            <w:r>
              <w:rPr>
                <w:sz w:val="17"/>
              </w:rPr>
              <w:t>и</w:t>
            </w:r>
            <w:r>
              <w:rPr>
                <w:sz w:val="17"/>
              </w:rPr>
              <w:t>ны</w:t>
            </w:r>
          </w:p>
        </w:tc>
        <w:tc>
          <w:tcPr>
            <w:tcW w:w="886" w:type="dxa"/>
            <w:tcBorders>
              <w:top w:val="single" w:sz="12" w:space="0" w:color="auto"/>
            </w:tcBorders>
            <w:vAlign w:val="bottom"/>
          </w:tcPr>
          <w:p w:rsidR="00000000" w:rsidRDefault="00000000">
            <w:pPr>
              <w:pStyle w:val="Header"/>
              <w:tabs>
                <w:tab w:val="clear" w:pos="4320"/>
                <w:tab w:val="clear" w:pos="8640"/>
                <w:tab w:val="decimal" w:pos="567"/>
              </w:tabs>
              <w:spacing w:before="40" w:after="40"/>
              <w:rPr>
                <w:noProof w:val="0"/>
                <w:spacing w:val="4"/>
                <w:w w:val="103"/>
                <w:kern w:val="14"/>
              </w:rPr>
            </w:pPr>
            <w:r>
              <w:rPr>
                <w:noProof w:val="0"/>
                <w:spacing w:val="4"/>
                <w:w w:val="103"/>
                <w:kern w:val="14"/>
              </w:rPr>
              <w:t>5 442</w:t>
            </w:r>
          </w:p>
        </w:tc>
        <w:tc>
          <w:tcPr>
            <w:tcW w:w="886" w:type="dxa"/>
            <w:tcBorders>
              <w:top w:val="single" w:sz="12" w:space="0" w:color="auto"/>
            </w:tcBorders>
            <w:vAlign w:val="bottom"/>
          </w:tcPr>
          <w:p w:rsidR="00000000" w:rsidRDefault="00000000">
            <w:pPr>
              <w:tabs>
                <w:tab w:val="decimal" w:pos="567"/>
              </w:tabs>
              <w:spacing w:before="40" w:after="40" w:line="240" w:lineRule="auto"/>
              <w:rPr>
                <w:sz w:val="17"/>
              </w:rPr>
            </w:pPr>
            <w:r>
              <w:rPr>
                <w:sz w:val="17"/>
              </w:rPr>
              <w:t>5 487</w:t>
            </w:r>
          </w:p>
        </w:tc>
        <w:tc>
          <w:tcPr>
            <w:tcW w:w="886" w:type="dxa"/>
            <w:tcBorders>
              <w:top w:val="single" w:sz="12" w:space="0" w:color="auto"/>
            </w:tcBorders>
            <w:vAlign w:val="bottom"/>
          </w:tcPr>
          <w:p w:rsidR="00000000" w:rsidRDefault="00000000">
            <w:pPr>
              <w:tabs>
                <w:tab w:val="decimal" w:pos="567"/>
              </w:tabs>
              <w:spacing w:before="40" w:after="40" w:line="240" w:lineRule="auto"/>
              <w:rPr>
                <w:sz w:val="17"/>
              </w:rPr>
            </w:pPr>
            <w:r>
              <w:rPr>
                <w:sz w:val="17"/>
              </w:rPr>
              <w:t>5 314</w:t>
            </w:r>
          </w:p>
        </w:tc>
        <w:tc>
          <w:tcPr>
            <w:tcW w:w="886" w:type="dxa"/>
            <w:tcBorders>
              <w:top w:val="single" w:sz="12" w:space="0" w:color="auto"/>
            </w:tcBorders>
            <w:vAlign w:val="bottom"/>
          </w:tcPr>
          <w:p w:rsidR="00000000" w:rsidRDefault="00000000">
            <w:pPr>
              <w:tabs>
                <w:tab w:val="decimal" w:pos="567"/>
              </w:tabs>
              <w:spacing w:before="40" w:after="40" w:line="240" w:lineRule="auto"/>
              <w:rPr>
                <w:sz w:val="17"/>
              </w:rPr>
            </w:pPr>
            <w:r>
              <w:rPr>
                <w:sz w:val="17"/>
              </w:rPr>
              <w:t>6 212</w:t>
            </w:r>
          </w:p>
        </w:tc>
        <w:tc>
          <w:tcPr>
            <w:tcW w:w="1417" w:type="dxa"/>
            <w:tcBorders>
              <w:top w:val="single" w:sz="12" w:space="0" w:color="auto"/>
            </w:tcBorders>
            <w:vAlign w:val="bottom"/>
          </w:tcPr>
          <w:p w:rsidR="00000000" w:rsidRDefault="00000000">
            <w:pPr>
              <w:tabs>
                <w:tab w:val="decimal" w:pos="567"/>
              </w:tabs>
              <w:spacing w:before="40" w:after="40" w:line="240" w:lineRule="auto"/>
              <w:rPr>
                <w:sz w:val="17"/>
              </w:rPr>
            </w:pPr>
            <w:r>
              <w:rPr>
                <w:sz w:val="17"/>
              </w:rPr>
              <w:t>2,4</w:t>
            </w:r>
          </w:p>
        </w:tc>
      </w:tr>
      <w:tr w:rsidR="00000000">
        <w:tblPrEx>
          <w:tblCellMar>
            <w:top w:w="0" w:type="dxa"/>
            <w:bottom w:w="0" w:type="dxa"/>
          </w:tblCellMar>
        </w:tblPrEx>
        <w:tc>
          <w:tcPr>
            <w:tcW w:w="241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rPr>
                <w:sz w:val="17"/>
              </w:rPr>
            </w:pPr>
            <w:r>
              <w:rPr>
                <w:sz w:val="17"/>
              </w:rPr>
              <w:t>Мужч</w:t>
            </w:r>
            <w:r>
              <w:rPr>
                <w:sz w:val="17"/>
              </w:rPr>
              <w:t>и</w:t>
            </w:r>
            <w:r>
              <w:rPr>
                <w:sz w:val="17"/>
              </w:rPr>
              <w:t>ны</w:t>
            </w:r>
          </w:p>
        </w:tc>
        <w:tc>
          <w:tcPr>
            <w:tcW w:w="886" w:type="dxa"/>
            <w:vAlign w:val="bottom"/>
          </w:tcPr>
          <w:p w:rsidR="00000000" w:rsidRDefault="00000000">
            <w:pPr>
              <w:tabs>
                <w:tab w:val="decimal" w:pos="567"/>
              </w:tabs>
              <w:spacing w:before="40" w:after="40" w:line="240" w:lineRule="auto"/>
              <w:rPr>
                <w:sz w:val="17"/>
              </w:rPr>
            </w:pPr>
            <w:r>
              <w:rPr>
                <w:sz w:val="17"/>
              </w:rPr>
              <w:t>8 903</w:t>
            </w:r>
          </w:p>
        </w:tc>
        <w:tc>
          <w:tcPr>
            <w:tcW w:w="886" w:type="dxa"/>
            <w:vAlign w:val="bottom"/>
          </w:tcPr>
          <w:p w:rsidR="00000000" w:rsidRDefault="00000000">
            <w:pPr>
              <w:tabs>
                <w:tab w:val="decimal" w:pos="567"/>
              </w:tabs>
              <w:spacing w:before="40" w:after="40" w:line="240" w:lineRule="auto"/>
              <w:rPr>
                <w:sz w:val="17"/>
              </w:rPr>
            </w:pPr>
            <w:r>
              <w:rPr>
                <w:sz w:val="17"/>
              </w:rPr>
              <w:t>8 915</w:t>
            </w:r>
          </w:p>
        </w:tc>
        <w:tc>
          <w:tcPr>
            <w:tcW w:w="886" w:type="dxa"/>
            <w:vAlign w:val="bottom"/>
          </w:tcPr>
          <w:p w:rsidR="00000000" w:rsidRDefault="00000000">
            <w:pPr>
              <w:tabs>
                <w:tab w:val="decimal" w:pos="567"/>
              </w:tabs>
              <w:spacing w:before="40" w:after="40" w:line="240" w:lineRule="auto"/>
              <w:rPr>
                <w:sz w:val="17"/>
              </w:rPr>
            </w:pPr>
            <w:r>
              <w:rPr>
                <w:sz w:val="17"/>
              </w:rPr>
              <w:t>8 634</w:t>
            </w:r>
          </w:p>
        </w:tc>
        <w:tc>
          <w:tcPr>
            <w:tcW w:w="886" w:type="dxa"/>
            <w:vAlign w:val="bottom"/>
          </w:tcPr>
          <w:p w:rsidR="00000000" w:rsidRDefault="00000000">
            <w:pPr>
              <w:tabs>
                <w:tab w:val="decimal" w:pos="567"/>
              </w:tabs>
              <w:spacing w:before="40" w:after="40" w:line="240" w:lineRule="auto"/>
              <w:rPr>
                <w:sz w:val="17"/>
              </w:rPr>
            </w:pPr>
            <w:r>
              <w:rPr>
                <w:sz w:val="17"/>
              </w:rPr>
              <w:t>9 419</w:t>
            </w:r>
          </w:p>
        </w:tc>
        <w:tc>
          <w:tcPr>
            <w:tcW w:w="1417" w:type="dxa"/>
            <w:vAlign w:val="bottom"/>
          </w:tcPr>
          <w:p w:rsidR="00000000" w:rsidRDefault="00000000">
            <w:pPr>
              <w:tabs>
                <w:tab w:val="decimal" w:pos="567"/>
              </w:tabs>
              <w:spacing w:before="40" w:after="40" w:line="240" w:lineRule="auto"/>
              <w:rPr>
                <w:sz w:val="17"/>
              </w:rPr>
            </w:pPr>
            <w:r>
              <w:rPr>
                <w:sz w:val="17"/>
              </w:rPr>
              <w:t>1,0</w:t>
            </w:r>
          </w:p>
        </w:tc>
      </w:tr>
      <w:tr w:rsidR="00000000">
        <w:tblPrEx>
          <w:tblCellMar>
            <w:top w:w="0" w:type="dxa"/>
            <w:bottom w:w="0" w:type="dxa"/>
          </w:tblCellMar>
        </w:tblPrEx>
        <w:tc>
          <w:tcPr>
            <w:tcW w:w="2410" w:type="dxa"/>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rPr>
                <w:sz w:val="17"/>
              </w:rPr>
            </w:pPr>
            <w:r>
              <w:rPr>
                <w:sz w:val="17"/>
              </w:rPr>
              <w:t>Всего лиц, занимающихся индивидуальной трудовой деятельностью, и неопл</w:t>
            </w:r>
            <w:r>
              <w:rPr>
                <w:sz w:val="17"/>
              </w:rPr>
              <w:t>а</w:t>
            </w:r>
            <w:r>
              <w:rPr>
                <w:sz w:val="17"/>
              </w:rPr>
              <w:t>чиваемых домашних р</w:t>
            </w:r>
            <w:r>
              <w:rPr>
                <w:sz w:val="17"/>
              </w:rPr>
              <w:t>а</w:t>
            </w:r>
            <w:r>
              <w:rPr>
                <w:sz w:val="17"/>
              </w:rPr>
              <w:t>ботн</w:t>
            </w:r>
            <w:r>
              <w:rPr>
                <w:sz w:val="17"/>
              </w:rPr>
              <w:t>и</w:t>
            </w:r>
            <w:r>
              <w:rPr>
                <w:sz w:val="17"/>
              </w:rPr>
              <w:t>ков</w:t>
            </w:r>
          </w:p>
        </w:tc>
        <w:tc>
          <w:tcPr>
            <w:tcW w:w="886" w:type="dxa"/>
            <w:vAlign w:val="bottom"/>
          </w:tcPr>
          <w:p w:rsidR="00000000" w:rsidRDefault="00000000">
            <w:pPr>
              <w:tabs>
                <w:tab w:val="decimal" w:pos="567"/>
              </w:tabs>
              <w:spacing w:before="40" w:after="40" w:line="240" w:lineRule="auto"/>
              <w:rPr>
                <w:sz w:val="17"/>
              </w:rPr>
            </w:pPr>
            <w:r>
              <w:rPr>
                <w:sz w:val="17"/>
              </w:rPr>
              <w:t>14 345</w:t>
            </w:r>
          </w:p>
        </w:tc>
        <w:tc>
          <w:tcPr>
            <w:tcW w:w="886" w:type="dxa"/>
            <w:vAlign w:val="bottom"/>
          </w:tcPr>
          <w:p w:rsidR="00000000" w:rsidRDefault="00000000">
            <w:pPr>
              <w:tabs>
                <w:tab w:val="decimal" w:pos="567"/>
              </w:tabs>
              <w:spacing w:before="40" w:after="40" w:line="240" w:lineRule="auto"/>
              <w:rPr>
                <w:sz w:val="17"/>
              </w:rPr>
            </w:pPr>
            <w:r>
              <w:rPr>
                <w:sz w:val="17"/>
              </w:rPr>
              <w:t>14 402</w:t>
            </w:r>
          </w:p>
        </w:tc>
        <w:tc>
          <w:tcPr>
            <w:tcW w:w="886" w:type="dxa"/>
            <w:vAlign w:val="bottom"/>
          </w:tcPr>
          <w:p w:rsidR="00000000" w:rsidRDefault="00000000">
            <w:pPr>
              <w:tabs>
                <w:tab w:val="decimal" w:pos="567"/>
              </w:tabs>
              <w:spacing w:before="40" w:after="40" w:line="240" w:lineRule="auto"/>
              <w:rPr>
                <w:sz w:val="17"/>
              </w:rPr>
            </w:pPr>
            <w:r>
              <w:rPr>
                <w:sz w:val="17"/>
              </w:rPr>
              <w:t>13 948</w:t>
            </w:r>
          </w:p>
        </w:tc>
        <w:tc>
          <w:tcPr>
            <w:tcW w:w="886" w:type="dxa"/>
            <w:vAlign w:val="bottom"/>
          </w:tcPr>
          <w:p w:rsidR="00000000" w:rsidRDefault="00000000">
            <w:pPr>
              <w:tabs>
                <w:tab w:val="decimal" w:pos="567"/>
              </w:tabs>
              <w:spacing w:before="40" w:after="40" w:line="240" w:lineRule="auto"/>
              <w:rPr>
                <w:sz w:val="17"/>
              </w:rPr>
            </w:pPr>
            <w:r>
              <w:rPr>
                <w:sz w:val="17"/>
              </w:rPr>
              <w:t>15 631</w:t>
            </w:r>
          </w:p>
        </w:tc>
        <w:tc>
          <w:tcPr>
            <w:tcW w:w="1417" w:type="dxa"/>
            <w:vAlign w:val="bottom"/>
          </w:tcPr>
          <w:p w:rsidR="00000000" w:rsidRDefault="00000000">
            <w:pPr>
              <w:tabs>
                <w:tab w:val="decimal" w:pos="567"/>
              </w:tabs>
              <w:spacing w:before="40" w:after="40" w:line="240" w:lineRule="auto"/>
              <w:rPr>
                <w:sz w:val="17"/>
              </w:rPr>
            </w:pPr>
            <w:r>
              <w:rPr>
                <w:sz w:val="17"/>
              </w:rPr>
              <w:t>1,5</w:t>
            </w:r>
          </w:p>
        </w:tc>
      </w:tr>
      <w:tr w:rsidR="00000000">
        <w:tblPrEx>
          <w:tblCellMar>
            <w:top w:w="0" w:type="dxa"/>
            <w:bottom w:w="0" w:type="dxa"/>
          </w:tblCellMar>
        </w:tblPrEx>
        <w:tc>
          <w:tcPr>
            <w:tcW w:w="2410" w:type="dxa"/>
            <w:tcBorders>
              <w:bottom w:val="single" w:sz="12" w:space="0" w:color="auto"/>
            </w:tcBorders>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40" w:lineRule="auto"/>
              <w:rPr>
                <w:sz w:val="17"/>
              </w:rPr>
            </w:pPr>
            <w:r>
              <w:rPr>
                <w:sz w:val="17"/>
              </w:rPr>
              <w:t>Процентная доля в общей численности занятого н</w:t>
            </w:r>
            <w:r>
              <w:rPr>
                <w:sz w:val="17"/>
              </w:rPr>
              <w:t>а</w:t>
            </w:r>
            <w:r>
              <w:rPr>
                <w:sz w:val="17"/>
              </w:rPr>
              <w:t>сел</w:t>
            </w:r>
            <w:r>
              <w:rPr>
                <w:sz w:val="17"/>
              </w:rPr>
              <w:t>е</w:t>
            </w:r>
            <w:r>
              <w:rPr>
                <w:sz w:val="17"/>
              </w:rPr>
              <w:t>ния</w:t>
            </w:r>
          </w:p>
        </w:tc>
        <w:tc>
          <w:tcPr>
            <w:tcW w:w="886"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52,3</w:t>
            </w:r>
          </w:p>
        </w:tc>
        <w:tc>
          <w:tcPr>
            <w:tcW w:w="886"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51,0</w:t>
            </w:r>
          </w:p>
        </w:tc>
        <w:tc>
          <w:tcPr>
            <w:tcW w:w="886"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50,2</w:t>
            </w:r>
          </w:p>
        </w:tc>
        <w:tc>
          <w:tcPr>
            <w:tcW w:w="886"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51,7</w:t>
            </w:r>
          </w:p>
        </w:tc>
        <w:tc>
          <w:tcPr>
            <w:tcW w:w="1417" w:type="dxa"/>
            <w:tcBorders>
              <w:bottom w:val="single" w:sz="12" w:space="0" w:color="auto"/>
            </w:tcBorders>
            <w:vAlign w:val="bottom"/>
          </w:tcPr>
          <w:p w:rsidR="00000000" w:rsidRDefault="00000000">
            <w:pPr>
              <w:tabs>
                <w:tab w:val="decimal" w:pos="567"/>
              </w:tabs>
              <w:spacing w:before="40" w:after="40" w:line="240" w:lineRule="auto"/>
              <w:rPr>
                <w:sz w:val="17"/>
              </w:rPr>
            </w:pPr>
            <w:r>
              <w:rPr>
                <w:sz w:val="17"/>
              </w:rPr>
              <w:t>-</w:t>
            </w:r>
          </w:p>
        </w:tc>
      </w:tr>
    </w:tbl>
    <w:p w:rsidR="00000000" w:rsidRDefault="00000000">
      <w:pPr>
        <w:pStyle w:val="SingleTxt"/>
        <w:rPr>
          <w:sz w:val="17"/>
        </w:rPr>
      </w:pPr>
      <w:r>
        <w:rPr>
          <w:i/>
          <w:sz w:val="17"/>
        </w:rPr>
        <w:t>Источник</w:t>
      </w:r>
      <w:r>
        <w:rPr>
          <w:sz w:val="17"/>
        </w:rPr>
        <w:t>: Национальное статистическое бюро, обследования рабочей силы за различные годы.</w:t>
      </w:r>
    </w:p>
    <w:p w:rsidR="00000000" w:rsidRDefault="00000000">
      <w:pPr>
        <w:pStyle w:val="H1"/>
        <w:keepNext/>
        <w:spacing w:before="120" w:after="120"/>
      </w:pPr>
      <w:bookmarkStart w:id="104" w:name="_Toc85174960"/>
      <w:r>
        <w:t>Приложение: Таблицы, касающиеся Статьи 13</w:t>
      </w:r>
      <w:bookmarkEnd w:id="104"/>
    </w:p>
    <w:p w:rsidR="00000000" w:rsidRDefault="00000000">
      <w:pPr>
        <w:pStyle w:val="table"/>
      </w:pPr>
      <w:bookmarkStart w:id="105" w:name="_Toc85175505"/>
      <w:r>
        <w:t>Приложение. Таблица B13.1. Выборочная информация о займах, предо</w:t>
      </w:r>
      <w:r>
        <w:t>с</w:t>
      </w:r>
      <w:r>
        <w:t>тавленных женщинам Банком развития Филиппин (БРФ) и Земельным банком Ф</w:t>
      </w:r>
      <w:r>
        <w:t>и</w:t>
      </w:r>
      <w:r>
        <w:t>липпин (ЗБФ), 1998-2001 годы</w:t>
      </w:r>
      <w:bookmarkEnd w:id="105"/>
    </w:p>
    <w:tbl>
      <w:tblPr>
        <w:tblW w:w="0" w:type="auto"/>
        <w:tblInd w:w="1278" w:type="dxa"/>
        <w:tblLayout w:type="fixed"/>
        <w:tblLook w:val="0000" w:firstRow="0" w:lastRow="0" w:firstColumn="0" w:lastColumn="0" w:noHBand="0" w:noVBand="0"/>
      </w:tblPr>
      <w:tblGrid>
        <w:gridCol w:w="1276"/>
        <w:gridCol w:w="1523"/>
        <w:gridCol w:w="1524"/>
        <w:gridCol w:w="1524"/>
        <w:gridCol w:w="1524"/>
      </w:tblGrid>
      <w:tr w:rsidR="00000000">
        <w:tblPrEx>
          <w:tblCellMar>
            <w:top w:w="0" w:type="dxa"/>
            <w:bottom w:w="0" w:type="dxa"/>
          </w:tblCellMar>
        </w:tblPrEx>
        <w:trPr>
          <w:cantSplit/>
          <w:tblHeader/>
        </w:trPr>
        <w:tc>
          <w:tcPr>
            <w:tcW w:w="1276"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Год</w:t>
            </w:r>
          </w:p>
        </w:tc>
        <w:tc>
          <w:tcPr>
            <w:tcW w:w="3047"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БРФ</w:t>
            </w:r>
          </w:p>
        </w:tc>
        <w:tc>
          <w:tcPr>
            <w:tcW w:w="3048" w:type="dxa"/>
            <w:gridSpan w:val="2"/>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ЗБФ</w:t>
            </w:r>
          </w:p>
        </w:tc>
      </w:tr>
      <w:tr w:rsidR="00000000">
        <w:tblPrEx>
          <w:tblCellMar>
            <w:top w:w="0" w:type="dxa"/>
            <w:bottom w:w="0" w:type="dxa"/>
          </w:tblCellMar>
        </w:tblPrEx>
        <w:trPr>
          <w:cantSplit/>
          <w:tblHeader/>
        </w:trPr>
        <w:tc>
          <w:tcPr>
            <w:tcW w:w="1276" w:type="dxa"/>
            <w:vMerge/>
            <w:tcBorders>
              <w:top w:val="single" w:sz="4" w:space="0" w:color="auto"/>
              <w:bottom w:val="single" w:sz="12" w:space="0" w:color="auto"/>
            </w:tcBorders>
            <w:vAlign w:val="bottom"/>
          </w:tcPr>
          <w:p w:rsidR="00000000" w:rsidRDefault="00000000">
            <w:pPr>
              <w:keepNext/>
              <w:spacing w:before="40" w:after="40" w:line="240" w:lineRule="auto"/>
              <w:jc w:val="center"/>
              <w:rPr>
                <w:b/>
                <w:i/>
                <w:sz w:val="17"/>
              </w:rPr>
            </w:pPr>
          </w:p>
        </w:tc>
        <w:tc>
          <w:tcPr>
            <w:tcW w:w="1523"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Количество женщин-бенефициаров</w:t>
            </w:r>
          </w:p>
        </w:tc>
        <w:tc>
          <w:tcPr>
            <w:tcW w:w="1524"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Сумма выделе</w:t>
            </w:r>
            <w:r>
              <w:rPr>
                <w:i/>
                <w:sz w:val="17"/>
              </w:rPr>
              <w:t>н</w:t>
            </w:r>
            <w:r>
              <w:rPr>
                <w:i/>
                <w:sz w:val="17"/>
              </w:rPr>
              <w:t>ных кредитов (в млн. песо)</w:t>
            </w:r>
          </w:p>
        </w:tc>
        <w:tc>
          <w:tcPr>
            <w:tcW w:w="1524"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Количество женщин-бенефициаров</w:t>
            </w:r>
          </w:p>
        </w:tc>
        <w:tc>
          <w:tcPr>
            <w:tcW w:w="1524" w:type="dxa"/>
            <w:tcBorders>
              <w:top w:val="single" w:sz="4" w:space="0" w:color="auto"/>
              <w:bottom w:val="single" w:sz="12" w:space="0" w:color="auto"/>
            </w:tcBorders>
            <w:vAlign w:val="bottom"/>
          </w:tcPr>
          <w:p w:rsidR="00000000" w:rsidRDefault="00000000">
            <w:pPr>
              <w:keepNext/>
              <w:spacing w:before="40" w:after="40" w:line="240" w:lineRule="auto"/>
              <w:jc w:val="center"/>
              <w:rPr>
                <w:i/>
                <w:sz w:val="17"/>
              </w:rPr>
            </w:pPr>
            <w:r>
              <w:rPr>
                <w:i/>
                <w:sz w:val="17"/>
              </w:rPr>
              <w:t>Сумма утве</w:t>
            </w:r>
            <w:r>
              <w:rPr>
                <w:i/>
                <w:sz w:val="17"/>
              </w:rPr>
              <w:t>р</w:t>
            </w:r>
            <w:r>
              <w:rPr>
                <w:i/>
                <w:sz w:val="17"/>
              </w:rPr>
              <w:t>жденных кр</w:t>
            </w:r>
            <w:r>
              <w:rPr>
                <w:i/>
                <w:sz w:val="17"/>
              </w:rPr>
              <w:t>е</w:t>
            </w:r>
            <w:r>
              <w:rPr>
                <w:i/>
                <w:sz w:val="17"/>
              </w:rPr>
              <w:t>дитов (в млрд. п</w:t>
            </w:r>
            <w:r>
              <w:rPr>
                <w:i/>
                <w:sz w:val="17"/>
              </w:rPr>
              <w:t>е</w:t>
            </w:r>
            <w:r>
              <w:rPr>
                <w:i/>
                <w:sz w:val="17"/>
              </w:rPr>
              <w:t>со)</w:t>
            </w:r>
          </w:p>
        </w:tc>
      </w:tr>
      <w:tr w:rsidR="00000000">
        <w:tblPrEx>
          <w:tblCellMar>
            <w:top w:w="0" w:type="dxa"/>
            <w:bottom w:w="0" w:type="dxa"/>
          </w:tblCellMar>
        </w:tblPrEx>
        <w:trPr>
          <w:cantSplit/>
        </w:trPr>
        <w:tc>
          <w:tcPr>
            <w:tcW w:w="1276" w:type="dxa"/>
            <w:tcBorders>
              <w:top w:val="single" w:sz="12" w:space="0" w:color="auto"/>
            </w:tcBorders>
          </w:tcPr>
          <w:p w:rsidR="00000000" w:rsidRDefault="00000000">
            <w:pPr>
              <w:spacing w:before="40" w:after="40" w:line="240" w:lineRule="auto"/>
              <w:jc w:val="center"/>
              <w:rPr>
                <w:sz w:val="17"/>
              </w:rPr>
            </w:pPr>
            <w:r>
              <w:rPr>
                <w:sz w:val="17"/>
              </w:rPr>
              <w:t>1998</w:t>
            </w:r>
          </w:p>
        </w:tc>
        <w:tc>
          <w:tcPr>
            <w:tcW w:w="1523" w:type="dxa"/>
            <w:tcBorders>
              <w:top w:val="single" w:sz="12" w:space="0" w:color="auto"/>
            </w:tcBorders>
            <w:vAlign w:val="bottom"/>
          </w:tcPr>
          <w:p w:rsidR="00000000" w:rsidRDefault="00000000">
            <w:pPr>
              <w:tabs>
                <w:tab w:val="decimal" w:pos="884"/>
              </w:tabs>
              <w:spacing w:before="40" w:after="40" w:line="240" w:lineRule="auto"/>
              <w:rPr>
                <w:sz w:val="17"/>
              </w:rPr>
            </w:pPr>
            <w:r>
              <w:rPr>
                <w:sz w:val="17"/>
              </w:rPr>
              <w:t>121</w:t>
            </w:r>
          </w:p>
        </w:tc>
        <w:tc>
          <w:tcPr>
            <w:tcW w:w="1524" w:type="dxa"/>
            <w:tcBorders>
              <w:top w:val="single" w:sz="12" w:space="0" w:color="auto"/>
            </w:tcBorders>
            <w:vAlign w:val="bottom"/>
          </w:tcPr>
          <w:p w:rsidR="00000000" w:rsidRDefault="00000000">
            <w:pPr>
              <w:tabs>
                <w:tab w:val="decimal" w:pos="884"/>
              </w:tabs>
              <w:spacing w:before="40" w:after="40" w:line="240" w:lineRule="auto"/>
              <w:rPr>
                <w:sz w:val="17"/>
              </w:rPr>
            </w:pPr>
            <w:r>
              <w:rPr>
                <w:sz w:val="17"/>
              </w:rPr>
              <w:t>30,365</w:t>
            </w:r>
          </w:p>
        </w:tc>
        <w:tc>
          <w:tcPr>
            <w:tcW w:w="1524" w:type="dxa"/>
            <w:tcBorders>
              <w:top w:val="single" w:sz="12" w:space="0" w:color="auto"/>
            </w:tcBorders>
            <w:vAlign w:val="bottom"/>
          </w:tcPr>
          <w:p w:rsidR="00000000" w:rsidRDefault="00000000">
            <w:pPr>
              <w:tabs>
                <w:tab w:val="decimal" w:pos="884"/>
              </w:tabs>
              <w:spacing w:before="40" w:after="40" w:line="240" w:lineRule="auto"/>
              <w:rPr>
                <w:sz w:val="17"/>
              </w:rPr>
            </w:pPr>
            <w:r>
              <w:rPr>
                <w:sz w:val="17"/>
              </w:rPr>
              <w:t>3 885</w:t>
            </w:r>
          </w:p>
        </w:tc>
        <w:tc>
          <w:tcPr>
            <w:tcW w:w="1524" w:type="dxa"/>
            <w:tcBorders>
              <w:top w:val="single" w:sz="12" w:space="0" w:color="auto"/>
            </w:tcBorders>
            <w:vAlign w:val="bottom"/>
          </w:tcPr>
          <w:p w:rsidR="00000000" w:rsidRDefault="00000000">
            <w:pPr>
              <w:tabs>
                <w:tab w:val="decimal" w:pos="884"/>
              </w:tabs>
              <w:spacing w:before="40" w:after="40" w:line="240" w:lineRule="auto"/>
              <w:rPr>
                <w:sz w:val="17"/>
              </w:rPr>
            </w:pPr>
            <w:r>
              <w:rPr>
                <w:sz w:val="17"/>
              </w:rPr>
              <w:t>3,704</w:t>
            </w:r>
          </w:p>
        </w:tc>
      </w:tr>
      <w:tr w:rsidR="00000000">
        <w:tblPrEx>
          <w:tblCellMar>
            <w:top w:w="0" w:type="dxa"/>
            <w:bottom w:w="0" w:type="dxa"/>
          </w:tblCellMar>
        </w:tblPrEx>
        <w:trPr>
          <w:cantSplit/>
        </w:trPr>
        <w:tc>
          <w:tcPr>
            <w:tcW w:w="1276" w:type="dxa"/>
          </w:tcPr>
          <w:p w:rsidR="00000000" w:rsidRDefault="00000000">
            <w:pPr>
              <w:spacing w:before="40" w:after="40" w:line="240" w:lineRule="auto"/>
              <w:jc w:val="center"/>
              <w:rPr>
                <w:sz w:val="17"/>
              </w:rPr>
            </w:pPr>
            <w:r>
              <w:rPr>
                <w:sz w:val="17"/>
              </w:rPr>
              <w:t>1999</w:t>
            </w:r>
          </w:p>
        </w:tc>
        <w:tc>
          <w:tcPr>
            <w:tcW w:w="1523" w:type="dxa"/>
            <w:vAlign w:val="bottom"/>
          </w:tcPr>
          <w:p w:rsidR="00000000" w:rsidRDefault="00000000">
            <w:pPr>
              <w:tabs>
                <w:tab w:val="decimal" w:pos="884"/>
              </w:tabs>
              <w:spacing w:before="40" w:after="40" w:line="240" w:lineRule="auto"/>
              <w:rPr>
                <w:sz w:val="17"/>
              </w:rPr>
            </w:pPr>
            <w:r>
              <w:rPr>
                <w:sz w:val="17"/>
              </w:rPr>
              <w:t>445</w:t>
            </w:r>
          </w:p>
        </w:tc>
        <w:tc>
          <w:tcPr>
            <w:tcW w:w="1524" w:type="dxa"/>
            <w:vAlign w:val="bottom"/>
          </w:tcPr>
          <w:p w:rsidR="00000000" w:rsidRDefault="00000000">
            <w:pPr>
              <w:tabs>
                <w:tab w:val="decimal" w:pos="884"/>
              </w:tabs>
              <w:spacing w:before="40" w:after="40" w:line="240" w:lineRule="auto"/>
              <w:rPr>
                <w:sz w:val="17"/>
              </w:rPr>
            </w:pPr>
            <w:r>
              <w:rPr>
                <w:sz w:val="17"/>
              </w:rPr>
              <w:t>57,359</w:t>
            </w:r>
          </w:p>
        </w:tc>
        <w:tc>
          <w:tcPr>
            <w:tcW w:w="1524" w:type="dxa"/>
            <w:vAlign w:val="bottom"/>
          </w:tcPr>
          <w:p w:rsidR="00000000" w:rsidRDefault="00000000">
            <w:pPr>
              <w:tabs>
                <w:tab w:val="decimal" w:pos="884"/>
              </w:tabs>
              <w:spacing w:before="40" w:after="40" w:line="240" w:lineRule="auto"/>
              <w:rPr>
                <w:sz w:val="17"/>
              </w:rPr>
            </w:pPr>
            <w:r>
              <w:rPr>
                <w:sz w:val="17"/>
              </w:rPr>
              <w:t>3 526</w:t>
            </w:r>
          </w:p>
        </w:tc>
        <w:tc>
          <w:tcPr>
            <w:tcW w:w="1524" w:type="dxa"/>
            <w:vAlign w:val="bottom"/>
          </w:tcPr>
          <w:p w:rsidR="00000000" w:rsidRDefault="00000000">
            <w:pPr>
              <w:tabs>
                <w:tab w:val="decimal" w:pos="884"/>
              </w:tabs>
              <w:spacing w:before="40" w:after="40" w:line="240" w:lineRule="auto"/>
              <w:rPr>
                <w:sz w:val="17"/>
              </w:rPr>
            </w:pPr>
            <w:r>
              <w:rPr>
                <w:sz w:val="17"/>
              </w:rPr>
              <w:t>3,874</w:t>
            </w:r>
          </w:p>
        </w:tc>
      </w:tr>
      <w:tr w:rsidR="00000000">
        <w:tblPrEx>
          <w:tblCellMar>
            <w:top w:w="0" w:type="dxa"/>
            <w:bottom w:w="0" w:type="dxa"/>
          </w:tblCellMar>
        </w:tblPrEx>
        <w:trPr>
          <w:cantSplit/>
        </w:trPr>
        <w:tc>
          <w:tcPr>
            <w:tcW w:w="1276" w:type="dxa"/>
          </w:tcPr>
          <w:p w:rsidR="00000000" w:rsidRDefault="00000000">
            <w:pPr>
              <w:spacing w:before="40" w:after="40" w:line="240" w:lineRule="auto"/>
              <w:jc w:val="center"/>
              <w:rPr>
                <w:sz w:val="17"/>
              </w:rPr>
            </w:pPr>
            <w:r>
              <w:rPr>
                <w:sz w:val="17"/>
              </w:rPr>
              <w:t>2000</w:t>
            </w:r>
          </w:p>
        </w:tc>
        <w:tc>
          <w:tcPr>
            <w:tcW w:w="1523" w:type="dxa"/>
            <w:vAlign w:val="bottom"/>
          </w:tcPr>
          <w:p w:rsidR="00000000" w:rsidRDefault="00000000">
            <w:pPr>
              <w:tabs>
                <w:tab w:val="decimal" w:pos="884"/>
              </w:tabs>
              <w:spacing w:before="40" w:after="40" w:line="240" w:lineRule="auto"/>
              <w:rPr>
                <w:sz w:val="17"/>
              </w:rPr>
            </w:pPr>
            <w:r>
              <w:rPr>
                <w:sz w:val="17"/>
              </w:rPr>
              <w:t>5 070</w:t>
            </w:r>
          </w:p>
        </w:tc>
        <w:tc>
          <w:tcPr>
            <w:tcW w:w="1524" w:type="dxa"/>
            <w:vAlign w:val="bottom"/>
          </w:tcPr>
          <w:p w:rsidR="00000000" w:rsidRDefault="00000000">
            <w:pPr>
              <w:tabs>
                <w:tab w:val="decimal" w:pos="884"/>
              </w:tabs>
              <w:spacing w:before="40" w:after="40" w:line="240" w:lineRule="auto"/>
              <w:rPr>
                <w:sz w:val="17"/>
              </w:rPr>
            </w:pPr>
            <w:r>
              <w:rPr>
                <w:sz w:val="17"/>
              </w:rPr>
              <w:t>79,288</w:t>
            </w:r>
          </w:p>
        </w:tc>
        <w:tc>
          <w:tcPr>
            <w:tcW w:w="1524" w:type="dxa"/>
            <w:vAlign w:val="bottom"/>
          </w:tcPr>
          <w:p w:rsidR="00000000" w:rsidRDefault="00000000">
            <w:pPr>
              <w:tabs>
                <w:tab w:val="decimal" w:pos="884"/>
              </w:tabs>
              <w:spacing w:before="40" w:after="40" w:line="240" w:lineRule="auto"/>
              <w:rPr>
                <w:sz w:val="17"/>
              </w:rPr>
            </w:pPr>
            <w:r>
              <w:rPr>
                <w:sz w:val="17"/>
              </w:rPr>
              <w:t>3 455</w:t>
            </w:r>
          </w:p>
        </w:tc>
        <w:tc>
          <w:tcPr>
            <w:tcW w:w="1524" w:type="dxa"/>
            <w:vAlign w:val="bottom"/>
          </w:tcPr>
          <w:p w:rsidR="00000000" w:rsidRDefault="00000000">
            <w:pPr>
              <w:tabs>
                <w:tab w:val="decimal" w:pos="884"/>
              </w:tabs>
              <w:spacing w:before="40" w:after="40" w:line="240" w:lineRule="auto"/>
              <w:rPr>
                <w:sz w:val="17"/>
              </w:rPr>
            </w:pPr>
            <w:r>
              <w:rPr>
                <w:sz w:val="17"/>
              </w:rPr>
              <w:t>6,429</w:t>
            </w:r>
          </w:p>
        </w:tc>
      </w:tr>
      <w:tr w:rsidR="00000000">
        <w:tblPrEx>
          <w:tblCellMar>
            <w:top w:w="0" w:type="dxa"/>
            <w:bottom w:w="0" w:type="dxa"/>
          </w:tblCellMar>
        </w:tblPrEx>
        <w:trPr>
          <w:cantSplit/>
        </w:trPr>
        <w:tc>
          <w:tcPr>
            <w:tcW w:w="1276" w:type="dxa"/>
            <w:tcBorders>
              <w:bottom w:val="single" w:sz="12" w:space="0" w:color="auto"/>
            </w:tcBorders>
          </w:tcPr>
          <w:p w:rsidR="00000000" w:rsidRDefault="00000000">
            <w:pPr>
              <w:spacing w:before="40" w:after="40" w:line="240" w:lineRule="auto"/>
              <w:jc w:val="center"/>
              <w:rPr>
                <w:sz w:val="17"/>
              </w:rPr>
            </w:pPr>
            <w:r>
              <w:rPr>
                <w:sz w:val="17"/>
              </w:rPr>
              <w:t>2001</w:t>
            </w:r>
          </w:p>
        </w:tc>
        <w:tc>
          <w:tcPr>
            <w:tcW w:w="1523" w:type="dxa"/>
            <w:tcBorders>
              <w:bottom w:val="single" w:sz="12" w:space="0" w:color="auto"/>
            </w:tcBorders>
            <w:vAlign w:val="bottom"/>
          </w:tcPr>
          <w:p w:rsidR="00000000" w:rsidRDefault="00000000">
            <w:pPr>
              <w:tabs>
                <w:tab w:val="decimal" w:pos="884"/>
              </w:tabs>
              <w:spacing w:before="40" w:after="40" w:line="240" w:lineRule="auto"/>
              <w:rPr>
                <w:sz w:val="17"/>
              </w:rPr>
            </w:pPr>
            <w:r>
              <w:rPr>
                <w:sz w:val="17"/>
              </w:rPr>
              <w:t>9 692</w:t>
            </w:r>
          </w:p>
        </w:tc>
        <w:tc>
          <w:tcPr>
            <w:tcW w:w="1524" w:type="dxa"/>
            <w:tcBorders>
              <w:bottom w:val="single" w:sz="12" w:space="0" w:color="auto"/>
            </w:tcBorders>
            <w:vAlign w:val="bottom"/>
          </w:tcPr>
          <w:p w:rsidR="00000000" w:rsidRDefault="00000000">
            <w:pPr>
              <w:tabs>
                <w:tab w:val="decimal" w:pos="884"/>
              </w:tabs>
              <w:spacing w:before="40" w:after="40" w:line="240" w:lineRule="auto"/>
              <w:rPr>
                <w:sz w:val="17"/>
              </w:rPr>
            </w:pPr>
            <w:r>
              <w:rPr>
                <w:sz w:val="17"/>
              </w:rPr>
              <w:t>136,849</w:t>
            </w:r>
          </w:p>
        </w:tc>
        <w:tc>
          <w:tcPr>
            <w:tcW w:w="1524" w:type="dxa"/>
            <w:tcBorders>
              <w:bottom w:val="single" w:sz="12" w:space="0" w:color="auto"/>
            </w:tcBorders>
            <w:vAlign w:val="bottom"/>
          </w:tcPr>
          <w:p w:rsidR="00000000" w:rsidRDefault="00000000">
            <w:pPr>
              <w:tabs>
                <w:tab w:val="decimal" w:pos="884"/>
              </w:tabs>
              <w:spacing w:before="40" w:after="40" w:line="240" w:lineRule="auto"/>
              <w:rPr>
                <w:sz w:val="17"/>
              </w:rPr>
            </w:pPr>
            <w:r>
              <w:rPr>
                <w:sz w:val="17"/>
              </w:rPr>
              <w:t>3 726</w:t>
            </w:r>
          </w:p>
        </w:tc>
        <w:tc>
          <w:tcPr>
            <w:tcW w:w="1524" w:type="dxa"/>
            <w:tcBorders>
              <w:bottom w:val="single" w:sz="12" w:space="0" w:color="auto"/>
            </w:tcBorders>
            <w:vAlign w:val="bottom"/>
          </w:tcPr>
          <w:p w:rsidR="00000000" w:rsidRDefault="00000000">
            <w:pPr>
              <w:tabs>
                <w:tab w:val="decimal" w:pos="884"/>
              </w:tabs>
              <w:spacing w:before="40" w:after="40" w:line="240" w:lineRule="auto"/>
              <w:rPr>
                <w:sz w:val="17"/>
              </w:rPr>
            </w:pPr>
            <w:r>
              <w:rPr>
                <w:sz w:val="17"/>
              </w:rPr>
              <w:t>5,043</w:t>
            </w:r>
          </w:p>
        </w:tc>
      </w:tr>
    </w:tbl>
    <w:p w:rsidR="00000000" w:rsidRDefault="00000000">
      <w:pPr>
        <w:pStyle w:val="SingleTxt"/>
        <w:rPr>
          <w:sz w:val="17"/>
        </w:rPr>
      </w:pPr>
      <w:r>
        <w:rPr>
          <w:i/>
          <w:sz w:val="17"/>
        </w:rPr>
        <w:t>Источник</w:t>
      </w:r>
      <w:r>
        <w:rPr>
          <w:sz w:val="17"/>
        </w:rPr>
        <w:t>: Министерство торговли и промышленности.</w:t>
      </w:r>
    </w:p>
    <w:p w:rsidR="00000000" w:rsidRDefault="00000000">
      <w:pPr>
        <w:pStyle w:val="table"/>
      </w:pPr>
      <w:bookmarkStart w:id="106" w:name="_Toc85175506"/>
      <w:r>
        <w:t>Приложение. Таблица B13.2. Лица, прошедшие обучение в рамках пр</w:t>
      </w:r>
      <w:r>
        <w:t>о</w:t>
      </w:r>
      <w:r>
        <w:t>грамм профессиональной подготовки министерства торговли и промы</w:t>
      </w:r>
      <w:r>
        <w:t>ш</w:t>
      </w:r>
      <w:r>
        <w:t>ленности, 2001 год</w:t>
      </w:r>
      <w:bookmarkEnd w:id="106"/>
    </w:p>
    <w:tbl>
      <w:tblPr>
        <w:tblW w:w="0" w:type="auto"/>
        <w:tblInd w:w="1278" w:type="dxa"/>
        <w:tblLayout w:type="fixed"/>
        <w:tblLook w:val="0000" w:firstRow="0" w:lastRow="0" w:firstColumn="0" w:lastColumn="0" w:noHBand="0" w:noVBand="0"/>
      </w:tblPr>
      <w:tblGrid>
        <w:gridCol w:w="3402"/>
        <w:gridCol w:w="1323"/>
        <w:gridCol w:w="1323"/>
        <w:gridCol w:w="1323"/>
      </w:tblGrid>
      <w:tr w:rsidR="00000000">
        <w:tblPrEx>
          <w:tblCellMar>
            <w:top w:w="0" w:type="dxa"/>
            <w:bottom w:w="0" w:type="dxa"/>
          </w:tblCellMar>
        </w:tblPrEx>
        <w:trPr>
          <w:cantSplit/>
          <w:trHeight w:val="20"/>
        </w:trPr>
        <w:tc>
          <w:tcPr>
            <w:tcW w:w="3402" w:type="dxa"/>
            <w:vMerge w:val="restart"/>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Учебные институты/Учебные пр</w:t>
            </w:r>
            <w:r>
              <w:rPr>
                <w:i/>
                <w:sz w:val="17"/>
              </w:rPr>
              <w:t>о</w:t>
            </w:r>
            <w:r>
              <w:rPr>
                <w:i/>
                <w:sz w:val="17"/>
              </w:rPr>
              <w:t>граммы</w:t>
            </w:r>
          </w:p>
        </w:tc>
        <w:tc>
          <w:tcPr>
            <w:tcW w:w="3969" w:type="dxa"/>
            <w:gridSpan w:val="3"/>
            <w:tcBorders>
              <w:top w:val="single" w:sz="4" w:space="0" w:color="auto"/>
              <w:bottom w:val="single" w:sz="4" w:space="0" w:color="auto"/>
            </w:tcBorders>
            <w:vAlign w:val="bottom"/>
          </w:tcPr>
          <w:p w:rsidR="00000000" w:rsidRDefault="00000000">
            <w:pPr>
              <w:keepNext/>
              <w:spacing w:before="40" w:after="40" w:line="240" w:lineRule="auto"/>
              <w:jc w:val="center"/>
              <w:rPr>
                <w:i/>
                <w:sz w:val="17"/>
              </w:rPr>
            </w:pPr>
            <w:r>
              <w:rPr>
                <w:i/>
                <w:sz w:val="17"/>
              </w:rPr>
              <w:t>Число учащихся</w:t>
            </w:r>
          </w:p>
        </w:tc>
      </w:tr>
      <w:tr w:rsidR="00000000">
        <w:tblPrEx>
          <w:tblCellMar>
            <w:top w:w="0" w:type="dxa"/>
            <w:bottom w:w="0" w:type="dxa"/>
          </w:tblCellMar>
        </w:tblPrEx>
        <w:trPr>
          <w:cantSplit/>
          <w:trHeight w:val="20"/>
        </w:trPr>
        <w:tc>
          <w:tcPr>
            <w:tcW w:w="3402" w:type="dxa"/>
            <w:vMerge/>
            <w:tcBorders>
              <w:top w:val="single" w:sz="4" w:space="0" w:color="auto"/>
              <w:bottom w:val="single" w:sz="12" w:space="0" w:color="auto"/>
            </w:tcBorders>
            <w:vAlign w:val="bottom"/>
          </w:tcPr>
          <w:p w:rsidR="00000000" w:rsidRDefault="00000000">
            <w:pPr>
              <w:spacing w:before="40" w:after="40" w:line="240" w:lineRule="auto"/>
              <w:jc w:val="center"/>
              <w:rPr>
                <w:i/>
                <w:sz w:val="17"/>
              </w:rPr>
            </w:pPr>
          </w:p>
        </w:tc>
        <w:tc>
          <w:tcPr>
            <w:tcW w:w="1323"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Женщины</w:t>
            </w:r>
          </w:p>
        </w:tc>
        <w:tc>
          <w:tcPr>
            <w:tcW w:w="1323"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Мужчины</w:t>
            </w:r>
          </w:p>
        </w:tc>
        <w:tc>
          <w:tcPr>
            <w:tcW w:w="1323"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Всего</w:t>
            </w:r>
          </w:p>
        </w:tc>
      </w:tr>
      <w:tr w:rsidR="00000000">
        <w:tblPrEx>
          <w:tblCellMar>
            <w:top w:w="0" w:type="dxa"/>
            <w:bottom w:w="0" w:type="dxa"/>
          </w:tblCellMar>
        </w:tblPrEx>
        <w:trPr>
          <w:cantSplit/>
          <w:trHeight w:val="20"/>
        </w:trPr>
        <w:tc>
          <w:tcPr>
            <w:tcW w:w="3402" w:type="dxa"/>
            <w:tcBorders>
              <w:top w:val="single" w:sz="12" w:space="0" w:color="auto"/>
            </w:tcBorders>
          </w:tcPr>
          <w:p w:rsidR="00000000" w:rsidRDefault="00000000">
            <w:pPr>
              <w:spacing w:before="40" w:after="40" w:line="240" w:lineRule="auto"/>
              <w:rPr>
                <w:sz w:val="17"/>
              </w:rPr>
            </w:pPr>
            <w:r>
              <w:rPr>
                <w:i/>
                <w:sz w:val="17"/>
              </w:rPr>
              <w:t>ТУЦФ</w:t>
            </w:r>
          </w:p>
        </w:tc>
        <w:tc>
          <w:tcPr>
            <w:tcW w:w="1323" w:type="dxa"/>
            <w:tcBorders>
              <w:top w:val="single" w:sz="12" w:space="0" w:color="auto"/>
            </w:tcBorders>
          </w:tcPr>
          <w:p w:rsidR="00000000" w:rsidRDefault="00000000">
            <w:pPr>
              <w:tabs>
                <w:tab w:val="decimal" w:pos="743"/>
              </w:tabs>
              <w:spacing w:before="40" w:after="40" w:line="240" w:lineRule="auto"/>
              <w:rPr>
                <w:sz w:val="17"/>
              </w:rPr>
            </w:pPr>
            <w:r>
              <w:rPr>
                <w:i/>
                <w:sz w:val="17"/>
              </w:rPr>
              <w:t>3 912</w:t>
            </w:r>
          </w:p>
        </w:tc>
        <w:tc>
          <w:tcPr>
            <w:tcW w:w="1323" w:type="dxa"/>
            <w:tcBorders>
              <w:top w:val="single" w:sz="12" w:space="0" w:color="auto"/>
            </w:tcBorders>
          </w:tcPr>
          <w:p w:rsidR="00000000" w:rsidRDefault="00000000">
            <w:pPr>
              <w:tabs>
                <w:tab w:val="decimal" w:pos="743"/>
              </w:tabs>
              <w:spacing w:before="40" w:after="40" w:line="240" w:lineRule="auto"/>
              <w:rPr>
                <w:sz w:val="17"/>
              </w:rPr>
            </w:pPr>
            <w:r>
              <w:rPr>
                <w:i/>
                <w:sz w:val="17"/>
              </w:rPr>
              <w:t>5 695</w:t>
            </w:r>
          </w:p>
        </w:tc>
        <w:tc>
          <w:tcPr>
            <w:tcW w:w="1323" w:type="dxa"/>
            <w:tcBorders>
              <w:top w:val="single" w:sz="12" w:space="0" w:color="auto"/>
            </w:tcBorders>
          </w:tcPr>
          <w:p w:rsidR="00000000" w:rsidRDefault="00000000">
            <w:pPr>
              <w:tabs>
                <w:tab w:val="decimal" w:pos="743"/>
              </w:tabs>
              <w:spacing w:before="40" w:after="40" w:line="240" w:lineRule="auto"/>
              <w:rPr>
                <w:sz w:val="17"/>
              </w:rPr>
            </w:pPr>
            <w:r>
              <w:rPr>
                <w:i/>
                <w:sz w:val="17"/>
              </w:rPr>
              <w:t>9 607</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Создание экспортных предприятий</w:t>
            </w:r>
          </w:p>
        </w:tc>
        <w:tc>
          <w:tcPr>
            <w:tcW w:w="1323" w:type="dxa"/>
          </w:tcPr>
          <w:p w:rsidR="00000000" w:rsidRDefault="00000000">
            <w:pPr>
              <w:tabs>
                <w:tab w:val="decimal" w:pos="743"/>
              </w:tabs>
              <w:spacing w:before="40" w:after="40" w:line="240" w:lineRule="auto"/>
              <w:rPr>
                <w:i/>
                <w:sz w:val="17"/>
              </w:rPr>
            </w:pPr>
            <w:r>
              <w:rPr>
                <w:sz w:val="17"/>
              </w:rPr>
              <w:t>1 276</w:t>
            </w:r>
          </w:p>
        </w:tc>
        <w:tc>
          <w:tcPr>
            <w:tcW w:w="1323" w:type="dxa"/>
          </w:tcPr>
          <w:p w:rsidR="00000000" w:rsidRDefault="00000000">
            <w:pPr>
              <w:tabs>
                <w:tab w:val="decimal" w:pos="743"/>
              </w:tabs>
              <w:spacing w:before="40" w:after="40" w:line="240" w:lineRule="auto"/>
              <w:rPr>
                <w:i/>
                <w:sz w:val="17"/>
              </w:rPr>
            </w:pPr>
            <w:r>
              <w:rPr>
                <w:sz w:val="17"/>
              </w:rPr>
              <w:t>1 843</w:t>
            </w:r>
          </w:p>
        </w:tc>
        <w:tc>
          <w:tcPr>
            <w:tcW w:w="1323" w:type="dxa"/>
          </w:tcPr>
          <w:p w:rsidR="00000000" w:rsidRDefault="00000000">
            <w:pPr>
              <w:tabs>
                <w:tab w:val="decimal" w:pos="743"/>
              </w:tabs>
              <w:spacing w:before="40" w:after="40" w:line="240" w:lineRule="auto"/>
              <w:rPr>
                <w:i/>
                <w:sz w:val="17"/>
              </w:rPr>
            </w:pPr>
            <w:r>
              <w:rPr>
                <w:sz w:val="17"/>
              </w:rPr>
              <w:t>3 119</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Качество/производительность/ окр</w:t>
            </w:r>
            <w:r>
              <w:rPr>
                <w:sz w:val="17"/>
              </w:rPr>
              <w:t>у</w:t>
            </w:r>
            <w:r>
              <w:rPr>
                <w:sz w:val="17"/>
              </w:rPr>
              <w:t>жающая среда</w:t>
            </w:r>
          </w:p>
        </w:tc>
        <w:tc>
          <w:tcPr>
            <w:tcW w:w="1323" w:type="dxa"/>
          </w:tcPr>
          <w:p w:rsidR="00000000" w:rsidRDefault="00000000">
            <w:pPr>
              <w:tabs>
                <w:tab w:val="decimal" w:pos="743"/>
              </w:tabs>
              <w:spacing w:before="40" w:after="40" w:line="240" w:lineRule="auto"/>
              <w:rPr>
                <w:i/>
                <w:sz w:val="17"/>
              </w:rPr>
            </w:pPr>
            <w:r>
              <w:rPr>
                <w:sz w:val="17"/>
              </w:rPr>
              <w:t>772</w:t>
            </w:r>
          </w:p>
        </w:tc>
        <w:tc>
          <w:tcPr>
            <w:tcW w:w="1323" w:type="dxa"/>
          </w:tcPr>
          <w:p w:rsidR="00000000" w:rsidRDefault="00000000">
            <w:pPr>
              <w:tabs>
                <w:tab w:val="decimal" w:pos="743"/>
              </w:tabs>
              <w:spacing w:before="40" w:after="40" w:line="240" w:lineRule="auto"/>
              <w:rPr>
                <w:i/>
                <w:sz w:val="17"/>
              </w:rPr>
            </w:pPr>
            <w:r>
              <w:rPr>
                <w:sz w:val="17"/>
              </w:rPr>
              <w:t>2 390</w:t>
            </w:r>
          </w:p>
        </w:tc>
        <w:tc>
          <w:tcPr>
            <w:tcW w:w="1323" w:type="dxa"/>
          </w:tcPr>
          <w:p w:rsidR="00000000" w:rsidRDefault="00000000">
            <w:pPr>
              <w:tabs>
                <w:tab w:val="decimal" w:pos="743"/>
              </w:tabs>
              <w:spacing w:before="40" w:after="40" w:line="240" w:lineRule="auto"/>
              <w:rPr>
                <w:i/>
                <w:sz w:val="17"/>
              </w:rPr>
            </w:pPr>
            <w:r>
              <w:rPr>
                <w:sz w:val="17"/>
              </w:rPr>
              <w:t>3 162</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Программа товарного пр</w:t>
            </w:r>
            <w:r>
              <w:rPr>
                <w:sz w:val="17"/>
              </w:rPr>
              <w:t>о</w:t>
            </w:r>
            <w:r>
              <w:rPr>
                <w:sz w:val="17"/>
              </w:rPr>
              <w:t>изводства</w:t>
            </w:r>
          </w:p>
        </w:tc>
        <w:tc>
          <w:tcPr>
            <w:tcW w:w="1323" w:type="dxa"/>
          </w:tcPr>
          <w:p w:rsidR="00000000" w:rsidRDefault="00000000">
            <w:pPr>
              <w:tabs>
                <w:tab w:val="decimal" w:pos="743"/>
              </w:tabs>
              <w:spacing w:before="40" w:after="40" w:line="240" w:lineRule="auto"/>
              <w:rPr>
                <w:i/>
                <w:sz w:val="17"/>
              </w:rPr>
            </w:pPr>
            <w:r>
              <w:rPr>
                <w:sz w:val="17"/>
              </w:rPr>
              <w:t>539</w:t>
            </w:r>
          </w:p>
        </w:tc>
        <w:tc>
          <w:tcPr>
            <w:tcW w:w="1323" w:type="dxa"/>
          </w:tcPr>
          <w:p w:rsidR="00000000" w:rsidRDefault="00000000">
            <w:pPr>
              <w:tabs>
                <w:tab w:val="decimal" w:pos="743"/>
              </w:tabs>
              <w:spacing w:before="40" w:after="40" w:line="240" w:lineRule="auto"/>
              <w:rPr>
                <w:i/>
                <w:sz w:val="17"/>
              </w:rPr>
            </w:pPr>
            <w:r>
              <w:rPr>
                <w:sz w:val="17"/>
              </w:rPr>
              <w:t>552</w:t>
            </w:r>
          </w:p>
        </w:tc>
        <w:tc>
          <w:tcPr>
            <w:tcW w:w="1323" w:type="dxa"/>
          </w:tcPr>
          <w:p w:rsidR="00000000" w:rsidRDefault="00000000">
            <w:pPr>
              <w:tabs>
                <w:tab w:val="decimal" w:pos="743"/>
              </w:tabs>
              <w:spacing w:before="40" w:after="40" w:line="240" w:lineRule="auto"/>
              <w:rPr>
                <w:i/>
                <w:sz w:val="17"/>
              </w:rPr>
            </w:pPr>
            <w:r>
              <w:rPr>
                <w:sz w:val="17"/>
              </w:rPr>
              <w:t>1 091</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Мебель</w:t>
            </w:r>
          </w:p>
        </w:tc>
        <w:tc>
          <w:tcPr>
            <w:tcW w:w="1323" w:type="dxa"/>
          </w:tcPr>
          <w:p w:rsidR="00000000" w:rsidRDefault="00000000">
            <w:pPr>
              <w:tabs>
                <w:tab w:val="decimal" w:pos="743"/>
              </w:tabs>
              <w:spacing w:before="40" w:after="40" w:line="240" w:lineRule="auto"/>
              <w:rPr>
                <w:i/>
                <w:sz w:val="17"/>
              </w:rPr>
            </w:pPr>
            <w:r>
              <w:rPr>
                <w:sz w:val="17"/>
              </w:rPr>
              <w:t>20</w:t>
            </w:r>
          </w:p>
        </w:tc>
        <w:tc>
          <w:tcPr>
            <w:tcW w:w="1323" w:type="dxa"/>
          </w:tcPr>
          <w:p w:rsidR="00000000" w:rsidRDefault="00000000">
            <w:pPr>
              <w:tabs>
                <w:tab w:val="decimal" w:pos="743"/>
              </w:tabs>
              <w:spacing w:before="40" w:after="40" w:line="240" w:lineRule="auto"/>
              <w:rPr>
                <w:i/>
                <w:sz w:val="17"/>
              </w:rPr>
            </w:pPr>
            <w:r>
              <w:rPr>
                <w:sz w:val="17"/>
              </w:rPr>
              <w:t>83</w:t>
            </w:r>
          </w:p>
        </w:tc>
        <w:tc>
          <w:tcPr>
            <w:tcW w:w="1323" w:type="dxa"/>
          </w:tcPr>
          <w:p w:rsidR="00000000" w:rsidRDefault="00000000">
            <w:pPr>
              <w:tabs>
                <w:tab w:val="decimal" w:pos="743"/>
              </w:tabs>
              <w:spacing w:before="40" w:after="40" w:line="240" w:lineRule="auto"/>
              <w:rPr>
                <w:i/>
                <w:sz w:val="17"/>
              </w:rPr>
            </w:pPr>
            <w:r>
              <w:rPr>
                <w:sz w:val="17"/>
              </w:rPr>
              <w:t>103</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Текстильные изделия</w:t>
            </w:r>
          </w:p>
        </w:tc>
        <w:tc>
          <w:tcPr>
            <w:tcW w:w="1323" w:type="dxa"/>
          </w:tcPr>
          <w:p w:rsidR="00000000" w:rsidRDefault="00000000">
            <w:pPr>
              <w:tabs>
                <w:tab w:val="decimal" w:pos="743"/>
              </w:tabs>
              <w:spacing w:before="40" w:after="40" w:line="240" w:lineRule="auto"/>
              <w:rPr>
                <w:i/>
                <w:sz w:val="17"/>
              </w:rPr>
            </w:pPr>
            <w:r>
              <w:rPr>
                <w:sz w:val="17"/>
              </w:rPr>
              <w:t>200</w:t>
            </w:r>
          </w:p>
        </w:tc>
        <w:tc>
          <w:tcPr>
            <w:tcW w:w="1323" w:type="dxa"/>
          </w:tcPr>
          <w:p w:rsidR="00000000" w:rsidRDefault="00000000">
            <w:pPr>
              <w:tabs>
                <w:tab w:val="decimal" w:pos="743"/>
              </w:tabs>
              <w:spacing w:before="40" w:after="40" w:line="240" w:lineRule="auto"/>
              <w:rPr>
                <w:i/>
                <w:sz w:val="17"/>
              </w:rPr>
            </w:pPr>
            <w:r>
              <w:rPr>
                <w:sz w:val="17"/>
              </w:rPr>
              <w:t>180</w:t>
            </w:r>
          </w:p>
        </w:tc>
        <w:tc>
          <w:tcPr>
            <w:tcW w:w="1323" w:type="dxa"/>
          </w:tcPr>
          <w:p w:rsidR="00000000" w:rsidRDefault="00000000">
            <w:pPr>
              <w:tabs>
                <w:tab w:val="decimal" w:pos="743"/>
              </w:tabs>
              <w:spacing w:before="40" w:after="40" w:line="240" w:lineRule="auto"/>
              <w:rPr>
                <w:i/>
                <w:sz w:val="17"/>
              </w:rPr>
            </w:pPr>
            <w:r>
              <w:rPr>
                <w:sz w:val="17"/>
              </w:rPr>
              <w:t>380</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Языковые программы</w:t>
            </w:r>
          </w:p>
        </w:tc>
        <w:tc>
          <w:tcPr>
            <w:tcW w:w="1323" w:type="dxa"/>
          </w:tcPr>
          <w:p w:rsidR="00000000" w:rsidRDefault="00000000">
            <w:pPr>
              <w:tabs>
                <w:tab w:val="decimal" w:pos="743"/>
              </w:tabs>
              <w:spacing w:before="40" w:after="40" w:line="240" w:lineRule="auto"/>
              <w:rPr>
                <w:i/>
                <w:sz w:val="17"/>
              </w:rPr>
            </w:pPr>
            <w:r>
              <w:rPr>
                <w:sz w:val="17"/>
              </w:rPr>
              <w:t>40</w:t>
            </w:r>
          </w:p>
        </w:tc>
        <w:tc>
          <w:tcPr>
            <w:tcW w:w="1323" w:type="dxa"/>
          </w:tcPr>
          <w:p w:rsidR="00000000" w:rsidRDefault="00000000">
            <w:pPr>
              <w:tabs>
                <w:tab w:val="decimal" w:pos="743"/>
              </w:tabs>
              <w:spacing w:before="40" w:after="40" w:line="240" w:lineRule="auto"/>
              <w:rPr>
                <w:i/>
                <w:sz w:val="17"/>
              </w:rPr>
            </w:pPr>
            <w:r>
              <w:rPr>
                <w:sz w:val="17"/>
              </w:rPr>
              <w:t>15</w:t>
            </w:r>
          </w:p>
        </w:tc>
        <w:tc>
          <w:tcPr>
            <w:tcW w:w="1323" w:type="dxa"/>
          </w:tcPr>
          <w:p w:rsidR="00000000" w:rsidRDefault="00000000">
            <w:pPr>
              <w:tabs>
                <w:tab w:val="decimal" w:pos="743"/>
              </w:tabs>
              <w:spacing w:before="40" w:after="40" w:line="240" w:lineRule="auto"/>
              <w:rPr>
                <w:i/>
                <w:sz w:val="17"/>
              </w:rPr>
            </w:pPr>
            <w:r>
              <w:rPr>
                <w:sz w:val="17"/>
              </w:rPr>
              <w:t>55</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Рабочие семинары по вопросам созд</w:t>
            </w:r>
            <w:r>
              <w:rPr>
                <w:sz w:val="17"/>
              </w:rPr>
              <w:t>а</w:t>
            </w:r>
            <w:r>
              <w:rPr>
                <w:sz w:val="17"/>
              </w:rPr>
              <w:t>ния малых и средних пре</w:t>
            </w:r>
            <w:r>
              <w:rPr>
                <w:sz w:val="17"/>
              </w:rPr>
              <w:t>д</w:t>
            </w:r>
            <w:r>
              <w:rPr>
                <w:sz w:val="17"/>
              </w:rPr>
              <w:t>приятий</w:t>
            </w:r>
          </w:p>
        </w:tc>
        <w:tc>
          <w:tcPr>
            <w:tcW w:w="1323" w:type="dxa"/>
          </w:tcPr>
          <w:p w:rsidR="00000000" w:rsidRDefault="00000000">
            <w:pPr>
              <w:tabs>
                <w:tab w:val="decimal" w:pos="743"/>
              </w:tabs>
              <w:spacing w:before="40" w:after="40" w:line="240" w:lineRule="auto"/>
              <w:rPr>
                <w:i/>
                <w:sz w:val="17"/>
              </w:rPr>
            </w:pPr>
            <w:r>
              <w:rPr>
                <w:sz w:val="17"/>
              </w:rPr>
              <w:t>1 065</w:t>
            </w:r>
          </w:p>
        </w:tc>
        <w:tc>
          <w:tcPr>
            <w:tcW w:w="1323" w:type="dxa"/>
          </w:tcPr>
          <w:p w:rsidR="00000000" w:rsidRDefault="00000000">
            <w:pPr>
              <w:tabs>
                <w:tab w:val="decimal" w:pos="743"/>
              </w:tabs>
              <w:spacing w:before="40" w:after="40" w:line="240" w:lineRule="auto"/>
              <w:rPr>
                <w:i/>
                <w:sz w:val="17"/>
              </w:rPr>
            </w:pPr>
            <w:r>
              <w:rPr>
                <w:sz w:val="17"/>
              </w:rPr>
              <w:t>632</w:t>
            </w:r>
          </w:p>
        </w:tc>
        <w:tc>
          <w:tcPr>
            <w:tcW w:w="1323" w:type="dxa"/>
          </w:tcPr>
          <w:p w:rsidR="00000000" w:rsidRDefault="00000000">
            <w:pPr>
              <w:tabs>
                <w:tab w:val="decimal" w:pos="743"/>
              </w:tabs>
              <w:spacing w:before="40" w:after="40" w:line="240" w:lineRule="auto"/>
              <w:rPr>
                <w:i/>
                <w:sz w:val="17"/>
              </w:rPr>
            </w:pPr>
            <w:r>
              <w:rPr>
                <w:sz w:val="17"/>
              </w:rPr>
              <w:t>1 697</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sz w:val="17"/>
              </w:rPr>
            </w:pPr>
            <w:r>
              <w:rPr>
                <w:i/>
                <w:sz w:val="17"/>
              </w:rPr>
              <w:t>ЦТКП</w:t>
            </w:r>
          </w:p>
        </w:tc>
        <w:tc>
          <w:tcPr>
            <w:tcW w:w="1323" w:type="dxa"/>
          </w:tcPr>
          <w:p w:rsidR="00000000" w:rsidRDefault="00000000">
            <w:pPr>
              <w:tabs>
                <w:tab w:val="decimal" w:pos="743"/>
              </w:tabs>
              <w:spacing w:before="40" w:after="40" w:line="240" w:lineRule="auto"/>
              <w:rPr>
                <w:sz w:val="17"/>
              </w:rPr>
            </w:pPr>
            <w:r>
              <w:rPr>
                <w:i/>
                <w:sz w:val="17"/>
              </w:rPr>
              <w:t>3 364</w:t>
            </w:r>
          </w:p>
        </w:tc>
        <w:tc>
          <w:tcPr>
            <w:tcW w:w="1323" w:type="dxa"/>
          </w:tcPr>
          <w:p w:rsidR="00000000" w:rsidRDefault="00000000">
            <w:pPr>
              <w:tabs>
                <w:tab w:val="decimal" w:pos="743"/>
              </w:tabs>
              <w:spacing w:before="40" w:after="40" w:line="240" w:lineRule="auto"/>
              <w:rPr>
                <w:sz w:val="17"/>
              </w:rPr>
            </w:pPr>
            <w:r>
              <w:rPr>
                <w:i/>
                <w:sz w:val="17"/>
              </w:rPr>
              <w:t>1 100</w:t>
            </w:r>
          </w:p>
        </w:tc>
        <w:tc>
          <w:tcPr>
            <w:tcW w:w="1323" w:type="dxa"/>
          </w:tcPr>
          <w:p w:rsidR="00000000" w:rsidRDefault="00000000">
            <w:pPr>
              <w:tabs>
                <w:tab w:val="decimal" w:pos="743"/>
              </w:tabs>
              <w:spacing w:before="40" w:after="40" w:line="240" w:lineRule="auto"/>
              <w:rPr>
                <w:sz w:val="17"/>
              </w:rPr>
            </w:pPr>
            <w:r>
              <w:rPr>
                <w:i/>
                <w:sz w:val="17"/>
              </w:rPr>
              <w:t>4 464</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Сувениры и домашняя утварь</w:t>
            </w:r>
          </w:p>
        </w:tc>
        <w:tc>
          <w:tcPr>
            <w:tcW w:w="1323" w:type="dxa"/>
          </w:tcPr>
          <w:p w:rsidR="00000000" w:rsidRDefault="00000000">
            <w:pPr>
              <w:tabs>
                <w:tab w:val="decimal" w:pos="743"/>
              </w:tabs>
              <w:spacing w:before="40" w:after="40" w:line="240" w:lineRule="auto"/>
              <w:rPr>
                <w:i/>
                <w:sz w:val="17"/>
              </w:rPr>
            </w:pPr>
            <w:r>
              <w:rPr>
                <w:sz w:val="17"/>
              </w:rPr>
              <w:t>3 276</w:t>
            </w:r>
          </w:p>
        </w:tc>
        <w:tc>
          <w:tcPr>
            <w:tcW w:w="1323" w:type="dxa"/>
          </w:tcPr>
          <w:p w:rsidR="00000000" w:rsidRDefault="00000000">
            <w:pPr>
              <w:tabs>
                <w:tab w:val="decimal" w:pos="743"/>
              </w:tabs>
              <w:spacing w:before="40" w:after="40" w:line="240" w:lineRule="auto"/>
              <w:rPr>
                <w:i/>
                <w:sz w:val="17"/>
              </w:rPr>
            </w:pPr>
            <w:r>
              <w:rPr>
                <w:sz w:val="17"/>
              </w:rPr>
              <w:t>738</w:t>
            </w:r>
          </w:p>
        </w:tc>
        <w:tc>
          <w:tcPr>
            <w:tcW w:w="1323" w:type="dxa"/>
          </w:tcPr>
          <w:p w:rsidR="00000000" w:rsidRDefault="00000000">
            <w:pPr>
              <w:tabs>
                <w:tab w:val="decimal" w:pos="743"/>
              </w:tabs>
              <w:spacing w:before="40" w:after="40" w:line="240" w:lineRule="auto"/>
              <w:rPr>
                <w:i/>
                <w:sz w:val="17"/>
              </w:rPr>
            </w:pPr>
            <w:r>
              <w:rPr>
                <w:sz w:val="17"/>
              </w:rPr>
              <w:t>4 014</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Мебель и работы по дереву</w:t>
            </w:r>
          </w:p>
        </w:tc>
        <w:tc>
          <w:tcPr>
            <w:tcW w:w="1323" w:type="dxa"/>
          </w:tcPr>
          <w:p w:rsidR="00000000" w:rsidRDefault="00000000">
            <w:pPr>
              <w:tabs>
                <w:tab w:val="decimal" w:pos="743"/>
              </w:tabs>
              <w:spacing w:before="40" w:after="40" w:line="240" w:lineRule="auto"/>
              <w:rPr>
                <w:i/>
                <w:sz w:val="17"/>
              </w:rPr>
            </w:pPr>
            <w:r>
              <w:rPr>
                <w:sz w:val="17"/>
              </w:rPr>
              <w:t>2</w:t>
            </w:r>
          </w:p>
        </w:tc>
        <w:tc>
          <w:tcPr>
            <w:tcW w:w="1323" w:type="dxa"/>
          </w:tcPr>
          <w:p w:rsidR="00000000" w:rsidRDefault="00000000">
            <w:pPr>
              <w:tabs>
                <w:tab w:val="decimal" w:pos="743"/>
              </w:tabs>
              <w:spacing w:before="40" w:after="40" w:line="240" w:lineRule="auto"/>
              <w:rPr>
                <w:i/>
                <w:sz w:val="17"/>
              </w:rPr>
            </w:pPr>
            <w:r>
              <w:rPr>
                <w:sz w:val="17"/>
              </w:rPr>
              <w:t>208</w:t>
            </w:r>
          </w:p>
        </w:tc>
        <w:tc>
          <w:tcPr>
            <w:tcW w:w="1323" w:type="dxa"/>
          </w:tcPr>
          <w:p w:rsidR="00000000" w:rsidRDefault="00000000">
            <w:pPr>
              <w:tabs>
                <w:tab w:val="decimal" w:pos="743"/>
              </w:tabs>
              <w:spacing w:before="40" w:after="40" w:line="240" w:lineRule="auto"/>
              <w:rPr>
                <w:i/>
                <w:sz w:val="17"/>
              </w:rPr>
            </w:pPr>
            <w:r>
              <w:rPr>
                <w:sz w:val="17"/>
              </w:rPr>
              <w:t>210</w:t>
            </w:r>
          </w:p>
        </w:tc>
      </w:tr>
      <w:tr w:rsidR="00000000">
        <w:tblPrEx>
          <w:tblCellMar>
            <w:top w:w="0" w:type="dxa"/>
            <w:bottom w:w="0" w:type="dxa"/>
          </w:tblCellMar>
        </w:tblPrEx>
        <w:trPr>
          <w:cantSplit/>
          <w:trHeight w:val="20"/>
        </w:trPr>
        <w:tc>
          <w:tcPr>
            <w:tcW w:w="3402" w:type="dxa"/>
          </w:tcPr>
          <w:p w:rsidR="00000000" w:rsidRDefault="00000000">
            <w:pPr>
              <w:spacing w:before="40" w:after="40" w:line="240" w:lineRule="auto"/>
              <w:rPr>
                <w:i/>
                <w:sz w:val="17"/>
              </w:rPr>
            </w:pPr>
            <w:r>
              <w:rPr>
                <w:sz w:val="17"/>
              </w:rPr>
              <w:t>Изготовление ювелирных изделий</w:t>
            </w:r>
          </w:p>
        </w:tc>
        <w:tc>
          <w:tcPr>
            <w:tcW w:w="1323" w:type="dxa"/>
          </w:tcPr>
          <w:p w:rsidR="00000000" w:rsidRDefault="00000000">
            <w:pPr>
              <w:tabs>
                <w:tab w:val="decimal" w:pos="743"/>
              </w:tabs>
              <w:spacing w:before="40" w:after="40" w:line="240" w:lineRule="auto"/>
              <w:rPr>
                <w:i/>
                <w:sz w:val="17"/>
              </w:rPr>
            </w:pPr>
            <w:r>
              <w:rPr>
                <w:sz w:val="17"/>
              </w:rPr>
              <w:t>49</w:t>
            </w:r>
          </w:p>
        </w:tc>
        <w:tc>
          <w:tcPr>
            <w:tcW w:w="1323" w:type="dxa"/>
          </w:tcPr>
          <w:p w:rsidR="00000000" w:rsidRDefault="00000000">
            <w:pPr>
              <w:tabs>
                <w:tab w:val="decimal" w:pos="743"/>
              </w:tabs>
              <w:spacing w:before="40" w:after="40" w:line="240" w:lineRule="auto"/>
              <w:rPr>
                <w:i/>
                <w:sz w:val="17"/>
              </w:rPr>
            </w:pPr>
            <w:r>
              <w:rPr>
                <w:sz w:val="17"/>
              </w:rPr>
              <w:t>40</w:t>
            </w:r>
          </w:p>
        </w:tc>
        <w:tc>
          <w:tcPr>
            <w:tcW w:w="1323" w:type="dxa"/>
          </w:tcPr>
          <w:p w:rsidR="00000000" w:rsidRDefault="00000000">
            <w:pPr>
              <w:tabs>
                <w:tab w:val="decimal" w:pos="743"/>
              </w:tabs>
              <w:spacing w:before="40" w:after="40" w:line="240" w:lineRule="auto"/>
              <w:rPr>
                <w:i/>
                <w:sz w:val="17"/>
              </w:rPr>
            </w:pPr>
            <w:r>
              <w:rPr>
                <w:sz w:val="17"/>
              </w:rPr>
              <w:t>89</w:t>
            </w:r>
          </w:p>
        </w:tc>
      </w:tr>
      <w:tr w:rsidR="00000000">
        <w:tblPrEx>
          <w:tblCellMar>
            <w:top w:w="0" w:type="dxa"/>
            <w:bottom w:w="0" w:type="dxa"/>
          </w:tblCellMar>
        </w:tblPrEx>
        <w:trPr>
          <w:cantSplit/>
          <w:trHeight w:val="20"/>
        </w:trPr>
        <w:tc>
          <w:tcPr>
            <w:tcW w:w="3402" w:type="dxa"/>
            <w:tcBorders>
              <w:bottom w:val="single" w:sz="12" w:space="0" w:color="auto"/>
            </w:tcBorders>
          </w:tcPr>
          <w:p w:rsidR="00000000" w:rsidRDefault="00000000">
            <w:pPr>
              <w:spacing w:before="40" w:after="40" w:line="240" w:lineRule="auto"/>
              <w:rPr>
                <w:i/>
                <w:sz w:val="17"/>
              </w:rPr>
            </w:pPr>
            <w:r>
              <w:rPr>
                <w:sz w:val="17"/>
              </w:rPr>
              <w:t>Обувь</w:t>
            </w:r>
          </w:p>
        </w:tc>
        <w:tc>
          <w:tcPr>
            <w:tcW w:w="1323" w:type="dxa"/>
            <w:tcBorders>
              <w:bottom w:val="single" w:sz="12" w:space="0" w:color="auto"/>
            </w:tcBorders>
          </w:tcPr>
          <w:p w:rsidR="00000000" w:rsidRDefault="00000000">
            <w:pPr>
              <w:tabs>
                <w:tab w:val="decimal" w:pos="743"/>
              </w:tabs>
              <w:spacing w:before="40" w:after="40" w:line="240" w:lineRule="auto"/>
              <w:rPr>
                <w:i/>
                <w:sz w:val="17"/>
              </w:rPr>
            </w:pPr>
            <w:r>
              <w:rPr>
                <w:sz w:val="17"/>
              </w:rPr>
              <w:t>37</w:t>
            </w:r>
          </w:p>
        </w:tc>
        <w:tc>
          <w:tcPr>
            <w:tcW w:w="1323" w:type="dxa"/>
            <w:tcBorders>
              <w:bottom w:val="single" w:sz="12" w:space="0" w:color="auto"/>
            </w:tcBorders>
          </w:tcPr>
          <w:p w:rsidR="00000000" w:rsidRDefault="00000000">
            <w:pPr>
              <w:tabs>
                <w:tab w:val="decimal" w:pos="743"/>
              </w:tabs>
              <w:spacing w:before="40" w:after="40" w:line="240" w:lineRule="auto"/>
              <w:rPr>
                <w:i/>
                <w:sz w:val="17"/>
              </w:rPr>
            </w:pPr>
            <w:r>
              <w:rPr>
                <w:sz w:val="17"/>
              </w:rPr>
              <w:t>114</w:t>
            </w:r>
          </w:p>
        </w:tc>
        <w:tc>
          <w:tcPr>
            <w:tcW w:w="1323" w:type="dxa"/>
            <w:tcBorders>
              <w:bottom w:val="single" w:sz="12" w:space="0" w:color="auto"/>
            </w:tcBorders>
          </w:tcPr>
          <w:p w:rsidR="00000000" w:rsidRDefault="00000000">
            <w:pPr>
              <w:tabs>
                <w:tab w:val="decimal" w:pos="743"/>
              </w:tabs>
              <w:spacing w:before="40" w:after="40" w:line="240" w:lineRule="auto"/>
              <w:rPr>
                <w:i/>
                <w:sz w:val="17"/>
              </w:rPr>
            </w:pPr>
            <w:r>
              <w:rPr>
                <w:sz w:val="17"/>
              </w:rPr>
              <w:t>151</w:t>
            </w:r>
          </w:p>
        </w:tc>
      </w:tr>
    </w:tbl>
    <w:p w:rsidR="00000000" w:rsidRDefault="00000000">
      <w:pPr>
        <w:pStyle w:val="SingleTxt"/>
      </w:pPr>
      <w:r>
        <w:t>Источник: Министерство труда и торговли.</w:t>
      </w:r>
    </w:p>
    <w:p w:rsidR="00000000" w:rsidRDefault="00000000">
      <w:pPr>
        <w:pStyle w:val="H1"/>
        <w:spacing w:before="120" w:after="120"/>
      </w:pPr>
      <w:bookmarkStart w:id="107" w:name="_Toc85174961"/>
      <w:r>
        <w:t>Приложение: Таблицы, касающиеся Статьи 14</w:t>
      </w:r>
      <w:bookmarkEnd w:id="107"/>
    </w:p>
    <w:p w:rsidR="00000000" w:rsidRDefault="00000000">
      <w:pPr>
        <w:pStyle w:val="table"/>
      </w:pPr>
      <w:bookmarkStart w:id="108" w:name="_Toc85175507"/>
      <w:r>
        <w:t>Приложение. Таблица B14.1. Выборочные налогово-бюджетные показатели</w:t>
      </w:r>
      <w:bookmarkEnd w:id="108"/>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992"/>
        <w:gridCol w:w="992"/>
        <w:gridCol w:w="992"/>
        <w:gridCol w:w="992"/>
        <w:gridCol w:w="993"/>
      </w:tblGrid>
      <w:tr w:rsidR="00000000">
        <w:tblPrEx>
          <w:tblCellMar>
            <w:top w:w="0" w:type="dxa"/>
            <w:bottom w:w="0" w:type="dxa"/>
          </w:tblCellMar>
        </w:tblPrEx>
        <w:trPr>
          <w:tblHeader/>
        </w:trPr>
        <w:tc>
          <w:tcPr>
            <w:tcW w:w="2410" w:type="dxa"/>
          </w:tcPr>
          <w:p w:rsidR="00000000" w:rsidRDefault="00000000">
            <w:pPr>
              <w:keepNext/>
              <w:spacing w:before="40" w:after="40"/>
              <w:jc w:val="center"/>
              <w:rPr>
                <w:i/>
                <w:sz w:val="17"/>
              </w:rPr>
            </w:pPr>
            <w:r>
              <w:rPr>
                <w:i/>
                <w:sz w:val="17"/>
              </w:rPr>
              <w:t>Категория</w:t>
            </w:r>
          </w:p>
        </w:tc>
        <w:tc>
          <w:tcPr>
            <w:tcW w:w="992" w:type="dxa"/>
          </w:tcPr>
          <w:p w:rsidR="00000000" w:rsidRDefault="00000000">
            <w:pPr>
              <w:keepNext/>
              <w:spacing w:before="40" w:after="40"/>
              <w:jc w:val="center"/>
              <w:rPr>
                <w:i/>
                <w:sz w:val="17"/>
              </w:rPr>
            </w:pPr>
            <w:r>
              <w:rPr>
                <w:i/>
                <w:sz w:val="17"/>
              </w:rPr>
              <w:t>1994 год</w:t>
            </w:r>
          </w:p>
        </w:tc>
        <w:tc>
          <w:tcPr>
            <w:tcW w:w="992" w:type="dxa"/>
          </w:tcPr>
          <w:p w:rsidR="00000000" w:rsidRDefault="00000000">
            <w:pPr>
              <w:keepNext/>
              <w:spacing w:before="40" w:after="40"/>
              <w:jc w:val="center"/>
              <w:rPr>
                <w:i/>
                <w:sz w:val="17"/>
              </w:rPr>
            </w:pPr>
            <w:r>
              <w:rPr>
                <w:i/>
                <w:sz w:val="17"/>
              </w:rPr>
              <w:t>1996 год</w:t>
            </w:r>
          </w:p>
        </w:tc>
        <w:tc>
          <w:tcPr>
            <w:tcW w:w="992" w:type="dxa"/>
          </w:tcPr>
          <w:p w:rsidR="00000000" w:rsidRDefault="00000000">
            <w:pPr>
              <w:keepNext/>
              <w:spacing w:before="40" w:after="40"/>
              <w:jc w:val="center"/>
              <w:rPr>
                <w:i/>
                <w:sz w:val="17"/>
              </w:rPr>
            </w:pPr>
            <w:r>
              <w:rPr>
                <w:i/>
                <w:sz w:val="17"/>
              </w:rPr>
              <w:t>1998 год</w:t>
            </w:r>
          </w:p>
        </w:tc>
        <w:tc>
          <w:tcPr>
            <w:tcW w:w="992" w:type="dxa"/>
          </w:tcPr>
          <w:p w:rsidR="00000000" w:rsidRDefault="00000000">
            <w:pPr>
              <w:keepNext/>
              <w:spacing w:before="40" w:after="40"/>
              <w:jc w:val="center"/>
              <w:rPr>
                <w:i/>
                <w:sz w:val="17"/>
              </w:rPr>
            </w:pPr>
            <w:r>
              <w:rPr>
                <w:i/>
                <w:sz w:val="17"/>
              </w:rPr>
              <w:t>2000 год</w:t>
            </w:r>
          </w:p>
        </w:tc>
        <w:tc>
          <w:tcPr>
            <w:tcW w:w="993" w:type="dxa"/>
          </w:tcPr>
          <w:p w:rsidR="00000000" w:rsidRDefault="00000000">
            <w:pPr>
              <w:keepNext/>
              <w:spacing w:before="40" w:after="40"/>
              <w:jc w:val="center"/>
              <w:rPr>
                <w:i/>
                <w:sz w:val="17"/>
              </w:rPr>
            </w:pPr>
            <w:r>
              <w:rPr>
                <w:i/>
                <w:sz w:val="17"/>
              </w:rPr>
              <w:t>2002 год</w:t>
            </w:r>
          </w:p>
        </w:tc>
      </w:tr>
      <w:tr w:rsidR="00000000">
        <w:tblPrEx>
          <w:tblCellMar>
            <w:top w:w="0" w:type="dxa"/>
            <w:bottom w:w="0" w:type="dxa"/>
          </w:tblCellMar>
        </w:tblPrEx>
        <w:tc>
          <w:tcPr>
            <w:tcW w:w="2410" w:type="dxa"/>
          </w:tcPr>
          <w:p w:rsidR="00000000" w:rsidRDefault="00000000">
            <w:pPr>
              <w:spacing w:before="40" w:after="40"/>
              <w:rPr>
                <w:sz w:val="17"/>
              </w:rPr>
            </w:pPr>
            <w:r>
              <w:rPr>
                <w:sz w:val="17"/>
              </w:rPr>
              <w:t>Внешняя задолженность (в млрд. долларов США)*</w:t>
            </w:r>
          </w:p>
        </w:tc>
        <w:tc>
          <w:tcPr>
            <w:tcW w:w="992" w:type="dxa"/>
            <w:vAlign w:val="bottom"/>
          </w:tcPr>
          <w:p w:rsidR="00000000" w:rsidRDefault="00000000">
            <w:pPr>
              <w:tabs>
                <w:tab w:val="decimal" w:pos="567"/>
              </w:tabs>
              <w:spacing w:before="40" w:after="40"/>
              <w:rPr>
                <w:sz w:val="17"/>
              </w:rPr>
            </w:pPr>
            <w:r>
              <w:rPr>
                <w:sz w:val="17"/>
              </w:rPr>
              <w:t>39,4</w:t>
            </w:r>
          </w:p>
        </w:tc>
        <w:tc>
          <w:tcPr>
            <w:tcW w:w="992" w:type="dxa"/>
            <w:vAlign w:val="bottom"/>
          </w:tcPr>
          <w:p w:rsidR="00000000" w:rsidRDefault="00000000">
            <w:pPr>
              <w:tabs>
                <w:tab w:val="decimal" w:pos="567"/>
              </w:tabs>
              <w:spacing w:before="40" w:after="40"/>
              <w:rPr>
                <w:sz w:val="17"/>
              </w:rPr>
            </w:pPr>
            <w:r>
              <w:rPr>
                <w:sz w:val="17"/>
              </w:rPr>
              <w:t>40,1</w:t>
            </w:r>
          </w:p>
        </w:tc>
        <w:tc>
          <w:tcPr>
            <w:tcW w:w="992" w:type="dxa"/>
            <w:vAlign w:val="bottom"/>
          </w:tcPr>
          <w:p w:rsidR="00000000" w:rsidRDefault="00000000">
            <w:pPr>
              <w:tabs>
                <w:tab w:val="decimal" w:pos="567"/>
              </w:tabs>
              <w:spacing w:before="40" w:after="40"/>
              <w:rPr>
                <w:sz w:val="17"/>
              </w:rPr>
            </w:pPr>
            <w:r>
              <w:rPr>
                <w:sz w:val="17"/>
              </w:rPr>
              <w:t>48,3</w:t>
            </w:r>
          </w:p>
        </w:tc>
        <w:tc>
          <w:tcPr>
            <w:tcW w:w="992" w:type="dxa"/>
            <w:vAlign w:val="bottom"/>
          </w:tcPr>
          <w:p w:rsidR="00000000" w:rsidRDefault="00000000">
            <w:pPr>
              <w:tabs>
                <w:tab w:val="decimal" w:pos="567"/>
              </w:tabs>
              <w:spacing w:before="40" w:after="40"/>
              <w:rPr>
                <w:sz w:val="17"/>
              </w:rPr>
            </w:pPr>
            <w:r>
              <w:rPr>
                <w:sz w:val="17"/>
              </w:rPr>
              <w:t>50,0</w:t>
            </w:r>
          </w:p>
        </w:tc>
        <w:tc>
          <w:tcPr>
            <w:tcW w:w="993" w:type="dxa"/>
            <w:vAlign w:val="bottom"/>
          </w:tcPr>
          <w:p w:rsidR="00000000" w:rsidRDefault="00000000">
            <w:pPr>
              <w:tabs>
                <w:tab w:val="decimal" w:pos="567"/>
              </w:tabs>
              <w:spacing w:before="40" w:after="40"/>
              <w:rPr>
                <w:sz w:val="17"/>
              </w:rPr>
            </w:pPr>
            <w:r>
              <w:rPr>
                <w:sz w:val="17"/>
              </w:rPr>
              <w:t>52,2</w:t>
            </w:r>
          </w:p>
        </w:tc>
      </w:tr>
      <w:tr w:rsidR="00000000">
        <w:tblPrEx>
          <w:tblCellMar>
            <w:top w:w="0" w:type="dxa"/>
            <w:bottom w:w="0" w:type="dxa"/>
          </w:tblCellMar>
        </w:tblPrEx>
        <w:tc>
          <w:tcPr>
            <w:tcW w:w="2410" w:type="dxa"/>
          </w:tcPr>
          <w:p w:rsidR="00000000" w:rsidRDefault="00000000">
            <w:pPr>
              <w:pStyle w:val="Header"/>
              <w:tabs>
                <w:tab w:val="clear" w:pos="4320"/>
                <w:tab w:val="clear" w:pos="8640"/>
              </w:tabs>
              <w:spacing w:before="40" w:after="40" w:line="240" w:lineRule="exact"/>
              <w:rPr>
                <w:noProof w:val="0"/>
                <w:spacing w:val="4"/>
                <w:w w:val="103"/>
                <w:kern w:val="14"/>
              </w:rPr>
            </w:pPr>
            <w:r>
              <w:rPr>
                <w:noProof w:val="0"/>
                <w:spacing w:val="4"/>
                <w:w w:val="103"/>
                <w:kern w:val="14"/>
              </w:rPr>
              <w:t>Общие государственные расходы (в млрд. песо)</w:t>
            </w:r>
          </w:p>
        </w:tc>
        <w:tc>
          <w:tcPr>
            <w:tcW w:w="992" w:type="dxa"/>
            <w:vAlign w:val="bottom"/>
          </w:tcPr>
          <w:p w:rsidR="00000000" w:rsidRDefault="00000000">
            <w:pPr>
              <w:tabs>
                <w:tab w:val="decimal" w:pos="567"/>
              </w:tabs>
              <w:spacing w:before="40" w:after="40"/>
              <w:rPr>
                <w:sz w:val="17"/>
              </w:rPr>
            </w:pPr>
            <w:r>
              <w:rPr>
                <w:sz w:val="17"/>
              </w:rPr>
              <w:t>327,8</w:t>
            </w:r>
          </w:p>
        </w:tc>
        <w:tc>
          <w:tcPr>
            <w:tcW w:w="992" w:type="dxa"/>
            <w:vAlign w:val="bottom"/>
          </w:tcPr>
          <w:p w:rsidR="00000000" w:rsidRDefault="00000000">
            <w:pPr>
              <w:tabs>
                <w:tab w:val="decimal" w:pos="567"/>
              </w:tabs>
              <w:spacing w:before="40" w:after="40"/>
              <w:rPr>
                <w:sz w:val="17"/>
              </w:rPr>
            </w:pPr>
            <w:r>
              <w:rPr>
                <w:sz w:val="17"/>
              </w:rPr>
              <w:t>493,5</w:t>
            </w:r>
          </w:p>
        </w:tc>
        <w:tc>
          <w:tcPr>
            <w:tcW w:w="992" w:type="dxa"/>
            <w:vAlign w:val="bottom"/>
          </w:tcPr>
          <w:p w:rsidR="00000000" w:rsidRDefault="00000000">
            <w:pPr>
              <w:tabs>
                <w:tab w:val="decimal" w:pos="567"/>
              </w:tabs>
              <w:spacing w:before="40" w:after="40"/>
              <w:rPr>
                <w:sz w:val="17"/>
              </w:rPr>
            </w:pPr>
            <w:r>
              <w:rPr>
                <w:sz w:val="17"/>
              </w:rPr>
              <w:t>537,4</w:t>
            </w:r>
          </w:p>
        </w:tc>
        <w:tc>
          <w:tcPr>
            <w:tcW w:w="992" w:type="dxa"/>
            <w:vAlign w:val="bottom"/>
          </w:tcPr>
          <w:p w:rsidR="00000000" w:rsidRDefault="00000000">
            <w:pPr>
              <w:tabs>
                <w:tab w:val="decimal" w:pos="567"/>
              </w:tabs>
              <w:spacing w:before="40" w:after="40"/>
              <w:rPr>
                <w:sz w:val="17"/>
              </w:rPr>
            </w:pPr>
            <w:r>
              <w:rPr>
                <w:sz w:val="17"/>
              </w:rPr>
              <w:t>682,3</w:t>
            </w:r>
          </w:p>
        </w:tc>
        <w:tc>
          <w:tcPr>
            <w:tcW w:w="993" w:type="dxa"/>
            <w:vAlign w:val="bottom"/>
          </w:tcPr>
          <w:p w:rsidR="00000000" w:rsidRDefault="00000000">
            <w:pPr>
              <w:tabs>
                <w:tab w:val="decimal" w:pos="567"/>
              </w:tabs>
              <w:spacing w:before="40" w:after="40"/>
              <w:rPr>
                <w:sz w:val="17"/>
              </w:rPr>
            </w:pPr>
            <w:r>
              <w:rPr>
                <w:sz w:val="17"/>
              </w:rPr>
              <w:t>780,8</w:t>
            </w:r>
          </w:p>
        </w:tc>
      </w:tr>
      <w:tr w:rsidR="00000000">
        <w:tblPrEx>
          <w:tblCellMar>
            <w:top w:w="0" w:type="dxa"/>
            <w:bottom w:w="0" w:type="dxa"/>
          </w:tblCellMar>
        </w:tblPrEx>
        <w:tc>
          <w:tcPr>
            <w:tcW w:w="2410" w:type="dxa"/>
          </w:tcPr>
          <w:p w:rsidR="00000000" w:rsidRDefault="00000000">
            <w:pPr>
              <w:spacing w:before="40" w:after="40"/>
              <w:rPr>
                <w:sz w:val="17"/>
              </w:rPr>
            </w:pPr>
            <w:r>
              <w:rPr>
                <w:sz w:val="17"/>
              </w:rPr>
              <w:t>Бюджетный продефицит (дефицит) (в млрд. песо)</w:t>
            </w:r>
          </w:p>
        </w:tc>
        <w:tc>
          <w:tcPr>
            <w:tcW w:w="992" w:type="dxa"/>
            <w:vAlign w:val="bottom"/>
          </w:tcPr>
          <w:p w:rsidR="00000000" w:rsidRDefault="00000000">
            <w:pPr>
              <w:tabs>
                <w:tab w:val="decimal" w:pos="567"/>
              </w:tabs>
              <w:spacing w:before="40" w:after="40"/>
              <w:rPr>
                <w:sz w:val="17"/>
              </w:rPr>
            </w:pPr>
            <w:r>
              <w:rPr>
                <w:sz w:val="17"/>
              </w:rPr>
              <w:t>(18,1)</w:t>
            </w:r>
          </w:p>
        </w:tc>
        <w:tc>
          <w:tcPr>
            <w:tcW w:w="992" w:type="dxa"/>
            <w:vAlign w:val="bottom"/>
          </w:tcPr>
          <w:p w:rsidR="00000000" w:rsidRDefault="00000000">
            <w:pPr>
              <w:tabs>
                <w:tab w:val="decimal" w:pos="567"/>
              </w:tabs>
              <w:spacing w:before="40" w:after="40"/>
              <w:rPr>
                <w:sz w:val="17"/>
              </w:rPr>
            </w:pPr>
            <w:r>
              <w:rPr>
                <w:sz w:val="17"/>
              </w:rPr>
              <w:t>(6,2)</w:t>
            </w:r>
          </w:p>
        </w:tc>
        <w:tc>
          <w:tcPr>
            <w:tcW w:w="992" w:type="dxa"/>
            <w:vAlign w:val="bottom"/>
          </w:tcPr>
          <w:p w:rsidR="00000000" w:rsidRDefault="00000000">
            <w:pPr>
              <w:tabs>
                <w:tab w:val="decimal" w:pos="567"/>
              </w:tabs>
              <w:spacing w:before="40" w:after="40"/>
              <w:rPr>
                <w:sz w:val="17"/>
              </w:rPr>
            </w:pPr>
            <w:r>
              <w:rPr>
                <w:sz w:val="17"/>
              </w:rPr>
              <w:t>49,9</w:t>
            </w:r>
          </w:p>
        </w:tc>
        <w:tc>
          <w:tcPr>
            <w:tcW w:w="992" w:type="dxa"/>
            <w:vAlign w:val="bottom"/>
          </w:tcPr>
          <w:p w:rsidR="00000000" w:rsidRDefault="00000000">
            <w:pPr>
              <w:tabs>
                <w:tab w:val="decimal" w:pos="567"/>
              </w:tabs>
              <w:spacing w:before="40" w:after="40"/>
              <w:rPr>
                <w:sz w:val="17"/>
              </w:rPr>
            </w:pPr>
            <w:r>
              <w:rPr>
                <w:sz w:val="17"/>
              </w:rPr>
              <w:t>(134,2)</w:t>
            </w:r>
          </w:p>
        </w:tc>
        <w:tc>
          <w:tcPr>
            <w:tcW w:w="993" w:type="dxa"/>
            <w:vAlign w:val="bottom"/>
          </w:tcPr>
          <w:p w:rsidR="00000000" w:rsidRDefault="00000000">
            <w:pPr>
              <w:tabs>
                <w:tab w:val="decimal" w:pos="567"/>
              </w:tabs>
              <w:spacing w:before="40" w:after="40"/>
              <w:rPr>
                <w:sz w:val="17"/>
              </w:rPr>
            </w:pPr>
            <w:r>
              <w:rPr>
                <w:sz w:val="17"/>
              </w:rPr>
              <w:t>(130,0)</w:t>
            </w:r>
          </w:p>
        </w:tc>
      </w:tr>
      <w:tr w:rsidR="00000000">
        <w:tblPrEx>
          <w:tblCellMar>
            <w:top w:w="0" w:type="dxa"/>
            <w:bottom w:w="0" w:type="dxa"/>
          </w:tblCellMar>
        </w:tblPrEx>
        <w:tc>
          <w:tcPr>
            <w:tcW w:w="2410" w:type="dxa"/>
          </w:tcPr>
          <w:p w:rsidR="00000000" w:rsidRDefault="00000000">
            <w:pPr>
              <w:spacing w:before="40" w:after="40"/>
              <w:rPr>
                <w:sz w:val="17"/>
              </w:rPr>
            </w:pPr>
            <w:r>
              <w:rPr>
                <w:sz w:val="17"/>
              </w:rPr>
              <w:t>Расходы на социальные у</w:t>
            </w:r>
            <w:r>
              <w:rPr>
                <w:sz w:val="17"/>
              </w:rPr>
              <w:t>с</w:t>
            </w:r>
            <w:r>
              <w:rPr>
                <w:sz w:val="17"/>
              </w:rPr>
              <w:t>луги (в млрд. песо)</w:t>
            </w:r>
          </w:p>
        </w:tc>
        <w:tc>
          <w:tcPr>
            <w:tcW w:w="992" w:type="dxa"/>
            <w:vAlign w:val="bottom"/>
          </w:tcPr>
          <w:p w:rsidR="00000000" w:rsidRDefault="00000000">
            <w:pPr>
              <w:tabs>
                <w:tab w:val="decimal" w:pos="567"/>
              </w:tabs>
              <w:spacing w:before="40" w:after="40"/>
              <w:rPr>
                <w:sz w:val="17"/>
              </w:rPr>
            </w:pPr>
            <w:r>
              <w:rPr>
                <w:sz w:val="17"/>
              </w:rPr>
              <w:t>76,9</w:t>
            </w:r>
          </w:p>
        </w:tc>
        <w:tc>
          <w:tcPr>
            <w:tcW w:w="992" w:type="dxa"/>
            <w:vAlign w:val="bottom"/>
          </w:tcPr>
          <w:p w:rsidR="00000000" w:rsidRDefault="00000000">
            <w:pPr>
              <w:tabs>
                <w:tab w:val="decimal" w:pos="567"/>
              </w:tabs>
              <w:spacing w:before="40" w:after="40"/>
              <w:rPr>
                <w:sz w:val="17"/>
              </w:rPr>
            </w:pPr>
            <w:r>
              <w:rPr>
                <w:sz w:val="17"/>
              </w:rPr>
              <w:t>122,9</w:t>
            </w:r>
          </w:p>
        </w:tc>
        <w:tc>
          <w:tcPr>
            <w:tcW w:w="992" w:type="dxa"/>
            <w:vAlign w:val="bottom"/>
          </w:tcPr>
          <w:p w:rsidR="00000000" w:rsidRDefault="00000000">
            <w:pPr>
              <w:tabs>
                <w:tab w:val="decimal" w:pos="567"/>
              </w:tabs>
              <w:spacing w:before="40" w:after="40"/>
              <w:rPr>
                <w:sz w:val="17"/>
              </w:rPr>
            </w:pPr>
            <w:r>
              <w:rPr>
                <w:sz w:val="17"/>
              </w:rPr>
              <w:t>175,2</w:t>
            </w:r>
          </w:p>
        </w:tc>
        <w:tc>
          <w:tcPr>
            <w:tcW w:w="992" w:type="dxa"/>
            <w:vAlign w:val="bottom"/>
          </w:tcPr>
          <w:p w:rsidR="00000000" w:rsidRDefault="00000000">
            <w:pPr>
              <w:tabs>
                <w:tab w:val="decimal" w:pos="567"/>
              </w:tabs>
              <w:spacing w:before="40" w:after="40"/>
              <w:rPr>
                <w:sz w:val="17"/>
              </w:rPr>
            </w:pPr>
            <w:r>
              <w:rPr>
                <w:sz w:val="17"/>
              </w:rPr>
              <w:t>213,0</w:t>
            </w:r>
          </w:p>
        </w:tc>
        <w:tc>
          <w:tcPr>
            <w:tcW w:w="993" w:type="dxa"/>
            <w:vAlign w:val="bottom"/>
          </w:tcPr>
          <w:p w:rsidR="00000000" w:rsidRDefault="00000000">
            <w:pPr>
              <w:tabs>
                <w:tab w:val="decimal" w:pos="567"/>
              </w:tabs>
              <w:spacing w:before="40" w:after="40"/>
              <w:rPr>
                <w:sz w:val="17"/>
              </w:rPr>
            </w:pPr>
            <w:r>
              <w:rPr>
                <w:sz w:val="17"/>
              </w:rPr>
              <w:t>233,0</w:t>
            </w:r>
          </w:p>
        </w:tc>
      </w:tr>
      <w:tr w:rsidR="00000000">
        <w:tblPrEx>
          <w:tblCellMar>
            <w:top w:w="0" w:type="dxa"/>
            <w:bottom w:w="0" w:type="dxa"/>
          </w:tblCellMar>
        </w:tblPrEx>
        <w:tc>
          <w:tcPr>
            <w:tcW w:w="2410" w:type="dxa"/>
          </w:tcPr>
          <w:p w:rsidR="00000000" w:rsidRDefault="00000000">
            <w:pPr>
              <w:spacing w:before="40" w:after="40"/>
              <w:rPr>
                <w:sz w:val="17"/>
              </w:rPr>
            </w:pPr>
            <w:r>
              <w:rPr>
                <w:sz w:val="17"/>
              </w:rPr>
              <w:t>Процентная доля бюдже</w:t>
            </w:r>
            <w:r>
              <w:rPr>
                <w:sz w:val="17"/>
              </w:rPr>
              <w:t>т</w:t>
            </w:r>
            <w:r>
              <w:rPr>
                <w:sz w:val="17"/>
              </w:rPr>
              <w:t>ных расходов на социал</w:t>
            </w:r>
            <w:r>
              <w:rPr>
                <w:sz w:val="17"/>
              </w:rPr>
              <w:t>ь</w:t>
            </w:r>
            <w:r>
              <w:rPr>
                <w:sz w:val="17"/>
              </w:rPr>
              <w:t>ное обслуживание в общем объеме расходов</w:t>
            </w:r>
          </w:p>
        </w:tc>
        <w:tc>
          <w:tcPr>
            <w:tcW w:w="992" w:type="dxa"/>
            <w:vAlign w:val="bottom"/>
          </w:tcPr>
          <w:p w:rsidR="00000000" w:rsidRDefault="00000000">
            <w:pPr>
              <w:tabs>
                <w:tab w:val="decimal" w:pos="567"/>
              </w:tabs>
              <w:spacing w:before="40" w:after="40"/>
              <w:rPr>
                <w:sz w:val="17"/>
              </w:rPr>
            </w:pPr>
            <w:r>
              <w:rPr>
                <w:sz w:val="17"/>
              </w:rPr>
              <w:t>23,5</w:t>
            </w:r>
          </w:p>
        </w:tc>
        <w:tc>
          <w:tcPr>
            <w:tcW w:w="992" w:type="dxa"/>
            <w:vAlign w:val="bottom"/>
          </w:tcPr>
          <w:p w:rsidR="00000000" w:rsidRDefault="00000000">
            <w:pPr>
              <w:tabs>
                <w:tab w:val="decimal" w:pos="567"/>
              </w:tabs>
              <w:spacing w:before="40" w:after="40"/>
              <w:rPr>
                <w:sz w:val="17"/>
              </w:rPr>
            </w:pPr>
            <w:r>
              <w:rPr>
                <w:sz w:val="17"/>
              </w:rPr>
              <w:t>24,9</w:t>
            </w:r>
          </w:p>
        </w:tc>
        <w:tc>
          <w:tcPr>
            <w:tcW w:w="992" w:type="dxa"/>
            <w:vAlign w:val="bottom"/>
          </w:tcPr>
          <w:p w:rsidR="00000000" w:rsidRDefault="00000000">
            <w:pPr>
              <w:tabs>
                <w:tab w:val="decimal" w:pos="567"/>
              </w:tabs>
              <w:spacing w:before="40" w:after="40"/>
              <w:rPr>
                <w:sz w:val="17"/>
              </w:rPr>
            </w:pPr>
            <w:r>
              <w:rPr>
                <w:sz w:val="17"/>
              </w:rPr>
              <w:t>32,6</w:t>
            </w:r>
          </w:p>
        </w:tc>
        <w:tc>
          <w:tcPr>
            <w:tcW w:w="992" w:type="dxa"/>
            <w:vAlign w:val="bottom"/>
          </w:tcPr>
          <w:p w:rsidR="00000000" w:rsidRDefault="00000000">
            <w:pPr>
              <w:tabs>
                <w:tab w:val="decimal" w:pos="567"/>
              </w:tabs>
              <w:spacing w:before="40" w:after="40"/>
              <w:rPr>
                <w:sz w:val="17"/>
              </w:rPr>
            </w:pPr>
            <w:r>
              <w:rPr>
                <w:sz w:val="17"/>
              </w:rPr>
              <w:t>31,2</w:t>
            </w:r>
          </w:p>
        </w:tc>
        <w:tc>
          <w:tcPr>
            <w:tcW w:w="993" w:type="dxa"/>
            <w:vAlign w:val="bottom"/>
          </w:tcPr>
          <w:p w:rsidR="00000000" w:rsidRDefault="00000000">
            <w:pPr>
              <w:tabs>
                <w:tab w:val="decimal" w:pos="567"/>
              </w:tabs>
              <w:spacing w:before="40" w:after="40"/>
              <w:rPr>
                <w:sz w:val="17"/>
              </w:rPr>
            </w:pPr>
            <w:r>
              <w:rPr>
                <w:sz w:val="17"/>
              </w:rPr>
              <w:t>29,8</w:t>
            </w:r>
          </w:p>
        </w:tc>
      </w:tr>
      <w:tr w:rsidR="00000000">
        <w:tblPrEx>
          <w:tblCellMar>
            <w:top w:w="0" w:type="dxa"/>
            <w:bottom w:w="0" w:type="dxa"/>
          </w:tblCellMar>
        </w:tblPrEx>
        <w:tc>
          <w:tcPr>
            <w:tcW w:w="2410" w:type="dxa"/>
          </w:tcPr>
          <w:p w:rsidR="00000000" w:rsidRDefault="00000000">
            <w:pPr>
              <w:spacing w:before="40" w:after="40"/>
              <w:rPr>
                <w:sz w:val="17"/>
              </w:rPr>
            </w:pPr>
            <w:r>
              <w:rPr>
                <w:sz w:val="17"/>
              </w:rPr>
              <w:t>Процентная доля расходов по погашению внешней з</w:t>
            </w:r>
            <w:r>
              <w:rPr>
                <w:sz w:val="17"/>
              </w:rPr>
              <w:t>а</w:t>
            </w:r>
            <w:r>
              <w:rPr>
                <w:sz w:val="17"/>
              </w:rPr>
              <w:t>долженности в общем об</w:t>
            </w:r>
            <w:r>
              <w:rPr>
                <w:sz w:val="17"/>
              </w:rPr>
              <w:t>ъ</w:t>
            </w:r>
            <w:r>
              <w:rPr>
                <w:sz w:val="17"/>
              </w:rPr>
              <w:t>еме расходов</w:t>
            </w:r>
          </w:p>
        </w:tc>
        <w:tc>
          <w:tcPr>
            <w:tcW w:w="992" w:type="dxa"/>
            <w:vAlign w:val="bottom"/>
          </w:tcPr>
          <w:p w:rsidR="00000000" w:rsidRDefault="00000000">
            <w:pPr>
              <w:tabs>
                <w:tab w:val="decimal" w:pos="567"/>
              </w:tabs>
              <w:spacing w:before="40" w:after="40"/>
              <w:rPr>
                <w:sz w:val="17"/>
              </w:rPr>
            </w:pPr>
            <w:r>
              <w:rPr>
                <w:sz w:val="17"/>
              </w:rPr>
              <w:t>24,1</w:t>
            </w:r>
          </w:p>
        </w:tc>
        <w:tc>
          <w:tcPr>
            <w:tcW w:w="992" w:type="dxa"/>
            <w:vAlign w:val="bottom"/>
          </w:tcPr>
          <w:p w:rsidR="00000000" w:rsidRDefault="00000000">
            <w:pPr>
              <w:tabs>
                <w:tab w:val="decimal" w:pos="567"/>
              </w:tabs>
              <w:spacing w:before="40" w:after="40"/>
              <w:rPr>
                <w:sz w:val="17"/>
              </w:rPr>
            </w:pPr>
            <w:r>
              <w:rPr>
                <w:sz w:val="17"/>
              </w:rPr>
              <w:t>18,3</w:t>
            </w:r>
          </w:p>
        </w:tc>
        <w:tc>
          <w:tcPr>
            <w:tcW w:w="992" w:type="dxa"/>
            <w:vAlign w:val="bottom"/>
          </w:tcPr>
          <w:p w:rsidR="00000000" w:rsidRDefault="00000000">
            <w:pPr>
              <w:tabs>
                <w:tab w:val="decimal" w:pos="567"/>
              </w:tabs>
              <w:spacing w:before="40" w:after="40"/>
              <w:rPr>
                <w:sz w:val="17"/>
              </w:rPr>
            </w:pPr>
            <w:r>
              <w:rPr>
                <w:sz w:val="17"/>
              </w:rPr>
              <w:t>18,5</w:t>
            </w:r>
          </w:p>
        </w:tc>
        <w:tc>
          <w:tcPr>
            <w:tcW w:w="992" w:type="dxa"/>
            <w:vAlign w:val="bottom"/>
          </w:tcPr>
          <w:p w:rsidR="00000000" w:rsidRDefault="00000000">
            <w:pPr>
              <w:tabs>
                <w:tab w:val="decimal" w:pos="567"/>
              </w:tabs>
              <w:spacing w:before="40" w:after="40"/>
              <w:rPr>
                <w:sz w:val="17"/>
              </w:rPr>
            </w:pPr>
            <w:r>
              <w:rPr>
                <w:sz w:val="17"/>
              </w:rPr>
              <w:t>20,6</w:t>
            </w:r>
          </w:p>
        </w:tc>
        <w:tc>
          <w:tcPr>
            <w:tcW w:w="993" w:type="dxa"/>
            <w:vAlign w:val="bottom"/>
          </w:tcPr>
          <w:p w:rsidR="00000000" w:rsidRDefault="00000000">
            <w:pPr>
              <w:tabs>
                <w:tab w:val="decimal" w:pos="567"/>
              </w:tabs>
              <w:spacing w:before="40" w:after="40"/>
              <w:rPr>
                <w:sz w:val="17"/>
              </w:rPr>
            </w:pPr>
            <w:r>
              <w:rPr>
                <w:sz w:val="17"/>
              </w:rPr>
              <w:t>26,2</w:t>
            </w:r>
          </w:p>
        </w:tc>
      </w:tr>
    </w:tbl>
    <w:p w:rsidR="00000000" w:rsidRDefault="00000000">
      <w:pPr>
        <w:pStyle w:val="SingleTxt"/>
        <w:rPr>
          <w:sz w:val="17"/>
        </w:rPr>
      </w:pPr>
      <w:r>
        <w:rPr>
          <w:i/>
          <w:sz w:val="17"/>
        </w:rPr>
        <w:t>Источник</w:t>
      </w:r>
      <w:r>
        <w:rPr>
          <w:sz w:val="17"/>
        </w:rPr>
        <w:t>: Данные о внешней задолженности см. веб-сайт Азиатского банка развития; о</w:t>
      </w:r>
      <w:r>
        <w:rPr>
          <w:sz w:val="17"/>
        </w:rPr>
        <w:t>с</w:t>
      </w:r>
      <w:r>
        <w:rPr>
          <w:sz w:val="17"/>
        </w:rPr>
        <w:t xml:space="preserve">тальные данные см., Национально-статистическое управление, </w:t>
      </w:r>
      <w:r>
        <w:rPr>
          <w:i/>
          <w:sz w:val="17"/>
        </w:rPr>
        <w:t>2002 Philippine Yearbook.</w:t>
      </w:r>
    </w:p>
    <w:p w:rsidR="00000000" w:rsidRDefault="00000000">
      <w:pPr>
        <w:pStyle w:val="HCh"/>
        <w:pageBreakBefore/>
      </w:pPr>
      <w:bookmarkStart w:id="109" w:name="_Toc85174962"/>
      <w:r>
        <w:t>Приложение B: Доклад Филиппин (2001-2003 годы) о ходе осуществления пекинской платформы действий и итогового документа</w:t>
      </w:r>
      <w:bookmarkEnd w:id="10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lang w:val="en-US"/>
        </w:rPr>
      </w:pPr>
    </w:p>
    <w:p w:rsidR="00000000" w:rsidRDefault="00000000">
      <w:pPr>
        <w:pStyle w:val="SingleTxt"/>
      </w:pPr>
      <w:r>
        <w:t>Примечание:</w:t>
      </w:r>
    </w:p>
    <w:p w:rsidR="00000000" w:rsidRDefault="00000000">
      <w:pPr>
        <w:pStyle w:val="SingleTxt"/>
      </w:pPr>
      <w:r>
        <w:t>Доклад, о котором говорится в приложении В, будет распространен среди чл</w:t>
      </w:r>
      <w:r>
        <w:t>е</w:t>
      </w:r>
      <w:r>
        <w:t>нов Комитета на том языке, на котором он был получен.</w:t>
      </w:r>
    </w:p>
    <w:p w:rsidR="00000000" w:rsidRDefault="00000000">
      <w:pPr>
        <w:pStyle w:val="SingleTxt"/>
        <w:tabs>
          <w:tab w:val="clear" w:pos="1267"/>
        </w:tabs>
        <w:ind w:left="1560" w:hanging="293"/>
      </w:pPr>
      <w:r>
        <w:t>*</w:t>
      </w:r>
      <w:r>
        <w:tab/>
        <w:t>Примечание: Таблицы В14.2 и В14.3 не были включены в доклад.</w:t>
      </w:r>
    </w:p>
    <w:p w:rsidR="00000000" w:rsidRDefault="00000000">
      <w:pPr>
        <w:spacing w:before="120"/>
      </w:pPr>
    </w:p>
    <w:p w:rsidR="00000000" w:rsidRDefault="00000000">
      <w:pPr>
        <w:spacing w:before="120"/>
      </w:pPr>
    </w:p>
    <w:p w:rsidR="00000000" w:rsidRDefault="00000000">
      <w:pPr>
        <w:spacing w:before="120"/>
      </w:pPr>
    </w:p>
    <w:p w:rsidR="00000000" w:rsidRDefault="00000000">
      <w:pPr>
        <w:jc w:val="center"/>
      </w:pPr>
      <w:r>
        <w:t>__________________</w:t>
      </w:r>
    </w:p>
    <w:p w:rsidR="00000000" w:rsidRDefault="00000000"/>
    <w:sectPr w:rsidR="00000000">
      <w:headerReference w:type="even" r:id="rId34"/>
      <w:headerReference w:type="default" r:id="rId35"/>
      <w:footerReference w:type="even" r:id="rId36"/>
      <w:footerReference w:type="default" r:id="rId3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NO&gt;&gt;N0445972R&lt;&lt;ODS JOB NO&gt;&gt;</w:t>
      </w:r>
    </w:p>
    <w:p w:rsidR="00000000" w:rsidRDefault="00000000">
      <w:pPr>
        <w:pStyle w:val="CommentText"/>
        <w:rPr>
          <w:lang w:val="en-US"/>
        </w:rPr>
      </w:pPr>
      <w:r>
        <w:rPr>
          <w:lang w:val="en-US"/>
        </w:rPr>
        <w:t>&lt;&lt;ODS DOC SYMBOL1&gt;&gt;CEDAW/C/PHI/5-6&lt;&lt;ODS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ell MT">
    <w:panose1 w:val="0202050306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04-45972 (R) 11</w:t>
    </w:r>
    <w:r>
      <w:rPr>
        <w:b w:val="0"/>
        <w:noProof w:val="0"/>
        <w:sz w:val="20"/>
      </w:rPr>
      <w:t>08</w:t>
    </w:r>
    <w:r>
      <w:rPr>
        <w:b w:val="0"/>
        <w:sz w:val="20"/>
      </w:rPr>
      <w:t>04 110804</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*0445972*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p w:rsidR="00000000" w:rsidRDefault="00000000">
      <w:pPr>
        <w:pStyle w:val="FootnoteText"/>
        <w:tabs>
          <w:tab w:val="clear" w:pos="418"/>
        </w:tabs>
        <w:ind w:left="1276"/>
      </w:pPr>
    </w:p>
    <w:p w:rsidR="00000000" w:rsidRDefault="00000000">
      <w:pPr>
        <w:pStyle w:val="FootnoteText"/>
        <w:tabs>
          <w:tab w:val="clear" w:pos="418"/>
        </w:tabs>
        <w:ind w:left="1276"/>
      </w:pPr>
      <w:r>
        <w:tab/>
        <w:t>Первоначальный доклад, представленный правительством Республики Филиппины, см. д</w:t>
      </w:r>
      <w:r>
        <w:t>о</w:t>
      </w:r>
      <w:r>
        <w:t xml:space="preserve">кумент </w:t>
      </w:r>
      <w:r>
        <w:rPr>
          <w:lang w:val="en-US"/>
        </w:rPr>
        <w:t>CEDAW</w:t>
      </w:r>
      <w:r>
        <w:t>/</w:t>
      </w:r>
      <w:r>
        <w:rPr>
          <w:lang w:val="en-US"/>
        </w:rPr>
        <w:t>C</w:t>
      </w:r>
      <w:r>
        <w:t>/5/</w:t>
      </w:r>
      <w:r>
        <w:rPr>
          <w:lang w:val="en-US"/>
        </w:rPr>
        <w:t>Add</w:t>
      </w:r>
      <w:r>
        <w:t xml:space="preserve">.6, который был рассмотрен Комитетом на своей третьей сессии. Второй периодический доклад, представленный правительством Республики Филиппины, см. </w:t>
      </w:r>
      <w:r>
        <w:rPr>
          <w:lang w:val="en-US"/>
        </w:rPr>
        <w:t>CEDAW</w:t>
      </w:r>
      <w:r>
        <w:t>/</w:t>
      </w:r>
      <w:r>
        <w:rPr>
          <w:lang w:val="en-US"/>
        </w:rPr>
        <w:t>C</w:t>
      </w:r>
      <w:r>
        <w:t>/13/</w:t>
      </w:r>
      <w:r>
        <w:rPr>
          <w:lang w:val="en-US"/>
        </w:rPr>
        <w:t>Add</w:t>
      </w:r>
      <w:r>
        <w:t xml:space="preserve">.17, который был рассмотрен Комитетом на своей десятой сессии. Третий периодический доклад, представленный правительством Республики Филиппины, см. </w:t>
      </w:r>
      <w:r>
        <w:rPr>
          <w:lang w:val="en-US"/>
        </w:rPr>
        <w:t>CEDAW</w:t>
      </w:r>
      <w:r>
        <w:t>/</w:t>
      </w:r>
      <w:r>
        <w:rPr>
          <w:lang w:val="en-US"/>
        </w:rPr>
        <w:t>C</w:t>
      </w:r>
      <w:r>
        <w:t>/РН</w:t>
      </w:r>
      <w:r>
        <w:rPr>
          <w:lang w:val="en-US"/>
        </w:rPr>
        <w:t>I</w:t>
      </w:r>
      <w:r>
        <w:t>/3, который был рассмотрен Комитетом на своей шестнадцатой сессии. Четвертый периодический доклад, представленный правительством Республики Филипп</w:t>
      </w:r>
      <w:r>
        <w:t>и</w:t>
      </w:r>
      <w:r>
        <w:t xml:space="preserve">ны, см. </w:t>
      </w:r>
      <w:r>
        <w:rPr>
          <w:lang w:val="en-US"/>
        </w:rPr>
        <w:t>CEDAW</w:t>
      </w:r>
      <w:r>
        <w:t>/</w:t>
      </w:r>
      <w:r>
        <w:rPr>
          <w:lang w:val="en-US"/>
        </w:rPr>
        <w:t>C</w:t>
      </w:r>
      <w:r>
        <w:t>/РН</w:t>
      </w:r>
      <w:r>
        <w:rPr>
          <w:lang w:val="en-US"/>
        </w:rPr>
        <w:t>I</w:t>
      </w:r>
      <w:r>
        <w:t>/4, который был рассмотрен Комитетом на своей шестнадцатой се</w:t>
      </w:r>
      <w:r>
        <w:t>с</w:t>
      </w:r>
      <w:r>
        <w:t>сии.</w:t>
      </w:r>
    </w:p>
  </w:footnote>
  <w:footnote w:id="2">
    <w:p w:rsidR="00000000" w:rsidRDefault="00000000">
      <w:pPr>
        <w:pStyle w:val="FootnoteText"/>
      </w:pPr>
      <w:r>
        <w:rPr>
          <w:rStyle w:val="FootnoteReference"/>
        </w:rPr>
        <w:footnoteRef/>
      </w:r>
      <w:r>
        <w:tab/>
        <w:t>Как отмечалось во втором периодическом докладе Филиппин Комиссии Организации Объед</w:t>
      </w:r>
      <w:r>
        <w:t>и</w:t>
      </w:r>
      <w:r>
        <w:t>ненных Наций по положению женщин Организации Объединенных Наций, первый этап этого процесса имел место в 1986 году. Как и первый, второй этап революции «Власть народа» н</w:t>
      </w:r>
      <w:r>
        <w:t>о</w:t>
      </w:r>
      <w:r>
        <w:t>сит название ЭДСА II (авеню Эпифания-де-лос-Сантос (ЭДСА) – длинная магистраль, где во время «революции» собирались большие массы народа).</w:t>
      </w:r>
    </w:p>
  </w:footnote>
  <w:footnote w:id="3">
    <w:p w:rsidR="00000000" w:rsidRDefault="00000000">
      <w:pPr>
        <w:pStyle w:val="FootnoteText"/>
      </w:pPr>
      <w:r>
        <w:rPr>
          <w:rStyle w:val="FootnoteReference"/>
        </w:rPr>
        <w:footnoteRef/>
      </w:r>
      <w:r>
        <w:tab/>
        <w:t>На Филиппинах имеет место вооруженное противостояние с Коммунистической партией Ф</w:t>
      </w:r>
      <w:r>
        <w:t>и</w:t>
      </w:r>
      <w:r>
        <w:t>липпин – Новой народной армией (КПФ-ННА) с 60-х годов и сепаратистскими движениями на юге, главным образом с Фронтом национального освобождения Моро (ФНОМ) и Исламским фронтом освобождения Моро (ИФОМ) – с 70-х. В 1976 ФНОМ впервые вступил в мирные п</w:t>
      </w:r>
      <w:r>
        <w:t>е</w:t>
      </w:r>
      <w:r>
        <w:t>реговоры с правительством, и в 1996 году провинции с преобладающим мусульманским нас</w:t>
      </w:r>
      <w:r>
        <w:t>е</w:t>
      </w:r>
      <w:r>
        <w:t>лением наконец добились независимости. ИФОМ, который откололся от ФНОМ в 1977 году, продолжает свою вооруженную борьбу, преследуя долгосрочную цель создания независимого исламского государства. Абу-Сайяф (с арабского «Божий меч») является еще одной вооруже</w:t>
      </w:r>
      <w:r>
        <w:t>н</w:t>
      </w:r>
      <w:r>
        <w:t>ной сепаратисткой группировкой, преследуемой правительством за его весьма активную уг</w:t>
      </w:r>
      <w:r>
        <w:t>о</w:t>
      </w:r>
      <w:r>
        <w:t>ловную деятельность, связанную главным образом с похищением людей ради получения в</w:t>
      </w:r>
      <w:r>
        <w:t>ы</w:t>
      </w:r>
      <w:r>
        <w:t>купа (Ferrer 2003).</w:t>
      </w:r>
    </w:p>
  </w:footnote>
  <w:footnote w:id="4">
    <w:p w:rsidR="00000000" w:rsidRDefault="00000000">
      <w:pPr>
        <w:pStyle w:val="FootnoteText"/>
      </w:pPr>
      <w:r>
        <w:rPr>
          <w:rStyle w:val="FootnoteReference"/>
        </w:rPr>
        <w:footnoteRef/>
      </w:r>
      <w:r>
        <w:tab/>
        <w:t>По результатам совместной оценки филиппинского Национального управления экономическ</w:t>
      </w:r>
      <w:r>
        <w:t>о</w:t>
      </w:r>
      <w:r>
        <w:t>го развития и Программы развития Организации Объединенных Наций, проведенной в 2000 году.</w:t>
      </w:r>
    </w:p>
  </w:footnote>
  <w:footnote w:id="5">
    <w:p w:rsidR="00000000" w:rsidRDefault="00000000">
      <w:pPr>
        <w:pStyle w:val="FootnoteText"/>
      </w:pPr>
      <w:r>
        <w:rPr>
          <w:rStyle w:val="FootnoteReference"/>
        </w:rPr>
        <w:footnoteRef/>
      </w:r>
      <w:r>
        <w:tab/>
        <w:t>К тяжким преступлениям, не подлежащим статистическому учету, относятся все виды прест</w:t>
      </w:r>
      <w:r>
        <w:t>у</w:t>
      </w:r>
      <w:r>
        <w:t>плений, которые не квалифицируются как тяжкие преступления, подлежащие статистическому учету.</w:t>
      </w:r>
    </w:p>
  </w:footnote>
  <w:footnote w:id="6">
    <w:p w:rsidR="00000000" w:rsidRDefault="00000000">
      <w:pPr>
        <w:pStyle w:val="FootnoteText"/>
      </w:pPr>
      <w:r>
        <w:rPr>
          <w:rStyle w:val="FootnoteReference"/>
        </w:rPr>
        <w:footnoteRef/>
      </w:r>
      <w:r>
        <w:tab/>
        <w:t>К тяжким преступлениям, подлежащим статистическому учету, относятся преступления, кот</w:t>
      </w:r>
      <w:r>
        <w:t>о</w:t>
      </w:r>
      <w:r>
        <w:t>рые являются достаточно серьезными и распространенными, для того чтобы быть показател</w:t>
      </w:r>
      <w:r>
        <w:t>ь</w:t>
      </w:r>
      <w:r>
        <w:t>ными, и включают следующие виды преступлений: убийство, нанесение физических увечий, грабеж, кража и изнасилование.</w:t>
      </w:r>
    </w:p>
  </w:footnote>
  <w:footnote w:id="7">
    <w:p w:rsidR="00000000" w:rsidRDefault="00000000">
      <w:pPr>
        <w:pStyle w:val="FootnoteText"/>
      </w:pPr>
      <w:r>
        <w:rPr>
          <w:rStyle w:val="FootnoteReference"/>
        </w:rPr>
        <w:footnoteRef/>
      </w:r>
      <w:r>
        <w:tab/>
        <w:t>Согласно оценке НСКС, ежегодный подушевой порог нищеты, или сумма, требуемая для удо</w:t>
      </w:r>
      <w:r>
        <w:t>в</w:t>
      </w:r>
      <w:r>
        <w:t>летворения основных продовольственных и непродовольственных потребностей человека, в 2000 году составлял 13 916 филиппинских песо, или 315 долл. США (на основе установленн</w:t>
      </w:r>
      <w:r>
        <w:t>о</w:t>
      </w:r>
      <w:r>
        <w:t>го на тот момент Bangko Sentral ng Pilipinas [Центральный банк Филиппин] обменного курса на уровне 44,2 филиппинских песо за 1 долл. США), или порядка 1 160 филиппинских песо (26 долл. США) в месяц. Это означает, что для удовлетворения основных потребностей своих членов семья из шести человек должна зарабатывать не менее 6 958 песо (157 долл. США) в месяц.</w:t>
      </w:r>
    </w:p>
  </w:footnote>
  <w:footnote w:id="8">
    <w:p w:rsidR="00000000" w:rsidRDefault="00000000">
      <w:pPr>
        <w:pStyle w:val="FootnoteText"/>
      </w:pPr>
      <w:r>
        <w:rPr>
          <w:rStyle w:val="FootnoteReference"/>
        </w:rPr>
        <w:footnoteRef/>
      </w:r>
      <w:r>
        <w:tab/>
        <w:t>Показатель Джини как критерий неравенства распределения доходов – это область, наход</w:t>
      </w:r>
      <w:r>
        <w:t>я</w:t>
      </w:r>
      <w:r>
        <w:t>щаяся между кривой распределения доходов (Кривая Лоренца) и диагональю (линия коэфф</w:t>
      </w:r>
      <w:r>
        <w:t>и</w:t>
      </w:r>
      <w:r>
        <w:t>циента абсолютного равенства – это критерий степени неравенства распределения доходов). Чем ближе к нулю показатель или коэффициент Джини, тем более равным является распред</w:t>
      </w:r>
      <w:r>
        <w:t>е</w:t>
      </w:r>
      <w:r>
        <w:t>ление доходов (БСТЗ, n.d.:18)</w:t>
      </w:r>
    </w:p>
  </w:footnote>
  <w:footnote w:id="9">
    <w:p w:rsidR="00000000" w:rsidRDefault="00000000">
      <w:pPr>
        <w:pStyle w:val="FootnoteText"/>
      </w:pPr>
      <w:r>
        <w:rPr>
          <w:rStyle w:val="FootnoteReference"/>
        </w:rPr>
        <w:footnoteRef/>
      </w:r>
      <w:r>
        <w:tab/>
        <w:t>Данные о материнской, младенческой и детской смертности за 1990 и 1995 годы взяты из З</w:t>
      </w:r>
      <w:r>
        <w:t>а</w:t>
      </w:r>
      <w:r>
        <w:t>ключительного доклада о материнской и детской смертности «Final Report of the TWG on M</w:t>
      </w:r>
      <w:r>
        <w:t>a</w:t>
      </w:r>
      <w:r>
        <w:t>ternal and Child Mortality» (NSCB 1995), а данные за 1998 год были получены по итогам пров</w:t>
      </w:r>
      <w:r>
        <w:t>е</w:t>
      </w:r>
      <w:r>
        <w:t>денного НСУ в 1998 году Национального демографического и медицинского обследов</w:t>
      </w:r>
      <w:r>
        <w:t>а</w:t>
      </w:r>
      <w:r>
        <w:t>ния.</w:t>
      </w:r>
    </w:p>
  </w:footnote>
  <w:footnote w:id="10">
    <w:p w:rsidR="00000000" w:rsidRDefault="00000000">
      <w:pPr>
        <w:pStyle w:val="FootnoteText"/>
      </w:pPr>
      <w:r>
        <w:rPr>
          <w:rStyle w:val="FootnoteReference"/>
        </w:rPr>
        <w:footnoteRef/>
      </w:r>
      <w:r>
        <w:t xml:space="preserve"> </w:t>
      </w:r>
      <w:r>
        <w:tab/>
        <w:t>Индекс развития человека – это сложный индекс, определяющий средний уровень достижений по трем основным аспектам развития человека – длительная и здоровая жизнь, знания и до</w:t>
      </w:r>
      <w:r>
        <w:t>с</w:t>
      </w:r>
      <w:r>
        <w:t>тойный уровень жизни.</w:t>
      </w:r>
    </w:p>
  </w:footnote>
  <w:footnote w:id="11">
    <w:p w:rsidR="00000000" w:rsidRDefault="00000000">
      <w:pPr>
        <w:pStyle w:val="FootnoteText"/>
      </w:pPr>
      <w:r>
        <w:rPr>
          <w:rStyle w:val="FootnoteReference"/>
        </w:rPr>
        <w:footnoteRef/>
      </w:r>
      <w:r>
        <w:rPr>
          <w:rStyle w:val="FootnoteReference"/>
          <w:spacing w:val="5"/>
          <w:w w:val="104"/>
          <w:position w:val="0"/>
          <w:vertAlign w:val="baseline"/>
        </w:rPr>
        <w:tab/>
      </w:r>
      <w:r>
        <w:t>Гендерный индекс развития – это сложный индекс, характеризующий средний уровень разв</w:t>
      </w:r>
      <w:r>
        <w:t>и</w:t>
      </w:r>
      <w:r>
        <w:t>тия по трем основным аспектам, касающимся индекса развития человека, – длительной и зд</w:t>
      </w:r>
      <w:r>
        <w:t>о</w:t>
      </w:r>
      <w:r>
        <w:t>ровой жизни, знаний и достойного уровня жизни – с поправкой на существующее неравенство между мужчиной и женщиной. Гендерный индекс расширения прав и возможностей – это сложный индекс, характеризующий неравенство между мужчинами и женщинами по трем о</w:t>
      </w:r>
      <w:r>
        <w:t>с</w:t>
      </w:r>
      <w:r>
        <w:t>новным аспектам расширения прав и возможностей – участие в экономической жизни и пр</w:t>
      </w:r>
      <w:r>
        <w:t>и</w:t>
      </w:r>
      <w:r>
        <w:t>нятии решений в этой области, участие в политической жизни и принятии решений в этой о</w:t>
      </w:r>
      <w:r>
        <w:t>б</w:t>
      </w:r>
      <w:r>
        <w:t>ласти и право распоряжаться экономическими ресурсами.</w:t>
      </w:r>
    </w:p>
  </w:footnote>
  <w:footnote w:id="12">
    <w:p w:rsidR="00000000" w:rsidRDefault="00000000">
      <w:pPr>
        <w:pStyle w:val="FootnoteText"/>
      </w:pPr>
      <w:r>
        <w:rPr>
          <w:rStyle w:val="FootnoteReference"/>
        </w:rPr>
        <w:footnoteRef/>
      </w:r>
      <w:r>
        <w:tab/>
        <w:t>Для последующих подразделов активно использовались данные Illo (2002b).</w:t>
      </w:r>
    </w:p>
  </w:footnote>
  <w:footnote w:id="13">
    <w:p w:rsidR="00000000" w:rsidRDefault="00000000">
      <w:pPr>
        <w:pStyle w:val="FootnoteText"/>
      </w:pPr>
      <w:r>
        <w:rPr>
          <w:rStyle w:val="FootnoteReference"/>
        </w:rPr>
        <w:footnoteRef/>
      </w:r>
      <w:r>
        <w:tab/>
        <w:t>Более низкая цифра отражает процентную долю владельцев счетов и членов семьи, не пол</w:t>
      </w:r>
      <w:r>
        <w:t>у</w:t>
      </w:r>
      <w:r>
        <w:t>чающих плату за свой труд, по сравнению с общим числом работающих по найму лиц по ит</w:t>
      </w:r>
      <w:r>
        <w:t>о</w:t>
      </w:r>
      <w:r>
        <w:t>гам обследований рабочей силы, а более высокая цифра отражает разницу между общенаци</w:t>
      </w:r>
      <w:r>
        <w:t>о</w:t>
      </w:r>
      <w:r>
        <w:t>нальными данными о занятости, полученными в результате обследования рабочей силы д</w:t>
      </w:r>
      <w:r>
        <w:t>о</w:t>
      </w:r>
      <w:r>
        <w:t>машних хозяйств, и данными о государственных служащих и количеством лиц, работающих на предприятиях (Yu 2001).</w:t>
      </w:r>
    </w:p>
  </w:footnote>
  <w:footnote w:id="14">
    <w:p w:rsidR="00000000" w:rsidRDefault="00000000">
      <w:pPr>
        <w:pStyle w:val="FootnoteText"/>
      </w:pPr>
      <w:r>
        <w:rPr>
          <w:rStyle w:val="FootnoteReference"/>
        </w:rPr>
        <w:footnoteRef/>
      </w:r>
      <w:r>
        <w:tab/>
        <w:t>Основано на "Ежегодных и ежеквартальных сравнительных статистических данных о престу</w:t>
      </w:r>
      <w:r>
        <w:t>п</w:t>
      </w:r>
      <w:r>
        <w:t>лениях в отношении детей (1999-2003 годы)". Таблица предоставлена Отделением по защите интересов женщин и детей ФНП в Национальную комиссию по вопросу о роли филиппинских женщин (НКВРФЖ) в марте 2004 года.</w:t>
      </w:r>
    </w:p>
  </w:footnote>
  <w:footnote w:id="15">
    <w:p w:rsidR="00000000" w:rsidRDefault="00000000">
      <w:pPr>
        <w:pStyle w:val="FootnoteText"/>
      </w:pPr>
      <w:r>
        <w:rPr>
          <w:rStyle w:val="FootnoteReference"/>
        </w:rPr>
        <w:footnoteRef/>
      </w:r>
      <w:r>
        <w:tab/>
        <w:t>Последним источником данных функциональной грамотности является Обследование по в</w:t>
      </w:r>
      <w:r>
        <w:t>о</w:t>
      </w:r>
      <w:r>
        <w:t xml:space="preserve">просам функциональной грамотности, образования и средств массовой информации (FLEMMS), проведенное Национальным статистическим управлением в 1994 году. </w:t>
      </w:r>
    </w:p>
  </w:footnote>
  <w:footnote w:id="16">
    <w:p w:rsidR="00000000" w:rsidRDefault="00000000">
      <w:pPr>
        <w:pStyle w:val="FootnoteText"/>
      </w:pPr>
      <w:r>
        <w:rPr>
          <w:rStyle w:val="FootnoteReference"/>
        </w:rPr>
        <w:footnoteRef/>
      </w:r>
      <w:r>
        <w:tab/>
        <w:t>Коэффициент численности учащихся, или зачисления в школы, показывает отношение офиц</w:t>
      </w:r>
      <w:r>
        <w:t>и</w:t>
      </w:r>
      <w:r>
        <w:t>ально зарегистрированных учащихся школьного возраста на определенном уровне образования к общей численности детей в данной возрастной группе (7-12 лет для начальной школы и 13-16 лет для средней школы).</w:t>
      </w:r>
    </w:p>
  </w:footnote>
  <w:footnote w:id="17">
    <w:p w:rsidR="00000000" w:rsidRDefault="00000000">
      <w:pPr>
        <w:pStyle w:val="FootnoteText"/>
      </w:pPr>
      <w:r>
        <w:rPr>
          <w:rStyle w:val="FootnoteReference"/>
        </w:rPr>
        <w:footnoteRef/>
      </w:r>
      <w:r>
        <w:tab/>
        <w:t>Процент отсева показывает отношение учеников или студентов, выбывающих из учебного з</w:t>
      </w:r>
      <w:r>
        <w:t>а</w:t>
      </w:r>
      <w:r>
        <w:t>ведения в течение года, а также тех, кто заканчивает класс/учебный год, но не продолжает учебу в следующем классе/учебном году на следующий учебной год, к количеству учеников или студентов, поступивших в учебные заведения в предыдущем году.</w:t>
      </w:r>
    </w:p>
  </w:footnote>
  <w:footnote w:id="18">
    <w:p w:rsidR="00000000" w:rsidRDefault="00000000">
      <w:pPr>
        <w:pStyle w:val="FootnoteText"/>
      </w:pPr>
      <w:r>
        <w:rPr>
          <w:rStyle w:val="FootnoteReference"/>
        </w:rPr>
        <w:footnoteRef/>
      </w:r>
      <w:r>
        <w:tab/>
        <w:t>В большинстве районов страны разрыв между мужчинами и женщинами в предложении на рынке труда объясняется тремя факторами. Высокий показатель фертильности на Филиппинах (3,5 детей на одну женщину; для сравнения аналогичный показатель в Таиланде составляет 1,9, в Индонезии — 2,6, в Малайзии — 3; ABD 2001) означает, что женщина отдает многие г</w:t>
      </w:r>
      <w:r>
        <w:t>о</w:t>
      </w:r>
      <w:r>
        <w:t>ды жизни вынашиванию детей. К этому следует прибавить и годы, в течение которых женщина занимается воспитанием детей, что является результатом разделения домашнего труда между мужчинами и женщинами, при котором забота о детях является женской обязанностью. В тех случаях, когда нет возможности прибегнуть к помощи воспитателей, женщины, как правило, ограничивают свою экономическую деятельность теми ее видами, которыми они могут зан</w:t>
      </w:r>
      <w:r>
        <w:t>и</w:t>
      </w:r>
      <w:r>
        <w:t>маться дома или недалеко от дома. Работа в неформальном секторе экономики позволила мн</w:t>
      </w:r>
      <w:r>
        <w:t>о</w:t>
      </w:r>
      <w:r>
        <w:t>гим женщинам сочетать работу по дому с деятельностью, приносящей доход, как видно из таблицы, показывающей соотношение ПСН для мужчин и женщин одинаковых возрастных групп. Однако постоянная ситуация кризиса, по всей видимости, заставляет все большее число женщин любого — в том числе и считающегося оптимальным для деторождения — возраста становиться участниками рынка труда.</w:t>
      </w:r>
    </w:p>
  </w:footnote>
  <w:footnote w:id="19">
    <w:p w:rsidR="00000000" w:rsidRDefault="00000000">
      <w:pPr>
        <w:pStyle w:val="FootnoteText"/>
      </w:pPr>
      <w:r>
        <w:rPr>
          <w:rStyle w:val="FootnoteReference"/>
        </w:rPr>
        <w:footnoteRef/>
      </w:r>
      <w:r>
        <w:tab/>
        <w:t>Этот пример был приведен Юргетт Онкулада из Национальной федерации труда 26 февраля 2002 года на национальном семинаре по оказанию совместного регионального технического содействия Азиатским банком развития и МОТ (Illo 2002b).</w:t>
      </w:r>
    </w:p>
  </w:footnote>
  <w:footnote w:id="20">
    <w:p w:rsidR="00000000" w:rsidRDefault="00000000">
      <w:pPr>
        <w:pStyle w:val="FootnoteText"/>
      </w:pPr>
      <w:r>
        <w:rPr>
          <w:rStyle w:val="FootnoteReference"/>
        </w:rPr>
        <w:footnoteRef/>
      </w:r>
      <w:r>
        <w:tab/>
        <w:t>В центре внимания исследований использования времени оказались члены домашних хозяйств в возрасте от 10 лет. Его целью был сбор данных о том, как люди распределяют свое время между работой по найму, домашним хозяйством, другими видами бесплатного труда и дос</w:t>
      </w:r>
      <w:r>
        <w:t>у</w:t>
      </w:r>
      <w:r>
        <w:t>гом, получение информации, необходимой для оценки стоимости бесплатного труда, а также выявление факторов, влияющих на то, как человек распределяет свое время, и соотношения этих факторов среди различных групп населения.</w:t>
      </w:r>
    </w:p>
  </w:footnote>
  <w:footnote w:id="21">
    <w:p w:rsidR="00000000" w:rsidRDefault="00000000">
      <w:pPr>
        <w:pStyle w:val="FootnoteText"/>
      </w:pPr>
      <w:r>
        <w:rPr>
          <w:rStyle w:val="FootnoteReference"/>
        </w:rPr>
        <w:footnoteRef/>
      </w:r>
      <w:r>
        <w:tab/>
        <w:t>Вместо термина «женщины-работницы секс-индустрии» стал использоваться термин «женщ</w:t>
      </w:r>
      <w:r>
        <w:t>и</w:t>
      </w:r>
      <w:r>
        <w:t>ны-проститутки», поскольку первый термин как бы официально закреплял практику прост</w:t>
      </w:r>
      <w:r>
        <w:t>и</w:t>
      </w:r>
      <w:r>
        <w:t>туции. Использование термина «женщины-проститутки» признает также то, что основной причиной, заставляющей женщин заниматься проституцией, является бедность.</w:t>
      </w:r>
    </w:p>
  </w:footnote>
  <w:footnote w:id="22">
    <w:p w:rsidR="00000000" w:rsidRDefault="00000000">
      <w:pPr>
        <w:pStyle w:val="FootnoteText"/>
      </w:pPr>
      <w:r>
        <w:rPr>
          <w:rStyle w:val="FootnoteReference"/>
        </w:rPr>
        <w:footnoteRef/>
      </w:r>
      <w:r>
        <w:tab/>
        <w:t>«Сообщество аграрной реформы» представляет собой группу подпадающих под земельную реформу районов (деревню) в муниципалитете, где фермеры и сельскохозяйственные работн</w:t>
      </w:r>
      <w:r>
        <w:t>и</w:t>
      </w:r>
      <w:r>
        <w:t>ки ожидают завершения аграрной реформы.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168"/>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/C/PHI/5-6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t>2</w:t>
          </w:r>
          <w:r>
            <w:rPr>
              <w:lang w:val="en-US"/>
            </w:rPr>
            <w:t> August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CEDAW/C/PHI/5-6</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CEDAW/C/PHI/5-6</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3"/>
    <w:multiLevelType w:val="multilevel"/>
    <w:tmpl w:val="00000000"/>
    <w:lvl w:ilvl="0">
      <w:start w:val="1"/>
      <w:numFmt w:val="decimal"/>
      <w:lvlText w:val="%1."/>
      <w:lvlJc w:val="left"/>
      <w:pPr>
        <w:tabs>
          <w:tab w:val="num" w:pos="720"/>
        </w:tabs>
        <w:ind w:left="720" w:hanging="720"/>
      </w:pPr>
      <w:rPr>
        <w:rFonts w:ascii="Bell MT" w:hAnsi="Bell MT" w:cs="Bell MT"/>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3B5D63"/>
    <w:multiLevelType w:val="singleLevel"/>
    <w:tmpl w:val="C9DA4F02"/>
    <w:lvl w:ilvl="0">
      <w:start w:val="502"/>
      <w:numFmt w:val="decimal"/>
      <w:lvlText w:val="%1."/>
      <w:lvlJc w:val="left"/>
      <w:pPr>
        <w:tabs>
          <w:tab w:val="num" w:pos="396"/>
        </w:tabs>
        <w:ind w:left="396" w:hanging="396"/>
      </w:pPr>
      <w:rPr>
        <w:rFonts w:hint="default"/>
      </w:rPr>
    </w:lvl>
  </w:abstractNum>
  <w:abstractNum w:abstractNumId="14">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
    <w:nsid w:val="035E4DE6"/>
    <w:multiLevelType w:val="singleLevel"/>
    <w:tmpl w:val="1D3032F0"/>
    <w:lvl w:ilvl="0">
      <w:start w:val="1"/>
      <w:numFmt w:val="lowerLetter"/>
      <w:lvlText w:val="%1."/>
      <w:lvlJc w:val="left"/>
      <w:pPr>
        <w:tabs>
          <w:tab w:val="num" w:pos="360"/>
        </w:tabs>
        <w:ind w:left="360" w:hanging="360"/>
      </w:pPr>
      <w:rPr>
        <w:rFonts w:hint="default"/>
      </w:rPr>
    </w:lvl>
  </w:abstractNum>
  <w:abstractNum w:abstractNumId="18">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48D47BD"/>
    <w:multiLevelType w:val="multilevel"/>
    <w:tmpl w:val="B42459F0"/>
    <w:lvl w:ilvl="0">
      <w:start w:val="95"/>
      <w:numFmt w:val="decimal"/>
      <w:lvlText w:val="%1."/>
      <w:lvlJc w:val="left"/>
      <w:pPr>
        <w:tabs>
          <w:tab w:val="num" w:pos="360"/>
        </w:tabs>
        <w:ind w:left="360" w:hanging="360"/>
      </w:pPr>
      <w:rPr>
        <w:rFonts w:hint="default"/>
        <w:u w:val="none"/>
      </w:rPr>
    </w:lvl>
    <w:lvl w:ilvl="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20">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
    <w:nsid w:val="068D7157"/>
    <w:multiLevelType w:val="multilevel"/>
    <w:tmpl w:val="46B88878"/>
    <w:lvl w:ilvl="0">
      <w:start w:val="32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6">
    <w:nsid w:val="06FF0D37"/>
    <w:multiLevelType w:val="multilevel"/>
    <w:tmpl w:val="2D580E4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
    <w:nsid w:val="088220B0"/>
    <w:multiLevelType w:val="hybridMultilevel"/>
    <w:tmpl w:val="7264BF90"/>
    <w:lvl w:ilvl="0">
      <w:start w:val="167"/>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8AD0774"/>
    <w:multiLevelType w:val="multilevel"/>
    <w:tmpl w:val="2FFC5BF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08BA78F5"/>
    <w:multiLevelType w:val="singleLevel"/>
    <w:tmpl w:val="F938A33E"/>
    <w:lvl w:ilvl="0">
      <w:numFmt w:val="bullet"/>
      <w:lvlText w:val="-"/>
      <w:lvlJc w:val="left"/>
      <w:pPr>
        <w:tabs>
          <w:tab w:val="num" w:pos="360"/>
        </w:tabs>
        <w:ind w:left="360" w:hanging="360"/>
      </w:pPr>
      <w:rPr>
        <w:rFonts w:hint="default"/>
      </w:rPr>
    </w:lvl>
  </w:abstractNum>
  <w:abstractNum w:abstractNumId="34">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9">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41">
    <w:nsid w:val="0B1B3AB4"/>
    <w:multiLevelType w:val="hybridMultilevel"/>
    <w:tmpl w:val="3294D3DE"/>
    <w:lvl w:ilvl="0">
      <w:start w:val="1"/>
      <w:numFmt w:val="lowerLetter"/>
      <w:lvlText w:val="%1."/>
      <w:lvlJc w:val="left"/>
      <w:pPr>
        <w:tabs>
          <w:tab w:val="num" w:pos="760"/>
        </w:tabs>
        <w:ind w:left="760" w:hanging="360"/>
      </w:pPr>
      <w:rPr>
        <w:rFonts w:cs="Times New Roman" w:hint="default"/>
      </w:rPr>
    </w:lvl>
    <w:lvl w:ilvl="1" w:tentative="1">
      <w:start w:val="1"/>
      <w:numFmt w:val="lowerLetter"/>
      <w:lvlText w:val="%2."/>
      <w:lvlJc w:val="left"/>
      <w:pPr>
        <w:tabs>
          <w:tab w:val="num" w:pos="1480"/>
        </w:tabs>
        <w:ind w:left="1480" w:hanging="360"/>
      </w:p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4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4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45">
    <w:nsid w:val="0C55490E"/>
    <w:multiLevelType w:val="singleLevel"/>
    <w:tmpl w:val="F938A33E"/>
    <w:lvl w:ilvl="0">
      <w:numFmt w:val="bullet"/>
      <w:lvlText w:val="-"/>
      <w:lvlJc w:val="left"/>
      <w:pPr>
        <w:tabs>
          <w:tab w:val="num" w:pos="360"/>
        </w:tabs>
        <w:ind w:left="360" w:hanging="360"/>
      </w:pPr>
      <w:rPr>
        <w:rFonts w:hint="default"/>
      </w:rPr>
    </w:lvl>
  </w:abstractNum>
  <w:abstractNum w:abstractNumId="46">
    <w:nsid w:val="0CB35F63"/>
    <w:multiLevelType w:val="multilevel"/>
    <w:tmpl w:val="1D103C1A"/>
    <w:lvl w:ilvl="0">
      <w:start w:val="34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8">
    <w:nsid w:val="0DEA7359"/>
    <w:multiLevelType w:val="multilevel"/>
    <w:tmpl w:val="F43E7834"/>
    <w:lvl w:ilvl="0">
      <w:start w:val="1"/>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49">
    <w:nsid w:val="0E835883"/>
    <w:multiLevelType w:val="multilevel"/>
    <w:tmpl w:val="CB8C74C6"/>
    <w:lvl w:ilvl="0">
      <w:start w:val="544"/>
      <w:numFmt w:val="decimal"/>
      <w:lvlText w:val="%1."/>
      <w:lvlJc w:val="left"/>
      <w:pPr>
        <w:tabs>
          <w:tab w:val="num" w:pos="396"/>
        </w:tabs>
        <w:ind w:left="396" w:hanging="396"/>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51">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54">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10C8709E"/>
    <w:multiLevelType w:val="singleLevel"/>
    <w:tmpl w:val="E556B404"/>
    <w:lvl w:ilvl="0">
      <w:start w:val="1"/>
      <w:numFmt w:val="decimal"/>
      <w:lvlText w:val="%1."/>
      <w:lvlJc w:val="left"/>
      <w:pPr>
        <w:tabs>
          <w:tab w:val="num" w:pos="648"/>
        </w:tabs>
        <w:ind w:left="288" w:firstLine="0"/>
      </w:pPr>
    </w:lvl>
  </w:abstractNum>
  <w:abstractNum w:abstractNumId="56">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9">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60">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61">
    <w:nsid w:val="11D13353"/>
    <w:multiLevelType w:val="hybridMultilevel"/>
    <w:tmpl w:val="FFF4E716"/>
    <w:lvl w:ilvl="0">
      <w:start w:val="129"/>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12102B19"/>
    <w:multiLevelType w:val="hybridMultilevel"/>
    <w:tmpl w:val="08587BFE"/>
    <w:lvl w:ilvl="0">
      <w:start w:val="115"/>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67">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9">
    <w:nsid w:val="135420E0"/>
    <w:multiLevelType w:val="singleLevel"/>
    <w:tmpl w:val="05143C68"/>
    <w:lvl w:ilvl="0">
      <w:start w:val="43"/>
      <w:numFmt w:val="decimal"/>
      <w:lvlText w:val="%1."/>
      <w:lvlJc w:val="left"/>
      <w:pPr>
        <w:tabs>
          <w:tab w:val="num" w:pos="648"/>
        </w:tabs>
        <w:ind w:left="360" w:hanging="72"/>
      </w:pPr>
    </w:lvl>
  </w:abstractNum>
  <w:abstractNum w:abstractNumId="70">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71">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72">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3">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5">
    <w:nsid w:val="15D36F16"/>
    <w:multiLevelType w:val="singleLevel"/>
    <w:tmpl w:val="0409000F"/>
    <w:lvl w:ilvl="0">
      <w:start w:val="1"/>
      <w:numFmt w:val="decimal"/>
      <w:lvlText w:val="%1."/>
      <w:lvlJc w:val="left"/>
      <w:pPr>
        <w:tabs>
          <w:tab w:val="num" w:pos="360"/>
        </w:tabs>
        <w:ind w:left="360" w:hanging="360"/>
      </w:pPr>
    </w:lvl>
  </w:abstractNum>
  <w:abstractNum w:abstractNumId="76">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7">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78">
    <w:nsid w:val="1706072F"/>
    <w:multiLevelType w:val="multilevel"/>
    <w:tmpl w:val="46B88878"/>
    <w:lvl w:ilvl="0">
      <w:start w:val="235"/>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80">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
    <w:nsid w:val="17D204D9"/>
    <w:multiLevelType w:val="multilevel"/>
    <w:tmpl w:val="46B88878"/>
    <w:lvl w:ilvl="0">
      <w:start w:val="14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18094EC5"/>
    <w:multiLevelType w:val="singleLevel"/>
    <w:tmpl w:val="0409000F"/>
    <w:lvl w:ilvl="0">
      <w:start w:val="1"/>
      <w:numFmt w:val="decimal"/>
      <w:lvlText w:val="%1."/>
      <w:lvlJc w:val="left"/>
      <w:pPr>
        <w:tabs>
          <w:tab w:val="num" w:pos="360"/>
        </w:tabs>
        <w:ind w:left="360" w:hanging="360"/>
      </w:pPr>
    </w:lvl>
  </w:abstractNum>
  <w:abstractNum w:abstractNumId="83">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84">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85">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88">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19673331"/>
    <w:multiLevelType w:val="hybridMultilevel"/>
    <w:tmpl w:val="A4B64FB0"/>
    <w:lvl w:ilvl="0">
      <w:start w:val="116"/>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198672BD"/>
    <w:multiLevelType w:val="multilevel"/>
    <w:tmpl w:val="46B88878"/>
    <w:lvl w:ilvl="0">
      <w:start w:val="252"/>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19976446"/>
    <w:multiLevelType w:val="hybridMultilevel"/>
    <w:tmpl w:val="69BE1C12"/>
    <w:lvl w:ilvl="0">
      <w:start w:val="56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19994449"/>
    <w:multiLevelType w:val="hybridMultilevel"/>
    <w:tmpl w:val="477E44C2"/>
    <w:lvl w:ilvl="0">
      <w:start w:val="71"/>
      <w:numFmt w:val="decimal"/>
      <w:lvlText w:val="%1."/>
      <w:lvlJc w:val="left"/>
      <w:pPr>
        <w:tabs>
          <w:tab w:val="num" w:pos="360"/>
        </w:tabs>
        <w:ind w:left="360" w:hanging="360"/>
      </w:pPr>
      <w:rPr>
        <w:rFonts w:hint="default"/>
      </w:rPr>
    </w:lvl>
    <w:lvl w:ilvl="1">
      <w:start w:val="4"/>
      <w:numFmt w:val="upperRoman"/>
      <w:lvlText w:val="%2."/>
      <w:lvlJc w:val="left"/>
      <w:pPr>
        <w:tabs>
          <w:tab w:val="num" w:pos="1440"/>
        </w:tabs>
        <w:ind w:left="1440" w:hanging="720"/>
      </w:pPr>
      <w:rPr>
        <w:rFonts w:hint="default"/>
      </w:rPr>
    </w:lvl>
    <w:lvl w:ilvl="2">
      <w:start w:val="1"/>
      <w:numFmt w:val="lowerLetter"/>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3">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95">
    <w:nsid w:val="1B914970"/>
    <w:multiLevelType w:val="multilevel"/>
    <w:tmpl w:val="83B2B668"/>
    <w:lvl w:ilvl="0">
      <w:start w:val="153"/>
      <w:numFmt w:val="decimal"/>
      <w:lvlText w:val="%1."/>
      <w:lvlJc w:val="left"/>
      <w:pPr>
        <w:tabs>
          <w:tab w:val="num" w:pos="396"/>
        </w:tabs>
        <w:ind w:left="396" w:hanging="396"/>
      </w:pPr>
      <w:rPr>
        <w:rFonts w:hint="default"/>
        <w:i/>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7">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99">
    <w:nsid w:val="1F1772A6"/>
    <w:multiLevelType w:val="singleLevel"/>
    <w:tmpl w:val="AA5AC07E"/>
    <w:lvl w:ilvl="0">
      <w:start w:val="132"/>
      <w:numFmt w:val="decimal"/>
      <w:lvlText w:val="%1."/>
      <w:lvlJc w:val="left"/>
      <w:pPr>
        <w:tabs>
          <w:tab w:val="num" w:pos="648"/>
        </w:tabs>
        <w:ind w:left="288" w:firstLine="0"/>
      </w:pPr>
    </w:lvl>
  </w:abstractNum>
  <w:abstractNum w:abstractNumId="10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10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208A0D5F"/>
    <w:multiLevelType w:val="multilevel"/>
    <w:tmpl w:val="8EA4C88A"/>
    <w:lvl w:ilvl="0">
      <w:start w:val="430"/>
      <w:numFmt w:val="decimal"/>
      <w:lvlText w:val="%1."/>
      <w:lvlJc w:val="left"/>
      <w:pPr>
        <w:tabs>
          <w:tab w:val="num" w:pos="396"/>
        </w:tabs>
        <w:ind w:left="396" w:hanging="396"/>
      </w:pPr>
      <w:rPr>
        <w:rFonts w:ascii="Tahoma" w:hAnsi="Tahoma"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221234C1"/>
    <w:multiLevelType w:val="singleLevel"/>
    <w:tmpl w:val="CE0084AC"/>
    <w:lvl w:ilvl="0">
      <w:start w:val="1"/>
      <w:numFmt w:val="decimal"/>
      <w:lvlText w:val="%1."/>
      <w:lvlJc w:val="left"/>
      <w:pPr>
        <w:tabs>
          <w:tab w:val="num" w:pos="360"/>
        </w:tabs>
        <w:ind w:left="360" w:hanging="360"/>
      </w:pPr>
    </w:lvl>
  </w:abstractNum>
  <w:abstractNum w:abstractNumId="10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22A713E0"/>
    <w:multiLevelType w:val="hybridMultilevel"/>
    <w:tmpl w:val="77F699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110">
    <w:nsid w:val="24A327AD"/>
    <w:multiLevelType w:val="hybridMultilevel"/>
    <w:tmpl w:val="659ECCD0"/>
    <w:lvl w:ilvl="0">
      <w:start w:val="4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24EB0B23"/>
    <w:multiLevelType w:val="multilevel"/>
    <w:tmpl w:val="46B88878"/>
    <w:lvl w:ilvl="0">
      <w:start w:val="540"/>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2518546C"/>
    <w:multiLevelType w:val="singleLevel"/>
    <w:tmpl w:val="0409000F"/>
    <w:lvl w:ilvl="0">
      <w:start w:val="1"/>
      <w:numFmt w:val="decimal"/>
      <w:lvlText w:val="%1."/>
      <w:lvlJc w:val="left"/>
      <w:pPr>
        <w:tabs>
          <w:tab w:val="num" w:pos="360"/>
        </w:tabs>
        <w:ind w:left="360" w:hanging="360"/>
      </w:pPr>
    </w:lvl>
  </w:abstractNum>
  <w:abstractNum w:abstractNumId="113">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14">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260C51BD"/>
    <w:multiLevelType w:val="multilevel"/>
    <w:tmpl w:val="46B88878"/>
    <w:lvl w:ilvl="0">
      <w:start w:val="28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17">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27215708"/>
    <w:multiLevelType w:val="multilevel"/>
    <w:tmpl w:val="46B88878"/>
    <w:lvl w:ilvl="0">
      <w:start w:val="36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272F62B0"/>
    <w:multiLevelType w:val="hybridMultilevel"/>
    <w:tmpl w:val="8B2C8C94"/>
    <w:lvl w:ilvl="0">
      <w:start w:val="100"/>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281F7A4C"/>
    <w:multiLevelType w:val="multilevel"/>
    <w:tmpl w:val="7034EA74"/>
    <w:lvl w:ilvl="0">
      <w:start w:val="1"/>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122">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23">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24">
    <w:nsid w:val="290D0946"/>
    <w:multiLevelType w:val="singleLevel"/>
    <w:tmpl w:val="DF484B32"/>
    <w:lvl w:ilvl="0">
      <w:start w:val="510"/>
      <w:numFmt w:val="decimal"/>
      <w:lvlText w:val="%1."/>
      <w:lvlJc w:val="left"/>
      <w:pPr>
        <w:tabs>
          <w:tab w:val="num" w:pos="396"/>
        </w:tabs>
        <w:ind w:left="396" w:hanging="396"/>
      </w:pPr>
      <w:rPr>
        <w:rFonts w:hint="default"/>
        <w:b w:val="0"/>
      </w:rPr>
    </w:lvl>
  </w:abstractNum>
  <w:abstractNum w:abstractNumId="125">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26">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7">
    <w:nsid w:val="2A856AD7"/>
    <w:multiLevelType w:val="singleLevel"/>
    <w:tmpl w:val="E556B404"/>
    <w:lvl w:ilvl="0">
      <w:start w:val="1"/>
      <w:numFmt w:val="decimal"/>
      <w:lvlText w:val="%1."/>
      <w:lvlJc w:val="left"/>
      <w:pPr>
        <w:tabs>
          <w:tab w:val="num" w:pos="648"/>
        </w:tabs>
        <w:ind w:left="288" w:firstLine="0"/>
      </w:pPr>
    </w:lvl>
  </w:abstractNum>
  <w:abstractNum w:abstractNumId="128">
    <w:nsid w:val="2AEB4359"/>
    <w:multiLevelType w:val="multilevel"/>
    <w:tmpl w:val="B6CAD748"/>
    <w:lvl w:ilvl="0">
      <w:start w:val="45"/>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129">
    <w:nsid w:val="2DF85203"/>
    <w:multiLevelType w:val="hybridMultilevel"/>
    <w:tmpl w:val="056E903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upp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32">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34">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35">
    <w:nsid w:val="2F127D9A"/>
    <w:multiLevelType w:val="singleLevel"/>
    <w:tmpl w:val="BBBA8180"/>
    <w:lvl w:ilvl="0">
      <w:numFmt w:val="bullet"/>
      <w:lvlText w:val="-"/>
      <w:lvlJc w:val="left"/>
      <w:pPr>
        <w:tabs>
          <w:tab w:val="num" w:pos="720"/>
        </w:tabs>
        <w:ind w:left="720" w:hanging="720"/>
      </w:pPr>
      <w:rPr>
        <w:rFonts w:hint="default"/>
      </w:rPr>
    </w:lvl>
  </w:abstractNum>
  <w:abstractNum w:abstractNumId="136">
    <w:nsid w:val="2F4A5879"/>
    <w:multiLevelType w:val="singleLevel"/>
    <w:tmpl w:val="F938A33E"/>
    <w:lvl w:ilvl="0">
      <w:numFmt w:val="bullet"/>
      <w:lvlText w:val="-"/>
      <w:lvlJc w:val="left"/>
      <w:pPr>
        <w:tabs>
          <w:tab w:val="num" w:pos="360"/>
        </w:tabs>
        <w:ind w:left="360" w:hanging="360"/>
      </w:pPr>
      <w:rPr>
        <w:rFonts w:hint="default"/>
      </w:rPr>
    </w:lvl>
  </w:abstractNum>
  <w:abstractNum w:abstractNumId="137">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2FFC19A7"/>
    <w:multiLevelType w:val="singleLevel"/>
    <w:tmpl w:val="40BE0C7C"/>
    <w:lvl w:ilvl="0">
      <w:start w:val="131"/>
      <w:numFmt w:val="decimal"/>
      <w:lvlText w:val="%1."/>
      <w:lvlJc w:val="left"/>
      <w:pPr>
        <w:tabs>
          <w:tab w:val="num" w:pos="648"/>
        </w:tabs>
        <w:ind w:left="288" w:firstLine="0"/>
      </w:pPr>
    </w:lvl>
  </w:abstractNum>
  <w:abstractNum w:abstractNumId="140">
    <w:nsid w:val="30380537"/>
    <w:multiLevelType w:val="hybridMultilevel"/>
    <w:tmpl w:val="3F5AA998"/>
    <w:lvl w:ilvl="0">
      <w:start w:val="1"/>
      <w:numFmt w:val="lowerLetter"/>
      <w:lvlText w:val="%1."/>
      <w:lvlJc w:val="left"/>
      <w:pPr>
        <w:tabs>
          <w:tab w:val="num" w:pos="760"/>
        </w:tabs>
        <w:ind w:left="760" w:hanging="360"/>
      </w:pPr>
      <w:rPr>
        <w:rFonts w:cs="Tahoma" w:hint="default"/>
      </w:rPr>
    </w:lvl>
    <w:lvl w:ilvl="1">
      <w:start w:val="8"/>
      <w:numFmt w:val="decimal"/>
      <w:lvlText w:val="%2."/>
      <w:lvlJc w:val="left"/>
      <w:pPr>
        <w:tabs>
          <w:tab w:val="num" w:pos="1480"/>
        </w:tabs>
        <w:ind w:left="1480" w:hanging="360"/>
      </w:pPr>
      <w:rPr>
        <w:rFonts w:hint="default"/>
      </w:r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141">
    <w:nsid w:val="30392E80"/>
    <w:multiLevelType w:val="multilevel"/>
    <w:tmpl w:val="46B88878"/>
    <w:lvl w:ilvl="0">
      <w:start w:val="15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44">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5">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334F273E"/>
    <w:multiLevelType w:val="hybridMultilevel"/>
    <w:tmpl w:val="39501572"/>
    <w:lvl w:ilvl="0">
      <w:start w:val="3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0">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1">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52">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3">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54">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5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56">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7">
    <w:nsid w:val="35D27276"/>
    <w:multiLevelType w:val="hybridMultilevel"/>
    <w:tmpl w:val="0C28AF44"/>
    <w:lvl w:ilvl="0">
      <w:start w:val="9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9">
    <w:nsid w:val="360A4A77"/>
    <w:multiLevelType w:val="hybridMultilevel"/>
    <w:tmpl w:val="3FE6E76A"/>
    <w:lvl w:ilvl="0">
      <w:start w:val="12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36521E36"/>
    <w:multiLevelType w:val="hybridMultilevel"/>
    <w:tmpl w:val="ED429702"/>
    <w:lvl w:ilvl="0">
      <w:start w:val="2"/>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161">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62">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3">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5">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66">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67">
    <w:nsid w:val="391F1A82"/>
    <w:multiLevelType w:val="singleLevel"/>
    <w:tmpl w:val="E0743FFA"/>
    <w:lvl w:ilvl="0">
      <w:start w:val="1"/>
      <w:numFmt w:val="decimal"/>
      <w:lvlText w:val="%1."/>
      <w:lvlJc w:val="left"/>
      <w:pPr>
        <w:tabs>
          <w:tab w:val="num" w:pos="648"/>
        </w:tabs>
        <w:ind w:left="360" w:hanging="72"/>
      </w:pPr>
    </w:lvl>
  </w:abstractNum>
  <w:abstractNum w:abstractNumId="168">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69">
    <w:nsid w:val="394A1DF2"/>
    <w:multiLevelType w:val="multilevel"/>
    <w:tmpl w:val="D1625DC8"/>
    <w:lvl w:ilvl="0">
      <w:start w:val="529"/>
      <w:numFmt w:val="decimal"/>
      <w:lvlText w:val="%1."/>
      <w:lvlJc w:val="left"/>
      <w:pPr>
        <w:tabs>
          <w:tab w:val="num" w:pos="396"/>
        </w:tabs>
        <w:ind w:left="396" w:hanging="396"/>
      </w:pPr>
      <w:rPr>
        <w:rFonts w:hint="default"/>
      </w:rPr>
    </w:lvl>
    <w:lvl w:ilvl="1">
      <w:start w:val="496"/>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398C70E1"/>
    <w:multiLevelType w:val="hybridMultilevel"/>
    <w:tmpl w:val="4C7E0E6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74">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75">
    <w:nsid w:val="3AAB773F"/>
    <w:multiLevelType w:val="singleLevel"/>
    <w:tmpl w:val="F938A33E"/>
    <w:lvl w:ilvl="0">
      <w:numFmt w:val="bullet"/>
      <w:lvlText w:val="-"/>
      <w:lvlJc w:val="left"/>
      <w:pPr>
        <w:tabs>
          <w:tab w:val="num" w:pos="360"/>
        </w:tabs>
        <w:ind w:left="360" w:hanging="360"/>
      </w:pPr>
      <w:rPr>
        <w:rFonts w:hint="default"/>
      </w:rPr>
    </w:lvl>
  </w:abstractNum>
  <w:abstractNum w:abstractNumId="176">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78">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3D547944"/>
    <w:multiLevelType w:val="hybridMultilevel"/>
    <w:tmpl w:val="EAB83FD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0">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1">
    <w:nsid w:val="3DCA1F72"/>
    <w:multiLevelType w:val="hybridMultilevel"/>
    <w:tmpl w:val="5DF26D3E"/>
    <w:lvl w:ilvl="0">
      <w:start w:val="386"/>
      <w:numFmt w:val="decimal"/>
      <w:pStyle w:val="num"/>
      <w:lvlText w:val="%1."/>
      <w:lvlJc w:val="left"/>
      <w:pPr>
        <w:tabs>
          <w:tab w:val="num" w:pos="1987"/>
        </w:tabs>
        <w:ind w:left="1987" w:hanging="360"/>
      </w:pPr>
      <w:rPr>
        <w:rFonts w:hint="default"/>
      </w:rPr>
    </w:lvl>
    <w:lvl w:ilvl="1" w:tentative="1">
      <w:start w:val="1"/>
      <w:numFmt w:val="lowerLetter"/>
      <w:lvlText w:val="%2."/>
      <w:lvlJc w:val="left"/>
      <w:pPr>
        <w:tabs>
          <w:tab w:val="num" w:pos="2707"/>
        </w:tabs>
        <w:ind w:left="2707" w:hanging="360"/>
      </w:pPr>
    </w:lvl>
    <w:lvl w:ilvl="2" w:tentative="1">
      <w:start w:val="1"/>
      <w:numFmt w:val="lowerRoman"/>
      <w:lvlText w:val="%3."/>
      <w:lvlJc w:val="right"/>
      <w:pPr>
        <w:tabs>
          <w:tab w:val="num" w:pos="3427"/>
        </w:tabs>
        <w:ind w:left="3427" w:hanging="180"/>
      </w:pPr>
    </w:lvl>
    <w:lvl w:ilvl="3" w:tentative="1">
      <w:start w:val="1"/>
      <w:numFmt w:val="decimal"/>
      <w:lvlText w:val="%4."/>
      <w:lvlJc w:val="left"/>
      <w:pPr>
        <w:tabs>
          <w:tab w:val="num" w:pos="4147"/>
        </w:tabs>
        <w:ind w:left="4147" w:hanging="360"/>
      </w:pPr>
    </w:lvl>
    <w:lvl w:ilvl="4" w:tentative="1">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182">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83">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84">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6">
    <w:nsid w:val="3EC1231C"/>
    <w:multiLevelType w:val="multilevel"/>
    <w:tmpl w:val="46B88878"/>
    <w:lvl w:ilvl="0">
      <w:start w:val="3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3EC71C20"/>
    <w:multiLevelType w:val="multilevel"/>
    <w:tmpl w:val="6B9803F4"/>
    <w:lvl w:ilvl="0">
      <w:start w:val="13"/>
      <w:numFmt w:val="decimal"/>
      <w:lvlText w:val="%1"/>
      <w:lvlJc w:val="left"/>
      <w:pPr>
        <w:tabs>
          <w:tab w:val="num" w:pos="1080"/>
        </w:tabs>
        <w:ind w:left="1080" w:hanging="1080"/>
      </w:pPr>
      <w:rPr>
        <w:rFonts w:hint="default"/>
      </w:rPr>
    </w:lvl>
    <w:lvl w:ilvl="1">
      <w:start w:val="2"/>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8">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9">
    <w:nsid w:val="3F374F76"/>
    <w:multiLevelType w:val="hybridMultilevel"/>
    <w:tmpl w:val="3824373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22"/>
      <w:numFmt w:val="decimal"/>
      <w:lvlText w:val="%3."/>
      <w:lvlJc w:val="left"/>
      <w:pPr>
        <w:tabs>
          <w:tab w:val="num" w:pos="2364"/>
        </w:tabs>
        <w:ind w:left="2364" w:hanging="384"/>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3F3F14DD"/>
    <w:multiLevelType w:val="hybridMultilevel"/>
    <w:tmpl w:val="F8125CBA"/>
    <w:lvl w:ilvl="0">
      <w:start w:val="4"/>
      <w:numFmt w:val="lowerLetter"/>
      <w:lvlText w:val="%1."/>
      <w:lvlJc w:val="left"/>
      <w:pPr>
        <w:tabs>
          <w:tab w:val="num" w:pos="810"/>
        </w:tabs>
        <w:ind w:left="810" w:hanging="36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19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411E6E92"/>
    <w:multiLevelType w:val="singleLevel"/>
    <w:tmpl w:val="E0743FFA"/>
    <w:lvl w:ilvl="0">
      <w:start w:val="1"/>
      <w:numFmt w:val="decimal"/>
      <w:lvlText w:val="%1."/>
      <w:lvlJc w:val="left"/>
      <w:pPr>
        <w:tabs>
          <w:tab w:val="num" w:pos="648"/>
        </w:tabs>
        <w:ind w:left="360" w:hanging="72"/>
      </w:pPr>
    </w:lvl>
  </w:abstractNum>
  <w:abstractNum w:abstractNumId="197">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99">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0">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2">
    <w:nsid w:val="43206422"/>
    <w:multiLevelType w:val="hybridMultilevel"/>
    <w:tmpl w:val="557A96F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5">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6">
    <w:nsid w:val="444304FB"/>
    <w:multiLevelType w:val="singleLevel"/>
    <w:tmpl w:val="A530A84E"/>
    <w:lvl w:ilvl="0">
      <w:start w:val="1"/>
      <w:numFmt w:val="lowerLetter"/>
      <w:lvlText w:val="%1."/>
      <w:lvlJc w:val="left"/>
      <w:pPr>
        <w:tabs>
          <w:tab w:val="num" w:pos="720"/>
        </w:tabs>
        <w:ind w:left="720" w:hanging="360"/>
      </w:pPr>
      <w:rPr>
        <w:rFonts w:hint="default"/>
      </w:rPr>
    </w:lvl>
  </w:abstractNum>
  <w:abstractNum w:abstractNumId="207">
    <w:nsid w:val="452023CF"/>
    <w:multiLevelType w:val="hybridMultilevel"/>
    <w:tmpl w:val="E9EEE5A4"/>
    <w:lvl w:ilvl="0">
      <w:start w:val="10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8">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0">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4846765C"/>
    <w:multiLevelType w:val="multilevel"/>
    <w:tmpl w:val="46B88878"/>
    <w:lvl w:ilvl="0">
      <w:start w:val="4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48C61A16"/>
    <w:multiLevelType w:val="multilevel"/>
    <w:tmpl w:val="46B88878"/>
    <w:lvl w:ilvl="0">
      <w:start w:val="3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nsid w:val="494A6BC7"/>
    <w:multiLevelType w:val="singleLevel"/>
    <w:tmpl w:val="F938A33E"/>
    <w:lvl w:ilvl="0">
      <w:numFmt w:val="bullet"/>
      <w:lvlText w:val="-"/>
      <w:lvlJc w:val="left"/>
      <w:pPr>
        <w:tabs>
          <w:tab w:val="num" w:pos="360"/>
        </w:tabs>
        <w:ind w:left="360" w:hanging="360"/>
      </w:pPr>
      <w:rPr>
        <w:rFonts w:hint="default"/>
      </w:rPr>
    </w:lvl>
  </w:abstractNum>
  <w:abstractNum w:abstractNumId="214">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5">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4AF974D5"/>
    <w:multiLevelType w:val="hybridMultilevel"/>
    <w:tmpl w:val="46B4BF4A"/>
    <w:lvl w:ilvl="0">
      <w:start w:val="116"/>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219">
    <w:nsid w:val="4CC56482"/>
    <w:multiLevelType w:val="multilevel"/>
    <w:tmpl w:val="718EE1C8"/>
    <w:lvl w:ilvl="0">
      <w:start w:val="513"/>
      <w:numFmt w:val="decimal"/>
      <w:lvlText w:val="%1."/>
      <w:lvlJc w:val="left"/>
      <w:pPr>
        <w:tabs>
          <w:tab w:val="num" w:pos="396"/>
        </w:tabs>
        <w:ind w:left="396" w:hanging="396"/>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220">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1">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4E392275"/>
    <w:multiLevelType w:val="multilevel"/>
    <w:tmpl w:val="46B88878"/>
    <w:lvl w:ilvl="0">
      <w:start w:val="11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3">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5">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6">
    <w:nsid w:val="4FE24850"/>
    <w:multiLevelType w:val="hybridMultilevel"/>
    <w:tmpl w:val="ACD87618"/>
    <w:lvl w:ilvl="0">
      <w:start w:val="1"/>
      <w:numFmt w:val="upperRoman"/>
      <w:lvlText w:val="%1."/>
      <w:lvlJc w:val="left"/>
      <w:pPr>
        <w:tabs>
          <w:tab w:val="num" w:pos="360"/>
        </w:tabs>
        <w:ind w:left="360" w:hanging="72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227">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28">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1">
    <w:nsid w:val="507A1C8B"/>
    <w:multiLevelType w:val="singleLevel"/>
    <w:tmpl w:val="F938A33E"/>
    <w:lvl w:ilvl="0">
      <w:numFmt w:val="bullet"/>
      <w:lvlText w:val="-"/>
      <w:lvlJc w:val="left"/>
      <w:pPr>
        <w:tabs>
          <w:tab w:val="num" w:pos="360"/>
        </w:tabs>
        <w:ind w:left="360" w:hanging="360"/>
      </w:pPr>
      <w:rPr>
        <w:rFonts w:hint="default"/>
      </w:rPr>
    </w:lvl>
  </w:abstractNum>
  <w:abstractNum w:abstractNumId="232">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33">
    <w:nsid w:val="51114AD3"/>
    <w:multiLevelType w:val="hybridMultilevel"/>
    <w:tmpl w:val="13A4CCEC"/>
    <w:lvl w:ilvl="0">
      <w:start w:val="1"/>
      <w:numFmt w:val="lowerLetter"/>
      <w:lvlText w:val="%1."/>
      <w:lvlJc w:val="left"/>
      <w:pPr>
        <w:tabs>
          <w:tab w:val="num" w:pos="720"/>
        </w:tabs>
        <w:ind w:left="720" w:hanging="360"/>
      </w:pPr>
      <w:rPr>
        <w:rFonts w:cs="Times New Roman" w:hint="default"/>
        <w:b w:val="0"/>
      </w:rPr>
    </w:lvl>
    <w:lvl w:ilvl="1">
      <w:start w:val="2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35">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6">
    <w:nsid w:val="514A4C2A"/>
    <w:multiLevelType w:val="hybridMultilevel"/>
    <w:tmpl w:val="07989CAE"/>
    <w:lvl w:ilvl="0">
      <w:start w:val="686"/>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238">
    <w:nsid w:val="52C34885"/>
    <w:multiLevelType w:val="singleLevel"/>
    <w:tmpl w:val="E556B404"/>
    <w:lvl w:ilvl="0">
      <w:start w:val="1"/>
      <w:numFmt w:val="decimal"/>
      <w:lvlText w:val="%1."/>
      <w:lvlJc w:val="left"/>
      <w:pPr>
        <w:tabs>
          <w:tab w:val="num" w:pos="648"/>
        </w:tabs>
        <w:ind w:left="288" w:firstLine="0"/>
      </w:pPr>
    </w:lvl>
  </w:abstractNum>
  <w:abstractNum w:abstractNumId="239">
    <w:nsid w:val="52F00051"/>
    <w:multiLevelType w:val="singleLevel"/>
    <w:tmpl w:val="E556B404"/>
    <w:lvl w:ilvl="0">
      <w:start w:val="1"/>
      <w:numFmt w:val="decimal"/>
      <w:lvlText w:val="%1."/>
      <w:lvlJc w:val="left"/>
      <w:pPr>
        <w:tabs>
          <w:tab w:val="num" w:pos="648"/>
        </w:tabs>
        <w:ind w:left="288" w:firstLine="0"/>
      </w:pPr>
    </w:lvl>
  </w:abstractNum>
  <w:abstractNum w:abstractNumId="240">
    <w:nsid w:val="53081281"/>
    <w:multiLevelType w:val="singleLevel"/>
    <w:tmpl w:val="E556B404"/>
    <w:lvl w:ilvl="0">
      <w:start w:val="1"/>
      <w:numFmt w:val="decimal"/>
      <w:lvlText w:val="%1."/>
      <w:lvlJc w:val="left"/>
      <w:pPr>
        <w:tabs>
          <w:tab w:val="num" w:pos="648"/>
        </w:tabs>
        <w:ind w:left="288" w:firstLine="0"/>
      </w:pPr>
    </w:lvl>
  </w:abstractNum>
  <w:abstractNum w:abstractNumId="241">
    <w:nsid w:val="534B22B5"/>
    <w:multiLevelType w:val="multilevel"/>
    <w:tmpl w:val="7F1E0F5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42">
    <w:nsid w:val="547676F0"/>
    <w:multiLevelType w:val="hybridMultilevel"/>
    <w:tmpl w:val="4220214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54C24DB7"/>
    <w:multiLevelType w:val="singleLevel"/>
    <w:tmpl w:val="79D089C4"/>
    <w:lvl w:ilvl="0">
      <w:start w:val="1"/>
      <w:numFmt w:val="decimal"/>
      <w:lvlText w:val="%1."/>
      <w:lvlJc w:val="left"/>
      <w:pPr>
        <w:tabs>
          <w:tab w:val="num" w:pos="360"/>
        </w:tabs>
        <w:ind w:left="0" w:firstLine="0"/>
      </w:pPr>
    </w:lvl>
  </w:abstractNum>
  <w:abstractNum w:abstractNumId="244">
    <w:nsid w:val="54E23680"/>
    <w:multiLevelType w:val="multilevel"/>
    <w:tmpl w:val="CE8ED57C"/>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nsid w:val="557E082D"/>
    <w:multiLevelType w:val="hybridMultilevel"/>
    <w:tmpl w:val="98F8EE5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6">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560E1ED1"/>
    <w:multiLevelType w:val="singleLevel"/>
    <w:tmpl w:val="0409000F"/>
    <w:lvl w:ilvl="0">
      <w:start w:val="1"/>
      <w:numFmt w:val="decimal"/>
      <w:lvlText w:val="%1."/>
      <w:lvlJc w:val="left"/>
      <w:pPr>
        <w:tabs>
          <w:tab w:val="num" w:pos="360"/>
        </w:tabs>
        <w:ind w:left="360" w:hanging="360"/>
      </w:pPr>
    </w:lvl>
  </w:abstractNum>
  <w:abstractNum w:abstractNumId="248">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56CF1D01"/>
    <w:multiLevelType w:val="singleLevel"/>
    <w:tmpl w:val="D1B4697C"/>
    <w:lvl w:ilvl="0">
      <w:start w:val="149"/>
      <w:numFmt w:val="decimal"/>
      <w:lvlText w:val="%1."/>
      <w:lvlJc w:val="left"/>
      <w:pPr>
        <w:tabs>
          <w:tab w:val="num" w:pos="396"/>
        </w:tabs>
        <w:ind w:left="396" w:hanging="396"/>
      </w:pPr>
      <w:rPr>
        <w:rFonts w:hint="default"/>
      </w:rPr>
    </w:lvl>
  </w:abstractNum>
  <w:abstractNum w:abstractNumId="250">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52">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53">
    <w:nsid w:val="586E2FCC"/>
    <w:multiLevelType w:val="hybridMultilevel"/>
    <w:tmpl w:val="B2BA1228"/>
    <w:lvl w:ilvl="0">
      <w:start w:val="85"/>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58D65993"/>
    <w:multiLevelType w:val="singleLevel"/>
    <w:tmpl w:val="04090015"/>
    <w:lvl w:ilvl="0">
      <w:start w:val="1"/>
      <w:numFmt w:val="upperLetter"/>
      <w:lvlText w:val="%1."/>
      <w:lvlJc w:val="left"/>
      <w:pPr>
        <w:tabs>
          <w:tab w:val="num" w:pos="360"/>
        </w:tabs>
        <w:ind w:left="360" w:hanging="360"/>
      </w:pPr>
      <w:rPr>
        <w:rFonts w:hint="default"/>
      </w:rPr>
    </w:lvl>
  </w:abstractNum>
  <w:abstractNum w:abstractNumId="255">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6">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7">
    <w:nsid w:val="5A7B6A66"/>
    <w:multiLevelType w:val="hybridMultilevel"/>
    <w:tmpl w:val="3FB8041E"/>
    <w:lvl w:ilvl="0">
      <w:start w:val="38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8">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9">
    <w:nsid w:val="5B1738B9"/>
    <w:multiLevelType w:val="singleLevel"/>
    <w:tmpl w:val="0409000F"/>
    <w:lvl w:ilvl="0">
      <w:start w:val="1"/>
      <w:numFmt w:val="decimal"/>
      <w:lvlText w:val="%1."/>
      <w:lvlJc w:val="left"/>
      <w:pPr>
        <w:tabs>
          <w:tab w:val="num" w:pos="360"/>
        </w:tabs>
        <w:ind w:left="360" w:hanging="360"/>
      </w:pPr>
    </w:lvl>
  </w:abstractNum>
  <w:abstractNum w:abstractNumId="260">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61">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2">
    <w:nsid w:val="5B9476C9"/>
    <w:multiLevelType w:val="singleLevel"/>
    <w:tmpl w:val="E0743FFA"/>
    <w:lvl w:ilvl="0">
      <w:start w:val="1"/>
      <w:numFmt w:val="decimal"/>
      <w:lvlText w:val="%1."/>
      <w:lvlJc w:val="left"/>
      <w:pPr>
        <w:tabs>
          <w:tab w:val="num" w:pos="648"/>
        </w:tabs>
        <w:ind w:left="360" w:hanging="72"/>
      </w:pPr>
    </w:lvl>
  </w:abstractNum>
  <w:abstractNum w:abstractNumId="263">
    <w:nsid w:val="5BAB79B9"/>
    <w:multiLevelType w:val="singleLevel"/>
    <w:tmpl w:val="0409000F"/>
    <w:lvl w:ilvl="0">
      <w:start w:val="1"/>
      <w:numFmt w:val="decimal"/>
      <w:lvlText w:val="%1."/>
      <w:lvlJc w:val="left"/>
      <w:pPr>
        <w:tabs>
          <w:tab w:val="num" w:pos="360"/>
        </w:tabs>
        <w:ind w:left="360" w:hanging="360"/>
      </w:pPr>
    </w:lvl>
  </w:abstractNum>
  <w:abstractNum w:abstractNumId="264">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5">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6">
    <w:nsid w:val="5D387605"/>
    <w:multiLevelType w:val="hybridMultilevel"/>
    <w:tmpl w:val="29445E40"/>
    <w:lvl w:ilvl="0">
      <w:start w:val="15"/>
      <w:numFmt w:val="decimal"/>
      <w:lvlText w:val="%1."/>
      <w:lvlJc w:val="left"/>
      <w:pPr>
        <w:tabs>
          <w:tab w:val="num" w:pos="720"/>
        </w:tabs>
        <w:ind w:left="720" w:hanging="360"/>
      </w:pPr>
      <w:rPr>
        <w:rFonts w:cs="Times New Roman"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7">
    <w:nsid w:val="5DCD3A8A"/>
    <w:multiLevelType w:val="hybridMultilevel"/>
    <w:tmpl w:val="3EB2961C"/>
    <w:lvl w:ilvl="0">
      <w:start w:val="1"/>
      <w:numFmt w:val="decimal"/>
      <w:lvlText w:val="%1."/>
      <w:lvlJc w:val="left"/>
      <w:pPr>
        <w:tabs>
          <w:tab w:val="num" w:pos="720"/>
        </w:tabs>
        <w:ind w:left="720" w:hanging="360"/>
      </w:pPr>
      <w:rPr>
        <w:rFonts w:hint="default"/>
      </w:rPr>
    </w:lvl>
    <w:lvl w:ilvl="1">
      <w:start w:val="637"/>
      <w:numFmt w:val="decimal"/>
      <w:lvlText w:val="%2."/>
      <w:lvlJc w:val="left"/>
      <w:pPr>
        <w:tabs>
          <w:tab w:val="num" w:pos="1455"/>
        </w:tabs>
        <w:ind w:left="1455" w:hanging="375"/>
      </w:pPr>
      <w:rPr>
        <w:rFonts w:hint="default"/>
        <w:b w:val="0"/>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0">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71">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5EDD00E7"/>
    <w:multiLevelType w:val="hybridMultilevel"/>
    <w:tmpl w:val="C56C47EE"/>
    <w:lvl w:ilvl="0">
      <w:start w:val="2"/>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tentative="1">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273">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74">
    <w:nsid w:val="602827E8"/>
    <w:multiLevelType w:val="singleLevel"/>
    <w:tmpl w:val="79D089C4"/>
    <w:lvl w:ilvl="0">
      <w:start w:val="1"/>
      <w:numFmt w:val="decimal"/>
      <w:lvlText w:val="%1."/>
      <w:lvlJc w:val="left"/>
      <w:pPr>
        <w:tabs>
          <w:tab w:val="num" w:pos="360"/>
        </w:tabs>
        <w:ind w:left="0" w:firstLine="0"/>
      </w:pPr>
    </w:lvl>
  </w:abstractNum>
  <w:abstractNum w:abstractNumId="275">
    <w:nsid w:val="605C02FF"/>
    <w:multiLevelType w:val="singleLevel"/>
    <w:tmpl w:val="77743DB6"/>
    <w:lvl w:ilvl="0">
      <w:start w:val="1"/>
      <w:numFmt w:val="lowerLetter"/>
      <w:lvlText w:val="(%1)"/>
      <w:lvlJc w:val="left"/>
      <w:pPr>
        <w:tabs>
          <w:tab w:val="num" w:pos="360"/>
        </w:tabs>
        <w:ind w:left="360" w:hanging="360"/>
      </w:pPr>
    </w:lvl>
  </w:abstractNum>
  <w:abstractNum w:abstractNumId="276">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77">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8">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79">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0">
    <w:nsid w:val="60FD13B2"/>
    <w:multiLevelType w:val="hybridMultilevel"/>
    <w:tmpl w:val="578871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82">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83">
    <w:nsid w:val="61BE7D16"/>
    <w:multiLevelType w:val="multilevel"/>
    <w:tmpl w:val="46B88878"/>
    <w:lvl w:ilvl="0">
      <w:start w:val="262"/>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4">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85">
    <w:nsid w:val="625A5FCE"/>
    <w:multiLevelType w:val="singleLevel"/>
    <w:tmpl w:val="F938A33E"/>
    <w:lvl w:ilvl="0">
      <w:numFmt w:val="bullet"/>
      <w:lvlText w:val="-"/>
      <w:lvlJc w:val="left"/>
      <w:pPr>
        <w:tabs>
          <w:tab w:val="num" w:pos="360"/>
        </w:tabs>
        <w:ind w:left="360" w:hanging="360"/>
      </w:pPr>
      <w:rPr>
        <w:rFonts w:hint="default"/>
      </w:rPr>
    </w:lvl>
  </w:abstractNum>
  <w:abstractNum w:abstractNumId="286">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7">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88">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9">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0">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91">
    <w:nsid w:val="65DC7D0D"/>
    <w:multiLevelType w:val="hybridMultilevel"/>
    <w:tmpl w:val="6E98156E"/>
    <w:lvl w:ilvl="0">
      <w:start w:val="1"/>
      <w:numFmt w:val="lowerLetter"/>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292">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3">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94">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5">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96">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669F1C92"/>
    <w:multiLevelType w:val="hybridMultilevel"/>
    <w:tmpl w:val="65E21E0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8">
    <w:nsid w:val="67197D68"/>
    <w:multiLevelType w:val="singleLevel"/>
    <w:tmpl w:val="0409000F"/>
    <w:lvl w:ilvl="0">
      <w:start w:val="1"/>
      <w:numFmt w:val="decimal"/>
      <w:lvlText w:val="%1."/>
      <w:lvlJc w:val="left"/>
      <w:pPr>
        <w:tabs>
          <w:tab w:val="num" w:pos="360"/>
        </w:tabs>
        <w:ind w:left="360" w:hanging="360"/>
      </w:pPr>
    </w:lvl>
  </w:abstractNum>
  <w:abstractNum w:abstractNumId="299">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0">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1">
    <w:nsid w:val="6812546B"/>
    <w:multiLevelType w:val="multilevel"/>
    <w:tmpl w:val="46B88878"/>
    <w:lvl w:ilvl="0">
      <w:start w:val="17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2">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3">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4">
    <w:nsid w:val="69F23E8D"/>
    <w:multiLevelType w:val="multilevel"/>
    <w:tmpl w:val="BD420E98"/>
    <w:lvl w:ilvl="0">
      <w:start w:val="1"/>
      <w:numFmt w:val="bullet"/>
      <w:lvlText w:val=""/>
      <w:lvlJc w:val="left"/>
      <w:pPr>
        <w:tabs>
          <w:tab w:val="num" w:pos="1584"/>
        </w:tabs>
        <w:ind w:left="1440" w:hanging="216"/>
      </w:pPr>
      <w:rPr>
        <w:rFonts w:ascii="Wingdings" w:hAnsi="Wingdings" w:cs="Wingdings" w:hint="default"/>
        <w:sz w:val="16"/>
        <w:szCs w:val="16"/>
      </w:rPr>
    </w:lvl>
    <w:lvl w:ilvl="1">
      <w:start w:val="1"/>
      <w:numFmt w:val="bullet"/>
      <w:lvlText w:val="o"/>
      <w:lvlJc w:val="left"/>
      <w:pPr>
        <w:tabs>
          <w:tab w:val="num" w:pos="1872"/>
        </w:tabs>
        <w:ind w:left="1872" w:hanging="360"/>
      </w:pPr>
      <w:rPr>
        <w:rFonts w:ascii="Courier New" w:hAnsi="Courier New" w:cs="Courier New" w:hint="default"/>
      </w:rPr>
    </w:lvl>
    <w:lvl w:ilvl="2">
      <w:start w:val="1"/>
      <w:numFmt w:val="bullet"/>
      <w:lvlText w:val=""/>
      <w:lvlJc w:val="left"/>
      <w:pPr>
        <w:tabs>
          <w:tab w:val="num" w:pos="2592"/>
        </w:tabs>
        <w:ind w:left="2592" w:hanging="360"/>
      </w:pPr>
      <w:rPr>
        <w:rFonts w:ascii="Wingdings" w:hAnsi="Wingdings" w:cs="Wingdings" w:hint="default"/>
      </w:rPr>
    </w:lvl>
    <w:lvl w:ilvl="3">
      <w:start w:val="1"/>
      <w:numFmt w:val="bullet"/>
      <w:lvlText w:val=""/>
      <w:lvlJc w:val="left"/>
      <w:pPr>
        <w:tabs>
          <w:tab w:val="num" w:pos="3312"/>
        </w:tabs>
        <w:ind w:left="3312" w:hanging="360"/>
      </w:pPr>
      <w:rPr>
        <w:rFonts w:ascii="Symbol" w:hAnsi="Symbol" w:cs="Symbol" w:hint="default"/>
      </w:rPr>
    </w:lvl>
    <w:lvl w:ilvl="4">
      <w:start w:val="1"/>
      <w:numFmt w:val="bullet"/>
      <w:lvlText w:val="o"/>
      <w:lvlJc w:val="left"/>
      <w:pPr>
        <w:tabs>
          <w:tab w:val="num" w:pos="4032"/>
        </w:tabs>
        <w:ind w:left="4032" w:hanging="360"/>
      </w:pPr>
      <w:rPr>
        <w:rFonts w:ascii="Courier New" w:hAnsi="Courier New" w:cs="Courier New" w:hint="default"/>
      </w:rPr>
    </w:lvl>
    <w:lvl w:ilvl="5">
      <w:start w:val="1"/>
      <w:numFmt w:val="bullet"/>
      <w:lvlText w:val=""/>
      <w:lvlJc w:val="left"/>
      <w:pPr>
        <w:tabs>
          <w:tab w:val="num" w:pos="4752"/>
        </w:tabs>
        <w:ind w:left="4752" w:hanging="360"/>
      </w:pPr>
      <w:rPr>
        <w:rFonts w:ascii="Wingdings" w:hAnsi="Wingdings" w:cs="Wingdings" w:hint="default"/>
      </w:rPr>
    </w:lvl>
    <w:lvl w:ilvl="6">
      <w:start w:val="1"/>
      <w:numFmt w:val="bullet"/>
      <w:lvlText w:val=""/>
      <w:lvlJc w:val="left"/>
      <w:pPr>
        <w:tabs>
          <w:tab w:val="num" w:pos="5472"/>
        </w:tabs>
        <w:ind w:left="5472" w:hanging="360"/>
      </w:pPr>
      <w:rPr>
        <w:rFonts w:ascii="Symbol" w:hAnsi="Symbol" w:cs="Symbol" w:hint="default"/>
      </w:rPr>
    </w:lvl>
    <w:lvl w:ilvl="7">
      <w:start w:val="1"/>
      <w:numFmt w:val="bullet"/>
      <w:lvlText w:val="o"/>
      <w:lvlJc w:val="left"/>
      <w:pPr>
        <w:tabs>
          <w:tab w:val="num" w:pos="6192"/>
        </w:tabs>
        <w:ind w:left="6192" w:hanging="360"/>
      </w:pPr>
      <w:rPr>
        <w:rFonts w:ascii="Courier New" w:hAnsi="Courier New" w:cs="Courier New" w:hint="default"/>
      </w:rPr>
    </w:lvl>
    <w:lvl w:ilvl="8">
      <w:start w:val="1"/>
      <w:numFmt w:val="bullet"/>
      <w:lvlText w:val=""/>
      <w:lvlJc w:val="left"/>
      <w:pPr>
        <w:tabs>
          <w:tab w:val="num" w:pos="6912"/>
        </w:tabs>
        <w:ind w:left="6912" w:hanging="360"/>
      </w:pPr>
      <w:rPr>
        <w:rFonts w:ascii="Wingdings" w:hAnsi="Wingdings" w:cs="Wingdings" w:hint="default"/>
      </w:rPr>
    </w:lvl>
  </w:abstractNum>
  <w:abstractNum w:abstractNumId="305">
    <w:nsid w:val="6A046C37"/>
    <w:multiLevelType w:val="hybridMultilevel"/>
    <w:tmpl w:val="6B32FB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7">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308">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309">
    <w:nsid w:val="6C9443E1"/>
    <w:multiLevelType w:val="hybridMultilevel"/>
    <w:tmpl w:val="BE5AF9CA"/>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tentative="1">
      <w:start w:val="1"/>
      <w:numFmt w:val="lowerRoman"/>
      <w:lvlText w:val="%3."/>
      <w:lvlJc w:val="right"/>
      <w:pPr>
        <w:tabs>
          <w:tab w:val="num" w:pos="1710"/>
        </w:tabs>
        <w:ind w:left="1710" w:hanging="180"/>
      </w:pPr>
    </w:lvl>
    <w:lvl w:ilvl="3" w:tentative="1">
      <w:start w:val="1"/>
      <w:numFmt w:val="decimal"/>
      <w:lvlText w:val="%4."/>
      <w:lvlJc w:val="left"/>
      <w:pPr>
        <w:tabs>
          <w:tab w:val="num" w:pos="2430"/>
        </w:tabs>
        <w:ind w:left="2430" w:hanging="360"/>
      </w:pPr>
    </w:lvl>
    <w:lvl w:ilvl="4" w:tentative="1">
      <w:start w:val="1"/>
      <w:numFmt w:val="lowerLetter"/>
      <w:lvlText w:val="%5."/>
      <w:lvlJc w:val="left"/>
      <w:pPr>
        <w:tabs>
          <w:tab w:val="num" w:pos="3150"/>
        </w:tabs>
        <w:ind w:left="3150" w:hanging="360"/>
      </w:pPr>
    </w:lvl>
    <w:lvl w:ilvl="5" w:tentative="1">
      <w:start w:val="1"/>
      <w:numFmt w:val="lowerRoman"/>
      <w:lvlText w:val="%6."/>
      <w:lvlJc w:val="right"/>
      <w:pPr>
        <w:tabs>
          <w:tab w:val="num" w:pos="3870"/>
        </w:tabs>
        <w:ind w:left="3870" w:hanging="180"/>
      </w:pPr>
    </w:lvl>
    <w:lvl w:ilvl="6" w:tentative="1">
      <w:start w:val="1"/>
      <w:numFmt w:val="decimal"/>
      <w:lvlText w:val="%7."/>
      <w:lvlJc w:val="left"/>
      <w:pPr>
        <w:tabs>
          <w:tab w:val="num" w:pos="4590"/>
        </w:tabs>
        <w:ind w:left="4590" w:hanging="360"/>
      </w:pPr>
    </w:lvl>
    <w:lvl w:ilvl="7" w:tentative="1">
      <w:start w:val="1"/>
      <w:numFmt w:val="lowerLetter"/>
      <w:lvlText w:val="%8."/>
      <w:lvlJc w:val="left"/>
      <w:pPr>
        <w:tabs>
          <w:tab w:val="num" w:pos="5310"/>
        </w:tabs>
        <w:ind w:left="5310" w:hanging="360"/>
      </w:pPr>
    </w:lvl>
    <w:lvl w:ilvl="8" w:tentative="1">
      <w:start w:val="1"/>
      <w:numFmt w:val="lowerRoman"/>
      <w:lvlText w:val="%9."/>
      <w:lvlJc w:val="right"/>
      <w:pPr>
        <w:tabs>
          <w:tab w:val="num" w:pos="6030"/>
        </w:tabs>
        <w:ind w:left="6030" w:hanging="180"/>
      </w:pPr>
    </w:lvl>
  </w:abstractNum>
  <w:abstractNum w:abstractNumId="310">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1">
    <w:nsid w:val="6D5518CC"/>
    <w:multiLevelType w:val="multilevel"/>
    <w:tmpl w:val="46B8887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2">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3">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4">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15">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6">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7">
    <w:nsid w:val="6F2E041B"/>
    <w:multiLevelType w:val="hybridMultilevel"/>
    <w:tmpl w:val="591CDD6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8">
    <w:nsid w:val="6F584355"/>
    <w:multiLevelType w:val="hybridMultilevel"/>
    <w:tmpl w:val="D12049D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9">
    <w:nsid w:val="6FB42CCB"/>
    <w:multiLevelType w:val="multilevel"/>
    <w:tmpl w:val="46B88878"/>
    <w:lvl w:ilvl="0">
      <w:start w:val="18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0">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1">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322">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323">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324">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325">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326">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7">
    <w:nsid w:val="72CB17A0"/>
    <w:multiLevelType w:val="multilevel"/>
    <w:tmpl w:val="46B88878"/>
    <w:lvl w:ilvl="0">
      <w:start w:val="275"/>
      <w:numFmt w:val="decimal"/>
      <w:lvlText w:val="%1."/>
      <w:lvlJc w:val="left"/>
      <w:pPr>
        <w:tabs>
          <w:tab w:val="num" w:pos="396"/>
        </w:tabs>
        <w:ind w:left="396" w:hanging="396"/>
      </w:pPr>
      <w:rPr>
        <w:rFonts w:hint="default"/>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8">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9">
    <w:nsid w:val="762B1081"/>
    <w:multiLevelType w:val="multilevel"/>
    <w:tmpl w:val="46B88878"/>
    <w:lvl w:ilvl="0">
      <w:start w:val="12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0">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1">
    <w:nsid w:val="77235490"/>
    <w:multiLevelType w:val="multilevel"/>
    <w:tmpl w:val="46B88878"/>
    <w:lvl w:ilvl="0">
      <w:start w:val="13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2">
    <w:nsid w:val="77293C41"/>
    <w:multiLevelType w:val="multilevel"/>
    <w:tmpl w:val="58B80E96"/>
    <w:lvl w:ilvl="0">
      <w:start w:val="493"/>
      <w:numFmt w:val="decimal"/>
      <w:lvlText w:val="%1."/>
      <w:lvlJc w:val="left"/>
      <w:pPr>
        <w:tabs>
          <w:tab w:val="num" w:pos="360"/>
        </w:tabs>
        <w:ind w:left="360" w:hanging="375"/>
      </w:pPr>
      <w:rPr>
        <w:rFonts w:hint="default"/>
      </w:rPr>
    </w:lvl>
    <w:lvl w:ilvl="1">
      <w:start w:val="1"/>
      <w:numFmt w:val="lowerLetter"/>
      <w:lvlText w:val="%2."/>
      <w:lvlJc w:val="left"/>
      <w:pPr>
        <w:tabs>
          <w:tab w:val="num" w:pos="1065"/>
        </w:tabs>
        <w:ind w:left="1065" w:hanging="360"/>
      </w:pPr>
    </w:lvl>
    <w:lvl w:ilvl="2">
      <w:start w:val="1"/>
      <w:numFmt w:val="lowerRoman"/>
      <w:lvlText w:val="%3."/>
      <w:lvlJc w:val="right"/>
      <w:pPr>
        <w:tabs>
          <w:tab w:val="num" w:pos="1785"/>
        </w:tabs>
        <w:ind w:left="1785" w:hanging="180"/>
      </w:pPr>
    </w:lvl>
    <w:lvl w:ilvl="3">
      <w:start w:val="1"/>
      <w:numFmt w:val="decimal"/>
      <w:lvlText w:val="%4."/>
      <w:lvlJc w:val="left"/>
      <w:pPr>
        <w:tabs>
          <w:tab w:val="num" w:pos="2505"/>
        </w:tabs>
        <w:ind w:left="2505" w:hanging="360"/>
      </w:pPr>
    </w:lvl>
    <w:lvl w:ilvl="4">
      <w:start w:val="1"/>
      <w:numFmt w:val="lowerLetter"/>
      <w:lvlText w:val="%5."/>
      <w:lvlJc w:val="left"/>
      <w:pPr>
        <w:tabs>
          <w:tab w:val="num" w:pos="3225"/>
        </w:tabs>
        <w:ind w:left="3225" w:hanging="360"/>
      </w:pPr>
    </w:lvl>
    <w:lvl w:ilvl="5">
      <w:start w:val="1"/>
      <w:numFmt w:val="lowerRoman"/>
      <w:lvlText w:val="%6."/>
      <w:lvlJc w:val="right"/>
      <w:pPr>
        <w:tabs>
          <w:tab w:val="num" w:pos="3945"/>
        </w:tabs>
        <w:ind w:left="3945" w:hanging="180"/>
      </w:pPr>
    </w:lvl>
    <w:lvl w:ilvl="6">
      <w:start w:val="1"/>
      <w:numFmt w:val="decimal"/>
      <w:lvlText w:val="%7."/>
      <w:lvlJc w:val="left"/>
      <w:pPr>
        <w:tabs>
          <w:tab w:val="num" w:pos="4665"/>
        </w:tabs>
        <w:ind w:left="4665" w:hanging="360"/>
      </w:pPr>
    </w:lvl>
    <w:lvl w:ilvl="7">
      <w:start w:val="1"/>
      <w:numFmt w:val="lowerLetter"/>
      <w:lvlText w:val="%8."/>
      <w:lvlJc w:val="left"/>
      <w:pPr>
        <w:tabs>
          <w:tab w:val="num" w:pos="5385"/>
        </w:tabs>
        <w:ind w:left="5385" w:hanging="360"/>
      </w:pPr>
    </w:lvl>
    <w:lvl w:ilvl="8">
      <w:start w:val="1"/>
      <w:numFmt w:val="lowerRoman"/>
      <w:lvlText w:val="%9."/>
      <w:lvlJc w:val="right"/>
      <w:pPr>
        <w:tabs>
          <w:tab w:val="num" w:pos="6105"/>
        </w:tabs>
        <w:ind w:left="6105" w:hanging="180"/>
      </w:pPr>
    </w:lvl>
  </w:abstractNum>
  <w:abstractNum w:abstractNumId="333">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4">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335">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336">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7">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338">
    <w:nsid w:val="7A462DA0"/>
    <w:multiLevelType w:val="singleLevel"/>
    <w:tmpl w:val="04090015"/>
    <w:lvl w:ilvl="0">
      <w:start w:val="6"/>
      <w:numFmt w:val="upperLetter"/>
      <w:lvlText w:val="%1."/>
      <w:lvlJc w:val="left"/>
      <w:pPr>
        <w:tabs>
          <w:tab w:val="num" w:pos="360"/>
        </w:tabs>
        <w:ind w:left="360" w:hanging="360"/>
      </w:pPr>
      <w:rPr>
        <w:rFonts w:hint="default"/>
      </w:rPr>
    </w:lvl>
  </w:abstractNum>
  <w:abstractNum w:abstractNumId="339">
    <w:nsid w:val="7A486CA4"/>
    <w:multiLevelType w:val="hybridMultilevel"/>
    <w:tmpl w:val="C17EB6E0"/>
    <w:lvl w:ilvl="0">
      <w:start w:val="1"/>
      <w:numFmt w:val="lowerLetter"/>
      <w:lvlText w:val="%1."/>
      <w:lvlJc w:val="left"/>
      <w:pPr>
        <w:tabs>
          <w:tab w:val="num" w:pos="763"/>
        </w:tabs>
        <w:ind w:left="763" w:hanging="360"/>
      </w:pPr>
      <w:rPr>
        <w:rFonts w:hint="default"/>
      </w:rPr>
    </w:lvl>
    <w:lvl w:ilvl="1" w:tentative="1">
      <w:start w:val="1"/>
      <w:numFmt w:val="lowerLetter"/>
      <w:lvlText w:val="%2."/>
      <w:lvlJc w:val="left"/>
      <w:pPr>
        <w:tabs>
          <w:tab w:val="num" w:pos="1483"/>
        </w:tabs>
        <w:ind w:left="1483" w:hanging="360"/>
      </w:pPr>
    </w:lvl>
    <w:lvl w:ilvl="2" w:tentative="1">
      <w:start w:val="1"/>
      <w:numFmt w:val="lowerRoman"/>
      <w:lvlText w:val="%3."/>
      <w:lvlJc w:val="right"/>
      <w:pPr>
        <w:tabs>
          <w:tab w:val="num" w:pos="2203"/>
        </w:tabs>
        <w:ind w:left="2203" w:hanging="180"/>
      </w:pPr>
    </w:lvl>
    <w:lvl w:ilvl="3" w:tentative="1">
      <w:start w:val="1"/>
      <w:numFmt w:val="decimal"/>
      <w:lvlText w:val="%4."/>
      <w:lvlJc w:val="left"/>
      <w:pPr>
        <w:tabs>
          <w:tab w:val="num" w:pos="2923"/>
        </w:tabs>
        <w:ind w:left="2923" w:hanging="360"/>
      </w:pPr>
    </w:lvl>
    <w:lvl w:ilvl="4" w:tentative="1">
      <w:start w:val="1"/>
      <w:numFmt w:val="lowerLetter"/>
      <w:lvlText w:val="%5."/>
      <w:lvlJc w:val="left"/>
      <w:pPr>
        <w:tabs>
          <w:tab w:val="num" w:pos="3643"/>
        </w:tabs>
        <w:ind w:left="3643" w:hanging="360"/>
      </w:pPr>
    </w:lvl>
    <w:lvl w:ilvl="5" w:tentative="1">
      <w:start w:val="1"/>
      <w:numFmt w:val="lowerRoman"/>
      <w:lvlText w:val="%6."/>
      <w:lvlJc w:val="right"/>
      <w:pPr>
        <w:tabs>
          <w:tab w:val="num" w:pos="4363"/>
        </w:tabs>
        <w:ind w:left="4363" w:hanging="180"/>
      </w:pPr>
    </w:lvl>
    <w:lvl w:ilvl="6" w:tentative="1">
      <w:start w:val="1"/>
      <w:numFmt w:val="decimal"/>
      <w:lvlText w:val="%7."/>
      <w:lvlJc w:val="left"/>
      <w:pPr>
        <w:tabs>
          <w:tab w:val="num" w:pos="5083"/>
        </w:tabs>
        <w:ind w:left="5083" w:hanging="360"/>
      </w:pPr>
    </w:lvl>
    <w:lvl w:ilvl="7" w:tentative="1">
      <w:start w:val="1"/>
      <w:numFmt w:val="lowerLetter"/>
      <w:lvlText w:val="%8."/>
      <w:lvlJc w:val="left"/>
      <w:pPr>
        <w:tabs>
          <w:tab w:val="num" w:pos="5803"/>
        </w:tabs>
        <w:ind w:left="5803" w:hanging="360"/>
      </w:pPr>
    </w:lvl>
    <w:lvl w:ilvl="8" w:tentative="1">
      <w:start w:val="1"/>
      <w:numFmt w:val="lowerRoman"/>
      <w:lvlText w:val="%9."/>
      <w:lvlJc w:val="right"/>
      <w:pPr>
        <w:tabs>
          <w:tab w:val="num" w:pos="6523"/>
        </w:tabs>
        <w:ind w:left="6523" w:hanging="180"/>
      </w:pPr>
    </w:lvl>
  </w:abstractNum>
  <w:abstractNum w:abstractNumId="340">
    <w:nsid w:val="7A5D06D6"/>
    <w:multiLevelType w:val="hybridMultilevel"/>
    <w:tmpl w:val="C34A993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1">
    <w:nsid w:val="7AC94729"/>
    <w:multiLevelType w:val="hybridMultilevel"/>
    <w:tmpl w:val="C60C57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2">
    <w:nsid w:val="7B1D5FE8"/>
    <w:multiLevelType w:val="hybridMultilevel"/>
    <w:tmpl w:val="1B9A347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3">
    <w:nsid w:val="7C4D656F"/>
    <w:multiLevelType w:val="hybridMultilevel"/>
    <w:tmpl w:val="44280DA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4">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5">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6">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7">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8">
    <w:nsid w:val="7F0370B5"/>
    <w:multiLevelType w:val="hybridMultilevel"/>
    <w:tmpl w:val="5B6EDF84"/>
    <w:lvl w:ilvl="0">
      <w:start w:val="9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9">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350">
    <w:nsid w:val="7F634374"/>
    <w:multiLevelType w:val="singleLevel"/>
    <w:tmpl w:val="07AA697E"/>
    <w:lvl w:ilvl="0">
      <w:start w:val="1"/>
      <w:numFmt w:val="lowerLetter"/>
      <w:lvlText w:val="(%1)"/>
      <w:lvlJc w:val="left"/>
      <w:pPr>
        <w:tabs>
          <w:tab w:val="num" w:pos="648"/>
        </w:tabs>
        <w:ind w:left="648" w:hanging="360"/>
      </w:pPr>
      <w:rPr>
        <w:rFonts w:hint="default"/>
      </w:rPr>
    </w:lvl>
  </w:abstractNum>
  <w:abstractNum w:abstractNumId="351">
    <w:nsid w:val="7FB87F23"/>
    <w:multiLevelType w:val="singleLevel"/>
    <w:tmpl w:val="626A02E4"/>
    <w:lvl w:ilvl="0">
      <w:start w:val="11"/>
      <w:numFmt w:val="upperLetter"/>
      <w:lvlText w:val="%1."/>
      <w:lvlJc w:val="left"/>
      <w:pPr>
        <w:tabs>
          <w:tab w:val="num" w:pos="432"/>
        </w:tabs>
        <w:ind w:left="432" w:hanging="432"/>
      </w:pPr>
      <w:rPr>
        <w:rFonts w:hint="default"/>
      </w:rPr>
    </w:lvl>
  </w:abstractNum>
  <w:num w:numId="1">
    <w:abstractNumId w:val="155"/>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314"/>
  </w:num>
  <w:num w:numId="13">
    <w:abstractNumId w:val="234"/>
  </w:num>
  <w:num w:numId="14">
    <w:abstractNumId w:val="9"/>
  </w:num>
  <w:num w:numId="15">
    <w:abstractNumId w:val="322"/>
  </w:num>
  <w:num w:numId="16">
    <w:abstractNumId w:val="287"/>
  </w:num>
  <w:num w:numId="17">
    <w:abstractNumId w:val="273"/>
  </w:num>
  <w:num w:numId="18">
    <w:abstractNumId w:val="84"/>
  </w:num>
  <w:num w:numId="19">
    <w:abstractNumId w:val="276"/>
  </w:num>
  <w:num w:numId="20">
    <w:abstractNumId w:val="198"/>
  </w:num>
  <w:num w:numId="21">
    <w:abstractNumId w:val="324"/>
  </w:num>
  <w:num w:numId="22">
    <w:abstractNumId w:val="143"/>
  </w:num>
  <w:num w:numId="23">
    <w:abstractNumId w:val="154"/>
  </w:num>
  <w:num w:numId="24">
    <w:abstractNumId w:val="251"/>
  </w:num>
  <w:num w:numId="25">
    <w:abstractNumId w:val="109"/>
  </w:num>
  <w:num w:numId="26">
    <w:abstractNumId w:val="161"/>
  </w:num>
  <w:num w:numId="27">
    <w:abstractNumId w:val="295"/>
  </w:num>
  <w:num w:numId="28">
    <w:abstractNumId w:val="83"/>
  </w:num>
  <w:num w:numId="29">
    <w:abstractNumId w:val="69"/>
  </w:num>
  <w:num w:numId="30">
    <w:abstractNumId w:val="262"/>
  </w:num>
  <w:num w:numId="31">
    <w:abstractNumId w:val="196"/>
  </w:num>
  <w:num w:numId="32">
    <w:abstractNumId w:val="167"/>
  </w:num>
  <w:num w:numId="33">
    <w:abstractNumId w:val="75"/>
  </w:num>
  <w:num w:numId="34">
    <w:abstractNumId w:val="298"/>
  </w:num>
  <w:num w:numId="35">
    <w:abstractNumId w:val="259"/>
  </w:num>
  <w:num w:numId="36">
    <w:abstractNumId w:val="263"/>
  </w:num>
  <w:num w:numId="37">
    <w:abstractNumId w:val="274"/>
  </w:num>
  <w:num w:numId="38">
    <w:abstractNumId w:val="334"/>
  </w:num>
  <w:num w:numId="39">
    <w:abstractNumId w:val="218"/>
  </w:num>
  <w:num w:numId="40">
    <w:abstractNumId w:val="237"/>
  </w:num>
  <w:num w:numId="41">
    <w:abstractNumId w:val="213"/>
  </w:num>
  <w:num w:numId="42">
    <w:abstractNumId w:val="45"/>
  </w:num>
  <w:num w:numId="43">
    <w:abstractNumId w:val="285"/>
  </w:num>
  <w:num w:numId="44">
    <w:abstractNumId w:val="136"/>
  </w:num>
  <w:num w:numId="45">
    <w:abstractNumId w:val="231"/>
  </w:num>
  <w:num w:numId="46">
    <w:abstractNumId w:val="175"/>
  </w:num>
  <w:num w:numId="47">
    <w:abstractNumId w:val="33"/>
  </w:num>
  <w:num w:numId="48">
    <w:abstractNumId w:val="135"/>
  </w:num>
  <w:num w:numId="49">
    <w:abstractNumId w:val="260"/>
  </w:num>
  <w:num w:numId="50">
    <w:abstractNumId w:val="87"/>
  </w:num>
  <w:num w:numId="51">
    <w:abstractNumId w:val="40"/>
  </w:num>
  <w:num w:numId="52">
    <w:abstractNumId w:val="73"/>
  </w:num>
  <w:num w:numId="53">
    <w:abstractNumId w:val="27"/>
  </w:num>
  <w:num w:numId="54">
    <w:abstractNumId w:val="243"/>
  </w:num>
  <w:num w:numId="55">
    <w:abstractNumId w:val="82"/>
  </w:num>
  <w:num w:numId="56">
    <w:abstractNumId w:val="98"/>
  </w:num>
  <w:num w:numId="57">
    <w:abstractNumId w:val="53"/>
  </w:num>
  <w:num w:numId="58">
    <w:abstractNumId w:val="290"/>
  </w:num>
  <w:num w:numId="59">
    <w:abstractNumId w:val="37"/>
  </w:num>
  <w:num w:numId="60">
    <w:abstractNumId w:val="104"/>
  </w:num>
  <w:num w:numId="61">
    <w:abstractNumId w:val="270"/>
  </w:num>
  <w:num w:numId="62">
    <w:abstractNumId w:val="177"/>
  </w:num>
  <w:num w:numId="63">
    <w:abstractNumId w:val="350"/>
  </w:num>
  <w:num w:numId="64">
    <w:abstractNumId w:val="183"/>
  </w:num>
  <w:num w:numId="65">
    <w:abstractNumId w:val="77"/>
  </w:num>
  <w:num w:numId="66">
    <w:abstractNumId w:val="50"/>
  </w:num>
  <w:num w:numId="67">
    <w:abstractNumId w:val="44"/>
  </w:num>
  <w:num w:numId="68">
    <w:abstractNumId w:val="153"/>
  </w:num>
  <w:num w:numId="69">
    <w:abstractNumId w:val="72"/>
  </w:num>
  <w:num w:numId="70">
    <w:abstractNumId w:val="281"/>
  </w:num>
  <w:num w:numId="71">
    <w:abstractNumId w:val="152"/>
  </w:num>
  <w:num w:numId="72">
    <w:abstractNumId w:val="275"/>
  </w:num>
  <w:num w:numId="73">
    <w:abstractNumId w:val="96"/>
  </w:num>
  <w:num w:numId="74">
    <w:abstractNumId w:val="205"/>
  </w:num>
  <w:num w:numId="75">
    <w:abstractNumId w:val="121"/>
  </w:num>
  <w:num w:numId="76">
    <w:abstractNumId w:val="38"/>
  </w:num>
  <w:num w:numId="77">
    <w:abstractNumId w:val="255"/>
  </w:num>
  <w:num w:numId="78">
    <w:abstractNumId w:val="79"/>
  </w:num>
  <w:num w:numId="79">
    <w:abstractNumId w:val="201"/>
  </w:num>
  <w:num w:numId="80">
    <w:abstractNumId w:val="325"/>
  </w:num>
  <w:num w:numId="81">
    <w:abstractNumId w:val="122"/>
  </w:num>
  <w:num w:numId="82">
    <w:abstractNumId w:val="20"/>
  </w:num>
  <w:num w:numId="83">
    <w:abstractNumId w:val="282"/>
  </w:num>
  <w:num w:numId="84">
    <w:abstractNumId w:val="131"/>
  </w:num>
  <w:num w:numId="85">
    <w:abstractNumId w:val="123"/>
  </w:num>
  <w:num w:numId="86">
    <w:abstractNumId w:val="247"/>
  </w:num>
  <w:num w:numId="87">
    <w:abstractNumId w:val="238"/>
  </w:num>
  <w:num w:numId="88">
    <w:abstractNumId w:val="239"/>
  </w:num>
  <w:num w:numId="89">
    <w:abstractNumId w:val="240"/>
  </w:num>
  <w:num w:numId="90">
    <w:abstractNumId w:val="55"/>
  </w:num>
  <w:num w:numId="91">
    <w:abstractNumId w:val="127"/>
  </w:num>
  <w:num w:numId="92">
    <w:abstractNumId w:val="99"/>
  </w:num>
  <w:num w:numId="93">
    <w:abstractNumId w:val="139"/>
  </w:num>
  <w:num w:numId="94">
    <w:abstractNumId w:val="101"/>
  </w:num>
  <w:num w:numId="95">
    <w:abstractNumId w:val="228"/>
  </w:num>
  <w:num w:numId="96">
    <w:abstractNumId w:val="306"/>
  </w:num>
  <w:num w:numId="97">
    <w:abstractNumId w:val="11"/>
  </w:num>
  <w:num w:numId="98">
    <w:abstractNumId w:val="191"/>
  </w:num>
  <w:num w:numId="99">
    <w:abstractNumId w:val="106"/>
  </w:num>
  <w:num w:numId="100">
    <w:abstractNumId w:val="21"/>
  </w:num>
  <w:num w:numId="101">
    <w:abstractNumId w:val="105"/>
  </w:num>
  <w:num w:numId="102">
    <w:abstractNumId w:val="60"/>
  </w:num>
  <w:num w:numId="103">
    <w:abstractNumId w:val="216"/>
  </w:num>
  <w:num w:numId="104">
    <w:abstractNumId w:val="86"/>
  </w:num>
  <w:num w:numId="105">
    <w:abstractNumId w:val="12"/>
  </w:num>
  <w:num w:numId="106">
    <w:abstractNumId w:val="57"/>
  </w:num>
  <w:num w:numId="107">
    <w:abstractNumId w:val="252"/>
  </w:num>
  <w:num w:numId="108">
    <w:abstractNumId w:val="28"/>
  </w:num>
  <w:num w:numId="109">
    <w:abstractNumId w:val="321"/>
  </w:num>
  <w:num w:numId="110">
    <w:abstractNumId w:val="193"/>
  </w:num>
  <w:num w:numId="111">
    <w:abstractNumId w:val="142"/>
  </w:num>
  <w:num w:numId="112">
    <w:abstractNumId w:val="261"/>
  </w:num>
  <w:num w:numId="113">
    <w:abstractNumId w:val="108"/>
  </w:num>
  <w:num w:numId="114">
    <w:abstractNumId w:val="227"/>
  </w:num>
  <w:num w:numId="115">
    <w:abstractNumId w:val="88"/>
  </w:num>
  <w:num w:numId="116">
    <w:abstractNumId w:val="97"/>
  </w:num>
  <w:num w:numId="117">
    <w:abstractNumId w:val="56"/>
  </w:num>
  <w:num w:numId="118">
    <w:abstractNumId w:val="100"/>
  </w:num>
  <w:num w:numId="119">
    <w:abstractNumId w:val="209"/>
  </w:num>
  <w:num w:numId="120">
    <w:abstractNumId w:val="323"/>
  </w:num>
  <w:num w:numId="121">
    <w:abstractNumId w:val="330"/>
  </w:num>
  <w:num w:numId="122">
    <w:abstractNumId w:val="52"/>
  </w:num>
  <w:num w:numId="123">
    <w:abstractNumId w:val="173"/>
  </w:num>
  <w:num w:numId="124">
    <w:abstractNumId w:val="42"/>
  </w:num>
  <w:num w:numId="125">
    <w:abstractNumId w:val="224"/>
  </w:num>
  <w:num w:numId="126">
    <w:abstractNumId w:val="197"/>
  </w:num>
  <w:num w:numId="127">
    <w:abstractNumId w:val="313"/>
  </w:num>
  <w:num w:numId="128">
    <w:abstractNumId w:val="178"/>
  </w:num>
  <w:num w:numId="129">
    <w:abstractNumId w:val="176"/>
  </w:num>
  <w:num w:numId="130">
    <w:abstractNumId w:val="220"/>
  </w:num>
  <w:num w:numId="131">
    <w:abstractNumId w:val="125"/>
  </w:num>
  <w:num w:numId="132">
    <w:abstractNumId w:val="269"/>
  </w:num>
  <w:num w:numId="133">
    <w:abstractNumId w:val="277"/>
  </w:num>
  <w:num w:numId="134">
    <w:abstractNumId w:val="223"/>
  </w:num>
  <w:num w:numId="135">
    <w:abstractNumId w:val="184"/>
  </w:num>
  <w:num w:numId="136">
    <w:abstractNumId w:val="18"/>
  </w:num>
  <w:num w:numId="137">
    <w:abstractNumId w:val="133"/>
  </w:num>
  <w:num w:numId="138">
    <w:abstractNumId w:val="134"/>
  </w:num>
  <w:num w:numId="139">
    <w:abstractNumId w:val="307"/>
  </w:num>
  <w:num w:numId="140">
    <w:abstractNumId w:val="335"/>
  </w:num>
  <w:num w:numId="141">
    <w:abstractNumId w:val="94"/>
  </w:num>
  <w:num w:numId="142">
    <w:abstractNumId w:val="54"/>
  </w:num>
  <w:num w:numId="143">
    <w:abstractNumId w:val="165"/>
  </w:num>
  <w:num w:numId="144">
    <w:abstractNumId w:val="230"/>
  </w:num>
  <w:num w:numId="145">
    <w:abstractNumId w:val="23"/>
  </w:num>
  <w:num w:numId="146">
    <w:abstractNumId w:val="271"/>
  </w:num>
  <w:num w:numId="147">
    <w:abstractNumId w:val="62"/>
  </w:num>
  <w:num w:numId="148">
    <w:abstractNumId w:val="188"/>
  </w:num>
  <w:num w:numId="149">
    <w:abstractNumId w:val="288"/>
  </w:num>
  <w:num w:numId="150">
    <w:abstractNumId w:val="346"/>
  </w:num>
  <w:num w:numId="151">
    <w:abstractNumId w:val="3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347"/>
  </w:num>
  <w:num w:numId="153">
    <w:abstractNumId w:val="3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92"/>
  </w:num>
  <w:num w:numId="155">
    <w:abstractNumId w:val="2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78"/>
  </w:num>
  <w:num w:numId="157">
    <w:abstractNumId w:val="302"/>
  </w:num>
  <w:num w:numId="158">
    <w:abstractNumId w:val="43"/>
  </w:num>
  <w:num w:numId="159">
    <w:abstractNumId w:val="68"/>
  </w:num>
  <w:num w:numId="160">
    <w:abstractNumId w:val="58"/>
  </w:num>
  <w:num w:numId="161">
    <w:abstractNumId w:val="333"/>
  </w:num>
  <w:num w:numId="162">
    <w:abstractNumId w:val="268"/>
  </w:num>
  <w:num w:numId="163">
    <w:abstractNumId w:val="26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95"/>
  </w:num>
  <w:num w:numId="165">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46"/>
  </w:num>
  <w:num w:numId="167">
    <w:abstractNumId w:val="265"/>
  </w:num>
  <w:num w:numId="168">
    <w:abstractNumId w:val="47"/>
  </w:num>
  <w:num w:numId="169">
    <w:abstractNumId w:val="258"/>
  </w:num>
  <w:num w:numId="170">
    <w:abstractNumId w:val="258"/>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22"/>
  </w:num>
  <w:num w:numId="172">
    <w:abstractNumId w:val="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344"/>
  </w:num>
  <w:num w:numId="174">
    <w:abstractNumId w:val="34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114"/>
  </w:num>
  <w:num w:numId="176">
    <w:abstractNumId w:val="11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86"/>
  </w:num>
  <w:num w:numId="178">
    <w:abstractNumId w:val="328"/>
  </w:num>
  <w:num w:numId="179">
    <w:abstractNumId w:val="293"/>
  </w:num>
  <w:num w:numId="180">
    <w:abstractNumId w:val="208"/>
  </w:num>
  <w:num w:numId="181">
    <w:abstractNumId w:val="20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74"/>
  </w:num>
  <w:num w:numId="183">
    <w:abstractNumId w:val="7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303"/>
  </w:num>
  <w:num w:numId="185">
    <w:abstractNumId w:val="158"/>
  </w:num>
  <w:num w:numId="186">
    <w:abstractNumId w:val="162"/>
  </w:num>
  <w:num w:numId="187">
    <w:abstractNumId w:val="1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26"/>
  </w:num>
  <w:num w:numId="189">
    <w:abstractNumId w:val="1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214"/>
  </w:num>
  <w:num w:numId="191">
    <w:abstractNumId w:val="21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48"/>
  </w:num>
  <w:num w:numId="193">
    <w:abstractNumId w:val="1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74"/>
  </w:num>
  <w:num w:numId="195">
    <w:abstractNumId w:val="76"/>
  </w:num>
  <w:num w:numId="196">
    <w:abstractNumId w:val="7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68"/>
  </w:num>
  <w:num w:numId="198">
    <w:abstractNumId w:val="144"/>
  </w:num>
  <w:num w:numId="199">
    <w:abstractNumId w:val="14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94"/>
  </w:num>
  <w:num w:numId="201">
    <w:abstractNumId w:val="225"/>
  </w:num>
  <w:num w:numId="202">
    <w:abstractNumId w:val="65"/>
  </w:num>
  <w:num w:numId="203">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64"/>
  </w:num>
  <w:num w:numId="205">
    <w:abstractNumId w:val="16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67"/>
  </w:num>
  <w:num w:numId="207">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50"/>
  </w:num>
  <w:num w:numId="209">
    <w:abstractNumId w:val="15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56"/>
  </w:num>
  <w:num w:numId="211">
    <w:abstractNumId w:val="2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215"/>
  </w:num>
  <w:num w:numId="213">
    <w:abstractNumId w:val="138"/>
  </w:num>
  <w:num w:numId="214">
    <w:abstractNumId w:val="221"/>
  </w:num>
  <w:num w:numId="215">
    <w:abstractNumId w:val="132"/>
  </w:num>
  <w:num w:numId="216">
    <w:abstractNumId w:val="1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85"/>
  </w:num>
  <w:num w:numId="218">
    <w:abstractNumId w:val="8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203"/>
  </w:num>
  <w:num w:numId="220">
    <w:abstractNumId w:val="2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320"/>
  </w:num>
  <w:num w:numId="222">
    <w:abstractNumId w:val="3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72"/>
  </w:num>
  <w:num w:numId="224">
    <w:abstractNumId w:val="1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9"/>
  </w:num>
  <w:num w:numId="226">
    <w:abstractNumId w:val="117"/>
  </w:num>
  <w:num w:numId="227">
    <w:abstractNumId w:val="300"/>
  </w:num>
  <w:num w:numId="228">
    <w:abstractNumId w:val="3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85"/>
  </w:num>
  <w:num w:numId="230">
    <w:abstractNumId w:val="210"/>
  </w:num>
  <w:num w:numId="231">
    <w:abstractNumId w:val="264"/>
  </w:num>
  <w:num w:numId="232">
    <w:abstractNumId w:val="93"/>
  </w:num>
  <w:num w:numId="233">
    <w:abstractNumId w:val="232"/>
  </w:num>
  <w:num w:numId="234">
    <w:abstractNumId w:val="180"/>
  </w:num>
  <w:num w:numId="235">
    <w:abstractNumId w:val="18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84"/>
  </w:num>
  <w:num w:numId="237">
    <w:abstractNumId w:val="199"/>
  </w:num>
  <w:num w:numId="238">
    <w:abstractNumId w:val="19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66"/>
  </w:num>
  <w:num w:numId="240">
    <w:abstractNumId w:val="149"/>
  </w:num>
  <w:num w:numId="241">
    <w:abstractNumId w:val="14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9"/>
  </w:num>
  <w:num w:numId="243">
    <w:abstractNumId w:val="16"/>
  </w:num>
  <w:num w:numId="244">
    <w:abstractNumId w:val="70"/>
  </w:num>
  <w:num w:numId="245">
    <w:abstractNumId w:val="80"/>
  </w:num>
  <w:num w:numId="246">
    <w:abstractNumId w:val="8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30"/>
  </w:num>
  <w:num w:numId="248">
    <w:abstractNumId w:val="156"/>
  </w:num>
  <w:num w:numId="249">
    <w:abstractNumId w:val="345"/>
  </w:num>
  <w:num w:numId="250">
    <w:abstractNumId w:val="113"/>
  </w:num>
  <w:num w:numId="251">
    <w:abstractNumId w:val="316"/>
  </w:num>
  <w:num w:numId="252">
    <w:abstractNumId w:val="200"/>
  </w:num>
  <w:num w:numId="253">
    <w:abstractNumId w:val="279"/>
  </w:num>
  <w:num w:numId="254">
    <w:abstractNumId w:val="27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248"/>
  </w:num>
  <w:num w:numId="256">
    <w:abstractNumId w:val="2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312"/>
  </w:num>
  <w:num w:numId="258">
    <w:abstractNumId w:val="3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235"/>
  </w:num>
  <w:num w:numId="260">
    <w:abstractNumId w:val="163"/>
  </w:num>
  <w:num w:numId="261">
    <w:abstractNumId w:val="15"/>
  </w:num>
  <w:num w:numId="262">
    <w:abstractNumId w:val="299"/>
  </w:num>
  <w:num w:numId="263">
    <w:abstractNumId w:val="229"/>
  </w:num>
  <w:num w:numId="264">
    <w:abstractNumId w:val="192"/>
  </w:num>
  <w:num w:numId="265">
    <w:abstractNumId w:val="103"/>
  </w:num>
  <w:num w:numId="266">
    <w:abstractNumId w:val="14"/>
  </w:num>
  <w:num w:numId="267">
    <w:abstractNumId w:val="326"/>
  </w:num>
  <w:num w:numId="268">
    <w:abstractNumId w:val="296"/>
  </w:num>
  <w:num w:numId="269">
    <w:abstractNumId w:val="250"/>
  </w:num>
  <w:num w:numId="270">
    <w:abstractNumId w:val="39"/>
  </w:num>
  <w:num w:numId="271">
    <w:abstractNumId w:val="336"/>
  </w:num>
  <w:num w:numId="272">
    <w:abstractNumId w:val="31"/>
  </w:num>
  <w:num w:numId="273">
    <w:abstractNumId w:val="171"/>
  </w:num>
  <w:num w:numId="274">
    <w:abstractNumId w:val="137"/>
  </w:num>
  <w:num w:numId="275">
    <w:abstractNumId w:val="145"/>
  </w:num>
  <w:num w:numId="276">
    <w:abstractNumId w:val="64"/>
  </w:num>
  <w:num w:numId="277">
    <w:abstractNumId w:val="289"/>
  </w:num>
  <w:num w:numId="278">
    <w:abstractNumId w:val="51"/>
  </w:num>
  <w:num w:numId="279">
    <w:abstractNumId w:val="36"/>
  </w:num>
  <w:num w:numId="280">
    <w:abstractNumId w:val="315"/>
  </w:num>
  <w:num w:numId="281">
    <w:abstractNumId w:val="194"/>
  </w:num>
  <w:num w:numId="282">
    <w:abstractNumId w:val="34"/>
  </w:num>
  <w:num w:numId="283">
    <w:abstractNumId w:val="35"/>
  </w:num>
  <w:num w:numId="284">
    <w:abstractNumId w:val="310"/>
  </w:num>
  <w:num w:numId="285">
    <w:abstractNumId w:val="246"/>
  </w:num>
  <w:num w:numId="286">
    <w:abstractNumId w:val="7"/>
  </w:num>
  <w:num w:numId="287">
    <w:abstractNumId w:val="6"/>
  </w:num>
  <w:num w:numId="288">
    <w:abstractNumId w:val="5"/>
  </w:num>
  <w:num w:numId="289">
    <w:abstractNumId w:val="4"/>
  </w:num>
  <w:num w:numId="290">
    <w:abstractNumId w:val="25"/>
  </w:num>
  <w:num w:numId="291">
    <w:abstractNumId w:val="151"/>
  </w:num>
  <w:num w:numId="292">
    <w:abstractNumId w:val="204"/>
  </w:num>
  <w:num w:numId="293">
    <w:abstractNumId w:val="308"/>
  </w:num>
  <w:num w:numId="294">
    <w:abstractNumId w:val="112"/>
  </w:num>
  <w:num w:numId="295">
    <w:abstractNumId w:val="337"/>
  </w:num>
  <w:num w:numId="296">
    <w:abstractNumId w:val="71"/>
  </w:num>
  <w:num w:numId="297">
    <w:abstractNumId w:val="349"/>
  </w:num>
  <w:num w:numId="298">
    <w:abstractNumId w:val="116"/>
  </w:num>
  <w:num w:numId="299">
    <w:abstractNumId w:val="66"/>
  </w:num>
  <w:num w:numId="300">
    <w:abstractNumId w:val="182"/>
  </w:num>
  <w:num w:numId="301">
    <w:abstractNumId w:val="120"/>
  </w:num>
  <w:num w:numId="302">
    <w:abstractNumId w:val="26"/>
  </w:num>
  <w:num w:numId="303">
    <w:abstractNumId w:val="32"/>
  </w:num>
  <w:num w:numId="304">
    <w:abstractNumId w:val="46"/>
  </w:num>
  <w:num w:numId="305">
    <w:abstractNumId w:val="305"/>
  </w:num>
  <w:num w:numId="306">
    <w:abstractNumId w:val="140"/>
  </w:num>
  <w:num w:numId="307">
    <w:abstractNumId w:val="266"/>
  </w:num>
  <w:num w:numId="308">
    <w:abstractNumId w:val="233"/>
  </w:num>
  <w:num w:numId="309">
    <w:abstractNumId w:val="41"/>
  </w:num>
  <w:num w:numId="310">
    <w:abstractNumId w:val="170"/>
  </w:num>
  <w:num w:numId="311">
    <w:abstractNumId w:val="339"/>
  </w:num>
  <w:num w:numId="312">
    <w:abstractNumId w:val="147"/>
  </w:num>
  <w:num w:numId="313">
    <w:abstractNumId w:val="226"/>
  </w:num>
  <w:num w:numId="314">
    <w:abstractNumId w:val="92"/>
  </w:num>
  <w:num w:numId="315">
    <w:abstractNumId w:val="48"/>
  </w:num>
  <w:num w:numId="316">
    <w:abstractNumId w:val="128"/>
  </w:num>
  <w:num w:numId="317">
    <w:abstractNumId w:val="19"/>
  </w:num>
  <w:num w:numId="318">
    <w:abstractNumId w:val="222"/>
  </w:num>
  <w:num w:numId="319">
    <w:abstractNumId w:val="329"/>
  </w:num>
  <w:num w:numId="320">
    <w:abstractNumId w:val="189"/>
  </w:num>
  <w:num w:numId="321">
    <w:abstractNumId w:val="341"/>
  </w:num>
  <w:num w:numId="322">
    <w:abstractNumId w:val="331"/>
  </w:num>
  <w:num w:numId="323">
    <w:abstractNumId w:val="81"/>
  </w:num>
  <w:num w:numId="324">
    <w:abstractNumId w:val="141"/>
  </w:num>
  <w:num w:numId="325">
    <w:abstractNumId w:val="280"/>
  </w:num>
  <w:num w:numId="326">
    <w:abstractNumId w:val="301"/>
  </w:num>
  <w:num w:numId="327">
    <w:abstractNumId w:val="319"/>
  </w:num>
  <w:num w:numId="328">
    <w:abstractNumId w:val="61"/>
  </w:num>
  <w:num w:numId="329">
    <w:abstractNumId w:val="249"/>
  </w:num>
  <w:num w:numId="330">
    <w:abstractNumId w:val="95"/>
  </w:num>
  <w:num w:numId="331">
    <w:abstractNumId w:val="78"/>
  </w:num>
  <w:num w:numId="332">
    <w:abstractNumId w:val="90"/>
  </w:num>
  <w:num w:numId="333">
    <w:abstractNumId w:val="283"/>
  </w:num>
  <w:num w:numId="334">
    <w:abstractNumId w:val="327"/>
  </w:num>
  <w:num w:numId="335">
    <w:abstractNumId w:val="291"/>
  </w:num>
  <w:num w:numId="336">
    <w:abstractNumId w:val="115"/>
  </w:num>
  <w:num w:numId="337">
    <w:abstractNumId w:val="186"/>
  </w:num>
  <w:num w:numId="338">
    <w:abstractNumId w:val="206"/>
  </w:num>
  <w:num w:numId="339">
    <w:abstractNumId w:val="244"/>
  </w:num>
  <w:num w:numId="340">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1">
    <w:abstractNumId w:val="332"/>
  </w:num>
  <w:num w:numId="342">
    <w:abstractNumId w:val="304"/>
  </w:num>
  <w:num w:numId="343">
    <w:abstractNumId w:val="24"/>
  </w:num>
  <w:num w:numId="344">
    <w:abstractNumId w:val="212"/>
  </w:num>
  <w:num w:numId="345">
    <w:abstractNumId w:val="118"/>
  </w:num>
  <w:num w:numId="346">
    <w:abstractNumId w:val="211"/>
  </w:num>
  <w:num w:numId="347">
    <w:abstractNumId w:val="91"/>
  </w:num>
  <w:num w:numId="348">
    <w:abstractNumId w:val="254"/>
  </w:num>
  <w:num w:numId="349">
    <w:abstractNumId w:val="17"/>
  </w:num>
  <w:num w:numId="350">
    <w:abstractNumId w:val="102"/>
  </w:num>
  <w:num w:numId="351">
    <w:abstractNumId w:val="309"/>
  </w:num>
  <w:num w:numId="352">
    <w:abstractNumId w:val="311"/>
  </w:num>
  <w:num w:numId="353">
    <w:abstractNumId w:val="267"/>
  </w:num>
  <w:num w:numId="354">
    <w:abstractNumId w:val="129"/>
  </w:num>
  <w:num w:numId="355">
    <w:abstractNumId w:val="190"/>
  </w:num>
  <w:num w:numId="356">
    <w:abstractNumId w:val="13"/>
  </w:num>
  <w:num w:numId="357">
    <w:abstractNumId w:val="124"/>
  </w:num>
  <w:num w:numId="358">
    <w:abstractNumId w:val="219"/>
  </w:num>
  <w:num w:numId="359">
    <w:abstractNumId w:val="169"/>
  </w:num>
  <w:num w:numId="360">
    <w:abstractNumId w:val="236"/>
  </w:num>
  <w:num w:numId="361">
    <w:abstractNumId w:val="111"/>
  </w:num>
  <w:num w:numId="362">
    <w:abstractNumId w:val="241"/>
  </w:num>
  <w:num w:numId="363">
    <w:abstractNumId w:val="351"/>
  </w:num>
  <w:num w:numId="364">
    <w:abstractNumId w:val="241"/>
    <w:lvlOverride w:ilvl="0">
      <w:startOverride w:val="38"/>
    </w:lvlOverride>
    <w:lvlOverride w:ilvl="1">
      <w:startOverride w:val="2"/>
    </w:lvlOverride>
  </w:num>
  <w:num w:numId="365">
    <w:abstractNumId w:val="241"/>
    <w:lvlOverride w:ilvl="0">
      <w:startOverride w:val="99"/>
    </w:lvlOverride>
    <w:lvlOverride w:ilvl="1">
      <w:startOverride w:val="3"/>
    </w:lvlOverride>
  </w:num>
  <w:num w:numId="366">
    <w:abstractNumId w:val="187"/>
  </w:num>
  <w:num w:numId="367">
    <w:abstractNumId w:val="338"/>
  </w:num>
  <w:num w:numId="368">
    <w:abstractNumId w:val="49"/>
  </w:num>
  <w:num w:numId="369">
    <w:abstractNumId w:val="253"/>
  </w:num>
  <w:num w:numId="370">
    <w:abstractNumId w:val="348"/>
  </w:num>
  <w:num w:numId="371">
    <w:abstractNumId w:val="157"/>
  </w:num>
  <w:num w:numId="372">
    <w:abstractNumId w:val="119"/>
  </w:num>
  <w:num w:numId="373">
    <w:abstractNumId w:val="207"/>
  </w:num>
  <w:num w:numId="374">
    <w:abstractNumId w:val="110"/>
  </w:num>
  <w:num w:numId="375">
    <w:abstractNumId w:val="160"/>
  </w:num>
  <w:num w:numId="376">
    <w:abstractNumId w:val="272"/>
  </w:num>
  <w:num w:numId="377">
    <w:abstractNumId w:val="63"/>
  </w:num>
  <w:num w:numId="378">
    <w:abstractNumId w:val="217"/>
  </w:num>
  <w:num w:numId="379">
    <w:abstractNumId w:val="89"/>
  </w:num>
  <w:num w:numId="380">
    <w:abstractNumId w:val="159"/>
  </w:num>
  <w:num w:numId="381">
    <w:abstractNumId w:val="30"/>
  </w:num>
  <w:num w:numId="382">
    <w:abstractNumId w:val="257"/>
  </w:num>
  <w:num w:numId="383">
    <w:abstractNumId w:val="297"/>
  </w:num>
  <w:num w:numId="384">
    <w:abstractNumId w:val="179"/>
  </w:num>
  <w:num w:numId="385">
    <w:abstractNumId w:val="343"/>
  </w:num>
  <w:num w:numId="386">
    <w:abstractNumId w:val="342"/>
  </w:num>
  <w:num w:numId="387">
    <w:abstractNumId w:val="318"/>
  </w:num>
  <w:num w:numId="388">
    <w:abstractNumId w:val="317"/>
  </w:num>
  <w:num w:numId="389">
    <w:abstractNumId w:val="107"/>
  </w:num>
  <w:num w:numId="390">
    <w:abstractNumId w:val="242"/>
  </w:num>
  <w:num w:numId="391">
    <w:abstractNumId w:val="245"/>
  </w:num>
  <w:num w:numId="392">
    <w:abstractNumId w:val="202"/>
  </w:num>
  <w:num w:numId="393">
    <w:abstractNumId w:val="340"/>
  </w:num>
  <w:num w:numId="394">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1" w:dllVersion="512" w:checkStyle="1"/>
  <w:activeWritingStyle w:appName="MSWord" w:lang="en-US" w:vendorID="8" w:dllVersion="513" w:checkStyle="1"/>
  <w:doNotTrackMoves/>
  <w:defaultTabStop w:val="476"/>
  <w:autoHyphenation/>
  <w:hyphenationZone w:val="220"/>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spacing w:line="240" w:lineRule="auto"/>
      <w:outlineLvl w:val="3"/>
    </w:pPr>
    <w:rPr>
      <w:caps/>
      <w:snapToGrid w:val="0"/>
      <w:color w:val="000000"/>
      <w:spacing w:val="0"/>
      <w:w w:val="100"/>
      <w:kern w:val="0"/>
      <w:sz w:val="24"/>
      <w:szCs w:val="24"/>
      <w:lang w:eastAsia="en-US"/>
    </w:rPr>
  </w:style>
  <w:style w:type="paragraph" w:styleId="Heading5">
    <w:name w:val="heading 5"/>
    <w:basedOn w:val="Normal"/>
    <w:next w:val="Normal"/>
    <w:qFormat/>
    <w:pPr>
      <w:spacing w:before="240" w:after="60" w:line="240" w:lineRule="auto"/>
      <w:outlineLvl w:val="4"/>
    </w:pPr>
    <w:rPr>
      <w:b/>
      <w:bCs/>
      <w:i/>
      <w:iCs/>
      <w:spacing w:val="0"/>
      <w:w w:val="100"/>
      <w:kern w:val="0"/>
      <w:sz w:val="26"/>
      <w:szCs w:val="26"/>
      <w:lang w:val="en-US" w:eastAsia="en-US"/>
    </w:rPr>
  </w:style>
  <w:style w:type="paragraph" w:styleId="Heading6">
    <w:name w:val="heading 6"/>
    <w:basedOn w:val="Normal"/>
    <w:next w:val="Normal"/>
    <w:qFormat/>
    <w:pPr>
      <w:spacing w:before="240" w:after="60" w:line="240" w:lineRule="auto"/>
      <w:outlineLvl w:val="5"/>
    </w:pPr>
    <w:rPr>
      <w:b/>
      <w:bCs/>
      <w:spacing w:val="0"/>
      <w:w w:val="100"/>
      <w:kern w:val="0"/>
      <w:sz w:val="22"/>
      <w:szCs w:val="22"/>
      <w:lang w:val="en-US" w:eastAsia="en-US"/>
    </w:rPr>
  </w:style>
  <w:style w:type="paragraph" w:styleId="Heading7">
    <w:name w:val="heading 7"/>
    <w:basedOn w:val="Normal"/>
    <w:next w:val="Normal"/>
    <w:qFormat/>
    <w:pPr>
      <w:keepNext/>
      <w:spacing w:line="360" w:lineRule="auto"/>
      <w:jc w:val="both"/>
      <w:outlineLvl w:val="6"/>
    </w:pPr>
    <w:rPr>
      <w:b/>
      <w:bCs/>
      <w:i/>
      <w:iCs/>
      <w:spacing w:val="0"/>
      <w:w w:val="100"/>
      <w:kern w:val="0"/>
      <w:sz w:val="24"/>
      <w:szCs w:val="24"/>
      <w:u w:val="single"/>
    </w:rPr>
  </w:style>
  <w:style w:type="paragraph" w:styleId="Heading8">
    <w:name w:val="heading 8"/>
    <w:basedOn w:val="Normal"/>
    <w:next w:val="Normal"/>
    <w:qFormat/>
    <w:pPr>
      <w:spacing w:before="240" w:after="60" w:line="240" w:lineRule="auto"/>
      <w:outlineLvl w:val="7"/>
    </w:pPr>
    <w:rPr>
      <w:i/>
      <w:iCs/>
      <w:spacing w:val="0"/>
      <w:w w:val="100"/>
      <w:kern w:val="0"/>
      <w:sz w:val="24"/>
      <w:szCs w:val="24"/>
      <w:lang w:val="en-US" w:eastAsia="en-US"/>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ind w:left="794" w:right="1208"/>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ind w:left="1270" w:hanging="476"/>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ind w:left="1264" w:right="1264"/>
      <w:outlineLvl w:val="3"/>
    </w:pPr>
    <w:rPr>
      <w:i/>
      <w:spacing w:val="3"/>
    </w:rPr>
  </w:style>
  <w:style w:type="paragraph" w:customStyle="1" w:styleId="H56">
    <w:name w:val="_ H_5/6"/>
    <w:basedOn w:val="Normal"/>
    <w:next w:val="DualTxt"/>
    <w:pPr>
      <w:keepNext/>
      <w:keepLines/>
      <w:tabs>
        <w:tab w:val="right" w:pos="360"/>
      </w:tabs>
      <w:suppressAutoHyphens/>
      <w:ind w:left="1264" w:right="1264"/>
      <w:outlineLvl w:val="4"/>
    </w:pPr>
    <w:rPr>
      <w:u w:val="single"/>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5"/>
      <w:w w:val="130"/>
      <w:position w:val="-4"/>
      <w:sz w:val="17"/>
      <w:vertAlign w:val="superscript"/>
    </w:rPr>
  </w:style>
  <w:style w:type="character" w:styleId="EndnoteReference">
    <w:name w:val="endnote reference"/>
    <w:basedOn w:val="FootnoteReference"/>
    <w:semiHidden/>
    <w:rPr>
      <w:rFonts w:ascii="Times New Roman" w:hAnsi="Times New Roman"/>
      <w:spacing w:val="-5"/>
      <w:w w:val="130"/>
      <w:position w:val="-4"/>
      <w:sz w:val="17"/>
      <w:vertAlign w:val="superscript"/>
    </w:rPr>
  </w:style>
  <w:style w:type="paragraph" w:styleId="FootnoteText">
    <w:name w:val="footnote text"/>
    <w:basedOn w:val="Normal"/>
    <w:semiHidden/>
    <w:pPr>
      <w:widowControl w:val="0"/>
      <w:tabs>
        <w:tab w:val="right" w:pos="418"/>
      </w:tabs>
      <w:spacing w:line="210" w:lineRule="exact"/>
      <w:ind w:left="992" w:right="1208" w:hanging="159"/>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styleId="BodyTextIndent">
    <w:name w:val="Body Text Indent"/>
    <w:basedOn w:val="Normal"/>
    <w:semiHidden/>
    <w:pPr>
      <w:spacing w:after="120" w:line="240" w:lineRule="auto"/>
      <w:ind w:left="360"/>
    </w:pPr>
    <w:rPr>
      <w:spacing w:val="0"/>
      <w:w w:val="100"/>
      <w:kern w:val="0"/>
      <w:lang w:val="en-US" w:eastAsia="en-US"/>
    </w:rPr>
  </w:style>
  <w:style w:type="paragraph" w:styleId="Title">
    <w:name w:val="Title"/>
    <w:basedOn w:val="Normal"/>
    <w:qFormat/>
    <w:pPr>
      <w:tabs>
        <w:tab w:val="left" w:pos="400"/>
      </w:tabs>
      <w:spacing w:line="240" w:lineRule="auto"/>
      <w:ind w:left="400" w:hanging="400"/>
      <w:jc w:val="center"/>
    </w:pPr>
    <w:rPr>
      <w:rFonts w:ascii="Tahoma" w:hAnsi="Tahoma"/>
      <w:b/>
      <w:spacing w:val="0"/>
      <w:w w:val="100"/>
      <w:kern w:val="0"/>
      <w:lang w:val="en-US" w:eastAsia="en-US"/>
    </w:rPr>
  </w:style>
  <w:style w:type="paragraph" w:styleId="BlockText">
    <w:name w:val="Block Text"/>
    <w:basedOn w:val="Normal"/>
    <w:semiHidden/>
    <w:pPr>
      <w:pBdr>
        <w:top w:val="single" w:sz="4" w:space="1" w:color="auto"/>
        <w:left w:val="single" w:sz="4" w:space="31" w:color="auto"/>
        <w:bottom w:val="single" w:sz="4" w:space="1" w:color="auto"/>
        <w:right w:val="single" w:sz="4" w:space="31" w:color="auto"/>
      </w:pBdr>
      <w:spacing w:line="240" w:lineRule="auto"/>
      <w:ind w:left="720" w:right="720"/>
      <w:jc w:val="both"/>
    </w:pPr>
    <w:rPr>
      <w:rFonts w:ascii="Tahoma" w:hAnsi="Tahoma"/>
      <w:bCs/>
      <w:i/>
      <w:iCs/>
      <w:spacing w:val="0"/>
      <w:w w:val="100"/>
      <w:kern w:val="0"/>
      <w:lang w:val="en-US" w:eastAsia="en-US"/>
    </w:rPr>
  </w:style>
  <w:style w:type="paragraph" w:styleId="BodyTextIndent2">
    <w:name w:val="Body Text Indent 2"/>
    <w:basedOn w:val="Normal"/>
    <w:semiHidden/>
    <w:pPr>
      <w:spacing w:line="240" w:lineRule="auto"/>
      <w:ind w:left="400" w:hanging="400"/>
      <w:jc w:val="both"/>
    </w:pPr>
    <w:rPr>
      <w:spacing w:val="0"/>
      <w:w w:val="100"/>
      <w:kern w:val="0"/>
      <w:lang w:eastAsia="en-US"/>
    </w:rPr>
  </w:style>
  <w:style w:type="paragraph" w:styleId="BodyTextIndent3">
    <w:name w:val="Body Text Indent 3"/>
    <w:basedOn w:val="Normal"/>
    <w:semiHidden/>
    <w:pPr>
      <w:spacing w:after="120" w:line="240" w:lineRule="auto"/>
      <w:ind w:left="360"/>
    </w:pPr>
    <w:rPr>
      <w:spacing w:val="0"/>
      <w:w w:val="100"/>
      <w:kern w:val="0"/>
      <w:sz w:val="16"/>
      <w:szCs w:val="16"/>
      <w:lang w:val="en-US" w:eastAsia="en-US"/>
    </w:rPr>
  </w:style>
  <w:style w:type="paragraph" w:styleId="Subtitle">
    <w:name w:val="Subtitle"/>
    <w:basedOn w:val="Normal"/>
    <w:qFormat/>
    <w:pPr>
      <w:autoSpaceDE w:val="0"/>
      <w:autoSpaceDN w:val="0"/>
      <w:spacing w:line="240" w:lineRule="auto"/>
      <w:jc w:val="center"/>
    </w:pPr>
    <w:rPr>
      <w:rFonts w:ascii="Tahoma" w:hAnsi="Tahoma" w:cs="Tahoma"/>
      <w:b/>
      <w:bCs/>
      <w:spacing w:val="0"/>
      <w:w w:val="100"/>
      <w:kern w:val="0"/>
      <w:lang w:val="en-US" w:eastAsia="en-US"/>
    </w:rPr>
  </w:style>
  <w:style w:type="paragraph" w:styleId="BodyText3">
    <w:name w:val="Body Text 3"/>
    <w:basedOn w:val="Normal"/>
    <w:semiHidden/>
    <w:pPr>
      <w:spacing w:line="360" w:lineRule="auto"/>
      <w:jc w:val="both"/>
    </w:pPr>
    <w:rPr>
      <w:b/>
      <w:bCs/>
      <w:spacing w:val="0"/>
      <w:w w:val="100"/>
      <w:kern w:val="0"/>
      <w:sz w:val="24"/>
      <w:szCs w:val="24"/>
      <w:u w:val="single"/>
    </w:rPr>
  </w:style>
  <w:style w:type="paragraph" w:customStyle="1" w:styleId="Level1">
    <w:name w:val="Level 1"/>
    <w:basedOn w:val="Normal"/>
    <w:pPr>
      <w:widowControl w:val="0"/>
      <w:numPr>
        <w:numId w:val="48"/>
      </w:numPr>
      <w:autoSpaceDE w:val="0"/>
      <w:autoSpaceDN w:val="0"/>
      <w:adjustRightInd w:val="0"/>
      <w:spacing w:line="240" w:lineRule="auto"/>
      <w:outlineLvl w:val="0"/>
    </w:pPr>
    <w:rPr>
      <w:spacing w:val="0"/>
      <w:w w:val="100"/>
      <w:kern w:val="0"/>
      <w:lang w:val="en-US" w:eastAsia="en-US"/>
    </w:rPr>
  </w:style>
  <w:style w:type="paragraph" w:styleId="TOC1">
    <w:name w:val="toc 1"/>
    <w:basedOn w:val="Normal"/>
    <w:next w:val="Normal"/>
    <w:autoRedefine/>
    <w:semiHidden/>
    <w:pPr>
      <w:tabs>
        <w:tab w:val="left" w:pos="1831"/>
        <w:tab w:val="right" w:leader="dot" w:pos="9072"/>
      </w:tabs>
      <w:spacing w:line="240" w:lineRule="auto"/>
      <w:ind w:left="1264" w:right="1701"/>
    </w:pPr>
    <w:rPr>
      <w:noProof/>
    </w:rPr>
  </w:style>
  <w:style w:type="paragraph" w:customStyle="1" w:styleId="num">
    <w:name w:val="num"/>
    <w:basedOn w:val="SingleTxt"/>
    <w:pPr>
      <w:numPr>
        <w:numId w:val="394"/>
      </w:numPr>
      <w:ind w:left="1264" w:right="1264" w:firstLine="0"/>
    </w:pPr>
  </w:style>
  <w:style w:type="paragraph" w:customStyle="1" w:styleId="table">
    <w:name w:val="table"/>
    <w:basedOn w:val="SingleTxt"/>
    <w:pPr>
      <w:keepNext/>
      <w:ind w:left="1264" w:right="1264"/>
    </w:pPr>
    <w:rPr>
      <w:b/>
      <w:bCs/>
    </w:rPr>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none"/>
    </w:rPr>
  </w:style>
  <w:style w:type="paragraph" w:styleId="TableofFigures">
    <w:name w:val="table of figures"/>
    <w:basedOn w:val="Normal"/>
    <w:next w:val="Normal"/>
    <w:semiHidden/>
    <w:pPr>
      <w:ind w:left="400" w:hanging="400"/>
    </w:pPr>
  </w:style>
  <w:style w:type="paragraph" w:styleId="BalloonText">
    <w:name w:val="Balloon Text"/>
    <w:basedOn w:val="Normal"/>
    <w:semiHidden/>
    <w:rPr>
      <w:rFonts w:ascii="Tahoma" w:hAnsi="Tahoma" w:cs="Tahoma"/>
      <w:sz w:val="16"/>
      <w:szCs w:val="16"/>
    </w:rPr>
  </w:style>
  <w:style w:type="character" w:styleId="FollowedHyperlink">
    <w:name w:val="Followed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scb.gov.ph/stats/statwatch.asp" TargetMode="External"/><Relationship Id="rId26" Type="http://schemas.openxmlformats.org/officeDocument/2006/relationships/hyperlink" Target="http://www.census.gov.ph"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scb.gov.ph" TargetMode="External"/><Relationship Id="rId25" Type="http://schemas.openxmlformats.org/officeDocument/2006/relationships/hyperlink" Target="http://www.census.gov.ph" TargetMode="External"/><Relationship Id="rId33" Type="http://schemas.openxmlformats.org/officeDocument/2006/relationships/hyperlink" Target="http://www.devdata.worldbank.org/externa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census.gov.ph" TargetMode="External"/><Relationship Id="rId29" Type="http://schemas.openxmlformats.org/officeDocument/2006/relationships/hyperlink" Target="http://www.bsp.gov.ph/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ensus.gov.ph" TargetMode="External"/><Relationship Id="rId32" Type="http://schemas.openxmlformats.org/officeDocument/2006/relationships/hyperlink" Target="http://www.visayanforum.org/misc/resource/archives/article16.html" TargetMode="External"/><Relationship Id="rId37"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manila-online.net/bles" TargetMode="External"/><Relationship Id="rId23" Type="http://schemas.openxmlformats.org/officeDocument/2006/relationships/hyperlink" Target="http://www.census.gov.ph" TargetMode="External"/><Relationship Id="rId28" Type="http://schemas.openxmlformats.org/officeDocument/2006/relationships/hyperlink" Target="http://www.inq7.net" TargetMode="External"/><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nscb.gov.ph/stats/wmfact.asp" TargetMode="External"/><Relationship Id="rId31" Type="http://schemas.openxmlformats.org/officeDocument/2006/relationships/hyperlink" Target="http://www.inq7.ne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siafoundation.org" TargetMode="External"/><Relationship Id="rId22" Type="http://schemas.openxmlformats.org/officeDocument/2006/relationships/hyperlink" Target="http://www.census.gov.ph" TargetMode="External"/><Relationship Id="rId27" Type="http://schemas.openxmlformats.org/officeDocument/2006/relationships/hyperlink" Target="http://www.census.gov.ph" TargetMode="External"/><Relationship Id="rId30" Type="http://schemas.openxmlformats.org/officeDocument/2006/relationships/hyperlink" Target="http://www.unescap.org/huset/women/reports.philippines.pdf" TargetMode="External"/><Relationship Id="rId35"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85018</Words>
  <Characters>484608</Characters>
  <Application>Microsoft Office Word</Application>
  <DocSecurity>4</DocSecurity>
  <Lines>4038</Lines>
  <Paragraphs>969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595132</CharactersWithSpaces>
  <SharedDoc>false</SharedDoc>
  <HLinks>
    <vt:vector size="444" baseType="variant">
      <vt:variant>
        <vt:i4>5767172</vt:i4>
      </vt:variant>
      <vt:variant>
        <vt:i4>381</vt:i4>
      </vt:variant>
      <vt:variant>
        <vt:i4>0</vt:i4>
      </vt:variant>
      <vt:variant>
        <vt:i4>5</vt:i4>
      </vt:variant>
      <vt:variant>
        <vt:lpwstr>http://www.devdata.worldbank.org/external</vt:lpwstr>
      </vt:variant>
      <vt:variant>
        <vt:lpwstr/>
      </vt:variant>
      <vt:variant>
        <vt:i4>6094937</vt:i4>
      </vt:variant>
      <vt:variant>
        <vt:i4>378</vt:i4>
      </vt:variant>
      <vt:variant>
        <vt:i4>0</vt:i4>
      </vt:variant>
      <vt:variant>
        <vt:i4>5</vt:i4>
      </vt:variant>
      <vt:variant>
        <vt:lpwstr>http://www.visayanforum.org/misc/resource/archives/article16.html</vt:lpwstr>
      </vt:variant>
      <vt:variant>
        <vt:lpwstr/>
      </vt:variant>
      <vt:variant>
        <vt:i4>5701651</vt:i4>
      </vt:variant>
      <vt:variant>
        <vt:i4>375</vt:i4>
      </vt:variant>
      <vt:variant>
        <vt:i4>0</vt:i4>
      </vt:variant>
      <vt:variant>
        <vt:i4>5</vt:i4>
      </vt:variant>
      <vt:variant>
        <vt:lpwstr>http://www.inq7.net/</vt:lpwstr>
      </vt:variant>
      <vt:variant>
        <vt:lpwstr/>
      </vt:variant>
      <vt:variant>
        <vt:i4>3342375</vt:i4>
      </vt:variant>
      <vt:variant>
        <vt:i4>372</vt:i4>
      </vt:variant>
      <vt:variant>
        <vt:i4>0</vt:i4>
      </vt:variant>
      <vt:variant>
        <vt:i4>5</vt:i4>
      </vt:variant>
      <vt:variant>
        <vt:lpwstr>http://www.unescap.org/huset/women/reports.philippines.pdf</vt:lpwstr>
      </vt:variant>
      <vt:variant>
        <vt:lpwstr/>
      </vt:variant>
      <vt:variant>
        <vt:i4>1966152</vt:i4>
      </vt:variant>
      <vt:variant>
        <vt:i4>369</vt:i4>
      </vt:variant>
      <vt:variant>
        <vt:i4>0</vt:i4>
      </vt:variant>
      <vt:variant>
        <vt:i4>5</vt:i4>
      </vt:variant>
      <vt:variant>
        <vt:lpwstr>http://www.bsp.gov.ph/statistics</vt:lpwstr>
      </vt:variant>
      <vt:variant>
        <vt:lpwstr/>
      </vt:variant>
      <vt:variant>
        <vt:i4>5701651</vt:i4>
      </vt:variant>
      <vt:variant>
        <vt:i4>366</vt:i4>
      </vt:variant>
      <vt:variant>
        <vt:i4>0</vt:i4>
      </vt:variant>
      <vt:variant>
        <vt:i4>5</vt:i4>
      </vt:variant>
      <vt:variant>
        <vt:lpwstr>http://www.inq7.net/</vt:lpwstr>
      </vt:variant>
      <vt:variant>
        <vt:lpwstr/>
      </vt:variant>
      <vt:variant>
        <vt:i4>5505108</vt:i4>
      </vt:variant>
      <vt:variant>
        <vt:i4>363</vt:i4>
      </vt:variant>
      <vt:variant>
        <vt:i4>0</vt:i4>
      </vt:variant>
      <vt:variant>
        <vt:i4>5</vt:i4>
      </vt:variant>
      <vt:variant>
        <vt:lpwstr>http://www.census.gov.ph/</vt:lpwstr>
      </vt:variant>
      <vt:variant>
        <vt:lpwstr/>
      </vt:variant>
      <vt:variant>
        <vt:i4>5505108</vt:i4>
      </vt:variant>
      <vt:variant>
        <vt:i4>360</vt:i4>
      </vt:variant>
      <vt:variant>
        <vt:i4>0</vt:i4>
      </vt:variant>
      <vt:variant>
        <vt:i4>5</vt:i4>
      </vt:variant>
      <vt:variant>
        <vt:lpwstr>http://www.census.gov.ph/</vt:lpwstr>
      </vt:variant>
      <vt:variant>
        <vt:lpwstr/>
      </vt:variant>
      <vt:variant>
        <vt:i4>5505108</vt:i4>
      </vt:variant>
      <vt:variant>
        <vt:i4>357</vt:i4>
      </vt:variant>
      <vt:variant>
        <vt:i4>0</vt:i4>
      </vt:variant>
      <vt:variant>
        <vt:i4>5</vt:i4>
      </vt:variant>
      <vt:variant>
        <vt:lpwstr>http://www.census.gov.ph/</vt:lpwstr>
      </vt:variant>
      <vt:variant>
        <vt:lpwstr/>
      </vt:variant>
      <vt:variant>
        <vt:i4>5505108</vt:i4>
      </vt:variant>
      <vt:variant>
        <vt:i4>354</vt:i4>
      </vt:variant>
      <vt:variant>
        <vt:i4>0</vt:i4>
      </vt:variant>
      <vt:variant>
        <vt:i4>5</vt:i4>
      </vt:variant>
      <vt:variant>
        <vt:lpwstr>http://www.census.gov.ph/</vt:lpwstr>
      </vt:variant>
      <vt:variant>
        <vt:lpwstr/>
      </vt:variant>
      <vt:variant>
        <vt:i4>5505108</vt:i4>
      </vt:variant>
      <vt:variant>
        <vt:i4>351</vt:i4>
      </vt:variant>
      <vt:variant>
        <vt:i4>0</vt:i4>
      </vt:variant>
      <vt:variant>
        <vt:i4>5</vt:i4>
      </vt:variant>
      <vt:variant>
        <vt:lpwstr>http://www.census.gov.ph/</vt:lpwstr>
      </vt:variant>
      <vt:variant>
        <vt:lpwstr/>
      </vt:variant>
      <vt:variant>
        <vt:i4>5505108</vt:i4>
      </vt:variant>
      <vt:variant>
        <vt:i4>348</vt:i4>
      </vt:variant>
      <vt:variant>
        <vt:i4>0</vt:i4>
      </vt:variant>
      <vt:variant>
        <vt:i4>5</vt:i4>
      </vt:variant>
      <vt:variant>
        <vt:lpwstr>http://www.census.gov.ph/</vt:lpwstr>
      </vt:variant>
      <vt:variant>
        <vt:lpwstr/>
      </vt:variant>
      <vt:variant>
        <vt:i4>5505108</vt:i4>
      </vt:variant>
      <vt:variant>
        <vt:i4>345</vt:i4>
      </vt:variant>
      <vt:variant>
        <vt:i4>0</vt:i4>
      </vt:variant>
      <vt:variant>
        <vt:i4>5</vt:i4>
      </vt:variant>
      <vt:variant>
        <vt:lpwstr>http://www.census.gov.ph/</vt:lpwstr>
      </vt:variant>
      <vt:variant>
        <vt:lpwstr/>
      </vt:variant>
      <vt:variant>
        <vt:i4>5505108</vt:i4>
      </vt:variant>
      <vt:variant>
        <vt:i4>342</vt:i4>
      </vt:variant>
      <vt:variant>
        <vt:i4>0</vt:i4>
      </vt:variant>
      <vt:variant>
        <vt:i4>5</vt:i4>
      </vt:variant>
      <vt:variant>
        <vt:lpwstr>http://www.census.gov.ph/</vt:lpwstr>
      </vt:variant>
      <vt:variant>
        <vt:lpwstr/>
      </vt:variant>
      <vt:variant>
        <vt:i4>7274553</vt:i4>
      </vt:variant>
      <vt:variant>
        <vt:i4>339</vt:i4>
      </vt:variant>
      <vt:variant>
        <vt:i4>0</vt:i4>
      </vt:variant>
      <vt:variant>
        <vt:i4>5</vt:i4>
      </vt:variant>
      <vt:variant>
        <vt:lpwstr>http://www.nscb.gov.ph/stats/wmfact.asp</vt:lpwstr>
      </vt:variant>
      <vt:variant>
        <vt:lpwstr/>
      </vt:variant>
      <vt:variant>
        <vt:i4>2621567</vt:i4>
      </vt:variant>
      <vt:variant>
        <vt:i4>336</vt:i4>
      </vt:variant>
      <vt:variant>
        <vt:i4>0</vt:i4>
      </vt:variant>
      <vt:variant>
        <vt:i4>5</vt:i4>
      </vt:variant>
      <vt:variant>
        <vt:lpwstr>http://www.nscb.gov.ph/stats/statwatch.asp</vt:lpwstr>
      </vt:variant>
      <vt:variant>
        <vt:lpwstr/>
      </vt:variant>
      <vt:variant>
        <vt:i4>2162720</vt:i4>
      </vt:variant>
      <vt:variant>
        <vt:i4>333</vt:i4>
      </vt:variant>
      <vt:variant>
        <vt:i4>0</vt:i4>
      </vt:variant>
      <vt:variant>
        <vt:i4>5</vt:i4>
      </vt:variant>
      <vt:variant>
        <vt:lpwstr>http://www.nscb.gov.ph/</vt:lpwstr>
      </vt:variant>
      <vt:variant>
        <vt:lpwstr/>
      </vt:variant>
      <vt:variant>
        <vt:i4>1441884</vt:i4>
      </vt:variant>
      <vt:variant>
        <vt:i4>330</vt:i4>
      </vt:variant>
      <vt:variant>
        <vt:i4>0</vt:i4>
      </vt:variant>
      <vt:variant>
        <vt:i4>5</vt:i4>
      </vt:variant>
      <vt:variant>
        <vt:lpwstr>http://www.manila-online.net/bles</vt:lpwstr>
      </vt:variant>
      <vt:variant>
        <vt:lpwstr/>
      </vt:variant>
      <vt:variant>
        <vt:i4>1441884</vt:i4>
      </vt:variant>
      <vt:variant>
        <vt:i4>327</vt:i4>
      </vt:variant>
      <vt:variant>
        <vt:i4>0</vt:i4>
      </vt:variant>
      <vt:variant>
        <vt:i4>5</vt:i4>
      </vt:variant>
      <vt:variant>
        <vt:lpwstr>http://www.manila-online.net/bles</vt:lpwstr>
      </vt:variant>
      <vt:variant>
        <vt:lpwstr/>
      </vt:variant>
      <vt:variant>
        <vt:i4>3932205</vt:i4>
      </vt:variant>
      <vt:variant>
        <vt:i4>324</vt:i4>
      </vt:variant>
      <vt:variant>
        <vt:i4>0</vt:i4>
      </vt:variant>
      <vt:variant>
        <vt:i4>5</vt:i4>
      </vt:variant>
      <vt:variant>
        <vt:lpwstr>http://www.asiafoundation.org/</vt:lpwstr>
      </vt:variant>
      <vt:variant>
        <vt:lpwstr/>
      </vt:variant>
      <vt:variant>
        <vt:i4>1507388</vt:i4>
      </vt:variant>
      <vt:variant>
        <vt:i4>317</vt:i4>
      </vt:variant>
      <vt:variant>
        <vt:i4>0</vt:i4>
      </vt:variant>
      <vt:variant>
        <vt:i4>5</vt:i4>
      </vt:variant>
      <vt:variant>
        <vt:lpwstr/>
      </vt:variant>
      <vt:variant>
        <vt:lpwstr>_Toc85175507</vt:lpwstr>
      </vt:variant>
      <vt:variant>
        <vt:i4>1441852</vt:i4>
      </vt:variant>
      <vt:variant>
        <vt:i4>311</vt:i4>
      </vt:variant>
      <vt:variant>
        <vt:i4>0</vt:i4>
      </vt:variant>
      <vt:variant>
        <vt:i4>5</vt:i4>
      </vt:variant>
      <vt:variant>
        <vt:lpwstr/>
      </vt:variant>
      <vt:variant>
        <vt:lpwstr>_Toc85175506</vt:lpwstr>
      </vt:variant>
      <vt:variant>
        <vt:i4>1376316</vt:i4>
      </vt:variant>
      <vt:variant>
        <vt:i4>305</vt:i4>
      </vt:variant>
      <vt:variant>
        <vt:i4>0</vt:i4>
      </vt:variant>
      <vt:variant>
        <vt:i4>5</vt:i4>
      </vt:variant>
      <vt:variant>
        <vt:lpwstr/>
      </vt:variant>
      <vt:variant>
        <vt:lpwstr>_Toc85175505</vt:lpwstr>
      </vt:variant>
      <vt:variant>
        <vt:i4>1310780</vt:i4>
      </vt:variant>
      <vt:variant>
        <vt:i4>299</vt:i4>
      </vt:variant>
      <vt:variant>
        <vt:i4>0</vt:i4>
      </vt:variant>
      <vt:variant>
        <vt:i4>5</vt:i4>
      </vt:variant>
      <vt:variant>
        <vt:lpwstr/>
      </vt:variant>
      <vt:variant>
        <vt:lpwstr>_Toc85175504</vt:lpwstr>
      </vt:variant>
      <vt:variant>
        <vt:i4>1245244</vt:i4>
      </vt:variant>
      <vt:variant>
        <vt:i4>293</vt:i4>
      </vt:variant>
      <vt:variant>
        <vt:i4>0</vt:i4>
      </vt:variant>
      <vt:variant>
        <vt:i4>5</vt:i4>
      </vt:variant>
      <vt:variant>
        <vt:lpwstr/>
      </vt:variant>
      <vt:variant>
        <vt:lpwstr>_Toc85175503</vt:lpwstr>
      </vt:variant>
      <vt:variant>
        <vt:i4>1179708</vt:i4>
      </vt:variant>
      <vt:variant>
        <vt:i4>287</vt:i4>
      </vt:variant>
      <vt:variant>
        <vt:i4>0</vt:i4>
      </vt:variant>
      <vt:variant>
        <vt:i4>5</vt:i4>
      </vt:variant>
      <vt:variant>
        <vt:lpwstr/>
      </vt:variant>
      <vt:variant>
        <vt:lpwstr>_Toc85175502</vt:lpwstr>
      </vt:variant>
      <vt:variant>
        <vt:i4>1114172</vt:i4>
      </vt:variant>
      <vt:variant>
        <vt:i4>281</vt:i4>
      </vt:variant>
      <vt:variant>
        <vt:i4>0</vt:i4>
      </vt:variant>
      <vt:variant>
        <vt:i4>5</vt:i4>
      </vt:variant>
      <vt:variant>
        <vt:lpwstr/>
      </vt:variant>
      <vt:variant>
        <vt:lpwstr>_Toc85175501</vt:lpwstr>
      </vt:variant>
      <vt:variant>
        <vt:i4>1048636</vt:i4>
      </vt:variant>
      <vt:variant>
        <vt:i4>275</vt:i4>
      </vt:variant>
      <vt:variant>
        <vt:i4>0</vt:i4>
      </vt:variant>
      <vt:variant>
        <vt:i4>5</vt:i4>
      </vt:variant>
      <vt:variant>
        <vt:lpwstr/>
      </vt:variant>
      <vt:variant>
        <vt:lpwstr>_Toc85175500</vt:lpwstr>
      </vt:variant>
      <vt:variant>
        <vt:i4>1572917</vt:i4>
      </vt:variant>
      <vt:variant>
        <vt:i4>269</vt:i4>
      </vt:variant>
      <vt:variant>
        <vt:i4>0</vt:i4>
      </vt:variant>
      <vt:variant>
        <vt:i4>5</vt:i4>
      </vt:variant>
      <vt:variant>
        <vt:lpwstr/>
      </vt:variant>
      <vt:variant>
        <vt:lpwstr>_Toc85175499</vt:lpwstr>
      </vt:variant>
      <vt:variant>
        <vt:i4>1638453</vt:i4>
      </vt:variant>
      <vt:variant>
        <vt:i4>263</vt:i4>
      </vt:variant>
      <vt:variant>
        <vt:i4>0</vt:i4>
      </vt:variant>
      <vt:variant>
        <vt:i4>5</vt:i4>
      </vt:variant>
      <vt:variant>
        <vt:lpwstr/>
      </vt:variant>
      <vt:variant>
        <vt:lpwstr>_Toc85175498</vt:lpwstr>
      </vt:variant>
      <vt:variant>
        <vt:i4>1441845</vt:i4>
      </vt:variant>
      <vt:variant>
        <vt:i4>257</vt:i4>
      </vt:variant>
      <vt:variant>
        <vt:i4>0</vt:i4>
      </vt:variant>
      <vt:variant>
        <vt:i4>5</vt:i4>
      </vt:variant>
      <vt:variant>
        <vt:lpwstr/>
      </vt:variant>
      <vt:variant>
        <vt:lpwstr>_Toc85175497</vt:lpwstr>
      </vt:variant>
      <vt:variant>
        <vt:i4>1507381</vt:i4>
      </vt:variant>
      <vt:variant>
        <vt:i4>251</vt:i4>
      </vt:variant>
      <vt:variant>
        <vt:i4>0</vt:i4>
      </vt:variant>
      <vt:variant>
        <vt:i4>5</vt:i4>
      </vt:variant>
      <vt:variant>
        <vt:lpwstr/>
      </vt:variant>
      <vt:variant>
        <vt:lpwstr>_Toc85175496</vt:lpwstr>
      </vt:variant>
      <vt:variant>
        <vt:i4>1310773</vt:i4>
      </vt:variant>
      <vt:variant>
        <vt:i4>245</vt:i4>
      </vt:variant>
      <vt:variant>
        <vt:i4>0</vt:i4>
      </vt:variant>
      <vt:variant>
        <vt:i4>5</vt:i4>
      </vt:variant>
      <vt:variant>
        <vt:lpwstr/>
      </vt:variant>
      <vt:variant>
        <vt:lpwstr>_Toc85175495</vt:lpwstr>
      </vt:variant>
      <vt:variant>
        <vt:i4>1376309</vt:i4>
      </vt:variant>
      <vt:variant>
        <vt:i4>239</vt:i4>
      </vt:variant>
      <vt:variant>
        <vt:i4>0</vt:i4>
      </vt:variant>
      <vt:variant>
        <vt:i4>5</vt:i4>
      </vt:variant>
      <vt:variant>
        <vt:lpwstr/>
      </vt:variant>
      <vt:variant>
        <vt:lpwstr>_Toc85175494</vt:lpwstr>
      </vt:variant>
      <vt:variant>
        <vt:i4>1179701</vt:i4>
      </vt:variant>
      <vt:variant>
        <vt:i4>233</vt:i4>
      </vt:variant>
      <vt:variant>
        <vt:i4>0</vt:i4>
      </vt:variant>
      <vt:variant>
        <vt:i4>5</vt:i4>
      </vt:variant>
      <vt:variant>
        <vt:lpwstr/>
      </vt:variant>
      <vt:variant>
        <vt:lpwstr>_Toc85175493</vt:lpwstr>
      </vt:variant>
      <vt:variant>
        <vt:i4>1245237</vt:i4>
      </vt:variant>
      <vt:variant>
        <vt:i4>227</vt:i4>
      </vt:variant>
      <vt:variant>
        <vt:i4>0</vt:i4>
      </vt:variant>
      <vt:variant>
        <vt:i4>5</vt:i4>
      </vt:variant>
      <vt:variant>
        <vt:lpwstr/>
      </vt:variant>
      <vt:variant>
        <vt:lpwstr>_Toc85175492</vt:lpwstr>
      </vt:variant>
      <vt:variant>
        <vt:i4>1966139</vt:i4>
      </vt:variant>
      <vt:variant>
        <vt:i4>218</vt:i4>
      </vt:variant>
      <vt:variant>
        <vt:i4>0</vt:i4>
      </vt:variant>
      <vt:variant>
        <vt:i4>5</vt:i4>
      </vt:variant>
      <vt:variant>
        <vt:lpwstr/>
      </vt:variant>
      <vt:variant>
        <vt:lpwstr>_Toc85174962</vt:lpwstr>
      </vt:variant>
      <vt:variant>
        <vt:i4>1769528</vt:i4>
      </vt:variant>
      <vt:variant>
        <vt:i4>212</vt:i4>
      </vt:variant>
      <vt:variant>
        <vt:i4>0</vt:i4>
      </vt:variant>
      <vt:variant>
        <vt:i4>5</vt:i4>
      </vt:variant>
      <vt:variant>
        <vt:lpwstr/>
      </vt:variant>
      <vt:variant>
        <vt:lpwstr>_Toc85174957</vt:lpwstr>
      </vt:variant>
      <vt:variant>
        <vt:i4>1703992</vt:i4>
      </vt:variant>
      <vt:variant>
        <vt:i4>206</vt:i4>
      </vt:variant>
      <vt:variant>
        <vt:i4>0</vt:i4>
      </vt:variant>
      <vt:variant>
        <vt:i4>5</vt:i4>
      </vt:variant>
      <vt:variant>
        <vt:lpwstr/>
      </vt:variant>
      <vt:variant>
        <vt:lpwstr>_Toc85174956</vt:lpwstr>
      </vt:variant>
      <vt:variant>
        <vt:i4>1638456</vt:i4>
      </vt:variant>
      <vt:variant>
        <vt:i4>200</vt:i4>
      </vt:variant>
      <vt:variant>
        <vt:i4>0</vt:i4>
      </vt:variant>
      <vt:variant>
        <vt:i4>5</vt:i4>
      </vt:variant>
      <vt:variant>
        <vt:lpwstr/>
      </vt:variant>
      <vt:variant>
        <vt:lpwstr>_Toc85174955</vt:lpwstr>
      </vt:variant>
      <vt:variant>
        <vt:i4>1966136</vt:i4>
      </vt:variant>
      <vt:variant>
        <vt:i4>194</vt:i4>
      </vt:variant>
      <vt:variant>
        <vt:i4>0</vt:i4>
      </vt:variant>
      <vt:variant>
        <vt:i4>5</vt:i4>
      </vt:variant>
      <vt:variant>
        <vt:lpwstr/>
      </vt:variant>
      <vt:variant>
        <vt:lpwstr>_Toc85174952</vt:lpwstr>
      </vt:variant>
      <vt:variant>
        <vt:i4>1310777</vt:i4>
      </vt:variant>
      <vt:variant>
        <vt:i4>188</vt:i4>
      </vt:variant>
      <vt:variant>
        <vt:i4>0</vt:i4>
      </vt:variant>
      <vt:variant>
        <vt:i4>5</vt:i4>
      </vt:variant>
      <vt:variant>
        <vt:lpwstr/>
      </vt:variant>
      <vt:variant>
        <vt:lpwstr>_Toc85174948</vt:lpwstr>
      </vt:variant>
      <vt:variant>
        <vt:i4>1572921</vt:i4>
      </vt:variant>
      <vt:variant>
        <vt:i4>182</vt:i4>
      </vt:variant>
      <vt:variant>
        <vt:i4>0</vt:i4>
      </vt:variant>
      <vt:variant>
        <vt:i4>5</vt:i4>
      </vt:variant>
      <vt:variant>
        <vt:lpwstr/>
      </vt:variant>
      <vt:variant>
        <vt:lpwstr>_Toc85174944</vt:lpwstr>
      </vt:variant>
      <vt:variant>
        <vt:i4>1835065</vt:i4>
      </vt:variant>
      <vt:variant>
        <vt:i4>176</vt:i4>
      </vt:variant>
      <vt:variant>
        <vt:i4>0</vt:i4>
      </vt:variant>
      <vt:variant>
        <vt:i4>5</vt:i4>
      </vt:variant>
      <vt:variant>
        <vt:lpwstr/>
      </vt:variant>
      <vt:variant>
        <vt:lpwstr>_Toc85174940</vt:lpwstr>
      </vt:variant>
      <vt:variant>
        <vt:i4>1703998</vt:i4>
      </vt:variant>
      <vt:variant>
        <vt:i4>170</vt:i4>
      </vt:variant>
      <vt:variant>
        <vt:i4>0</vt:i4>
      </vt:variant>
      <vt:variant>
        <vt:i4>5</vt:i4>
      </vt:variant>
      <vt:variant>
        <vt:lpwstr/>
      </vt:variant>
      <vt:variant>
        <vt:lpwstr>_Toc85174936</vt:lpwstr>
      </vt:variant>
      <vt:variant>
        <vt:i4>1966142</vt:i4>
      </vt:variant>
      <vt:variant>
        <vt:i4>164</vt:i4>
      </vt:variant>
      <vt:variant>
        <vt:i4>0</vt:i4>
      </vt:variant>
      <vt:variant>
        <vt:i4>5</vt:i4>
      </vt:variant>
      <vt:variant>
        <vt:lpwstr/>
      </vt:variant>
      <vt:variant>
        <vt:lpwstr>_Toc85174932</vt:lpwstr>
      </vt:variant>
      <vt:variant>
        <vt:i4>1376319</vt:i4>
      </vt:variant>
      <vt:variant>
        <vt:i4>158</vt:i4>
      </vt:variant>
      <vt:variant>
        <vt:i4>0</vt:i4>
      </vt:variant>
      <vt:variant>
        <vt:i4>5</vt:i4>
      </vt:variant>
      <vt:variant>
        <vt:lpwstr/>
      </vt:variant>
      <vt:variant>
        <vt:lpwstr>_Toc85174929</vt:lpwstr>
      </vt:variant>
      <vt:variant>
        <vt:i4>1638463</vt:i4>
      </vt:variant>
      <vt:variant>
        <vt:i4>152</vt:i4>
      </vt:variant>
      <vt:variant>
        <vt:i4>0</vt:i4>
      </vt:variant>
      <vt:variant>
        <vt:i4>5</vt:i4>
      </vt:variant>
      <vt:variant>
        <vt:lpwstr/>
      </vt:variant>
      <vt:variant>
        <vt:lpwstr>_Toc85174925</vt:lpwstr>
      </vt:variant>
      <vt:variant>
        <vt:i4>1900607</vt:i4>
      </vt:variant>
      <vt:variant>
        <vt:i4>146</vt:i4>
      </vt:variant>
      <vt:variant>
        <vt:i4>0</vt:i4>
      </vt:variant>
      <vt:variant>
        <vt:i4>5</vt:i4>
      </vt:variant>
      <vt:variant>
        <vt:lpwstr/>
      </vt:variant>
      <vt:variant>
        <vt:lpwstr>_Toc85174921</vt:lpwstr>
      </vt:variant>
      <vt:variant>
        <vt:i4>1769532</vt:i4>
      </vt:variant>
      <vt:variant>
        <vt:i4>140</vt:i4>
      </vt:variant>
      <vt:variant>
        <vt:i4>0</vt:i4>
      </vt:variant>
      <vt:variant>
        <vt:i4>5</vt:i4>
      </vt:variant>
      <vt:variant>
        <vt:lpwstr/>
      </vt:variant>
      <vt:variant>
        <vt:lpwstr>_Toc85174917</vt:lpwstr>
      </vt:variant>
      <vt:variant>
        <vt:i4>2031676</vt:i4>
      </vt:variant>
      <vt:variant>
        <vt:i4>134</vt:i4>
      </vt:variant>
      <vt:variant>
        <vt:i4>0</vt:i4>
      </vt:variant>
      <vt:variant>
        <vt:i4>5</vt:i4>
      </vt:variant>
      <vt:variant>
        <vt:lpwstr/>
      </vt:variant>
      <vt:variant>
        <vt:lpwstr>_Toc85174913</vt:lpwstr>
      </vt:variant>
      <vt:variant>
        <vt:i4>1376317</vt:i4>
      </vt:variant>
      <vt:variant>
        <vt:i4>128</vt:i4>
      </vt:variant>
      <vt:variant>
        <vt:i4>0</vt:i4>
      </vt:variant>
      <vt:variant>
        <vt:i4>5</vt:i4>
      </vt:variant>
      <vt:variant>
        <vt:lpwstr/>
      </vt:variant>
      <vt:variant>
        <vt:lpwstr>_Toc85174909</vt:lpwstr>
      </vt:variant>
      <vt:variant>
        <vt:i4>1638461</vt:i4>
      </vt:variant>
      <vt:variant>
        <vt:i4>122</vt:i4>
      </vt:variant>
      <vt:variant>
        <vt:i4>0</vt:i4>
      </vt:variant>
      <vt:variant>
        <vt:i4>5</vt:i4>
      </vt:variant>
      <vt:variant>
        <vt:lpwstr/>
      </vt:variant>
      <vt:variant>
        <vt:lpwstr>_Toc85174905</vt:lpwstr>
      </vt:variant>
      <vt:variant>
        <vt:i4>1900605</vt:i4>
      </vt:variant>
      <vt:variant>
        <vt:i4>116</vt:i4>
      </vt:variant>
      <vt:variant>
        <vt:i4>0</vt:i4>
      </vt:variant>
      <vt:variant>
        <vt:i4>5</vt:i4>
      </vt:variant>
      <vt:variant>
        <vt:lpwstr/>
      </vt:variant>
      <vt:variant>
        <vt:lpwstr>_Toc85174901</vt:lpwstr>
      </vt:variant>
      <vt:variant>
        <vt:i4>1769524</vt:i4>
      </vt:variant>
      <vt:variant>
        <vt:i4>110</vt:i4>
      </vt:variant>
      <vt:variant>
        <vt:i4>0</vt:i4>
      </vt:variant>
      <vt:variant>
        <vt:i4>5</vt:i4>
      </vt:variant>
      <vt:variant>
        <vt:lpwstr/>
      </vt:variant>
      <vt:variant>
        <vt:lpwstr>_Toc85174896</vt:lpwstr>
      </vt:variant>
      <vt:variant>
        <vt:i4>1966132</vt:i4>
      </vt:variant>
      <vt:variant>
        <vt:i4>104</vt:i4>
      </vt:variant>
      <vt:variant>
        <vt:i4>0</vt:i4>
      </vt:variant>
      <vt:variant>
        <vt:i4>5</vt:i4>
      </vt:variant>
      <vt:variant>
        <vt:lpwstr/>
      </vt:variant>
      <vt:variant>
        <vt:lpwstr>_Toc85174893</vt:lpwstr>
      </vt:variant>
      <vt:variant>
        <vt:i4>2031668</vt:i4>
      </vt:variant>
      <vt:variant>
        <vt:i4>98</vt:i4>
      </vt:variant>
      <vt:variant>
        <vt:i4>0</vt:i4>
      </vt:variant>
      <vt:variant>
        <vt:i4>5</vt:i4>
      </vt:variant>
      <vt:variant>
        <vt:lpwstr/>
      </vt:variant>
      <vt:variant>
        <vt:lpwstr>_Toc85174892</vt:lpwstr>
      </vt:variant>
      <vt:variant>
        <vt:i4>1835060</vt:i4>
      </vt:variant>
      <vt:variant>
        <vt:i4>92</vt:i4>
      </vt:variant>
      <vt:variant>
        <vt:i4>0</vt:i4>
      </vt:variant>
      <vt:variant>
        <vt:i4>5</vt:i4>
      </vt:variant>
      <vt:variant>
        <vt:lpwstr/>
      </vt:variant>
      <vt:variant>
        <vt:lpwstr>_Toc85174891</vt:lpwstr>
      </vt:variant>
      <vt:variant>
        <vt:i4>1900596</vt:i4>
      </vt:variant>
      <vt:variant>
        <vt:i4>86</vt:i4>
      </vt:variant>
      <vt:variant>
        <vt:i4>0</vt:i4>
      </vt:variant>
      <vt:variant>
        <vt:i4>5</vt:i4>
      </vt:variant>
      <vt:variant>
        <vt:lpwstr/>
      </vt:variant>
      <vt:variant>
        <vt:lpwstr>_Toc85174890</vt:lpwstr>
      </vt:variant>
      <vt:variant>
        <vt:i4>1310773</vt:i4>
      </vt:variant>
      <vt:variant>
        <vt:i4>80</vt:i4>
      </vt:variant>
      <vt:variant>
        <vt:i4>0</vt:i4>
      </vt:variant>
      <vt:variant>
        <vt:i4>5</vt:i4>
      </vt:variant>
      <vt:variant>
        <vt:lpwstr/>
      </vt:variant>
      <vt:variant>
        <vt:lpwstr>_Toc85174889</vt:lpwstr>
      </vt:variant>
      <vt:variant>
        <vt:i4>1376309</vt:i4>
      </vt:variant>
      <vt:variant>
        <vt:i4>74</vt:i4>
      </vt:variant>
      <vt:variant>
        <vt:i4>0</vt:i4>
      </vt:variant>
      <vt:variant>
        <vt:i4>5</vt:i4>
      </vt:variant>
      <vt:variant>
        <vt:lpwstr/>
      </vt:variant>
      <vt:variant>
        <vt:lpwstr>_Toc85174888</vt:lpwstr>
      </vt:variant>
      <vt:variant>
        <vt:i4>1703989</vt:i4>
      </vt:variant>
      <vt:variant>
        <vt:i4>68</vt:i4>
      </vt:variant>
      <vt:variant>
        <vt:i4>0</vt:i4>
      </vt:variant>
      <vt:variant>
        <vt:i4>5</vt:i4>
      </vt:variant>
      <vt:variant>
        <vt:lpwstr/>
      </vt:variant>
      <vt:variant>
        <vt:lpwstr>_Toc85174887</vt:lpwstr>
      </vt:variant>
      <vt:variant>
        <vt:i4>1769525</vt:i4>
      </vt:variant>
      <vt:variant>
        <vt:i4>62</vt:i4>
      </vt:variant>
      <vt:variant>
        <vt:i4>0</vt:i4>
      </vt:variant>
      <vt:variant>
        <vt:i4>5</vt:i4>
      </vt:variant>
      <vt:variant>
        <vt:lpwstr/>
      </vt:variant>
      <vt:variant>
        <vt:lpwstr>_Toc85174886</vt:lpwstr>
      </vt:variant>
      <vt:variant>
        <vt:i4>1572917</vt:i4>
      </vt:variant>
      <vt:variant>
        <vt:i4>56</vt:i4>
      </vt:variant>
      <vt:variant>
        <vt:i4>0</vt:i4>
      </vt:variant>
      <vt:variant>
        <vt:i4>5</vt:i4>
      </vt:variant>
      <vt:variant>
        <vt:lpwstr/>
      </vt:variant>
      <vt:variant>
        <vt:lpwstr>_Toc85174885</vt:lpwstr>
      </vt:variant>
      <vt:variant>
        <vt:i4>1638453</vt:i4>
      </vt:variant>
      <vt:variant>
        <vt:i4>50</vt:i4>
      </vt:variant>
      <vt:variant>
        <vt:i4>0</vt:i4>
      </vt:variant>
      <vt:variant>
        <vt:i4>5</vt:i4>
      </vt:variant>
      <vt:variant>
        <vt:lpwstr/>
      </vt:variant>
      <vt:variant>
        <vt:lpwstr>_Toc85174884</vt:lpwstr>
      </vt:variant>
      <vt:variant>
        <vt:i4>1966133</vt:i4>
      </vt:variant>
      <vt:variant>
        <vt:i4>44</vt:i4>
      </vt:variant>
      <vt:variant>
        <vt:i4>0</vt:i4>
      </vt:variant>
      <vt:variant>
        <vt:i4>5</vt:i4>
      </vt:variant>
      <vt:variant>
        <vt:lpwstr/>
      </vt:variant>
      <vt:variant>
        <vt:lpwstr>_Toc85174883</vt:lpwstr>
      </vt:variant>
      <vt:variant>
        <vt:i4>2031669</vt:i4>
      </vt:variant>
      <vt:variant>
        <vt:i4>38</vt:i4>
      </vt:variant>
      <vt:variant>
        <vt:i4>0</vt:i4>
      </vt:variant>
      <vt:variant>
        <vt:i4>5</vt:i4>
      </vt:variant>
      <vt:variant>
        <vt:lpwstr/>
      </vt:variant>
      <vt:variant>
        <vt:lpwstr>_Toc85174882</vt:lpwstr>
      </vt:variant>
      <vt:variant>
        <vt:i4>1835061</vt:i4>
      </vt:variant>
      <vt:variant>
        <vt:i4>32</vt:i4>
      </vt:variant>
      <vt:variant>
        <vt:i4>0</vt:i4>
      </vt:variant>
      <vt:variant>
        <vt:i4>5</vt:i4>
      </vt:variant>
      <vt:variant>
        <vt:lpwstr/>
      </vt:variant>
      <vt:variant>
        <vt:lpwstr>_Toc85174881</vt:lpwstr>
      </vt:variant>
      <vt:variant>
        <vt:i4>1900597</vt:i4>
      </vt:variant>
      <vt:variant>
        <vt:i4>26</vt:i4>
      </vt:variant>
      <vt:variant>
        <vt:i4>0</vt:i4>
      </vt:variant>
      <vt:variant>
        <vt:i4>5</vt:i4>
      </vt:variant>
      <vt:variant>
        <vt:lpwstr/>
      </vt:variant>
      <vt:variant>
        <vt:lpwstr>_Toc85174880</vt:lpwstr>
      </vt:variant>
      <vt:variant>
        <vt:i4>1310778</vt:i4>
      </vt:variant>
      <vt:variant>
        <vt:i4>20</vt:i4>
      </vt:variant>
      <vt:variant>
        <vt:i4>0</vt:i4>
      </vt:variant>
      <vt:variant>
        <vt:i4>5</vt:i4>
      </vt:variant>
      <vt:variant>
        <vt:lpwstr/>
      </vt:variant>
      <vt:variant>
        <vt:lpwstr>_Toc85174879</vt:lpwstr>
      </vt:variant>
      <vt:variant>
        <vt:i4>1376314</vt:i4>
      </vt:variant>
      <vt:variant>
        <vt:i4>14</vt:i4>
      </vt:variant>
      <vt:variant>
        <vt:i4>0</vt:i4>
      </vt:variant>
      <vt:variant>
        <vt:i4>5</vt:i4>
      </vt:variant>
      <vt:variant>
        <vt:lpwstr/>
      </vt:variant>
      <vt:variant>
        <vt:lpwstr>_Toc85174878</vt:lpwstr>
      </vt:variant>
      <vt:variant>
        <vt:i4>1703994</vt:i4>
      </vt:variant>
      <vt:variant>
        <vt:i4>8</vt:i4>
      </vt:variant>
      <vt:variant>
        <vt:i4>0</vt:i4>
      </vt:variant>
      <vt:variant>
        <vt:i4>5</vt:i4>
      </vt:variant>
      <vt:variant>
        <vt:lpwstr/>
      </vt:variant>
      <vt:variant>
        <vt:lpwstr>_Toc85174877</vt:lpwstr>
      </vt:variant>
      <vt:variant>
        <vt:i4>1769530</vt:i4>
      </vt:variant>
      <vt:variant>
        <vt:i4>2</vt:i4>
      </vt:variant>
      <vt:variant>
        <vt:i4>0</vt:i4>
      </vt:variant>
      <vt:variant>
        <vt:i4>5</vt:i4>
      </vt:variant>
      <vt:variant>
        <vt:lpwstr/>
      </vt:variant>
      <vt:variant>
        <vt:lpwstr>_Toc85174876</vt:lpwstr>
      </vt:variant>
      <vt:variant>
        <vt:i4>8257630</vt:i4>
      </vt:variant>
      <vt:variant>
        <vt:i4>1172606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7</cp:revision>
  <cp:lastPrinted>2004-10-15T09:44:00Z</cp:lastPrinted>
  <dcterms:created xsi:type="dcterms:W3CDTF">2004-10-15T09:34:00Z</dcterms:created>
  <dcterms:modified xsi:type="dcterms:W3CDTF">2004-10-15T09:58:00Z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89</vt:lpwstr>
  </property>
  <property fmtid="{D5CDD505-2E9C-101B-9397-08002B2CF9AE}" pid="8" name="Operator">
    <vt:lpwstr>Alexeenko</vt:lpwstr>
  </property>
</Properties>
</file>