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DB2" w:rsidRDefault="00852DB2" w:rsidP="00852DB2">
      <w:pPr>
        <w:spacing w:line="240" w:lineRule="auto"/>
        <w:jc w:val="left"/>
        <w:rPr>
          <w:szCs w:val="6"/>
        </w:rPr>
        <w:sectPr w:rsidR="00852DB2" w:rsidSect="00852D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52DB2" w:rsidRDefault="00852DB2" w:rsidP="00852DB2">
      <w:pPr>
        <w:pStyle w:val="H1"/>
        <w:rPr>
          <w:rtl/>
        </w:rPr>
      </w:pPr>
      <w:r>
        <w:rPr>
          <w:rFonts w:hint="eastAsia"/>
          <w:rtl/>
        </w:rPr>
        <w:t>اللجنة</w:t>
      </w:r>
      <w:r>
        <w:rPr>
          <w:rtl/>
        </w:rPr>
        <w:t xml:space="preserve"> المعنية بالقضاء على التمييز ضد المرأة</w:t>
      </w:r>
    </w:p>
    <w:p w:rsidR="00852DB2" w:rsidRDefault="00852DB2" w:rsidP="00852DB2">
      <w:pPr>
        <w:pStyle w:val="H23"/>
        <w:rPr>
          <w:rtl/>
        </w:rPr>
      </w:pPr>
      <w:r>
        <w:rPr>
          <w:rFonts w:hint="eastAsia"/>
          <w:rtl/>
        </w:rPr>
        <w:t>الدورة</w:t>
      </w:r>
      <w:r>
        <w:rPr>
          <w:rtl/>
        </w:rPr>
        <w:t xml:space="preserve"> الثامنة عشرة</w:t>
      </w:r>
    </w:p>
    <w:p w:rsidR="00852DB2" w:rsidRPr="00852DB2" w:rsidRDefault="00852DB2" w:rsidP="00852DB2">
      <w:pPr>
        <w:spacing w:line="120" w:lineRule="exact"/>
        <w:rPr>
          <w:rFonts w:hint="cs"/>
          <w:sz w:val="12"/>
          <w:rtl/>
        </w:rPr>
      </w:pPr>
    </w:p>
    <w:p w:rsidR="00852DB2" w:rsidRDefault="00852DB2" w:rsidP="00852DB2">
      <w:pPr>
        <w:pStyle w:val="H23"/>
        <w:rPr>
          <w:rtl/>
        </w:rPr>
      </w:pPr>
      <w:r>
        <w:rPr>
          <w:rFonts w:hint="eastAsia"/>
          <w:rtl/>
        </w:rPr>
        <w:t>محضر</w:t>
      </w:r>
      <w:r>
        <w:rPr>
          <w:rtl/>
        </w:rPr>
        <w:t xml:space="preserve"> موجز للجلسة </w:t>
      </w:r>
    </w:p>
    <w:p w:rsidR="00852DB2" w:rsidRDefault="00852DB2" w:rsidP="00092F2B">
      <w:pPr>
        <w:pStyle w:val="SingleTxt"/>
        <w:ind w:left="0" w:right="0"/>
        <w:rPr>
          <w:rFonts w:hint="cs"/>
          <w:rtl/>
        </w:rPr>
      </w:pPr>
      <w:r>
        <w:rPr>
          <w:rFonts w:hint="eastAsia"/>
          <w:rtl/>
        </w:rPr>
        <w:t>المعقودة</w:t>
      </w:r>
      <w:r>
        <w:rPr>
          <w:rtl/>
        </w:rPr>
        <w:t xml:space="preserve"> في المقر، نيويورك، يوم </w:t>
      </w:r>
      <w:r w:rsidR="00092F2B">
        <w:rPr>
          <w:rFonts w:hint="cs"/>
          <w:rtl/>
        </w:rPr>
        <w:t>الأربعاء</w:t>
      </w:r>
      <w:r>
        <w:rPr>
          <w:rtl/>
        </w:rPr>
        <w:t xml:space="preserve">، </w:t>
      </w:r>
      <w:r w:rsidR="00092F2B">
        <w:rPr>
          <w:rFonts w:hint="cs"/>
          <w:rtl/>
        </w:rPr>
        <w:t xml:space="preserve">9 </w:t>
      </w:r>
      <w:r w:rsidR="00092F2B">
        <w:rPr>
          <w:rFonts w:hint="eastAsia"/>
          <w:rtl/>
        </w:rPr>
        <w:t>حزيران</w:t>
      </w:r>
      <w:r w:rsidR="00092F2B">
        <w:rPr>
          <w:rtl/>
        </w:rPr>
        <w:t xml:space="preserve">/يونيه </w:t>
      </w:r>
      <w:r w:rsidR="00092F2B">
        <w:rPr>
          <w:rFonts w:hint="cs"/>
          <w:rtl/>
        </w:rPr>
        <w:t>1999،</w:t>
      </w:r>
      <w:r>
        <w:rPr>
          <w:rtl/>
        </w:rPr>
        <w:t xml:space="preserve"> الساعة </w:t>
      </w:r>
      <w:r w:rsidR="00092F2B">
        <w:rPr>
          <w:rFonts w:hint="cs"/>
          <w:rtl/>
        </w:rPr>
        <w:t>00/15</w:t>
      </w:r>
    </w:p>
    <w:p w:rsidR="00852DB2" w:rsidRPr="00852DB2" w:rsidRDefault="00852DB2" w:rsidP="00852DB2">
      <w:pPr>
        <w:pStyle w:val="SingleTxt"/>
        <w:spacing w:after="0" w:line="120" w:lineRule="exact"/>
        <w:ind w:left="0" w:right="0"/>
        <w:rPr>
          <w:sz w:val="12"/>
          <w:rtl/>
        </w:rPr>
      </w:pPr>
    </w:p>
    <w:p w:rsidR="00852DB2" w:rsidRDefault="00852DB2" w:rsidP="00415B2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092F2B">
        <w:rPr>
          <w:rFonts w:ascii="Traditional Arabic" w:hAnsi="Traditional Arabic" w:hint="cs"/>
          <w:iCs/>
          <w:rtl/>
        </w:rPr>
        <w:t>ة:</w:t>
      </w:r>
      <w:r>
        <w:rPr>
          <w:rFonts w:ascii="Traditional Arabic" w:hAnsi="Traditional Arabic"/>
          <w:iCs/>
          <w:rtl/>
        </w:rPr>
        <w:tab/>
      </w:r>
      <w:r>
        <w:rPr>
          <w:rFonts w:ascii="Traditional Arabic" w:hAnsi="Traditional Arabic"/>
          <w:rtl/>
        </w:rPr>
        <w:t>السيد</w:t>
      </w:r>
      <w:r w:rsidR="00092F2B">
        <w:rPr>
          <w:rFonts w:ascii="Traditional Arabic" w:hAnsi="Traditional Arabic" w:hint="cs"/>
          <w:rtl/>
        </w:rPr>
        <w:t>ة شوب - شيلنغ</w:t>
      </w:r>
      <w:r>
        <w:rPr>
          <w:rFonts w:ascii="Traditional Arabic" w:hAnsi="Traditional Arabic"/>
          <w:rtl/>
        </w:rPr>
        <w:t xml:space="preserve"> </w:t>
      </w:r>
      <w:r>
        <w:rPr>
          <w:rFonts w:ascii="Traditional Arabic" w:hAnsi="Traditional Arabic"/>
          <w:spacing w:val="4"/>
          <w:rtl/>
        </w:rPr>
        <w:t>(</w:t>
      </w:r>
      <w:r w:rsidR="00092F2B">
        <w:rPr>
          <w:rFonts w:ascii="Traditional Arabic" w:hAnsi="Traditional Arabic" w:hint="cs"/>
          <w:spacing w:val="4"/>
          <w:rtl/>
        </w:rPr>
        <w:t>نائبة الرئيسة</w:t>
      </w:r>
      <w:r>
        <w:rPr>
          <w:rFonts w:ascii="Traditional Arabic" w:hAnsi="Traditional Arabic"/>
          <w:spacing w:val="4"/>
          <w:rtl/>
        </w:rPr>
        <w:t>)</w:t>
      </w:r>
    </w:p>
    <w:p w:rsidR="00852DB2" w:rsidRDefault="00852DB2" w:rsidP="00415B26">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sidR="00415B26">
        <w:rPr>
          <w:rFonts w:ascii="Traditional Arabic" w:hAnsi="Traditional Arabic" w:hint="cs"/>
          <w:iCs/>
          <w:spacing w:val="4"/>
          <w:rtl/>
        </w:rPr>
        <w:t>وفيما بعد</w:t>
      </w:r>
      <w:r>
        <w:rPr>
          <w:rFonts w:ascii="Traditional Arabic" w:hAnsi="Traditional Arabic"/>
          <w:iCs/>
          <w:spacing w:val="4"/>
          <w:rtl/>
        </w:rPr>
        <w:t>:</w:t>
      </w:r>
      <w:r>
        <w:rPr>
          <w:rFonts w:ascii="Traditional Arabic" w:hAnsi="Traditional Arabic"/>
          <w:spacing w:val="4"/>
          <w:rtl/>
        </w:rPr>
        <w:tab/>
        <w:t>السيد</w:t>
      </w:r>
      <w:r w:rsidR="00092F2B">
        <w:rPr>
          <w:rFonts w:ascii="Traditional Arabic" w:hAnsi="Traditional Arabic" w:hint="cs"/>
          <w:spacing w:val="4"/>
          <w:rtl/>
        </w:rPr>
        <w:t>ة غونزالز</w:t>
      </w:r>
      <w:r>
        <w:rPr>
          <w:rFonts w:ascii="Traditional Arabic" w:hAnsi="Traditional Arabic"/>
          <w:spacing w:val="4"/>
          <w:rtl/>
        </w:rPr>
        <w:t xml:space="preserve"> (</w:t>
      </w:r>
      <w:r w:rsidR="00092F2B">
        <w:rPr>
          <w:rFonts w:ascii="Traditional Arabic" w:hAnsi="Traditional Arabic" w:hint="cs"/>
          <w:spacing w:val="4"/>
          <w:rtl/>
        </w:rPr>
        <w:t>الرئيسة</w:t>
      </w:r>
      <w:r>
        <w:rPr>
          <w:rFonts w:ascii="Traditional Arabic" w:hAnsi="Traditional Arabic"/>
          <w:spacing w:val="4"/>
          <w:rtl/>
        </w:rPr>
        <w:t>)</w:t>
      </w:r>
    </w:p>
    <w:p w:rsidR="00852DB2" w:rsidRPr="00852DB2" w:rsidRDefault="00852DB2" w:rsidP="00852D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2DB2" w:rsidRPr="00852DB2" w:rsidRDefault="00852DB2" w:rsidP="00852D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2DB2" w:rsidRPr="00852DB2" w:rsidRDefault="00852DB2" w:rsidP="00852DB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52DB2" w:rsidRDefault="00852DB2" w:rsidP="00852DB2">
      <w:pPr>
        <w:pStyle w:val="HCh"/>
        <w:rPr>
          <w:bCs w:val="0"/>
          <w:rtl/>
        </w:rPr>
      </w:pPr>
      <w:r>
        <w:rPr>
          <w:rFonts w:hint="eastAsia"/>
          <w:bCs w:val="0"/>
          <w:rtl/>
        </w:rPr>
        <w:t>المحتويات</w:t>
      </w:r>
    </w:p>
    <w:p w:rsidR="00852DB2" w:rsidRDefault="00852DB2" w:rsidP="00852DB2">
      <w:pPr>
        <w:pStyle w:val="HCh"/>
        <w:spacing w:line="240" w:lineRule="auto"/>
        <w:rPr>
          <w:rFonts w:hint="cs"/>
          <w:bCs w:val="0"/>
          <w:szCs w:val="20"/>
          <w:rtl/>
        </w:rPr>
      </w:pPr>
    </w:p>
    <w:p w:rsidR="00CD3849" w:rsidRDefault="00092F2B" w:rsidP="00852DB2">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092F2B" w:rsidRDefault="00092F2B" w:rsidP="00092F2B">
      <w:pPr>
        <w:pStyle w:val="SingleTxt"/>
        <w:rPr>
          <w:rFonts w:hint="cs"/>
          <w:rtl/>
        </w:rPr>
      </w:pPr>
      <w:r>
        <w:rPr>
          <w:rFonts w:hint="cs"/>
          <w:rtl/>
        </w:rPr>
        <w:tab/>
      </w:r>
      <w:r>
        <w:rPr>
          <w:rFonts w:hint="cs"/>
          <w:i/>
          <w:iCs/>
          <w:rtl/>
        </w:rPr>
        <w:t>التقرير الأولي المقدم من جورجيا (تابع)</w:t>
      </w:r>
    </w:p>
    <w:p w:rsidR="00092F2B" w:rsidRPr="00415B26" w:rsidRDefault="00092F2B" w:rsidP="00415B26">
      <w:pPr>
        <w:pStyle w:val="SingleTxt"/>
        <w:spacing w:after="0" w:line="14" w:lineRule="exact"/>
        <w:rPr>
          <w:sz w:val="2"/>
          <w:rtl/>
        </w:rPr>
        <w:sectPr w:rsidR="00092F2B" w:rsidRPr="00415B26" w:rsidSect="00852DB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92F2B" w:rsidRPr="00092F2B" w:rsidRDefault="00092F2B" w:rsidP="00415B26">
      <w:pPr>
        <w:pStyle w:val="DualTxt"/>
        <w:rPr>
          <w:rFonts w:hint="cs"/>
          <w:i/>
          <w:iCs/>
          <w:rtl/>
          <w:lang w:bidi="ar-EG"/>
        </w:rPr>
      </w:pPr>
      <w:r w:rsidRPr="00092F2B">
        <w:rPr>
          <w:rFonts w:hint="cs"/>
          <w:i/>
          <w:iCs/>
          <w:rtl/>
          <w:lang w:bidi="ar-EG"/>
        </w:rPr>
        <w:t>نظرا ل</w:t>
      </w:r>
      <w:r w:rsidRPr="00092F2B">
        <w:rPr>
          <w:i/>
          <w:iCs/>
          <w:rtl/>
          <w:lang w:bidi="ar-EG"/>
        </w:rPr>
        <w:t>غياب السيد</w:t>
      </w:r>
      <w:r w:rsidRPr="00092F2B">
        <w:rPr>
          <w:rFonts w:hint="cs"/>
          <w:i/>
          <w:iCs/>
          <w:rtl/>
          <w:lang w:bidi="ar-EG"/>
        </w:rPr>
        <w:t>ة</w:t>
      </w:r>
      <w:r w:rsidRPr="00092F2B">
        <w:rPr>
          <w:i/>
          <w:iCs/>
          <w:rtl/>
          <w:lang w:bidi="ar-EG"/>
        </w:rPr>
        <w:t xml:space="preserve"> </w:t>
      </w:r>
      <w:r w:rsidRPr="00092F2B">
        <w:rPr>
          <w:rFonts w:hint="cs"/>
          <w:i/>
          <w:iCs/>
          <w:rtl/>
          <w:lang w:bidi="ar-EG"/>
        </w:rPr>
        <w:t>غونزالز،</w:t>
      </w:r>
      <w:r w:rsidRPr="00092F2B">
        <w:rPr>
          <w:i/>
          <w:iCs/>
          <w:rtl/>
          <w:lang w:bidi="ar-EG"/>
        </w:rPr>
        <w:t xml:space="preserve"> ر</w:t>
      </w:r>
      <w:r w:rsidRPr="00092F2B">
        <w:rPr>
          <w:rFonts w:hint="cs"/>
          <w:i/>
          <w:iCs/>
          <w:rtl/>
        </w:rPr>
        <w:t>أ</w:t>
      </w:r>
      <w:r w:rsidRPr="00092F2B">
        <w:rPr>
          <w:i/>
          <w:iCs/>
          <w:rtl/>
          <w:lang w:bidi="ar-EG"/>
        </w:rPr>
        <w:t>ست الجلسة السيدة</w:t>
      </w:r>
      <w:r w:rsidR="00415B26">
        <w:rPr>
          <w:rFonts w:hint="cs"/>
          <w:i/>
          <w:iCs/>
          <w:rtl/>
          <w:lang w:bidi="ar-EG"/>
        </w:rPr>
        <w:br/>
      </w:r>
      <w:r w:rsidRPr="00092F2B">
        <w:rPr>
          <w:rFonts w:hint="cs"/>
          <w:i/>
          <w:iCs/>
          <w:rtl/>
          <w:lang w:bidi="ar-EG"/>
        </w:rPr>
        <w:t>شوب - شيلنغ</w:t>
      </w:r>
      <w:r w:rsidRPr="00092F2B">
        <w:rPr>
          <w:i/>
          <w:iCs/>
          <w:rtl/>
          <w:lang w:bidi="ar-EG"/>
        </w:rPr>
        <w:t>، نائبة الرئي</w:t>
      </w:r>
      <w:r w:rsidRPr="00092F2B">
        <w:rPr>
          <w:rFonts w:hint="cs"/>
          <w:i/>
          <w:iCs/>
          <w:rtl/>
          <w:lang w:bidi="ar-EG"/>
        </w:rPr>
        <w:t>سة.</w:t>
      </w:r>
    </w:p>
    <w:p w:rsidR="00092F2B" w:rsidRPr="00092F2B" w:rsidRDefault="00092F2B" w:rsidP="00092F2B">
      <w:pPr>
        <w:pStyle w:val="DualTxt"/>
        <w:rPr>
          <w:rFonts w:hint="cs"/>
          <w:i/>
          <w:iCs/>
          <w:rtl/>
          <w:lang w:bidi="ar-EG"/>
        </w:rPr>
      </w:pPr>
      <w:r w:rsidRPr="00092F2B">
        <w:rPr>
          <w:rFonts w:hint="cs"/>
          <w:i/>
          <w:iCs/>
          <w:rtl/>
        </w:rPr>
        <w:tab/>
      </w:r>
      <w:r w:rsidR="00415B26">
        <w:rPr>
          <w:rFonts w:hint="cs"/>
          <w:i/>
          <w:iCs/>
          <w:rtl/>
          <w:lang w:bidi="ar-EG"/>
        </w:rPr>
        <w:t>افتتحت الجلسة الساعة 05</w:t>
      </w:r>
      <w:r w:rsidRPr="00092F2B">
        <w:rPr>
          <w:rFonts w:hint="cs"/>
          <w:i/>
          <w:iCs/>
          <w:rtl/>
          <w:lang w:bidi="ar-EG"/>
        </w:rPr>
        <w:t>/15.</w:t>
      </w:r>
    </w:p>
    <w:p w:rsidR="00092F2B" w:rsidRPr="00092F2B" w:rsidRDefault="00092F2B" w:rsidP="00092F2B">
      <w:pPr>
        <w:pStyle w:val="DualTxt"/>
        <w:rPr>
          <w:b/>
          <w:bCs/>
          <w:rtl/>
          <w:lang w:bidi="ar-EG"/>
        </w:rPr>
      </w:pPr>
      <w:r w:rsidRPr="00092F2B">
        <w:rPr>
          <w:rFonts w:hint="cs"/>
          <w:b/>
          <w:bCs/>
          <w:rtl/>
        </w:rPr>
        <w:t>النظر</w:t>
      </w:r>
      <w:r w:rsidRPr="00092F2B">
        <w:rPr>
          <w:b/>
          <w:bCs/>
          <w:rtl/>
          <w:lang w:bidi="ar-EG"/>
        </w:rPr>
        <w:t xml:space="preserve"> </w:t>
      </w:r>
      <w:r w:rsidRPr="00092F2B">
        <w:rPr>
          <w:rFonts w:hint="cs"/>
          <w:b/>
          <w:bCs/>
          <w:rtl/>
        </w:rPr>
        <w:t xml:space="preserve">في </w:t>
      </w:r>
      <w:r w:rsidRPr="00092F2B">
        <w:rPr>
          <w:b/>
          <w:bCs/>
          <w:rtl/>
          <w:lang w:bidi="ar-EG"/>
        </w:rPr>
        <w:t>التقارير المقدمة من الدول الأطراف بموجب المادة</w:t>
      </w:r>
      <w:r w:rsidRPr="00092F2B">
        <w:rPr>
          <w:rFonts w:hint="cs"/>
          <w:b/>
          <w:bCs/>
          <w:rtl/>
          <w:lang w:bidi="ar-EG"/>
        </w:rPr>
        <w:t> </w:t>
      </w:r>
      <w:r w:rsidRPr="00092F2B">
        <w:rPr>
          <w:b/>
          <w:bCs/>
          <w:rtl/>
          <w:lang w:bidi="ar-EG"/>
        </w:rPr>
        <w:t xml:space="preserve">18 من الاتفاقية </w:t>
      </w:r>
      <w:r w:rsidRPr="00092F2B">
        <w:rPr>
          <w:rtl/>
          <w:lang w:bidi="ar-EG"/>
        </w:rPr>
        <w:t>(</w:t>
      </w:r>
      <w:r w:rsidRPr="00092F2B">
        <w:rPr>
          <w:i/>
          <w:iCs/>
          <w:rtl/>
          <w:lang w:bidi="ar-EG"/>
        </w:rPr>
        <w:t>تابع</w:t>
      </w:r>
      <w:r w:rsidRPr="00092F2B">
        <w:rPr>
          <w:rtl/>
          <w:lang w:bidi="ar-EG"/>
        </w:rPr>
        <w:t>)</w:t>
      </w:r>
    </w:p>
    <w:p w:rsidR="00092F2B" w:rsidRPr="00092F2B" w:rsidRDefault="00092F2B" w:rsidP="00092F2B">
      <w:pPr>
        <w:pStyle w:val="DualTxt"/>
        <w:ind w:left="662" w:hanging="662"/>
        <w:rPr>
          <w:rFonts w:hint="cs"/>
          <w:rtl/>
          <w:lang w:bidi="ar-EG"/>
        </w:rPr>
      </w:pPr>
      <w:r w:rsidRPr="00092F2B">
        <w:rPr>
          <w:rFonts w:hint="cs"/>
          <w:rtl/>
          <w:lang w:bidi="ar-EG"/>
        </w:rPr>
        <w:tab/>
      </w:r>
      <w:r w:rsidRPr="00415B26">
        <w:rPr>
          <w:rFonts w:hint="cs"/>
          <w:i/>
          <w:iCs/>
          <w:rtl/>
          <w:lang w:bidi="ar-EG"/>
        </w:rPr>
        <w:t>التقرير الأولي المقدم من جورجيا</w:t>
      </w:r>
      <w:r w:rsidRPr="00092F2B">
        <w:rPr>
          <w:rFonts w:hint="cs"/>
          <w:rtl/>
          <w:lang w:bidi="ar-EG"/>
        </w:rPr>
        <w:t xml:space="preserve"> (</w:t>
      </w:r>
      <w:r w:rsidRPr="00415B26">
        <w:rPr>
          <w:rFonts w:hint="cs"/>
          <w:i/>
          <w:iCs/>
          <w:rtl/>
          <w:lang w:bidi="ar-EG"/>
        </w:rPr>
        <w:t>تابع</w:t>
      </w:r>
      <w:r w:rsidRPr="00092F2B">
        <w:rPr>
          <w:rFonts w:hint="cs"/>
          <w:rtl/>
          <w:lang w:bidi="ar-EG"/>
        </w:rPr>
        <w:t xml:space="preserve">) </w:t>
      </w:r>
      <w:r w:rsidRPr="00092F2B">
        <w:t>(CEDAW/C/GEO/1 and Add.1)</w:t>
      </w:r>
    </w:p>
    <w:p w:rsidR="00092F2B" w:rsidRPr="00092F2B" w:rsidRDefault="00092F2B" w:rsidP="00092F2B">
      <w:pPr>
        <w:pStyle w:val="DualTxt"/>
        <w:rPr>
          <w:rFonts w:hint="cs"/>
          <w:rtl/>
        </w:rPr>
      </w:pPr>
      <w:r w:rsidRPr="00092F2B">
        <w:rPr>
          <w:rFonts w:hint="cs"/>
          <w:rtl/>
        </w:rPr>
        <w:t>1 -</w:t>
      </w:r>
      <w:r w:rsidRPr="00092F2B">
        <w:rPr>
          <w:rFonts w:hint="cs"/>
          <w:rtl/>
        </w:rPr>
        <w:tab/>
      </w:r>
      <w:r w:rsidRPr="00092F2B">
        <w:rPr>
          <w:rtl/>
        </w:rPr>
        <w:t>بناء على دعوة الرئيسة، اتخذ</w:t>
      </w:r>
      <w:r w:rsidRPr="00092F2B">
        <w:rPr>
          <w:rFonts w:hint="cs"/>
          <w:rtl/>
        </w:rPr>
        <w:t>ت</w:t>
      </w:r>
      <w:r w:rsidRPr="00092F2B">
        <w:rPr>
          <w:rtl/>
        </w:rPr>
        <w:t xml:space="preserve"> السيد</w:t>
      </w:r>
      <w:r w:rsidRPr="00092F2B">
        <w:rPr>
          <w:rFonts w:hint="cs"/>
          <w:rtl/>
        </w:rPr>
        <w:t>ة</w:t>
      </w:r>
      <w:r w:rsidRPr="00092F2B">
        <w:rPr>
          <w:rtl/>
        </w:rPr>
        <w:t xml:space="preserve"> </w:t>
      </w:r>
      <w:r w:rsidRPr="00092F2B">
        <w:rPr>
          <w:rFonts w:hint="cs"/>
          <w:rtl/>
        </w:rPr>
        <w:t>بريدزه (جورجيا)</w:t>
      </w:r>
      <w:r w:rsidRPr="00092F2B">
        <w:rPr>
          <w:rtl/>
        </w:rPr>
        <w:t xml:space="preserve"> مكانها </w:t>
      </w:r>
      <w:r>
        <w:rPr>
          <w:rFonts w:hint="cs"/>
          <w:rtl/>
        </w:rPr>
        <w:t xml:space="preserve">إلى مائدة </w:t>
      </w:r>
      <w:r w:rsidRPr="00092F2B">
        <w:rPr>
          <w:rtl/>
        </w:rPr>
        <w:t>الاجتماع.</w:t>
      </w:r>
    </w:p>
    <w:p w:rsidR="00415B26" w:rsidRPr="00415B26" w:rsidRDefault="00415B26" w:rsidP="00415B26">
      <w:pPr>
        <w:pStyle w:val="DualTxt"/>
        <w:spacing w:after="0" w:line="120" w:lineRule="exact"/>
        <w:rPr>
          <w:rFonts w:hint="cs"/>
          <w:i/>
          <w:iCs/>
          <w:sz w:val="10"/>
          <w:rtl/>
        </w:rPr>
      </w:pPr>
    </w:p>
    <w:p w:rsidR="00092F2B" w:rsidRPr="00092F2B" w:rsidRDefault="00092F2B" w:rsidP="00092F2B">
      <w:pPr>
        <w:pStyle w:val="DualTxt"/>
        <w:rPr>
          <w:rFonts w:hint="cs"/>
          <w:i/>
          <w:iCs/>
          <w:rtl/>
        </w:rPr>
      </w:pPr>
      <w:r w:rsidRPr="00092F2B">
        <w:rPr>
          <w:rFonts w:hint="cs"/>
          <w:i/>
          <w:iCs/>
          <w:rtl/>
        </w:rPr>
        <w:t>المادة 11</w:t>
      </w:r>
    </w:p>
    <w:p w:rsidR="00092F2B" w:rsidRPr="00092F2B" w:rsidRDefault="00092F2B" w:rsidP="00A12C97">
      <w:pPr>
        <w:pStyle w:val="DualTxt"/>
        <w:rPr>
          <w:rFonts w:hint="cs"/>
        </w:rPr>
      </w:pPr>
      <w:r w:rsidRPr="00092F2B">
        <w:rPr>
          <w:rFonts w:hint="cs"/>
          <w:rtl/>
        </w:rPr>
        <w:t>2 -</w:t>
      </w:r>
      <w:r w:rsidRPr="00092F2B">
        <w:rPr>
          <w:rFonts w:hint="cs"/>
          <w:rtl/>
        </w:rPr>
        <w:tab/>
      </w:r>
      <w:r w:rsidRPr="00092F2B">
        <w:rPr>
          <w:rFonts w:hint="cs"/>
          <w:b/>
          <w:bCs/>
          <w:rtl/>
        </w:rPr>
        <w:t>السيدة خان</w:t>
      </w:r>
      <w:r w:rsidRPr="00092F2B">
        <w:rPr>
          <w:rFonts w:hint="cs"/>
          <w:rtl/>
        </w:rPr>
        <w:t>: لاحظت باهتمام أن النساء يشكلن 53 في المائة من القوى العاملة في جورجيا، وأثنت على الحماية الموسعة للأمومة والاستحقاقات الممنوحة بموجب قانون العمل. و</w:t>
      </w:r>
      <w:r>
        <w:rPr>
          <w:rFonts w:hint="cs"/>
          <w:rtl/>
        </w:rPr>
        <w:t xml:space="preserve">إذ أشارت </w:t>
      </w:r>
      <w:r w:rsidRPr="00092F2B">
        <w:rPr>
          <w:rFonts w:hint="cs"/>
          <w:rtl/>
        </w:rPr>
        <w:t>إلى الفقرة 81، قالت إن التقرير لم</w:t>
      </w:r>
      <w:r w:rsidRPr="00092F2B">
        <w:rPr>
          <w:rFonts w:hint="eastAsia"/>
          <w:rtl/>
        </w:rPr>
        <w:t> </w:t>
      </w:r>
      <w:r w:rsidRPr="00092F2B">
        <w:rPr>
          <w:rFonts w:hint="cs"/>
          <w:rtl/>
        </w:rPr>
        <w:t>يناقش بالفعل أو ي</w:t>
      </w:r>
      <w:r>
        <w:rPr>
          <w:rFonts w:hint="cs"/>
          <w:rtl/>
        </w:rPr>
        <w:t xml:space="preserve">وفر </w:t>
      </w:r>
      <w:r w:rsidRPr="00092F2B">
        <w:rPr>
          <w:rFonts w:hint="cs"/>
          <w:rtl/>
        </w:rPr>
        <w:t xml:space="preserve">بيانات كافية بشأن التمييز في </w:t>
      </w:r>
      <w:r>
        <w:rPr>
          <w:rFonts w:hint="cs"/>
          <w:rtl/>
        </w:rPr>
        <w:t>الاستخدام</w:t>
      </w:r>
      <w:r w:rsidRPr="00092F2B">
        <w:rPr>
          <w:rFonts w:hint="cs"/>
          <w:rtl/>
        </w:rPr>
        <w:t xml:space="preserve">، وخاصة فيما يتعلق بالأجور، وتساءلت عن هذه المشكلة في جورجيا. وفي ذلك الخصوص، لاحظت أن النساء يشغلن 52 في المائة من الأعمال ذات الأجر المنخفض (81.3 في المائة من النساء يتم تشغيلهن في القطاع الزراعي)، وأن </w:t>
      </w:r>
      <w:r>
        <w:rPr>
          <w:rFonts w:hint="cs"/>
          <w:rtl/>
        </w:rPr>
        <w:t xml:space="preserve">فرص استخدام </w:t>
      </w:r>
      <w:r w:rsidRPr="00092F2B">
        <w:rPr>
          <w:rFonts w:hint="cs"/>
          <w:rtl/>
        </w:rPr>
        <w:t>النساء، بما في ذلك النساء المهنيات ذوات الكفاءات العالية، أقل في القطاع الخاص. و</w:t>
      </w:r>
      <w:r>
        <w:rPr>
          <w:rFonts w:hint="cs"/>
          <w:rtl/>
        </w:rPr>
        <w:t>أعربت</w:t>
      </w:r>
      <w:r w:rsidR="00A12C97">
        <w:rPr>
          <w:rFonts w:hint="cs"/>
          <w:rtl/>
        </w:rPr>
        <w:t xml:space="preserve"> عن خشيتها </w:t>
      </w:r>
      <w:r w:rsidRPr="00092F2B">
        <w:rPr>
          <w:rFonts w:hint="cs"/>
          <w:rtl/>
        </w:rPr>
        <w:t xml:space="preserve">من أن هذا الوجود الهام للنساء في القوى العاملة قد يعود إلى رغبتهن في قبول أجور </w:t>
      </w:r>
      <w:r w:rsidR="00A12C97">
        <w:rPr>
          <w:rFonts w:hint="cs"/>
          <w:rtl/>
        </w:rPr>
        <w:t>منخفضة</w:t>
      </w:r>
      <w:r w:rsidRPr="00092F2B">
        <w:rPr>
          <w:rFonts w:hint="cs"/>
          <w:rtl/>
        </w:rPr>
        <w:t xml:space="preserve">. </w:t>
      </w:r>
      <w:r w:rsidR="00A12C97">
        <w:rPr>
          <w:rFonts w:hint="cs"/>
          <w:rtl/>
        </w:rPr>
        <w:t xml:space="preserve">وتساءلت عما إذا كان </w:t>
      </w:r>
      <w:r w:rsidRPr="00092F2B">
        <w:rPr>
          <w:rFonts w:hint="cs"/>
          <w:rtl/>
        </w:rPr>
        <w:t>القطاع الزراعي والقطاع الخاص الذي برز حديثا مشمولين بتشريع العمل؟</w:t>
      </w:r>
    </w:p>
    <w:p w:rsidR="00092F2B" w:rsidRPr="00092F2B" w:rsidRDefault="00092F2B" w:rsidP="00415B26">
      <w:pPr>
        <w:pStyle w:val="DualTxt"/>
        <w:rPr>
          <w:rFonts w:hint="cs"/>
          <w:rtl/>
        </w:rPr>
      </w:pPr>
      <w:r w:rsidRPr="00092F2B">
        <w:rPr>
          <w:rFonts w:hint="cs"/>
          <w:rtl/>
        </w:rPr>
        <w:t>3 -</w:t>
      </w:r>
      <w:r w:rsidRPr="00092F2B">
        <w:rPr>
          <w:rFonts w:hint="cs"/>
          <w:rtl/>
        </w:rPr>
        <w:tab/>
        <w:t xml:space="preserve">وقالت إنه </w:t>
      </w:r>
      <w:r w:rsidR="00A12C97">
        <w:rPr>
          <w:rFonts w:hint="cs"/>
          <w:rtl/>
        </w:rPr>
        <w:t xml:space="preserve">من الشيّق </w:t>
      </w:r>
      <w:r w:rsidRPr="00092F2B">
        <w:rPr>
          <w:rFonts w:hint="cs"/>
          <w:rtl/>
        </w:rPr>
        <w:t xml:space="preserve">أن </w:t>
      </w:r>
      <w:r w:rsidR="00A12C97">
        <w:rPr>
          <w:rFonts w:hint="cs"/>
          <w:rtl/>
        </w:rPr>
        <w:t xml:space="preserve">نعرف </w:t>
      </w:r>
      <w:r w:rsidRPr="00092F2B">
        <w:rPr>
          <w:rFonts w:hint="cs"/>
          <w:rtl/>
        </w:rPr>
        <w:t xml:space="preserve">ما إذا كانت العولمة الاقتصادية قد </w:t>
      </w:r>
      <w:r w:rsidR="00A12C97">
        <w:rPr>
          <w:rFonts w:hint="cs"/>
          <w:rtl/>
        </w:rPr>
        <w:t xml:space="preserve">أوجدت </w:t>
      </w:r>
      <w:r w:rsidR="00415B26">
        <w:rPr>
          <w:rFonts w:hint="cs"/>
          <w:rtl/>
        </w:rPr>
        <w:t>فرص عمل للنساء الجورجيات، وما</w:t>
      </w:r>
      <w:r w:rsidR="00415B26">
        <w:rPr>
          <w:rFonts w:hint="eastAsia"/>
          <w:rtl/>
        </w:rPr>
        <w:t> </w:t>
      </w:r>
      <w:r w:rsidRPr="00092F2B">
        <w:rPr>
          <w:rFonts w:hint="cs"/>
          <w:rtl/>
        </w:rPr>
        <w:t xml:space="preserve">إذا كانت الحكومة قد صاغت برامج للتخفيف من </w:t>
      </w:r>
      <w:r w:rsidR="00A12C97">
        <w:rPr>
          <w:rFonts w:hint="cs"/>
          <w:rtl/>
        </w:rPr>
        <w:t xml:space="preserve">الأثر </w:t>
      </w:r>
      <w:r w:rsidRPr="00092F2B">
        <w:rPr>
          <w:rFonts w:hint="cs"/>
          <w:rtl/>
        </w:rPr>
        <w:t xml:space="preserve">السلبي للتكيف الهيكلي من خلال الخدمات الاجتماعية، وخاصة مرافق رعاية الطفل. هل هناك انخفاض في مراكز رعاية الطفل منذ النظام السوفيتي، وهل هناك مرافق متوفرة لرعاية الطفل تابعة للقطاع الخاص؟ وتساءلت عن التشريع الذي يتعامل مع التحرش الجنسي في مكان العمل وعن برامج إعادة التدريب، التي </w:t>
      </w:r>
      <w:r w:rsidR="00A12C97">
        <w:rPr>
          <w:rFonts w:hint="cs"/>
          <w:rtl/>
        </w:rPr>
        <w:t xml:space="preserve">صيغت </w:t>
      </w:r>
      <w:r w:rsidRPr="00092F2B">
        <w:rPr>
          <w:rFonts w:hint="cs"/>
          <w:rtl/>
        </w:rPr>
        <w:t xml:space="preserve">على </w:t>
      </w:r>
      <w:r w:rsidR="00A12C97">
        <w:rPr>
          <w:rFonts w:hint="cs"/>
          <w:rtl/>
        </w:rPr>
        <w:t xml:space="preserve">مثال </w:t>
      </w:r>
      <w:r w:rsidR="00415B26">
        <w:rPr>
          <w:rFonts w:hint="cs"/>
          <w:rtl/>
        </w:rPr>
        <w:t>بعض</w:t>
      </w:r>
      <w:r w:rsidR="00A12C97">
        <w:rPr>
          <w:rFonts w:hint="cs"/>
          <w:rtl/>
        </w:rPr>
        <w:t xml:space="preserve"> </w:t>
      </w:r>
      <w:r w:rsidRPr="00092F2B">
        <w:rPr>
          <w:rFonts w:hint="cs"/>
          <w:rtl/>
        </w:rPr>
        <w:t xml:space="preserve">البلدان الشرقية </w:t>
      </w:r>
      <w:r w:rsidR="00A12C97">
        <w:rPr>
          <w:rFonts w:hint="cs"/>
          <w:rtl/>
        </w:rPr>
        <w:t>التي تمر بمرحلة انتقال</w:t>
      </w:r>
      <w:r w:rsidRPr="00092F2B">
        <w:rPr>
          <w:rFonts w:hint="cs"/>
          <w:rtl/>
        </w:rPr>
        <w:t xml:space="preserve">، وذلك </w:t>
      </w:r>
      <w:r w:rsidR="00A12C97">
        <w:rPr>
          <w:rFonts w:hint="cs"/>
          <w:rtl/>
        </w:rPr>
        <w:t xml:space="preserve">لإعداد العاملات </w:t>
      </w:r>
      <w:r w:rsidRPr="00092F2B">
        <w:rPr>
          <w:rFonts w:hint="cs"/>
          <w:rtl/>
        </w:rPr>
        <w:t>الإناث في القطاع العام لدخول القطاع</w:t>
      </w:r>
      <w:r w:rsidR="00415B26">
        <w:rPr>
          <w:rFonts w:hint="cs"/>
          <w:rtl/>
        </w:rPr>
        <w:t xml:space="preserve"> </w:t>
      </w:r>
      <w:r w:rsidRPr="00092F2B">
        <w:rPr>
          <w:rFonts w:hint="cs"/>
          <w:rtl/>
        </w:rPr>
        <w:t>الخاص.</w:t>
      </w:r>
    </w:p>
    <w:p w:rsidR="00092F2B" w:rsidRPr="00092F2B" w:rsidRDefault="00092F2B" w:rsidP="00A12C97">
      <w:pPr>
        <w:pStyle w:val="DualTxt"/>
        <w:rPr>
          <w:rFonts w:hint="cs"/>
        </w:rPr>
      </w:pPr>
      <w:r w:rsidRPr="00092F2B">
        <w:rPr>
          <w:rFonts w:hint="cs"/>
          <w:rtl/>
        </w:rPr>
        <w:t>4 -</w:t>
      </w:r>
      <w:r w:rsidRPr="00092F2B">
        <w:rPr>
          <w:rFonts w:hint="cs"/>
          <w:rtl/>
        </w:rPr>
        <w:tab/>
      </w:r>
      <w:r w:rsidRPr="00092F2B">
        <w:rPr>
          <w:rFonts w:hint="cs"/>
          <w:b/>
          <w:bCs/>
          <w:rtl/>
        </w:rPr>
        <w:t>السيدة أباكا</w:t>
      </w:r>
      <w:r w:rsidRPr="00092F2B">
        <w:rPr>
          <w:rFonts w:hint="cs"/>
          <w:rtl/>
        </w:rPr>
        <w:t xml:space="preserve">: أشارت إلى الفقرة 74، </w:t>
      </w:r>
      <w:r w:rsidR="00A12C97">
        <w:rPr>
          <w:rFonts w:hint="cs"/>
          <w:rtl/>
        </w:rPr>
        <w:t xml:space="preserve">فأعربت </w:t>
      </w:r>
      <w:r w:rsidRPr="00092F2B">
        <w:rPr>
          <w:rFonts w:hint="cs"/>
          <w:rtl/>
        </w:rPr>
        <w:t xml:space="preserve">عن قلقها من القيود المفروضة على العمل الليلي، والعمل الإضافي والسفر </w:t>
      </w:r>
      <w:r w:rsidR="00A12C97">
        <w:rPr>
          <w:rFonts w:hint="cs"/>
          <w:rtl/>
        </w:rPr>
        <w:t>ل</w:t>
      </w:r>
      <w:r w:rsidRPr="00092F2B">
        <w:rPr>
          <w:rFonts w:hint="cs"/>
          <w:rtl/>
        </w:rPr>
        <w:t xml:space="preserve">دواعي العمل </w:t>
      </w:r>
      <w:r w:rsidR="00A12C97">
        <w:rPr>
          <w:rFonts w:hint="cs"/>
          <w:rtl/>
        </w:rPr>
        <w:t>بالنسبة ل</w:t>
      </w:r>
      <w:r w:rsidRPr="00092F2B">
        <w:rPr>
          <w:rFonts w:hint="cs"/>
          <w:rtl/>
        </w:rPr>
        <w:t xml:space="preserve">لنساء، </w:t>
      </w:r>
      <w:r w:rsidR="00A12C97">
        <w:rPr>
          <w:rFonts w:hint="cs"/>
          <w:rtl/>
        </w:rPr>
        <w:t xml:space="preserve">التي يبدو أنها </w:t>
      </w:r>
      <w:r w:rsidRPr="00092F2B">
        <w:rPr>
          <w:rFonts w:hint="cs"/>
          <w:rtl/>
        </w:rPr>
        <w:t xml:space="preserve">تنتهك كلا من اتفاقية القضاء على جميع أشكال التمييز ضد المرأة واتفاقيات منظمة العمل الدولية. وعلاوة على ذلك، فإنه ينبغي </w:t>
      </w:r>
      <w:r w:rsidR="00A12C97">
        <w:rPr>
          <w:rFonts w:hint="cs"/>
          <w:rtl/>
        </w:rPr>
        <w:t>ل</w:t>
      </w:r>
      <w:r w:rsidRPr="00092F2B">
        <w:rPr>
          <w:rFonts w:hint="cs"/>
          <w:rtl/>
        </w:rPr>
        <w:t xml:space="preserve">ممثلة جورجيا أن </w:t>
      </w:r>
      <w:r w:rsidR="00A12C97">
        <w:rPr>
          <w:rFonts w:hint="cs"/>
          <w:rtl/>
        </w:rPr>
        <w:t>تطمئن ا</w:t>
      </w:r>
      <w:r w:rsidRPr="00092F2B">
        <w:rPr>
          <w:rFonts w:hint="cs"/>
          <w:rtl/>
        </w:rPr>
        <w:t>للجنة أن الحظر على عمل المرأة في الأعمال الخطرة، و</w:t>
      </w:r>
      <w:r w:rsidR="00A12C97">
        <w:rPr>
          <w:rFonts w:hint="cs"/>
          <w:rtl/>
        </w:rPr>
        <w:t>المجهدة كثيرا (الفقرة 75) لا</w:t>
      </w:r>
      <w:r w:rsidR="00A12C97">
        <w:rPr>
          <w:rFonts w:hint="eastAsia"/>
          <w:rtl/>
        </w:rPr>
        <w:t> </w:t>
      </w:r>
      <w:r w:rsidRPr="00092F2B">
        <w:rPr>
          <w:rFonts w:hint="cs"/>
          <w:rtl/>
        </w:rPr>
        <w:t xml:space="preserve">يستخدم كذريعة </w:t>
      </w:r>
      <w:r w:rsidR="00A12C97">
        <w:rPr>
          <w:rFonts w:hint="cs"/>
          <w:rtl/>
        </w:rPr>
        <w:t>لحرمان المرأة من العمل.</w:t>
      </w:r>
    </w:p>
    <w:p w:rsidR="00415B26" w:rsidRPr="00415B26" w:rsidRDefault="00415B26" w:rsidP="00415B26">
      <w:pPr>
        <w:pStyle w:val="DualTxt"/>
        <w:spacing w:after="0" w:line="120" w:lineRule="exact"/>
        <w:rPr>
          <w:rFonts w:hint="cs"/>
          <w:i/>
          <w:iCs/>
          <w:sz w:val="10"/>
          <w:rtl/>
        </w:rPr>
      </w:pPr>
    </w:p>
    <w:p w:rsidR="00092F2B" w:rsidRPr="00A12C97" w:rsidRDefault="00092F2B" w:rsidP="00092F2B">
      <w:pPr>
        <w:pStyle w:val="DualTxt"/>
        <w:rPr>
          <w:rFonts w:hint="cs"/>
          <w:i/>
          <w:iCs/>
          <w:rtl/>
        </w:rPr>
      </w:pPr>
      <w:r w:rsidRPr="00A12C97">
        <w:rPr>
          <w:rFonts w:hint="cs"/>
          <w:i/>
          <w:iCs/>
          <w:rtl/>
        </w:rPr>
        <w:t>المادة 12</w:t>
      </w:r>
    </w:p>
    <w:p w:rsidR="00092F2B" w:rsidRPr="00092F2B" w:rsidRDefault="00092F2B" w:rsidP="00415B26">
      <w:pPr>
        <w:pStyle w:val="DualTxt"/>
        <w:rPr>
          <w:rFonts w:hint="cs"/>
          <w:rtl/>
        </w:rPr>
      </w:pPr>
      <w:r w:rsidRPr="00092F2B">
        <w:rPr>
          <w:rFonts w:hint="cs"/>
          <w:rtl/>
        </w:rPr>
        <w:t>5 -</w:t>
      </w:r>
      <w:r w:rsidRPr="00092F2B">
        <w:rPr>
          <w:rFonts w:hint="cs"/>
          <w:rtl/>
        </w:rPr>
        <w:tab/>
      </w:r>
      <w:r w:rsidRPr="00092F2B">
        <w:rPr>
          <w:rFonts w:hint="cs"/>
          <w:b/>
          <w:bCs/>
          <w:rtl/>
        </w:rPr>
        <w:t>السيدة شالوف</w:t>
      </w:r>
      <w:r w:rsidRPr="00092F2B">
        <w:rPr>
          <w:rFonts w:hint="cs"/>
          <w:rtl/>
        </w:rPr>
        <w:t xml:space="preserve">: هنأت جورجيا على اعتماد قانون حقوق المرضى وتساءلت عن محتواه. </w:t>
      </w:r>
      <w:r w:rsidR="00A12C97">
        <w:rPr>
          <w:rFonts w:hint="cs"/>
          <w:rtl/>
        </w:rPr>
        <w:t xml:space="preserve">وقالت إنه </w:t>
      </w:r>
      <w:r w:rsidRPr="00092F2B">
        <w:rPr>
          <w:rFonts w:hint="cs"/>
          <w:rtl/>
        </w:rPr>
        <w:t xml:space="preserve">سيكون من </w:t>
      </w:r>
      <w:r w:rsidR="00A12C97">
        <w:rPr>
          <w:rFonts w:hint="cs"/>
          <w:rtl/>
        </w:rPr>
        <w:t xml:space="preserve">الشيّق </w:t>
      </w:r>
      <w:r w:rsidRPr="00092F2B">
        <w:rPr>
          <w:rFonts w:hint="cs"/>
          <w:rtl/>
        </w:rPr>
        <w:t>معرفة ما إذا كانت المبادئ المجسدة في القانون تتفق مع التوصية العامة للجنة بشأن المادة 12، التي د</w:t>
      </w:r>
      <w:r w:rsidR="00415B26">
        <w:rPr>
          <w:rFonts w:hint="cs"/>
          <w:rtl/>
        </w:rPr>
        <w:t>ع</w:t>
      </w:r>
      <w:r w:rsidRPr="00092F2B">
        <w:rPr>
          <w:rFonts w:hint="cs"/>
          <w:rtl/>
        </w:rPr>
        <w:t xml:space="preserve">ت، </w:t>
      </w:r>
      <w:r w:rsidR="00A12C97">
        <w:rPr>
          <w:rFonts w:hint="cs"/>
          <w:rtl/>
        </w:rPr>
        <w:t xml:space="preserve">في جملة </w:t>
      </w:r>
      <w:r w:rsidRPr="00092F2B">
        <w:rPr>
          <w:rFonts w:hint="cs"/>
          <w:rtl/>
        </w:rPr>
        <w:t>أمور</w:t>
      </w:r>
      <w:r w:rsidR="00415B26">
        <w:rPr>
          <w:rFonts w:hint="cs"/>
          <w:rtl/>
        </w:rPr>
        <w:t>،</w:t>
      </w:r>
      <w:r w:rsidRPr="00092F2B">
        <w:rPr>
          <w:rFonts w:hint="cs"/>
          <w:rtl/>
        </w:rPr>
        <w:t xml:space="preserve"> </w:t>
      </w:r>
      <w:r w:rsidR="00A12C97">
        <w:rPr>
          <w:rFonts w:hint="cs"/>
          <w:rtl/>
        </w:rPr>
        <w:t xml:space="preserve">إلى أهمية التمتع بالحق في </w:t>
      </w:r>
      <w:r w:rsidRPr="00092F2B">
        <w:rPr>
          <w:rFonts w:hint="cs"/>
          <w:rtl/>
        </w:rPr>
        <w:t>الاختيار عن علم والسرية والخصوصية. و</w:t>
      </w:r>
      <w:r w:rsidR="00A12C97">
        <w:rPr>
          <w:rFonts w:hint="cs"/>
          <w:rtl/>
        </w:rPr>
        <w:t xml:space="preserve">أعربت </w:t>
      </w:r>
      <w:r w:rsidRPr="00092F2B">
        <w:rPr>
          <w:rFonts w:hint="cs"/>
          <w:rtl/>
        </w:rPr>
        <w:t xml:space="preserve">عن القلق من ارتفاع معدلات الوفيات النفاسية ووفيات </w:t>
      </w:r>
      <w:r w:rsidR="00A12C97">
        <w:rPr>
          <w:rFonts w:hint="cs"/>
          <w:rtl/>
        </w:rPr>
        <w:t xml:space="preserve">الرضع </w:t>
      </w:r>
      <w:r w:rsidRPr="00092F2B">
        <w:rPr>
          <w:rFonts w:hint="cs"/>
          <w:rtl/>
        </w:rPr>
        <w:t xml:space="preserve">(الفقرتان 102 و 108)، خاصة منذ أن اعتمد قانون التأمين الطبي في عام 1997، وتساءلت </w:t>
      </w:r>
      <w:r w:rsidR="00415B26">
        <w:rPr>
          <w:rFonts w:hint="cs"/>
          <w:rtl/>
        </w:rPr>
        <w:t>ع</w:t>
      </w:r>
      <w:r w:rsidRPr="00092F2B">
        <w:rPr>
          <w:rFonts w:hint="cs"/>
          <w:rtl/>
        </w:rPr>
        <w:t xml:space="preserve">ما إذا كان الانتقال إلى نظام الأجر مقابل الخدمة في المستشفيات نتيجة للخصخصة مسؤولا عن المشكلة. </w:t>
      </w:r>
      <w:r w:rsidR="00A12C97">
        <w:rPr>
          <w:rFonts w:hint="cs"/>
          <w:rtl/>
        </w:rPr>
        <w:t xml:space="preserve">وقالت إنه </w:t>
      </w:r>
      <w:r w:rsidRPr="00092F2B">
        <w:rPr>
          <w:rFonts w:hint="cs"/>
          <w:rtl/>
        </w:rPr>
        <w:t xml:space="preserve">ينبغي </w:t>
      </w:r>
      <w:r w:rsidR="00A12C97">
        <w:rPr>
          <w:rFonts w:hint="cs"/>
          <w:rtl/>
        </w:rPr>
        <w:t>ل</w:t>
      </w:r>
      <w:r w:rsidRPr="00092F2B">
        <w:rPr>
          <w:rFonts w:hint="cs"/>
          <w:rtl/>
        </w:rPr>
        <w:t xml:space="preserve">ممثلة جورجيا أن تصف الخدمات المجتمعية </w:t>
      </w:r>
      <w:r w:rsidR="00A12C97">
        <w:rPr>
          <w:rFonts w:hint="cs"/>
          <w:rtl/>
        </w:rPr>
        <w:t xml:space="preserve">السابقة للولادة </w:t>
      </w:r>
      <w:r w:rsidRPr="00092F2B">
        <w:rPr>
          <w:rFonts w:hint="cs"/>
          <w:rtl/>
        </w:rPr>
        <w:t xml:space="preserve">المتوفرة </w:t>
      </w:r>
      <w:r w:rsidR="00A12C97">
        <w:rPr>
          <w:rFonts w:hint="cs"/>
          <w:rtl/>
        </w:rPr>
        <w:t>للمرأة</w:t>
      </w:r>
      <w:r w:rsidRPr="00092F2B">
        <w:rPr>
          <w:rFonts w:hint="cs"/>
          <w:rtl/>
        </w:rPr>
        <w:t xml:space="preserve">، بما في ذلك تلك المشمولة بقانون التأمين الطبي. وفي ذلك الخصوص، </w:t>
      </w:r>
      <w:r w:rsidR="00A12C97">
        <w:rPr>
          <w:rFonts w:hint="cs"/>
          <w:rtl/>
        </w:rPr>
        <w:t xml:space="preserve">وجهت </w:t>
      </w:r>
      <w:r w:rsidRPr="00092F2B">
        <w:rPr>
          <w:rFonts w:hint="cs"/>
          <w:rtl/>
        </w:rPr>
        <w:t>الاهتمام إلى المادة 12، الفقرة 2، من الاتفاقية، التي ذكرت الحاجة إلى تقديم خدم</w:t>
      </w:r>
      <w:r w:rsidR="00A12C97">
        <w:rPr>
          <w:rFonts w:hint="cs"/>
          <w:rtl/>
        </w:rPr>
        <w:t>ات</w:t>
      </w:r>
      <w:r w:rsidRPr="00092F2B">
        <w:rPr>
          <w:rFonts w:hint="cs"/>
          <w:rtl/>
        </w:rPr>
        <w:t xml:space="preserve"> مجانية عند</w:t>
      </w:r>
      <w:r w:rsidR="00415B26">
        <w:rPr>
          <w:rFonts w:hint="cs"/>
          <w:rtl/>
        </w:rPr>
        <w:t xml:space="preserve"> </w:t>
      </w:r>
      <w:r w:rsidRPr="00092F2B">
        <w:rPr>
          <w:rFonts w:hint="cs"/>
          <w:rtl/>
        </w:rPr>
        <w:t>الضرورة.</w:t>
      </w:r>
    </w:p>
    <w:p w:rsidR="00092F2B" w:rsidRPr="00092F2B" w:rsidRDefault="00415B26" w:rsidP="00E43A1A">
      <w:pPr>
        <w:pStyle w:val="DualTxt"/>
        <w:rPr>
          <w:rFonts w:hint="cs"/>
          <w:rtl/>
        </w:rPr>
      </w:pPr>
      <w:r>
        <w:rPr>
          <w:rFonts w:hint="cs"/>
          <w:rtl/>
        </w:rPr>
        <w:t>6 -</w:t>
      </w:r>
      <w:r>
        <w:rPr>
          <w:rFonts w:hint="cs"/>
          <w:rtl/>
        </w:rPr>
        <w:tab/>
        <w:t>و</w:t>
      </w:r>
      <w:r w:rsidR="00A12C97">
        <w:rPr>
          <w:rFonts w:hint="cs"/>
          <w:rtl/>
        </w:rPr>
        <w:t xml:space="preserve">تحولت </w:t>
      </w:r>
      <w:r w:rsidR="00092F2B" w:rsidRPr="00092F2B">
        <w:rPr>
          <w:rFonts w:hint="cs"/>
          <w:rtl/>
        </w:rPr>
        <w:t xml:space="preserve">إلى قضية الإجهاض، فأثنت على جورجيا لشراكتها مع صندوق الأمم المتحدة للسكان لتعزيز استخدام موانع الحمل العصرية، وأكدت على الحاجة إلى تعليم الشباب بدائل الإجهاض. وطلبت توضيحا </w:t>
      </w:r>
      <w:r w:rsidR="00A12C97">
        <w:rPr>
          <w:rFonts w:hint="cs"/>
          <w:rtl/>
        </w:rPr>
        <w:t xml:space="preserve">عن </w:t>
      </w:r>
      <w:r w:rsidR="00092F2B" w:rsidRPr="00092F2B">
        <w:rPr>
          <w:rFonts w:hint="cs"/>
          <w:rtl/>
        </w:rPr>
        <w:t xml:space="preserve">تشريع الإجهاض في جورجيا وتفاصيل إضافية عن حالات الإجهاض غير المشروع المذكورة في التقرير (الفقرة 101). ثم أشارت إلى الفقرة 44، فحذرت من السياسة غير الفعالة في استهداف البغايا لاحتواء انتشار الأمراض المنقولة جنسيا. </w:t>
      </w:r>
      <w:r w:rsidR="00E43A1A">
        <w:rPr>
          <w:rFonts w:hint="cs"/>
          <w:rtl/>
        </w:rPr>
        <w:t xml:space="preserve">وقالت إن اللجنة </w:t>
      </w:r>
      <w:r w:rsidR="00092F2B" w:rsidRPr="00092F2B">
        <w:rPr>
          <w:rFonts w:hint="cs"/>
          <w:rtl/>
        </w:rPr>
        <w:t xml:space="preserve">تلقت معلومات عن ارتفاع حالات الأمراض المنقولة جنسيا بين الشباب الجورجي في الفئة العمرية من 19 إلى 25 سنة، بما في ذلك الغيريون جنسيا. وعلى الدولة الطرف أن تصف أي برامج صحية </w:t>
      </w:r>
      <w:r w:rsidR="00E43A1A">
        <w:rPr>
          <w:rFonts w:hint="cs"/>
          <w:rtl/>
        </w:rPr>
        <w:t xml:space="preserve">قائمة </w:t>
      </w:r>
      <w:r w:rsidR="00092F2B" w:rsidRPr="00092F2B">
        <w:rPr>
          <w:rFonts w:hint="cs"/>
          <w:rtl/>
        </w:rPr>
        <w:t>لتلك الفئة العمرية.</w:t>
      </w:r>
    </w:p>
    <w:p w:rsidR="00092F2B" w:rsidRPr="00092F2B" w:rsidRDefault="00092F2B" w:rsidP="00E43A1A">
      <w:pPr>
        <w:pStyle w:val="DualTxt"/>
        <w:rPr>
          <w:rFonts w:hint="cs"/>
          <w:rtl/>
        </w:rPr>
      </w:pPr>
      <w:r w:rsidRPr="00092F2B">
        <w:rPr>
          <w:rFonts w:hint="cs"/>
          <w:rtl/>
        </w:rPr>
        <w:t>7 -</w:t>
      </w:r>
      <w:r w:rsidRPr="00092F2B">
        <w:rPr>
          <w:rFonts w:hint="cs"/>
          <w:rtl/>
        </w:rPr>
        <w:tab/>
        <w:t xml:space="preserve">ثم تساءلت </w:t>
      </w:r>
      <w:r w:rsidR="00E43A1A">
        <w:rPr>
          <w:rFonts w:hint="cs"/>
          <w:rtl/>
        </w:rPr>
        <w:t>ع</w:t>
      </w:r>
      <w:r w:rsidRPr="00092F2B">
        <w:rPr>
          <w:rFonts w:hint="cs"/>
          <w:rtl/>
        </w:rPr>
        <w:t xml:space="preserve">ما إذا كانت السلطات الجورجية تفكر في أن تطلب إلى </w:t>
      </w:r>
      <w:r w:rsidR="00E43A1A">
        <w:rPr>
          <w:rFonts w:hint="cs"/>
          <w:rtl/>
        </w:rPr>
        <w:t xml:space="preserve">المهنيين في مجال الصحة </w:t>
      </w:r>
      <w:r w:rsidRPr="00092F2B">
        <w:rPr>
          <w:rFonts w:hint="cs"/>
          <w:rtl/>
        </w:rPr>
        <w:t>تبليغ الشرطة ب</w:t>
      </w:r>
      <w:r w:rsidR="00415B26">
        <w:rPr>
          <w:rFonts w:hint="cs"/>
          <w:rtl/>
        </w:rPr>
        <w:t xml:space="preserve">حوادث العنف ضد المرأة. وأخيرا، </w:t>
      </w:r>
      <w:r w:rsidR="00E43A1A">
        <w:rPr>
          <w:rFonts w:hint="cs"/>
          <w:rtl/>
        </w:rPr>
        <w:t xml:space="preserve">قالت إنها ستكون </w:t>
      </w:r>
      <w:r w:rsidRPr="00092F2B">
        <w:rPr>
          <w:rFonts w:hint="cs"/>
          <w:rtl/>
        </w:rPr>
        <w:t>ممتنة لو أمكن الحصول على المزيد من التفاصيل عن برنامج السنة 2010 المعني بتعزيز صحة المرأة.</w:t>
      </w:r>
    </w:p>
    <w:p w:rsidR="00092F2B" w:rsidRPr="00092F2B" w:rsidRDefault="00092F2B" w:rsidP="00E43A1A">
      <w:pPr>
        <w:pStyle w:val="DualTxt"/>
        <w:rPr>
          <w:rFonts w:hint="cs"/>
        </w:rPr>
      </w:pPr>
      <w:r w:rsidRPr="00092F2B">
        <w:rPr>
          <w:rFonts w:hint="cs"/>
          <w:rtl/>
        </w:rPr>
        <w:t>8 -</w:t>
      </w:r>
      <w:r w:rsidRPr="00092F2B">
        <w:rPr>
          <w:rFonts w:hint="cs"/>
          <w:rtl/>
        </w:rPr>
        <w:tab/>
        <w:t>رأست الجلسة السيدة غونزالز، الرئيسة.</w:t>
      </w:r>
    </w:p>
    <w:p w:rsidR="00092F2B" w:rsidRPr="00092F2B" w:rsidRDefault="00092F2B" w:rsidP="00415B26">
      <w:pPr>
        <w:pStyle w:val="DualTxt"/>
        <w:rPr>
          <w:rFonts w:hint="cs"/>
        </w:rPr>
      </w:pPr>
      <w:r w:rsidRPr="00092F2B">
        <w:rPr>
          <w:rFonts w:hint="cs"/>
          <w:rtl/>
        </w:rPr>
        <w:t>9 -</w:t>
      </w:r>
      <w:r w:rsidRPr="00092F2B">
        <w:rPr>
          <w:rFonts w:hint="cs"/>
          <w:rtl/>
        </w:rPr>
        <w:tab/>
      </w:r>
      <w:r w:rsidRPr="00092F2B">
        <w:rPr>
          <w:rFonts w:hint="cs"/>
          <w:b/>
          <w:bCs/>
          <w:rtl/>
        </w:rPr>
        <w:t>السيدة أباكا</w:t>
      </w:r>
      <w:r w:rsidRPr="00092F2B">
        <w:rPr>
          <w:rFonts w:hint="cs"/>
          <w:rtl/>
        </w:rPr>
        <w:t xml:space="preserve">: سألت عن استهلاك النيكوتين بين النساء، وخاصة نظرا لصعوبات جورجيا الاقتصادية، وعن </w:t>
      </w:r>
      <w:r w:rsidR="00E43A1A">
        <w:rPr>
          <w:rFonts w:hint="cs"/>
          <w:rtl/>
        </w:rPr>
        <w:t>الصلة</w:t>
      </w:r>
      <w:r w:rsidRPr="00092F2B">
        <w:rPr>
          <w:rFonts w:hint="cs"/>
          <w:rtl/>
        </w:rPr>
        <w:t xml:space="preserve"> بين التدخين والمعدلات العالية للوفيات النفاسية ووفيات </w:t>
      </w:r>
      <w:r w:rsidR="00E43A1A">
        <w:rPr>
          <w:rFonts w:hint="cs"/>
          <w:rtl/>
        </w:rPr>
        <w:t>الرضع</w:t>
      </w:r>
      <w:r w:rsidRPr="00092F2B">
        <w:rPr>
          <w:rFonts w:hint="cs"/>
          <w:rtl/>
        </w:rPr>
        <w:t>. ورحبت بالمعلومات الإضافية عن سياسة الدولة الطرف بشأن التبغ، وكذلك،</w:t>
      </w:r>
      <w:r w:rsidR="00415B26">
        <w:rPr>
          <w:rFonts w:hint="cs"/>
          <w:rtl/>
        </w:rPr>
        <w:t xml:space="preserve"> على نحو خاص، أي</w:t>
      </w:r>
      <w:r w:rsidR="00415B26">
        <w:rPr>
          <w:rFonts w:hint="eastAsia"/>
          <w:rtl/>
        </w:rPr>
        <w:t> </w:t>
      </w:r>
      <w:r w:rsidRPr="00092F2B">
        <w:rPr>
          <w:rFonts w:hint="cs"/>
          <w:rtl/>
        </w:rPr>
        <w:t xml:space="preserve">برامج </w:t>
      </w:r>
      <w:r w:rsidR="00E43A1A">
        <w:rPr>
          <w:rFonts w:hint="cs"/>
          <w:rtl/>
        </w:rPr>
        <w:t>يراد منها التصدي ل</w:t>
      </w:r>
      <w:r w:rsidRPr="00092F2B">
        <w:rPr>
          <w:rFonts w:hint="cs"/>
          <w:rtl/>
        </w:rPr>
        <w:t>سوء استعماله من قبل النساء</w:t>
      </w:r>
      <w:r w:rsidR="00415B26">
        <w:rPr>
          <w:rFonts w:hint="eastAsia"/>
          <w:rtl/>
        </w:rPr>
        <w:t> </w:t>
      </w:r>
      <w:r w:rsidRPr="00092F2B">
        <w:rPr>
          <w:rFonts w:hint="cs"/>
          <w:rtl/>
        </w:rPr>
        <w:t>والشباب.</w:t>
      </w:r>
    </w:p>
    <w:p w:rsidR="00092F2B" w:rsidRPr="00092F2B" w:rsidRDefault="00092F2B" w:rsidP="00E43A1A">
      <w:pPr>
        <w:pStyle w:val="DualTxt"/>
        <w:rPr>
          <w:rFonts w:hint="cs"/>
          <w:rtl/>
        </w:rPr>
      </w:pPr>
      <w:r w:rsidRPr="00092F2B">
        <w:rPr>
          <w:rFonts w:hint="cs"/>
          <w:rtl/>
        </w:rPr>
        <w:t>10 -</w:t>
      </w:r>
      <w:r w:rsidRPr="00092F2B">
        <w:rPr>
          <w:rFonts w:hint="cs"/>
          <w:rtl/>
        </w:rPr>
        <w:tab/>
      </w:r>
      <w:r w:rsidRPr="00092F2B">
        <w:rPr>
          <w:rFonts w:hint="cs"/>
          <w:b/>
          <w:bCs/>
          <w:rtl/>
        </w:rPr>
        <w:t>السيدة شوب - شيلنغ</w:t>
      </w:r>
      <w:r w:rsidRPr="00092F2B">
        <w:rPr>
          <w:rFonts w:hint="cs"/>
          <w:rtl/>
        </w:rPr>
        <w:t xml:space="preserve">: قالت إنها من خلال قراءة تقرير الدولة الطرف إلى اللجنة بشأن الحقوق الاقتصادية والاجتماعية والثقافية، عرفت أن عدد المستشفيات في جورجيا قد انخفض إلى حد مريع نتيجة لخصخصة الرعاية الطبية. </w:t>
      </w:r>
      <w:r w:rsidR="00E43A1A">
        <w:rPr>
          <w:rFonts w:hint="cs"/>
          <w:rtl/>
        </w:rPr>
        <w:t xml:space="preserve">وقالت إن </w:t>
      </w:r>
      <w:r w:rsidRPr="00092F2B">
        <w:rPr>
          <w:rFonts w:hint="cs"/>
          <w:rtl/>
        </w:rPr>
        <w:t xml:space="preserve">على الدولة الطرف أن </w:t>
      </w:r>
      <w:r w:rsidR="00E43A1A">
        <w:rPr>
          <w:rFonts w:hint="cs"/>
          <w:rtl/>
        </w:rPr>
        <w:t xml:space="preserve">تعلل </w:t>
      </w:r>
      <w:r w:rsidRPr="00092F2B">
        <w:rPr>
          <w:rFonts w:hint="cs"/>
          <w:rtl/>
        </w:rPr>
        <w:t xml:space="preserve">قرارها بالتخلي عن نظامها السابق الفعال جدا وأثر الخصخصة على صحة المرأة، بما في ذلك صحتها الإنجابية. </w:t>
      </w:r>
      <w:r w:rsidR="00E43A1A">
        <w:rPr>
          <w:rFonts w:hint="cs"/>
          <w:rtl/>
        </w:rPr>
        <w:t>وأضافت أ</w:t>
      </w:r>
      <w:r w:rsidRPr="00092F2B">
        <w:rPr>
          <w:rFonts w:hint="cs"/>
          <w:rtl/>
        </w:rPr>
        <w:t xml:space="preserve">ن النقص في الخدمات الطبية أمر مقلق على نحو خاص في وقت يؤثر فيه انهيار الإنتاج </w:t>
      </w:r>
      <w:r w:rsidR="00E43A1A">
        <w:rPr>
          <w:rFonts w:hint="cs"/>
          <w:rtl/>
        </w:rPr>
        <w:t>الزراعي المعروض من الأغذية</w:t>
      </w:r>
      <w:r w:rsidRPr="00092F2B">
        <w:rPr>
          <w:rFonts w:hint="cs"/>
          <w:rtl/>
        </w:rPr>
        <w:t>.</w:t>
      </w:r>
    </w:p>
    <w:p w:rsidR="00415B26" w:rsidRPr="00415B26" w:rsidRDefault="00415B26" w:rsidP="00415B26">
      <w:pPr>
        <w:pStyle w:val="DualTxt"/>
        <w:spacing w:after="0" w:line="120" w:lineRule="exact"/>
        <w:rPr>
          <w:rFonts w:hint="cs"/>
          <w:i/>
          <w:iCs/>
          <w:sz w:val="10"/>
          <w:rtl/>
        </w:rPr>
      </w:pPr>
    </w:p>
    <w:p w:rsidR="00092F2B" w:rsidRPr="00E43A1A" w:rsidRDefault="00092F2B" w:rsidP="00092F2B">
      <w:pPr>
        <w:pStyle w:val="DualTxt"/>
        <w:rPr>
          <w:rFonts w:hint="cs"/>
          <w:i/>
          <w:iCs/>
          <w:rtl/>
        </w:rPr>
      </w:pPr>
      <w:r w:rsidRPr="00E43A1A">
        <w:rPr>
          <w:rFonts w:hint="cs"/>
          <w:i/>
          <w:iCs/>
          <w:rtl/>
        </w:rPr>
        <w:t>المادة 14</w:t>
      </w:r>
    </w:p>
    <w:p w:rsidR="00092F2B" w:rsidRPr="00092F2B" w:rsidRDefault="00092F2B" w:rsidP="00E43A1A">
      <w:pPr>
        <w:pStyle w:val="DualTxt"/>
        <w:rPr>
          <w:rFonts w:hint="cs"/>
          <w:rtl/>
        </w:rPr>
      </w:pPr>
      <w:r w:rsidRPr="00092F2B">
        <w:rPr>
          <w:rFonts w:hint="cs"/>
          <w:rtl/>
        </w:rPr>
        <w:t>11 -</w:t>
      </w:r>
      <w:r w:rsidRPr="00092F2B">
        <w:rPr>
          <w:rFonts w:hint="cs"/>
          <w:rtl/>
        </w:rPr>
        <w:tab/>
      </w:r>
      <w:r w:rsidRPr="00092F2B">
        <w:rPr>
          <w:rFonts w:hint="cs"/>
          <w:b/>
          <w:bCs/>
          <w:rtl/>
        </w:rPr>
        <w:t xml:space="preserve">السيدة فنغ </w:t>
      </w:r>
      <w:r w:rsidRPr="00092F2B">
        <w:rPr>
          <w:rFonts w:hint="cs"/>
          <w:rtl/>
        </w:rPr>
        <w:t xml:space="preserve">كوي: لاحظت أن النساء الريفيات يشكلن ربع سكان البلد، وأن 81.3 في المائة من النساء يشاركن في العمل الزراعي. ثم طلبت تفاصيل إضافية عن وضع المرأة الريفية، بما في ذلك أثر الإصلاح الزراعي؛ ووجود تمييز بحكم الأمر الواقع إن لم يكن بحكم القانون؛ والنسبة المئوية من النساء الريفيات </w:t>
      </w:r>
      <w:r w:rsidR="00E43A1A">
        <w:rPr>
          <w:rFonts w:hint="cs"/>
          <w:rtl/>
        </w:rPr>
        <w:t>المعوزات</w:t>
      </w:r>
      <w:r w:rsidRPr="00092F2B">
        <w:rPr>
          <w:rFonts w:hint="cs"/>
          <w:rtl/>
        </w:rPr>
        <w:t xml:space="preserve">؛ وأوضاعهن فيما يتعلق بالصحة والتعليم. ثم تساءلت </w:t>
      </w:r>
      <w:r w:rsidR="00415B26">
        <w:rPr>
          <w:rFonts w:hint="cs"/>
          <w:rtl/>
        </w:rPr>
        <w:t>ع</w:t>
      </w:r>
      <w:r w:rsidRPr="00092F2B">
        <w:rPr>
          <w:rFonts w:hint="cs"/>
          <w:rtl/>
        </w:rPr>
        <w:t>ما إذا كانت خطة العمل للنهوض بالمرأة للفترة 1998-2000 (</w:t>
      </w:r>
      <w:r w:rsidRPr="00092F2B">
        <w:t>CEDAW/C/GEO/A/Add.1</w:t>
      </w:r>
      <w:r w:rsidRPr="00092F2B">
        <w:rPr>
          <w:rFonts w:hint="cs"/>
          <w:rtl/>
        </w:rPr>
        <w:t>، الفقرة 6) تحتوي على أهداف محددة تتعلق بالنساء الريفيات و</w:t>
      </w:r>
      <w:r w:rsidR="00E43A1A">
        <w:rPr>
          <w:rFonts w:hint="cs"/>
          <w:rtl/>
        </w:rPr>
        <w:t xml:space="preserve">أعربت </w:t>
      </w:r>
      <w:r w:rsidRPr="00092F2B">
        <w:rPr>
          <w:rFonts w:hint="cs"/>
          <w:rtl/>
        </w:rPr>
        <w:t xml:space="preserve">عن الأمل </w:t>
      </w:r>
      <w:r w:rsidR="00E43A1A">
        <w:rPr>
          <w:rFonts w:hint="cs"/>
          <w:rtl/>
        </w:rPr>
        <w:t xml:space="preserve">في </w:t>
      </w:r>
      <w:r w:rsidRPr="00092F2B">
        <w:rPr>
          <w:rFonts w:hint="cs"/>
          <w:rtl/>
        </w:rPr>
        <w:t xml:space="preserve">أن </w:t>
      </w:r>
      <w:r w:rsidR="00E43A1A">
        <w:rPr>
          <w:rFonts w:hint="cs"/>
          <w:rtl/>
        </w:rPr>
        <w:t xml:space="preserve">يوفر </w:t>
      </w:r>
      <w:r w:rsidRPr="00092F2B">
        <w:rPr>
          <w:rFonts w:hint="cs"/>
          <w:rtl/>
        </w:rPr>
        <w:t>التقرير التالي للدولة الطرف الإحصاءات عنها.</w:t>
      </w:r>
    </w:p>
    <w:p w:rsidR="00092F2B" w:rsidRPr="00092F2B" w:rsidRDefault="00092F2B" w:rsidP="00415B26">
      <w:pPr>
        <w:pStyle w:val="DualTxt"/>
        <w:spacing w:line="380" w:lineRule="exact"/>
        <w:rPr>
          <w:rFonts w:hint="cs"/>
          <w:rtl/>
        </w:rPr>
      </w:pPr>
      <w:r w:rsidRPr="00092F2B">
        <w:rPr>
          <w:rFonts w:hint="cs"/>
          <w:rtl/>
        </w:rPr>
        <w:t>12 -</w:t>
      </w:r>
      <w:r w:rsidRPr="00092F2B">
        <w:rPr>
          <w:rFonts w:hint="cs"/>
          <w:rtl/>
        </w:rPr>
        <w:tab/>
      </w:r>
      <w:r w:rsidRPr="00092F2B">
        <w:rPr>
          <w:rFonts w:hint="cs"/>
          <w:b/>
          <w:bCs/>
          <w:rtl/>
        </w:rPr>
        <w:t>السيدة كويدراوغو</w:t>
      </w:r>
      <w:r w:rsidRPr="00092F2B">
        <w:rPr>
          <w:rFonts w:hint="cs"/>
          <w:rtl/>
        </w:rPr>
        <w:t xml:space="preserve">: لاحظت عدم توفر التفاصيل أو الإحصاءات </w:t>
      </w:r>
      <w:r w:rsidR="00E43A1A">
        <w:rPr>
          <w:rFonts w:hint="cs"/>
          <w:rtl/>
        </w:rPr>
        <w:t>الداعمة للزعم ب</w:t>
      </w:r>
      <w:r w:rsidRPr="00092F2B">
        <w:rPr>
          <w:rFonts w:hint="cs"/>
          <w:rtl/>
        </w:rPr>
        <w:t xml:space="preserve">عدم وجود تمييز ضد المرأة الريفية (الفقرة 121). </w:t>
      </w:r>
      <w:r w:rsidR="00E43A1A">
        <w:rPr>
          <w:rFonts w:hint="cs"/>
          <w:rtl/>
        </w:rPr>
        <w:t xml:space="preserve">وأضافت أنه </w:t>
      </w:r>
      <w:r w:rsidRPr="00092F2B">
        <w:rPr>
          <w:rFonts w:hint="cs"/>
          <w:rtl/>
        </w:rPr>
        <w:t xml:space="preserve">كان ينبغي </w:t>
      </w:r>
      <w:r w:rsidR="00E43A1A">
        <w:rPr>
          <w:rFonts w:hint="cs"/>
          <w:rtl/>
        </w:rPr>
        <w:t xml:space="preserve">أن يقدم </w:t>
      </w:r>
      <w:r w:rsidRPr="00092F2B">
        <w:rPr>
          <w:rFonts w:hint="cs"/>
          <w:rtl/>
        </w:rPr>
        <w:t xml:space="preserve">التقرير معلومات عن وصول المرأة الريفية إلى خدمات الصحة وتنظيم الأسرة، وكذلك عن معدلات معرفة القراءة والكتابة. </w:t>
      </w:r>
      <w:r w:rsidR="00E43A1A">
        <w:rPr>
          <w:rFonts w:hint="cs"/>
          <w:rtl/>
        </w:rPr>
        <w:t xml:space="preserve">وأنها تأمل </w:t>
      </w:r>
      <w:r w:rsidRPr="00092F2B">
        <w:rPr>
          <w:rFonts w:hint="cs"/>
          <w:rtl/>
        </w:rPr>
        <w:t>أن يعالج التقرير الدوري الثاني للدولة الطرف جميع نواحي وضع المرأة الريفية، بما في ذلك ملكية الأرض، و</w:t>
      </w:r>
      <w:r w:rsidR="00E43A1A">
        <w:rPr>
          <w:rFonts w:hint="cs"/>
          <w:rtl/>
        </w:rPr>
        <w:t xml:space="preserve">إمكانية حصولها على </w:t>
      </w:r>
      <w:r w:rsidRPr="00092F2B">
        <w:rPr>
          <w:rFonts w:hint="cs"/>
          <w:rtl/>
        </w:rPr>
        <w:t xml:space="preserve">التدريب والمعلومات المهنية. </w:t>
      </w:r>
      <w:r w:rsidR="00E43A1A">
        <w:rPr>
          <w:rFonts w:hint="cs"/>
          <w:rtl/>
        </w:rPr>
        <w:t xml:space="preserve">كما </w:t>
      </w:r>
      <w:r w:rsidRPr="00092F2B">
        <w:rPr>
          <w:rFonts w:hint="cs"/>
          <w:rtl/>
        </w:rPr>
        <w:t>يجب أن ي</w:t>
      </w:r>
      <w:r w:rsidR="00E43A1A">
        <w:rPr>
          <w:rFonts w:hint="cs"/>
          <w:rtl/>
        </w:rPr>
        <w:t xml:space="preserve">وضح </w:t>
      </w:r>
      <w:r w:rsidRPr="00092F2B">
        <w:rPr>
          <w:rFonts w:hint="cs"/>
          <w:rtl/>
        </w:rPr>
        <w:t>أيضا ما إذا كانت الاتفاقية تنشر على النساء الريفيات وما إذا كن قادرات على ممارسة الحقوق نفسها التي للنساء الحضريات.</w:t>
      </w:r>
    </w:p>
    <w:p w:rsidR="00415B26" w:rsidRPr="00415B26" w:rsidRDefault="00415B26" w:rsidP="00415B26">
      <w:pPr>
        <w:pStyle w:val="DualTxt"/>
        <w:spacing w:after="0" w:line="120" w:lineRule="exact"/>
        <w:rPr>
          <w:rFonts w:hint="cs"/>
          <w:i/>
          <w:iCs/>
          <w:sz w:val="10"/>
          <w:rtl/>
        </w:rPr>
      </w:pPr>
    </w:p>
    <w:p w:rsidR="00092F2B" w:rsidRPr="00E43A1A" w:rsidRDefault="00092F2B" w:rsidP="00415B26">
      <w:pPr>
        <w:pStyle w:val="DualTxt"/>
        <w:spacing w:line="380" w:lineRule="exact"/>
        <w:rPr>
          <w:rFonts w:hint="cs"/>
          <w:i/>
          <w:iCs/>
          <w:rtl/>
        </w:rPr>
      </w:pPr>
      <w:r w:rsidRPr="00E43A1A">
        <w:rPr>
          <w:rFonts w:hint="cs"/>
          <w:i/>
          <w:iCs/>
          <w:rtl/>
        </w:rPr>
        <w:t>المادة 16</w:t>
      </w:r>
    </w:p>
    <w:p w:rsidR="00092F2B" w:rsidRPr="00092F2B" w:rsidRDefault="00092F2B" w:rsidP="00415B26">
      <w:pPr>
        <w:pStyle w:val="DualTxt"/>
        <w:spacing w:line="380" w:lineRule="exact"/>
        <w:rPr>
          <w:rFonts w:hint="cs"/>
          <w:rtl/>
        </w:rPr>
      </w:pPr>
      <w:r w:rsidRPr="00092F2B">
        <w:rPr>
          <w:rFonts w:hint="cs"/>
          <w:rtl/>
        </w:rPr>
        <w:t>13 -</w:t>
      </w:r>
      <w:r w:rsidRPr="00092F2B">
        <w:rPr>
          <w:rFonts w:hint="cs"/>
          <w:rtl/>
        </w:rPr>
        <w:tab/>
      </w:r>
      <w:r w:rsidRPr="00092F2B">
        <w:rPr>
          <w:rFonts w:hint="cs"/>
          <w:b/>
          <w:bCs/>
          <w:rtl/>
        </w:rPr>
        <w:t>السيدة غونيسكير</w:t>
      </w:r>
      <w:r w:rsidRPr="00092F2B">
        <w:rPr>
          <w:rFonts w:hint="cs"/>
          <w:rtl/>
        </w:rPr>
        <w:t xml:space="preserve">: لاحظت الإشارات المتكررة في التقرير إلى </w:t>
      </w:r>
      <w:r w:rsidR="00E43A1A">
        <w:rPr>
          <w:rFonts w:hint="cs"/>
          <w:rtl/>
        </w:rPr>
        <w:t xml:space="preserve">القوالب </w:t>
      </w:r>
      <w:r w:rsidRPr="00092F2B">
        <w:rPr>
          <w:rFonts w:hint="cs"/>
          <w:rtl/>
        </w:rPr>
        <w:t xml:space="preserve">النمطية والتمييز الجنساني </w:t>
      </w:r>
      <w:r w:rsidR="00E43A1A">
        <w:rPr>
          <w:rFonts w:hint="cs"/>
          <w:rtl/>
        </w:rPr>
        <w:t>في نطاق الأسرة</w:t>
      </w:r>
      <w:r w:rsidRPr="00092F2B">
        <w:rPr>
          <w:rFonts w:hint="cs"/>
          <w:rtl/>
        </w:rPr>
        <w:t xml:space="preserve">، وتساءلت عن القوى التي تدعم اعتماد قانون الأسرة لعام 1997 الذي </w:t>
      </w:r>
      <w:r w:rsidR="00E43A1A">
        <w:rPr>
          <w:rFonts w:hint="cs"/>
          <w:rtl/>
        </w:rPr>
        <w:t xml:space="preserve">يقرر </w:t>
      </w:r>
      <w:r w:rsidRPr="00092F2B">
        <w:rPr>
          <w:rFonts w:hint="cs"/>
          <w:rtl/>
        </w:rPr>
        <w:t xml:space="preserve">لمساواة </w:t>
      </w:r>
      <w:r w:rsidR="00E43A1A">
        <w:rPr>
          <w:rFonts w:hint="cs"/>
          <w:rtl/>
        </w:rPr>
        <w:t>ال</w:t>
      </w:r>
      <w:r w:rsidRPr="00092F2B">
        <w:rPr>
          <w:rFonts w:hint="cs"/>
          <w:rtl/>
        </w:rPr>
        <w:t>مطلقة بين الرجل والمرأة في العلاقات الأسرية. و</w:t>
      </w:r>
      <w:r w:rsidR="00E43A1A">
        <w:rPr>
          <w:rFonts w:hint="cs"/>
          <w:rtl/>
        </w:rPr>
        <w:t xml:space="preserve">قالت إنها </w:t>
      </w:r>
      <w:r w:rsidRPr="00092F2B">
        <w:rPr>
          <w:rFonts w:hint="cs"/>
          <w:rtl/>
        </w:rPr>
        <w:t xml:space="preserve">سترحب </w:t>
      </w:r>
      <w:r w:rsidR="00E43A1A">
        <w:rPr>
          <w:rFonts w:hint="cs"/>
          <w:rtl/>
        </w:rPr>
        <w:t xml:space="preserve">بالحصول على </w:t>
      </w:r>
      <w:r w:rsidRPr="00092F2B">
        <w:rPr>
          <w:rFonts w:hint="cs"/>
          <w:rtl/>
        </w:rPr>
        <w:t>معلومات عن تدابير تعزيز قانون الأسرة ونشره بين النساء. و</w:t>
      </w:r>
      <w:r w:rsidR="00E43A1A">
        <w:rPr>
          <w:rFonts w:hint="cs"/>
          <w:rtl/>
        </w:rPr>
        <w:t xml:space="preserve">أنه </w:t>
      </w:r>
      <w:r w:rsidRPr="00092F2B">
        <w:rPr>
          <w:rFonts w:hint="cs"/>
          <w:rtl/>
        </w:rPr>
        <w:t xml:space="preserve">نظرا للنسبة المئوية العالية من القاضيات الإناث في جورجيا، فسيكون من </w:t>
      </w:r>
      <w:r w:rsidR="00E43A1A">
        <w:rPr>
          <w:rFonts w:hint="cs"/>
          <w:rtl/>
        </w:rPr>
        <w:t xml:space="preserve">المفيد </w:t>
      </w:r>
      <w:r w:rsidRPr="00092F2B">
        <w:rPr>
          <w:rFonts w:hint="cs"/>
          <w:rtl/>
        </w:rPr>
        <w:t>معرفة ما إذا كان قانون الأسرة يلاقي تركيزا في برامج التدريب القضائية. و</w:t>
      </w:r>
      <w:r w:rsidR="00E43A1A">
        <w:rPr>
          <w:rFonts w:hint="cs"/>
          <w:rtl/>
        </w:rPr>
        <w:t xml:space="preserve">أنها </w:t>
      </w:r>
      <w:r w:rsidRPr="00092F2B">
        <w:rPr>
          <w:rFonts w:hint="cs"/>
          <w:rtl/>
        </w:rPr>
        <w:t xml:space="preserve">سوف تقدر </w:t>
      </w:r>
      <w:r w:rsidR="00E43A1A">
        <w:rPr>
          <w:rFonts w:hint="cs"/>
          <w:rtl/>
        </w:rPr>
        <w:t xml:space="preserve">تزويدها بإيضاح </w:t>
      </w:r>
      <w:r w:rsidRPr="00092F2B">
        <w:rPr>
          <w:rFonts w:hint="cs"/>
          <w:rtl/>
        </w:rPr>
        <w:t xml:space="preserve">لمفاهيم </w:t>
      </w:r>
      <w:r w:rsidRPr="00092F2B">
        <w:rPr>
          <w:rFonts w:hint="eastAsia"/>
          <w:rtl/>
        </w:rPr>
        <w:t>”</w:t>
      </w:r>
      <w:r w:rsidRPr="00092F2B">
        <w:rPr>
          <w:rFonts w:hint="cs"/>
          <w:rtl/>
        </w:rPr>
        <w:t>الملكية</w:t>
      </w:r>
      <w:r w:rsidRPr="00092F2B">
        <w:rPr>
          <w:rFonts w:hint="eastAsia"/>
          <w:rtl/>
        </w:rPr>
        <w:t>“</w:t>
      </w:r>
      <w:r w:rsidRPr="00092F2B">
        <w:rPr>
          <w:rFonts w:hint="cs"/>
          <w:rtl/>
        </w:rPr>
        <w:t xml:space="preserve"> و </w:t>
      </w:r>
      <w:r w:rsidRPr="00092F2B">
        <w:rPr>
          <w:rFonts w:hint="eastAsia"/>
          <w:rtl/>
        </w:rPr>
        <w:t>”</w:t>
      </w:r>
      <w:r w:rsidRPr="00092F2B">
        <w:rPr>
          <w:rFonts w:hint="cs"/>
          <w:rtl/>
        </w:rPr>
        <w:t>عدم الملكية</w:t>
      </w:r>
      <w:r w:rsidRPr="00092F2B">
        <w:rPr>
          <w:rFonts w:hint="eastAsia"/>
          <w:rtl/>
        </w:rPr>
        <w:t>“</w:t>
      </w:r>
      <w:r w:rsidRPr="00092F2B">
        <w:rPr>
          <w:rFonts w:hint="cs"/>
          <w:rtl/>
        </w:rPr>
        <w:t xml:space="preserve"> في الفقرة 125. وأخيرا، تساءلت كيف سيتم التوفيق بين مفهوم المعيل الذكر ومفهوم المسؤولية المتساوية في إعالة الأطفال </w:t>
      </w:r>
      <w:r w:rsidR="00E43A1A">
        <w:rPr>
          <w:rFonts w:hint="cs"/>
          <w:rtl/>
        </w:rPr>
        <w:t xml:space="preserve">في </w:t>
      </w:r>
      <w:r w:rsidRPr="00092F2B">
        <w:rPr>
          <w:rFonts w:hint="cs"/>
          <w:rtl/>
        </w:rPr>
        <w:t>الممارسة</w:t>
      </w:r>
      <w:r w:rsidR="00E43A1A">
        <w:rPr>
          <w:rFonts w:hint="cs"/>
          <w:rtl/>
        </w:rPr>
        <w:t xml:space="preserve"> العملية</w:t>
      </w:r>
      <w:r w:rsidRPr="00092F2B">
        <w:rPr>
          <w:rFonts w:hint="cs"/>
          <w:rtl/>
        </w:rPr>
        <w:t>.</w:t>
      </w:r>
    </w:p>
    <w:p w:rsidR="00092F2B" w:rsidRPr="00092F2B" w:rsidRDefault="00092F2B" w:rsidP="00415B26">
      <w:pPr>
        <w:pStyle w:val="DualTxt"/>
        <w:spacing w:line="380" w:lineRule="exact"/>
        <w:rPr>
          <w:rFonts w:hint="cs"/>
          <w:rtl/>
        </w:rPr>
      </w:pPr>
      <w:r w:rsidRPr="00092F2B">
        <w:rPr>
          <w:rFonts w:hint="cs"/>
          <w:rtl/>
        </w:rPr>
        <w:t>14 -</w:t>
      </w:r>
      <w:r w:rsidRPr="00092F2B">
        <w:rPr>
          <w:rFonts w:hint="cs"/>
          <w:rtl/>
        </w:rPr>
        <w:tab/>
      </w:r>
      <w:r w:rsidRPr="00092F2B">
        <w:rPr>
          <w:rFonts w:hint="cs"/>
          <w:b/>
          <w:bCs/>
          <w:rtl/>
        </w:rPr>
        <w:t>السيدة عويج</w:t>
      </w:r>
      <w:r w:rsidRPr="00092F2B">
        <w:rPr>
          <w:rFonts w:hint="cs"/>
          <w:rtl/>
        </w:rPr>
        <w:t xml:space="preserve">: طلبت معلومات إضافية عن عدد الزيجات الدينية ووضعها وعن قوانين الزواج التي تطبق في المجتمع الإسلامي. وأثنت على اعتماد نظام الملكية المشتركة. أما فيما يخص الطلاق، فقد رغبت في معرفة ما إذا كان يمنح من قبل القاضي، وكيف يتم الحكم في قضايا الحضانة. وعبرت عن القلق فيما يخص حماية مصالح الأطفال في الحالات التي </w:t>
      </w:r>
      <w:r w:rsidR="00AB0372">
        <w:rPr>
          <w:rFonts w:hint="cs"/>
          <w:rtl/>
        </w:rPr>
        <w:t>تتخذ</w:t>
      </w:r>
      <w:r w:rsidRPr="00092F2B">
        <w:rPr>
          <w:rFonts w:hint="cs"/>
          <w:rtl/>
        </w:rPr>
        <w:t xml:space="preserve"> فيها قرارات الحضانة من قبل القضاة.</w:t>
      </w:r>
    </w:p>
    <w:p w:rsidR="00092F2B" w:rsidRPr="00092F2B" w:rsidRDefault="00092F2B" w:rsidP="00415B26">
      <w:pPr>
        <w:pStyle w:val="DualTxt"/>
        <w:spacing w:line="380" w:lineRule="exact"/>
        <w:rPr>
          <w:rFonts w:hint="cs"/>
          <w:rtl/>
        </w:rPr>
      </w:pPr>
      <w:r w:rsidRPr="00092F2B">
        <w:rPr>
          <w:rFonts w:hint="cs"/>
          <w:rtl/>
        </w:rPr>
        <w:t>15 -</w:t>
      </w:r>
      <w:r w:rsidRPr="00092F2B">
        <w:rPr>
          <w:rFonts w:hint="cs"/>
          <w:rtl/>
        </w:rPr>
        <w:tab/>
      </w:r>
      <w:r w:rsidRPr="00092F2B">
        <w:rPr>
          <w:rFonts w:hint="cs"/>
          <w:b/>
          <w:bCs/>
          <w:rtl/>
        </w:rPr>
        <w:t>السيدة بريدزه</w:t>
      </w:r>
      <w:r w:rsidRPr="00092F2B">
        <w:rPr>
          <w:rFonts w:hint="cs"/>
          <w:rtl/>
        </w:rPr>
        <w:t xml:space="preserve"> (جورجيا): شكرت أعضاء اللجنة على أسئلتهم الهامة والموضوعية، والتي سيرد عليها وفدها خلال جلسة الردود. </w:t>
      </w:r>
      <w:r w:rsidR="00AB0372">
        <w:rPr>
          <w:rFonts w:hint="cs"/>
          <w:rtl/>
        </w:rPr>
        <w:t xml:space="preserve">وأضافت أن </w:t>
      </w:r>
      <w:r w:rsidRPr="00092F2B">
        <w:rPr>
          <w:rFonts w:hint="cs"/>
          <w:rtl/>
        </w:rPr>
        <w:t xml:space="preserve">القضايا التي أُثيرت خلال الجلسة </w:t>
      </w:r>
      <w:r w:rsidR="00AB0372">
        <w:rPr>
          <w:rFonts w:hint="cs"/>
          <w:rtl/>
        </w:rPr>
        <w:t xml:space="preserve">الحالية ستؤخذ في الاعتبار عند </w:t>
      </w:r>
      <w:r w:rsidRPr="00092F2B">
        <w:rPr>
          <w:rFonts w:hint="cs"/>
          <w:rtl/>
        </w:rPr>
        <w:t>تحضير تقرير بلدها الدوري</w:t>
      </w:r>
      <w:r w:rsidRPr="00092F2B">
        <w:rPr>
          <w:rFonts w:hint="eastAsia"/>
          <w:rtl/>
        </w:rPr>
        <w:t> </w:t>
      </w:r>
      <w:r w:rsidRPr="00092F2B">
        <w:rPr>
          <w:rFonts w:hint="cs"/>
          <w:rtl/>
        </w:rPr>
        <w:t>الثاني.</w:t>
      </w:r>
    </w:p>
    <w:p w:rsidR="00092F2B" w:rsidRDefault="00092F2B" w:rsidP="00415B26">
      <w:pPr>
        <w:pStyle w:val="DualTxt"/>
        <w:spacing w:line="380" w:lineRule="exact"/>
        <w:rPr>
          <w:rFonts w:hint="cs"/>
          <w:i/>
          <w:iCs/>
          <w:rtl/>
        </w:rPr>
      </w:pPr>
      <w:r w:rsidRPr="00AB0372">
        <w:rPr>
          <w:rFonts w:hint="cs"/>
          <w:i/>
          <w:iCs/>
          <w:rtl/>
        </w:rPr>
        <w:tab/>
      </w:r>
      <w:r w:rsidRPr="00415B26">
        <w:rPr>
          <w:rFonts w:hint="cs"/>
          <w:i/>
          <w:iCs/>
          <w:rtl/>
        </w:rPr>
        <w:t>رفعت الجلسة الساعة</w:t>
      </w:r>
      <w:r w:rsidRPr="00AB0372">
        <w:rPr>
          <w:rFonts w:hint="cs"/>
          <w:i/>
          <w:iCs/>
          <w:rtl/>
        </w:rPr>
        <w:t xml:space="preserve"> 50/15.</w:t>
      </w:r>
    </w:p>
    <w:p w:rsidR="001D2D3D" w:rsidRPr="001D2D3D" w:rsidRDefault="001D2D3D" w:rsidP="001D2D3D">
      <w:pPr>
        <w:pStyle w:val="DualTxt"/>
        <w:spacing w:after="0" w:line="240" w:lineRule="auto"/>
        <w:rPr>
          <w:rFonts w:hint="cs"/>
          <w:i/>
          <w:iCs/>
          <w:rtl/>
        </w:rPr>
      </w:pPr>
      <w:r>
        <w:rPr>
          <w:rFonts w:hint="cs"/>
          <w:i/>
          <w:iCs/>
          <w:noProof/>
          <w:w w:val="100"/>
          <w:rtl/>
        </w:rPr>
        <w:pict>
          <v:line id="_x0000_s1027" style="position:absolute;left:0;text-align:left;z-index:1" from="84.2pt,24pt" to="156.2pt,24pt" strokeweight=".25pt">
            <w10:wrap anchorx="page"/>
          </v:line>
        </w:pict>
      </w:r>
    </w:p>
    <w:sectPr w:rsidR="001D2D3D" w:rsidRPr="001D2D3D" w:rsidSect="00092F2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1T23:49:00Z" w:initials="Start">
    <w:p w:rsidR="00AE4CD4" w:rsidRDefault="00AE4CD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NO&gt;&gt;N0155427A&lt;&lt;ODS JOB NO&gt;&gt;</w:t>
      </w:r>
    </w:p>
    <w:p w:rsidR="00AE4CD4" w:rsidRDefault="00AE4CD4">
      <w:pPr>
        <w:pStyle w:val="CommentText"/>
      </w:pPr>
      <w:r>
        <w:t>&lt;&lt;ODS DOC SYMBOL1&gt;&gt;CEDAW/C/SR.428&lt;&lt;ODS DOC SYMBOL1&gt;&gt;</w:t>
      </w:r>
    </w:p>
    <w:p w:rsidR="00AE4CD4" w:rsidRDefault="00AE4CD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CD4" w:rsidRDefault="00AE4CD4" w:rsidP="00852DB2">
      <w:pPr>
        <w:pStyle w:val="Header"/>
      </w:pPr>
      <w:r>
        <w:separator/>
      </w:r>
    </w:p>
  </w:endnote>
  <w:endnote w:type="continuationSeparator" w:id="0">
    <w:p w:rsidR="00AE4CD4" w:rsidRDefault="00AE4CD4" w:rsidP="00852DB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4CD4">
      <w:tblPrEx>
        <w:tblCellMar>
          <w:top w:w="0" w:type="dxa"/>
          <w:bottom w:w="0" w:type="dxa"/>
        </w:tblCellMar>
      </w:tblPrEx>
      <w:tc>
        <w:tcPr>
          <w:tcW w:w="5033" w:type="dxa"/>
          <w:shd w:val="clear" w:color="auto" w:fill="auto"/>
        </w:tcPr>
        <w:p w:rsidR="00AE4CD4" w:rsidRPr="00852DB2" w:rsidRDefault="00AE4CD4" w:rsidP="00852DB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AE4CD4" w:rsidRPr="00852DB2" w:rsidRDefault="00AE4CD4" w:rsidP="00852DB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01-55427</w:t>
          </w:r>
          <w:r>
            <w:rPr>
              <w:b w:val="0"/>
              <w:w w:val="103"/>
            </w:rPr>
            <w:fldChar w:fldCharType="end"/>
          </w:r>
        </w:p>
      </w:tc>
    </w:tr>
  </w:tbl>
  <w:p w:rsidR="00AE4CD4" w:rsidRPr="00852DB2" w:rsidRDefault="00AE4CD4" w:rsidP="00852D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E4CD4">
      <w:tblPrEx>
        <w:tblCellMar>
          <w:top w:w="0" w:type="dxa"/>
          <w:bottom w:w="0" w:type="dxa"/>
        </w:tblCellMar>
      </w:tblPrEx>
      <w:tc>
        <w:tcPr>
          <w:tcW w:w="5033" w:type="dxa"/>
          <w:shd w:val="clear" w:color="auto" w:fill="auto"/>
        </w:tcPr>
        <w:p w:rsidR="00AE4CD4" w:rsidRPr="00852DB2" w:rsidRDefault="00AE4CD4" w:rsidP="00852DB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01-55427</w:t>
          </w:r>
          <w:r>
            <w:rPr>
              <w:b w:val="0"/>
              <w:w w:val="103"/>
            </w:rPr>
            <w:fldChar w:fldCharType="end"/>
          </w:r>
        </w:p>
      </w:tc>
      <w:tc>
        <w:tcPr>
          <w:tcW w:w="5033" w:type="dxa"/>
          <w:shd w:val="clear" w:color="auto" w:fill="auto"/>
        </w:tcPr>
        <w:p w:rsidR="00AE4CD4" w:rsidRPr="00852DB2" w:rsidRDefault="00AE4CD4" w:rsidP="00852DB2">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AE4CD4" w:rsidRPr="00852DB2" w:rsidRDefault="00AE4CD4" w:rsidP="00852D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CD4" w:rsidRDefault="00AE4CD4" w:rsidP="00852DB2">
    <w:pPr>
      <w:pStyle w:val="Footer"/>
      <w:pBdr>
        <w:top w:val="single" w:sz="2" w:space="1" w:color="auto"/>
      </w:pBdr>
      <w:rPr>
        <w:sz w:val="2"/>
      </w:rPr>
    </w:pPr>
  </w:p>
  <w:p w:rsidR="00AE4CD4" w:rsidRPr="002860B8" w:rsidRDefault="00AE4CD4" w:rsidP="00852DB2">
    <w:pPr>
      <w:pStyle w:val="FootnoteText"/>
      <w:spacing w:after="120"/>
      <w:ind w:left="1267" w:right="1267" w:firstLine="0"/>
      <w:rPr>
        <w:w w:val="103"/>
        <w:rtl/>
      </w:rPr>
    </w:pPr>
    <w:r w:rsidRPr="002860B8">
      <w:rPr>
        <w:w w:val="103"/>
        <w:rtl/>
      </w:rPr>
      <w:t>هذا المحضر قابل للتصويب.</w:t>
    </w:r>
  </w:p>
  <w:p w:rsidR="00AE4CD4" w:rsidRPr="002860B8" w:rsidRDefault="00AE4CD4" w:rsidP="00852DB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E4CD4" w:rsidRDefault="00AE4CD4" w:rsidP="00852DB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E4CD4" w:rsidRDefault="00AE4CD4" w:rsidP="00852DB2">
    <w:pPr>
      <w:pStyle w:val="FootnoteText"/>
      <w:bidi w:val="0"/>
      <w:spacing w:line="120" w:lineRule="exact"/>
      <w:ind w:left="1267" w:right="1267" w:firstLine="0"/>
      <w:rPr>
        <w:sz w:val="12"/>
      </w:rPr>
    </w:pPr>
  </w:p>
  <w:p w:rsidR="00AE4CD4" w:rsidRDefault="00AE4CD4" w:rsidP="00852DB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01-55427 (A)</w:t>
    </w:r>
    <w:r>
      <w:rPr>
        <w:rFonts w:cs="Times New Roman"/>
        <w:b w:val="0"/>
        <w:w w:val="103"/>
        <w:sz w:val="20"/>
      </w:rPr>
      <w:fldChar w:fldCharType="end"/>
    </w:r>
  </w:p>
  <w:p w:rsidR="00AE4CD4" w:rsidRPr="00852DB2" w:rsidRDefault="00AE4CD4" w:rsidP="00852DB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*0155427*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CD4" w:rsidRDefault="00AE4CD4" w:rsidP="00852DB2">
      <w:pPr>
        <w:pStyle w:val="Header"/>
      </w:pPr>
      <w:r>
        <w:separator/>
      </w:r>
    </w:p>
  </w:footnote>
  <w:footnote w:type="continuationSeparator" w:id="0">
    <w:p w:rsidR="00AE4CD4" w:rsidRDefault="00AE4CD4" w:rsidP="00852DB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E4CD4">
      <w:tblPrEx>
        <w:tblCellMar>
          <w:top w:w="0" w:type="dxa"/>
          <w:bottom w:w="0" w:type="dxa"/>
        </w:tblCellMar>
      </w:tblPrEx>
      <w:trPr>
        <w:trHeight w:hRule="exact" w:val="864"/>
        <w:jc w:val="center"/>
      </w:trPr>
      <w:tc>
        <w:tcPr>
          <w:tcW w:w="5033" w:type="dxa"/>
          <w:shd w:val="clear" w:color="auto" w:fill="auto"/>
          <w:vAlign w:val="bottom"/>
        </w:tcPr>
        <w:p w:rsidR="00AE4CD4" w:rsidRDefault="00AE4CD4" w:rsidP="00852DB2">
          <w:pPr>
            <w:pStyle w:val="Header"/>
            <w:bidi/>
            <w:jc w:val="right"/>
          </w:pPr>
        </w:p>
      </w:tc>
      <w:tc>
        <w:tcPr>
          <w:tcW w:w="5033" w:type="dxa"/>
          <w:shd w:val="clear" w:color="auto" w:fill="auto"/>
          <w:vAlign w:val="bottom"/>
        </w:tcPr>
        <w:p w:rsidR="00AE4CD4" w:rsidRPr="00852DB2" w:rsidRDefault="00AE4CD4" w:rsidP="00852DB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CEDAW/C/SR.428</w:t>
          </w:r>
          <w:r>
            <w:rPr>
              <w:w w:val="103"/>
            </w:rPr>
            <w:fldChar w:fldCharType="end"/>
          </w:r>
        </w:p>
      </w:tc>
    </w:tr>
  </w:tbl>
  <w:p w:rsidR="00AE4CD4" w:rsidRPr="00852DB2" w:rsidRDefault="00AE4CD4" w:rsidP="00852D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E4CD4">
      <w:tblPrEx>
        <w:tblCellMar>
          <w:top w:w="0" w:type="dxa"/>
          <w:bottom w:w="0" w:type="dxa"/>
        </w:tblCellMar>
      </w:tblPrEx>
      <w:trPr>
        <w:trHeight w:hRule="exact" w:val="864"/>
        <w:jc w:val="center"/>
      </w:trPr>
      <w:tc>
        <w:tcPr>
          <w:tcW w:w="5033" w:type="dxa"/>
          <w:shd w:val="clear" w:color="auto" w:fill="auto"/>
          <w:vAlign w:val="bottom"/>
        </w:tcPr>
        <w:p w:rsidR="00AE4CD4" w:rsidRPr="00852DB2" w:rsidRDefault="00AE4CD4" w:rsidP="00852DB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CEDAW/C/SR.428</w:t>
          </w:r>
          <w:r>
            <w:rPr>
              <w:w w:val="103"/>
            </w:rPr>
            <w:fldChar w:fldCharType="end"/>
          </w:r>
        </w:p>
      </w:tc>
      <w:tc>
        <w:tcPr>
          <w:tcW w:w="5033" w:type="dxa"/>
          <w:shd w:val="clear" w:color="auto" w:fill="auto"/>
          <w:vAlign w:val="bottom"/>
        </w:tcPr>
        <w:p w:rsidR="00AE4CD4" w:rsidRDefault="00AE4CD4" w:rsidP="00852DB2">
          <w:pPr>
            <w:pStyle w:val="Header"/>
          </w:pPr>
        </w:p>
      </w:tc>
    </w:tr>
  </w:tbl>
  <w:p w:rsidR="00AE4CD4" w:rsidRPr="00852DB2" w:rsidRDefault="00AE4CD4" w:rsidP="00852D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E4CD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E4CD4" w:rsidRDefault="00AE4CD4" w:rsidP="00852DB2">
          <w:pPr>
            <w:pStyle w:val="Header"/>
            <w:spacing w:after="120"/>
          </w:pPr>
        </w:p>
      </w:tc>
      <w:tc>
        <w:tcPr>
          <w:tcW w:w="1786" w:type="dxa"/>
          <w:tcBorders>
            <w:bottom w:val="single" w:sz="4" w:space="0" w:color="auto"/>
          </w:tcBorders>
          <w:shd w:val="clear" w:color="auto" w:fill="auto"/>
          <w:vAlign w:val="bottom"/>
        </w:tcPr>
        <w:p w:rsidR="00AE4CD4" w:rsidRPr="00852DB2" w:rsidRDefault="00AE4CD4" w:rsidP="00852D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E4CD4" w:rsidRDefault="00AE4CD4" w:rsidP="00852DB2">
          <w:pPr>
            <w:pStyle w:val="Header"/>
            <w:spacing w:after="120"/>
          </w:pPr>
        </w:p>
      </w:tc>
      <w:tc>
        <w:tcPr>
          <w:tcW w:w="6523" w:type="dxa"/>
          <w:gridSpan w:val="3"/>
          <w:tcBorders>
            <w:bottom w:val="single" w:sz="4" w:space="0" w:color="auto"/>
          </w:tcBorders>
          <w:shd w:val="clear" w:color="auto" w:fill="auto"/>
          <w:vAlign w:val="bottom"/>
        </w:tcPr>
        <w:p w:rsidR="00AE4CD4" w:rsidRPr="00852DB2" w:rsidRDefault="00AE4CD4" w:rsidP="00852DB2">
          <w:pPr>
            <w:spacing w:line="380" w:lineRule="exact"/>
            <w:jc w:val="right"/>
          </w:pPr>
          <w:r>
            <w:rPr>
              <w:sz w:val="40"/>
            </w:rPr>
            <w:t>CEDAW</w:t>
          </w:r>
          <w:r>
            <w:t>/C/SR.428</w:t>
          </w:r>
        </w:p>
      </w:tc>
    </w:tr>
    <w:tr w:rsidR="00AE4CD4" w:rsidRPr="00852D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E4CD4" w:rsidRDefault="00AE4CD4" w:rsidP="00852D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4CD4" w:rsidRPr="00852DB2" w:rsidRDefault="00AE4CD4" w:rsidP="00852DB2">
          <w:pPr>
            <w:pStyle w:val="Header"/>
            <w:spacing w:before="109"/>
            <w:jc w:val="right"/>
          </w:pPr>
        </w:p>
      </w:tc>
      <w:tc>
        <w:tcPr>
          <w:tcW w:w="5227" w:type="dxa"/>
          <w:gridSpan w:val="3"/>
          <w:tcBorders>
            <w:top w:val="single" w:sz="4" w:space="0" w:color="auto"/>
            <w:bottom w:val="single" w:sz="12" w:space="0" w:color="auto"/>
          </w:tcBorders>
          <w:shd w:val="clear" w:color="auto" w:fill="auto"/>
        </w:tcPr>
        <w:p w:rsidR="00AE4CD4" w:rsidRPr="00852DB2" w:rsidRDefault="00AE4CD4" w:rsidP="00852D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E4CD4" w:rsidRPr="00852DB2" w:rsidRDefault="00AE4CD4" w:rsidP="00852DB2">
          <w:pPr>
            <w:pStyle w:val="Header"/>
            <w:spacing w:before="109"/>
          </w:pPr>
        </w:p>
      </w:tc>
      <w:tc>
        <w:tcPr>
          <w:tcW w:w="3100" w:type="dxa"/>
          <w:gridSpan w:val="2"/>
          <w:tcBorders>
            <w:top w:val="single" w:sz="4" w:space="0" w:color="auto"/>
            <w:bottom w:val="single" w:sz="12" w:space="0" w:color="auto"/>
          </w:tcBorders>
          <w:shd w:val="clear" w:color="auto" w:fill="auto"/>
        </w:tcPr>
        <w:p w:rsidR="00AE4CD4" w:rsidRDefault="00AE4CD4" w:rsidP="00852DB2">
          <w:pPr>
            <w:bidi w:val="0"/>
            <w:spacing w:before="240" w:line="240" w:lineRule="exact"/>
          </w:pPr>
          <w:r>
            <w:t>Distr.: General</w:t>
          </w:r>
        </w:p>
        <w:p w:rsidR="00AE4CD4" w:rsidRDefault="00AE4CD4" w:rsidP="00852DB2">
          <w:pPr>
            <w:bidi w:val="0"/>
            <w:spacing w:line="240" w:lineRule="exact"/>
            <w:jc w:val="left"/>
          </w:pPr>
          <w:r>
            <w:t>5 December 2006</w:t>
          </w:r>
        </w:p>
        <w:p w:rsidR="00AE4CD4" w:rsidRDefault="00AE4CD4" w:rsidP="00852DB2">
          <w:pPr>
            <w:bidi w:val="0"/>
            <w:spacing w:line="240" w:lineRule="exact"/>
            <w:jc w:val="left"/>
          </w:pPr>
          <w:r>
            <w:t>Arabic</w:t>
          </w:r>
        </w:p>
        <w:p w:rsidR="00AE4CD4" w:rsidRPr="00852DB2" w:rsidRDefault="00AE4CD4" w:rsidP="00852DB2">
          <w:pPr>
            <w:bidi w:val="0"/>
            <w:spacing w:line="240" w:lineRule="exact"/>
            <w:jc w:val="left"/>
          </w:pPr>
          <w:r>
            <w:t>Original: English</w:t>
          </w:r>
        </w:p>
      </w:tc>
    </w:tr>
  </w:tbl>
  <w:p w:rsidR="00AE4CD4" w:rsidRPr="00852DB2" w:rsidRDefault="00AE4CD4" w:rsidP="00852D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5427*"/>
    <w:docVar w:name="CreationDt" w:val="01/12/2006 09:237 م"/>
    <w:docVar w:name="DocCategory" w:val="SROthers"/>
    <w:docVar w:name="DocType" w:val="Final"/>
    <w:docVar w:name="FooterJN" w:val="01-55427"/>
    <w:docVar w:name="Jobn" w:val="01-55427 (A)"/>
    <w:docVar w:name="jobnDT" w:val="06-55427 (A)   011206"/>
    <w:docVar w:name="jobnDTDT" w:val="06-55427 (A)   011206   011206"/>
    <w:docVar w:name="JobNo" w:val="0155427A"/>
    <w:docVar w:name="OandT" w:val=" "/>
    <w:docVar w:name="sss1" w:val="CEDAW/C/SR.428"/>
    <w:docVar w:name="sss2" w:val="-"/>
    <w:docVar w:name="Symbol1" w:val="CEDAW/C/SR.428"/>
    <w:docVar w:name="Symbol2" w:val="-"/>
  </w:docVars>
  <w:rsids>
    <w:rsidRoot w:val="00AD1FEF"/>
    <w:rsid w:val="00005972"/>
    <w:rsid w:val="00042425"/>
    <w:rsid w:val="0006648F"/>
    <w:rsid w:val="00087310"/>
    <w:rsid w:val="00092F2B"/>
    <w:rsid w:val="0009732C"/>
    <w:rsid w:val="000C4EED"/>
    <w:rsid w:val="000D2CEC"/>
    <w:rsid w:val="00101EE8"/>
    <w:rsid w:val="00113349"/>
    <w:rsid w:val="001519A9"/>
    <w:rsid w:val="001737F8"/>
    <w:rsid w:val="00187870"/>
    <w:rsid w:val="001D2D3D"/>
    <w:rsid w:val="001F6786"/>
    <w:rsid w:val="002416C5"/>
    <w:rsid w:val="00266F59"/>
    <w:rsid w:val="00272B6C"/>
    <w:rsid w:val="0027623A"/>
    <w:rsid w:val="00290F2F"/>
    <w:rsid w:val="002937DA"/>
    <w:rsid w:val="002A09C6"/>
    <w:rsid w:val="002A6229"/>
    <w:rsid w:val="002C2AF2"/>
    <w:rsid w:val="002C4E1B"/>
    <w:rsid w:val="00312162"/>
    <w:rsid w:val="003501D5"/>
    <w:rsid w:val="00371AC4"/>
    <w:rsid w:val="00383CA8"/>
    <w:rsid w:val="003A65ED"/>
    <w:rsid w:val="003B4173"/>
    <w:rsid w:val="003D4612"/>
    <w:rsid w:val="003F4B8C"/>
    <w:rsid w:val="00401BDF"/>
    <w:rsid w:val="00411BBD"/>
    <w:rsid w:val="00415922"/>
    <w:rsid w:val="00415B26"/>
    <w:rsid w:val="00423BD7"/>
    <w:rsid w:val="0042757D"/>
    <w:rsid w:val="00437C14"/>
    <w:rsid w:val="004527C9"/>
    <w:rsid w:val="00453069"/>
    <w:rsid w:val="00483F5B"/>
    <w:rsid w:val="00490874"/>
    <w:rsid w:val="00494EE2"/>
    <w:rsid w:val="00496E83"/>
    <w:rsid w:val="004A2886"/>
    <w:rsid w:val="004B14A0"/>
    <w:rsid w:val="004C4702"/>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3E52"/>
    <w:rsid w:val="005C2ECE"/>
    <w:rsid w:val="00616E82"/>
    <w:rsid w:val="006218A3"/>
    <w:rsid w:val="006564CE"/>
    <w:rsid w:val="00663F64"/>
    <w:rsid w:val="00696B7A"/>
    <w:rsid w:val="006C38EE"/>
    <w:rsid w:val="0071531E"/>
    <w:rsid w:val="0071645B"/>
    <w:rsid w:val="00716E9D"/>
    <w:rsid w:val="00742CC4"/>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52DB2"/>
    <w:rsid w:val="00873A11"/>
    <w:rsid w:val="00873AF9"/>
    <w:rsid w:val="0088775B"/>
    <w:rsid w:val="008D1C04"/>
    <w:rsid w:val="008E7A6A"/>
    <w:rsid w:val="008F04A0"/>
    <w:rsid w:val="008F64A7"/>
    <w:rsid w:val="0090012B"/>
    <w:rsid w:val="0090351F"/>
    <w:rsid w:val="00970BAD"/>
    <w:rsid w:val="009768D1"/>
    <w:rsid w:val="009829B7"/>
    <w:rsid w:val="009927C0"/>
    <w:rsid w:val="009961E6"/>
    <w:rsid w:val="009B6C65"/>
    <w:rsid w:val="009C0017"/>
    <w:rsid w:val="009C15F4"/>
    <w:rsid w:val="009C6F72"/>
    <w:rsid w:val="009D62A3"/>
    <w:rsid w:val="009E2A1F"/>
    <w:rsid w:val="00A12C97"/>
    <w:rsid w:val="00A37C4B"/>
    <w:rsid w:val="00A66F66"/>
    <w:rsid w:val="00A71A5F"/>
    <w:rsid w:val="00A71AE5"/>
    <w:rsid w:val="00AA095B"/>
    <w:rsid w:val="00AA1E16"/>
    <w:rsid w:val="00AB0372"/>
    <w:rsid w:val="00AC002C"/>
    <w:rsid w:val="00AC6CDD"/>
    <w:rsid w:val="00AD1FEF"/>
    <w:rsid w:val="00AD38D0"/>
    <w:rsid w:val="00AE108C"/>
    <w:rsid w:val="00AE4CD4"/>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7558"/>
    <w:rsid w:val="00CD0BB8"/>
    <w:rsid w:val="00CD3849"/>
    <w:rsid w:val="00CF7384"/>
    <w:rsid w:val="00D2343D"/>
    <w:rsid w:val="00D30EAE"/>
    <w:rsid w:val="00D318F1"/>
    <w:rsid w:val="00D40B0E"/>
    <w:rsid w:val="00DA66B7"/>
    <w:rsid w:val="00DB0865"/>
    <w:rsid w:val="00DC6635"/>
    <w:rsid w:val="00DE5433"/>
    <w:rsid w:val="00DE68A7"/>
    <w:rsid w:val="00DF5F38"/>
    <w:rsid w:val="00E23336"/>
    <w:rsid w:val="00E31661"/>
    <w:rsid w:val="00E32B52"/>
    <w:rsid w:val="00E43A1A"/>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52DB2"/>
    <w:rPr>
      <w:szCs w:val="20"/>
    </w:rPr>
  </w:style>
  <w:style w:type="paragraph" w:styleId="CommentSubject">
    <w:name w:val="annotation subject"/>
    <w:basedOn w:val="CommentText"/>
    <w:next w:val="CommentText"/>
    <w:semiHidden/>
    <w:rsid w:val="00852D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1087</Words>
  <Characters>6197</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Youssef.Ali</dc:creator>
  <cp:keywords/>
  <dc:description/>
  <cp:lastModifiedBy>front desk</cp:lastModifiedBy>
  <cp:revision>6</cp:revision>
  <cp:lastPrinted>2006-12-04T09:28:00Z</cp:lastPrinted>
  <dcterms:created xsi:type="dcterms:W3CDTF">2006-12-01T22:00:00Z</dcterms:created>
  <dcterms:modified xsi:type="dcterms:W3CDTF">2006-12-04T09:31:00Z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0155427A</vt:lpwstr>
  </property>
</Properties>
</file>