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pStyle w:val="Heading1"/>
        <w:spacing w:before="0" w:line="240" w:lineRule="auto"/>
        <w:jc w:val="both"/>
      </w:pPr>
      <w:r>
        <w:rPr>
          <w:rStyle w:val="CommentReference"/>
          <w:vanish/>
        </w:rPr>
        <w:commentReference w:id="0"/>
      </w:r>
      <w:r>
        <w:t>Комитет по ликвидации дискриминации</w:t>
      </w:r>
    </w:p>
    <w:p w:rsidR="00000000" w:rsidRDefault="00000000">
      <w:pPr>
        <w:jc w:val="both"/>
        <w:rPr>
          <w:b/>
          <w:sz w:val="20"/>
        </w:rPr>
      </w:pPr>
      <w:r>
        <w:rPr>
          <w:b/>
        </w:rPr>
        <w:t>в отношении женщин</w:t>
      </w:r>
    </w:p>
    <w:p w:rsidR="00000000" w:rsidRDefault="00000000">
      <w:pPr>
        <w:pStyle w:val="Heading3"/>
        <w:rPr>
          <w:b w:val="0"/>
        </w:rPr>
      </w:pPr>
      <w:r>
        <w:t>Тридцать пятая сессия</w:t>
      </w:r>
    </w:p>
    <w:p w:rsidR="00000000" w:rsidRDefault="00000000">
      <w:pPr>
        <w:jc w:val="both"/>
        <w:rPr>
          <w:sz w:val="20"/>
        </w:rPr>
      </w:pPr>
    </w:p>
    <w:p w:rsidR="00000000" w:rsidRDefault="00000000">
      <w:pPr>
        <w:jc w:val="both"/>
        <w:rPr>
          <w:b/>
          <w:sz w:val="20"/>
        </w:rPr>
      </w:pPr>
      <w:r>
        <w:rPr>
          <w:b/>
          <w:sz w:val="20"/>
        </w:rPr>
        <w:t>Краткий отчет о 722-м заседании,</w:t>
      </w:r>
    </w:p>
    <w:p w:rsidR="00000000" w:rsidRDefault="00000000">
      <w:pPr>
        <w:jc w:val="both"/>
        <w:rPr>
          <w:sz w:val="20"/>
        </w:rPr>
      </w:pPr>
      <w:r>
        <w:rPr>
          <w:sz w:val="20"/>
        </w:rPr>
        <w:t>состоявшемся в Центральных учреждениях, Нью-Йорк, во вторник, 16 мая 2006 года, в 15 ч.</w:t>
      </w:r>
    </w:p>
    <w:p w:rsidR="00000000" w:rsidRDefault="00000000">
      <w:pPr>
        <w:jc w:val="both"/>
        <w:rPr>
          <w:sz w:val="20"/>
        </w:rPr>
      </w:pPr>
    </w:p>
    <w:p w:rsidR="00000000" w:rsidRDefault="00000000">
      <w:pPr>
        <w:tabs>
          <w:tab w:val="right" w:pos="1304"/>
          <w:tab w:val="left" w:pos="1701"/>
        </w:tabs>
        <w:jc w:val="both"/>
        <w:rPr>
          <w:sz w:val="20"/>
          <w:lang w:val="en-US"/>
        </w:rPr>
      </w:pPr>
      <w:r>
        <w:rPr>
          <w:i/>
          <w:sz w:val="20"/>
        </w:rPr>
        <w:tab/>
        <w:t>Председатель</w:t>
      </w:r>
      <w:r>
        <w:rPr>
          <w:sz w:val="20"/>
        </w:rPr>
        <w:t>:</w:t>
      </w:r>
      <w:r>
        <w:rPr>
          <w:sz w:val="20"/>
        </w:rPr>
        <w:tab/>
        <w:t>г-жа Пиментель (заместитель Председателя)</w:t>
      </w:r>
    </w:p>
    <w:p w:rsidR="00000000" w:rsidRDefault="00000000">
      <w:pPr>
        <w:jc w:val="both"/>
        <w:rPr>
          <w:sz w:val="20"/>
        </w:rPr>
      </w:pPr>
    </w:p>
    <w:p w:rsidR="00000000" w:rsidRDefault="00000000">
      <w:pPr>
        <w:jc w:val="both"/>
        <w:rPr>
          <w:sz w:val="20"/>
        </w:rPr>
      </w:pPr>
    </w:p>
    <w:p w:rsidR="00000000" w:rsidRDefault="00000000">
      <w:pPr>
        <w:jc w:val="both"/>
      </w:pPr>
      <w:r>
        <w:t>Содержание</w:t>
      </w:r>
    </w:p>
    <w:p w:rsidR="00000000" w:rsidRDefault="00000000">
      <w:pPr>
        <w:jc w:val="both"/>
        <w:rPr>
          <w:sz w:val="20"/>
        </w:rPr>
      </w:pPr>
      <w:r>
        <w:rPr>
          <w:sz w:val="20"/>
        </w:rPr>
        <w:tab/>
      </w:r>
    </w:p>
    <w:p w:rsidR="00000000" w:rsidRDefault="00000000">
      <w:pPr>
        <w:spacing w:before="120"/>
        <w:ind w:left="1701" w:right="1134"/>
        <w:rPr>
          <w:sz w:val="20"/>
        </w:rPr>
      </w:pPr>
      <w:r>
        <w:rPr>
          <w:sz w:val="20"/>
        </w:rPr>
        <w:t>Рассмотрение докладов, представленных государствами-участниками в соответствии со статьей 18 Конвенции (</w:t>
      </w:r>
      <w:r>
        <w:rPr>
          <w:i/>
          <w:sz w:val="20"/>
        </w:rPr>
        <w:t>продолжение</w:t>
      </w:r>
      <w:r>
        <w:rPr>
          <w:sz w:val="20"/>
        </w:rPr>
        <w:t>)</w:t>
      </w:r>
    </w:p>
    <w:p w:rsidR="00000000" w:rsidRDefault="00000000">
      <w:pPr>
        <w:spacing w:before="120"/>
        <w:ind w:left="2098" w:right="1134"/>
        <w:rPr>
          <w:sz w:val="20"/>
        </w:rPr>
      </w:pPr>
      <w:r>
        <w:rPr>
          <w:i/>
          <w:sz w:val="20"/>
        </w:rPr>
        <w:t>Сводный первоначальный, второй и третий периодический доклад</w:t>
      </w:r>
      <w:r>
        <w:rPr>
          <w:i/>
          <w:sz w:val="20"/>
        </w:rPr>
        <w:br/>
        <w:t xml:space="preserve">Боснии и Герцеговины </w:t>
      </w:r>
      <w:r>
        <w:rPr>
          <w:sz w:val="20"/>
        </w:rPr>
        <w:t>(</w:t>
      </w:r>
      <w:r>
        <w:rPr>
          <w:i/>
          <w:sz w:val="20"/>
        </w:rPr>
        <w:t>продолжение</w:t>
      </w:r>
      <w:r>
        <w:rPr>
          <w:sz w:val="20"/>
        </w:rPr>
        <w:t>)</w:t>
      </w:r>
    </w:p>
    <w:p w:rsidR="00000000" w:rsidRDefault="00000000">
      <w:pPr>
        <w:ind w:left="1701" w:right="1134"/>
        <w:jc w:val="both"/>
        <w:rPr>
          <w:i/>
          <w:sz w:val="20"/>
        </w:rPr>
      </w:pPr>
    </w:p>
    <w:p w:rsidR="00000000" w:rsidRDefault="00000000">
      <w:pPr>
        <w:pStyle w:val="Header"/>
        <w:pBdr>
          <w:bottom w:val="single" w:sz="4" w:space="15" w:color="auto"/>
        </w:pBdr>
        <w:tabs>
          <w:tab w:val="clear" w:pos="4677"/>
          <w:tab w:val="clear" w:pos="9355"/>
        </w:tabs>
        <w:jc w:val="both"/>
        <w:rPr>
          <w:sz w:val="20"/>
        </w:rPr>
      </w:pPr>
    </w:p>
    <w:p w:rsidR="00000000" w:rsidRDefault="00000000">
      <w:pPr>
        <w:pStyle w:val="Header"/>
        <w:pBdr>
          <w:bottom w:val="single" w:sz="4" w:space="15" w:color="auto"/>
        </w:pBdr>
        <w:tabs>
          <w:tab w:val="clear" w:pos="4677"/>
          <w:tab w:val="clear" w:pos="9355"/>
        </w:tabs>
        <w:jc w:val="both"/>
        <w:rPr>
          <w:sz w:val="20"/>
        </w:rPr>
      </w:pPr>
    </w:p>
    <w:p w:rsidR="00000000" w:rsidRDefault="00000000">
      <w:pPr>
        <w:pStyle w:val="Header"/>
        <w:pBdr>
          <w:bottom w:val="single" w:sz="4" w:space="15" w:color="auto"/>
        </w:pBdr>
        <w:tabs>
          <w:tab w:val="clear" w:pos="4677"/>
          <w:tab w:val="clear" w:pos="9355"/>
        </w:tabs>
        <w:jc w:val="both"/>
        <w:rPr>
          <w:sz w:val="20"/>
        </w:rPr>
      </w:pPr>
    </w:p>
    <w:p w:rsidR="00000000" w:rsidRDefault="00000000">
      <w:pPr>
        <w:pStyle w:val="Header"/>
        <w:pBdr>
          <w:bottom w:val="single" w:sz="4" w:space="15" w:color="auto"/>
        </w:pBdr>
        <w:tabs>
          <w:tab w:val="clear" w:pos="4677"/>
          <w:tab w:val="clear" w:pos="9355"/>
        </w:tabs>
        <w:jc w:val="both"/>
        <w:rPr>
          <w:sz w:val="20"/>
        </w:rPr>
      </w:pPr>
    </w:p>
    <w:p w:rsidR="00000000" w:rsidRDefault="00000000">
      <w:pPr>
        <w:pStyle w:val="Header"/>
        <w:pBdr>
          <w:bottom w:val="single" w:sz="4" w:space="15" w:color="auto"/>
        </w:pBdr>
        <w:tabs>
          <w:tab w:val="clear" w:pos="4677"/>
          <w:tab w:val="clear" w:pos="9355"/>
        </w:tabs>
        <w:jc w:val="both"/>
        <w:rPr>
          <w:sz w:val="20"/>
        </w:rPr>
      </w:pPr>
    </w:p>
    <w:p w:rsidR="00000000" w:rsidRDefault="00000000">
      <w:pPr>
        <w:pStyle w:val="Header"/>
        <w:pBdr>
          <w:bottom w:val="single" w:sz="4" w:space="15" w:color="auto"/>
        </w:pBdr>
        <w:tabs>
          <w:tab w:val="clear" w:pos="4677"/>
          <w:tab w:val="clear" w:pos="9355"/>
        </w:tabs>
        <w:jc w:val="both"/>
        <w:rPr>
          <w:sz w:val="20"/>
        </w:rPr>
      </w:pPr>
    </w:p>
    <w:p w:rsidR="00000000" w:rsidRDefault="00000000">
      <w:pPr>
        <w:pStyle w:val="Header"/>
        <w:pBdr>
          <w:bottom w:val="single" w:sz="4" w:space="15" w:color="auto"/>
        </w:pBdr>
        <w:tabs>
          <w:tab w:val="clear" w:pos="4677"/>
          <w:tab w:val="clear" w:pos="9355"/>
        </w:tabs>
        <w:jc w:val="both"/>
        <w:rPr>
          <w:sz w:val="20"/>
        </w:rPr>
      </w:pPr>
    </w:p>
    <w:p w:rsidR="00000000" w:rsidRDefault="00000000">
      <w:pPr>
        <w:pStyle w:val="Header"/>
        <w:pBdr>
          <w:bottom w:val="single" w:sz="4" w:space="15" w:color="auto"/>
        </w:pBdr>
        <w:tabs>
          <w:tab w:val="clear" w:pos="4677"/>
          <w:tab w:val="clear" w:pos="9355"/>
        </w:tabs>
        <w:spacing w:before="480"/>
        <w:jc w:val="both"/>
        <w:rPr>
          <w:sz w:val="20"/>
        </w:rPr>
      </w:pPr>
    </w:p>
    <w:p w:rsidR="00000000" w:rsidRDefault="00000000">
      <w:pPr>
        <w:pStyle w:val="std"/>
        <w:spacing w:before="60"/>
        <w:ind w:left="1701" w:right="1134"/>
        <w:rPr>
          <w:color w:val="000000"/>
          <w:sz w:val="18"/>
        </w:rPr>
      </w:pPr>
      <w:r>
        <w:rPr>
          <w:color w:val="000000"/>
          <w:sz w:val="18"/>
        </w:rPr>
        <w:t xml:space="preserve">В настоящий отчет могут вноситься поправки. </w:t>
      </w:r>
    </w:p>
    <w:p w:rsidR="00000000" w:rsidRDefault="00000000">
      <w:pPr>
        <w:pStyle w:val="std"/>
        <w:ind w:left="1701" w:right="1134"/>
        <w:rPr>
          <w:color w:val="000000"/>
          <w:sz w:val="18"/>
        </w:rPr>
      </w:pPr>
    </w:p>
    <w:p w:rsidR="00000000" w:rsidRDefault="00000000">
      <w:pPr>
        <w:pStyle w:val="std"/>
        <w:ind w:left="1701" w:right="1134"/>
        <w:rPr>
          <w:sz w:val="18"/>
        </w:rPr>
      </w:pPr>
      <w:r>
        <w:rPr>
          <w:color w:val="000000"/>
          <w:sz w:val="18"/>
        </w:rPr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  </w:r>
      <w:r>
        <w:rPr>
          <w:i/>
          <w:color w:val="000000"/>
          <w:sz w:val="18"/>
        </w:rPr>
        <w:t>в течение одной недели с момента выпуска этого документа</w:t>
      </w:r>
      <w:r>
        <w:rPr>
          <w:color w:val="000000"/>
          <w:sz w:val="18"/>
        </w:rPr>
        <w:t xml:space="preserve"> на имя начальника Секции редактирования официальных отчетов, комната </w:t>
      </w:r>
      <w:r>
        <w:rPr>
          <w:color w:val="000000"/>
          <w:sz w:val="18"/>
          <w:lang w:val="en-US"/>
        </w:rPr>
        <w:t>DC</w:t>
      </w:r>
      <w:r>
        <w:rPr>
          <w:color w:val="000000"/>
          <w:sz w:val="18"/>
        </w:rPr>
        <w:t>2-750 (</w:t>
      </w:r>
      <w:r>
        <w:rPr>
          <w:color w:val="000000"/>
          <w:sz w:val="18"/>
          <w:lang w:val="en-US"/>
        </w:rPr>
        <w:t>Chief</w:t>
      </w:r>
      <w:r>
        <w:rPr>
          <w:color w:val="000000"/>
          <w:sz w:val="18"/>
        </w:rPr>
        <w:t xml:space="preserve">, </w:t>
      </w:r>
      <w:r>
        <w:rPr>
          <w:color w:val="000000"/>
          <w:sz w:val="18"/>
          <w:lang w:val="en-US"/>
        </w:rPr>
        <w:t>Official</w:t>
      </w:r>
      <w:r>
        <w:rPr>
          <w:color w:val="000000"/>
          <w:sz w:val="18"/>
        </w:rPr>
        <w:t xml:space="preserve"> </w:t>
      </w:r>
      <w:r>
        <w:rPr>
          <w:color w:val="000000"/>
          <w:sz w:val="18"/>
          <w:lang w:val="en-US"/>
        </w:rPr>
        <w:t>Records</w:t>
      </w:r>
      <w:r>
        <w:rPr>
          <w:color w:val="000000"/>
          <w:sz w:val="18"/>
        </w:rPr>
        <w:t xml:space="preserve"> </w:t>
      </w:r>
      <w:r>
        <w:rPr>
          <w:color w:val="000000"/>
          <w:sz w:val="18"/>
          <w:lang w:val="en-US"/>
        </w:rPr>
        <w:t>Editing</w:t>
      </w:r>
      <w:r>
        <w:rPr>
          <w:color w:val="000000"/>
          <w:sz w:val="18"/>
        </w:rPr>
        <w:t xml:space="preserve"> </w:t>
      </w:r>
      <w:r>
        <w:rPr>
          <w:color w:val="000000"/>
          <w:sz w:val="18"/>
          <w:lang w:val="en-US"/>
        </w:rPr>
        <w:t>Section</w:t>
      </w:r>
      <w:r>
        <w:rPr>
          <w:color w:val="000000"/>
          <w:sz w:val="18"/>
        </w:rPr>
        <w:t xml:space="preserve">, </w:t>
      </w:r>
      <w:r>
        <w:rPr>
          <w:color w:val="000000"/>
          <w:sz w:val="18"/>
          <w:lang w:val="en-US"/>
        </w:rPr>
        <w:t>room</w:t>
      </w:r>
      <w:r>
        <w:rPr>
          <w:color w:val="000000"/>
          <w:sz w:val="18"/>
        </w:rPr>
        <w:t xml:space="preserve"> </w:t>
      </w:r>
      <w:r>
        <w:rPr>
          <w:color w:val="000000"/>
          <w:sz w:val="18"/>
          <w:lang w:val="en-US"/>
        </w:rPr>
        <w:t>DC</w:t>
      </w:r>
      <w:r>
        <w:rPr>
          <w:color w:val="000000"/>
          <w:sz w:val="18"/>
        </w:rPr>
        <w:t xml:space="preserve">2-750, 2 </w:t>
      </w:r>
      <w:r>
        <w:rPr>
          <w:color w:val="000000"/>
          <w:sz w:val="18"/>
          <w:lang w:val="en-US"/>
        </w:rPr>
        <w:t>United</w:t>
      </w:r>
      <w:r>
        <w:rPr>
          <w:color w:val="000000"/>
          <w:sz w:val="18"/>
        </w:rPr>
        <w:t xml:space="preserve"> </w:t>
      </w:r>
      <w:r>
        <w:rPr>
          <w:color w:val="000000"/>
          <w:sz w:val="18"/>
          <w:lang w:val="en-US"/>
        </w:rPr>
        <w:t>Nations</w:t>
      </w:r>
      <w:r>
        <w:rPr>
          <w:color w:val="000000"/>
          <w:sz w:val="18"/>
        </w:rPr>
        <w:t xml:space="preserve"> </w:t>
      </w:r>
      <w:r>
        <w:rPr>
          <w:color w:val="000000"/>
          <w:sz w:val="18"/>
          <w:lang w:val="en-US"/>
        </w:rPr>
        <w:t>Plaza</w:t>
      </w:r>
      <w:r>
        <w:rPr>
          <w:color w:val="000000"/>
          <w:sz w:val="18"/>
        </w:rPr>
        <w:t xml:space="preserve">). </w:t>
      </w:r>
    </w:p>
    <w:p w:rsidR="00000000" w:rsidRDefault="00000000">
      <w:pPr>
        <w:pStyle w:val="std"/>
        <w:ind w:left="1701" w:right="1134"/>
        <w:rPr>
          <w:sz w:val="18"/>
        </w:rPr>
      </w:pPr>
    </w:p>
    <w:p w:rsidR="00000000" w:rsidRDefault="00000000">
      <w:pPr>
        <w:pStyle w:val="BodyTextIndent"/>
        <w:spacing w:before="60"/>
        <w:ind w:right="1134"/>
      </w:pPr>
      <w:r>
        <w:rPr>
          <w:color w:val="000000"/>
        </w:rPr>
  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  </w:r>
    </w:p>
    <w:p w:rsidR="00000000" w:rsidRDefault="00000000">
      <w:pPr>
        <w:spacing w:before="80"/>
        <w:jc w:val="both"/>
        <w:rPr>
          <w:sz w:val="20"/>
          <w:lang w:val="en-US"/>
        </w:rPr>
      </w:pPr>
      <w:r>
        <w:rPr>
          <w:sz w:val="20"/>
        </w:rPr>
        <w:t>06-34953</w:t>
      </w:r>
      <w:r>
        <w:rPr>
          <w:sz w:val="20"/>
          <w:lang w:val="en-US"/>
        </w:rPr>
        <w:t xml:space="preserve"> (</w:t>
      </w:r>
      <w:r>
        <w:rPr>
          <w:sz w:val="20"/>
        </w:rPr>
        <w:t>R</w:t>
      </w:r>
      <w:r>
        <w:rPr>
          <w:sz w:val="20"/>
          <w:lang w:val="en-US"/>
        </w:rPr>
        <w:t>)</w:t>
      </w:r>
    </w:p>
    <w:p w:rsidR="00000000" w:rsidRDefault="00000000">
      <w:pPr>
        <w:spacing w:before="80"/>
        <w:jc w:val="both"/>
        <w:rPr>
          <w:rFonts w:ascii="Barcode 3 of 9 by request" w:hAnsi="Barcode 3 of 9 by request"/>
          <w:sz w:val="20"/>
          <w:lang w:val="en-US"/>
        </w:rPr>
      </w:pPr>
      <w:r>
        <w:rPr>
          <w:rFonts w:ascii="Barcode 3 of 9 by request" w:hAnsi="Barcode 3 of 9 by request"/>
          <w:sz w:val="20"/>
          <w:lang w:val="en-US"/>
        </w:rPr>
        <w:t>*0634953*</w:t>
      </w:r>
    </w:p>
    <w:p w:rsidR="00000000" w:rsidRDefault="00000000">
      <w:pPr>
        <w:spacing w:before="240"/>
        <w:jc w:val="both"/>
        <w:rPr>
          <w:i/>
          <w:sz w:val="20"/>
        </w:rPr>
        <w:sectPr w:rsidR="00000000">
          <w:headerReference w:type="even" r:id="rId8"/>
          <w:headerReference w:type="default" r:id="rId9"/>
          <w:pgSz w:w="12242" w:h="15842" w:code="1"/>
          <w:pgMar w:top="1134" w:right="1298" w:bottom="1134" w:left="1298" w:header="720" w:footer="720" w:gutter="0"/>
          <w:cols w:space="708"/>
          <w:docGrid w:linePitch="360"/>
        </w:sectPr>
      </w:pPr>
    </w:p>
    <w:p w:rsidR="00000000" w:rsidRDefault="00000000">
      <w:pPr>
        <w:jc w:val="both"/>
        <w:rPr>
          <w:i/>
          <w:sz w:val="20"/>
        </w:rPr>
      </w:pPr>
    </w:p>
    <w:p w:rsidR="00000000" w:rsidRDefault="00000000">
      <w:pPr>
        <w:spacing w:after="240"/>
        <w:jc w:val="both"/>
        <w:rPr>
          <w:i/>
          <w:sz w:val="20"/>
        </w:rPr>
      </w:pPr>
      <w:r>
        <w:rPr>
          <w:i/>
          <w:sz w:val="20"/>
        </w:rPr>
        <w:t>Заседание открывается в 15 ч. 05 м.</w:t>
      </w:r>
    </w:p>
    <w:p w:rsidR="00000000" w:rsidRDefault="00000000">
      <w:pPr>
        <w:pStyle w:val="BodyTextIndent"/>
        <w:spacing w:after="240"/>
        <w:ind w:left="0"/>
        <w:jc w:val="left"/>
        <w:rPr>
          <w:sz w:val="20"/>
        </w:rPr>
      </w:pPr>
      <w:r>
        <w:rPr>
          <w:b/>
          <w:sz w:val="20"/>
        </w:rPr>
        <w:t>Рассмотрение докладов, представленных государствами-участниками в соответствии со статьей 18 Конвенции</w:t>
      </w:r>
      <w:r>
        <w:rPr>
          <w:sz w:val="20"/>
        </w:rPr>
        <w:t xml:space="preserve"> (</w:t>
      </w:r>
      <w:r>
        <w:rPr>
          <w:i/>
          <w:sz w:val="20"/>
        </w:rPr>
        <w:t>продолжение</w:t>
      </w:r>
      <w:r>
        <w:rPr>
          <w:sz w:val="20"/>
        </w:rPr>
        <w:t xml:space="preserve">) </w:t>
      </w:r>
    </w:p>
    <w:p w:rsidR="00000000" w:rsidRDefault="00000000">
      <w:pPr>
        <w:spacing w:after="240"/>
        <w:rPr>
          <w:sz w:val="20"/>
        </w:rPr>
      </w:pPr>
      <w:r>
        <w:rPr>
          <w:i/>
          <w:sz w:val="20"/>
        </w:rPr>
        <w:t xml:space="preserve">Сводный первоначальный, второй и третий периодический доклад Боснии и Герцеговины </w:t>
      </w:r>
      <w:r>
        <w:rPr>
          <w:sz w:val="20"/>
        </w:rPr>
        <w:t>(</w:t>
      </w:r>
      <w:r>
        <w:rPr>
          <w:i/>
          <w:sz w:val="20"/>
        </w:rPr>
        <w:t>продолжение</w:t>
      </w:r>
      <w:r>
        <w:rPr>
          <w:sz w:val="20"/>
        </w:rPr>
        <w:t>)</w:t>
      </w:r>
      <w:r>
        <w:rPr>
          <w:i/>
          <w:sz w:val="20"/>
        </w:rPr>
        <w:t xml:space="preserve"> </w:t>
      </w:r>
      <w:r>
        <w:rPr>
          <w:sz w:val="20"/>
        </w:rPr>
        <w:t>(</w:t>
      </w:r>
      <w:r>
        <w:rPr>
          <w:sz w:val="20"/>
          <w:lang w:val="en-GB"/>
        </w:rPr>
        <w:t>CEDAW</w:t>
      </w:r>
      <w:r>
        <w:rPr>
          <w:sz w:val="20"/>
        </w:rPr>
        <w:t>/</w:t>
      </w:r>
      <w:r>
        <w:rPr>
          <w:sz w:val="20"/>
          <w:lang w:val="en-GB"/>
        </w:rPr>
        <w:t>C</w:t>
      </w:r>
      <w:r>
        <w:rPr>
          <w:sz w:val="20"/>
        </w:rPr>
        <w:t>/</w:t>
      </w:r>
      <w:r>
        <w:rPr>
          <w:sz w:val="20"/>
          <w:lang w:val="en-GB"/>
        </w:rPr>
        <w:t>BIH</w:t>
      </w:r>
      <w:r>
        <w:rPr>
          <w:sz w:val="20"/>
        </w:rPr>
        <w:t xml:space="preserve">/1–3, </w:t>
      </w:r>
      <w:r>
        <w:rPr>
          <w:sz w:val="20"/>
          <w:lang w:val="en-GB"/>
        </w:rPr>
        <w:t>CEDAW</w:t>
      </w:r>
      <w:r>
        <w:rPr>
          <w:sz w:val="20"/>
        </w:rPr>
        <w:t>/</w:t>
      </w:r>
      <w:r>
        <w:rPr>
          <w:sz w:val="20"/>
          <w:lang w:val="en-GB"/>
        </w:rPr>
        <w:t>C</w:t>
      </w:r>
      <w:r>
        <w:rPr>
          <w:sz w:val="20"/>
        </w:rPr>
        <w:t>/</w:t>
      </w:r>
      <w:r>
        <w:rPr>
          <w:sz w:val="20"/>
          <w:lang w:val="en-GB"/>
        </w:rPr>
        <w:t>BIH</w:t>
      </w:r>
      <w:r>
        <w:rPr>
          <w:sz w:val="20"/>
        </w:rPr>
        <w:t>/</w:t>
      </w:r>
      <w:r>
        <w:rPr>
          <w:sz w:val="20"/>
          <w:lang w:val="en-GB"/>
        </w:rPr>
        <w:t>Q</w:t>
      </w:r>
      <w:r>
        <w:rPr>
          <w:sz w:val="20"/>
        </w:rPr>
        <w:t xml:space="preserve">/3 и </w:t>
      </w:r>
      <w:r>
        <w:rPr>
          <w:sz w:val="20"/>
          <w:lang w:val="en-GB"/>
        </w:rPr>
        <w:t>CEDAW</w:t>
      </w:r>
      <w:r>
        <w:rPr>
          <w:sz w:val="20"/>
        </w:rPr>
        <w:t>/</w:t>
      </w:r>
      <w:r>
        <w:rPr>
          <w:sz w:val="20"/>
          <w:lang w:val="en-GB"/>
        </w:rPr>
        <w:t>C</w:t>
      </w:r>
      <w:r>
        <w:rPr>
          <w:sz w:val="20"/>
        </w:rPr>
        <w:t>/</w:t>
      </w:r>
      <w:r>
        <w:rPr>
          <w:sz w:val="20"/>
          <w:lang w:val="en-GB"/>
        </w:rPr>
        <w:t>BIH</w:t>
      </w:r>
      <w:r>
        <w:rPr>
          <w:sz w:val="20"/>
        </w:rPr>
        <w:t>/</w:t>
      </w:r>
      <w:r>
        <w:rPr>
          <w:sz w:val="20"/>
          <w:lang w:val="en-GB"/>
        </w:rPr>
        <w:t>Q</w:t>
      </w:r>
      <w:r>
        <w:rPr>
          <w:sz w:val="20"/>
        </w:rPr>
        <w:t>/3/</w:t>
      </w:r>
      <w:r>
        <w:rPr>
          <w:sz w:val="20"/>
          <w:lang w:val="en-US"/>
        </w:rPr>
        <w:t>Add</w:t>
      </w:r>
      <w:r>
        <w:rPr>
          <w:sz w:val="20"/>
        </w:rPr>
        <w:t>.1)</w:t>
      </w:r>
    </w:p>
    <w:p w:rsidR="00000000" w:rsidRDefault="00000000">
      <w:pPr>
        <w:spacing w:after="240"/>
        <w:jc w:val="both"/>
        <w:rPr>
          <w:i/>
          <w:sz w:val="20"/>
        </w:rPr>
      </w:pPr>
      <w:r>
        <w:rPr>
          <w:sz w:val="20"/>
        </w:rPr>
        <w:t>1.</w:t>
      </w:r>
      <w:r>
        <w:rPr>
          <w:sz w:val="20"/>
        </w:rPr>
        <w:tab/>
      </w:r>
      <w:r>
        <w:rPr>
          <w:i/>
          <w:sz w:val="20"/>
        </w:rPr>
        <w:t>По приглашению Председателя члены делегации Боснии и Герцеговины занимают места за столом Комитета.</w:t>
      </w:r>
    </w:p>
    <w:p w:rsidR="00000000" w:rsidRDefault="00000000">
      <w:pPr>
        <w:spacing w:after="240"/>
        <w:jc w:val="both"/>
        <w:rPr>
          <w:i/>
          <w:sz w:val="20"/>
        </w:rPr>
      </w:pPr>
      <w:r>
        <w:rPr>
          <w:i/>
          <w:sz w:val="20"/>
        </w:rPr>
        <w:t>Статьи 7 и 8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2.</w:t>
      </w:r>
      <w:r>
        <w:rPr>
          <w:sz w:val="20"/>
        </w:rPr>
        <w:tab/>
      </w:r>
      <w:r>
        <w:rPr>
          <w:b/>
          <w:sz w:val="20"/>
        </w:rPr>
        <w:t xml:space="preserve">Г-жа Цзоу </w:t>
      </w:r>
      <w:r>
        <w:rPr>
          <w:sz w:val="20"/>
        </w:rPr>
        <w:t xml:space="preserve">Сяоцяо, приветствуя Закон о равенстве между мужчинами и женщинами и Закон о выборах Боснии и Герцеговины, последний из которых гласит, что женщины должны составлять по крайней мере треть кандидатов в избирательных списках, говорит, что необходимо приложить значительные усилия для того, чтобы обеспечить применение этих законов на практике. На высоких постах, особенно на федеральном и национальном уровнях, мало женщин, а в некоторых важных органах, таких как совет по реформе полиции и конституции, женщины вообще не представлены. Оратор желает знать, какие меры будут приняты для того, чтобы устранить этот дисбаланс, и существуют ли соответствующие программы подготовки для женщин. Приветствуя увеличение степени участия женщин в работе некоторых правительственных институтов за счет введения квот, оратор спрашивает, будет ли использование квот распространено на другие сферы деятельности правительства, такие как оборона и дипломатическая служба.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3.</w:t>
      </w:r>
      <w:r>
        <w:rPr>
          <w:sz w:val="20"/>
        </w:rPr>
        <w:tab/>
        <w:t>Отмечая, что, судя по ответам на перечень тем и вопросов (</w:t>
      </w:r>
      <w:r>
        <w:rPr>
          <w:sz w:val="20"/>
          <w:lang w:val="en-GB"/>
        </w:rPr>
        <w:t>CEDAW</w:t>
      </w:r>
      <w:r>
        <w:rPr>
          <w:sz w:val="20"/>
        </w:rPr>
        <w:t>/</w:t>
      </w:r>
      <w:r>
        <w:rPr>
          <w:sz w:val="20"/>
          <w:lang w:val="en-GB"/>
        </w:rPr>
        <w:t>C</w:t>
      </w:r>
      <w:r>
        <w:rPr>
          <w:sz w:val="20"/>
        </w:rPr>
        <w:t>/</w:t>
      </w:r>
      <w:r>
        <w:rPr>
          <w:sz w:val="20"/>
          <w:lang w:val="en-GB"/>
        </w:rPr>
        <w:t>BIH</w:t>
      </w:r>
      <w:r>
        <w:rPr>
          <w:sz w:val="20"/>
        </w:rPr>
        <w:t>/</w:t>
      </w:r>
      <w:r>
        <w:rPr>
          <w:sz w:val="20"/>
          <w:lang w:val="en-GB"/>
        </w:rPr>
        <w:t>Q</w:t>
      </w:r>
      <w:r>
        <w:rPr>
          <w:sz w:val="20"/>
        </w:rPr>
        <w:t>/3/</w:t>
      </w:r>
      <w:r>
        <w:rPr>
          <w:sz w:val="20"/>
          <w:lang w:val="en-US"/>
        </w:rPr>
        <w:t>Add</w:t>
      </w:r>
      <w:r>
        <w:rPr>
          <w:sz w:val="20"/>
        </w:rPr>
        <w:t xml:space="preserve">.1, пункт 16), лица, принадлежащие к национальным меньшинствам, не могут, согласно Конституции, занимать высшие политические посты и что Конституция не предоставляет основных прав и возможностей женщинам из таких меньшинств, оратор спрашивает, планируется ли пересмотреть соответствующие положения Конституции.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4.</w:t>
      </w:r>
      <w:r>
        <w:rPr>
          <w:sz w:val="20"/>
        </w:rPr>
        <w:tab/>
      </w:r>
      <w:r>
        <w:rPr>
          <w:b/>
          <w:sz w:val="20"/>
        </w:rPr>
        <w:t>Г-жа Шимонович</w:t>
      </w:r>
      <w:r>
        <w:rPr>
          <w:sz w:val="20"/>
        </w:rPr>
        <w:t>, ссылаясь на пункты 100 и 101 доклада (</w:t>
      </w:r>
      <w:r>
        <w:rPr>
          <w:sz w:val="20"/>
          <w:lang w:val="en-GB"/>
        </w:rPr>
        <w:t>CEDAW</w:t>
      </w:r>
      <w:r>
        <w:rPr>
          <w:sz w:val="20"/>
        </w:rPr>
        <w:t>/</w:t>
      </w:r>
      <w:r>
        <w:rPr>
          <w:sz w:val="20"/>
          <w:lang w:val="en-GB"/>
        </w:rPr>
        <w:t>C</w:t>
      </w:r>
      <w:r>
        <w:rPr>
          <w:sz w:val="20"/>
        </w:rPr>
        <w:t>/</w:t>
      </w:r>
      <w:r>
        <w:rPr>
          <w:sz w:val="20"/>
          <w:lang w:val="en-GB"/>
        </w:rPr>
        <w:t>BIH</w:t>
      </w:r>
      <w:r>
        <w:rPr>
          <w:sz w:val="20"/>
        </w:rPr>
        <w:t xml:space="preserve">/1–3), отмечает, что, если среди избранных на всеобщих выборах 1998 года членов Палаты представителей Парламентской ассамблеи женщины составляли 30,2 процента, то в 2000 году число избранных женщин резко уменьшилось. Оратор спрашивает, как Управление Высокого представителя в Боснии и Герцеговине отреагировало на эти изменения. Она также хотела бы узнать, какие действия будут предприняты для обеспечения полного осуществления статьи 15 Закона о равенстве между мужчинами и женщинами, касающейся равного представительства женщин в общественной жизни, и какова будет в этом отношении роль Высокого представителя.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5.</w:t>
      </w:r>
      <w:r>
        <w:rPr>
          <w:sz w:val="20"/>
        </w:rPr>
        <w:tab/>
      </w:r>
      <w:r>
        <w:rPr>
          <w:b/>
          <w:sz w:val="20"/>
        </w:rPr>
        <w:t xml:space="preserve">Г-жа Гаспар </w:t>
      </w:r>
      <w:r>
        <w:rPr>
          <w:sz w:val="20"/>
        </w:rPr>
        <w:t xml:space="preserve">говорит, что низкий уровень участия женщин в процессах принятия решений в политической, экономической и социальной сферах свидетельствует о наличии дискриминации в отношении женщин и устойчивости стереотипов. Хотя в докладе высказываются предположения о том, что женщины не хотят голосовать за других женщин, последние исследования, проведенные в ряде стран, показали, что такие утверждения ошибочны. Оратор желает знать, делает ли правительство что-либо для борьбы с гендерными стереотипами такого рода.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6.</w:t>
      </w:r>
      <w:r>
        <w:rPr>
          <w:sz w:val="20"/>
        </w:rPr>
        <w:tab/>
        <w:t xml:space="preserve">Отмечая, что исследование, посвященное месту женщин в политических партиях, выявило нежелание партий выдвигать кандидатов-женщин, оратор спрашивает, какие меры принимаются для того, чтобы побудить партии к устранению этого дисбаланса. Применять закон будет трудно в отсутствие наказаний за его неприменение.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7.</w:t>
      </w:r>
      <w:r>
        <w:rPr>
          <w:sz w:val="20"/>
        </w:rPr>
        <w:tab/>
      </w:r>
      <w:r>
        <w:rPr>
          <w:b/>
          <w:sz w:val="20"/>
        </w:rPr>
        <w:t xml:space="preserve">Г-жа Попеску </w:t>
      </w:r>
      <w:r>
        <w:rPr>
          <w:sz w:val="20"/>
        </w:rPr>
        <w:t xml:space="preserve">спрашивает, что делается для того, чтобы побудить политические партии содействовать продвижению женщин и наделять их соответствующими полномочиями. Оратор также была бы благодарна за более подробную информацию о конкретных рекомендациях различных рабочих групп, созданных с целью увеличения численности женщин, принимающих участие в общественной и политической жизни, во исполнение Закона о равенстве между мужчинами и женщинами.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8.</w:t>
      </w:r>
      <w:r>
        <w:rPr>
          <w:sz w:val="20"/>
        </w:rPr>
        <w:tab/>
      </w:r>
      <w:r>
        <w:rPr>
          <w:b/>
          <w:sz w:val="20"/>
        </w:rPr>
        <w:t>Г-жа Филипович-Хаджабдич</w:t>
      </w:r>
      <w:r>
        <w:rPr>
          <w:sz w:val="20"/>
        </w:rPr>
        <w:t xml:space="preserve"> (Босния и Герцеговина) говорит, что на последних выборах число женщин, избранных в законодательные органы, несколько увеличилось. Ведется работа по налаживанию связей между женщинами-политиками на различных уровнях и повышению осведомленности о резолюции 1325 (2000) Совета Безопасности Организации Объединенных Наций. В Сербской Республике в соответствии с Законом о равенстве между мужчинами и женщинами принимаются меры по увеличению числа кандидатов-женщин и обеспечению равного освещения деятельности таких кандидатов в средствах массовой информации во время избирательных кампаний. Наряду с этим принимаются меры, направленные на повышение компетентности кандидатов-женщин и расширение возможностей для женщин в политике.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9.</w:t>
      </w:r>
      <w:r>
        <w:rPr>
          <w:sz w:val="20"/>
        </w:rPr>
        <w:tab/>
        <w:t xml:space="preserve">Управление Высокого представителя в Боснии и Герцеговине не участвует в реализации Закона о равенстве между мужчинами и женщинами, так как со времени принятия Закона входящий в данное Управление департамент по гендерным вопросам был закрыт.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10.</w:t>
      </w:r>
      <w:r>
        <w:rPr>
          <w:sz w:val="20"/>
        </w:rPr>
        <w:tab/>
        <w:t xml:space="preserve">Поскольку в важных процессах реформ, происходящих в настоящее время, не участвуют женщины-политики, были предприняты шаги по привлечению внимания всех политиков к резолюции 1325 (2000) Совета Безопасности. Прилагаются усилия по разработке процедуры ведения дел, связанных с дискриминацией, согласно статье 21 Закона о равенстве между мужчинами и женщинами. Многие женщины обращались за помощью в этом отношении в Агентство по вопросам равенства между мужчинами и женщинами.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11.</w:t>
      </w:r>
      <w:r>
        <w:rPr>
          <w:sz w:val="20"/>
        </w:rPr>
        <w:tab/>
        <w:t xml:space="preserve">Обращаясь к вопросу меньшинств, оратор сообщает, что недавно в парламенте был создан комитет по делам меньшинств. По мнению оратора, в Конституцию следует внести поправки, с тем чтобы устранить различия, устанавливаемые с учетом этнического происхождения, однако в настоящее время основные политические партии не демонстрируют намерения сделать это. </w:t>
      </w:r>
    </w:p>
    <w:p w:rsidR="00000000" w:rsidRDefault="00000000">
      <w:pPr>
        <w:spacing w:after="240"/>
        <w:jc w:val="both"/>
        <w:rPr>
          <w:i/>
          <w:sz w:val="20"/>
        </w:rPr>
      </w:pPr>
      <w:r>
        <w:rPr>
          <w:i/>
          <w:sz w:val="20"/>
        </w:rPr>
        <w:t>Статья 10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12.</w:t>
      </w:r>
      <w:r>
        <w:rPr>
          <w:sz w:val="20"/>
        </w:rPr>
        <w:tab/>
      </w:r>
      <w:r>
        <w:rPr>
          <w:b/>
          <w:sz w:val="20"/>
        </w:rPr>
        <w:t>Г-жа Тавариш да Силва</w:t>
      </w:r>
      <w:r>
        <w:rPr>
          <w:sz w:val="20"/>
        </w:rPr>
        <w:t xml:space="preserve">, отмечая разительное несоответствие предметов, которые изучают в образовательных учреждениях мальчики и девочки, говорит, что хотела бы узнать, почему это несоответствие более очевидно в Боснии и Герцеговине, нежели в других странах региона. Если не решить эту проблему в срочном порядке, это серьезным образом скажется на перспективах трудоустройства женщин. Следует принять меры, с тем чтобы предоставить девочкам более разноплановые возможности получить образование и повысить осведомленность родителей об этой проблеме, в результате чего девочки смогут получать профессии, традиционно недоступные для женщин. Такие меры особенно важны для девочек, принадлежащих к меньшинствам. Оратор спрашивает, будет ли парламентский комитет по делам меньшинств принимать во внимание гендерный аспект в сфере образования и других сферах.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13.</w:t>
      </w:r>
      <w:r>
        <w:rPr>
          <w:sz w:val="20"/>
        </w:rPr>
        <w:tab/>
      </w:r>
      <w:r>
        <w:rPr>
          <w:b/>
          <w:sz w:val="20"/>
        </w:rPr>
        <w:t>Г-жа Филипович-Хаджабдич</w:t>
      </w:r>
      <w:r>
        <w:rPr>
          <w:sz w:val="20"/>
        </w:rPr>
        <w:t xml:space="preserve"> (Босния и Герцеговина) соглашается с тем, что необходим более активный подход к решению проблемы гендерного дисбаланса в образовании. В рамках проекта с участием Программы развития Организации Объединенных Наций (ПРООН) неправительственным организациям (НПО) предоставляются гранты на деятельность, направленную на осуществление Закона о равенстве между мужчинами и женщинами, особенно в том, что касается образования для девочек и женщин.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14.</w:t>
      </w:r>
      <w:r>
        <w:rPr>
          <w:sz w:val="20"/>
        </w:rPr>
        <w:tab/>
        <w:t xml:space="preserve">Будут приложены соответствующие усилия, с тем чтобы гарантировать учет комитетом по делам меньшинств гендерного аспекта в проводимой им работе. Уже принимаются меры по обеспечению гендерного баланса в представительстве меньшинств в местном правительстве. Консультативный совет по вопросам равенства мужчин и женщин народности рома будет работать над решением конкретной проблемы дискриминации девочек народности рома в сфере образования. Меры, направленные на удовлетворение потребностей меньшинств, всегда разрабатываются в сотрудничестве с заинтересованными группами и отдельными лицами.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15.</w:t>
      </w:r>
      <w:r>
        <w:rPr>
          <w:sz w:val="20"/>
        </w:rPr>
        <w:tab/>
        <w:t xml:space="preserve">Были достигнуты определенные успехи в деле побуждения преподавателей к обсуждению с родителями проблемы гендерных стереотипов, особенно в отношении выбора профессии. Несоответствие в образовании мальчиков и девочек главным образом обусловлено экономической ситуацией в стране и недостаточным доступом к школам. </w:t>
      </w:r>
    </w:p>
    <w:p w:rsidR="00000000" w:rsidRDefault="00000000">
      <w:pPr>
        <w:keepNext/>
        <w:spacing w:after="240"/>
        <w:jc w:val="both"/>
        <w:rPr>
          <w:i/>
          <w:sz w:val="20"/>
        </w:rPr>
      </w:pPr>
      <w:r>
        <w:rPr>
          <w:i/>
          <w:sz w:val="20"/>
        </w:rPr>
        <w:t>Статья 11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16.</w:t>
      </w:r>
      <w:r>
        <w:rPr>
          <w:sz w:val="20"/>
        </w:rPr>
        <w:tab/>
      </w:r>
      <w:r>
        <w:rPr>
          <w:b/>
          <w:sz w:val="20"/>
        </w:rPr>
        <w:t>Г-жа Шёпп-Шиллинг</w:t>
      </w:r>
      <w:r>
        <w:rPr>
          <w:sz w:val="20"/>
        </w:rPr>
        <w:t xml:space="preserve">, ссылаясь на статьи 11 и 13, выражает глубокую обеспокоенность в связи с высоким уровнем безработицы среди образованных женщин, а также в связи с очевидным отсутствием программ, специально ориентированных на женщин, например программ переподготовки, предоставления микрокредитов или оказания поддержки женщинам, владеющим собственными предприятиями. В Сербской Республике, как представляется, положение женщин еще хуже. Оратор просит представить четкие разъяснения в отношении рекомендаций, подготовленных для Промежуточной стратегии развития, рассказать, как они соотносятся с рекомендациями и действиями, предложенными в Плане действий по решению гендерных вопросов, и какая стратегия будет использоваться для того, чтобы обеспечить выполнение этих рекомендаций. Наряду с этим вызывает обеспокоенность то обстоятельство, что число женщин в теневом секторе экономики, в котором их работа не дает им права на социальное обеспечение или медицинское страхование в той или иной форме, столь велико. Требуются конкретные ответы на эти вопросы.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17.</w:t>
      </w:r>
      <w:r>
        <w:rPr>
          <w:sz w:val="20"/>
        </w:rPr>
        <w:tab/>
      </w:r>
      <w:r>
        <w:rPr>
          <w:b/>
          <w:sz w:val="20"/>
        </w:rPr>
        <w:t>Г-жа Хан</w:t>
      </w:r>
      <w:r>
        <w:rPr>
          <w:sz w:val="20"/>
        </w:rPr>
        <w:t xml:space="preserve">, также выражая озабоченность по поводу склонности работодателей расторгать контракты с работниками женского пола, а не увольнять работников-мужчин, спрашивает, основана ли на контрактной системе работа в государственном секторе; работали ли указанные служащие по краткосрочным контрактам; какова политика правительства в вопросах приема на работу; и каким образом стало возможным увольнение государственных служащих по признаку пола или в результате других форм дискриминации. Информация о том, назначает ли правительство пенсии лицам, нанятым на короткий срок, и предоставляет ли оно пособия по безработице в иной форме, была бы весьма полезной. Оратор также спрашивает, существует ли трудовая инспекция, которая могла бы контролировать подобные случаи незаконного расторжения контрактов, поступали ли какие-либо жалобы омбудсмену, и если это имело место, то каков был результат.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18.</w:t>
      </w:r>
      <w:r>
        <w:rPr>
          <w:sz w:val="20"/>
        </w:rPr>
        <w:tab/>
        <w:t xml:space="preserve">Напоминая, что некоторые конкретные стратегии уже были реализованы в рамках Плана действий по решению гендерных вопросов, оратор спрашивает, были ли введены для женщин какие-либо специальные квоты на должности в государственном секторе, требующие принятия решений. Также было бы полезно узнать, выделялись ли женщинам какие-либо особые ресурсы, например, специальные кредиты или ссуды, в частности, для развития предпринимательской деятельности.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19.</w:t>
      </w:r>
      <w:r>
        <w:rPr>
          <w:sz w:val="20"/>
        </w:rPr>
        <w:tab/>
      </w:r>
      <w:r>
        <w:rPr>
          <w:b/>
          <w:sz w:val="20"/>
        </w:rPr>
        <w:t xml:space="preserve">Г-жа Паттен </w:t>
      </w:r>
      <w:r>
        <w:rPr>
          <w:sz w:val="20"/>
        </w:rPr>
        <w:t>говорит, что она разделяет обеспокоенность, выраженную двумя предыдущими ораторами. Несмотря на то, что в трудовом законодательстве Боснии и Герцеговины закреплен принцип равенства, в реальной жизни женщины не имеют таких же прав и возможностей в трудовой сфере, как мужчины. Закон о равенстве между мужчинами и женщинами не только не осуществляется надлежащим образом, но не предусматривает механизмов, необходимых для обеспечения его выполнения; наблюдательные органы Международной организации труда (МОТ) также выражали обеспокоенность по аналогичному поводу. Правительство должно сообщить, какие меры оно принимает для того, чтобы устранить эту обеспокоенность. Следующий доклад должен содержать информацию и дезагрегированные по полу данные о конкретных мерах, принятых в отношении различных групп населения, испытывающих трудности с поиском или сохранением работы, – молодых женщин, женщин пожилого возраста, представителей этнических меньшинств и инвалидов, – а также о том, насколько хорошо женщины осведомлены о своих трудовых правах. Также было бы полезно узнать, сколько женщин являются членами профсоюзов и занимают ли они в этих профсоюзах высокие посты.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20.</w:t>
      </w:r>
      <w:r>
        <w:rPr>
          <w:sz w:val="20"/>
        </w:rPr>
        <w:tab/>
        <w:t xml:space="preserve">Было бы не менее полезно узнать, оказывает ли правительство финансовую или какую-либо иную помощь учреждениям по уходу за детьми; предусматривает ли оно создание сети детских учреждений; и какова процентная доля работодателей, предлагающих такие услуги. Наконец, правительство должно предоставить информацию о том, что оно планирует сделать для решения очень серьезной проблемы профессиональной сегрегации.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21.</w:t>
      </w:r>
      <w:r>
        <w:rPr>
          <w:sz w:val="20"/>
        </w:rPr>
        <w:tab/>
      </w:r>
      <w:r>
        <w:rPr>
          <w:b/>
          <w:sz w:val="20"/>
        </w:rPr>
        <w:t>Г-жа Филипович-Хаджабдич</w:t>
      </w:r>
      <w:r>
        <w:rPr>
          <w:sz w:val="20"/>
        </w:rPr>
        <w:t xml:space="preserve"> (Босния и Герцеговина) говорит, что рекомендации, касающиеся Промежуточной стратегии развития, охватывают 22 различных сферы и были подготовлены при участии целого ряда экспертов. Проблемы возникли в связи с тем, что лица, представляющие национальные организационные механизмы по решению гендерных вопросов, и лица, занимающиеся разработкой Стратегии, говорят на разных языках. План действий по решению гендерных вопросов – это важный стратегический документ для Боснии и Герцеговины, который также должен служить сводом руководящих принципов для международного сообщества. Департамент международного развития (ДМР) Соединенного Королевства оказывает финансовую помощь осуществлению данной Стратегии. Рекомендации в отношении занятости, включенные в Промежуточную стратегию развития, и в План действий по решению гендерных вопросов, предусматривают профессиональную подготовку и непрерывное образование, особенно для безработных женщин.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22.</w:t>
      </w:r>
      <w:r>
        <w:rPr>
          <w:sz w:val="20"/>
        </w:rPr>
        <w:tab/>
        <w:t>Обращаясь к вопросам, касающимся специальных ресурсов для поддержки предпринимательской деятельности женщин, оратор обращает внимание на ответы на перечень тем и вопросов (</w:t>
      </w:r>
      <w:r>
        <w:rPr>
          <w:sz w:val="20"/>
          <w:lang w:val="en-GB"/>
        </w:rPr>
        <w:t>CEDAW</w:t>
      </w:r>
      <w:r>
        <w:rPr>
          <w:sz w:val="20"/>
        </w:rPr>
        <w:t>/</w:t>
      </w:r>
      <w:r>
        <w:rPr>
          <w:sz w:val="20"/>
          <w:lang w:val="en-GB"/>
        </w:rPr>
        <w:t>C</w:t>
      </w:r>
      <w:r>
        <w:rPr>
          <w:sz w:val="20"/>
        </w:rPr>
        <w:t>/</w:t>
      </w:r>
      <w:r>
        <w:rPr>
          <w:sz w:val="20"/>
          <w:lang w:val="en-GB"/>
        </w:rPr>
        <w:t>BIH</w:t>
      </w:r>
      <w:r>
        <w:rPr>
          <w:sz w:val="20"/>
        </w:rPr>
        <w:t>/</w:t>
      </w:r>
      <w:r>
        <w:rPr>
          <w:sz w:val="20"/>
          <w:lang w:val="en-GB"/>
        </w:rPr>
        <w:t>Q</w:t>
      </w:r>
      <w:r>
        <w:rPr>
          <w:sz w:val="20"/>
        </w:rPr>
        <w:t>/3/</w:t>
      </w:r>
      <w:r>
        <w:rPr>
          <w:sz w:val="20"/>
          <w:lang w:val="en-US"/>
        </w:rPr>
        <w:t>Add</w:t>
      </w:r>
      <w:r>
        <w:rPr>
          <w:sz w:val="20"/>
        </w:rPr>
        <w:t xml:space="preserve">.1, пункт 25). В дальнейшем случаи прекращения найма на основании половой принадлежности работников будут тщательно отслеживаться. Реформа правительства, несомненно, приведет к сокращению числа должностей; в связи с этим важно проследить, чтобы женщины не становились первыми кандидатами на увольнение. Вместе с тем оратор подчеркивает, что государственные служащие женского и мужского пола равны перед законом. Правительство совместно с МОТ занимается организацией обучения государственных служащих с целью повышения осведомленности о международных трудовых конвенциях. Мониторинг трудового законодательства является обязанностью Инспекции труда и омбудсменов. Однако, как подчеркивалось ранее, последние склонны считать, что дискриминация чаще бывает связана с коррупцией и другими факторами, а не с гендерными характеристиками.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23.</w:t>
      </w:r>
      <w:r>
        <w:rPr>
          <w:sz w:val="20"/>
        </w:rPr>
        <w:tab/>
        <w:t>В отношении ситуации, касающейся трудоустройства высокообразованных женщин, оратор говорит, что содержащееся в пункте 170 доклада (</w:t>
      </w:r>
      <w:r>
        <w:rPr>
          <w:sz w:val="20"/>
          <w:lang w:val="en-GB"/>
        </w:rPr>
        <w:t>CEDAW</w:t>
      </w:r>
      <w:r>
        <w:rPr>
          <w:sz w:val="20"/>
        </w:rPr>
        <w:t>/</w:t>
      </w:r>
      <w:r>
        <w:rPr>
          <w:sz w:val="20"/>
          <w:lang w:val="en-GB"/>
        </w:rPr>
        <w:t>C</w:t>
      </w:r>
      <w:r>
        <w:rPr>
          <w:sz w:val="20"/>
        </w:rPr>
        <w:t>/</w:t>
      </w:r>
      <w:r>
        <w:rPr>
          <w:sz w:val="20"/>
          <w:lang w:val="en-GB"/>
        </w:rPr>
        <w:t>BIH</w:t>
      </w:r>
      <w:r>
        <w:rPr>
          <w:sz w:val="20"/>
        </w:rPr>
        <w:t xml:space="preserve">/1–3) утверждение о том, что женщины с более высоким уровнем образования сталкиваются с бóльшими трудностями при поиске работы, нежели женщины с менее высоким уровнем образования, неверно. В действительности справедливо обратное. Данные, которые легли в основу доклада, могут быть предоставлены по запросу. Что касается вопроса о роли женщин в профсоюзах, то оратор говорит, что в рамках профсоюзов действуют так называемые "Форумы женщин" и что лидерами нескольких отделений профсоюзов являются женщины. Политика правительства состоит в том, чтобы завязывать и поддерживать связи с представителями профсоюзов.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24.</w:t>
      </w:r>
      <w:r>
        <w:rPr>
          <w:sz w:val="20"/>
        </w:rPr>
        <w:tab/>
        <w:t>Система ухода за детьми в настоящее время организована не так хорошо, как до войны, поскольку многие детские учреждения были разрушены. Государство готово поддерживать детские учреждения – и делает это на практике – но оно не всегда располагает необходимыми для этого финансовыми ресурсами. Правительство надеется выступить с дальнейшими рекомендациями относительно совмещения работы и семейных обязанностей.</w:t>
      </w:r>
    </w:p>
    <w:p w:rsidR="00000000" w:rsidRDefault="00000000">
      <w:pPr>
        <w:keepNext/>
        <w:spacing w:after="240"/>
        <w:jc w:val="both"/>
        <w:rPr>
          <w:i/>
          <w:sz w:val="20"/>
        </w:rPr>
      </w:pPr>
      <w:r>
        <w:rPr>
          <w:i/>
          <w:sz w:val="20"/>
        </w:rPr>
        <w:t>Статья 12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25.</w:t>
      </w:r>
      <w:r>
        <w:rPr>
          <w:sz w:val="20"/>
        </w:rPr>
        <w:tab/>
      </w:r>
      <w:r>
        <w:rPr>
          <w:b/>
          <w:sz w:val="20"/>
        </w:rPr>
        <w:t>Г-жа Шин</w:t>
      </w:r>
      <w:r>
        <w:rPr>
          <w:sz w:val="20"/>
        </w:rPr>
        <w:t xml:space="preserve">, обращаясь непосредственно к вопросу медицинских проблем, с которыми сталкиваются жертвы войны, отмечает, что во время Второй мировой войны многие женщины в Корее и других регионах Азии стали жертвами многократных изнасилований и сексуального рабства. Они не получали никакой социальной помощи и смогли рассказать о том, что с ними произошло, лишь 50 лет спустя. Закон о социальной защите, защите гражданских жертв войны и семей с детьми не обеспечивает жертвам женского пола, численность которых достигает по крайней мере 3 тыс. человек (а возможно, и превышает этот показатель в 10 или 20 раз), должного признания их гражданскими жертвами войны. Такое признание имеет решающее значение для того, чтобы помочь им оправиться от травм, причиненных пытками и изнасилованиями. Оратор спрашивает, существуют ли какие-либо планы по решению этой проблемы. Такие женщины, к тому же, нуждаются в специальных программах психологической помощи и терапии.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26.</w:t>
      </w:r>
      <w:r>
        <w:rPr>
          <w:sz w:val="20"/>
        </w:rPr>
        <w:tab/>
      </w:r>
      <w:r>
        <w:rPr>
          <w:b/>
          <w:sz w:val="20"/>
        </w:rPr>
        <w:t xml:space="preserve">Г-жа Дайриам </w:t>
      </w:r>
      <w:r>
        <w:rPr>
          <w:sz w:val="20"/>
        </w:rPr>
        <w:t>говорит, что, насколько она понимает, на практике доступ к медицинскому обслуживанию, по всей видимости, гарантирован лишь лицам, работающим на законных основаниях. В этом контексте оратор спрашивает, охватывает ли План действий по решению гендерных вопросов все возникающие в связи с этим вопросы медицинского обслуживания. Принимая во внимание серьезную проблему отсутствия данных, государство-участник должно указать, предусматривает ли План действий по решению гендерных вопросов оценку влияния реформы здравоохранения на женщин и те вопросы, которые необходимо решать в связи с этим. Оратор также спрашивает, насколько содержательна медицинская составляющая Плана действий по решению гендерных вопросов и будет ли повышена значимость указанного Плана посредством его интеграции в Промежуточную стратегию развития.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27.</w:t>
      </w:r>
      <w:r>
        <w:rPr>
          <w:sz w:val="20"/>
        </w:rPr>
        <w:tab/>
      </w:r>
      <w:r>
        <w:rPr>
          <w:b/>
          <w:sz w:val="20"/>
        </w:rPr>
        <w:t>Председатель</w:t>
      </w:r>
      <w:r>
        <w:rPr>
          <w:sz w:val="20"/>
        </w:rPr>
        <w:t xml:space="preserve">, выступая в личном качестве, говорит о своей обеспокоенности в связи с тем, что аборты используются как метод планирования семьи, особенно учитывая тот факт, что аборты, несомненно, являются одной из причин материнской смертности. Оратор интересуется, какие меры принимает правительство для исправления ситуации.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28.</w:t>
      </w:r>
      <w:r>
        <w:rPr>
          <w:sz w:val="20"/>
        </w:rPr>
        <w:tab/>
        <w:t xml:space="preserve">В то же время положительным можно считать то обстоятельство, что женщины имеют законное право сделать аборт до десятой недели беременности и могут обращаться за помощью в центры первичной медицинской помощи. Оратор интересуется, являются ли государственные медицинские услуги бесплатными и могут ли женщины получить необходимую помощь после аборта. Оратор также хотела бы узнать, могут ли жертвы изнасилования делать аборт после десятой недели беременности.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29.</w:t>
      </w:r>
      <w:r>
        <w:rPr>
          <w:sz w:val="20"/>
        </w:rPr>
        <w:tab/>
      </w:r>
      <w:r>
        <w:rPr>
          <w:b/>
          <w:sz w:val="20"/>
        </w:rPr>
        <w:t xml:space="preserve">Г-жа Филипович-Хаджабдич </w:t>
      </w:r>
      <w:r>
        <w:rPr>
          <w:sz w:val="20"/>
        </w:rPr>
        <w:t>(Босния и Герцеговина) говорит, что правительство столкнулось с определенными трудностями при сборе данных об абортах, осуществляемых в частных клиниках, однако предпринимаются попытки решить эту проблему.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30.</w:t>
      </w:r>
      <w:r>
        <w:rPr>
          <w:sz w:val="20"/>
        </w:rPr>
        <w:tab/>
        <w:t xml:space="preserve">Что касается полового воспитания и репродуктивного здоровья подростков, то Федеральному министерству образования, науки, культуры и спорта было предложено включить эти предметы в учебный план. В школах уже была распространена публикация, содержащая информацию о заболеваниях, передаваемых половым путем. Принимаются меры по повышению осведомленности подростков о ВИЧ/СПИДе и других заболеваниях, передаваемых половым путем.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31.</w:t>
      </w:r>
      <w:r>
        <w:rPr>
          <w:sz w:val="20"/>
        </w:rPr>
        <w:tab/>
        <w:t>Любой женщине, желающей сделать аборт после десятой недели беременности, требуется разрешение комиссии; однако жертвы изнасилования обычно получают разрешение на такие аборты. В целом система получения доступа к медицинскому обслуживанию является сложной, поскольку граждане не могут пользоваться услугами клиники, находящейся в другом кантоне, без разрешения министерства здравоохранения кантона. Это становится причиной особых проблем для женщин, проживающих в сельских районах. Все лица, работающие на законных основаниях, и их семьи, а также все студенты имеют медицинскую страховку.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32.</w:t>
      </w:r>
      <w:r>
        <w:rPr>
          <w:sz w:val="20"/>
        </w:rPr>
        <w:tab/>
        <w:t xml:space="preserve">Что касается гражданских жертв войны, то предпринимаются шаги по внесению поправок в Закон о социальной защите, защите гражданских жертв войны и семей с детьми и по обеспечению правовой и психосоциальной помощи для гражданских жертв войны. В настоящее время этим лицам оказывают помощь частные клиники или врачи, работающие в неправительственных организациях.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33.</w:t>
      </w:r>
      <w:r>
        <w:rPr>
          <w:sz w:val="20"/>
        </w:rPr>
        <w:tab/>
        <w:t>В Плане действий по решению гендерных вопросов первоочередное внимание уделяется женскому здоровью, в особенности вопросам, касающимся репродуктивного здоровья, материнской смертности, распространения информации о заболеваниях, передаваемых половым путем, и неонаталогии. Кроме того, запланировано создание совета по вопросам здоровья подростков.</w:t>
      </w:r>
    </w:p>
    <w:p w:rsidR="00000000" w:rsidRDefault="00000000">
      <w:pPr>
        <w:keepNext/>
        <w:spacing w:after="240"/>
        <w:jc w:val="both"/>
        <w:rPr>
          <w:i/>
          <w:sz w:val="20"/>
        </w:rPr>
      </w:pPr>
      <w:r>
        <w:rPr>
          <w:i/>
          <w:sz w:val="20"/>
        </w:rPr>
        <w:t>Статья 14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34.</w:t>
      </w:r>
      <w:r>
        <w:rPr>
          <w:sz w:val="20"/>
        </w:rPr>
        <w:tab/>
      </w:r>
      <w:r>
        <w:rPr>
          <w:b/>
          <w:sz w:val="20"/>
        </w:rPr>
        <w:t>Г-жа Тан</w:t>
      </w:r>
      <w:r>
        <w:rPr>
          <w:sz w:val="20"/>
        </w:rPr>
        <w:t xml:space="preserve">, отмечая, что в последнее время возросли масштабы торговли женщинами, особенно в целях проституции, и что малообеспеченные женщины из сельских районов обычно более уязвимы в этом отношении, говорит, что было бы полезно узнать, какие меры принимает государство, с тем чтобы ознакомить таких женщин с методами торговцев людьми, понятием безопасной миграции и юридическими правами женщин, ставших жертвами такой торговли. Оратор была бы признательна за дополнительную информацию о мерах, которые принимаются для решения проблемы сотрудничества некоторых офицеров полиции с торговцами людьми.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35.</w:t>
      </w:r>
      <w:r>
        <w:rPr>
          <w:sz w:val="20"/>
        </w:rPr>
        <w:tab/>
      </w:r>
      <w:r>
        <w:rPr>
          <w:b/>
          <w:sz w:val="20"/>
        </w:rPr>
        <w:t xml:space="preserve">Г-жа Кокер-Аппиа </w:t>
      </w:r>
      <w:r>
        <w:rPr>
          <w:sz w:val="20"/>
        </w:rPr>
        <w:t xml:space="preserve">спрашивает, что делается для улучшения положения сельских женщин в аспектах медицинского страхования и доступа к медицинскому обслуживанию и образованию, и принимаются ли меры для изменения социальных установок в отношении традиционных ролей, особенно в сельской местности.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36.</w:t>
      </w:r>
      <w:r>
        <w:rPr>
          <w:sz w:val="20"/>
        </w:rPr>
        <w:tab/>
      </w:r>
      <w:r>
        <w:rPr>
          <w:b/>
          <w:sz w:val="20"/>
        </w:rPr>
        <w:t xml:space="preserve">Г-жа Паттен </w:t>
      </w:r>
      <w:r>
        <w:rPr>
          <w:sz w:val="20"/>
        </w:rPr>
        <w:t>говорит, что, хотя в докладе признается тяжелое положение сельских женщин, правительство, судя по всему, не принимает конкретных мер с целью его улучшения. Оратор интересуется, существует ли национальное министерство сельского развития и разработана ли национальная стратегия в отношении сельских женщин. Оратор также хотела бы получить дополнительную информацию о том, что делается для обеспечения реального участия сельских женщин в проектах развития, как это предусматривается статьей 14, и существует ли специальная программа социального обеспечения для сельских женщин, охватывающая особые категории таких женщин (например, пожилых женщин или инвалидов). Наконец, оратор была бы благодарна за более подробную информацию о положениях, касающихся обеспечения жильем, санитарных условий, электроснабжения и водоснабжения в сельских районах, так как ни один из этих вопросов не был упомянут в докладе.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37.</w:t>
      </w:r>
      <w:r>
        <w:rPr>
          <w:sz w:val="20"/>
        </w:rPr>
        <w:tab/>
      </w:r>
      <w:r>
        <w:rPr>
          <w:b/>
          <w:sz w:val="20"/>
        </w:rPr>
        <w:t xml:space="preserve">Г-жа Филипович-Хаджабдич </w:t>
      </w:r>
      <w:r>
        <w:rPr>
          <w:sz w:val="20"/>
        </w:rPr>
        <w:t>(Босния и Герцеговина) говорит, что дополнительная информация о положении сельских женщин будет включена в следующий доклад. Правительство приступило к реализации пяти пилотных проектов в поселках городского типа в целях обучения женщин и поощрения их участия в представлении предложений по развитию. В докладе не упоминаются вопросы обеспечения жильем и водоснабжения в сельских районах, поскольку создание инфраструктуры остается серьезной проблемой. Подобные услуги обычно оказываются государством при минимальном участии муниципалитета и кантона. В действительности основную проблему для сельского населения представляют мины.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38.</w:t>
      </w:r>
      <w:r>
        <w:rPr>
          <w:sz w:val="20"/>
        </w:rPr>
        <w:tab/>
        <w:t xml:space="preserve">Правительство не предпринимало никаких прямых действий в целях борьбы с торговлей женщинами и девочками, наиболее уязвимыми из которых являются городские жительницы. Тем не менее существуют планы по разработке стратегии обеспечения правовой грамотности, в соответствии с которыми в каждом муниципалитете будет создано небольшое бюро информации, предоставляющее женщинам сведения о данной проблеме и об их законных правах, в частности о правах собственности.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39.</w:t>
      </w:r>
      <w:r>
        <w:rPr>
          <w:sz w:val="20"/>
        </w:rPr>
        <w:tab/>
        <w:t>Большой проект, реализуемый Министерством сельского хозяйства при участии МФСР, предусматривает финансовую поддержку предпринимательской деятельности сельских женщин и предоставление услуг советника по гендерным вопросам; этот проект оказался особенно успешным. Другой проект, финансируемый Всемирным банком, также имеет целью побудить женщин, особенно в сельских районах, к тому, чтобы они начали свое дело; подобные мероприятия также были включены в Промежуточную стратегию развития.</w:t>
      </w:r>
    </w:p>
    <w:p w:rsidR="00000000" w:rsidRDefault="00000000">
      <w:pPr>
        <w:keepNext/>
        <w:spacing w:after="240"/>
        <w:jc w:val="both"/>
        <w:rPr>
          <w:i/>
          <w:sz w:val="20"/>
        </w:rPr>
      </w:pPr>
      <w:r>
        <w:rPr>
          <w:i/>
          <w:sz w:val="20"/>
        </w:rPr>
        <w:t>Статьи 15 и 16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40.</w:t>
      </w:r>
      <w:r>
        <w:rPr>
          <w:sz w:val="20"/>
        </w:rPr>
        <w:tab/>
      </w:r>
      <w:r>
        <w:rPr>
          <w:b/>
          <w:sz w:val="20"/>
        </w:rPr>
        <w:t>Г-жа Тан</w:t>
      </w:r>
      <w:r>
        <w:rPr>
          <w:sz w:val="20"/>
        </w:rPr>
        <w:t>, отмечая, что суды, по всей видимости, не обеспечивают соблюдение изданных ими постановлений о содержании детей (</w:t>
      </w:r>
      <w:r>
        <w:rPr>
          <w:sz w:val="20"/>
          <w:lang w:val="en-GB"/>
        </w:rPr>
        <w:t>CEDAW</w:t>
      </w:r>
      <w:r>
        <w:rPr>
          <w:sz w:val="20"/>
        </w:rPr>
        <w:t>/</w:t>
      </w:r>
      <w:r>
        <w:rPr>
          <w:sz w:val="20"/>
          <w:lang w:val="en-GB"/>
        </w:rPr>
        <w:t>C</w:t>
      </w:r>
      <w:r>
        <w:rPr>
          <w:sz w:val="20"/>
        </w:rPr>
        <w:t>/</w:t>
      </w:r>
      <w:r>
        <w:rPr>
          <w:sz w:val="20"/>
          <w:lang w:val="en-GB"/>
        </w:rPr>
        <w:t>BIH</w:t>
      </w:r>
      <w:r>
        <w:rPr>
          <w:sz w:val="20"/>
        </w:rPr>
        <w:t>/1–3, пункт 268), спрашивает, принимают ли они когда-либо меры по защите детей в соответствии со статьей 238 Закона о семье, наказывая родителей, не оказывающих детям поддержки (доклад, пункт 276). Из положений Закона о семье, приведенных в пункте 271 доклада и касающихся незаконных внебрачных отношений с несовершеннолетними, по всей видимости, следует, что для детей моложе 14 лет не предусмотрено никакой защиты; кроме того, вызывает удивление то обстоятельство, что брак считается средством узаконивания запрещенных сексуальных отношений с несовершеннолетними. Оратор также спрашивает, что было сделано для просвещения мужчин и женщин в общинах беженцев и внутренне перемещенных лиц по вопросам недопустимости дискриминации в отношении женщин и семейных прав и обязанностей согласно Закону о семье.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41.</w:t>
      </w:r>
      <w:r>
        <w:rPr>
          <w:sz w:val="20"/>
        </w:rPr>
        <w:tab/>
      </w:r>
      <w:r>
        <w:rPr>
          <w:b/>
          <w:sz w:val="20"/>
        </w:rPr>
        <w:t>Г-жа Бокпе-Гнакаджа</w:t>
      </w:r>
      <w:r>
        <w:rPr>
          <w:sz w:val="20"/>
        </w:rPr>
        <w:t xml:space="preserve"> отмечает, что, по всей видимости, вступление в брак с несовершеннолетним лицом действительно становится способом избежать преследования за незаконные сексуальные отношения. По вопросу о равенстве в браке оратор хотела бы получить разъяснения в отношении различий между правами жены в качестве стороны, подписывающей юридические документы, касающиеся собственности, и правами мужа как владельца этой собственности. Кроме того, поскольку, как представляется, мужчина управляет любым бизнесом, зарегистрированным на имя его жены, а жена не имеет возможности принимать решения, оратор интересуется, несет ли жена юридическую ответственность за ошибки в управлении, допущенные ее мужем. Также, учитывая очень широкое юридическое определение семьи, неясно, как по закону распределяются права собственности и наследования в случае смерти жены или сожительницы, и какие именно традиции вступают в силу. Оратор хотела бы получить больше информации о несоответствиях между тремя различными законами о семье, действующими в стране, и о том, каким образом каждый из них обеспечивает равные права для женщин.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42.</w:t>
      </w:r>
      <w:r>
        <w:rPr>
          <w:sz w:val="20"/>
        </w:rPr>
        <w:tab/>
      </w:r>
      <w:r>
        <w:rPr>
          <w:b/>
          <w:sz w:val="20"/>
        </w:rPr>
        <w:t xml:space="preserve">Г-жа Филипович-Хаджабдич </w:t>
      </w:r>
      <w:r>
        <w:rPr>
          <w:sz w:val="20"/>
        </w:rPr>
        <w:t xml:space="preserve">(Босния и Герцеговина) говорит, что правительство совместно с неправительственными организациями создало рабочую группу для обсуждения различных законов о семье, которые действительно очень широко определяют понятие "семья" и направлены на регулирование всех отношений внутри расширенной семьи, что является нормой в ее стране.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43.</w:t>
      </w:r>
      <w:r>
        <w:rPr>
          <w:sz w:val="20"/>
        </w:rPr>
        <w:tab/>
        <w:t xml:space="preserve">В настоящее время новое законодательство предписывает осуществлять разделение собственности между мужчинами и женщинами в равных долях. Что касается владения бизнесом и его отличия от управления им, то, действительно, имели место случаи, когда женщина подвергалась судебному преследованию и тюремному заключению за налоговые нарушения, признанные совершенными ее мужем в качестве управляющего. Тем не менее предпринимаются усилия по просвещению женщин с той целью, чтобы они прежде всего не принимали на себя такие юридические обязательства или по крайней мере настаивали на том, чтобы их мужья брали займы на свое имя.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44.</w:t>
      </w:r>
      <w:r>
        <w:rPr>
          <w:sz w:val="20"/>
        </w:rPr>
        <w:tab/>
        <w:t>Беженцам и перемещенным лицам предоставляется такая же информация по вопросу недискриминации, как и всем остальным. Наконец, хотя оратору придется проверить положения обсуждаемого закона, она считает, что лица в возрасте 16 лет для вступления в брак должны получать разрешение родителей, а несовершеннолетним моложе 16 лет в брак вступать не разрешается.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45.</w:t>
      </w:r>
      <w:r>
        <w:rPr>
          <w:sz w:val="20"/>
        </w:rPr>
        <w:tab/>
      </w:r>
      <w:r>
        <w:rPr>
          <w:b/>
          <w:sz w:val="20"/>
        </w:rPr>
        <w:t xml:space="preserve">Г-жа Дайриам </w:t>
      </w:r>
      <w:r>
        <w:rPr>
          <w:sz w:val="20"/>
        </w:rPr>
        <w:t xml:space="preserve">вновь спрашивает о том, был ли План действий по решению гендерных вопросов включен в Промежуточную стратегию развития.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46.</w:t>
      </w:r>
      <w:r>
        <w:rPr>
          <w:sz w:val="20"/>
        </w:rPr>
        <w:tab/>
      </w:r>
      <w:r>
        <w:rPr>
          <w:b/>
          <w:sz w:val="20"/>
        </w:rPr>
        <w:t xml:space="preserve">Г-жа Филипович-Хаджабдич </w:t>
      </w:r>
      <w:r>
        <w:rPr>
          <w:sz w:val="20"/>
        </w:rPr>
        <w:t xml:space="preserve">(Босния и Герцеговина) говорит, что Агентство по вопросам равенства между мужчинами и женщинами пыталось убедить правительство включить План действий по решению гендерных вопросов в Промежуточную стратегию развития в качестве одного из основных компонентов, но было поражено, узнав, что в бюджете специально не предусмотрены даже средства на деятельность самого Агентства; оратор намеревается бороться за изменение такого положения и за включение Плана в основную сферу деятельности.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47.</w:t>
      </w:r>
      <w:r>
        <w:rPr>
          <w:sz w:val="20"/>
        </w:rPr>
        <w:tab/>
      </w:r>
      <w:r>
        <w:rPr>
          <w:b/>
          <w:sz w:val="20"/>
        </w:rPr>
        <w:t>Председатель</w:t>
      </w:r>
      <w:r>
        <w:rPr>
          <w:sz w:val="20"/>
        </w:rPr>
        <w:t xml:space="preserve"> предлагает членам Комитета высказать общие замечания.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48.</w:t>
      </w:r>
      <w:r>
        <w:rPr>
          <w:sz w:val="20"/>
        </w:rPr>
        <w:tab/>
      </w:r>
      <w:r>
        <w:rPr>
          <w:b/>
          <w:sz w:val="20"/>
        </w:rPr>
        <w:t xml:space="preserve">Г-жа Гаспар </w:t>
      </w:r>
      <w:r>
        <w:rPr>
          <w:sz w:val="20"/>
        </w:rPr>
        <w:t xml:space="preserve">говорит, что был установлен весьма конструктивный диалог и что Комитет рассчитывает на то, что делегация передаст замечания Комитета в отношении доклада и положения в стране всем органам политической власти, ответственным за их проведение в жизнь.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49.</w:t>
      </w:r>
      <w:r>
        <w:rPr>
          <w:sz w:val="20"/>
        </w:rPr>
        <w:tab/>
      </w:r>
      <w:r>
        <w:rPr>
          <w:b/>
          <w:sz w:val="20"/>
        </w:rPr>
        <w:t xml:space="preserve">Г-жа Шёпп-Шиллинг </w:t>
      </w:r>
      <w:r>
        <w:rPr>
          <w:sz w:val="20"/>
        </w:rPr>
        <w:t xml:space="preserve">выражает обеспокоенность по поводу того, что большинство программ для женщин полностью финансируются международными донорами, хотя средства на эти программы должно предоставлять само правительство. Оратор, в частности, интересуется, предусмотрено ли различными министерствами выделение особых бюджетных ассигнований на реализацию Плана действий по решению гендерных вопросов, который вскоре вступит в силу. 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50.</w:t>
      </w:r>
      <w:r>
        <w:rPr>
          <w:sz w:val="20"/>
        </w:rPr>
        <w:tab/>
      </w:r>
      <w:r>
        <w:rPr>
          <w:b/>
          <w:sz w:val="20"/>
        </w:rPr>
        <w:t xml:space="preserve">Г-жа Филипович-Хаджабдич </w:t>
      </w:r>
      <w:r>
        <w:rPr>
          <w:sz w:val="20"/>
        </w:rPr>
        <w:t>(Босния и Герцеговина) говорит, что План действий по решению гендерных вопросов – это масштабный проект, рассчитанный на пять лет, который не может быть реализован исключительно на средства правительства, однако, разумеется, следует положить начало государственному финансированию. Агентство по вопросам равенства между мужчинами и женщинами и Центры по гендерным вопросам, изучив передовую практику, разработали надлежащие бюджетные стратегии; теперь проблема состоит в том, чтобы убедить правительство принять их. Агентству требуется помощь, для того чтобы убедить каждое министерство составить собственный бюджет с учетом гендерного аспекта.</w:t>
      </w:r>
    </w:p>
    <w:p w:rsidR="00000000" w:rsidRDefault="00000000">
      <w:pPr>
        <w:spacing w:after="240"/>
        <w:jc w:val="both"/>
        <w:rPr>
          <w:sz w:val="20"/>
        </w:rPr>
      </w:pPr>
      <w:r>
        <w:rPr>
          <w:sz w:val="20"/>
        </w:rPr>
        <w:t>51.</w:t>
      </w:r>
      <w:r>
        <w:rPr>
          <w:sz w:val="20"/>
        </w:rPr>
        <w:tab/>
        <w:t xml:space="preserve">В заключение оратор выражает надежду на то, что следующий доклад продемонстрирует, что предложения Комитета полностью воплощены в жизнь. </w:t>
      </w:r>
    </w:p>
    <w:p w:rsidR="00000000" w:rsidRDefault="00000000">
      <w:pPr>
        <w:keepNext/>
        <w:tabs>
          <w:tab w:val="left" w:pos="720"/>
        </w:tabs>
        <w:spacing w:after="240"/>
        <w:jc w:val="both"/>
        <w:rPr>
          <w:i/>
          <w:sz w:val="20"/>
        </w:rPr>
      </w:pPr>
      <w:r>
        <w:rPr>
          <w:i/>
          <w:sz w:val="20"/>
        </w:rPr>
        <w:t>Заседание закрывается в 17 ч. 05 м.</w:t>
      </w:r>
    </w:p>
    <w:sectPr w:rsidR="00000000">
      <w:headerReference w:type="even" r:id="rId10"/>
      <w:headerReference w:type="default" r:id="rId11"/>
      <w:footerReference w:type="even" r:id="rId12"/>
      <w:footerReference w:type="default" r:id="rId13"/>
      <w:pgSz w:w="12242" w:h="15842" w:code="1"/>
      <w:pgMar w:top="907" w:right="1298" w:bottom="907" w:left="1298" w:header="1134" w:footer="1304" w:gutter="0"/>
      <w:pgNumType w:start="2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rPr>
          <w:rStyle w:val="CommentReference"/>
        </w:rPr>
        <w:annotationRef/>
      </w:r>
      <w:r>
        <w:t>&lt;&lt;ODS JOB NO&gt;&gt;N06</w:t>
      </w:r>
      <w:r>
        <w:rPr>
          <w:lang w:val="en-US"/>
        </w:rPr>
        <w:t>34953</w:t>
      </w:r>
      <w:r>
        <w:t>R&lt;&lt;ODS JOB NO&gt;&gt;</w:t>
      </w:r>
    </w:p>
    <w:p w:rsidR="00000000" w:rsidRDefault="00000000">
      <w:pPr>
        <w:pStyle w:val="CommentText"/>
      </w:pPr>
      <w:r>
        <w:t>&lt;&lt;ODS DOC SYMBOL1&gt;&gt;</w:t>
      </w:r>
      <w:r>
        <w:rPr>
          <w:lang w:val="en-US"/>
        </w:rPr>
        <w:t>CED</w:t>
      </w:r>
      <w:r>
        <w:t>A</w:t>
      </w:r>
      <w:r>
        <w:rPr>
          <w:lang w:val="en-US"/>
        </w:rPr>
        <w:t>W</w:t>
      </w:r>
      <w:r>
        <w:t>/C/SR.</w:t>
      </w:r>
      <w:r>
        <w:rPr>
          <w:lang w:val="en-US"/>
        </w:rPr>
        <w:t>722</w:t>
      </w:r>
      <w:r>
        <w:t>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spacing w:before="240"/>
      <w:rPr>
        <w:b/>
        <w:sz w:val="18"/>
      </w:rPr>
    </w:pPr>
    <w:r>
      <w:rPr>
        <w:rStyle w:val="PageNumber"/>
        <w:b/>
        <w:sz w:val="18"/>
      </w:rPr>
      <w:fldChar w:fldCharType="begin"/>
    </w:r>
    <w:r>
      <w:rPr>
        <w:rStyle w:val="PageNumber"/>
        <w:b/>
        <w:sz w:val="18"/>
      </w:rPr>
      <w:instrText xml:space="preserve"> PAGE </w:instrText>
    </w:r>
    <w:r>
      <w:rPr>
        <w:rStyle w:val="PageNumber"/>
        <w:b/>
        <w:sz w:val="18"/>
      </w:rPr>
      <w:fldChar w:fldCharType="separate"/>
    </w:r>
    <w:r>
      <w:rPr>
        <w:rStyle w:val="PageNumber"/>
        <w:b/>
        <w:noProof/>
        <w:sz w:val="18"/>
      </w:rPr>
      <w:t>2</w:t>
    </w:r>
    <w:r>
      <w:rPr>
        <w:rStyle w:val="PageNumber"/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spacing w:before="240"/>
      <w:jc w:val="right"/>
      <w:rPr>
        <w:b/>
        <w:sz w:val="18"/>
      </w:rPr>
    </w:pPr>
    <w:r>
      <w:rPr>
        <w:rStyle w:val="PageNumber"/>
        <w:b/>
        <w:sz w:val="18"/>
      </w:rPr>
      <w:fldChar w:fldCharType="begin"/>
    </w:r>
    <w:r>
      <w:rPr>
        <w:rStyle w:val="PageNumber"/>
        <w:b/>
        <w:sz w:val="18"/>
      </w:rPr>
      <w:instrText xml:space="preserve"> PAGE </w:instrText>
    </w:r>
    <w:r>
      <w:rPr>
        <w:rStyle w:val="PageNumber"/>
        <w:b/>
        <w:sz w:val="18"/>
      </w:rPr>
      <w:fldChar w:fldCharType="separate"/>
    </w:r>
    <w:r>
      <w:rPr>
        <w:rStyle w:val="PageNumber"/>
        <w:b/>
        <w:noProof/>
        <w:sz w:val="18"/>
      </w:rPr>
      <w:t>1</w:t>
    </w:r>
    <w:r>
      <w:rPr>
        <w:rStyle w:val="PageNumber"/>
        <w:b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b/>
        <w:sz w:val="18"/>
        <w:lang w:val="en-US"/>
      </w:rPr>
      <w:t>CEDAW/C/SR.686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227"/>
      <w:gridCol w:w="27"/>
      <w:gridCol w:w="218"/>
      <w:gridCol w:w="3140"/>
      <w:gridCol w:w="28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6521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tabs>
              <w:tab w:val="left" w:pos="1276"/>
            </w:tabs>
            <w:spacing w:after="120"/>
            <w:rPr>
              <w:sz w:val="28"/>
            </w:rPr>
          </w:pPr>
          <w:r>
            <w:rPr>
              <w:spacing w:val="-4"/>
              <w:w w:val="90"/>
              <w:sz w:val="22"/>
            </w:rPr>
            <w:tab/>
          </w:r>
          <w:r>
            <w:rPr>
              <w:spacing w:val="-4"/>
              <w:sz w:val="28"/>
            </w:rPr>
            <w:t>Организация Объединенных Наций</w:t>
          </w:r>
        </w:p>
      </w:tc>
      <w:tc>
        <w:tcPr>
          <w:tcW w:w="3386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</w:t>
          </w:r>
          <w:r>
            <w:rPr>
              <w:position w:val="-4"/>
              <w:sz w:val="20"/>
            </w:rPr>
            <w:t>C/</w:t>
          </w:r>
          <w:r>
            <w:rPr>
              <w:position w:val="-4"/>
              <w:sz w:val="20"/>
              <w:lang w:val="en-US"/>
            </w:rPr>
            <w:t>SR.72</w:t>
          </w:r>
          <w:r>
            <w:rPr>
              <w:position w:val="-4"/>
              <w:sz w:val="20"/>
            </w:rPr>
            <w:t>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28" w:type="dxa"/>
        <w:trHeight w:hRule="exact" w:val="2542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  <w:lang w:val="ru-RU"/>
            </w:rPr>
          </w:pPr>
          <w:r>
            <w:rPr>
              <w:sz w:val="32"/>
              <w:lang w:val="ru-RU"/>
            </w:rPr>
            <w:t xml:space="preserve">Конвенция о ликвидации </w:t>
          </w:r>
          <w:r>
            <w:rPr>
              <w:sz w:val="32"/>
              <w:lang w:val="ru-RU"/>
            </w:rPr>
            <w:br/>
            <w:t xml:space="preserve">всех форм дискриминации </w:t>
          </w:r>
          <w:r>
            <w:rPr>
              <w:sz w:val="32"/>
              <w:lang w:val="ru-RU"/>
            </w:rPr>
            <w:br/>
            <w:t>в отношении женщин</w:t>
          </w:r>
        </w:p>
      </w:tc>
      <w:tc>
        <w:tcPr>
          <w:tcW w:w="245" w:type="dxa"/>
          <w:gridSpan w:val="2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  <w:rPr>
              <w:sz w:val="20"/>
              <w:lang w:val="en-US"/>
            </w:rPr>
          </w:pPr>
          <w:r>
            <w:rPr>
              <w:sz w:val="20"/>
              <w:lang w:val="en-US"/>
            </w:rPr>
            <w:t>Distr.: General</w:t>
          </w:r>
        </w:p>
        <w:p w:rsidR="00000000" w:rsidRDefault="00000000">
          <w:pPr>
            <w:pStyle w:val="FootnoteText"/>
            <w:rPr>
              <w:lang w:val="en-US"/>
            </w:rPr>
          </w:pPr>
          <w:r>
            <w:t xml:space="preserve">8 </w:t>
          </w:r>
          <w:r>
            <w:rPr>
              <w:lang w:val="en-US"/>
            </w:rPr>
            <w:t>June</w:t>
          </w:r>
          <w:r>
            <w:t xml:space="preserve"> 2006</w:t>
          </w:r>
        </w:p>
        <w:p w:rsidR="00000000" w:rsidRDefault="00000000">
          <w:pPr>
            <w:pStyle w:val="FootnoteText"/>
            <w:spacing w:before="120"/>
            <w:rPr>
              <w:lang w:val="en-US"/>
            </w:rPr>
          </w:pPr>
          <w:r>
            <w:rPr>
              <w:lang w:val="en-US"/>
            </w:rPr>
            <w:t>Russian</w:t>
          </w:r>
        </w:p>
        <w:p w:rsidR="00000000" w:rsidRDefault="00000000">
          <w:pPr>
            <w:rPr>
              <w:lang w:val="en-US"/>
            </w:rPr>
          </w:pPr>
          <w:r>
            <w:rPr>
              <w:sz w:val="20"/>
              <w:lang w:val="en-US"/>
            </w:rPr>
            <w:t>Original: English</w:t>
          </w:r>
        </w:p>
      </w:tc>
    </w:tr>
  </w:tbl>
  <w:p w:rsidR="00000000" w:rsidRDefault="00000000">
    <w:pPr>
      <w:pStyle w:val="Header"/>
      <w:rPr>
        <w:sz w:val="4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widowControl w:val="0"/>
      <w:pBdr>
        <w:bottom w:val="single" w:sz="4" w:space="3" w:color="auto"/>
      </w:pBdr>
      <w:spacing w:after="240"/>
      <w:rPr>
        <w:lang w:val="en-US"/>
      </w:rPr>
    </w:pPr>
    <w:r>
      <w:rPr>
        <w:b/>
        <w:sz w:val="18"/>
        <w:lang w:val="en-US"/>
      </w:rPr>
      <w:t>CEDAW/C/SR.722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widowControl w:val="0"/>
      <w:pBdr>
        <w:bottom w:val="single" w:sz="4" w:space="3" w:color="auto"/>
      </w:pBdr>
      <w:spacing w:after="240"/>
      <w:jc w:val="right"/>
      <w:rPr>
        <w:lang w:val="en-US"/>
      </w:rPr>
    </w:pPr>
    <w:r>
      <w:rPr>
        <w:b/>
        <w:sz w:val="18"/>
        <w:lang w:val="en-US"/>
      </w:rPr>
      <w:t>CEDAW/C/SR.722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569FA"/>
    <w:multiLevelType w:val="hybridMultilevel"/>
    <w:tmpl w:val="CE4CA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CC47DF"/>
    <w:multiLevelType w:val="hybridMultilevel"/>
    <w:tmpl w:val="1B863D36"/>
    <w:lvl w:ilvl="0">
      <w:start w:val="8"/>
      <w:numFmt w:val="decimal"/>
      <w:lvlText w:val="%1."/>
      <w:lvlJc w:val="left"/>
      <w:pPr>
        <w:tabs>
          <w:tab w:val="num" w:pos="1632"/>
        </w:tabs>
        <w:ind w:left="1632" w:hanging="1272"/>
      </w:pPr>
      <w:rPr>
        <w:rFonts w:hint="default"/>
        <w:color w:val="00000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61487B"/>
    <w:multiLevelType w:val="multilevel"/>
    <w:tmpl w:val="CE4E135C"/>
    <w:lvl w:ilvl="0">
      <w:start w:val="1"/>
      <w:numFmt w:val="decimal"/>
      <w:lvlText w:val="%1."/>
      <w:lvlJc w:val="left"/>
      <w:rPr>
        <w:rFonts w:ascii="Courier New" w:hAnsi="Courier New" w:cs="Tahoma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69C0BE4"/>
    <w:multiLevelType w:val="multilevel"/>
    <w:tmpl w:val="8EAA8194"/>
    <w:lvl w:ilvl="0">
      <w:start w:val="4"/>
      <w:numFmt w:val="decimal"/>
      <w:lvlText w:val="%1."/>
      <w:lvlJc w:val="left"/>
      <w:rPr>
        <w:rFonts w:ascii="Courier New" w:hAnsi="Courier New" w:cs="Tahoma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BB2323E"/>
    <w:multiLevelType w:val="multilevel"/>
    <w:tmpl w:val="7ACA0DB8"/>
    <w:lvl w:ilvl="0">
      <w:start w:val="28"/>
      <w:numFmt w:val="decimal"/>
      <w:lvlText w:val="%1."/>
      <w:lvlJc w:val="left"/>
      <w:rPr>
        <w:rFonts w:ascii="Courier New" w:hAnsi="Courier New" w:cs="Tahoma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D2135F6"/>
    <w:multiLevelType w:val="hybridMultilevel"/>
    <w:tmpl w:val="BE24EAD4"/>
    <w:lvl w:ilvl="0">
      <w:start w:val="8"/>
      <w:numFmt w:val="decimal"/>
      <w:lvlText w:val="%1."/>
      <w:lvlJc w:val="left"/>
      <w:pPr>
        <w:tabs>
          <w:tab w:val="num" w:pos="1632"/>
        </w:tabs>
        <w:ind w:left="1632" w:hanging="1272"/>
      </w:pPr>
      <w:rPr>
        <w:rFonts w:hint="default"/>
        <w:color w:val="00000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B0B098B"/>
    <w:multiLevelType w:val="multilevel"/>
    <w:tmpl w:val="811EEDFC"/>
    <w:lvl w:ilvl="0">
      <w:start w:val="49"/>
      <w:numFmt w:val="decimal"/>
      <w:lvlText w:val="%1."/>
      <w:lvlJc w:val="left"/>
      <w:rPr>
        <w:rFonts w:ascii="Courier New" w:hAnsi="Courier New" w:cs="Tahoma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CA676CF"/>
    <w:multiLevelType w:val="multilevel"/>
    <w:tmpl w:val="8E9C94B2"/>
    <w:lvl w:ilvl="0">
      <w:start w:val="40"/>
      <w:numFmt w:val="decimal"/>
      <w:lvlText w:val="%1."/>
      <w:lvlJc w:val="left"/>
      <w:rPr>
        <w:rFonts w:ascii="Courier New" w:hAnsi="Courier New" w:cs="Tahoma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0DB4EA7"/>
    <w:multiLevelType w:val="multilevel"/>
    <w:tmpl w:val="1EE0E6BE"/>
    <w:lvl w:ilvl="0">
      <w:start w:val="58"/>
      <w:numFmt w:val="decimal"/>
      <w:lvlText w:val="%1."/>
      <w:lvlJc w:val="left"/>
      <w:rPr>
        <w:rFonts w:ascii="Courier New" w:hAnsi="Courier New" w:cs="Tahoma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7001005"/>
    <w:multiLevelType w:val="multilevel"/>
    <w:tmpl w:val="67C0A91E"/>
    <w:lvl w:ilvl="0">
      <w:start w:val="52"/>
      <w:numFmt w:val="decimal"/>
      <w:lvlText w:val="%1."/>
      <w:lvlJc w:val="left"/>
      <w:rPr>
        <w:rFonts w:ascii="Courier New" w:hAnsi="Courier New" w:cs="Tahoma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9ED419A"/>
    <w:multiLevelType w:val="multilevel"/>
    <w:tmpl w:val="EA824350"/>
    <w:lvl w:ilvl="0">
      <w:start w:val="9"/>
      <w:numFmt w:val="decimal"/>
      <w:lvlText w:val="%1."/>
      <w:lvlJc w:val="left"/>
      <w:rPr>
        <w:rFonts w:ascii="Courier New" w:hAnsi="Courier New" w:cs="Tahoma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FAE0DFA"/>
    <w:multiLevelType w:val="multilevel"/>
    <w:tmpl w:val="E24C2DD8"/>
    <w:lvl w:ilvl="0">
      <w:start w:val="22"/>
      <w:numFmt w:val="decimal"/>
      <w:lvlText w:val="%1."/>
      <w:lvlJc w:val="left"/>
      <w:rPr>
        <w:rFonts w:ascii="Courier New" w:hAnsi="Courier New" w:cs="Tahoma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D7645A6"/>
    <w:multiLevelType w:val="multilevel"/>
    <w:tmpl w:val="5D7E0296"/>
    <w:lvl w:ilvl="0">
      <w:start w:val="34"/>
      <w:numFmt w:val="decimal"/>
      <w:lvlText w:val="%1."/>
      <w:lvlJc w:val="left"/>
      <w:rPr>
        <w:rFonts w:ascii="Courier New" w:hAnsi="Courier New" w:cs="Tahoma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E0230E1"/>
    <w:multiLevelType w:val="hybridMultilevel"/>
    <w:tmpl w:val="EB9C6AA8"/>
    <w:lvl w:ilvl="0">
      <w:start w:val="8"/>
      <w:numFmt w:val="decimal"/>
      <w:lvlText w:val="%1."/>
      <w:lvlJc w:val="left"/>
      <w:pPr>
        <w:tabs>
          <w:tab w:val="num" w:pos="1632"/>
        </w:tabs>
        <w:ind w:left="1632" w:hanging="1272"/>
      </w:pPr>
      <w:rPr>
        <w:rFonts w:hint="default"/>
        <w:color w:val="00000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E720687"/>
    <w:multiLevelType w:val="multilevel"/>
    <w:tmpl w:val="335E02D2"/>
    <w:lvl w:ilvl="0">
      <w:start w:val="15"/>
      <w:numFmt w:val="decimal"/>
      <w:lvlText w:val="%1."/>
      <w:lvlJc w:val="left"/>
      <w:rPr>
        <w:rFonts w:ascii="Courier New" w:hAnsi="Courier New" w:cs="Tahoma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A7363F3"/>
    <w:multiLevelType w:val="multilevel"/>
    <w:tmpl w:val="71FEA570"/>
    <w:lvl w:ilvl="0">
      <w:start w:val="47"/>
      <w:numFmt w:val="decimal"/>
      <w:lvlText w:val="%1."/>
      <w:lvlJc w:val="left"/>
      <w:rPr>
        <w:rFonts w:ascii="Courier New" w:hAnsi="Courier New" w:cs="Tahoma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D06127E"/>
    <w:multiLevelType w:val="multilevel"/>
    <w:tmpl w:val="4C467F24"/>
    <w:lvl w:ilvl="0">
      <w:start w:val="42"/>
      <w:numFmt w:val="decimal"/>
      <w:lvlText w:val="%1."/>
      <w:lvlJc w:val="left"/>
      <w:rPr>
        <w:rFonts w:ascii="Courier New" w:hAnsi="Courier New" w:cs="Tahoma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14"/>
  </w:num>
  <w:num w:numId="5">
    <w:abstractNumId w:val="11"/>
  </w:num>
  <w:num w:numId="6">
    <w:abstractNumId w:val="4"/>
  </w:num>
  <w:num w:numId="7">
    <w:abstractNumId w:val="12"/>
  </w:num>
  <w:num w:numId="8">
    <w:abstractNumId w:val="7"/>
  </w:num>
  <w:num w:numId="9">
    <w:abstractNumId w:val="16"/>
  </w:num>
  <w:num w:numId="10">
    <w:abstractNumId w:val="15"/>
  </w:num>
  <w:num w:numId="11">
    <w:abstractNumId w:val="6"/>
  </w:num>
  <w:num w:numId="12">
    <w:abstractNumId w:val="9"/>
  </w:num>
  <w:num w:numId="13">
    <w:abstractNumId w:val="8"/>
  </w:num>
  <w:num w:numId="14">
    <w:abstractNumId w:val="0"/>
  </w:num>
  <w:num w:numId="15">
    <w:abstractNumId w:val="1"/>
  </w:num>
  <w:num w:numId="16">
    <w:abstractNumId w:val="1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doNotTrackMoves/>
  <w:defaultTabStop w:val="709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spacing w:before="100" w:line="480" w:lineRule="auto"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tabs>
        <w:tab w:val="left" w:pos="720"/>
      </w:tabs>
      <w:jc w:val="both"/>
      <w:outlineLvl w:val="1"/>
    </w:pPr>
    <w:rPr>
      <w:i/>
      <w:sz w:val="20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b/>
      <w:bCs/>
      <w:sz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677"/>
        <w:tab w:val="right" w:pos="9355"/>
      </w:tabs>
    </w:pPr>
  </w:style>
  <w:style w:type="paragraph" w:styleId="Footer">
    <w:name w:val="footer"/>
    <w:basedOn w:val="Normal"/>
    <w:semiHidden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semiHidden/>
  </w:style>
  <w:style w:type="paragraph" w:customStyle="1" w:styleId="XLarge">
    <w:name w:val="XLarge"/>
    <w:basedOn w:val="Normal"/>
    <w:pPr>
      <w:keepNext/>
      <w:keepLines/>
      <w:tabs>
        <w:tab w:val="right" w:leader="dot" w:pos="360"/>
      </w:tabs>
      <w:suppressAutoHyphens/>
      <w:spacing w:line="390" w:lineRule="exact"/>
      <w:outlineLvl w:val="0"/>
    </w:pPr>
    <w:rPr>
      <w:b/>
      <w:spacing w:val="-4"/>
      <w:w w:val="98"/>
      <w:kern w:val="14"/>
      <w:sz w:val="40"/>
      <w:szCs w:val="20"/>
      <w:lang w:val="en-GB"/>
    </w:rPr>
  </w:style>
  <w:style w:type="paragraph" w:styleId="FootnoteText">
    <w:name w:val="footnote text"/>
    <w:basedOn w:val="Normal"/>
    <w:semiHidden/>
    <w:rPr>
      <w:sz w:val="20"/>
      <w:szCs w:val="20"/>
    </w:rPr>
  </w:style>
  <w:style w:type="paragraph" w:styleId="BodyTextIndent">
    <w:name w:val="Body Text Indent"/>
    <w:basedOn w:val="Normal"/>
    <w:semiHidden/>
    <w:pPr>
      <w:spacing w:before="120"/>
      <w:ind w:left="1701"/>
      <w:jc w:val="both"/>
    </w:pPr>
    <w:rPr>
      <w:sz w:val="18"/>
    </w:rPr>
  </w:style>
  <w:style w:type="paragraph" w:styleId="BodyText">
    <w:name w:val="Body Text"/>
    <w:basedOn w:val="Normal"/>
    <w:semiHidden/>
    <w:rPr>
      <w:w w:val="115"/>
      <w:sz w:val="20"/>
    </w:rPr>
  </w:style>
  <w:style w:type="paragraph" w:customStyle="1" w:styleId="std">
    <w:name w:val="std"/>
    <w:basedOn w:val="Normal"/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exact"/>
      <w:ind w:left="1267" w:right="1267"/>
      <w:jc w:val="both"/>
    </w:pPr>
    <w:rPr>
      <w:spacing w:val="4"/>
      <w:w w:val="103"/>
      <w:kern w:val="14"/>
      <w:sz w:val="20"/>
      <w:szCs w:val="20"/>
      <w:lang w:val="en-GB" w:eastAsia="en-US"/>
    </w:rPr>
  </w:style>
  <w:style w:type="paragraph" w:customStyle="1" w:styleId="a">
    <w:name w:val="Текст выноски"/>
    <w:basedOn w:val="Normal"/>
    <w:semiHidden/>
    <w:rPr>
      <w:rFonts w:ascii="Tahoma" w:hAnsi="Tahoma" w:cs="Barcode 3 of 9 by request"/>
      <w:sz w:val="16"/>
      <w:szCs w:val="16"/>
    </w:rPr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semiHidden/>
    <w:pPr>
      <w:spacing w:line="240" w:lineRule="exact"/>
    </w:pPr>
    <w:rPr>
      <w:spacing w:val="4"/>
      <w:w w:val="103"/>
      <w:kern w:val="1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3</Pages>
  <Words>4315</Words>
  <Characters>24601</Characters>
  <Application>Microsoft Office Word</Application>
  <DocSecurity>4</DocSecurity>
  <Lines>205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дом</Company>
  <LinksUpToDate>false</LinksUpToDate>
  <CharactersWithSpaces>30211</CharactersWithSpaces>
  <SharedDoc>false</SharedDoc>
  <HLinks>
    <vt:vector size="6" baseType="variant">
      <vt:variant>
        <vt:i4>8257630</vt:i4>
      </vt:variant>
      <vt:variant>
        <vt:i4>60850</vt:i4>
      </vt:variant>
      <vt:variant>
        <vt:i4>1025</vt:i4>
      </vt:variant>
      <vt:variant>
        <vt:i4>1</vt:i4>
      </vt:variant>
      <vt:variant>
        <vt:lpwstr>_unlogo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Иванов</dc:creator>
  <cp:keywords/>
  <dc:description/>
  <cp:lastModifiedBy>DGAACS User</cp:lastModifiedBy>
  <cp:revision>6</cp:revision>
  <cp:lastPrinted>2006-08-22T07:23:00Z</cp:lastPrinted>
  <dcterms:created xsi:type="dcterms:W3CDTF">2006-08-22T07:21:00Z</dcterms:created>
  <dcterms:modified xsi:type="dcterms:W3CDTF">2006-08-22T08:43:00Z</dcterms:modified>
</cp:coreProperties>
</file>