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F3709" w14:textId="77777777" w:rsidR="0070633D" w:rsidRPr="00D97DD1" w:rsidRDefault="0070633D" w:rsidP="0070633D">
      <w:pPr>
        <w:spacing w:line="240" w:lineRule="auto"/>
        <w:rPr>
          <w:sz w:val="2"/>
          <w:lang w:eastAsia="zh-CN"/>
        </w:rPr>
        <w:sectPr w:rsidR="0070633D" w:rsidRPr="00D97DD1" w:rsidSect="00D97DD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97DD1">
        <w:rPr>
          <w:rStyle w:val="CommentReference"/>
          <w:szCs w:val="20"/>
        </w:rPr>
        <w:commentReference w:id="0"/>
      </w:r>
    </w:p>
    <w:p w14:paraId="245EA1A5" w14:textId="77777777" w:rsidR="00D97DD1" w:rsidRPr="00102EB0" w:rsidRDefault="00D97DD1" w:rsidP="00E740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102EB0">
        <w:t>Comité para la Eliminación de la Discriminación contra la Mujer</w:t>
      </w:r>
      <w:bookmarkStart w:id="1" w:name="BeginPage"/>
      <w:bookmarkEnd w:id="1"/>
    </w:p>
    <w:p w14:paraId="5D6BF97A" w14:textId="29ADDA37" w:rsidR="00D97DD1" w:rsidRPr="00102EB0" w:rsidRDefault="00E74D4B" w:rsidP="00C2135C">
      <w:pPr>
        <w:pStyle w:val="Session"/>
      </w:pPr>
      <w:r w:rsidRPr="00102EB0">
        <w:t>74º</w:t>
      </w:r>
      <w:r w:rsidR="00C2135C">
        <w:t xml:space="preserve"> </w:t>
      </w:r>
      <w:r w:rsidR="00D97DD1" w:rsidRPr="00102EB0">
        <w:t>período de sesiones</w:t>
      </w:r>
    </w:p>
    <w:p w14:paraId="124EA28D" w14:textId="77777777" w:rsidR="00D97DD1" w:rsidRPr="00102EB0" w:rsidRDefault="00D97DD1" w:rsidP="00D97DD1">
      <w:r w:rsidRPr="00102EB0">
        <w:t>21 de octubre a 8 de noviembre de 2019</w:t>
      </w:r>
    </w:p>
    <w:p w14:paraId="6DBEBDE8" w14:textId="77777777" w:rsidR="00D97DD1" w:rsidRPr="00102EB0" w:rsidRDefault="00D97DD1" w:rsidP="00C2135C">
      <w:pPr>
        <w:pStyle w:val="AgendaItemNormal"/>
      </w:pPr>
      <w:r w:rsidRPr="00102EB0">
        <w:t>Tema 2 del programa provisional</w:t>
      </w:r>
    </w:p>
    <w:p w14:paraId="49886072" w14:textId="77777777" w:rsidR="00D97DD1" w:rsidRPr="00102EB0" w:rsidRDefault="00D97DD1" w:rsidP="00E74018">
      <w:pPr>
        <w:pStyle w:val="AgendaTitleH2"/>
        <w:ind w:left="1267" w:right="0" w:hanging="1267"/>
      </w:pPr>
      <w:r w:rsidRPr="00102EB0">
        <w:t>Aprobación del programa y organización de los trabajos</w:t>
      </w:r>
    </w:p>
    <w:p w14:paraId="0FE8D64D" w14:textId="77777777" w:rsidR="00D97DD1" w:rsidRPr="00102EB0" w:rsidRDefault="00D97DD1" w:rsidP="00D97DD1">
      <w:pPr>
        <w:pStyle w:val="SingleTxt"/>
        <w:spacing w:after="0" w:line="120" w:lineRule="exact"/>
        <w:rPr>
          <w:sz w:val="10"/>
        </w:rPr>
      </w:pPr>
    </w:p>
    <w:p w14:paraId="7271F620" w14:textId="77777777" w:rsidR="00D97DD1" w:rsidRPr="00102EB0" w:rsidRDefault="00D97DD1" w:rsidP="00D97DD1">
      <w:pPr>
        <w:pStyle w:val="SingleTxt"/>
        <w:spacing w:after="0" w:line="120" w:lineRule="exact"/>
        <w:rPr>
          <w:sz w:val="10"/>
        </w:rPr>
      </w:pPr>
    </w:p>
    <w:p w14:paraId="18FC25A2" w14:textId="77777777" w:rsidR="00D97DD1" w:rsidRPr="00102EB0" w:rsidRDefault="00D97DD1" w:rsidP="00D97DD1">
      <w:pPr>
        <w:pStyle w:val="SingleTxt"/>
        <w:spacing w:after="0" w:line="120" w:lineRule="exact"/>
        <w:rPr>
          <w:sz w:val="10"/>
        </w:rPr>
      </w:pPr>
    </w:p>
    <w:p w14:paraId="1C3C8302" w14:textId="77777777" w:rsidR="00D97DD1" w:rsidRPr="00102EB0" w:rsidRDefault="00D97DD1" w:rsidP="00D97DD1">
      <w:pPr>
        <w:pStyle w:val="TitleHCH"/>
        <w:ind w:right="1260"/>
      </w:pPr>
      <w:r w:rsidRPr="00102EB0">
        <w:tab/>
      </w:r>
      <w:r w:rsidRPr="00102EB0">
        <w:tab/>
      </w:r>
      <w:r w:rsidRPr="00102EB0">
        <w:rPr>
          <w:bCs/>
        </w:rPr>
        <w:t>Programa provisional anotado</w:t>
      </w:r>
    </w:p>
    <w:p w14:paraId="587A9E52" w14:textId="77777777" w:rsidR="00D97DD1" w:rsidRPr="00102EB0" w:rsidRDefault="00D97DD1" w:rsidP="00D97DD1">
      <w:pPr>
        <w:pStyle w:val="SingleTxt"/>
        <w:spacing w:after="0" w:line="120" w:lineRule="exact"/>
        <w:rPr>
          <w:sz w:val="10"/>
        </w:rPr>
      </w:pPr>
    </w:p>
    <w:p w14:paraId="73188B46" w14:textId="77777777" w:rsidR="00D97DD1" w:rsidRPr="00102EB0" w:rsidRDefault="00D97DD1" w:rsidP="00D97DD1">
      <w:pPr>
        <w:pStyle w:val="SingleTxt"/>
        <w:spacing w:after="0" w:line="120" w:lineRule="exact"/>
        <w:rPr>
          <w:sz w:val="10"/>
        </w:rPr>
      </w:pPr>
    </w:p>
    <w:p w14:paraId="0FA3F451" w14:textId="77777777" w:rsidR="00D97DD1" w:rsidRPr="00102EB0" w:rsidRDefault="00D97DD1" w:rsidP="00D97DD1">
      <w:pPr>
        <w:pStyle w:val="TitleH1"/>
        <w:ind w:right="1260"/>
      </w:pPr>
      <w:r w:rsidRPr="00102EB0">
        <w:tab/>
      </w:r>
      <w:r w:rsidRPr="00102EB0">
        <w:tab/>
      </w:r>
      <w:r w:rsidRPr="00102EB0">
        <w:rPr>
          <w:bCs/>
        </w:rPr>
        <w:t>Programa provisional</w:t>
      </w:r>
    </w:p>
    <w:p w14:paraId="1FE092E1" w14:textId="77777777" w:rsidR="00D97DD1" w:rsidRPr="00102EB0" w:rsidRDefault="00D97DD1" w:rsidP="00D97DD1">
      <w:pPr>
        <w:pStyle w:val="SingleTxt"/>
        <w:spacing w:after="0" w:line="120" w:lineRule="exact"/>
        <w:rPr>
          <w:sz w:val="10"/>
        </w:rPr>
      </w:pPr>
    </w:p>
    <w:p w14:paraId="056F9836" w14:textId="77777777" w:rsidR="00D97DD1" w:rsidRPr="00102EB0" w:rsidRDefault="00D97DD1" w:rsidP="00D97DD1">
      <w:pPr>
        <w:pStyle w:val="SingleTxt"/>
        <w:spacing w:after="0" w:line="120" w:lineRule="exact"/>
        <w:rPr>
          <w:sz w:val="10"/>
        </w:rPr>
      </w:pPr>
    </w:p>
    <w:p w14:paraId="252EF442" w14:textId="77777777" w:rsidR="00D97DD1" w:rsidRPr="00102EB0" w:rsidRDefault="00D97DD1" w:rsidP="00D97DD1">
      <w:pPr>
        <w:pStyle w:val="SingleTxt"/>
        <w:jc w:val="left"/>
      </w:pPr>
      <w:r w:rsidRPr="00102EB0">
        <w:t>1.</w:t>
      </w:r>
      <w:r w:rsidRPr="00102EB0">
        <w:tab/>
        <w:t>Apertura del período de sesiones.</w:t>
      </w:r>
    </w:p>
    <w:p w14:paraId="155D5B00" w14:textId="77777777" w:rsidR="00D97DD1" w:rsidRPr="00102EB0" w:rsidRDefault="00D97DD1" w:rsidP="00D97DD1">
      <w:pPr>
        <w:pStyle w:val="SingleTxt"/>
        <w:jc w:val="left"/>
      </w:pPr>
      <w:r w:rsidRPr="00102EB0">
        <w:t>2.</w:t>
      </w:r>
      <w:r w:rsidRPr="00102EB0">
        <w:tab/>
        <w:t>Aprobación del programa y organización de los trabajos.</w:t>
      </w:r>
    </w:p>
    <w:p w14:paraId="3978CC5E" w14:textId="77777777" w:rsidR="00D97DD1" w:rsidRPr="00102EB0" w:rsidRDefault="00D97DD1" w:rsidP="00D97DD1">
      <w:pPr>
        <w:pStyle w:val="SingleTxt"/>
        <w:ind w:left="1742" w:hanging="475"/>
        <w:jc w:val="left"/>
      </w:pPr>
      <w:r w:rsidRPr="00102EB0">
        <w:t>3.</w:t>
      </w:r>
      <w:r w:rsidRPr="00102EB0">
        <w:tab/>
        <w:t>Informe de la Presidencia sobre las actividades realizadas entre los períodos de sesiones 73º y 74º del Comité.</w:t>
      </w:r>
    </w:p>
    <w:p w14:paraId="6A4502EB" w14:textId="77777777" w:rsidR="00D97DD1" w:rsidRPr="00102EB0" w:rsidRDefault="00D97DD1" w:rsidP="00D97DD1">
      <w:pPr>
        <w:pStyle w:val="SingleTxt"/>
        <w:ind w:left="1742" w:hanging="475"/>
        <w:jc w:val="left"/>
      </w:pPr>
      <w:r w:rsidRPr="00102EB0">
        <w:t>4.</w:t>
      </w:r>
      <w:r w:rsidRPr="00102EB0">
        <w:tab/>
        <w:t>Examen de los informes presentados por los Estados partes en virtud del artículo 18 de la Convención sobre la Eliminación de Todas las Formas de Discriminación contra la Mujer.</w:t>
      </w:r>
    </w:p>
    <w:p w14:paraId="748DEA3A" w14:textId="77777777" w:rsidR="00D97DD1" w:rsidRPr="00102EB0" w:rsidRDefault="00D97DD1" w:rsidP="00D97DD1">
      <w:pPr>
        <w:pStyle w:val="SingleTxt"/>
        <w:ind w:left="1742" w:hanging="475"/>
        <w:jc w:val="left"/>
      </w:pPr>
      <w:r w:rsidRPr="00102EB0">
        <w:t>5.</w:t>
      </w:r>
      <w:r w:rsidRPr="00102EB0">
        <w:tab/>
        <w:t>Seguimiento del examen de los informes presentados por los Estados partes en virtud del artículo 18 de la Convención.</w:t>
      </w:r>
    </w:p>
    <w:p w14:paraId="035FB2C1" w14:textId="77777777" w:rsidR="00D97DD1" w:rsidRPr="00102EB0" w:rsidRDefault="00D97DD1" w:rsidP="00D97DD1">
      <w:pPr>
        <w:pStyle w:val="SingleTxt"/>
        <w:jc w:val="left"/>
      </w:pPr>
      <w:r w:rsidRPr="00102EB0">
        <w:t>6.</w:t>
      </w:r>
      <w:r w:rsidRPr="00102EB0">
        <w:tab/>
        <w:t>Aplicación de los artículos 21 y 22 de la Convención.</w:t>
      </w:r>
    </w:p>
    <w:p w14:paraId="09593703" w14:textId="77777777" w:rsidR="00D97DD1" w:rsidRPr="00102EB0" w:rsidRDefault="00D97DD1" w:rsidP="00D97DD1">
      <w:pPr>
        <w:pStyle w:val="SingleTxt"/>
        <w:jc w:val="left"/>
      </w:pPr>
      <w:r w:rsidRPr="00102EB0">
        <w:t>7.</w:t>
      </w:r>
      <w:r w:rsidRPr="00102EB0">
        <w:tab/>
        <w:t>Medios de agilizar los trabajos del Comité.</w:t>
      </w:r>
    </w:p>
    <w:p w14:paraId="3EA0179A" w14:textId="77777777" w:rsidR="00D97DD1" w:rsidRPr="00102EB0" w:rsidRDefault="00D97DD1" w:rsidP="00D97DD1">
      <w:pPr>
        <w:pStyle w:val="SingleTxt"/>
        <w:ind w:left="1742" w:hanging="475"/>
        <w:jc w:val="left"/>
      </w:pPr>
      <w:r w:rsidRPr="00102EB0">
        <w:t>8.</w:t>
      </w:r>
      <w:r w:rsidRPr="00102EB0">
        <w:tab/>
        <w:t>Actividades del Comité en relación con el Protocolo Facultativo de la Convención.</w:t>
      </w:r>
    </w:p>
    <w:p w14:paraId="1EB63A8D" w14:textId="77777777" w:rsidR="00D97DD1" w:rsidRPr="00102EB0" w:rsidRDefault="00D97DD1" w:rsidP="00D97DD1">
      <w:pPr>
        <w:pStyle w:val="SingleTxt"/>
        <w:jc w:val="left"/>
      </w:pPr>
      <w:r w:rsidRPr="00102EB0">
        <w:t>9.</w:t>
      </w:r>
      <w:r w:rsidRPr="00102EB0">
        <w:tab/>
        <w:t>Programa provisional del 75º período de sesiones del Comité.</w:t>
      </w:r>
    </w:p>
    <w:p w14:paraId="4FF0F143" w14:textId="77777777" w:rsidR="00D97DD1" w:rsidRPr="00102EB0" w:rsidRDefault="00D97DD1" w:rsidP="00D97DD1">
      <w:pPr>
        <w:pStyle w:val="SingleTxt"/>
        <w:jc w:val="left"/>
      </w:pPr>
      <w:r w:rsidRPr="00102EB0">
        <w:t>10.</w:t>
      </w:r>
      <w:r w:rsidRPr="00102EB0">
        <w:tab/>
        <w:t>Aprobación del informe del Comité sobre su 74º período de sesiones.</w:t>
      </w:r>
    </w:p>
    <w:p w14:paraId="69648076" w14:textId="77777777" w:rsidR="00D97DD1" w:rsidRPr="00102EB0" w:rsidRDefault="00D97DD1" w:rsidP="00D97DD1">
      <w:pPr>
        <w:pStyle w:val="SingleTxt"/>
        <w:spacing w:after="0" w:line="120" w:lineRule="exact"/>
        <w:rPr>
          <w:sz w:val="10"/>
        </w:rPr>
      </w:pPr>
    </w:p>
    <w:p w14:paraId="4FA12900" w14:textId="77777777" w:rsidR="00D97DD1" w:rsidRPr="00102EB0" w:rsidRDefault="00D97DD1" w:rsidP="00D97DD1">
      <w:pPr>
        <w:pStyle w:val="SingleTxt"/>
        <w:spacing w:after="0" w:line="120" w:lineRule="exact"/>
        <w:rPr>
          <w:sz w:val="10"/>
        </w:rPr>
      </w:pPr>
    </w:p>
    <w:p w14:paraId="74AEC1AF" w14:textId="77777777" w:rsidR="00D97DD1" w:rsidRPr="00102EB0" w:rsidRDefault="00D97DD1" w:rsidP="00D97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Anotaciones</w:t>
      </w:r>
    </w:p>
    <w:p w14:paraId="6F494ADC" w14:textId="77777777" w:rsidR="00D97DD1" w:rsidRPr="00102EB0" w:rsidRDefault="00D97DD1" w:rsidP="00D97DD1">
      <w:pPr>
        <w:pStyle w:val="SingleTxt"/>
        <w:spacing w:after="0" w:line="120" w:lineRule="exact"/>
        <w:rPr>
          <w:sz w:val="10"/>
        </w:rPr>
      </w:pPr>
    </w:p>
    <w:p w14:paraId="69C9D687" w14:textId="77777777" w:rsidR="00D97DD1" w:rsidRPr="00102EB0" w:rsidRDefault="00D97DD1" w:rsidP="00D97DD1">
      <w:pPr>
        <w:pStyle w:val="SingleTxt"/>
        <w:spacing w:after="0" w:line="120" w:lineRule="exact"/>
        <w:rPr>
          <w:sz w:val="10"/>
        </w:rPr>
      </w:pPr>
    </w:p>
    <w:p w14:paraId="7F37D593"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1.</w:t>
      </w:r>
      <w:r w:rsidRPr="00102EB0">
        <w:tab/>
      </w:r>
      <w:r w:rsidRPr="00102EB0">
        <w:rPr>
          <w:bCs/>
        </w:rPr>
        <w:t>Apertura del período de sesiones</w:t>
      </w:r>
    </w:p>
    <w:p w14:paraId="1C09751F" w14:textId="77777777" w:rsidR="00D97DD1" w:rsidRPr="00102EB0" w:rsidRDefault="00D97DD1" w:rsidP="00D97DD1">
      <w:pPr>
        <w:pStyle w:val="SingleTxt"/>
        <w:spacing w:after="0" w:line="120" w:lineRule="exact"/>
        <w:rPr>
          <w:sz w:val="10"/>
        </w:rPr>
      </w:pPr>
    </w:p>
    <w:p w14:paraId="31DEDE89" w14:textId="77777777" w:rsidR="00D97DD1" w:rsidRPr="00102EB0" w:rsidRDefault="00D97DD1" w:rsidP="00D97DD1">
      <w:pPr>
        <w:pStyle w:val="SingleTxt"/>
      </w:pPr>
      <w:r w:rsidRPr="00102EB0">
        <w:t>La Presidencia del Comité para la Eliminación de la Discriminación contra la Mujer inaugurará el 74º período de sesiones del Comité.</w:t>
      </w:r>
    </w:p>
    <w:p w14:paraId="4E0BF10E" w14:textId="77777777" w:rsidR="00D97DD1" w:rsidRPr="00102EB0" w:rsidRDefault="00D97DD1" w:rsidP="00D97DD1">
      <w:pPr>
        <w:pStyle w:val="SingleTxt"/>
        <w:spacing w:after="0" w:line="120" w:lineRule="exact"/>
        <w:rPr>
          <w:sz w:val="10"/>
        </w:rPr>
      </w:pPr>
    </w:p>
    <w:p w14:paraId="3B2B8445"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lastRenderedPageBreak/>
        <w:tab/>
        <w:t>2.</w:t>
      </w:r>
      <w:r w:rsidRPr="00102EB0">
        <w:tab/>
      </w:r>
      <w:r w:rsidRPr="00102EB0">
        <w:rPr>
          <w:bCs/>
        </w:rPr>
        <w:t>Aprobación del programa y organización de los trabajos</w:t>
      </w:r>
    </w:p>
    <w:p w14:paraId="0F7E3146" w14:textId="77777777" w:rsidR="00D97DD1" w:rsidRPr="00102EB0" w:rsidRDefault="00D97DD1" w:rsidP="00D97DD1">
      <w:pPr>
        <w:pStyle w:val="SingleTxt"/>
        <w:keepNext/>
        <w:keepLines/>
        <w:spacing w:after="0" w:line="120" w:lineRule="exact"/>
        <w:rPr>
          <w:sz w:val="10"/>
        </w:rPr>
      </w:pPr>
    </w:p>
    <w:p w14:paraId="7734F49C" w14:textId="77777777" w:rsidR="00D97DD1" w:rsidRPr="00102EB0" w:rsidRDefault="00D97DD1" w:rsidP="00D97DD1">
      <w:pPr>
        <w:pStyle w:val="SingleTxt"/>
      </w:pPr>
      <w:r w:rsidRPr="00102EB0">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45990EFD" w14:textId="77777777" w:rsidR="00D97DD1" w:rsidRPr="00102EB0" w:rsidRDefault="00D97DD1" w:rsidP="00D97DD1">
      <w:pPr>
        <w:pStyle w:val="SingleTxt"/>
      </w:pPr>
      <w:r w:rsidRPr="00102EB0">
        <w:t>En su 73</w:t>
      </w:r>
      <w:r w:rsidRPr="00102EB0">
        <w:rPr>
          <w:vertAlign w:val="superscript"/>
        </w:rPr>
        <w:t>er</w:t>
      </w:r>
      <w:r w:rsidRPr="00102EB0">
        <w:t xml:space="preserve"> período de sesiones, el Comité aprobó el programa provisional de su 74º</w:t>
      </w:r>
      <w:r>
        <w:t> </w:t>
      </w:r>
      <w:r w:rsidRPr="00102EB0">
        <w:t>período de sesiones.</w:t>
      </w:r>
    </w:p>
    <w:p w14:paraId="1BE0E5BD" w14:textId="77777777" w:rsidR="00D97DD1" w:rsidRPr="00102EB0" w:rsidRDefault="00D97DD1" w:rsidP="00D97DD1">
      <w:pPr>
        <w:pStyle w:val="SingleTxt"/>
        <w:spacing w:after="0" w:line="120" w:lineRule="exact"/>
        <w:rPr>
          <w:sz w:val="10"/>
        </w:rPr>
      </w:pPr>
    </w:p>
    <w:p w14:paraId="1DDA57BB"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3.</w:t>
      </w:r>
      <w:r w:rsidRPr="00102EB0">
        <w:tab/>
      </w:r>
      <w:r w:rsidRPr="00102EB0">
        <w:rPr>
          <w:bCs/>
        </w:rPr>
        <w:t>Informe de la Presidencia sobre las actividades realizadas entre los períodos de sesiones 73º y 74º del Comité</w:t>
      </w:r>
    </w:p>
    <w:p w14:paraId="5C647321" w14:textId="77777777" w:rsidR="00D97DD1" w:rsidRPr="00102EB0" w:rsidRDefault="00D97DD1" w:rsidP="00D97DD1">
      <w:pPr>
        <w:pStyle w:val="SingleTxt"/>
        <w:spacing w:after="0" w:line="120" w:lineRule="exact"/>
        <w:rPr>
          <w:sz w:val="10"/>
        </w:rPr>
      </w:pPr>
    </w:p>
    <w:p w14:paraId="14A19CCC" w14:textId="77777777" w:rsidR="00D97DD1" w:rsidRPr="00102EB0" w:rsidRDefault="00D97DD1" w:rsidP="00D97DD1">
      <w:pPr>
        <w:pStyle w:val="SingleTxt"/>
      </w:pPr>
      <w:r w:rsidRPr="00102EB0">
        <w:t>La Presidencia informará al Comité sobre las actividades y los acontecimientos relacionados con la labor del Comité que hayan ocurrido desde el período de sesiones anterior.</w:t>
      </w:r>
    </w:p>
    <w:p w14:paraId="1708EF7D" w14:textId="77777777" w:rsidR="00D97DD1" w:rsidRPr="00102EB0" w:rsidRDefault="00D97DD1" w:rsidP="00D97DD1">
      <w:pPr>
        <w:pStyle w:val="SingleTxt"/>
        <w:spacing w:after="0" w:line="120" w:lineRule="exact"/>
        <w:rPr>
          <w:sz w:val="10"/>
        </w:rPr>
      </w:pPr>
    </w:p>
    <w:p w14:paraId="4CD85CC9"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Documentación</w:t>
      </w:r>
    </w:p>
    <w:p w14:paraId="236C64B6" w14:textId="77777777" w:rsidR="00D97DD1" w:rsidRPr="00102EB0" w:rsidRDefault="00D97DD1" w:rsidP="00D97DD1">
      <w:pPr>
        <w:pStyle w:val="SingleTxt"/>
        <w:spacing w:after="0" w:line="120" w:lineRule="exact"/>
        <w:rPr>
          <w:sz w:val="10"/>
        </w:rPr>
      </w:pPr>
    </w:p>
    <w:p w14:paraId="10605DDB" w14:textId="00557903" w:rsidR="00D97DD1" w:rsidRPr="00102EB0" w:rsidRDefault="00D97DD1" w:rsidP="00D97DD1">
      <w:pPr>
        <w:pStyle w:val="SingleTxt"/>
      </w:pPr>
      <w:r w:rsidRPr="00102EB0">
        <w:t>Programa provisional anotado (</w:t>
      </w:r>
      <w:hyperlink r:id="rId15" w:history="1">
        <w:r w:rsidRPr="00D97DD1">
          <w:rPr>
            <w:rStyle w:val="Hyperlink"/>
          </w:rPr>
          <w:t>CEDAW/C/74/1</w:t>
        </w:r>
      </w:hyperlink>
      <w:r w:rsidRPr="00102EB0">
        <w:t>)</w:t>
      </w:r>
    </w:p>
    <w:p w14:paraId="5BFD55D3" w14:textId="77777777" w:rsidR="00D97DD1" w:rsidRPr="00102EB0" w:rsidRDefault="00D97DD1" w:rsidP="00D97DD1">
      <w:pPr>
        <w:pStyle w:val="SingleTxt"/>
        <w:spacing w:after="0" w:line="120" w:lineRule="exact"/>
        <w:rPr>
          <w:sz w:val="10"/>
        </w:rPr>
      </w:pPr>
    </w:p>
    <w:p w14:paraId="20D2737E"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4.</w:t>
      </w:r>
      <w:r w:rsidRPr="00102EB0">
        <w:tab/>
      </w:r>
      <w:r w:rsidRPr="00102EB0">
        <w:rPr>
          <w:bCs/>
        </w:rPr>
        <w:t>Examen de los informes presentados por los Estados partes en virtud del artículo 18 de la Convención sobre la Eliminación de Todas las Formas de Discriminación contra la Mujer</w:t>
      </w:r>
    </w:p>
    <w:p w14:paraId="44A57B92" w14:textId="77777777" w:rsidR="00D97DD1" w:rsidRPr="00102EB0" w:rsidRDefault="00D97DD1" w:rsidP="00D97DD1">
      <w:pPr>
        <w:pStyle w:val="SingleTxt"/>
        <w:spacing w:after="0" w:line="120" w:lineRule="exact"/>
        <w:rPr>
          <w:sz w:val="10"/>
        </w:rPr>
      </w:pPr>
    </w:p>
    <w:p w14:paraId="1B825EDE" w14:textId="77777777" w:rsidR="00D97DD1" w:rsidRPr="00102EB0" w:rsidRDefault="00D97DD1" w:rsidP="00D97DD1">
      <w:pPr>
        <w:pStyle w:val="SingleTxt"/>
      </w:pPr>
      <w:r w:rsidRPr="00102EB0">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37E216B" w14:textId="77777777" w:rsidR="00D97DD1" w:rsidRPr="00102EB0" w:rsidRDefault="00D97DD1" w:rsidP="00D97DD1">
      <w:pPr>
        <w:pStyle w:val="SingleTxt"/>
      </w:pPr>
      <w:r w:rsidRPr="00102EB0">
        <w:t>Está previsto que el Comité examine los informes de los siguientes Estados partes en el 74º período de sesiones del Comité: Andorra, Bosnia y Herzegovina, Camboya, Iraq, Kazajstán, Lituania y Seychelles.</w:t>
      </w:r>
    </w:p>
    <w:p w14:paraId="48D4FD9B" w14:textId="77777777" w:rsidR="00D97DD1" w:rsidRPr="00102EB0" w:rsidRDefault="00D97DD1" w:rsidP="00D97DD1">
      <w:pPr>
        <w:pStyle w:val="SingleTxt"/>
      </w:pPr>
      <w:r w:rsidRPr="00102EB0">
        <w:t>El artículo 51 del reglamento dispone que los representantes de los Estados partes asistirán a las sesiones del Comité en las que se vayan a examinar sus respectivos informes, participarán en las deliberaciones y responderán a las preguntas relativas a dichos informes.</w:t>
      </w:r>
    </w:p>
    <w:p w14:paraId="2E120757" w14:textId="77777777" w:rsidR="00D97DD1" w:rsidRPr="00102EB0" w:rsidRDefault="00D97DD1" w:rsidP="00D97DD1">
      <w:pPr>
        <w:pStyle w:val="SingleTxt"/>
      </w:pPr>
      <w:r w:rsidRPr="00102EB0">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04B05AE4" w14:textId="6A10157F" w:rsidR="00D97DD1" w:rsidRPr="00102EB0" w:rsidRDefault="00D97DD1" w:rsidP="00D97DD1">
      <w:pPr>
        <w:pStyle w:val="SingleTxt"/>
      </w:pPr>
      <w:r w:rsidRPr="00102EB0">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74º período de sesiones se reunió en Ginebra del 11 al 15 de marzo de 2019. El Comité tendrá ante sí el informe del grupo de trabajo anterior al período de sesiones (</w:t>
      </w:r>
      <w:hyperlink r:id="rId16" w:history="1">
        <w:r w:rsidRPr="00D97DD1">
          <w:rPr>
            <w:rStyle w:val="Hyperlink"/>
          </w:rPr>
          <w:t>CEDAW/C/PSWG/74/1</w:t>
        </w:r>
      </w:hyperlink>
      <w:r w:rsidRPr="00102EB0">
        <w:t>) y las respuestas de los Estados partes a las listas de cuestiones y preguntas.</w:t>
      </w:r>
    </w:p>
    <w:p w14:paraId="7C9B9ED6" w14:textId="77777777" w:rsidR="00D97DD1" w:rsidRPr="00102EB0" w:rsidRDefault="00D97DD1" w:rsidP="00D97DD1">
      <w:pPr>
        <w:pStyle w:val="SingleTxt"/>
        <w:spacing w:after="0" w:line="120" w:lineRule="exact"/>
        <w:rPr>
          <w:sz w:val="10"/>
        </w:rPr>
      </w:pPr>
    </w:p>
    <w:p w14:paraId="792978EA"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lastRenderedPageBreak/>
        <w:tab/>
      </w:r>
      <w:r w:rsidRPr="00102EB0">
        <w:tab/>
      </w:r>
      <w:r w:rsidRPr="00102EB0">
        <w:rPr>
          <w:i/>
          <w:iCs/>
        </w:rPr>
        <w:t>Documentación</w:t>
      </w:r>
    </w:p>
    <w:p w14:paraId="4710AEE8" w14:textId="77777777" w:rsidR="00D97DD1" w:rsidRPr="00102EB0" w:rsidRDefault="00D97DD1" w:rsidP="00D97DD1">
      <w:pPr>
        <w:pStyle w:val="SingleTxt"/>
        <w:keepNext/>
        <w:keepLines/>
        <w:spacing w:after="0" w:line="120" w:lineRule="exact"/>
        <w:rPr>
          <w:sz w:val="10"/>
        </w:rPr>
      </w:pPr>
    </w:p>
    <w:p w14:paraId="6612C488"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Informes</w:t>
      </w:r>
    </w:p>
    <w:p w14:paraId="790A95D5" w14:textId="77777777" w:rsidR="00D97DD1" w:rsidRPr="00102EB0" w:rsidRDefault="00D97DD1" w:rsidP="00D97DD1">
      <w:pPr>
        <w:pStyle w:val="SingleTxt"/>
        <w:keepNext/>
        <w:keepLines/>
        <w:spacing w:after="0" w:line="120" w:lineRule="exact"/>
        <w:rPr>
          <w:sz w:val="10"/>
        </w:rPr>
      </w:pPr>
    </w:p>
    <w:p w14:paraId="2622F2F5" w14:textId="061585D4" w:rsidR="00D97DD1" w:rsidRPr="00102EB0" w:rsidRDefault="00D97DD1" w:rsidP="00D97DD1">
      <w:pPr>
        <w:pStyle w:val="SingleTxt"/>
        <w:rPr>
          <w:bCs/>
        </w:rPr>
      </w:pPr>
      <w:r w:rsidRPr="00102EB0">
        <w:t>Cuarto informe periódico de Andorra (</w:t>
      </w:r>
      <w:hyperlink r:id="rId17" w:history="1">
        <w:r w:rsidRPr="00D97DD1">
          <w:rPr>
            <w:rStyle w:val="Hyperlink"/>
          </w:rPr>
          <w:t>CEDAW/C/AND/4</w:t>
        </w:r>
      </w:hyperlink>
      <w:r w:rsidRPr="00102EB0">
        <w:t>)</w:t>
      </w:r>
    </w:p>
    <w:p w14:paraId="25CF6E1B" w14:textId="02BBCBF8" w:rsidR="00D97DD1" w:rsidRPr="00102EB0" w:rsidRDefault="00D97DD1" w:rsidP="00D97DD1">
      <w:pPr>
        <w:pStyle w:val="SingleTxt"/>
        <w:rPr>
          <w:bCs/>
        </w:rPr>
      </w:pPr>
      <w:r w:rsidRPr="00102EB0">
        <w:t>Sexto informe periódico de Bosnia y Herzegovina (</w:t>
      </w:r>
      <w:hyperlink r:id="rId18" w:history="1">
        <w:r w:rsidRPr="00D97DD1">
          <w:rPr>
            <w:rStyle w:val="Hyperlink"/>
          </w:rPr>
          <w:t>CEDAW/C/BIH/6</w:t>
        </w:r>
      </w:hyperlink>
      <w:r w:rsidRPr="00102EB0">
        <w:t>)</w:t>
      </w:r>
    </w:p>
    <w:p w14:paraId="21BFD821" w14:textId="798C942D" w:rsidR="00D97DD1" w:rsidRPr="00102EB0" w:rsidRDefault="00D97DD1" w:rsidP="00D97DD1">
      <w:pPr>
        <w:pStyle w:val="SingleTxt"/>
        <w:rPr>
          <w:bCs/>
        </w:rPr>
      </w:pPr>
      <w:r w:rsidRPr="00102EB0">
        <w:t>Sexto informe periódico de Camboya (</w:t>
      </w:r>
      <w:hyperlink r:id="rId19" w:history="1">
        <w:r w:rsidRPr="00D97DD1">
          <w:rPr>
            <w:rStyle w:val="Hyperlink"/>
          </w:rPr>
          <w:t>CEDAW/C/KHM/6</w:t>
        </w:r>
      </w:hyperlink>
      <w:r w:rsidRPr="00102EB0">
        <w:t>)</w:t>
      </w:r>
    </w:p>
    <w:p w14:paraId="57D3270E" w14:textId="211D6D33" w:rsidR="00D97DD1" w:rsidRPr="00102EB0" w:rsidRDefault="00D97DD1" w:rsidP="00D97DD1">
      <w:pPr>
        <w:pStyle w:val="SingleTxt"/>
      </w:pPr>
      <w:r w:rsidRPr="00102EB0">
        <w:t>Séptimo informe periódico del Iraq (</w:t>
      </w:r>
      <w:hyperlink r:id="rId20" w:history="1">
        <w:r w:rsidRPr="00D97DD1">
          <w:rPr>
            <w:rStyle w:val="Hyperlink"/>
          </w:rPr>
          <w:t>CEDAW/C/IRQ/7</w:t>
        </w:r>
      </w:hyperlink>
      <w:r w:rsidRPr="00102EB0">
        <w:t>)</w:t>
      </w:r>
    </w:p>
    <w:p w14:paraId="5A8E1F59" w14:textId="00F308D6" w:rsidR="00D97DD1" w:rsidRPr="00102EB0" w:rsidRDefault="00D97DD1" w:rsidP="00D97DD1">
      <w:pPr>
        <w:pStyle w:val="SingleTxt"/>
        <w:rPr>
          <w:bCs/>
        </w:rPr>
      </w:pPr>
      <w:r w:rsidRPr="00102EB0">
        <w:t>Quinto informe periódico de Kazajstán (</w:t>
      </w:r>
      <w:hyperlink r:id="rId21" w:history="1">
        <w:r w:rsidRPr="00D97DD1">
          <w:rPr>
            <w:rStyle w:val="Hyperlink"/>
          </w:rPr>
          <w:t>CEDAW/C/KAZ/5</w:t>
        </w:r>
      </w:hyperlink>
      <w:r w:rsidRPr="00102EB0">
        <w:t>)</w:t>
      </w:r>
    </w:p>
    <w:p w14:paraId="19557C51" w14:textId="06A69BEA" w:rsidR="00D97DD1" w:rsidRPr="00102EB0" w:rsidRDefault="00D97DD1" w:rsidP="00D97DD1">
      <w:pPr>
        <w:pStyle w:val="SingleTxt"/>
        <w:rPr>
          <w:b/>
          <w:bCs/>
        </w:rPr>
      </w:pPr>
      <w:r w:rsidRPr="00102EB0">
        <w:t>Sexto informe periódico de Lituania (</w:t>
      </w:r>
      <w:hyperlink r:id="rId22" w:history="1">
        <w:r w:rsidRPr="00D97DD1">
          <w:rPr>
            <w:rStyle w:val="Hyperlink"/>
          </w:rPr>
          <w:t>CEDAW/C/LTU/6</w:t>
        </w:r>
      </w:hyperlink>
      <w:r w:rsidRPr="00102EB0">
        <w:t>)</w:t>
      </w:r>
    </w:p>
    <w:p w14:paraId="7F8EE0E0" w14:textId="40B80CE4" w:rsidR="00D97DD1" w:rsidRPr="00102EB0" w:rsidRDefault="00D97DD1" w:rsidP="00D97DD1">
      <w:pPr>
        <w:pStyle w:val="SingleTxt"/>
        <w:rPr>
          <w:bCs/>
        </w:rPr>
      </w:pPr>
      <w:r w:rsidRPr="00102EB0">
        <w:t>Sexto informe periódico de Seychelles (</w:t>
      </w:r>
      <w:hyperlink r:id="rId23" w:history="1">
        <w:r w:rsidRPr="00D97DD1">
          <w:rPr>
            <w:rStyle w:val="Hyperlink"/>
          </w:rPr>
          <w:t>CEDAW/C/SYC/6</w:t>
        </w:r>
      </w:hyperlink>
      <w:r w:rsidRPr="00102EB0">
        <w:t>)</w:t>
      </w:r>
    </w:p>
    <w:p w14:paraId="2755ED15" w14:textId="77777777" w:rsidR="00D97DD1" w:rsidRPr="00102EB0" w:rsidRDefault="00D97DD1" w:rsidP="00D97DD1">
      <w:pPr>
        <w:pStyle w:val="SingleTxt"/>
        <w:spacing w:after="0" w:line="120" w:lineRule="exact"/>
        <w:rPr>
          <w:sz w:val="10"/>
        </w:rPr>
      </w:pPr>
    </w:p>
    <w:p w14:paraId="26751446"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Listas de cuestiones y preguntas</w:t>
      </w:r>
    </w:p>
    <w:p w14:paraId="74978C81" w14:textId="77777777" w:rsidR="00D97DD1" w:rsidRPr="00102EB0" w:rsidRDefault="00D97DD1" w:rsidP="00D97DD1">
      <w:pPr>
        <w:pStyle w:val="SingleTxt"/>
        <w:spacing w:after="0" w:line="120" w:lineRule="exact"/>
        <w:rPr>
          <w:sz w:val="10"/>
        </w:rPr>
      </w:pPr>
    </w:p>
    <w:p w14:paraId="74F63136" w14:textId="6FD36498" w:rsidR="00D97DD1" w:rsidRPr="00102EB0" w:rsidRDefault="00D97DD1" w:rsidP="00D97DD1">
      <w:pPr>
        <w:pStyle w:val="SingleTxt"/>
        <w:rPr>
          <w:bCs/>
        </w:rPr>
      </w:pPr>
      <w:r w:rsidRPr="00102EB0">
        <w:t>Andorra (</w:t>
      </w:r>
      <w:hyperlink r:id="rId24" w:history="1">
        <w:r w:rsidRPr="00D97DD1">
          <w:rPr>
            <w:rStyle w:val="Hyperlink"/>
          </w:rPr>
          <w:t>CEDAW/C/AND/Q/4</w:t>
        </w:r>
      </w:hyperlink>
      <w:r w:rsidRPr="00102EB0">
        <w:t>)</w:t>
      </w:r>
    </w:p>
    <w:p w14:paraId="23CAEAAA" w14:textId="1BC70D0A" w:rsidR="00D97DD1" w:rsidRPr="00102EB0" w:rsidRDefault="00D97DD1" w:rsidP="00D97DD1">
      <w:pPr>
        <w:pStyle w:val="SingleTxt"/>
        <w:rPr>
          <w:bCs/>
        </w:rPr>
      </w:pPr>
      <w:r w:rsidRPr="00102EB0">
        <w:t>Bosnia y Herzegovina (</w:t>
      </w:r>
      <w:hyperlink r:id="rId25" w:history="1">
        <w:r w:rsidRPr="00D97DD1">
          <w:rPr>
            <w:rStyle w:val="Hyperlink"/>
          </w:rPr>
          <w:t>CEDAW/C/BIH/Q/6</w:t>
        </w:r>
      </w:hyperlink>
      <w:r w:rsidRPr="00102EB0">
        <w:t>)</w:t>
      </w:r>
    </w:p>
    <w:p w14:paraId="3A9953F3" w14:textId="3E4BE8D0" w:rsidR="00D97DD1" w:rsidRPr="00102EB0" w:rsidRDefault="00D97DD1" w:rsidP="00D97DD1">
      <w:pPr>
        <w:pStyle w:val="SingleTxt"/>
        <w:rPr>
          <w:bCs/>
        </w:rPr>
      </w:pPr>
      <w:r w:rsidRPr="00102EB0">
        <w:t>Camboya (</w:t>
      </w:r>
      <w:hyperlink r:id="rId26" w:history="1">
        <w:r w:rsidRPr="00D97DD1">
          <w:rPr>
            <w:rStyle w:val="Hyperlink"/>
          </w:rPr>
          <w:t>CEDAW/C/KHM/Q/6</w:t>
        </w:r>
      </w:hyperlink>
      <w:r w:rsidRPr="00102EB0">
        <w:t>)</w:t>
      </w:r>
    </w:p>
    <w:p w14:paraId="2736631A" w14:textId="012F458A" w:rsidR="00D97DD1" w:rsidRPr="00102EB0" w:rsidRDefault="00D97DD1" w:rsidP="00D97DD1">
      <w:pPr>
        <w:pStyle w:val="SingleTxt"/>
      </w:pPr>
      <w:r w:rsidRPr="00102EB0">
        <w:t>Iraq (</w:t>
      </w:r>
      <w:hyperlink r:id="rId27" w:history="1">
        <w:r w:rsidRPr="00D97DD1">
          <w:rPr>
            <w:rStyle w:val="Hyperlink"/>
          </w:rPr>
          <w:t>CEDAW/C/IRQ/Q/7</w:t>
        </w:r>
      </w:hyperlink>
      <w:r w:rsidRPr="00102EB0">
        <w:t>)</w:t>
      </w:r>
    </w:p>
    <w:p w14:paraId="6C849D68" w14:textId="0D8B67AC" w:rsidR="00D97DD1" w:rsidRPr="00102EB0" w:rsidRDefault="00D97DD1" w:rsidP="00D97DD1">
      <w:pPr>
        <w:pStyle w:val="SingleTxt"/>
        <w:rPr>
          <w:bCs/>
        </w:rPr>
      </w:pPr>
      <w:r w:rsidRPr="00102EB0">
        <w:t>Kazajstán (</w:t>
      </w:r>
      <w:hyperlink r:id="rId28" w:history="1">
        <w:r w:rsidRPr="00D97DD1">
          <w:rPr>
            <w:rStyle w:val="Hyperlink"/>
          </w:rPr>
          <w:t>CEDAW/C/KAZ/Q/5</w:t>
        </w:r>
      </w:hyperlink>
      <w:r w:rsidRPr="00102EB0">
        <w:t>)</w:t>
      </w:r>
    </w:p>
    <w:p w14:paraId="36978B21" w14:textId="3814EF3A" w:rsidR="00D97DD1" w:rsidRPr="00176D0A" w:rsidRDefault="00D97DD1" w:rsidP="00D97DD1">
      <w:pPr>
        <w:pStyle w:val="SingleTxt"/>
        <w:rPr>
          <w:b/>
          <w:bCs/>
          <w:lang w:val="fr-FR"/>
        </w:rPr>
      </w:pPr>
      <w:r w:rsidRPr="00176D0A">
        <w:rPr>
          <w:lang w:val="fr-FR"/>
        </w:rPr>
        <w:t>Lituania (</w:t>
      </w:r>
      <w:hyperlink r:id="rId29" w:history="1">
        <w:r w:rsidRPr="00D97DD1">
          <w:rPr>
            <w:rStyle w:val="Hyperlink"/>
            <w:lang w:val="fr-FR"/>
          </w:rPr>
          <w:t>CEDAW/C/LTU/Q/6</w:t>
        </w:r>
      </w:hyperlink>
      <w:r w:rsidRPr="00176D0A">
        <w:rPr>
          <w:lang w:val="fr-FR"/>
        </w:rPr>
        <w:t>)</w:t>
      </w:r>
      <w:bookmarkStart w:id="2" w:name="_GoBack"/>
      <w:bookmarkEnd w:id="2"/>
    </w:p>
    <w:p w14:paraId="6EC13DA3" w14:textId="162A5CD3" w:rsidR="00D97DD1" w:rsidRPr="00176D0A" w:rsidRDefault="00D97DD1" w:rsidP="00D97DD1">
      <w:pPr>
        <w:pStyle w:val="SingleTxt"/>
        <w:rPr>
          <w:bCs/>
          <w:lang w:val="fr-FR"/>
        </w:rPr>
      </w:pPr>
      <w:r w:rsidRPr="00176D0A">
        <w:rPr>
          <w:lang w:val="fr-FR"/>
        </w:rPr>
        <w:t>Seychelles (</w:t>
      </w:r>
      <w:hyperlink r:id="rId30" w:history="1">
        <w:r w:rsidRPr="00D97DD1">
          <w:rPr>
            <w:rStyle w:val="Hyperlink"/>
            <w:lang w:val="fr-FR"/>
          </w:rPr>
          <w:t>CEDAW/C/SYC/Q/6</w:t>
        </w:r>
      </w:hyperlink>
      <w:r w:rsidRPr="00176D0A">
        <w:rPr>
          <w:lang w:val="fr-FR"/>
        </w:rPr>
        <w:t>)</w:t>
      </w:r>
    </w:p>
    <w:p w14:paraId="06668F74" w14:textId="77777777" w:rsidR="00D97DD1" w:rsidRPr="00176D0A" w:rsidRDefault="00D97DD1" w:rsidP="00D97DD1">
      <w:pPr>
        <w:pStyle w:val="SingleTxt"/>
        <w:spacing w:after="0" w:line="120" w:lineRule="exact"/>
        <w:rPr>
          <w:sz w:val="10"/>
          <w:lang w:val="fr-FR"/>
        </w:rPr>
      </w:pPr>
    </w:p>
    <w:p w14:paraId="279A04B9"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76D0A">
        <w:rPr>
          <w:lang w:val="fr-FR"/>
        </w:rPr>
        <w:tab/>
      </w:r>
      <w:r w:rsidRPr="00176D0A">
        <w:rPr>
          <w:lang w:val="fr-FR"/>
        </w:rPr>
        <w:tab/>
      </w:r>
      <w:r w:rsidRPr="00102EB0">
        <w:t>Respuestas a las listas de cuestiones y preguntas</w:t>
      </w:r>
    </w:p>
    <w:p w14:paraId="5AB3EDCB" w14:textId="77777777" w:rsidR="00D97DD1" w:rsidRPr="00102EB0" w:rsidRDefault="00D97DD1" w:rsidP="00D97DD1">
      <w:pPr>
        <w:pStyle w:val="SingleTxt"/>
        <w:spacing w:after="0" w:line="120" w:lineRule="exact"/>
        <w:rPr>
          <w:sz w:val="10"/>
        </w:rPr>
      </w:pPr>
    </w:p>
    <w:p w14:paraId="43B6749D" w14:textId="7237D73A" w:rsidR="00D97DD1" w:rsidRPr="00176D0A" w:rsidRDefault="00D97DD1" w:rsidP="00D97DD1">
      <w:pPr>
        <w:pStyle w:val="SingleTxt"/>
        <w:rPr>
          <w:bCs/>
          <w:lang w:val="en-US"/>
        </w:rPr>
      </w:pPr>
      <w:r w:rsidRPr="00176D0A">
        <w:rPr>
          <w:lang w:val="en-US"/>
        </w:rPr>
        <w:t>Andorra (</w:t>
      </w:r>
      <w:hyperlink r:id="rId31" w:history="1">
        <w:r w:rsidRPr="00D97DD1">
          <w:rPr>
            <w:rStyle w:val="Hyperlink"/>
            <w:lang w:val="en-US"/>
          </w:rPr>
          <w:t>CEDAW/C/AND/Q/4/Add.1</w:t>
        </w:r>
      </w:hyperlink>
      <w:r w:rsidRPr="00176D0A">
        <w:rPr>
          <w:lang w:val="en-US"/>
        </w:rPr>
        <w:t>)</w:t>
      </w:r>
    </w:p>
    <w:p w14:paraId="49A48C24" w14:textId="6348BE56" w:rsidR="00D97DD1" w:rsidRPr="00102EB0" w:rsidRDefault="00D97DD1" w:rsidP="00D97DD1">
      <w:pPr>
        <w:pStyle w:val="SingleTxt"/>
        <w:rPr>
          <w:bCs/>
        </w:rPr>
      </w:pPr>
      <w:r w:rsidRPr="00102EB0">
        <w:t>Bosnia y Herzegovina (</w:t>
      </w:r>
      <w:hyperlink r:id="rId32" w:history="1">
        <w:r w:rsidRPr="00D97DD1">
          <w:rPr>
            <w:rStyle w:val="Hyperlink"/>
          </w:rPr>
          <w:t>CEDAW/C/BIH/Q/6/Add.1</w:t>
        </w:r>
      </w:hyperlink>
      <w:r w:rsidRPr="00102EB0">
        <w:t>)</w:t>
      </w:r>
    </w:p>
    <w:p w14:paraId="48A12A81" w14:textId="78BAC33A" w:rsidR="00D97DD1" w:rsidRPr="00102EB0" w:rsidRDefault="00D97DD1" w:rsidP="00D97DD1">
      <w:pPr>
        <w:pStyle w:val="SingleTxt"/>
        <w:rPr>
          <w:bCs/>
        </w:rPr>
      </w:pPr>
      <w:r w:rsidRPr="00102EB0">
        <w:t>Camboya (</w:t>
      </w:r>
      <w:hyperlink r:id="rId33" w:history="1">
        <w:r w:rsidRPr="00D97DD1">
          <w:rPr>
            <w:rStyle w:val="Hyperlink"/>
          </w:rPr>
          <w:t>CEDAW/C/KHM/Q/6/Add.1</w:t>
        </w:r>
      </w:hyperlink>
      <w:r w:rsidRPr="00102EB0">
        <w:t>)</w:t>
      </w:r>
    </w:p>
    <w:p w14:paraId="69E86024" w14:textId="2FE08E0B" w:rsidR="00D97DD1" w:rsidRPr="00102EB0" w:rsidRDefault="00D97DD1" w:rsidP="00D97DD1">
      <w:pPr>
        <w:pStyle w:val="SingleTxt"/>
      </w:pPr>
      <w:r w:rsidRPr="00102EB0">
        <w:t>Iraq (</w:t>
      </w:r>
      <w:hyperlink r:id="rId34" w:history="1">
        <w:r w:rsidRPr="00D97DD1">
          <w:rPr>
            <w:rStyle w:val="Hyperlink"/>
          </w:rPr>
          <w:t>CEDAW/C/IRQ/Q/7/Add.1</w:t>
        </w:r>
      </w:hyperlink>
      <w:r w:rsidRPr="00102EB0">
        <w:t>)</w:t>
      </w:r>
    </w:p>
    <w:p w14:paraId="12BD37A6" w14:textId="54B60D24" w:rsidR="00D97DD1" w:rsidRPr="00102EB0" w:rsidRDefault="00D97DD1" w:rsidP="00D97DD1">
      <w:pPr>
        <w:pStyle w:val="SingleTxt"/>
        <w:rPr>
          <w:bCs/>
        </w:rPr>
      </w:pPr>
      <w:r w:rsidRPr="00102EB0">
        <w:t>Kazajstán (</w:t>
      </w:r>
      <w:hyperlink r:id="rId35" w:history="1">
        <w:r w:rsidRPr="00D97DD1">
          <w:rPr>
            <w:rStyle w:val="Hyperlink"/>
          </w:rPr>
          <w:t>CEDAW/C/KAZ/Q/5/Add.1</w:t>
        </w:r>
      </w:hyperlink>
      <w:r w:rsidRPr="00102EB0">
        <w:t>)</w:t>
      </w:r>
    </w:p>
    <w:p w14:paraId="000C845F" w14:textId="6723136A" w:rsidR="00D97DD1" w:rsidRPr="00102EB0" w:rsidRDefault="00D97DD1" w:rsidP="00D97DD1">
      <w:pPr>
        <w:pStyle w:val="SingleTxt"/>
        <w:rPr>
          <w:b/>
          <w:bCs/>
        </w:rPr>
      </w:pPr>
      <w:r w:rsidRPr="00102EB0">
        <w:t>Lituania (</w:t>
      </w:r>
      <w:hyperlink r:id="rId36" w:history="1">
        <w:r w:rsidRPr="00D97DD1">
          <w:rPr>
            <w:rStyle w:val="Hyperlink"/>
          </w:rPr>
          <w:t>CEDAW/C/LTU/Q/6/Add.1</w:t>
        </w:r>
      </w:hyperlink>
      <w:r w:rsidRPr="00102EB0">
        <w:t>)</w:t>
      </w:r>
    </w:p>
    <w:p w14:paraId="7B3ED24D" w14:textId="47ACB495" w:rsidR="00D97DD1" w:rsidRPr="00102EB0" w:rsidRDefault="00D97DD1" w:rsidP="00D97DD1">
      <w:pPr>
        <w:pStyle w:val="SingleTxt"/>
      </w:pPr>
      <w:r w:rsidRPr="00102EB0">
        <w:t>Seychelles (</w:t>
      </w:r>
      <w:hyperlink r:id="rId37" w:history="1">
        <w:r w:rsidRPr="00D97DD1">
          <w:rPr>
            <w:rStyle w:val="Hyperlink"/>
          </w:rPr>
          <w:t>CEDAW/C/SYC/Q/6/Add.1</w:t>
        </w:r>
      </w:hyperlink>
      <w:r w:rsidRPr="00102EB0">
        <w:t>)</w:t>
      </w:r>
    </w:p>
    <w:p w14:paraId="3416D11B" w14:textId="77777777" w:rsidR="00D97DD1" w:rsidRPr="00102EB0" w:rsidRDefault="00D97DD1" w:rsidP="00D97DD1">
      <w:pPr>
        <w:pStyle w:val="SingleTxt"/>
        <w:spacing w:after="0" w:line="120" w:lineRule="exact"/>
        <w:rPr>
          <w:sz w:val="10"/>
        </w:rPr>
      </w:pPr>
    </w:p>
    <w:p w14:paraId="6A60C71B"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5.</w:t>
      </w:r>
      <w:r w:rsidRPr="00102EB0">
        <w:tab/>
      </w:r>
      <w:r w:rsidRPr="00102EB0">
        <w:rPr>
          <w:bCs/>
        </w:rPr>
        <w:t>Seguimiento del examen de los informes presentados por los Estados partes en virtud del artículo 18 de la Convención</w:t>
      </w:r>
    </w:p>
    <w:p w14:paraId="1DC34FE5" w14:textId="77777777" w:rsidR="00D97DD1" w:rsidRPr="00102EB0" w:rsidRDefault="00D97DD1" w:rsidP="00D97DD1">
      <w:pPr>
        <w:pStyle w:val="SingleTxt"/>
        <w:spacing w:after="0" w:line="120" w:lineRule="exact"/>
        <w:rPr>
          <w:sz w:val="10"/>
        </w:rPr>
      </w:pPr>
    </w:p>
    <w:p w14:paraId="68DCCC0C" w14:textId="77777777" w:rsidR="00D97DD1" w:rsidRPr="00102EB0" w:rsidRDefault="00D97DD1" w:rsidP="00D97DD1">
      <w:pPr>
        <w:pStyle w:val="SingleTxt"/>
      </w:pPr>
      <w:r w:rsidRPr="00102EB0">
        <w:t>El Comité examinará cuestiones relacionadas con el seguimiento de las observaciones finales.</w:t>
      </w:r>
    </w:p>
    <w:p w14:paraId="798CC99D" w14:textId="77777777" w:rsidR="00D97DD1" w:rsidRPr="00102EB0" w:rsidRDefault="00D97DD1" w:rsidP="00D97DD1">
      <w:pPr>
        <w:pStyle w:val="SingleTxt"/>
        <w:spacing w:after="0" w:line="120" w:lineRule="exact"/>
        <w:rPr>
          <w:sz w:val="10"/>
        </w:rPr>
      </w:pPr>
    </w:p>
    <w:p w14:paraId="291F8366"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6.</w:t>
      </w:r>
      <w:r w:rsidRPr="00102EB0">
        <w:tab/>
      </w:r>
      <w:r w:rsidRPr="00102EB0">
        <w:rPr>
          <w:bCs/>
        </w:rPr>
        <w:t>Aplicación de los artículos 21 y 22 de la Convención</w:t>
      </w:r>
    </w:p>
    <w:p w14:paraId="3900A12B" w14:textId="77777777" w:rsidR="00D97DD1" w:rsidRPr="00102EB0" w:rsidRDefault="00D97DD1" w:rsidP="00D97DD1">
      <w:pPr>
        <w:pStyle w:val="SingleTxt"/>
        <w:spacing w:after="0" w:line="120" w:lineRule="exact"/>
        <w:rPr>
          <w:sz w:val="10"/>
        </w:rPr>
      </w:pPr>
    </w:p>
    <w:p w14:paraId="6833C28A" w14:textId="77777777" w:rsidR="00D97DD1" w:rsidRPr="00102EB0" w:rsidRDefault="00D97DD1" w:rsidP="00D97DD1">
      <w:pPr>
        <w:pStyle w:val="SingleTxt"/>
      </w:pPr>
      <w:r w:rsidRPr="00102EB0">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24BB12C2" w14:textId="77777777" w:rsidR="00D97DD1" w:rsidRPr="00102EB0" w:rsidRDefault="00D97DD1" w:rsidP="00276296">
      <w:pPr>
        <w:pStyle w:val="SingleTxt"/>
        <w:keepNext/>
        <w:keepLines/>
      </w:pPr>
      <w:r w:rsidRPr="00102EB0">
        <w:lastRenderedPageBreak/>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p>
    <w:p w14:paraId="37CB6229" w14:textId="77777777" w:rsidR="00D97DD1" w:rsidRPr="00102EB0" w:rsidRDefault="00D97DD1" w:rsidP="00D97DD1">
      <w:pPr>
        <w:pStyle w:val="SingleTxt"/>
        <w:spacing w:after="0" w:line="120" w:lineRule="exact"/>
        <w:rPr>
          <w:sz w:val="10"/>
        </w:rPr>
      </w:pPr>
    </w:p>
    <w:p w14:paraId="108195E4"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Documentación</w:t>
      </w:r>
    </w:p>
    <w:p w14:paraId="565FFAE2" w14:textId="77777777" w:rsidR="00D97DD1" w:rsidRPr="00102EB0" w:rsidRDefault="00D97DD1" w:rsidP="00D97DD1">
      <w:pPr>
        <w:pStyle w:val="SingleTxt"/>
        <w:spacing w:after="0" w:line="120" w:lineRule="exact"/>
        <w:rPr>
          <w:sz w:val="10"/>
        </w:rPr>
      </w:pPr>
    </w:p>
    <w:p w14:paraId="3B288CA3" w14:textId="77777777" w:rsidR="00D97DD1" w:rsidRPr="00102EB0" w:rsidRDefault="00D97DD1" w:rsidP="00D97DD1">
      <w:pPr>
        <w:pStyle w:val="SingleTxt"/>
      </w:pPr>
      <w:r w:rsidRPr="00102EB0">
        <w:t>Informes presentados por los organismos especializados del sistema de las Naciones Unidas sobre la aplicación de la Convención en la esfera de sus actividades</w:t>
      </w:r>
    </w:p>
    <w:p w14:paraId="1DA82F92" w14:textId="77777777" w:rsidR="00D97DD1" w:rsidRPr="00102EB0" w:rsidRDefault="00D97DD1" w:rsidP="00D97DD1">
      <w:pPr>
        <w:pStyle w:val="SingleTxt"/>
        <w:spacing w:after="0" w:line="120" w:lineRule="exact"/>
        <w:rPr>
          <w:sz w:val="10"/>
        </w:rPr>
      </w:pPr>
    </w:p>
    <w:p w14:paraId="5835AC29"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7.</w:t>
      </w:r>
      <w:r w:rsidRPr="00102EB0">
        <w:tab/>
      </w:r>
      <w:r w:rsidRPr="00102EB0">
        <w:rPr>
          <w:bCs/>
        </w:rPr>
        <w:t>Medios de agilizar los trabajos del Comité</w:t>
      </w:r>
    </w:p>
    <w:p w14:paraId="1E1A7C9C" w14:textId="77777777" w:rsidR="00D97DD1" w:rsidRPr="00102EB0" w:rsidRDefault="00D97DD1" w:rsidP="00D97DD1">
      <w:pPr>
        <w:pStyle w:val="SingleTxt"/>
        <w:spacing w:after="0" w:line="120" w:lineRule="exact"/>
        <w:rPr>
          <w:sz w:val="10"/>
        </w:rPr>
      </w:pPr>
    </w:p>
    <w:p w14:paraId="792B2CBB" w14:textId="77777777" w:rsidR="00D97DD1" w:rsidRPr="00102EB0" w:rsidRDefault="00D97DD1" w:rsidP="00D97DD1">
      <w:pPr>
        <w:pStyle w:val="SingleTxt"/>
      </w:pPr>
      <w:r w:rsidRPr="00102EB0">
        <w:t>El Comité examinará cuestiones relacionadas con sus métodos de trabajo.</w:t>
      </w:r>
    </w:p>
    <w:p w14:paraId="08600DC1" w14:textId="77777777" w:rsidR="00D97DD1" w:rsidRPr="00102EB0" w:rsidRDefault="00D97DD1" w:rsidP="00D97DD1">
      <w:pPr>
        <w:pStyle w:val="SingleTxt"/>
        <w:spacing w:after="0" w:line="120" w:lineRule="exact"/>
        <w:rPr>
          <w:sz w:val="10"/>
        </w:rPr>
      </w:pPr>
    </w:p>
    <w:p w14:paraId="67FC567D"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8.</w:t>
      </w:r>
      <w:r w:rsidRPr="00102EB0">
        <w:tab/>
      </w:r>
      <w:r w:rsidRPr="00102EB0">
        <w:rPr>
          <w:bCs/>
        </w:rPr>
        <w:t>Actividades del Comité en relación con el Protocolo Facultativo de la Convención</w:t>
      </w:r>
    </w:p>
    <w:p w14:paraId="568EEE26" w14:textId="77777777" w:rsidR="00D97DD1" w:rsidRPr="00102EB0" w:rsidRDefault="00D97DD1" w:rsidP="00D97DD1">
      <w:pPr>
        <w:pStyle w:val="SingleTxt"/>
        <w:spacing w:after="0" w:line="120" w:lineRule="exact"/>
        <w:rPr>
          <w:sz w:val="10"/>
        </w:rPr>
      </w:pPr>
    </w:p>
    <w:p w14:paraId="4453017E" w14:textId="77777777" w:rsidR="00D97DD1" w:rsidRPr="00102EB0" w:rsidRDefault="00D97DD1" w:rsidP="00D97DD1">
      <w:pPr>
        <w:pStyle w:val="SingleTxt"/>
      </w:pPr>
      <w:r w:rsidRPr="00102EB0">
        <w:t>El 45º período de sesiones del Grupo de Trabajo sobre las Comunicaciones presentadas en virtud del Protocolo Facultativo se celebrará del 16 al 18 de octubre de 2019 en Ginebra.</w:t>
      </w:r>
    </w:p>
    <w:p w14:paraId="3F6D28DF" w14:textId="77777777" w:rsidR="00D97DD1" w:rsidRPr="00102EB0" w:rsidRDefault="00D97DD1" w:rsidP="00D97DD1">
      <w:pPr>
        <w:pStyle w:val="SingleTxt"/>
      </w:pPr>
      <w:r w:rsidRPr="00102EB0">
        <w:t>El 14º período de sesiones del Grupo de Trabajo sobre Investigaciones con arreglo al Protocolo Facultativo se celebrará los días 17 y 18 de octubre de 2019 en Ginebra.</w:t>
      </w:r>
    </w:p>
    <w:p w14:paraId="59C5D4A4" w14:textId="77777777" w:rsidR="00D97DD1" w:rsidRPr="00102EB0" w:rsidRDefault="00D97DD1" w:rsidP="00D97DD1">
      <w:pPr>
        <w:pStyle w:val="SingleTxt"/>
      </w:pPr>
      <w:r w:rsidRPr="00102EB0">
        <w:t>En su 74º período de sesiones, el Comité continuará cumpliendo su mandato en virtud de los artículos 2 y 8 del Protocolo Facultativo de la Convención.</w:t>
      </w:r>
    </w:p>
    <w:p w14:paraId="157B8B6C" w14:textId="77777777" w:rsidR="00D97DD1" w:rsidRPr="00102EB0" w:rsidRDefault="00D97DD1" w:rsidP="00D97DD1">
      <w:pPr>
        <w:pStyle w:val="SingleTxt"/>
        <w:spacing w:after="0" w:line="120" w:lineRule="exact"/>
        <w:rPr>
          <w:sz w:val="10"/>
        </w:rPr>
      </w:pPr>
    </w:p>
    <w:p w14:paraId="3FA05AAB" w14:textId="77777777" w:rsidR="00D97DD1" w:rsidRPr="00102EB0"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9.</w:t>
      </w:r>
      <w:r w:rsidRPr="00102EB0">
        <w:tab/>
      </w:r>
      <w:r w:rsidRPr="00102EB0">
        <w:rPr>
          <w:bCs/>
        </w:rPr>
        <w:t>Programa provisional del 75º período de sesiones del Comité</w:t>
      </w:r>
    </w:p>
    <w:p w14:paraId="05C320F3" w14:textId="77777777" w:rsidR="00D97DD1" w:rsidRPr="00102EB0" w:rsidRDefault="00D97DD1" w:rsidP="00D97DD1">
      <w:pPr>
        <w:pStyle w:val="SingleTxt"/>
        <w:spacing w:after="0" w:line="120" w:lineRule="exact"/>
        <w:rPr>
          <w:sz w:val="10"/>
        </w:rPr>
      </w:pPr>
    </w:p>
    <w:p w14:paraId="29D3C10D" w14:textId="77777777" w:rsidR="00D97DD1" w:rsidRPr="00102EB0" w:rsidRDefault="00D97DD1" w:rsidP="00D97DD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102EB0">
        <w:tab/>
      </w:r>
      <w:r w:rsidRPr="00102EB0">
        <w:tab/>
        <w:t>Documentación</w:t>
      </w:r>
    </w:p>
    <w:p w14:paraId="3BA1E118" w14:textId="77777777" w:rsidR="00D97DD1" w:rsidRPr="00102EB0" w:rsidRDefault="00D97DD1" w:rsidP="00D97DD1">
      <w:pPr>
        <w:pStyle w:val="SingleTxt"/>
        <w:spacing w:after="0" w:line="120" w:lineRule="exact"/>
        <w:rPr>
          <w:sz w:val="10"/>
        </w:rPr>
      </w:pPr>
    </w:p>
    <w:p w14:paraId="4C453999" w14:textId="47988142" w:rsidR="00D97DD1" w:rsidRPr="00102EB0" w:rsidRDefault="00D97DD1" w:rsidP="00D97DD1">
      <w:pPr>
        <w:pStyle w:val="SingleTxt"/>
      </w:pPr>
      <w:r w:rsidRPr="00102EB0">
        <w:t>Programa provisional anotado del 75º período de sesiones (</w:t>
      </w:r>
      <w:hyperlink r:id="rId38" w:history="1">
        <w:r w:rsidRPr="00D97DD1">
          <w:rPr>
            <w:rStyle w:val="Hyperlink"/>
          </w:rPr>
          <w:t>CEDAW/C/75/1</w:t>
        </w:r>
      </w:hyperlink>
      <w:r w:rsidRPr="00102EB0">
        <w:t>)</w:t>
      </w:r>
    </w:p>
    <w:p w14:paraId="16BF814B" w14:textId="77777777" w:rsidR="00D97DD1" w:rsidRPr="00102EB0" w:rsidRDefault="00D97DD1" w:rsidP="00D97DD1">
      <w:pPr>
        <w:pStyle w:val="SingleTxt"/>
        <w:spacing w:after="0" w:line="120" w:lineRule="exact"/>
        <w:rPr>
          <w:sz w:val="10"/>
        </w:rPr>
      </w:pPr>
    </w:p>
    <w:p w14:paraId="7C789B67" w14:textId="4B344C2C" w:rsidR="0070633D" w:rsidRDefault="00D97DD1" w:rsidP="00D97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02EB0">
        <w:tab/>
        <w:t>10.</w:t>
      </w:r>
      <w:r w:rsidRPr="00102EB0">
        <w:tab/>
        <w:t>Aprobación del informe del Comité sobre su 74º período de sesiones</w:t>
      </w:r>
    </w:p>
    <w:p w14:paraId="305B2188" w14:textId="404AF7C9" w:rsidR="00D97DD1" w:rsidRPr="00D97DD1" w:rsidRDefault="00D97DD1" w:rsidP="00D97DD1">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1710BE0D" wp14:editId="76C487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AC159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97DD1" w:rsidRPr="00D97DD1" w:rsidSect="00D97DD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28T16:32:00Z" w:initials="Start">
    <w:p w14:paraId="0FE58C3E" w14:textId="77777777" w:rsidR="0070633D" w:rsidRPr="00D97DD1" w:rsidRDefault="0070633D">
      <w:pPr>
        <w:pStyle w:val="CommentText"/>
        <w:rPr>
          <w:lang w:val="en-US"/>
        </w:rPr>
      </w:pPr>
      <w:r>
        <w:fldChar w:fldCharType="begin"/>
      </w:r>
      <w:r w:rsidRPr="00D97DD1">
        <w:rPr>
          <w:rStyle w:val="CommentReference"/>
          <w:lang w:val="en-US"/>
        </w:rPr>
        <w:instrText xml:space="preserve"> </w:instrText>
      </w:r>
      <w:r w:rsidRPr="00D97DD1">
        <w:rPr>
          <w:lang w:val="en-US"/>
        </w:rPr>
        <w:instrText>PAGE \# "'Page: '#'</w:instrText>
      </w:r>
      <w:r w:rsidRPr="00D97DD1">
        <w:rPr>
          <w:lang w:val="en-US"/>
        </w:rPr>
        <w:br/>
        <w:instrText>'"</w:instrText>
      </w:r>
      <w:r w:rsidRPr="00D97DD1">
        <w:rPr>
          <w:rStyle w:val="CommentReference"/>
          <w:lang w:val="en-US"/>
        </w:rPr>
        <w:instrText xml:space="preserve"> </w:instrText>
      </w:r>
      <w:r>
        <w:fldChar w:fldCharType="end"/>
      </w:r>
      <w:r>
        <w:rPr>
          <w:rStyle w:val="CommentReference"/>
        </w:rPr>
        <w:annotationRef/>
      </w:r>
      <w:r w:rsidRPr="00D97DD1">
        <w:rPr>
          <w:lang w:val="en-US"/>
        </w:rPr>
        <w:t>&lt;&lt;ODS JOB NO&gt;&gt;N1926225S&lt;&lt;ODS JOB NO&gt;&gt;</w:t>
      </w:r>
    </w:p>
    <w:p w14:paraId="7441D341" w14:textId="77777777" w:rsidR="0070633D" w:rsidRDefault="0070633D">
      <w:pPr>
        <w:pStyle w:val="CommentText"/>
      </w:pPr>
      <w:r>
        <w:t>&lt;&lt;ODS DOC SYMBOL1&gt;&gt;CEDAW/C/74/1&lt;&lt;ODS DOC SYMBOL1&gt;&gt;</w:t>
      </w:r>
    </w:p>
    <w:p w14:paraId="1C524F50" w14:textId="77777777" w:rsidR="0070633D" w:rsidRDefault="0070633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524F5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A4453" w14:textId="77777777" w:rsidR="00716FF4" w:rsidRDefault="00716FF4" w:rsidP="00556720">
      <w:r>
        <w:separator/>
      </w:r>
    </w:p>
  </w:endnote>
  <w:endnote w:type="continuationSeparator" w:id="0">
    <w:p w14:paraId="4E6FE3E3" w14:textId="77777777" w:rsidR="00716FF4" w:rsidRDefault="00716FF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633D" w14:paraId="0C07BC9E" w14:textId="77777777" w:rsidTr="0070633D">
      <w:tc>
        <w:tcPr>
          <w:tcW w:w="4920" w:type="dxa"/>
          <w:shd w:val="clear" w:color="auto" w:fill="auto"/>
        </w:tcPr>
        <w:p w14:paraId="21D65BB2" w14:textId="2B2C8AE9" w:rsidR="0070633D" w:rsidRPr="0070633D" w:rsidRDefault="0070633D" w:rsidP="0070633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96DAC">
            <w:rPr>
              <w:b w:val="0"/>
              <w:color w:val="000000"/>
              <w:w w:val="103"/>
              <w:sz w:val="14"/>
            </w:rPr>
            <w:t>19-14449</w:t>
          </w:r>
          <w:r>
            <w:rPr>
              <w:b w:val="0"/>
              <w:color w:val="000000"/>
              <w:w w:val="103"/>
              <w:sz w:val="14"/>
            </w:rPr>
            <w:fldChar w:fldCharType="end"/>
          </w:r>
        </w:p>
      </w:tc>
      <w:tc>
        <w:tcPr>
          <w:tcW w:w="4920" w:type="dxa"/>
          <w:shd w:val="clear" w:color="auto" w:fill="auto"/>
        </w:tcPr>
        <w:p w14:paraId="3788894A" w14:textId="77777777" w:rsidR="0070633D" w:rsidRPr="0070633D" w:rsidRDefault="0070633D" w:rsidP="0070633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1FDBBFFC" w14:textId="77777777" w:rsidR="0070633D" w:rsidRPr="0070633D" w:rsidRDefault="0070633D" w:rsidP="007063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633D" w14:paraId="2B7118AB" w14:textId="77777777" w:rsidTr="0070633D">
      <w:tc>
        <w:tcPr>
          <w:tcW w:w="4920" w:type="dxa"/>
          <w:shd w:val="clear" w:color="auto" w:fill="auto"/>
        </w:tcPr>
        <w:p w14:paraId="3B3422DE" w14:textId="77777777" w:rsidR="0070633D" w:rsidRPr="0070633D" w:rsidRDefault="0070633D" w:rsidP="0070633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5A2A7FAE" w14:textId="4E49CD4A" w:rsidR="0070633D" w:rsidRPr="0070633D" w:rsidRDefault="0070633D" w:rsidP="0070633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96DAC">
            <w:rPr>
              <w:b w:val="0"/>
              <w:color w:val="000000"/>
              <w:w w:val="103"/>
              <w:sz w:val="14"/>
            </w:rPr>
            <w:t>19-14449</w:t>
          </w:r>
          <w:r>
            <w:rPr>
              <w:b w:val="0"/>
              <w:color w:val="000000"/>
              <w:w w:val="103"/>
              <w:sz w:val="14"/>
            </w:rPr>
            <w:fldChar w:fldCharType="end"/>
          </w:r>
        </w:p>
      </w:tc>
    </w:tr>
  </w:tbl>
  <w:p w14:paraId="2CCC2586" w14:textId="77777777" w:rsidR="0070633D" w:rsidRPr="0070633D" w:rsidRDefault="0070633D" w:rsidP="007063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626DF" w14:textId="77777777" w:rsidR="0070633D" w:rsidRPr="0070633D" w:rsidRDefault="0070633D" w:rsidP="0070633D">
    <w:pPr>
      <w:pStyle w:val="Footer"/>
      <w:spacing w:line="120" w:lineRule="exact"/>
      <w:rPr>
        <w:b w:val="0"/>
        <w:sz w:val="10"/>
      </w:rPr>
    </w:pPr>
    <w:r>
      <w:rPr>
        <w:b w:val="0"/>
        <w:sz w:val="10"/>
      </w:rPr>
      <w:drawing>
        <wp:anchor distT="0" distB="0" distL="114300" distR="114300" simplePos="0" relativeHeight="251658240" behindDoc="0" locked="0" layoutInCell="1" allowOverlap="1" wp14:anchorId="1C178917" wp14:editId="4DF2F1E0">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4/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0633D" w14:paraId="6B10FFBC" w14:textId="77777777" w:rsidTr="0070633D">
      <w:tc>
        <w:tcPr>
          <w:tcW w:w="3830" w:type="dxa"/>
          <w:shd w:val="clear" w:color="auto" w:fill="auto"/>
        </w:tcPr>
        <w:p w14:paraId="175E1507" w14:textId="19E2920E" w:rsidR="0070633D" w:rsidRDefault="0070633D" w:rsidP="0070633D">
          <w:pPr>
            <w:pStyle w:val="ReleaseDate"/>
          </w:pPr>
          <w:r>
            <w:t>19-14449 (S)    2</w:t>
          </w:r>
          <w:r w:rsidR="00E74018">
            <w:t>7</w:t>
          </w:r>
          <w:r>
            <w:t xml:space="preserve">0819    </w:t>
          </w:r>
          <w:r w:rsidR="00D97DD1">
            <w:t>0309</w:t>
          </w:r>
          <w:r>
            <w:t>19</w:t>
          </w:r>
        </w:p>
        <w:p w14:paraId="0F59631F" w14:textId="77777777" w:rsidR="0070633D" w:rsidRPr="0070633D" w:rsidRDefault="0070633D" w:rsidP="0070633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*1914449*</w:t>
          </w:r>
        </w:p>
      </w:tc>
      <w:tc>
        <w:tcPr>
          <w:tcW w:w="4920" w:type="dxa"/>
          <w:shd w:val="clear" w:color="auto" w:fill="auto"/>
        </w:tcPr>
        <w:p w14:paraId="733C4ADD" w14:textId="77777777" w:rsidR="0070633D" w:rsidRDefault="0070633D" w:rsidP="0070633D">
          <w:pPr>
            <w:pStyle w:val="Footer"/>
            <w:jc w:val="right"/>
            <w:rPr>
              <w:b w:val="0"/>
              <w:sz w:val="20"/>
            </w:rPr>
          </w:pPr>
          <w:r>
            <w:rPr>
              <w:b w:val="0"/>
              <w:sz w:val="20"/>
            </w:rPr>
            <w:drawing>
              <wp:inline distT="0" distB="0" distL="0" distR="0" wp14:anchorId="7C35F2E4" wp14:editId="3CB410D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62FCE74" w14:textId="77777777" w:rsidR="0070633D" w:rsidRPr="0070633D" w:rsidRDefault="0070633D" w:rsidP="0070633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24B5B" w14:textId="77777777" w:rsidR="00716FF4" w:rsidRDefault="00716FF4" w:rsidP="00556720">
      <w:r>
        <w:separator/>
      </w:r>
    </w:p>
  </w:footnote>
  <w:footnote w:type="continuationSeparator" w:id="0">
    <w:p w14:paraId="1277416E" w14:textId="77777777" w:rsidR="00716FF4" w:rsidRDefault="00716FF4"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633D" w14:paraId="67338EE6" w14:textId="77777777" w:rsidTr="0070633D">
      <w:trPr>
        <w:trHeight w:hRule="exact" w:val="864"/>
      </w:trPr>
      <w:tc>
        <w:tcPr>
          <w:tcW w:w="4939" w:type="dxa"/>
          <w:shd w:val="clear" w:color="auto" w:fill="auto"/>
          <w:vAlign w:val="bottom"/>
        </w:tcPr>
        <w:p w14:paraId="00A83ECD" w14:textId="5E0F9262" w:rsidR="0070633D" w:rsidRPr="0070633D" w:rsidRDefault="0070633D" w:rsidP="0070633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6DAC">
            <w:rPr>
              <w:b/>
              <w:color w:val="000000"/>
            </w:rPr>
            <w:t>CEDAW/C/74/1</w:t>
          </w:r>
          <w:r>
            <w:rPr>
              <w:b/>
              <w:color w:val="000000"/>
            </w:rPr>
            <w:fldChar w:fldCharType="end"/>
          </w:r>
        </w:p>
      </w:tc>
      <w:tc>
        <w:tcPr>
          <w:tcW w:w="4920" w:type="dxa"/>
          <w:shd w:val="clear" w:color="auto" w:fill="auto"/>
          <w:vAlign w:val="bottom"/>
        </w:tcPr>
        <w:p w14:paraId="517DEE80" w14:textId="77777777" w:rsidR="0070633D" w:rsidRDefault="0070633D" w:rsidP="0070633D">
          <w:pPr>
            <w:pStyle w:val="Header"/>
          </w:pPr>
        </w:p>
      </w:tc>
    </w:tr>
  </w:tbl>
  <w:p w14:paraId="3FFDF029" w14:textId="77777777" w:rsidR="0070633D" w:rsidRPr="0070633D" w:rsidRDefault="0070633D" w:rsidP="0070633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70633D" w14:paraId="255A4954" w14:textId="77777777" w:rsidTr="0070633D">
      <w:trPr>
        <w:trHeight w:hRule="exact" w:val="864"/>
      </w:trPr>
      <w:tc>
        <w:tcPr>
          <w:tcW w:w="4939" w:type="dxa"/>
          <w:shd w:val="clear" w:color="auto" w:fill="auto"/>
          <w:vAlign w:val="bottom"/>
        </w:tcPr>
        <w:p w14:paraId="0B8E3163" w14:textId="77777777" w:rsidR="0070633D" w:rsidRDefault="0070633D" w:rsidP="0070633D">
          <w:pPr>
            <w:pStyle w:val="Header"/>
          </w:pPr>
        </w:p>
      </w:tc>
      <w:tc>
        <w:tcPr>
          <w:tcW w:w="4920" w:type="dxa"/>
          <w:shd w:val="clear" w:color="auto" w:fill="auto"/>
          <w:vAlign w:val="bottom"/>
        </w:tcPr>
        <w:p w14:paraId="6909504B" w14:textId="52B179A0" w:rsidR="0070633D" w:rsidRPr="0070633D" w:rsidRDefault="0070633D" w:rsidP="0070633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6DAC">
            <w:rPr>
              <w:b/>
              <w:color w:val="000000"/>
            </w:rPr>
            <w:t>CEDAW/C/74/1</w:t>
          </w:r>
          <w:r>
            <w:rPr>
              <w:b/>
              <w:color w:val="000000"/>
            </w:rPr>
            <w:fldChar w:fldCharType="end"/>
          </w:r>
        </w:p>
      </w:tc>
    </w:tr>
  </w:tbl>
  <w:p w14:paraId="13BBED91" w14:textId="77777777" w:rsidR="0070633D" w:rsidRPr="0070633D" w:rsidRDefault="0070633D" w:rsidP="0070633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0633D" w14:paraId="21B52FA2" w14:textId="77777777" w:rsidTr="0070633D">
      <w:trPr>
        <w:gridAfter w:val="1"/>
        <w:wAfter w:w="15" w:type="dxa"/>
        <w:trHeight w:hRule="exact" w:val="864"/>
      </w:trPr>
      <w:tc>
        <w:tcPr>
          <w:tcW w:w="1267" w:type="dxa"/>
          <w:tcBorders>
            <w:bottom w:val="single" w:sz="4" w:space="0" w:color="auto"/>
          </w:tcBorders>
          <w:shd w:val="clear" w:color="auto" w:fill="auto"/>
          <w:vAlign w:val="bottom"/>
        </w:tcPr>
        <w:p w14:paraId="55EBBB2C" w14:textId="77777777" w:rsidR="0070633D" w:rsidRDefault="0070633D" w:rsidP="0070633D">
          <w:pPr>
            <w:pStyle w:val="Header"/>
            <w:spacing w:after="120"/>
          </w:pPr>
        </w:p>
      </w:tc>
      <w:tc>
        <w:tcPr>
          <w:tcW w:w="2059" w:type="dxa"/>
          <w:tcBorders>
            <w:bottom w:val="single" w:sz="4" w:space="0" w:color="auto"/>
          </w:tcBorders>
          <w:shd w:val="clear" w:color="auto" w:fill="auto"/>
          <w:vAlign w:val="bottom"/>
        </w:tcPr>
        <w:p w14:paraId="4F7863BF" w14:textId="77777777" w:rsidR="0070633D" w:rsidRPr="0070633D" w:rsidRDefault="0070633D" w:rsidP="0070633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976B48" w14:textId="77777777" w:rsidR="0070633D" w:rsidRDefault="0070633D" w:rsidP="0070633D">
          <w:pPr>
            <w:pStyle w:val="Header"/>
            <w:spacing w:after="120"/>
          </w:pPr>
        </w:p>
      </w:tc>
      <w:tc>
        <w:tcPr>
          <w:tcW w:w="6480" w:type="dxa"/>
          <w:gridSpan w:val="3"/>
          <w:tcBorders>
            <w:bottom w:val="single" w:sz="4" w:space="0" w:color="auto"/>
          </w:tcBorders>
          <w:shd w:val="clear" w:color="auto" w:fill="auto"/>
          <w:vAlign w:val="bottom"/>
        </w:tcPr>
        <w:p w14:paraId="43FB7B47" w14:textId="77777777" w:rsidR="0070633D" w:rsidRPr="0070633D" w:rsidRDefault="0070633D" w:rsidP="0070633D">
          <w:pPr>
            <w:spacing w:after="80" w:line="240" w:lineRule="auto"/>
            <w:jc w:val="right"/>
            <w:rPr>
              <w:position w:val="-4"/>
            </w:rPr>
          </w:pPr>
          <w:r>
            <w:rPr>
              <w:position w:val="-4"/>
              <w:sz w:val="40"/>
            </w:rPr>
            <w:t>CEDAW</w:t>
          </w:r>
          <w:r>
            <w:rPr>
              <w:position w:val="-4"/>
            </w:rPr>
            <w:t>/C/74/1</w:t>
          </w:r>
        </w:p>
      </w:tc>
    </w:tr>
    <w:tr w:rsidR="0070633D" w:rsidRPr="0070633D" w14:paraId="4D841A2A" w14:textId="77777777" w:rsidTr="0070633D">
      <w:trPr>
        <w:trHeight w:hRule="exact" w:val="2880"/>
      </w:trPr>
      <w:tc>
        <w:tcPr>
          <w:tcW w:w="1267" w:type="dxa"/>
          <w:tcBorders>
            <w:top w:val="single" w:sz="4" w:space="0" w:color="auto"/>
            <w:bottom w:val="single" w:sz="12" w:space="0" w:color="auto"/>
          </w:tcBorders>
          <w:shd w:val="clear" w:color="auto" w:fill="auto"/>
        </w:tcPr>
        <w:p w14:paraId="3EF10F5A" w14:textId="77777777" w:rsidR="0070633D" w:rsidRPr="0070633D" w:rsidRDefault="0070633D" w:rsidP="0070633D">
          <w:pPr>
            <w:pStyle w:val="Header"/>
            <w:spacing w:before="120"/>
            <w:jc w:val="center"/>
          </w:pPr>
          <w:r>
            <w:t xml:space="preserve"> </w:t>
          </w:r>
          <w:r>
            <w:drawing>
              <wp:inline distT="0" distB="0" distL="0" distR="0" wp14:anchorId="2E46BE2B" wp14:editId="6AFA36D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E6BDB2" w14:textId="77777777" w:rsidR="0070633D" w:rsidRPr="0070633D" w:rsidRDefault="0070633D" w:rsidP="0070633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F0832DF" w14:textId="77777777" w:rsidR="0070633D" w:rsidRPr="00D97DD1" w:rsidRDefault="0070633D" w:rsidP="0070633D">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289493B8" w14:textId="77777777" w:rsidR="0070633D" w:rsidRDefault="0070633D" w:rsidP="0070633D">
          <w:pPr>
            <w:pStyle w:val="Distribution"/>
            <w:spacing w:before="240"/>
          </w:pPr>
          <w:r>
            <w:t>Distr. general</w:t>
          </w:r>
        </w:p>
        <w:p w14:paraId="66F3B350" w14:textId="77777777" w:rsidR="0070633D" w:rsidRDefault="0070633D" w:rsidP="0070633D">
          <w:pPr>
            <w:pStyle w:val="Publication"/>
          </w:pPr>
          <w:r>
            <w:t>26 de agosto de 2019</w:t>
          </w:r>
        </w:p>
        <w:p w14:paraId="4A007BD9" w14:textId="77777777" w:rsidR="00C2135C" w:rsidRDefault="00C2135C" w:rsidP="0070633D">
          <w:pPr>
            <w:pStyle w:val="Original"/>
          </w:pPr>
        </w:p>
        <w:p w14:paraId="724C4382" w14:textId="78B4C542" w:rsidR="0070633D" w:rsidRDefault="0070633D" w:rsidP="0070633D">
          <w:pPr>
            <w:pStyle w:val="Original"/>
          </w:pPr>
          <w:r>
            <w:t>Original: inglés</w:t>
          </w:r>
        </w:p>
        <w:p w14:paraId="6B650CD9" w14:textId="3246E395" w:rsidR="00D97DD1" w:rsidRDefault="00D97DD1" w:rsidP="00D97DD1">
          <w:r>
            <w:t>Español, francés e inglés únicamente</w:t>
          </w:r>
        </w:p>
        <w:p w14:paraId="72C6BE6C" w14:textId="77777777" w:rsidR="0070633D" w:rsidRPr="0070633D" w:rsidRDefault="0070633D" w:rsidP="0070633D"/>
      </w:tc>
    </w:tr>
  </w:tbl>
  <w:p w14:paraId="5FEC8A82" w14:textId="77777777" w:rsidR="0070633D" w:rsidRPr="00D97DD1" w:rsidRDefault="0070633D" w:rsidP="0070633D">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F232F7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6296AF4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13805C5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5D9A64A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449*"/>
    <w:docVar w:name="CreationDt" w:val="28/08/2019 4:32: PM"/>
    <w:docVar w:name="DocCategory" w:val="Doc"/>
    <w:docVar w:name="DocType" w:val="Final"/>
    <w:docVar w:name="DutyStation" w:val="New York"/>
    <w:docVar w:name="FooterJN" w:val="19-14449"/>
    <w:docVar w:name="jobn" w:val="19-14449 (S)"/>
    <w:docVar w:name="jobnDT" w:val="19-14449 (S)   280819"/>
    <w:docVar w:name="jobnDTDT" w:val="19-14449 (S)   280819   280819"/>
    <w:docVar w:name="JobNo" w:val="1914449S"/>
    <w:docVar w:name="JobNo2" w:val="19262254:32: PM"/>
    <w:docVar w:name="LocalDrive" w:val="0"/>
    <w:docVar w:name="OandT" w:val="EF/Rosario Fernández"/>
    <w:docVar w:name="sss1" w:val="CEDAW/C/74/1"/>
    <w:docVar w:name="sss2" w:val="-"/>
    <w:docVar w:name="Symbol1" w:val="CEDAW/C/74/1"/>
    <w:docVar w:name="Symbol2" w:val="-"/>
  </w:docVars>
  <w:rsids>
    <w:rsidRoot w:val="00716FF4"/>
    <w:rsid w:val="00004CE4"/>
    <w:rsid w:val="00011A3D"/>
    <w:rsid w:val="00017FCF"/>
    <w:rsid w:val="00024D1E"/>
    <w:rsid w:val="00065018"/>
    <w:rsid w:val="00083DDC"/>
    <w:rsid w:val="000A207D"/>
    <w:rsid w:val="000C4C9C"/>
    <w:rsid w:val="000F5173"/>
    <w:rsid w:val="00103408"/>
    <w:rsid w:val="00104B4D"/>
    <w:rsid w:val="0011115C"/>
    <w:rsid w:val="00112F3F"/>
    <w:rsid w:val="001263EE"/>
    <w:rsid w:val="001609EA"/>
    <w:rsid w:val="001F0FB0"/>
    <w:rsid w:val="00214645"/>
    <w:rsid w:val="002465B2"/>
    <w:rsid w:val="002540F2"/>
    <w:rsid w:val="00261009"/>
    <w:rsid w:val="00262329"/>
    <w:rsid w:val="002706A2"/>
    <w:rsid w:val="00276296"/>
    <w:rsid w:val="00291300"/>
    <w:rsid w:val="002D7494"/>
    <w:rsid w:val="00300BF5"/>
    <w:rsid w:val="00336672"/>
    <w:rsid w:val="00347582"/>
    <w:rsid w:val="003C5E36"/>
    <w:rsid w:val="003D411A"/>
    <w:rsid w:val="003E3B08"/>
    <w:rsid w:val="003E723B"/>
    <w:rsid w:val="003F1B03"/>
    <w:rsid w:val="00416937"/>
    <w:rsid w:val="00420B10"/>
    <w:rsid w:val="00426D65"/>
    <w:rsid w:val="0044179B"/>
    <w:rsid w:val="00467A8D"/>
    <w:rsid w:val="004B4C46"/>
    <w:rsid w:val="004B78EA"/>
    <w:rsid w:val="004D17DB"/>
    <w:rsid w:val="004E0B22"/>
    <w:rsid w:val="004F6D57"/>
    <w:rsid w:val="0054233B"/>
    <w:rsid w:val="0055645B"/>
    <w:rsid w:val="00556720"/>
    <w:rsid w:val="00556C0B"/>
    <w:rsid w:val="00581DE8"/>
    <w:rsid w:val="005832B1"/>
    <w:rsid w:val="00583D31"/>
    <w:rsid w:val="00596DAC"/>
    <w:rsid w:val="005B6F9A"/>
    <w:rsid w:val="005C49C8"/>
    <w:rsid w:val="005D089B"/>
    <w:rsid w:val="005E363E"/>
    <w:rsid w:val="00630929"/>
    <w:rsid w:val="00636682"/>
    <w:rsid w:val="00654664"/>
    <w:rsid w:val="00674235"/>
    <w:rsid w:val="00676152"/>
    <w:rsid w:val="00685CEB"/>
    <w:rsid w:val="006B5482"/>
    <w:rsid w:val="006B63BE"/>
    <w:rsid w:val="006E2E3D"/>
    <w:rsid w:val="007045E0"/>
    <w:rsid w:val="00704A9E"/>
    <w:rsid w:val="0070633D"/>
    <w:rsid w:val="00711AD0"/>
    <w:rsid w:val="00716FF4"/>
    <w:rsid w:val="00763035"/>
    <w:rsid w:val="00767660"/>
    <w:rsid w:val="007B72AE"/>
    <w:rsid w:val="007C5E21"/>
    <w:rsid w:val="007E4C0E"/>
    <w:rsid w:val="008350F0"/>
    <w:rsid w:val="00855FFA"/>
    <w:rsid w:val="008723C3"/>
    <w:rsid w:val="00884107"/>
    <w:rsid w:val="00885C07"/>
    <w:rsid w:val="008F3E1E"/>
    <w:rsid w:val="008F5C2D"/>
    <w:rsid w:val="00903E99"/>
    <w:rsid w:val="00926813"/>
    <w:rsid w:val="009457D2"/>
    <w:rsid w:val="00953F5E"/>
    <w:rsid w:val="00961E14"/>
    <w:rsid w:val="00962E22"/>
    <w:rsid w:val="009A3059"/>
    <w:rsid w:val="009A586B"/>
    <w:rsid w:val="009B0939"/>
    <w:rsid w:val="009E1969"/>
    <w:rsid w:val="009E1F09"/>
    <w:rsid w:val="00A00C93"/>
    <w:rsid w:val="00A20AC0"/>
    <w:rsid w:val="00A24B4E"/>
    <w:rsid w:val="00A442E3"/>
    <w:rsid w:val="00A458DD"/>
    <w:rsid w:val="00A8524E"/>
    <w:rsid w:val="00A966CD"/>
    <w:rsid w:val="00AF38EB"/>
    <w:rsid w:val="00B40947"/>
    <w:rsid w:val="00B53453"/>
    <w:rsid w:val="00B565FD"/>
    <w:rsid w:val="00B66538"/>
    <w:rsid w:val="00B76E71"/>
    <w:rsid w:val="00B770EC"/>
    <w:rsid w:val="00B9425A"/>
    <w:rsid w:val="00B94483"/>
    <w:rsid w:val="00B95B84"/>
    <w:rsid w:val="00B9620C"/>
    <w:rsid w:val="00BB778A"/>
    <w:rsid w:val="00BE3FD4"/>
    <w:rsid w:val="00BF5B27"/>
    <w:rsid w:val="00BF6BE0"/>
    <w:rsid w:val="00C02934"/>
    <w:rsid w:val="00C04769"/>
    <w:rsid w:val="00C2135C"/>
    <w:rsid w:val="00C51F1D"/>
    <w:rsid w:val="00C6769D"/>
    <w:rsid w:val="00C779E4"/>
    <w:rsid w:val="00C93633"/>
    <w:rsid w:val="00CA0E8B"/>
    <w:rsid w:val="00D0323F"/>
    <w:rsid w:val="00D15D85"/>
    <w:rsid w:val="00D22E7C"/>
    <w:rsid w:val="00D55FE1"/>
    <w:rsid w:val="00D75DA8"/>
    <w:rsid w:val="00D97DD1"/>
    <w:rsid w:val="00DA119C"/>
    <w:rsid w:val="00DA70EB"/>
    <w:rsid w:val="00DC7B16"/>
    <w:rsid w:val="00DE3104"/>
    <w:rsid w:val="00DE6B6E"/>
    <w:rsid w:val="00DE728F"/>
    <w:rsid w:val="00DF34AE"/>
    <w:rsid w:val="00E33AEC"/>
    <w:rsid w:val="00E445F9"/>
    <w:rsid w:val="00E66A74"/>
    <w:rsid w:val="00E74018"/>
    <w:rsid w:val="00E74D4B"/>
    <w:rsid w:val="00E7541B"/>
    <w:rsid w:val="00EB15C9"/>
    <w:rsid w:val="00EB7DA1"/>
    <w:rsid w:val="00EC5336"/>
    <w:rsid w:val="00EC6195"/>
    <w:rsid w:val="00EE5E64"/>
    <w:rsid w:val="00F25285"/>
    <w:rsid w:val="00F27BF6"/>
    <w:rsid w:val="00F30184"/>
    <w:rsid w:val="00F31052"/>
    <w:rsid w:val="00F32866"/>
    <w:rsid w:val="00F41482"/>
    <w:rsid w:val="00F5593E"/>
    <w:rsid w:val="00F762C0"/>
    <w:rsid w:val="00F94BC6"/>
    <w:rsid w:val="00FA0EFB"/>
    <w:rsid w:val="00FC3BDA"/>
    <w:rsid w:val="00FC7C3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2F6ACE5"/>
  <w15:chartTrackingRefBased/>
  <w15:docId w15:val="{99572796-48A1-4944-8F4E-62B7A3A9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3E9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03E9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03E99"/>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03E99"/>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903E99"/>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903E99"/>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903E99"/>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03E99"/>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03E99"/>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03E99"/>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903E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903E99"/>
    <w:pPr>
      <w:keepNext/>
      <w:keepLines/>
      <w:spacing w:line="270" w:lineRule="exact"/>
      <w:outlineLvl w:val="0"/>
    </w:pPr>
    <w:rPr>
      <w:b/>
      <w:kern w:val="14"/>
      <w:sz w:val="24"/>
    </w:rPr>
  </w:style>
  <w:style w:type="paragraph" w:customStyle="1" w:styleId="HCh">
    <w:name w:val="_ H _Ch"/>
    <w:basedOn w:val="H1"/>
    <w:next w:val="Normal"/>
    <w:qFormat/>
    <w:rsid w:val="00903E99"/>
    <w:pPr>
      <w:spacing w:line="300" w:lineRule="exact"/>
    </w:pPr>
    <w:rPr>
      <w:spacing w:val="-2"/>
      <w:sz w:val="28"/>
    </w:rPr>
  </w:style>
  <w:style w:type="paragraph" w:customStyle="1" w:styleId="HM">
    <w:name w:val="_ H __M"/>
    <w:basedOn w:val="HCh"/>
    <w:next w:val="Normal"/>
    <w:qFormat/>
    <w:rsid w:val="00903E99"/>
    <w:pPr>
      <w:spacing w:line="360" w:lineRule="exact"/>
    </w:pPr>
    <w:rPr>
      <w:spacing w:val="-3"/>
      <w:w w:val="99"/>
      <w:sz w:val="34"/>
    </w:rPr>
  </w:style>
  <w:style w:type="paragraph" w:customStyle="1" w:styleId="H23">
    <w:name w:val="_ H_2/3"/>
    <w:basedOn w:val="H1"/>
    <w:next w:val="Normal"/>
    <w:qFormat/>
    <w:rsid w:val="00903E99"/>
    <w:pPr>
      <w:spacing w:line="240" w:lineRule="exact"/>
      <w:outlineLvl w:val="1"/>
    </w:pPr>
    <w:rPr>
      <w:spacing w:val="2"/>
      <w:sz w:val="20"/>
    </w:rPr>
  </w:style>
  <w:style w:type="paragraph" w:customStyle="1" w:styleId="H4">
    <w:name w:val="_ H_4"/>
    <w:basedOn w:val="Normal"/>
    <w:next w:val="Normal"/>
    <w:qFormat/>
    <w:rsid w:val="00903E99"/>
    <w:pPr>
      <w:keepNext/>
      <w:keepLines/>
      <w:tabs>
        <w:tab w:val="right" w:pos="360"/>
      </w:tabs>
      <w:outlineLvl w:val="3"/>
    </w:pPr>
    <w:rPr>
      <w:i/>
      <w:spacing w:val="3"/>
      <w:kern w:val="14"/>
    </w:rPr>
  </w:style>
  <w:style w:type="paragraph" w:customStyle="1" w:styleId="H56">
    <w:name w:val="_ H_5/6"/>
    <w:basedOn w:val="Normal"/>
    <w:next w:val="Normal"/>
    <w:qFormat/>
    <w:rsid w:val="00903E99"/>
    <w:pPr>
      <w:keepNext/>
      <w:keepLines/>
      <w:tabs>
        <w:tab w:val="right" w:pos="360"/>
      </w:tabs>
      <w:outlineLvl w:val="4"/>
    </w:pPr>
    <w:rPr>
      <w:kern w:val="14"/>
    </w:rPr>
  </w:style>
  <w:style w:type="paragraph" w:customStyle="1" w:styleId="DualTxt">
    <w:name w:val="__Dual Txt"/>
    <w:basedOn w:val="Normal"/>
    <w:qFormat/>
    <w:rsid w:val="00903E9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03E9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03E99"/>
    <w:pPr>
      <w:spacing w:line="540" w:lineRule="exact"/>
    </w:pPr>
    <w:rPr>
      <w:spacing w:val="-8"/>
      <w:w w:val="96"/>
      <w:sz w:val="57"/>
    </w:rPr>
  </w:style>
  <w:style w:type="paragraph" w:customStyle="1" w:styleId="SS">
    <w:name w:val="__S_S"/>
    <w:basedOn w:val="HCh"/>
    <w:next w:val="Normal"/>
    <w:qFormat/>
    <w:rsid w:val="00903E99"/>
    <w:pPr>
      <w:ind w:left="1267" w:right="1267"/>
    </w:pPr>
  </w:style>
  <w:style w:type="paragraph" w:customStyle="1" w:styleId="SingleTxt">
    <w:name w:val="__Single Txt"/>
    <w:basedOn w:val="Normal"/>
    <w:qFormat/>
    <w:rsid w:val="00903E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03E9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03E9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903E9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03E99"/>
    <w:rPr>
      <w:rFonts w:ascii="Tahoma" w:hAnsi="Tahoma" w:cs="Tahoma"/>
      <w:sz w:val="16"/>
      <w:szCs w:val="16"/>
    </w:rPr>
  </w:style>
  <w:style w:type="character" w:customStyle="1" w:styleId="BalloonTextChar">
    <w:name w:val="Balloon Text Char"/>
    <w:basedOn w:val="DefaultParagraphFont"/>
    <w:link w:val="BalloonText"/>
    <w:semiHidden/>
    <w:rsid w:val="00903E99"/>
    <w:rPr>
      <w:rFonts w:ascii="Tahoma" w:eastAsiaTheme="minorHAnsi" w:hAnsi="Tahoma" w:cs="Tahoma"/>
      <w:spacing w:val="4"/>
      <w:w w:val="103"/>
      <w:sz w:val="16"/>
      <w:szCs w:val="16"/>
      <w:lang w:val="es-ES" w:eastAsia="en-US"/>
    </w:rPr>
  </w:style>
  <w:style w:type="paragraph" w:customStyle="1" w:styleId="Bullet1">
    <w:name w:val="Bullet 1"/>
    <w:basedOn w:val="Normal"/>
    <w:qFormat/>
    <w:rsid w:val="00903E99"/>
    <w:pPr>
      <w:numPr>
        <w:numId w:val="17"/>
      </w:numPr>
      <w:spacing w:after="120"/>
      <w:ind w:right="1264"/>
      <w:jc w:val="both"/>
    </w:pPr>
  </w:style>
  <w:style w:type="paragraph" w:customStyle="1" w:styleId="Bullet2">
    <w:name w:val="Bullet 2"/>
    <w:basedOn w:val="Normal"/>
    <w:qFormat/>
    <w:rsid w:val="00903E99"/>
    <w:pPr>
      <w:numPr>
        <w:numId w:val="18"/>
      </w:numPr>
      <w:spacing w:after="120"/>
      <w:ind w:right="1264"/>
      <w:jc w:val="both"/>
    </w:pPr>
  </w:style>
  <w:style w:type="paragraph" w:customStyle="1" w:styleId="Bullet3">
    <w:name w:val="Bullet 3"/>
    <w:basedOn w:val="SingleTxt"/>
    <w:qFormat/>
    <w:rsid w:val="00903E9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903E99"/>
    <w:pPr>
      <w:spacing w:line="240" w:lineRule="auto"/>
    </w:pPr>
    <w:rPr>
      <w:b/>
      <w:bCs/>
      <w:color w:val="4F81BD"/>
      <w:sz w:val="18"/>
      <w:szCs w:val="18"/>
    </w:rPr>
  </w:style>
  <w:style w:type="character" w:styleId="CommentReference">
    <w:name w:val="annotation reference"/>
    <w:semiHidden/>
    <w:rsid w:val="00903E99"/>
    <w:rPr>
      <w:sz w:val="6"/>
    </w:rPr>
  </w:style>
  <w:style w:type="paragraph" w:customStyle="1" w:styleId="Distribution">
    <w:name w:val="Distribution"/>
    <w:next w:val="Normal"/>
    <w:autoRedefine/>
    <w:qFormat/>
    <w:rsid w:val="00903E9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03E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03E9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903E99"/>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903E99"/>
    <w:pPr>
      <w:spacing w:after="80"/>
    </w:pPr>
  </w:style>
  <w:style w:type="character" w:customStyle="1" w:styleId="EndnoteTextChar">
    <w:name w:val="Endnote Text Char"/>
    <w:basedOn w:val="DefaultParagraphFont"/>
    <w:link w:val="EndnoteText"/>
    <w:semiHidden/>
    <w:rsid w:val="00903E99"/>
    <w:rPr>
      <w:rFonts w:ascii="Times New Roman" w:eastAsiaTheme="minorHAnsi" w:hAnsi="Times New Roman" w:cs="Times New Roman"/>
      <w:spacing w:val="5"/>
      <w:w w:val="104"/>
      <w:sz w:val="17"/>
      <w:lang w:val="es-ES" w:eastAsia="en-US"/>
    </w:rPr>
  </w:style>
  <w:style w:type="paragraph" w:styleId="Footer">
    <w:name w:val="footer"/>
    <w:link w:val="FooterChar"/>
    <w:qFormat/>
    <w:rsid w:val="00903E9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03E99"/>
    <w:rPr>
      <w:rFonts w:ascii="Times New Roman" w:eastAsiaTheme="minorHAnsi" w:hAnsi="Times New Roman" w:cs="Times New Roman"/>
      <w:b/>
      <w:noProof/>
      <w:sz w:val="17"/>
      <w:lang w:val="en-US" w:eastAsia="en-US"/>
    </w:rPr>
  </w:style>
  <w:style w:type="character" w:styleId="FootnoteReference">
    <w:name w:val="footnote reference"/>
    <w:semiHidden/>
    <w:rsid w:val="00903E9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903E9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03E9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03E99"/>
    <w:pPr>
      <w:spacing w:before="240"/>
    </w:pPr>
    <w:rPr>
      <w:b/>
      <w:spacing w:val="-2"/>
      <w:w w:val="100"/>
    </w:rPr>
  </w:style>
  <w:style w:type="paragraph" w:customStyle="1" w:styleId="HdChapterBdLg">
    <w:name w:val="Hd Chapter Bd Lg"/>
    <w:basedOn w:val="HdChapterBD"/>
    <w:next w:val="Normal"/>
    <w:qFormat/>
    <w:rsid w:val="00903E99"/>
    <w:rPr>
      <w:spacing w:val="-3"/>
      <w:w w:val="99"/>
      <w:kern w:val="14"/>
      <w:sz w:val="34"/>
      <w:szCs w:val="34"/>
    </w:rPr>
  </w:style>
  <w:style w:type="paragraph" w:styleId="Header">
    <w:name w:val="header"/>
    <w:link w:val="HeaderChar"/>
    <w:qFormat/>
    <w:rsid w:val="00903E9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903E9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03E9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03E9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03E9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903E9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903E9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903E9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03E9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03E9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03E9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903E99"/>
    <w:pPr>
      <w:keepNext/>
      <w:spacing w:before="190" w:line="270" w:lineRule="exact"/>
    </w:pPr>
    <w:rPr>
      <w:b/>
      <w:kern w:val="14"/>
      <w:sz w:val="24"/>
    </w:rPr>
  </w:style>
  <w:style w:type="paragraph" w:customStyle="1" w:styleId="JournalHeading2">
    <w:name w:val="Journal_Heading2"/>
    <w:basedOn w:val="Normal"/>
    <w:next w:val="Normal"/>
    <w:qFormat/>
    <w:rsid w:val="00903E99"/>
    <w:pPr>
      <w:keepNext/>
      <w:keepLines/>
      <w:spacing w:before="240"/>
      <w:outlineLvl w:val="1"/>
    </w:pPr>
    <w:rPr>
      <w:b/>
      <w:spacing w:val="2"/>
      <w:kern w:val="14"/>
    </w:rPr>
  </w:style>
  <w:style w:type="paragraph" w:customStyle="1" w:styleId="JournalHeading4">
    <w:name w:val="Journal_Heading4"/>
    <w:basedOn w:val="Normal"/>
    <w:next w:val="Normal"/>
    <w:qFormat/>
    <w:rsid w:val="00903E99"/>
    <w:pPr>
      <w:keepNext/>
      <w:keepLines/>
      <w:spacing w:before="240"/>
      <w:outlineLvl w:val="3"/>
    </w:pPr>
    <w:rPr>
      <w:i/>
      <w:kern w:val="14"/>
    </w:rPr>
  </w:style>
  <w:style w:type="character" w:styleId="LineNumber">
    <w:name w:val="line number"/>
    <w:qFormat/>
    <w:rsid w:val="00903E99"/>
    <w:rPr>
      <w:sz w:val="14"/>
    </w:rPr>
  </w:style>
  <w:style w:type="paragraph" w:styleId="NoSpacing">
    <w:name w:val="No Spacing"/>
    <w:basedOn w:val="Normal"/>
    <w:uiPriority w:val="1"/>
    <w:rsid w:val="00903E99"/>
    <w:pPr>
      <w:spacing w:line="240" w:lineRule="auto"/>
    </w:pPr>
  </w:style>
  <w:style w:type="paragraph" w:customStyle="1" w:styleId="NormalBullet">
    <w:name w:val="Normal Bullet"/>
    <w:basedOn w:val="Normal"/>
    <w:next w:val="Normal"/>
    <w:qFormat/>
    <w:rsid w:val="00903E99"/>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903E99"/>
    <w:pPr>
      <w:tabs>
        <w:tab w:val="left" w:leader="dot" w:pos="2218"/>
        <w:tab w:val="left" w:pos="2707"/>
        <w:tab w:val="right" w:leader="dot" w:pos="9835"/>
      </w:tabs>
    </w:pPr>
    <w:rPr>
      <w:kern w:val="14"/>
    </w:rPr>
  </w:style>
  <w:style w:type="paragraph" w:customStyle="1" w:styleId="Original">
    <w:name w:val="Original"/>
    <w:next w:val="Normal"/>
    <w:autoRedefine/>
    <w:qFormat/>
    <w:rsid w:val="00903E9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03E9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903E9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903E99"/>
    <w:pPr>
      <w:tabs>
        <w:tab w:val="right" w:pos="9965"/>
      </w:tabs>
      <w:spacing w:line="210" w:lineRule="exact"/>
    </w:pPr>
    <w:rPr>
      <w:spacing w:val="5"/>
      <w:w w:val="104"/>
      <w:kern w:val="14"/>
      <w:sz w:val="17"/>
    </w:rPr>
  </w:style>
  <w:style w:type="paragraph" w:customStyle="1" w:styleId="SmallX">
    <w:name w:val="SmallX"/>
    <w:basedOn w:val="Small"/>
    <w:next w:val="Normal"/>
    <w:qFormat/>
    <w:rsid w:val="00903E99"/>
    <w:pPr>
      <w:spacing w:line="180" w:lineRule="exact"/>
      <w:jc w:val="right"/>
    </w:pPr>
    <w:rPr>
      <w:spacing w:val="6"/>
      <w:w w:val="106"/>
      <w:sz w:val="14"/>
    </w:rPr>
  </w:style>
  <w:style w:type="paragraph" w:customStyle="1" w:styleId="TitleHCH">
    <w:name w:val="Title_H_CH"/>
    <w:basedOn w:val="HCh"/>
    <w:next w:val="SingleTxt"/>
    <w:qFormat/>
    <w:rsid w:val="00903E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03E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903E99"/>
    <w:pPr>
      <w:outlineLvl w:val="9"/>
    </w:pPr>
    <w:rPr>
      <w:rFonts w:eastAsiaTheme="majorEastAsia" w:cstheme="majorBidi"/>
      <w:lang w:bidi="en-US"/>
    </w:rPr>
  </w:style>
  <w:style w:type="paragraph" w:customStyle="1" w:styleId="XLarge">
    <w:name w:val="XLarge"/>
    <w:basedOn w:val="HM"/>
    <w:qFormat/>
    <w:rsid w:val="00903E99"/>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70633D"/>
    <w:pPr>
      <w:spacing w:line="240" w:lineRule="auto"/>
    </w:pPr>
    <w:rPr>
      <w:szCs w:val="20"/>
    </w:rPr>
  </w:style>
  <w:style w:type="character" w:customStyle="1" w:styleId="CommentTextChar">
    <w:name w:val="Comment Text Char"/>
    <w:basedOn w:val="DefaultParagraphFont"/>
    <w:link w:val="CommentText"/>
    <w:uiPriority w:val="99"/>
    <w:semiHidden/>
    <w:rsid w:val="0070633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0633D"/>
    <w:rPr>
      <w:b/>
      <w:bCs/>
    </w:rPr>
  </w:style>
  <w:style w:type="character" w:customStyle="1" w:styleId="CommentSubjectChar">
    <w:name w:val="Comment Subject Char"/>
    <w:basedOn w:val="CommentTextChar"/>
    <w:link w:val="CommentSubject"/>
    <w:uiPriority w:val="99"/>
    <w:semiHidden/>
    <w:rsid w:val="0070633D"/>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97DD1"/>
    <w:rPr>
      <w:color w:val="0000FF"/>
      <w:u w:val="none"/>
    </w:rPr>
  </w:style>
  <w:style w:type="character" w:styleId="FollowedHyperlink">
    <w:name w:val="FollowedHyperlink"/>
    <w:basedOn w:val="DefaultParagraphFont"/>
    <w:uiPriority w:val="99"/>
    <w:semiHidden/>
    <w:unhideWhenUsed/>
    <w:rsid w:val="00D97DD1"/>
    <w:rPr>
      <w:color w:val="0000FF"/>
      <w:u w:val="none"/>
    </w:rPr>
  </w:style>
  <w:style w:type="character" w:styleId="UnresolvedMention">
    <w:name w:val="Unresolved Mention"/>
    <w:basedOn w:val="DefaultParagraphFont"/>
    <w:uiPriority w:val="99"/>
    <w:semiHidden/>
    <w:unhideWhenUsed/>
    <w:rsid w:val="00D97D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BIH/6" TargetMode="External"/><Relationship Id="rId26" Type="http://schemas.openxmlformats.org/officeDocument/2006/relationships/hyperlink" Target="https://undocs.org/sp/CEDAW/C/KHM/Q/6"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CEDAW/C/KAZ/5" TargetMode="External"/><Relationship Id="rId34" Type="http://schemas.openxmlformats.org/officeDocument/2006/relationships/hyperlink" Target="https://undocs.org/sp/CEDAW/C/IRQ/Q/7/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AND/4" TargetMode="External"/><Relationship Id="rId25" Type="http://schemas.openxmlformats.org/officeDocument/2006/relationships/hyperlink" Target="https://undocs.org/sp/CEDAW/C/BIH/Q/6" TargetMode="External"/><Relationship Id="rId33" Type="http://schemas.openxmlformats.org/officeDocument/2006/relationships/hyperlink" Target="https://undocs.org/sp/CEDAW/C/KHM/Q/6/Add.1" TargetMode="External"/><Relationship Id="rId38" Type="http://schemas.openxmlformats.org/officeDocument/2006/relationships/hyperlink" Target="https://undocs.org/sp/CEDAW/C/75/1" TargetMode="External"/><Relationship Id="rId2" Type="http://schemas.openxmlformats.org/officeDocument/2006/relationships/styles" Target="styles.xml"/><Relationship Id="rId16" Type="http://schemas.openxmlformats.org/officeDocument/2006/relationships/hyperlink" Target="https://undocs.org/sp/CEDAW/C/PSWG/74/1" TargetMode="External"/><Relationship Id="rId20" Type="http://schemas.openxmlformats.org/officeDocument/2006/relationships/hyperlink" Target="https://undocs.org/sp/CEDAW/C/IRQ/7" TargetMode="External"/><Relationship Id="rId29" Type="http://schemas.openxmlformats.org/officeDocument/2006/relationships/hyperlink" Target="https://undocs.org/sp/CEDAW/C/LTU/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AND/Q/4" TargetMode="External"/><Relationship Id="rId32" Type="http://schemas.openxmlformats.org/officeDocument/2006/relationships/hyperlink" Target="https://undocs.org/sp/CEDAW/C/BIH/Q/6/Add.1" TargetMode="External"/><Relationship Id="rId37" Type="http://schemas.openxmlformats.org/officeDocument/2006/relationships/hyperlink" Target="https://undocs.org/sp/CEDAW/C/SYC/Q/6/Add.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74/1" TargetMode="External"/><Relationship Id="rId23" Type="http://schemas.openxmlformats.org/officeDocument/2006/relationships/hyperlink" Target="https://undocs.org/sp/CEDAW/C/SYC/6" TargetMode="External"/><Relationship Id="rId28" Type="http://schemas.openxmlformats.org/officeDocument/2006/relationships/hyperlink" Target="https://undocs.org/sp/CEDAW/C/KAZ/Q/5" TargetMode="External"/><Relationship Id="rId36" Type="http://schemas.openxmlformats.org/officeDocument/2006/relationships/hyperlink" Target="https://undocs.org/sp/CEDAW/C/LTU/Q/6/Add.1" TargetMode="External"/><Relationship Id="rId10" Type="http://schemas.openxmlformats.org/officeDocument/2006/relationships/footer" Target="footer2.xml"/><Relationship Id="rId19" Type="http://schemas.openxmlformats.org/officeDocument/2006/relationships/hyperlink" Target="https://undocs.org/sp/CEDAW/C/KHM/6" TargetMode="External"/><Relationship Id="rId31" Type="http://schemas.openxmlformats.org/officeDocument/2006/relationships/hyperlink" Target="https://undocs.org/sp/CEDAW/C/AND/Q/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LTU/6" TargetMode="External"/><Relationship Id="rId27" Type="http://schemas.openxmlformats.org/officeDocument/2006/relationships/hyperlink" Target="https://undocs.org/sp/CEDAW/C/IRQ/Q/7" TargetMode="External"/><Relationship Id="rId30" Type="http://schemas.openxmlformats.org/officeDocument/2006/relationships/hyperlink" Target="https://undocs.org/sp/CEDAW/C/SYC/Q/6" TargetMode="External"/><Relationship Id="rId35" Type="http://schemas.openxmlformats.org/officeDocument/2006/relationships/hyperlink" Target="https://undocs.org/sp/CEDAW/C/KAZ/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 Mallqui-Araica</cp:lastModifiedBy>
  <cp:revision>3</cp:revision>
  <cp:lastPrinted>2019-09-03T19:31:00Z</cp:lastPrinted>
  <dcterms:created xsi:type="dcterms:W3CDTF">2019-09-03T19:31:00Z</dcterms:created>
  <dcterms:modified xsi:type="dcterms:W3CDTF">2019-09-03T19:31:00Z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1914449</vt:lpwstr>
  </property>
  <property fmtid="{D5CDD505-2E9C-101B-9397-08002B2CF9AE}" pid="3" name="ODSRefJobNo">
    <vt:lpwstr>1926225</vt:lpwstr>
  </property>
  <property fmtid="{D5CDD505-2E9C-101B-9397-08002B2CF9AE}" pid="4" name="Symbol1">
    <vt:lpwstr>CEDAW/C/74/1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 </vt:lpwstr>
  </property>
  <property fmtid="{D5CDD505-2E9C-101B-9397-08002B2CF9AE}" pid="10" name="Operator">
    <vt:lpwstr>EF</vt:lpwstr>
  </property>
  <property fmtid="{D5CDD505-2E9C-101B-9397-08002B2CF9AE}" pid="11" name="Translator">
    <vt:lpwstr>Rosario Fernández</vt:lpwstr>
  </property>
  <property fmtid="{D5CDD505-2E9C-101B-9397-08002B2CF9AE}" pid="12" name="Release Date">
    <vt:lpwstr>270819</vt:lpwstr>
  </property>
  <property fmtid="{D5CDD505-2E9C-101B-9397-08002B2CF9AE}" pid="13" name="Session">
    <vt:lpwstr>74º período de sesiones_x000d_</vt:lpwstr>
  </property>
  <property fmtid="{D5CDD505-2E9C-101B-9397-08002B2CF9AE}" pid="14" name="Agenda">
    <vt:lpwstr>Tema 2 del programa provisional_x000d_</vt:lpwstr>
  </property>
  <property fmtid="{D5CDD505-2E9C-101B-9397-08002B2CF9AE}" pid="15" name="Agenda Title1">
    <vt:lpwstr>Aprobación del programa y organización de los trabajos_x000d_</vt:lpwstr>
  </property>
  <property fmtid="{D5CDD505-2E9C-101B-9397-08002B2CF9AE}" pid="16" name="Title1">
    <vt:lpwstr>		Programa provisional anotado_x000d_</vt:lpwstr>
  </property>
  <property fmtid="{D5CDD505-2E9C-101B-9397-08002B2CF9AE}" pid="17" name="Title2">
    <vt:lpwstr>		Programa provisional_x000d_</vt:lpwstr>
  </property>
</Properties>
</file>