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492D374" w14:textId="77777777" w:rsidTr="008F3CA0">
        <w:trPr>
          <w:trHeight w:hRule="exact" w:val="851"/>
        </w:trPr>
        <w:tc>
          <w:tcPr>
            <w:tcW w:w="1276" w:type="dxa"/>
            <w:tcBorders>
              <w:bottom w:val="single" w:sz="4" w:space="0" w:color="auto"/>
            </w:tcBorders>
          </w:tcPr>
          <w:p w14:paraId="53BB0F2D" w14:textId="77777777" w:rsidR="000354E9" w:rsidRPr="00DB58B5" w:rsidRDefault="000354E9" w:rsidP="00294CCD"/>
        </w:tc>
        <w:tc>
          <w:tcPr>
            <w:tcW w:w="2268" w:type="dxa"/>
            <w:tcBorders>
              <w:bottom w:val="single" w:sz="4" w:space="0" w:color="auto"/>
            </w:tcBorders>
            <w:vAlign w:val="bottom"/>
          </w:tcPr>
          <w:p w14:paraId="4A42229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34D9C2" w14:textId="4E6CBA81" w:rsidR="000354E9" w:rsidRPr="00DB58B5" w:rsidRDefault="00294CCD" w:rsidP="00294CCD">
            <w:pPr>
              <w:jc w:val="right"/>
            </w:pPr>
            <w:r w:rsidRPr="00294CCD">
              <w:rPr>
                <w:sz w:val="40"/>
              </w:rPr>
              <w:t>CRC</w:t>
            </w:r>
            <w:r>
              <w:t>/C/90/D/42/2018</w:t>
            </w:r>
          </w:p>
        </w:tc>
      </w:tr>
      <w:tr w:rsidR="000354E9" w:rsidRPr="00DB58B5" w14:paraId="26975020" w14:textId="77777777" w:rsidTr="008F3CA0">
        <w:trPr>
          <w:trHeight w:hRule="exact" w:val="2835"/>
        </w:trPr>
        <w:tc>
          <w:tcPr>
            <w:tcW w:w="1276" w:type="dxa"/>
            <w:tcBorders>
              <w:top w:val="single" w:sz="4" w:space="0" w:color="auto"/>
              <w:bottom w:val="single" w:sz="12" w:space="0" w:color="auto"/>
            </w:tcBorders>
          </w:tcPr>
          <w:p w14:paraId="5FC6B2CD" w14:textId="77777777" w:rsidR="000354E9" w:rsidRPr="00DB58B5" w:rsidRDefault="000354E9" w:rsidP="008F3CA0">
            <w:pPr>
              <w:spacing w:before="120"/>
              <w:jc w:val="center"/>
            </w:pPr>
            <w:r>
              <w:rPr>
                <w:noProof/>
                <w:lang w:eastAsia="fr-CH"/>
              </w:rPr>
              <w:drawing>
                <wp:inline distT="0" distB="0" distL="0" distR="0" wp14:anchorId="69F37F70" wp14:editId="3D6CEB7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C63C03" w14:textId="26703658" w:rsidR="000354E9" w:rsidRPr="00740562" w:rsidRDefault="000354E9" w:rsidP="008F3CA0">
            <w:pPr>
              <w:spacing w:before="120" w:line="460" w:lineRule="exact"/>
              <w:rPr>
                <w:b/>
                <w:sz w:val="40"/>
                <w:szCs w:val="40"/>
              </w:rPr>
            </w:pPr>
            <w:r w:rsidRPr="00262665">
              <w:rPr>
                <w:b/>
                <w:sz w:val="40"/>
                <w:szCs w:val="40"/>
              </w:rPr>
              <w:t>Convention relative</w:t>
            </w:r>
            <w:r w:rsidR="00294CCD">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5BDE1D7E" w14:textId="77777777" w:rsidR="000354E9" w:rsidRDefault="00294CCD" w:rsidP="008F3CA0">
            <w:pPr>
              <w:spacing w:before="240"/>
            </w:pPr>
            <w:r>
              <w:t>Distr. générale</w:t>
            </w:r>
          </w:p>
          <w:p w14:paraId="4F1918BD" w14:textId="51E2977D" w:rsidR="00294CCD" w:rsidRDefault="00294CCD" w:rsidP="00294CCD">
            <w:pPr>
              <w:spacing w:line="240" w:lineRule="exact"/>
            </w:pPr>
            <w:r>
              <w:t>30 mai 2023</w:t>
            </w:r>
          </w:p>
          <w:p w14:paraId="4A72F30F" w14:textId="77777777" w:rsidR="00294CCD" w:rsidRDefault="00294CCD" w:rsidP="00294CCD">
            <w:pPr>
              <w:spacing w:line="240" w:lineRule="exact"/>
            </w:pPr>
            <w:r>
              <w:t>Français</w:t>
            </w:r>
          </w:p>
          <w:p w14:paraId="23F91B41" w14:textId="66DCAD35" w:rsidR="00294CCD" w:rsidRPr="00DB58B5" w:rsidRDefault="00294CCD" w:rsidP="00294CCD">
            <w:pPr>
              <w:spacing w:line="240" w:lineRule="exact"/>
            </w:pPr>
            <w:r>
              <w:t>Original : espagnol</w:t>
            </w:r>
          </w:p>
        </w:tc>
      </w:tr>
    </w:tbl>
    <w:p w14:paraId="15E9A85B" w14:textId="77777777" w:rsidR="002D14A3" w:rsidRDefault="002D14A3" w:rsidP="002D14A3">
      <w:pPr>
        <w:spacing w:before="120"/>
        <w:rPr>
          <w:b/>
          <w:sz w:val="24"/>
          <w:szCs w:val="24"/>
        </w:rPr>
      </w:pPr>
      <w:r w:rsidRPr="00DA3BE9">
        <w:rPr>
          <w:b/>
          <w:sz w:val="24"/>
          <w:szCs w:val="24"/>
        </w:rPr>
        <w:t>Comité des droits de l’enfant</w:t>
      </w:r>
    </w:p>
    <w:p w14:paraId="763CA16E" w14:textId="39E190E1" w:rsidR="00294CCD" w:rsidRDefault="00294CCD" w:rsidP="00294CCD">
      <w:pPr>
        <w:pStyle w:val="HChG"/>
      </w:pPr>
      <w:r w:rsidRPr="00294CCD">
        <w:rPr>
          <w:spacing w:val="-3"/>
          <w:lang w:val="fr-FR"/>
        </w:rPr>
        <w:tab/>
      </w:r>
      <w:r w:rsidRPr="00294CCD">
        <w:rPr>
          <w:spacing w:val="-3"/>
          <w:lang w:val="fr-FR"/>
        </w:rPr>
        <w:tab/>
      </w:r>
      <w:r w:rsidRPr="00294CCD">
        <w:rPr>
          <w:spacing w:val="-3"/>
          <w:lang w:val="fr-FR"/>
        </w:rPr>
        <w:t>Décision adoptée par le Comité au titre du Protocole facultatif à la Convention relative aux droits de l’enfant établissant une procédure de présentation de communications,</w:t>
      </w:r>
      <w:r>
        <w:rPr>
          <w:lang w:val="fr-FR"/>
        </w:rPr>
        <w:t xml:space="preserve"> concernant la</w:t>
      </w:r>
      <w:r>
        <w:rPr>
          <w:lang w:val="fr-FR"/>
        </w:rPr>
        <w:t> </w:t>
      </w:r>
      <w:r>
        <w:rPr>
          <w:lang w:val="fr-FR"/>
        </w:rPr>
        <w:t>communication n</w:t>
      </w:r>
      <w:r>
        <w:rPr>
          <w:vertAlign w:val="superscript"/>
          <w:lang w:val="fr-FR"/>
        </w:rPr>
        <w:t>o</w:t>
      </w:r>
      <w:r>
        <w:rPr>
          <w:lang w:val="fr-FR"/>
        </w:rPr>
        <w:t> </w:t>
      </w:r>
      <w:r>
        <w:rPr>
          <w:lang w:val="fr-FR"/>
        </w:rPr>
        <w:t>42/2018</w:t>
      </w:r>
      <w:r w:rsidRPr="00294CCD">
        <w:rPr>
          <w:rStyle w:val="Appelnotedebasdep"/>
          <w:b w:val="0"/>
          <w:bCs/>
          <w:sz w:val="20"/>
          <w:vertAlign w:val="baseline"/>
        </w:rPr>
        <w:footnoteReference w:customMarkFollows="1" w:id="2"/>
        <w:t>*</w:t>
      </w:r>
      <w:r w:rsidRPr="00294CCD">
        <w:rPr>
          <w:rStyle w:val="Appelnotedebasdep"/>
          <w:b w:val="0"/>
          <w:bCs/>
          <w:sz w:val="20"/>
        </w:rPr>
        <w:t>,</w:t>
      </w:r>
      <w:r w:rsidRPr="00294CCD">
        <w:rPr>
          <w:b w:val="0"/>
          <w:bCs/>
          <w:sz w:val="20"/>
          <w:vertAlign w:val="superscript"/>
        </w:rPr>
        <w:t xml:space="preserve"> </w:t>
      </w:r>
      <w:r w:rsidRPr="00294CCD">
        <w:rPr>
          <w:rStyle w:val="Appelnotedebasdep"/>
          <w:b w:val="0"/>
          <w:bCs/>
          <w:sz w:val="20"/>
          <w:vertAlign w:val="baseline"/>
        </w:rPr>
        <w:footnoteReference w:customMarkFollows="1" w:id="3"/>
        <w:t>**</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4253"/>
      </w:tblGrid>
      <w:tr w:rsidR="00294CCD" w14:paraId="504FBD98" w14:textId="77777777">
        <w:tc>
          <w:tcPr>
            <w:tcW w:w="2552" w:type="dxa"/>
          </w:tcPr>
          <w:p w14:paraId="78E2048E" w14:textId="77777777" w:rsidR="00294CCD" w:rsidRDefault="00294CCD">
            <w:pPr>
              <w:pStyle w:val="SingleTxtG"/>
              <w:ind w:left="0" w:right="0"/>
              <w:jc w:val="left"/>
              <w:rPr>
                <w:i/>
              </w:rPr>
            </w:pPr>
            <w:r>
              <w:rPr>
                <w:i/>
              </w:rPr>
              <w:t>Communication soumise par</w:t>
            </w:r>
            <w:r>
              <w:t> :</w:t>
            </w:r>
          </w:p>
        </w:tc>
        <w:tc>
          <w:tcPr>
            <w:tcW w:w="4253" w:type="dxa"/>
          </w:tcPr>
          <w:p w14:paraId="11D5C0BD" w14:textId="6C60ADCA" w:rsidR="00294CCD" w:rsidRDefault="00294CCD">
            <w:pPr>
              <w:pStyle w:val="SingleTxtG"/>
              <w:ind w:left="0" w:right="0"/>
              <w:jc w:val="left"/>
            </w:pPr>
            <w:r>
              <w:rPr>
                <w:lang w:val="fr-FR"/>
              </w:rPr>
              <w:t>M.</w:t>
            </w:r>
            <w:r>
              <w:rPr>
                <w:lang w:val="fr-FR"/>
              </w:rPr>
              <w:t> </w:t>
            </w:r>
            <w:r>
              <w:rPr>
                <w:lang w:val="fr-FR"/>
              </w:rPr>
              <w:t>D. B. (représenté par Francisco Solans Puyuelo)</w:t>
            </w:r>
          </w:p>
        </w:tc>
      </w:tr>
      <w:tr w:rsidR="00294CCD" w14:paraId="3564BB2B" w14:textId="77777777">
        <w:tc>
          <w:tcPr>
            <w:tcW w:w="2552" w:type="dxa"/>
          </w:tcPr>
          <w:p w14:paraId="1E294D22" w14:textId="77777777" w:rsidR="00294CCD" w:rsidRDefault="00294CCD">
            <w:pPr>
              <w:pStyle w:val="SingleTxtG"/>
              <w:ind w:left="0" w:right="0"/>
              <w:jc w:val="left"/>
              <w:rPr>
                <w:i/>
              </w:rPr>
            </w:pPr>
            <w:r>
              <w:rPr>
                <w:i/>
              </w:rPr>
              <w:t>Victime(s) présumée(s)</w:t>
            </w:r>
            <w:r>
              <w:t> :</w:t>
            </w:r>
          </w:p>
        </w:tc>
        <w:tc>
          <w:tcPr>
            <w:tcW w:w="4253" w:type="dxa"/>
          </w:tcPr>
          <w:p w14:paraId="3180CDD2" w14:textId="3F345938" w:rsidR="00294CCD" w:rsidRDefault="00294CCD">
            <w:pPr>
              <w:pStyle w:val="SingleTxtG"/>
              <w:ind w:left="0" w:right="0"/>
              <w:jc w:val="left"/>
            </w:pPr>
            <w:r>
              <w:rPr>
                <w:lang w:val="fr-FR"/>
              </w:rPr>
              <w:t>L’auteur</w:t>
            </w:r>
          </w:p>
        </w:tc>
      </w:tr>
      <w:tr w:rsidR="00294CCD" w14:paraId="598B400E" w14:textId="77777777">
        <w:tc>
          <w:tcPr>
            <w:tcW w:w="2552" w:type="dxa"/>
          </w:tcPr>
          <w:p w14:paraId="746D3E34" w14:textId="77777777" w:rsidR="00294CCD" w:rsidRDefault="00294CCD">
            <w:pPr>
              <w:pStyle w:val="SingleTxtG"/>
              <w:ind w:left="0" w:right="0"/>
              <w:jc w:val="left"/>
              <w:rPr>
                <w:i/>
              </w:rPr>
            </w:pPr>
            <w:r>
              <w:rPr>
                <w:i/>
              </w:rPr>
              <w:t>État partie</w:t>
            </w:r>
            <w:r>
              <w:t> :</w:t>
            </w:r>
          </w:p>
        </w:tc>
        <w:tc>
          <w:tcPr>
            <w:tcW w:w="4253" w:type="dxa"/>
          </w:tcPr>
          <w:p w14:paraId="1DF84C13" w14:textId="0DE0D814" w:rsidR="00294CCD" w:rsidRDefault="00294CCD">
            <w:pPr>
              <w:pStyle w:val="SingleTxtG"/>
              <w:ind w:left="0" w:right="0"/>
              <w:jc w:val="left"/>
            </w:pPr>
            <w:r>
              <w:rPr>
                <w:lang w:val="fr-FR"/>
              </w:rPr>
              <w:t>Espagne</w:t>
            </w:r>
          </w:p>
        </w:tc>
      </w:tr>
      <w:tr w:rsidR="00294CCD" w14:paraId="3396CD92" w14:textId="77777777">
        <w:tc>
          <w:tcPr>
            <w:tcW w:w="2552" w:type="dxa"/>
          </w:tcPr>
          <w:p w14:paraId="4E253A0B" w14:textId="5FD04C95" w:rsidR="00294CCD" w:rsidRDefault="00294CCD">
            <w:pPr>
              <w:pStyle w:val="SingleTxtG"/>
              <w:ind w:left="0" w:right="0"/>
              <w:jc w:val="left"/>
              <w:rPr>
                <w:i/>
              </w:rPr>
            </w:pPr>
            <w:r>
              <w:rPr>
                <w:i/>
              </w:rPr>
              <w:t>Date de la communication</w:t>
            </w:r>
            <w:r>
              <w:t> :</w:t>
            </w:r>
          </w:p>
        </w:tc>
        <w:tc>
          <w:tcPr>
            <w:tcW w:w="4253" w:type="dxa"/>
          </w:tcPr>
          <w:p w14:paraId="0530937D" w14:textId="6D813747" w:rsidR="00294CCD" w:rsidRDefault="00294CCD">
            <w:pPr>
              <w:pStyle w:val="SingleTxtG"/>
              <w:ind w:left="0" w:right="0"/>
              <w:jc w:val="left"/>
            </w:pPr>
            <w:r>
              <w:rPr>
                <w:lang w:val="fr-FR"/>
              </w:rPr>
              <w:t>13</w:t>
            </w:r>
            <w:r>
              <w:rPr>
                <w:lang w:val="fr-FR"/>
              </w:rPr>
              <w:t> </w:t>
            </w:r>
            <w:r>
              <w:rPr>
                <w:lang w:val="fr-FR"/>
              </w:rPr>
              <w:t>février 2018 (date de la lettre initiale)</w:t>
            </w:r>
          </w:p>
        </w:tc>
      </w:tr>
      <w:tr w:rsidR="00294CCD" w14:paraId="2F3AFA87" w14:textId="77777777">
        <w:tc>
          <w:tcPr>
            <w:tcW w:w="2552" w:type="dxa"/>
          </w:tcPr>
          <w:p w14:paraId="3B59257E" w14:textId="632B79DA" w:rsidR="00294CCD" w:rsidRDefault="00294CCD">
            <w:pPr>
              <w:pStyle w:val="SingleTxtG"/>
              <w:ind w:left="0" w:right="0"/>
              <w:jc w:val="left"/>
              <w:rPr>
                <w:i/>
              </w:rPr>
            </w:pPr>
            <w:r>
              <w:rPr>
                <w:i/>
              </w:rPr>
              <w:t>Objet</w:t>
            </w:r>
            <w:r>
              <w:t> :</w:t>
            </w:r>
          </w:p>
        </w:tc>
        <w:tc>
          <w:tcPr>
            <w:tcW w:w="4253" w:type="dxa"/>
            <w:vAlign w:val="bottom"/>
          </w:tcPr>
          <w:p w14:paraId="6600293D" w14:textId="5CFF1A7C" w:rsidR="00294CCD" w:rsidRDefault="00294CCD">
            <w:pPr>
              <w:pStyle w:val="SingleTxtG"/>
              <w:ind w:left="0" w:right="0"/>
              <w:jc w:val="left"/>
            </w:pPr>
            <w:r>
              <w:rPr>
                <w:lang w:val="fr-FR"/>
              </w:rPr>
              <w:t>Procédure de détermination de l’âge d’un enfant non</w:t>
            </w:r>
            <w:r>
              <w:rPr>
                <w:lang w:val="fr-FR"/>
              </w:rPr>
              <w:t> </w:t>
            </w:r>
            <w:r>
              <w:rPr>
                <w:lang w:val="fr-FR"/>
              </w:rPr>
              <w:t>accompagné</w:t>
            </w:r>
          </w:p>
        </w:tc>
      </w:tr>
      <w:tr w:rsidR="00294CCD" w14:paraId="15F4C925" w14:textId="77777777">
        <w:tc>
          <w:tcPr>
            <w:tcW w:w="2552" w:type="dxa"/>
          </w:tcPr>
          <w:p w14:paraId="2A31B3C3" w14:textId="07E7D1CE" w:rsidR="00294CCD" w:rsidRDefault="00294CCD">
            <w:pPr>
              <w:pStyle w:val="SingleTxtG"/>
              <w:ind w:left="0" w:right="0"/>
              <w:jc w:val="left"/>
              <w:rPr>
                <w:i/>
              </w:rPr>
            </w:pPr>
            <w:r>
              <w:rPr>
                <w:i/>
              </w:rPr>
              <w:t>Question(s) de fond</w:t>
            </w:r>
            <w:r>
              <w:t> :</w:t>
            </w:r>
          </w:p>
        </w:tc>
        <w:tc>
          <w:tcPr>
            <w:tcW w:w="4253" w:type="dxa"/>
            <w:vAlign w:val="bottom"/>
          </w:tcPr>
          <w:p w14:paraId="4FCA10D6" w14:textId="62623F81" w:rsidR="00294CCD" w:rsidRDefault="00294CCD">
            <w:pPr>
              <w:pStyle w:val="SingleTxtG"/>
              <w:ind w:left="0" w:right="0"/>
              <w:jc w:val="left"/>
            </w:pPr>
            <w:r>
              <w:rPr>
                <w:lang w:val="fr-FR"/>
              </w:rPr>
              <w:t>Intérêt supérieur de l’enfant, droit de l’enfant de préserver son identité ; droit à un tuteur</w:t>
            </w:r>
            <w:r>
              <w:rPr>
                <w:lang w:val="fr-FR"/>
              </w:rPr>
              <w:t> </w:t>
            </w:r>
            <w:r>
              <w:rPr>
                <w:lang w:val="fr-FR"/>
              </w:rPr>
              <w:t>; droit à une protection et à une aide spéciales de l’État ; niveau de vie suffisant ; droit au développement.</w:t>
            </w:r>
          </w:p>
        </w:tc>
      </w:tr>
      <w:tr w:rsidR="00294CCD" w14:paraId="6BCCC241" w14:textId="77777777">
        <w:tc>
          <w:tcPr>
            <w:tcW w:w="2552" w:type="dxa"/>
          </w:tcPr>
          <w:p w14:paraId="1DB41898" w14:textId="3F235806" w:rsidR="00294CCD" w:rsidRDefault="00294CCD">
            <w:pPr>
              <w:pStyle w:val="SingleTxtG"/>
              <w:ind w:left="0" w:right="0"/>
              <w:jc w:val="left"/>
              <w:rPr>
                <w:i/>
              </w:rPr>
            </w:pPr>
            <w:r>
              <w:rPr>
                <w:i/>
              </w:rPr>
              <w:t>Article(s) de la Convention</w:t>
            </w:r>
            <w:r>
              <w:t> :</w:t>
            </w:r>
          </w:p>
        </w:tc>
        <w:tc>
          <w:tcPr>
            <w:tcW w:w="4253" w:type="dxa"/>
            <w:vAlign w:val="bottom"/>
          </w:tcPr>
          <w:p w14:paraId="21203638" w14:textId="6A2277A7" w:rsidR="00294CCD" w:rsidRDefault="00294CCD">
            <w:pPr>
              <w:pStyle w:val="SingleTxtG"/>
              <w:ind w:left="0" w:right="0"/>
              <w:jc w:val="left"/>
            </w:pPr>
            <w:r>
              <w:rPr>
                <w:lang w:val="fr-FR"/>
              </w:rPr>
              <w:t>3, 8, 18 (par.</w:t>
            </w:r>
            <w:r>
              <w:rPr>
                <w:lang w:val="fr-FR"/>
              </w:rPr>
              <w:t> </w:t>
            </w:r>
            <w:r>
              <w:rPr>
                <w:lang w:val="fr-FR"/>
              </w:rPr>
              <w:t>2), 20 (par.</w:t>
            </w:r>
            <w:r>
              <w:rPr>
                <w:lang w:val="fr-FR"/>
              </w:rPr>
              <w:t> </w:t>
            </w:r>
            <w:r>
              <w:rPr>
                <w:lang w:val="fr-FR"/>
              </w:rPr>
              <w:t>1), 27 et 29</w:t>
            </w:r>
          </w:p>
        </w:tc>
      </w:tr>
    </w:tbl>
    <w:p w14:paraId="7DB46BDE" w14:textId="5E4784DE" w:rsidR="00294CCD" w:rsidRPr="00666F20" w:rsidRDefault="00294CCD" w:rsidP="00294CCD">
      <w:pPr>
        <w:pStyle w:val="SingleTxtG"/>
        <w:spacing w:before="120"/>
        <w:rPr>
          <w:lang w:val="fr-FR"/>
        </w:rPr>
      </w:pPr>
      <w:r>
        <w:rPr>
          <w:lang w:val="fr-FR"/>
        </w:rPr>
        <w:t>1.</w:t>
      </w:r>
      <w:r>
        <w:rPr>
          <w:lang w:val="fr-FR"/>
        </w:rPr>
        <w:tab/>
        <w:t>L’auteur de la communication est M.</w:t>
      </w:r>
      <w:r>
        <w:rPr>
          <w:lang w:val="fr-FR"/>
        </w:rPr>
        <w:t> </w:t>
      </w:r>
      <w:r>
        <w:rPr>
          <w:lang w:val="fr-FR"/>
        </w:rPr>
        <w:t>D.</w:t>
      </w:r>
      <w:r>
        <w:rPr>
          <w:lang w:val="fr-FR"/>
        </w:rPr>
        <w:t> </w:t>
      </w:r>
      <w:r>
        <w:rPr>
          <w:lang w:val="fr-FR"/>
        </w:rPr>
        <w:t>B., de nationalité guinéenne, né en 2002. Il</w:t>
      </w:r>
      <w:r>
        <w:rPr>
          <w:lang w:val="fr-FR"/>
        </w:rPr>
        <w:t> </w:t>
      </w:r>
      <w:r>
        <w:rPr>
          <w:lang w:val="fr-FR"/>
        </w:rPr>
        <w:t>affirme que l’État partie a violé les droits qu’il tient de l’article</w:t>
      </w:r>
      <w:r>
        <w:rPr>
          <w:lang w:val="fr-FR"/>
        </w:rPr>
        <w:t> </w:t>
      </w:r>
      <w:r>
        <w:rPr>
          <w:lang w:val="fr-FR"/>
        </w:rPr>
        <w:t>3, lu conjointement avec les articles</w:t>
      </w:r>
      <w:r>
        <w:rPr>
          <w:lang w:val="fr-FR"/>
        </w:rPr>
        <w:t> </w:t>
      </w:r>
      <w:r>
        <w:rPr>
          <w:lang w:val="fr-FR"/>
        </w:rPr>
        <w:t>18 (par.</w:t>
      </w:r>
      <w:r>
        <w:rPr>
          <w:lang w:val="fr-FR"/>
        </w:rPr>
        <w:t> </w:t>
      </w:r>
      <w:r>
        <w:rPr>
          <w:lang w:val="fr-FR"/>
        </w:rPr>
        <w:t>2) et 20 (par.</w:t>
      </w:r>
      <w:r>
        <w:rPr>
          <w:lang w:val="fr-FR"/>
        </w:rPr>
        <w:t> </w:t>
      </w:r>
      <w:r>
        <w:rPr>
          <w:lang w:val="fr-FR"/>
        </w:rPr>
        <w:t>1), et des articles 8, 27 et 29 de la Convention. Le Protocole facultatif est entré en vigueur pour l’État partie le 14</w:t>
      </w:r>
      <w:r>
        <w:rPr>
          <w:lang w:val="fr-FR"/>
        </w:rPr>
        <w:t> </w:t>
      </w:r>
      <w:r>
        <w:rPr>
          <w:lang w:val="fr-FR"/>
        </w:rPr>
        <w:t>avril 2014.</w:t>
      </w:r>
    </w:p>
    <w:p w14:paraId="0D9B2FD8" w14:textId="6A1D67AB" w:rsidR="00294CCD" w:rsidRPr="00542154" w:rsidRDefault="00294CCD" w:rsidP="00294CCD">
      <w:pPr>
        <w:pStyle w:val="SingleTxtG"/>
        <w:rPr>
          <w:lang w:val="fr-FR"/>
        </w:rPr>
      </w:pPr>
      <w:r>
        <w:rPr>
          <w:lang w:val="fr-FR"/>
        </w:rPr>
        <w:t>2.</w:t>
      </w:r>
      <w:r>
        <w:rPr>
          <w:lang w:val="fr-FR"/>
        </w:rPr>
        <w:tab/>
        <w:t>Le 22</w:t>
      </w:r>
      <w:r>
        <w:rPr>
          <w:lang w:val="fr-FR"/>
        </w:rPr>
        <w:t> </w:t>
      </w:r>
      <w:r>
        <w:rPr>
          <w:lang w:val="fr-FR"/>
        </w:rPr>
        <w:t>janvier 2018, l’auteur a été intercepté par la police des frontières de l’État partie à bord d’une embarcation au large d’Almería (Espagne). Bien que sans papiers, il a déclaré être mineur. Le 23</w:t>
      </w:r>
      <w:r>
        <w:rPr>
          <w:lang w:val="fr-FR"/>
        </w:rPr>
        <w:t> </w:t>
      </w:r>
      <w:r>
        <w:rPr>
          <w:lang w:val="fr-FR"/>
        </w:rPr>
        <w:t>janvier 2018, un arrêté d’expulsion a été pris contre lui. Le 25</w:t>
      </w:r>
      <w:r>
        <w:rPr>
          <w:lang w:val="fr-FR"/>
        </w:rPr>
        <w:t> </w:t>
      </w:r>
      <w:r>
        <w:rPr>
          <w:lang w:val="fr-FR"/>
        </w:rPr>
        <w:t>janvier 2018, le tribunal d’instruction d’Almería a ordonné son placement dans un centre de détention destiné à des migrants adultes. À son arrivée au centre, il a de nouveau déclaré être mineur. L’auteur a ensuite été soumis à des examens médicaux de détermination de l’âge, à</w:t>
      </w:r>
      <w:r>
        <w:rPr>
          <w:lang w:val="fr-FR"/>
        </w:rPr>
        <w:t> </w:t>
      </w:r>
      <w:r>
        <w:rPr>
          <w:lang w:val="fr-FR"/>
        </w:rPr>
        <w:t>savoir une radiographie du poignet gauche. Le résultat de l’examen, qui ne lui a pas été communiqué, a indiqué qu’il était âgé de 19 ans. Le parquet des mineurs a émis une décision le déclarant majeur. Le 8</w:t>
      </w:r>
      <w:r>
        <w:rPr>
          <w:lang w:val="fr-FR"/>
        </w:rPr>
        <w:t> </w:t>
      </w:r>
      <w:r>
        <w:rPr>
          <w:lang w:val="fr-FR"/>
        </w:rPr>
        <w:t xml:space="preserve">février 2018, par l’intermédiaire de la Croix-Rouge, l’auteur a obtenu une copie de son acte de naissance, qu’il a présentée au Bureau du Procureur, afin d’être reconnu comme mineur. Sa demande a été rejetée le jour même au motif que la validité </w:t>
      </w:r>
      <w:r>
        <w:rPr>
          <w:lang w:val="fr-FR"/>
        </w:rPr>
        <w:lastRenderedPageBreak/>
        <w:t>du document ne pouvait être établie et que l’examen médical qui avait été pratiqué avait déjà permis de déterminer qu’il était majeur.</w:t>
      </w:r>
    </w:p>
    <w:p w14:paraId="15871F41" w14:textId="354548FA" w:rsidR="00294CCD" w:rsidRPr="00666F20" w:rsidRDefault="00294CCD" w:rsidP="00294CCD">
      <w:pPr>
        <w:pStyle w:val="SingleTxtG"/>
        <w:rPr>
          <w:lang w:val="fr-FR"/>
        </w:rPr>
      </w:pPr>
      <w:r>
        <w:rPr>
          <w:lang w:val="fr-FR"/>
        </w:rPr>
        <w:t>3.</w:t>
      </w:r>
      <w:r>
        <w:rPr>
          <w:lang w:val="fr-FR"/>
        </w:rPr>
        <w:tab/>
        <w:t>Le 13</w:t>
      </w:r>
      <w:r>
        <w:rPr>
          <w:lang w:val="fr-FR"/>
        </w:rPr>
        <w:t> </w:t>
      </w:r>
      <w:r>
        <w:rPr>
          <w:lang w:val="fr-FR"/>
        </w:rPr>
        <w:t>février 2018, le Groupe de travail des communications, agissant au nom du Comité et se fondant sur l’article</w:t>
      </w:r>
      <w:r>
        <w:rPr>
          <w:lang w:val="fr-FR"/>
        </w:rPr>
        <w:t> </w:t>
      </w:r>
      <w:r>
        <w:rPr>
          <w:lang w:val="fr-FR"/>
        </w:rPr>
        <w:t>6 du Protocole facultatif, a demandé à l’État partie de prendre des mesures provisoires tendant à suspendre l’exécution de l’arrêté d’expulsion de l’auteur tant que sa communication serait à l’examen, et de transférer l’intéressé dans un centre de protection des mineurs.</w:t>
      </w:r>
    </w:p>
    <w:p w14:paraId="7BC6B369" w14:textId="2EDE6761" w:rsidR="00294CCD" w:rsidRPr="00542154" w:rsidRDefault="00294CCD" w:rsidP="00294CCD">
      <w:pPr>
        <w:pStyle w:val="SingleTxtG"/>
        <w:rPr>
          <w:lang w:val="fr-FR"/>
        </w:rPr>
      </w:pPr>
      <w:r>
        <w:rPr>
          <w:lang w:val="fr-FR"/>
        </w:rPr>
        <w:t>4.</w:t>
      </w:r>
      <w:r>
        <w:rPr>
          <w:lang w:val="fr-FR"/>
        </w:rPr>
        <w:tab/>
        <w:t>Le 25</w:t>
      </w:r>
      <w:r>
        <w:rPr>
          <w:lang w:val="fr-FR"/>
        </w:rPr>
        <w:t> </w:t>
      </w:r>
      <w:r>
        <w:rPr>
          <w:lang w:val="fr-FR"/>
        </w:rPr>
        <w:t>juin 2019, l’État partie a présenté ses observations sur la recevabilité et sur le fond de la communication. Le 15</w:t>
      </w:r>
      <w:r>
        <w:rPr>
          <w:lang w:val="fr-FR"/>
        </w:rPr>
        <w:t> </w:t>
      </w:r>
      <w:r>
        <w:rPr>
          <w:lang w:val="fr-FR"/>
        </w:rPr>
        <w:t>décembre 2021, après des relances de la part du secrétariat, le représentant de l’auteur a présenté ses observations sur la recevabilité et sur le fond.</w:t>
      </w:r>
    </w:p>
    <w:p w14:paraId="10DDC932" w14:textId="367695B4" w:rsidR="00294CCD" w:rsidRPr="00294CCD" w:rsidRDefault="00294CCD" w:rsidP="00294CCD">
      <w:pPr>
        <w:pStyle w:val="SingleTxtG"/>
      </w:pPr>
      <w:r w:rsidRPr="00294CCD">
        <w:t>5.</w:t>
      </w:r>
      <w:r w:rsidRPr="00294CCD">
        <w:tab/>
        <w:t>Le 27 janvier 2022, le représentant a confirmé qu’il n’avait plus de nouvelles de</w:t>
      </w:r>
      <w:r>
        <w:t> </w:t>
      </w:r>
      <w:r w:rsidRPr="00294CCD">
        <w:t>l’auteur.</w:t>
      </w:r>
    </w:p>
    <w:p w14:paraId="0B38A290" w14:textId="6092625C" w:rsidR="00294CCD" w:rsidRDefault="00294CCD" w:rsidP="00294CCD">
      <w:pPr>
        <w:pStyle w:val="SingleTxtG"/>
        <w:rPr>
          <w:lang w:val="fr-FR"/>
        </w:rPr>
      </w:pPr>
      <w:r>
        <w:rPr>
          <w:lang w:val="fr-FR"/>
        </w:rPr>
        <w:t>6.</w:t>
      </w:r>
      <w:r>
        <w:rPr>
          <w:lang w:val="fr-FR"/>
        </w:rPr>
        <w:tab/>
        <w:t>Réuni le 1</w:t>
      </w:r>
      <w:r>
        <w:rPr>
          <w:vertAlign w:val="superscript"/>
          <w:lang w:val="fr-FR"/>
        </w:rPr>
        <w:t>er</w:t>
      </w:r>
      <w:r>
        <w:rPr>
          <w:lang w:val="fr-FR"/>
        </w:rPr>
        <w:t> juin</w:t>
      </w:r>
      <w:r>
        <w:rPr>
          <w:lang w:val="fr-FR"/>
        </w:rPr>
        <w:t xml:space="preserve"> </w:t>
      </w:r>
      <w:r>
        <w:rPr>
          <w:lang w:val="fr-FR"/>
        </w:rPr>
        <w:t>2022, le Comité, ayant constaté que le représentant de l’auteur n’avait plus de nouvelles de l’auteur, considère que la communication n</w:t>
      </w:r>
      <w:r>
        <w:rPr>
          <w:vertAlign w:val="superscript"/>
          <w:lang w:val="fr-FR"/>
        </w:rPr>
        <w:t>o</w:t>
      </w:r>
      <w:r>
        <w:rPr>
          <w:lang w:val="fr-FR"/>
        </w:rPr>
        <w:t> </w:t>
      </w:r>
      <w:r>
        <w:rPr>
          <w:lang w:val="fr-FR"/>
        </w:rPr>
        <w:t>42/2018 est devenue sans objet et décide de mettre fin à son examen, conformément à l’article</w:t>
      </w:r>
      <w:r>
        <w:rPr>
          <w:lang w:val="fr-FR"/>
        </w:rPr>
        <w:t> </w:t>
      </w:r>
      <w:r>
        <w:rPr>
          <w:lang w:val="fr-FR"/>
        </w:rPr>
        <w:t>26 de son règlement intérieur au titre du Protocole facultatif à la Convention relative aux droits de l’enfant établissant une procédure de présentation de communications.</w:t>
      </w:r>
    </w:p>
    <w:p w14:paraId="7C84E175" w14:textId="10CA4F9A" w:rsidR="00294CCD" w:rsidRPr="00294CCD" w:rsidRDefault="00294CCD" w:rsidP="00294CCD">
      <w:pPr>
        <w:pStyle w:val="SingleTxtG"/>
        <w:spacing w:before="240" w:after="0"/>
        <w:jc w:val="center"/>
        <w:rPr>
          <w:u w:val="single"/>
        </w:rPr>
      </w:pPr>
      <w:r>
        <w:rPr>
          <w:u w:val="single"/>
        </w:rPr>
        <w:tab/>
      </w:r>
      <w:r>
        <w:rPr>
          <w:u w:val="single"/>
        </w:rPr>
        <w:tab/>
      </w:r>
      <w:r>
        <w:rPr>
          <w:u w:val="single"/>
        </w:rPr>
        <w:tab/>
      </w:r>
    </w:p>
    <w:sectPr w:rsidR="00294CCD" w:rsidRPr="00294CCD" w:rsidSect="00294C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CD592" w14:textId="77777777" w:rsidR="00CA2BF0" w:rsidRDefault="00CA2BF0" w:rsidP="00F95C08">
      <w:pPr>
        <w:spacing w:line="240" w:lineRule="auto"/>
      </w:pPr>
    </w:p>
  </w:endnote>
  <w:endnote w:type="continuationSeparator" w:id="0">
    <w:p w14:paraId="53021827" w14:textId="77777777" w:rsidR="00CA2BF0" w:rsidRPr="00AC3823" w:rsidRDefault="00CA2BF0" w:rsidP="00AC3823">
      <w:pPr>
        <w:pStyle w:val="Pieddepage"/>
      </w:pPr>
    </w:p>
  </w:endnote>
  <w:endnote w:type="continuationNotice" w:id="1">
    <w:p w14:paraId="56534667" w14:textId="77777777" w:rsidR="00CA2BF0" w:rsidRDefault="00CA2B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209F4" w14:textId="42FCA77D" w:rsidR="00294CCD" w:rsidRPr="00294CCD" w:rsidRDefault="00294CCD" w:rsidP="00294CCD">
    <w:pPr>
      <w:pStyle w:val="Pieddepage"/>
      <w:tabs>
        <w:tab w:val="right" w:pos="9638"/>
      </w:tabs>
    </w:pPr>
    <w:r w:rsidRPr="00294CCD">
      <w:rPr>
        <w:b/>
        <w:sz w:val="18"/>
      </w:rPr>
      <w:fldChar w:fldCharType="begin"/>
    </w:r>
    <w:r w:rsidRPr="00294CCD">
      <w:rPr>
        <w:b/>
        <w:sz w:val="18"/>
      </w:rPr>
      <w:instrText xml:space="preserve"> PAGE  \* MERGEFORMAT </w:instrText>
    </w:r>
    <w:r w:rsidRPr="00294CCD">
      <w:rPr>
        <w:b/>
        <w:sz w:val="18"/>
      </w:rPr>
      <w:fldChar w:fldCharType="separate"/>
    </w:r>
    <w:r w:rsidRPr="00294CCD">
      <w:rPr>
        <w:b/>
        <w:noProof/>
        <w:sz w:val="18"/>
      </w:rPr>
      <w:t>2</w:t>
    </w:r>
    <w:r w:rsidRPr="00294CCD">
      <w:rPr>
        <w:b/>
        <w:sz w:val="18"/>
      </w:rPr>
      <w:fldChar w:fldCharType="end"/>
    </w:r>
    <w:r>
      <w:rPr>
        <w:b/>
        <w:sz w:val="18"/>
      </w:rPr>
      <w:tab/>
    </w:r>
    <w:r>
      <w:t>GE.23-10172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B9201" w14:textId="0A6E97F5" w:rsidR="00294CCD" w:rsidRPr="00294CCD" w:rsidRDefault="00294CCD" w:rsidP="00294CCD">
    <w:pPr>
      <w:pStyle w:val="Pieddepage"/>
      <w:tabs>
        <w:tab w:val="right" w:pos="9638"/>
      </w:tabs>
      <w:rPr>
        <w:b/>
        <w:sz w:val="18"/>
      </w:rPr>
    </w:pPr>
    <w:r>
      <w:t>GE.23-10172</w:t>
    </w:r>
    <w:r>
      <w:tab/>
    </w:r>
    <w:r w:rsidRPr="00294CCD">
      <w:rPr>
        <w:b/>
        <w:sz w:val="18"/>
      </w:rPr>
      <w:fldChar w:fldCharType="begin"/>
    </w:r>
    <w:r w:rsidRPr="00294CCD">
      <w:rPr>
        <w:b/>
        <w:sz w:val="18"/>
      </w:rPr>
      <w:instrText xml:space="preserve"> PAGE  \* MERGEFORMAT </w:instrText>
    </w:r>
    <w:r w:rsidRPr="00294CCD">
      <w:rPr>
        <w:b/>
        <w:sz w:val="18"/>
      </w:rPr>
      <w:fldChar w:fldCharType="separate"/>
    </w:r>
    <w:r w:rsidRPr="00294CCD">
      <w:rPr>
        <w:b/>
        <w:noProof/>
        <w:sz w:val="18"/>
      </w:rPr>
      <w:t>3</w:t>
    </w:r>
    <w:r w:rsidRPr="00294C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C828E" w14:textId="7259CC3F" w:rsidR="002D14A3" w:rsidRPr="00294CCD" w:rsidRDefault="00294CCD" w:rsidP="00294CC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6212CCE" wp14:editId="6D23BEF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23-10172  (F)</w:t>
    </w:r>
    <w:r>
      <w:rPr>
        <w:noProof/>
        <w:sz w:val="20"/>
      </w:rPr>
      <w:drawing>
        <wp:anchor distT="0" distB="0" distL="114300" distR="114300" simplePos="0" relativeHeight="251660288" behindDoc="0" locked="0" layoutInCell="1" allowOverlap="1" wp14:anchorId="76A16C6B" wp14:editId="519F7A72">
          <wp:simplePos x="0" y="0"/>
          <wp:positionH relativeFrom="margin">
            <wp:posOffset>5489575</wp:posOffset>
          </wp:positionH>
          <wp:positionV relativeFrom="margin">
            <wp:posOffset>8891905</wp:posOffset>
          </wp:positionV>
          <wp:extent cx="561975" cy="561975"/>
          <wp:effectExtent l="0" t="0" r="9525" b="9525"/>
          <wp:wrapNone/>
          <wp:docPr id="10217126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200923    250923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11C47" w14:textId="77777777" w:rsidR="00CA2BF0" w:rsidRPr="00AC3823" w:rsidRDefault="00CA2BF0" w:rsidP="00AC3823">
      <w:pPr>
        <w:pStyle w:val="Pieddepage"/>
        <w:tabs>
          <w:tab w:val="right" w:pos="2155"/>
        </w:tabs>
        <w:spacing w:after="80" w:line="240" w:lineRule="atLeast"/>
        <w:ind w:left="680"/>
        <w:rPr>
          <w:u w:val="single"/>
        </w:rPr>
      </w:pPr>
      <w:r>
        <w:rPr>
          <w:u w:val="single"/>
        </w:rPr>
        <w:tab/>
      </w:r>
    </w:p>
  </w:footnote>
  <w:footnote w:type="continuationSeparator" w:id="0">
    <w:p w14:paraId="2ABA15D7" w14:textId="77777777" w:rsidR="00CA2BF0" w:rsidRPr="00AC3823" w:rsidRDefault="00CA2BF0" w:rsidP="00AC3823">
      <w:pPr>
        <w:pStyle w:val="Pieddepage"/>
        <w:tabs>
          <w:tab w:val="right" w:pos="2155"/>
        </w:tabs>
        <w:spacing w:after="80" w:line="240" w:lineRule="atLeast"/>
        <w:ind w:left="680"/>
        <w:rPr>
          <w:u w:val="single"/>
        </w:rPr>
      </w:pPr>
      <w:r>
        <w:rPr>
          <w:u w:val="single"/>
        </w:rPr>
        <w:tab/>
      </w:r>
    </w:p>
  </w:footnote>
  <w:footnote w:type="continuationNotice" w:id="1">
    <w:p w14:paraId="3F0035A5" w14:textId="77777777" w:rsidR="00CA2BF0" w:rsidRPr="00AC3823" w:rsidRDefault="00CA2BF0">
      <w:pPr>
        <w:spacing w:line="240" w:lineRule="auto"/>
        <w:rPr>
          <w:sz w:val="2"/>
          <w:szCs w:val="2"/>
        </w:rPr>
      </w:pPr>
    </w:p>
  </w:footnote>
  <w:footnote w:id="2">
    <w:p w14:paraId="5C0921EA" w14:textId="6123BEF1" w:rsidR="00294CCD" w:rsidRPr="00294CCD" w:rsidRDefault="00294CCD">
      <w:pPr>
        <w:pStyle w:val="Notedebasdepage"/>
      </w:pPr>
      <w:r>
        <w:rPr>
          <w:rStyle w:val="Appelnotedebasdep"/>
        </w:rPr>
        <w:tab/>
      </w:r>
      <w:r w:rsidRPr="00294CCD">
        <w:rPr>
          <w:rStyle w:val="Appelnotedebasdep"/>
          <w:sz w:val="20"/>
          <w:vertAlign w:val="baseline"/>
        </w:rPr>
        <w:t>*</w:t>
      </w:r>
      <w:r>
        <w:rPr>
          <w:rStyle w:val="Appelnotedebasdep"/>
          <w:sz w:val="20"/>
          <w:vertAlign w:val="baseline"/>
        </w:rPr>
        <w:tab/>
      </w:r>
      <w:r>
        <w:rPr>
          <w:lang w:val="fr-FR"/>
        </w:rPr>
        <w:t>Adoptée par le Comité à sa quatre-vingt-dixième session (3</w:t>
      </w:r>
      <w:r>
        <w:rPr>
          <w:lang w:val="fr-FR"/>
        </w:rPr>
        <w:t> </w:t>
      </w:r>
      <w:r>
        <w:rPr>
          <w:lang w:val="fr-FR"/>
        </w:rPr>
        <w:t>mai-3</w:t>
      </w:r>
      <w:r>
        <w:rPr>
          <w:lang w:val="fr-FR"/>
        </w:rPr>
        <w:t> </w:t>
      </w:r>
      <w:r>
        <w:rPr>
          <w:lang w:val="fr-FR"/>
        </w:rPr>
        <w:t>juin 2022).</w:t>
      </w:r>
    </w:p>
  </w:footnote>
  <w:footnote w:id="3">
    <w:p w14:paraId="7C17C203" w14:textId="705ADE1E" w:rsidR="00294CCD" w:rsidRPr="00294CCD" w:rsidRDefault="00294CCD">
      <w:pPr>
        <w:pStyle w:val="Notedebasdepage"/>
      </w:pPr>
      <w:r w:rsidRPr="00294CCD">
        <w:rPr>
          <w:rStyle w:val="Appelnotedebasdep"/>
          <w:spacing w:val="-2"/>
        </w:rPr>
        <w:tab/>
      </w:r>
      <w:r w:rsidRPr="00294CCD">
        <w:rPr>
          <w:rStyle w:val="Appelnotedebasdep"/>
          <w:spacing w:val="-2"/>
          <w:sz w:val="20"/>
          <w:vertAlign w:val="baseline"/>
        </w:rPr>
        <w:t>**</w:t>
      </w:r>
      <w:r w:rsidRPr="00294CCD">
        <w:rPr>
          <w:rStyle w:val="Appelnotedebasdep"/>
          <w:spacing w:val="-2"/>
          <w:sz w:val="20"/>
          <w:vertAlign w:val="baseline"/>
        </w:rPr>
        <w:tab/>
      </w:r>
      <w:r w:rsidRPr="00294CCD">
        <w:rPr>
          <w:spacing w:val="-2"/>
          <w:lang w:val="fr-FR"/>
        </w:rPr>
        <w:t>Les membres du Comité dont le nom suit ont participé à l’examen de la communication</w:t>
      </w:r>
      <w:r w:rsidRPr="00294CCD">
        <w:rPr>
          <w:spacing w:val="-2"/>
          <w:lang w:val="fr-FR"/>
        </w:rPr>
        <w:t> </w:t>
      </w:r>
      <w:r w:rsidRPr="00294CCD">
        <w:rPr>
          <w:spacing w:val="-2"/>
          <w:lang w:val="fr-FR"/>
        </w:rPr>
        <w:t>: Suzanne Aho,</w:t>
      </w:r>
      <w:r>
        <w:rPr>
          <w:lang w:val="fr-FR"/>
        </w:rPr>
        <w:t xml:space="preserve"> Aïssatou Alassane Moulaye, Hynd Ayoubi Idrissi, Bragi Gudbrandsson, Philip Jaffé, Sopio Kiladze, Gehad Madi, Faith Marshall-Harris, Benyam Dawit Mezmur, Clarence Nelson, Otani Mikiko, Luis</w:t>
      </w:r>
      <w:r>
        <w:rPr>
          <w:lang w:val="fr-FR"/>
        </w:rPr>
        <w:t> </w:t>
      </w:r>
      <w:r>
        <w:rPr>
          <w:lang w:val="fr-FR"/>
        </w:rPr>
        <w:t>Ernesto Pedernera Reyna, José Ángel Rodríguez Reyes, Ann Skelton, Velina Todorova, Benoit</w:t>
      </w:r>
      <w:r>
        <w:rPr>
          <w:lang w:val="fr-FR"/>
        </w:rPr>
        <w:t> </w:t>
      </w:r>
      <w:r>
        <w:rPr>
          <w:lang w:val="fr-FR"/>
        </w:rPr>
        <w:t>Van Keirsbilck et Ratou Zara.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68E7A" w14:textId="1FDB0CB9" w:rsidR="00294CCD" w:rsidRPr="00294CCD" w:rsidRDefault="00294CCD">
    <w:pPr>
      <w:pStyle w:val="En-tte"/>
    </w:pPr>
    <w:fldSimple w:instr=" TITLE  \* MERGEFORMAT ">
      <w:r>
        <w:t>CRC/C/90/D/42/2018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130BA" w14:textId="08C593D3" w:rsidR="00294CCD" w:rsidRPr="00294CCD" w:rsidRDefault="00294CCD" w:rsidP="00294CCD">
    <w:pPr>
      <w:pStyle w:val="En-tte"/>
      <w:jc w:val="right"/>
    </w:pPr>
    <w:fldSimple w:instr=" TITLE  \* MERGEFORMAT ">
      <w:r>
        <w:t>CRC/C/90/D/42/2018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68247467">
    <w:abstractNumId w:val="12"/>
  </w:num>
  <w:num w:numId="2" w16cid:durableId="652755149">
    <w:abstractNumId w:val="11"/>
  </w:num>
  <w:num w:numId="3" w16cid:durableId="1900676129">
    <w:abstractNumId w:val="10"/>
  </w:num>
  <w:num w:numId="4" w16cid:durableId="670793029">
    <w:abstractNumId w:val="8"/>
  </w:num>
  <w:num w:numId="5" w16cid:durableId="383020829">
    <w:abstractNumId w:val="3"/>
  </w:num>
  <w:num w:numId="6" w16cid:durableId="774903670">
    <w:abstractNumId w:val="2"/>
  </w:num>
  <w:num w:numId="7" w16cid:durableId="1808231758">
    <w:abstractNumId w:val="1"/>
  </w:num>
  <w:num w:numId="8" w16cid:durableId="2139489327">
    <w:abstractNumId w:val="0"/>
  </w:num>
  <w:num w:numId="9" w16cid:durableId="2051300245">
    <w:abstractNumId w:val="9"/>
  </w:num>
  <w:num w:numId="10" w16cid:durableId="1245601577">
    <w:abstractNumId w:val="7"/>
  </w:num>
  <w:num w:numId="11" w16cid:durableId="1331712153">
    <w:abstractNumId w:val="6"/>
  </w:num>
  <w:num w:numId="12" w16cid:durableId="2095740533">
    <w:abstractNumId w:val="5"/>
  </w:num>
  <w:num w:numId="13" w16cid:durableId="1202325321">
    <w:abstractNumId w:val="4"/>
  </w:num>
  <w:num w:numId="14" w16cid:durableId="1339385900">
    <w:abstractNumId w:val="12"/>
  </w:num>
  <w:num w:numId="15" w16cid:durableId="503474640">
    <w:abstractNumId w:val="11"/>
  </w:num>
  <w:num w:numId="16" w16cid:durableId="439182195">
    <w:abstractNumId w:val="10"/>
  </w:num>
  <w:num w:numId="17" w16cid:durableId="1550679580">
    <w:abstractNumId w:val="12"/>
  </w:num>
  <w:num w:numId="18" w16cid:durableId="2027173453">
    <w:abstractNumId w:val="11"/>
  </w:num>
  <w:num w:numId="19" w16cid:durableId="9779594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BF0"/>
    <w:rsid w:val="00017F94"/>
    <w:rsid w:val="00023842"/>
    <w:rsid w:val="000334F9"/>
    <w:rsid w:val="000354E9"/>
    <w:rsid w:val="0007796D"/>
    <w:rsid w:val="000B7790"/>
    <w:rsid w:val="00111F2F"/>
    <w:rsid w:val="0014365E"/>
    <w:rsid w:val="00176178"/>
    <w:rsid w:val="001F525A"/>
    <w:rsid w:val="00223272"/>
    <w:rsid w:val="0024779E"/>
    <w:rsid w:val="00260A30"/>
    <w:rsid w:val="00294CCD"/>
    <w:rsid w:val="002D14A3"/>
    <w:rsid w:val="00311E81"/>
    <w:rsid w:val="00340ED0"/>
    <w:rsid w:val="00411C8E"/>
    <w:rsid w:val="00446FE5"/>
    <w:rsid w:val="00452396"/>
    <w:rsid w:val="00485B35"/>
    <w:rsid w:val="004D7A2C"/>
    <w:rsid w:val="005505B7"/>
    <w:rsid w:val="00573BE5"/>
    <w:rsid w:val="00586ED3"/>
    <w:rsid w:val="00596AA9"/>
    <w:rsid w:val="00623449"/>
    <w:rsid w:val="0071601D"/>
    <w:rsid w:val="007341B7"/>
    <w:rsid w:val="00760CBC"/>
    <w:rsid w:val="007A62E6"/>
    <w:rsid w:val="007F61AD"/>
    <w:rsid w:val="0080684C"/>
    <w:rsid w:val="00840413"/>
    <w:rsid w:val="00871C75"/>
    <w:rsid w:val="008776DC"/>
    <w:rsid w:val="008C54BD"/>
    <w:rsid w:val="008F3CA0"/>
    <w:rsid w:val="009705C8"/>
    <w:rsid w:val="00A30353"/>
    <w:rsid w:val="00AC3823"/>
    <w:rsid w:val="00AE1445"/>
    <w:rsid w:val="00AE323C"/>
    <w:rsid w:val="00B00181"/>
    <w:rsid w:val="00B24A9B"/>
    <w:rsid w:val="00B765F7"/>
    <w:rsid w:val="00BA0CA9"/>
    <w:rsid w:val="00C02897"/>
    <w:rsid w:val="00CA2BF0"/>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93470"/>
  <w15:docId w15:val="{46AB5D06-9354-4062-9636-9C2E39ED9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294CCD"/>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609</Words>
  <Characters>3021</Characters>
  <Application>Microsoft Office Word</Application>
  <DocSecurity>0</DocSecurity>
  <Lines>66</Lines>
  <Paragraphs>29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CRC/C/90/D/42/2018</dc:title>
  <dc:subject/>
  <dc:creator>Marie DESCHAMPS</dc:creator>
  <cp:keywords/>
  <cp:lastModifiedBy>Marie Deschamps</cp:lastModifiedBy>
  <cp:revision>2</cp:revision>
  <cp:lastPrinted>2014-05-14T10:59:00Z</cp:lastPrinted>
  <dcterms:created xsi:type="dcterms:W3CDTF">2023-09-25T08:34:00Z</dcterms:created>
  <dcterms:modified xsi:type="dcterms:W3CDTF">2023-09-25T08:34:00Z</dcterms:modified>
</cp:coreProperties>
</file>