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662116B" w14:textId="77777777" w:rsidTr="00281242">
        <w:trPr>
          <w:trHeight w:hRule="exact" w:val="851"/>
        </w:trPr>
        <w:tc>
          <w:tcPr>
            <w:tcW w:w="1274" w:type="dxa"/>
            <w:tcBorders>
              <w:bottom w:val="single" w:sz="4" w:space="0" w:color="auto"/>
            </w:tcBorders>
            <w:shd w:val="clear" w:color="auto" w:fill="auto"/>
          </w:tcPr>
          <w:p w14:paraId="1ADBA065"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6A502C1"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3678B91" w14:textId="77777777" w:rsidR="006B3E27" w:rsidRPr="00281242" w:rsidRDefault="00D00CEB" w:rsidP="00281551">
            <w:pPr>
              <w:bidi w:val="0"/>
              <w:spacing w:after="20"/>
              <w:jc w:val="left"/>
              <w:rPr>
                <w:szCs w:val="20"/>
              </w:rPr>
            </w:pPr>
            <w:r w:rsidRPr="00D00CEB">
              <w:rPr>
                <w:sz w:val="40"/>
                <w:szCs w:val="20"/>
              </w:rPr>
              <w:t>A</w:t>
            </w:r>
            <w:r>
              <w:rPr>
                <w:szCs w:val="20"/>
              </w:rPr>
              <w:t>/HRC/</w:t>
            </w:r>
            <w:r w:rsidRPr="00281551">
              <w:rPr>
                <w:szCs w:val="20"/>
              </w:rPr>
              <w:t>44</w:t>
            </w:r>
            <w:r>
              <w:rPr>
                <w:szCs w:val="20"/>
              </w:rPr>
              <w:t>/</w:t>
            </w:r>
            <w:r w:rsidRPr="00281551">
              <w:rPr>
                <w:szCs w:val="20"/>
              </w:rPr>
              <w:t>46</w:t>
            </w:r>
            <w:r>
              <w:rPr>
                <w:szCs w:val="20"/>
              </w:rPr>
              <w:t>/Add.</w:t>
            </w:r>
            <w:r w:rsidRPr="00281551">
              <w:rPr>
                <w:szCs w:val="20"/>
              </w:rPr>
              <w:t>1</w:t>
            </w:r>
          </w:p>
        </w:tc>
      </w:tr>
      <w:tr w:rsidR="006B3E27" w:rsidRPr="00ED7442" w14:paraId="744A9962" w14:textId="77777777" w:rsidTr="00281242">
        <w:trPr>
          <w:trHeight w:hRule="exact" w:val="2835"/>
        </w:trPr>
        <w:tc>
          <w:tcPr>
            <w:tcW w:w="1274" w:type="dxa"/>
            <w:tcBorders>
              <w:top w:val="single" w:sz="4" w:space="0" w:color="auto"/>
              <w:bottom w:val="single" w:sz="12" w:space="0" w:color="auto"/>
            </w:tcBorders>
            <w:shd w:val="clear" w:color="auto" w:fill="auto"/>
          </w:tcPr>
          <w:p w14:paraId="1B430440" w14:textId="39A61DD9" w:rsidR="006B3E27" w:rsidRPr="00281242" w:rsidRDefault="00830C84" w:rsidP="00281242">
            <w:pPr>
              <w:jc w:val="center"/>
              <w:rPr>
                <w:sz w:val="56"/>
                <w:szCs w:val="56"/>
                <w:rtl/>
              </w:rPr>
            </w:pPr>
            <w:r>
              <w:rPr>
                <w:noProof/>
                <w:sz w:val="56"/>
                <w:szCs w:val="56"/>
              </w:rPr>
              <w:drawing>
                <wp:inline distT="0" distB="0" distL="0" distR="0" wp14:anchorId="5C28BBC0" wp14:editId="7E73C053">
                  <wp:extent cx="629920" cy="6210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2103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506BE9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138B60A7" w14:textId="77777777" w:rsidR="00281551" w:rsidRPr="00281551" w:rsidRDefault="00281551" w:rsidP="00281551">
            <w:pPr>
              <w:suppressAutoHyphens/>
              <w:kinsoku w:val="0"/>
              <w:overflowPunct w:val="0"/>
              <w:autoSpaceDE w:val="0"/>
              <w:autoSpaceDN w:val="0"/>
              <w:bidi w:val="0"/>
              <w:adjustRightInd w:val="0"/>
              <w:snapToGrid w:val="0"/>
              <w:spacing w:before="240"/>
              <w:jc w:val="left"/>
              <w:rPr>
                <w:rFonts w:eastAsia="Calibri" w:cs="Times New Roman"/>
                <w:szCs w:val="20"/>
                <w:lang w:val="en-CA"/>
              </w:rPr>
            </w:pPr>
            <w:r w:rsidRPr="00281551">
              <w:rPr>
                <w:rFonts w:eastAsia="Calibri" w:cs="Times New Roman"/>
                <w:szCs w:val="20"/>
                <w:lang w:val="en-CA"/>
              </w:rPr>
              <w:t>Distr.: General</w:t>
            </w:r>
          </w:p>
          <w:p w14:paraId="65079F03" w14:textId="77777777" w:rsidR="00281551" w:rsidRPr="00281551" w:rsidRDefault="00281551" w:rsidP="00281551">
            <w:pPr>
              <w:kinsoku w:val="0"/>
              <w:overflowPunct w:val="0"/>
              <w:autoSpaceDE w:val="0"/>
              <w:autoSpaceDN w:val="0"/>
              <w:bidi w:val="0"/>
              <w:adjustRightInd w:val="0"/>
              <w:snapToGrid w:val="0"/>
              <w:jc w:val="left"/>
              <w:rPr>
                <w:rFonts w:eastAsia="Calibri" w:cs="Times New Roman"/>
                <w:szCs w:val="20"/>
                <w:lang w:val="en-CA"/>
              </w:rPr>
            </w:pPr>
            <w:r w:rsidRPr="00281551">
              <w:rPr>
                <w:rFonts w:eastAsia="Calibri" w:cs="Times New Roman"/>
                <w:szCs w:val="20"/>
                <w:lang w:val="en-CA"/>
              </w:rPr>
              <w:t>6 July 2020</w:t>
            </w:r>
          </w:p>
          <w:p w14:paraId="706C26B4" w14:textId="7FE7273A" w:rsidR="00281551" w:rsidRPr="00281551" w:rsidRDefault="00281551" w:rsidP="00281551">
            <w:pPr>
              <w:kinsoku w:val="0"/>
              <w:overflowPunct w:val="0"/>
              <w:autoSpaceDE w:val="0"/>
              <w:autoSpaceDN w:val="0"/>
              <w:bidi w:val="0"/>
              <w:adjustRightInd w:val="0"/>
              <w:snapToGrid w:val="0"/>
              <w:jc w:val="left"/>
              <w:rPr>
                <w:rFonts w:eastAsia="Calibri" w:cs="Times New Roman"/>
                <w:szCs w:val="20"/>
                <w:lang w:val="en-CA"/>
              </w:rPr>
            </w:pPr>
            <w:r>
              <w:rPr>
                <w:rFonts w:eastAsia="Calibri" w:cs="Times New Roman"/>
                <w:szCs w:val="20"/>
                <w:lang w:val="en-CA"/>
              </w:rPr>
              <w:t>Arabic</w:t>
            </w:r>
          </w:p>
          <w:p w14:paraId="78912BCF" w14:textId="0015C7D2" w:rsidR="00281551" w:rsidRPr="00281551" w:rsidRDefault="00281551" w:rsidP="00281551">
            <w:pPr>
              <w:bidi w:val="0"/>
              <w:jc w:val="left"/>
              <w:rPr>
                <w:szCs w:val="20"/>
                <w:lang w:val="en-CA"/>
              </w:rPr>
            </w:pPr>
            <w:r w:rsidRPr="00281551">
              <w:rPr>
                <w:rFonts w:eastAsia="Calibri" w:cs="Times New Roman"/>
                <w:szCs w:val="20"/>
                <w:lang w:val="en-CA"/>
              </w:rPr>
              <w:t>Original: English</w:t>
            </w:r>
          </w:p>
        </w:tc>
      </w:tr>
    </w:tbl>
    <w:p w14:paraId="6CEB4819" w14:textId="77777777" w:rsidR="00281551" w:rsidRDefault="00673245" w:rsidP="00281551">
      <w:pPr>
        <w:pStyle w:val="SingleTxtGA"/>
        <w:spacing w:before="120" w:after="0"/>
        <w:ind w:left="0"/>
        <w:rPr>
          <w:b/>
          <w:bCs/>
          <w:sz w:val="36"/>
          <w:szCs w:val="36"/>
          <w:rtl/>
        </w:rPr>
      </w:pPr>
      <w:r w:rsidRPr="00673245">
        <w:rPr>
          <w:rFonts w:hint="cs"/>
          <w:b/>
          <w:bCs/>
          <w:sz w:val="36"/>
          <w:szCs w:val="36"/>
          <w:rtl/>
        </w:rPr>
        <w:t>مجلس حقوق الإنسان</w:t>
      </w:r>
    </w:p>
    <w:p w14:paraId="151AC66E" w14:textId="77777777" w:rsidR="00281551" w:rsidRPr="00363B73" w:rsidRDefault="00281551" w:rsidP="00281551">
      <w:pPr>
        <w:pStyle w:val="SingleTxtGA"/>
        <w:spacing w:after="0"/>
        <w:ind w:left="0"/>
        <w:rPr>
          <w:b/>
          <w:bCs/>
          <w:lang w:val="en-CA"/>
        </w:rPr>
      </w:pPr>
      <w:r w:rsidRPr="00363B73">
        <w:rPr>
          <w:b/>
          <w:bCs/>
          <w:rtl/>
          <w:lang w:val="en-CA"/>
        </w:rPr>
        <w:t>الدورة الرابعة والأربعون</w:t>
      </w:r>
    </w:p>
    <w:p w14:paraId="3F3B2348" w14:textId="77777777" w:rsidR="00281551" w:rsidRPr="00363B73" w:rsidRDefault="00281551" w:rsidP="00281551">
      <w:pPr>
        <w:pStyle w:val="SingleTxtGA"/>
        <w:spacing w:after="0"/>
        <w:ind w:left="0"/>
        <w:rPr>
          <w:lang w:val="en-CA"/>
        </w:rPr>
      </w:pPr>
      <w:r w:rsidRPr="00363B73">
        <w:rPr>
          <w:szCs w:val="20"/>
          <w:rtl/>
          <w:lang w:val="en-CA"/>
        </w:rPr>
        <w:t>15</w:t>
      </w:r>
      <w:r w:rsidRPr="00363B73">
        <w:rPr>
          <w:rtl/>
          <w:lang w:val="en-CA"/>
        </w:rPr>
        <w:t xml:space="preserve"> حزيران/يونيه - </w:t>
      </w:r>
      <w:r w:rsidRPr="00363B73">
        <w:rPr>
          <w:szCs w:val="20"/>
          <w:rtl/>
          <w:lang w:val="en-CA"/>
        </w:rPr>
        <w:t>3</w:t>
      </w:r>
      <w:r w:rsidRPr="00363B73">
        <w:rPr>
          <w:rtl/>
          <w:lang w:val="en-CA"/>
        </w:rPr>
        <w:t xml:space="preserve"> تموز/يوليه </w:t>
      </w:r>
      <w:r w:rsidRPr="00363B73">
        <w:rPr>
          <w:szCs w:val="20"/>
          <w:rtl/>
          <w:lang w:val="en-CA"/>
        </w:rPr>
        <w:t>2020</w:t>
      </w:r>
    </w:p>
    <w:p w14:paraId="5AC55945" w14:textId="77777777" w:rsidR="00281551" w:rsidRPr="00363B73" w:rsidRDefault="00281551" w:rsidP="00281551">
      <w:pPr>
        <w:pStyle w:val="SingleTxtGA"/>
        <w:spacing w:after="0"/>
        <w:ind w:left="0"/>
        <w:rPr>
          <w:lang w:val="en-CA"/>
        </w:rPr>
      </w:pPr>
      <w:r w:rsidRPr="00363B73">
        <w:rPr>
          <w:rtl/>
          <w:lang w:val="en-CA"/>
        </w:rPr>
        <w:t xml:space="preserve">البند </w:t>
      </w:r>
      <w:r w:rsidRPr="00363B73">
        <w:rPr>
          <w:szCs w:val="20"/>
          <w:rtl/>
          <w:lang w:val="en-CA"/>
        </w:rPr>
        <w:t>3</w:t>
      </w:r>
      <w:r w:rsidRPr="00363B73">
        <w:rPr>
          <w:rtl/>
          <w:lang w:val="en-CA"/>
        </w:rPr>
        <w:t xml:space="preserve"> من جدول الأعمال</w:t>
      </w:r>
    </w:p>
    <w:p w14:paraId="5FFE9D48" w14:textId="77777777" w:rsidR="00281551" w:rsidRPr="00281551" w:rsidRDefault="00281551" w:rsidP="00281551">
      <w:pPr>
        <w:pStyle w:val="SingleTxtGA"/>
        <w:spacing w:after="0"/>
        <w:ind w:left="0" w:right="4820"/>
        <w:rPr>
          <w:b/>
          <w:bCs/>
          <w:lang w:val="en-CA"/>
        </w:rPr>
      </w:pPr>
      <w:r w:rsidRPr="00281551">
        <w:rPr>
          <w:b/>
          <w:bCs/>
          <w:rtl/>
          <w:lang w:val="en-CA"/>
        </w:rPr>
        <w:t>تعزيز وحماية جميع حقوق الإنسان، المدنية والسياسية والاقتصادية والاجتماعية والثقافية، بما في ذلك الحق في التنمية</w:t>
      </w:r>
    </w:p>
    <w:p w14:paraId="45E4BE9A" w14:textId="7F63B14D" w:rsidR="00281551" w:rsidRPr="00281551" w:rsidRDefault="00281551" w:rsidP="00281551">
      <w:pPr>
        <w:pStyle w:val="HChGA"/>
        <w:rPr>
          <w:lang w:val="en-CA"/>
        </w:rPr>
      </w:pPr>
      <w:r w:rsidRPr="00281551">
        <w:rPr>
          <w:rtl/>
          <w:lang w:val="en-CA"/>
        </w:rPr>
        <w:tab/>
      </w:r>
      <w:r w:rsidRPr="00281551">
        <w:rPr>
          <w:rtl/>
          <w:lang w:val="en-CA"/>
        </w:rPr>
        <w:tab/>
        <w:t>الزيارة إلى اليابان</w:t>
      </w:r>
    </w:p>
    <w:p w14:paraId="737105EA" w14:textId="1314CBD4" w:rsidR="00281551" w:rsidRPr="00281551" w:rsidRDefault="00281551" w:rsidP="00281551">
      <w:pPr>
        <w:pStyle w:val="H1GA"/>
        <w:rPr>
          <w:lang w:val="en-CA"/>
        </w:rPr>
      </w:pPr>
      <w:r w:rsidRPr="00281551">
        <w:rPr>
          <w:rtl/>
          <w:lang w:val="en-CA"/>
        </w:rPr>
        <w:tab/>
      </w:r>
      <w:r w:rsidRPr="00281551">
        <w:rPr>
          <w:rtl/>
          <w:lang w:val="en-CA"/>
        </w:rPr>
        <w:tab/>
      </w:r>
      <w:r w:rsidRPr="00281551">
        <w:rPr>
          <w:rFonts w:ascii="Times New Roman Bold" w:hAnsi="Times New Roman Bold"/>
          <w:spacing w:val="-4"/>
          <w:rtl/>
          <w:lang w:val="en-CA"/>
        </w:rPr>
        <w:t>تقرير المقررة الخاصة المعنية بالقضاء على التمييز ضد الأشخاص المصابين بالجذام</w:t>
      </w:r>
      <w:r w:rsidRPr="00281551">
        <w:rPr>
          <w:rtl/>
          <w:lang w:val="en-CA"/>
        </w:rPr>
        <w:t xml:space="preserve"> وأفراد أسرهم</w:t>
      </w:r>
      <w:r w:rsidRPr="00281551">
        <w:rPr>
          <w:rFonts w:hint="cs"/>
          <w:sz w:val="16"/>
          <w:szCs w:val="26"/>
          <w:rtl/>
          <w:lang w:val="en-CA"/>
        </w:rPr>
        <w:t>* **</w:t>
      </w:r>
    </w:p>
    <w:tbl>
      <w:tblPr>
        <w:tblStyle w:val="TableGrid"/>
        <w:bidiVisual/>
        <w:tblW w:w="0" w:type="auto"/>
        <w:jc w:val="center"/>
        <w:tblLook w:val="01E0" w:firstRow="1" w:lastRow="1" w:firstColumn="1" w:lastColumn="1" w:noHBand="0" w:noVBand="0"/>
      </w:tblPr>
      <w:tblGrid>
        <w:gridCol w:w="9637"/>
      </w:tblGrid>
      <w:tr w:rsidR="00281551" w14:paraId="64553576" w14:textId="77777777">
        <w:trPr>
          <w:jc w:val="center"/>
        </w:trPr>
        <w:tc>
          <w:tcPr>
            <w:tcW w:w="9637" w:type="dxa"/>
            <w:tcBorders>
              <w:bottom w:val="nil"/>
            </w:tcBorders>
          </w:tcPr>
          <w:p w14:paraId="5CB9F0BC" w14:textId="77777777" w:rsidR="00281551" w:rsidRPr="00785AE2" w:rsidRDefault="00281551">
            <w:pPr>
              <w:tabs>
                <w:tab w:val="left" w:pos="255"/>
              </w:tabs>
              <w:spacing w:before="120" w:after="12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281551" w14:paraId="38572C57" w14:textId="77777777">
        <w:trPr>
          <w:jc w:val="center"/>
        </w:trPr>
        <w:tc>
          <w:tcPr>
            <w:tcW w:w="9637" w:type="dxa"/>
            <w:tcBorders>
              <w:top w:val="nil"/>
              <w:bottom w:val="nil"/>
            </w:tcBorders>
            <w:shd w:val="clear" w:color="auto" w:fill="auto"/>
          </w:tcPr>
          <w:p w14:paraId="33F0CF8D" w14:textId="3B877C00" w:rsidR="00281551" w:rsidRDefault="00281551">
            <w:pPr>
              <w:pStyle w:val="SingleTxtGA"/>
              <w:rPr>
                <w:rtl/>
              </w:rPr>
            </w:pPr>
            <w:r w:rsidRPr="00281551">
              <w:rPr>
                <w:rtl/>
                <w:lang w:val="en-CA"/>
              </w:rPr>
              <w:tab/>
            </w:r>
            <w:bookmarkStart w:id="0" w:name="_GoBack"/>
            <w:bookmarkEnd w:id="0"/>
            <w:r w:rsidRPr="00281551">
              <w:rPr>
                <w:rtl/>
                <w:lang w:val="en-CA"/>
              </w:rPr>
              <w:t xml:space="preserve">تنظر أليس كروز، المقررة الخاصة المعنية بالقضاء على التمييز ضد الأشخاص المصابين بالجذام وأفراد أسرهم، في حالة حقوق الإنسان المتعلقة بالأشخاص المصابين بداء هانسن وأفراد أسرهم في هذا التقرير المقدم عن زيارتها إلى اليابان في الفترة من </w:t>
            </w:r>
            <w:r w:rsidRPr="00281551">
              <w:rPr>
                <w:szCs w:val="20"/>
                <w:rtl/>
                <w:lang w:val="en-CA"/>
              </w:rPr>
              <w:t>12</w:t>
            </w:r>
            <w:r w:rsidRPr="00281551">
              <w:rPr>
                <w:rtl/>
                <w:lang w:val="en-CA"/>
              </w:rPr>
              <w:t xml:space="preserve"> إلى </w:t>
            </w:r>
            <w:r w:rsidRPr="00281551">
              <w:rPr>
                <w:szCs w:val="20"/>
                <w:rtl/>
                <w:lang w:val="en-CA"/>
              </w:rPr>
              <w:t>19</w:t>
            </w:r>
            <w:r w:rsidRPr="00281551">
              <w:rPr>
                <w:rtl/>
                <w:lang w:val="en-CA"/>
              </w:rPr>
              <w:t xml:space="preserve"> شباط/فبراير </w:t>
            </w:r>
            <w:r w:rsidRPr="00281551">
              <w:rPr>
                <w:szCs w:val="20"/>
                <w:rtl/>
                <w:lang w:val="en-CA"/>
              </w:rPr>
              <w:t>2020</w:t>
            </w:r>
            <w:r w:rsidRPr="00281551">
              <w:rPr>
                <w:rtl/>
                <w:lang w:val="en-CA"/>
              </w:rPr>
              <w:t>، في ضوء الجهود المبذولة لتقصي الحقائق وإرساء العدالة وضمان عدم تكرار انتهاكات حقوق الإنسان. ويولى اهتمام خاص للدور الذي اضطلع به الأشخاص المصابون بداء هانسن وأفراد أسرهم في إحداث تغيير رسمي وبنيوي على حد سواء. وتحدد المقررة الخاصة التقدم المحرز والممارسات الجيدة والتحديات في القضاء على التمييز ضد الأشخاص المصابين بداء هانسن وأفراد أسرهم في اليابان. وتقدم أيضاً توصيات بناءة فيما يتعلق بخطط التعويض، وحقوق كبار السن المصابين بداء هانسن، وضمانات الحق في التمتع بأعلى مستوى ممكن من الصحة البدنية والعقلية في سياق مرحلة ما بعد القضاء على التمييز.</w:t>
            </w:r>
          </w:p>
        </w:tc>
      </w:tr>
      <w:tr w:rsidR="00281551" w14:paraId="34E603F4" w14:textId="77777777">
        <w:trPr>
          <w:jc w:val="center"/>
        </w:trPr>
        <w:tc>
          <w:tcPr>
            <w:tcW w:w="9637" w:type="dxa"/>
            <w:tcBorders>
              <w:top w:val="nil"/>
            </w:tcBorders>
          </w:tcPr>
          <w:p w14:paraId="034CD076" w14:textId="77777777" w:rsidR="00281551" w:rsidRDefault="00281551">
            <w:pPr>
              <w:spacing w:line="200" w:lineRule="exact"/>
              <w:rPr>
                <w:rtl/>
              </w:rPr>
            </w:pPr>
          </w:p>
        </w:tc>
      </w:tr>
    </w:tbl>
    <w:p w14:paraId="20413B4A" w14:textId="77777777" w:rsidR="00363B73" w:rsidRDefault="00363B73" w:rsidP="00363B73">
      <w:pPr>
        <w:pStyle w:val="SingleTxtGA"/>
        <w:spacing w:before="720"/>
        <w:ind w:left="680"/>
        <w:rPr>
          <w:rtl/>
        </w:rPr>
      </w:pPr>
      <w:r>
        <w:rPr>
          <w:rtl/>
        </w:rPr>
        <w:t>__________</w:t>
      </w:r>
    </w:p>
    <w:p w14:paraId="018C3B03" w14:textId="77777777" w:rsidR="00363B73" w:rsidRPr="00E463ED" w:rsidRDefault="00363B73" w:rsidP="00363B73">
      <w:pPr>
        <w:pStyle w:val="FootnoteText1"/>
        <w:rPr>
          <w:rtl/>
        </w:rPr>
      </w:pPr>
      <w:r>
        <w:rPr>
          <w:rtl/>
        </w:rPr>
        <w:t>*</w:t>
      </w:r>
      <w:r>
        <w:rPr>
          <w:rtl/>
        </w:rPr>
        <w:tab/>
      </w:r>
      <w:r w:rsidRPr="00E463ED">
        <w:rPr>
          <w:rtl/>
        </w:rPr>
        <w:t>يُعمَّم موجز التقرير بجميع اللغات الرسمية. أما التقرير نفسه، الوارد في مرفق هذا الموجز، فيُعمم باللغة التي قُدّم بها وباللغة الصينية فقط.</w:t>
      </w:r>
    </w:p>
    <w:p w14:paraId="7BC08D3F" w14:textId="77777777" w:rsidR="00363B73" w:rsidRDefault="00363B73" w:rsidP="00363B73">
      <w:pPr>
        <w:pStyle w:val="FootnoteText1"/>
        <w:rPr>
          <w:rtl/>
        </w:rPr>
      </w:pPr>
      <w:r>
        <w:rPr>
          <w:rtl/>
        </w:rPr>
        <w:t>**</w:t>
      </w:r>
      <w:r>
        <w:rPr>
          <w:rtl/>
        </w:rPr>
        <w:tab/>
      </w:r>
      <w:r w:rsidRPr="00E463ED">
        <w:rPr>
          <w:rtl/>
        </w:rPr>
        <w:t>اتُّفق على نشر هذا التقرير بعد تاريخ النشر الاعتيادي لظروف خارجة عن إرادة الجهة التي قدمته.</w:t>
      </w:r>
    </w:p>
    <w:p w14:paraId="69AE5C8A" w14:textId="6186C726" w:rsidR="00363B73" w:rsidRPr="00363B73" w:rsidRDefault="00363B73" w:rsidP="007149A7">
      <w:pPr>
        <w:pStyle w:val="HChG"/>
        <w:spacing w:line="340" w:lineRule="exact"/>
        <w:rPr>
          <w:lang w:val="en-CA"/>
        </w:rPr>
      </w:pPr>
      <w:bookmarkStart w:id="1" w:name="_Toc44595482"/>
      <w:r w:rsidRPr="00363B73">
        <w:rPr>
          <w:lang w:val="en-CA"/>
        </w:rPr>
        <w:lastRenderedPageBreak/>
        <w:t>Annex</w:t>
      </w:r>
      <w:bookmarkEnd w:id="1"/>
    </w:p>
    <w:p w14:paraId="6120F7A4" w14:textId="77777777" w:rsidR="00363B73" w:rsidRPr="00363B73" w:rsidRDefault="00363B73" w:rsidP="00363B73">
      <w:pPr>
        <w:keepNext/>
        <w:keepLines/>
        <w:tabs>
          <w:tab w:val="right" w:pos="851"/>
        </w:tabs>
        <w:bidi w:val="0"/>
        <w:spacing w:before="360" w:after="240" w:line="30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r w:rsidRPr="00363B73">
        <w:rPr>
          <w:rFonts w:eastAsia="SimSun" w:cs="Times New Roman"/>
          <w:b/>
          <w:sz w:val="28"/>
          <w:szCs w:val="20"/>
          <w:lang w:val="en-CA" w:eastAsia="zh-CN"/>
        </w:rPr>
        <w:tab/>
      </w:r>
      <w:bookmarkStart w:id="2" w:name="_Toc44595483"/>
      <w:r w:rsidRPr="00363B73">
        <w:rPr>
          <w:rFonts w:eastAsia="SimSun" w:cs="Times New Roman"/>
          <w:b/>
          <w:sz w:val="28"/>
          <w:szCs w:val="20"/>
          <w:lang w:val="en-CA" w:eastAsia="zh-CN"/>
        </w:rPr>
        <w:t>Report of the Special Rapporteur on the elimination of discrimination against persons affected by leprosy and their family members on her visit to Japan</w:t>
      </w:r>
      <w:bookmarkEnd w:id="2"/>
    </w:p>
    <w:p w14:paraId="48C942CB" w14:textId="77777777" w:rsidR="00363B73" w:rsidRPr="00363B73" w:rsidRDefault="00363B73" w:rsidP="007149A7">
      <w:pPr>
        <w:keepNext/>
        <w:keepLines/>
        <w:tabs>
          <w:tab w:val="right" w:pos="851"/>
        </w:tabs>
        <w:bidi w:val="0"/>
        <w:spacing w:before="360" w:after="240" w:line="32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3" w:name="_Toc44595484"/>
      <w:r w:rsidRPr="00363B73">
        <w:rPr>
          <w:rFonts w:eastAsia="SimSun" w:cs="Times New Roman"/>
          <w:b/>
          <w:sz w:val="28"/>
          <w:szCs w:val="20"/>
          <w:lang w:val="en-CA" w:eastAsia="zh-CN"/>
        </w:rPr>
        <w:t>I.</w:t>
      </w:r>
      <w:r w:rsidRPr="00363B73">
        <w:rPr>
          <w:rFonts w:eastAsia="SimSun" w:cs="Times New Roman"/>
          <w:b/>
          <w:sz w:val="28"/>
          <w:szCs w:val="20"/>
          <w:lang w:val="en-CA" w:eastAsia="zh-CN"/>
        </w:rPr>
        <w:tab/>
        <w:t>Introduction</w:t>
      </w:r>
      <w:bookmarkEnd w:id="3"/>
    </w:p>
    <w:p w14:paraId="6C143505"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w:t>
      </w:r>
      <w:r w:rsidRPr="00363B73">
        <w:rPr>
          <w:rFonts w:eastAsia="SimSun" w:cs="Times New Roman"/>
          <w:szCs w:val="20"/>
          <w:lang w:val="en-CA" w:eastAsia="zh-CN"/>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14:paraId="5E42E166"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w:t>
      </w:r>
      <w:r w:rsidRPr="00363B73">
        <w:rPr>
          <w:rFonts w:eastAsia="SimSun" w:cs="Times New Roman"/>
          <w:szCs w:val="20"/>
          <w:lang w:val="en-CA" w:eastAsia="zh-CN"/>
        </w:rPr>
        <w:tab/>
        <w:t>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Sasakawa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Tama Zenshōen in the Tokyo area and Nagashima-aiseien and Oku-komyoen Sanatouriums in Okayama Prefecture, where she met with staff and representatives of the residents’ committees and of the National Hansen’s Disease Sanatorium Residents’ Association, Zen Ryo Kyo.</w:t>
      </w:r>
    </w:p>
    <w:p w14:paraId="46CDE523" w14:textId="77777777" w:rsidR="00363B73" w:rsidRPr="00363B73" w:rsidRDefault="00363B73" w:rsidP="007149A7">
      <w:pPr>
        <w:tabs>
          <w:tab w:val="left" w:pos="1701"/>
        </w:tabs>
        <w:bidi w:val="0"/>
        <w:spacing w:before="40"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w:t>
      </w:r>
      <w:r w:rsidRPr="00363B73">
        <w:rPr>
          <w:rFonts w:eastAsia="SimSun" w:cs="Times New Roman"/>
          <w:szCs w:val="20"/>
          <w:lang w:val="en-CA" w:eastAsia="zh-CN"/>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14:paraId="63DC5CCF" w14:textId="77777777" w:rsidR="00363B73" w:rsidRPr="00363B73" w:rsidRDefault="00363B73" w:rsidP="007149A7">
      <w:pPr>
        <w:keepNext/>
        <w:keepLines/>
        <w:tabs>
          <w:tab w:val="right" w:pos="851"/>
          <w:tab w:val="left" w:pos="1701"/>
        </w:tabs>
        <w:bidi w:val="0"/>
        <w:spacing w:before="360" w:after="240" w:line="32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4" w:name="_Toc44595485"/>
      <w:r w:rsidRPr="00363B73">
        <w:rPr>
          <w:rFonts w:eastAsia="SimSun" w:cs="Times New Roman"/>
          <w:b/>
          <w:sz w:val="28"/>
          <w:szCs w:val="20"/>
          <w:lang w:val="en-CA" w:eastAsia="zh-CN"/>
        </w:rPr>
        <w:t>II.</w:t>
      </w:r>
      <w:r w:rsidRPr="00363B73">
        <w:rPr>
          <w:rFonts w:eastAsia="SimSun" w:cs="Times New Roman"/>
          <w:b/>
          <w:sz w:val="28"/>
          <w:szCs w:val="20"/>
          <w:lang w:val="en-CA" w:eastAsia="zh-CN"/>
        </w:rPr>
        <w:tab/>
        <w:t>Hansen’s disease in Japan</w:t>
      </w:r>
      <w:bookmarkEnd w:id="4"/>
    </w:p>
    <w:p w14:paraId="17E15D06" w14:textId="77777777" w:rsidR="00363B73" w:rsidRPr="00363B73" w:rsidRDefault="00363B73" w:rsidP="007149A7">
      <w:pPr>
        <w:tabs>
          <w:tab w:val="left" w:pos="1701"/>
        </w:tabs>
        <w:bidi w:val="0"/>
        <w:spacing w:before="40" w:after="120" w:line="240" w:lineRule="auto"/>
        <w:ind w:left="1134" w:right="1134"/>
        <w:jc w:val="both"/>
        <w:rPr>
          <w:rFonts w:eastAsia="SimSun" w:cs="Times New Roman"/>
          <w:szCs w:val="20"/>
          <w:lang w:val="en-CA" w:eastAsia="zh-CN"/>
        </w:rPr>
      </w:pPr>
      <w:bookmarkStart w:id="5" w:name="_Hlk44513927"/>
      <w:r w:rsidRPr="00363B73">
        <w:rPr>
          <w:rFonts w:eastAsia="SimSun" w:cs="Times New Roman"/>
          <w:szCs w:val="20"/>
          <w:lang w:val="en-CA" w:eastAsia="zh-CN"/>
        </w:rPr>
        <w:t>4.</w:t>
      </w:r>
      <w:r w:rsidRPr="00363B73">
        <w:rPr>
          <w:rFonts w:eastAsia="SimSun" w:cs="Times New Roman"/>
          <w:szCs w:val="20"/>
          <w:lang w:val="en-CA" w:eastAsia="zh-CN"/>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363B73">
        <w:rPr>
          <w:rFonts w:eastAsia="SimSun" w:cs="Times New Roman"/>
          <w:sz w:val="18"/>
          <w:szCs w:val="20"/>
          <w:vertAlign w:val="superscript"/>
          <w:lang w:val="en-CA" w:eastAsia="zh-CN"/>
        </w:rPr>
        <w:footnoteReference w:id="1"/>
      </w:r>
      <w:r w:rsidRPr="00363B73">
        <w:rPr>
          <w:rFonts w:eastAsia="SimSun" w:cs="Times New Roman"/>
          <w:szCs w:val="20"/>
          <w:lang w:val="en-CA" w:eastAsia="zh-CN"/>
        </w:rPr>
        <w:t xml:space="preserve"> According to private medical practitioners, there were 5 new foreign-born cases in 2019 and around 27 new foreign-born cases between 2012 and 2019. According to the same sources, between 2000 and 2018, </w:t>
      </w:r>
      <w:r w:rsidRPr="00363B73">
        <w:rPr>
          <w:rFonts w:eastAsia="SimSun" w:cs="Times New Roman"/>
          <w:szCs w:val="20"/>
          <w:lang w:val="en-CA" w:eastAsia="zh-CN"/>
        </w:rPr>
        <w:lastRenderedPageBreak/>
        <w:t xml:space="preserve">there were 98 new foreign-born cases, most of them from Nepal, the Philippines and Brazil, and 34 new Japanese cases, 20 of which were from Okinawa prefecture. </w:t>
      </w:r>
    </w:p>
    <w:p w14:paraId="3BBA7144"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5.</w:t>
      </w:r>
      <w:r w:rsidRPr="00363B73">
        <w:rPr>
          <w:rFonts w:eastAsia="SimSun" w:cs="Times New Roman"/>
          <w:szCs w:val="20"/>
          <w:lang w:val="en-CA" w:eastAsia="zh-CN"/>
        </w:rPr>
        <w:tab/>
        <w:t>The incidence of Hansen’s disease started declining after the introduction of the first available medical treatment for the disease in 1946,</w:t>
      </w:r>
      <w:r w:rsidRPr="00363B73">
        <w:rPr>
          <w:rFonts w:eastAsia="SimSun" w:cs="Times New Roman"/>
          <w:sz w:val="18"/>
          <w:szCs w:val="20"/>
          <w:vertAlign w:val="superscript"/>
          <w:lang w:val="en-CA" w:eastAsia="zh-CN"/>
        </w:rPr>
        <w:footnoteReference w:id="2"/>
      </w:r>
      <w:r w:rsidRPr="00363B73">
        <w:rPr>
          <w:rFonts w:eastAsia="SimSun" w:cs="Times New Roman"/>
          <w:szCs w:val="20"/>
          <w:lang w:val="en-CA" w:eastAsia="zh-CN"/>
        </w:rPr>
        <w:t xml:space="preserve"> then fell drastically in the 1970s. </w:t>
      </w:r>
      <w:bookmarkEnd w:id="5"/>
      <w:r w:rsidRPr="00363B73">
        <w:rPr>
          <w:rFonts w:eastAsia="SimSun" w:cs="Times New Roman"/>
          <w:szCs w:val="20"/>
          <w:lang w:val="en-CA" w:eastAsia="zh-CN"/>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363B73">
        <w:rPr>
          <w:rFonts w:eastAsia="SimSun" w:cs="Times New Roman"/>
          <w:sz w:val="18"/>
          <w:szCs w:val="20"/>
          <w:vertAlign w:val="superscript"/>
          <w:lang w:val="en-CA" w:eastAsia="zh-CN"/>
        </w:rPr>
        <w:footnoteReference w:id="3"/>
      </w:r>
      <w:r w:rsidRPr="00363B73">
        <w:rPr>
          <w:rFonts w:eastAsia="SimSun" w:cs="Times New Roman"/>
          <w:szCs w:val="20"/>
          <w:lang w:val="en-CA" w:eastAsia="zh-CN"/>
        </w:rPr>
        <w:t xml:space="preserve"> </w:t>
      </w:r>
    </w:p>
    <w:p w14:paraId="7A981F7B"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6.</w:t>
      </w:r>
      <w:r w:rsidRPr="00363B73">
        <w:rPr>
          <w:rFonts w:eastAsia="SimSun" w:cs="Times New Roman"/>
          <w:szCs w:val="20"/>
          <w:lang w:val="en-CA" w:eastAsia="zh-CN"/>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363B73">
        <w:rPr>
          <w:rFonts w:eastAsia="SimSun" w:cs="Times New Roman"/>
          <w:sz w:val="18"/>
          <w:szCs w:val="20"/>
          <w:vertAlign w:val="superscript"/>
          <w:lang w:val="en-CA" w:eastAsia="zh-CN"/>
        </w:rPr>
        <w:footnoteReference w:id="4"/>
      </w:r>
      <w:r w:rsidRPr="00363B73">
        <w:rPr>
          <w:rFonts w:eastAsia="SimSun" w:cs="Times New Roman"/>
          <w:szCs w:val="20"/>
          <w:lang w:val="en-CA" w:eastAsia="zh-CN"/>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14:paraId="38FCB376"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7.</w:t>
      </w:r>
      <w:r w:rsidRPr="00363B73">
        <w:rPr>
          <w:rFonts w:eastAsia="SimSun" w:cs="Times New Roman"/>
          <w:szCs w:val="20"/>
          <w:lang w:val="en-CA" w:eastAsia="zh-CN"/>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14:paraId="517D806C"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8.</w:t>
      </w:r>
      <w:r w:rsidRPr="00363B73">
        <w:rPr>
          <w:rFonts w:eastAsia="SimSun" w:cs="Times New Roman"/>
          <w:szCs w:val="20"/>
          <w:lang w:val="en-CA" w:eastAsia="zh-CN"/>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14:paraId="56B47ECF" w14:textId="77777777" w:rsidR="00363B73" w:rsidRPr="00363B73" w:rsidRDefault="00363B73" w:rsidP="007149A7">
      <w:pPr>
        <w:keepNext/>
        <w:keepLines/>
        <w:tabs>
          <w:tab w:val="right" w:pos="851"/>
          <w:tab w:val="left" w:pos="1701"/>
        </w:tabs>
        <w:bidi w:val="0"/>
        <w:spacing w:before="360" w:after="240" w:line="34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6" w:name="_Toc44595486"/>
      <w:r w:rsidRPr="00363B73">
        <w:rPr>
          <w:rFonts w:eastAsia="SimSun" w:cs="Times New Roman"/>
          <w:b/>
          <w:sz w:val="28"/>
          <w:szCs w:val="20"/>
          <w:lang w:val="en-CA" w:eastAsia="zh-CN"/>
        </w:rPr>
        <w:t>III.</w:t>
      </w:r>
      <w:r w:rsidRPr="00363B73">
        <w:rPr>
          <w:rFonts w:eastAsia="SimSun" w:cs="Times New Roman"/>
          <w:b/>
          <w:sz w:val="28"/>
          <w:szCs w:val="20"/>
          <w:lang w:val="en-CA" w:eastAsia="zh-CN"/>
        </w:rPr>
        <w:tab/>
        <w:t>Legal and institutional framework</w:t>
      </w:r>
      <w:bookmarkEnd w:id="6"/>
    </w:p>
    <w:p w14:paraId="6571A14A"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9.</w:t>
      </w:r>
      <w:r w:rsidRPr="00363B73">
        <w:rPr>
          <w:rFonts w:eastAsia="SimSun" w:cs="Times New Roman"/>
          <w:szCs w:val="20"/>
          <w:lang w:val="en-CA" w:eastAsia="zh-CN"/>
        </w:rPr>
        <w:tab/>
        <w:t>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the international treaties it has ratified. Pursuant to article 98 (2), the provisions of the international treaties ratified by Japan are juridically framed as part of domestic law.</w:t>
      </w:r>
    </w:p>
    <w:p w14:paraId="534588C5"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lastRenderedPageBreak/>
        <w:t>10.</w:t>
      </w:r>
      <w:r w:rsidRPr="00363B73">
        <w:rPr>
          <w:rFonts w:eastAsia="SimSun" w:cs="Times New Roman"/>
          <w:szCs w:val="20"/>
          <w:lang w:val="en-CA" w:eastAsia="zh-CN"/>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14:paraId="2D9CD532"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11.</w:t>
      </w:r>
      <w:r w:rsidRPr="00363B73">
        <w:rPr>
          <w:rFonts w:eastAsia="SimSun" w:cs="Times New Roman"/>
          <w:szCs w:val="20"/>
          <w:lang w:val="en-CA" w:eastAsia="zh-CN"/>
        </w:rPr>
        <w:tab/>
        <w:t>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particular relevance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14:paraId="74AB9AA7"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12.</w:t>
      </w:r>
      <w:r w:rsidRPr="00363B73">
        <w:rPr>
          <w:rFonts w:eastAsia="SimSun" w:cs="Times New Roman"/>
          <w:szCs w:val="20"/>
          <w:lang w:val="en-CA" w:eastAsia="zh-CN"/>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14:paraId="76590169"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13.</w:t>
      </w:r>
      <w:r w:rsidRPr="00363B73">
        <w:rPr>
          <w:rFonts w:eastAsia="SimSun" w:cs="Times New Roman"/>
          <w:szCs w:val="20"/>
          <w:lang w:val="en-CA" w:eastAsia="zh-CN"/>
        </w:rPr>
        <w:tab/>
        <w:t>With regard to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 an English version of the principles and guidelines for the elimination of discrimination against persons affected by leprosy and their family members, and a summary in Japanese.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holds a national human rights essay contest for junior high school students.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14:paraId="4F980604" w14:textId="77777777" w:rsidR="00363B73" w:rsidRPr="00363B73" w:rsidRDefault="00363B73" w:rsidP="00363B73">
      <w:pPr>
        <w:keepNext/>
        <w:keepLines/>
        <w:tabs>
          <w:tab w:val="right" w:pos="851"/>
          <w:tab w:val="left" w:pos="1701"/>
        </w:tabs>
        <w:bidi w:val="0"/>
        <w:spacing w:before="360" w:after="240" w:line="30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7" w:name="_Toc44595487"/>
      <w:r w:rsidRPr="00363B73">
        <w:rPr>
          <w:rFonts w:eastAsia="SimSun" w:cs="Times New Roman"/>
          <w:b/>
          <w:sz w:val="28"/>
          <w:szCs w:val="20"/>
          <w:lang w:val="en-CA" w:eastAsia="zh-CN"/>
        </w:rPr>
        <w:t>IV.</w:t>
      </w:r>
      <w:r w:rsidRPr="00363B73">
        <w:rPr>
          <w:rFonts w:eastAsia="SimSun" w:cs="Times New Roman"/>
          <w:b/>
          <w:sz w:val="28"/>
          <w:szCs w:val="20"/>
          <w:lang w:val="en-CA" w:eastAsia="zh-CN"/>
        </w:rPr>
        <w:tab/>
        <w:t>Progress</w:t>
      </w:r>
      <w:bookmarkEnd w:id="7"/>
      <w:r w:rsidRPr="00363B73">
        <w:rPr>
          <w:rFonts w:eastAsia="SimSun" w:cs="Times New Roman"/>
          <w:b/>
          <w:sz w:val="28"/>
          <w:szCs w:val="20"/>
          <w:lang w:val="en-CA" w:eastAsia="zh-CN"/>
        </w:rPr>
        <w:t xml:space="preserve"> </w:t>
      </w:r>
    </w:p>
    <w:p w14:paraId="162B9E73"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8" w:name="_Toc44595488"/>
      <w:r w:rsidRPr="00363B73">
        <w:rPr>
          <w:rFonts w:eastAsia="SimSun" w:cs="Times New Roman"/>
          <w:b/>
          <w:sz w:val="24"/>
          <w:szCs w:val="20"/>
          <w:lang w:val="en-CA" w:eastAsia="zh-CN"/>
        </w:rPr>
        <w:t>A.</w:t>
      </w:r>
      <w:r w:rsidRPr="00363B73">
        <w:rPr>
          <w:rFonts w:eastAsia="SimSun" w:cs="Times New Roman"/>
          <w:b/>
          <w:sz w:val="24"/>
          <w:szCs w:val="20"/>
          <w:lang w:val="en-CA" w:eastAsia="zh-CN"/>
        </w:rPr>
        <w:tab/>
        <w:t>Access to justice and bottom-up legal and policy change: the 2001 lawsuit</w:t>
      </w:r>
      <w:bookmarkEnd w:id="8"/>
    </w:p>
    <w:p w14:paraId="226A50D6"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14.</w:t>
      </w:r>
      <w:r w:rsidRPr="00363B73">
        <w:rPr>
          <w:rFonts w:eastAsia="SimSun" w:cs="Times New Roman"/>
          <w:szCs w:val="20"/>
          <w:lang w:val="en-CA" w:eastAsia="zh-CN"/>
        </w:rPr>
        <w:tab/>
        <w:t xml:space="preserve">The Japanese policy on Hansen’s disease was first made into law in 1907, when Act No. 11 provided that homeless persons with Hansen’s disease were to be isolated in one of </w:t>
      </w:r>
      <w:r w:rsidRPr="00363B73">
        <w:rPr>
          <w:rFonts w:eastAsia="SimSun" w:cs="Times New Roman"/>
          <w:szCs w:val="20"/>
          <w:lang w:val="en-CA" w:eastAsia="zh-CN"/>
        </w:rPr>
        <w:lastRenderedPageBreak/>
        <w:t>five sanatoriums to be set up throughout the country.</w:t>
      </w:r>
      <w:r w:rsidRPr="00363B73">
        <w:rPr>
          <w:rFonts w:eastAsia="SimSun" w:cs="Times New Roman"/>
          <w:sz w:val="18"/>
          <w:szCs w:val="20"/>
          <w:vertAlign w:val="superscript"/>
          <w:lang w:val="en-CA" w:eastAsia="zh-CN"/>
        </w:rPr>
        <w:footnoteReference w:id="5"/>
      </w:r>
      <w:r w:rsidRPr="00363B73">
        <w:rPr>
          <w:rFonts w:ascii="Cambria" w:eastAsia="SimSun" w:hAnsi="Cambria" w:cs="Cambria"/>
          <w:sz w:val="24"/>
          <w:szCs w:val="24"/>
          <w:lang w:val="en-CA" w:eastAsia="zh-CN"/>
        </w:rPr>
        <w:t xml:space="preserve"> </w:t>
      </w:r>
      <w:r w:rsidRPr="00363B73">
        <w:rPr>
          <w:rFonts w:eastAsia="SimSun" w:cs="Times New Roman"/>
          <w:szCs w:val="20"/>
          <w:lang w:val="en-CA" w:eastAsia="zh-CN"/>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363B73">
        <w:rPr>
          <w:rFonts w:eastAsia="SimSun" w:cs="Times New Roman"/>
          <w:sz w:val="18"/>
          <w:szCs w:val="20"/>
          <w:vertAlign w:val="superscript"/>
          <w:lang w:val="en-CA" w:eastAsia="zh-CN"/>
        </w:rPr>
        <w:footnoteReference w:id="6"/>
      </w:r>
      <w:r w:rsidRPr="00363B73">
        <w:rPr>
          <w:rFonts w:eastAsia="SimSun" w:cs="Times New Roman"/>
          <w:szCs w:val="20"/>
          <w:lang w:val="en-CA" w:eastAsia="zh-CN"/>
        </w:rPr>
        <w:t xml:space="preserve"> 1931 was also the year in which the first national sanatorium was inaugurated and the already existing sanatoriums were nationalized. As a consequence, as of that year, the number of individuals forcibly interned in the sanatoriums grew exponentially.</w:t>
      </w:r>
      <w:r w:rsidRPr="00363B73">
        <w:rPr>
          <w:rFonts w:eastAsia="SimSun" w:cs="Times New Roman"/>
          <w:sz w:val="18"/>
          <w:szCs w:val="20"/>
          <w:vertAlign w:val="superscript"/>
          <w:lang w:val="en-CA" w:eastAsia="zh-CN"/>
        </w:rPr>
        <w:footnoteReference w:id="7"/>
      </w:r>
      <w:r w:rsidRPr="00363B73">
        <w:rPr>
          <w:rFonts w:eastAsia="SimSun" w:cs="Times New Roman"/>
          <w:szCs w:val="20"/>
          <w:lang w:val="en-CA" w:eastAsia="zh-CN"/>
        </w:rPr>
        <w:t xml:space="preserve"> </w:t>
      </w:r>
    </w:p>
    <w:p w14:paraId="63ABD7EA"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15.</w:t>
      </w:r>
      <w:r w:rsidRPr="00363B73">
        <w:rPr>
          <w:rFonts w:eastAsia="SimSun" w:cs="Times New Roman"/>
          <w:szCs w:val="20"/>
          <w:lang w:val="en-CA" w:eastAsia="zh-CN"/>
        </w:rPr>
        <w:tab/>
        <w:t>The National Hansen’s Disease Sanatorium Residents’ Association, Zen Ryo Kyo,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Jukambo prison had been installed in Kuryu Rakusen-en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Kyo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363B73">
        <w:rPr>
          <w:rFonts w:eastAsia="SimSun" w:cs="Times New Roman"/>
          <w:sz w:val="18"/>
          <w:szCs w:val="20"/>
          <w:vertAlign w:val="superscript"/>
          <w:lang w:val="en-CA" w:eastAsia="zh-CN"/>
        </w:rPr>
        <w:footnoteReference w:id="8"/>
      </w:r>
    </w:p>
    <w:p w14:paraId="5287125C"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16.</w:t>
      </w:r>
      <w:r w:rsidRPr="00363B73">
        <w:rPr>
          <w:rFonts w:eastAsia="SimSun" w:cs="Times New Roman"/>
          <w:szCs w:val="20"/>
          <w:lang w:val="en-CA" w:eastAsia="zh-CN"/>
        </w:rPr>
        <w:tab/>
        <w:t xml:space="preserve">Despite their efforts, the leprosy prevention law was renewed in 1953, reinforcing the isolation policy and giving sanatorium directors more powers. Sterilization became part of the package with the adoption of the </w:t>
      </w:r>
      <w:bookmarkStart w:id="9" w:name="_Hlk43898876"/>
      <w:r w:rsidRPr="00363B73">
        <w:rPr>
          <w:rFonts w:eastAsia="SimSun" w:cs="Times New Roman"/>
          <w:szCs w:val="20"/>
          <w:lang w:val="en-CA" w:eastAsia="zh-CN"/>
        </w:rPr>
        <w:t xml:space="preserve">eugenics protection law </w:t>
      </w:r>
      <w:bookmarkEnd w:id="9"/>
      <w:r w:rsidRPr="00363B73">
        <w:rPr>
          <w:rFonts w:eastAsia="SimSun" w:cs="Times New Roman"/>
          <w:szCs w:val="20"/>
          <w:lang w:val="en-CA" w:eastAsia="zh-CN"/>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14:paraId="22D831E9"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17.</w:t>
      </w:r>
      <w:r w:rsidRPr="00363B73">
        <w:rPr>
          <w:rFonts w:eastAsia="SimSun" w:cs="Times New Roman"/>
          <w:szCs w:val="20"/>
          <w:lang w:val="en-CA" w:eastAsia="zh-CN"/>
        </w:rPr>
        <w:tab/>
        <w:t>The Act to abolish the leprosy prevention law was not approved until 1996. It provided not only for that law to be abolished, but also established the Government’s responsibility for guaranteeing medical and social services for residents of sanatoriums, and provided that persons affected by Hansen’s disease had the freedom to choose whether to leave, remain in or return to sanatoriums. Also in 1996, the eugenics protection law was revised, becoming the maternal protection law, eliminating the discriminatory clauses, including the provision for forced sterilization. The preamble of the Infectious Diseases Prevention Act of 1998 establishes the importance of acknowledging the fact that discrimination and prejudice against persons affected by Hansen’s disease had been widespread and society should learn from those past experiences.</w:t>
      </w:r>
    </w:p>
    <w:p w14:paraId="5AFF6CFE"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18.</w:t>
      </w:r>
      <w:r w:rsidRPr="00363B73">
        <w:rPr>
          <w:rFonts w:eastAsia="SimSun" w:cs="Times New Roman"/>
          <w:szCs w:val="20"/>
          <w:lang w:val="en-CA" w:eastAsia="zh-CN"/>
        </w:rPr>
        <w:tab/>
        <w:t xml:space="preserve">After 1996, persons affected by Hansen’s disease came to the view that putting an end to segregation was not sufficient to remedy the harm they had suffered and they started organizing and working with legal experts to access justice. In 1998, a group of persons affected by Hansen’s disease went to court demanding an apology and reparation from the State for the discrimination and violations they had suffered as a result of the implementation of the excessively protracted official policy of compulsory segregation. The </w:t>
      </w:r>
      <w:r w:rsidRPr="00363B73">
        <w:rPr>
          <w:rFonts w:eastAsia="SimSun" w:cs="Times New Roman"/>
          <w:szCs w:val="20"/>
          <w:lang w:val="en-CA" w:eastAsia="zh-CN"/>
        </w:rPr>
        <w:lastRenderedPageBreak/>
        <w:t>activism of the 1950s and 1970s was strengthened in the 1990s with strategic litigation.</w:t>
      </w:r>
      <w:r w:rsidRPr="00363B73">
        <w:rPr>
          <w:rFonts w:eastAsia="SimSun" w:cs="Times New Roman"/>
          <w:sz w:val="18"/>
          <w:szCs w:val="20"/>
          <w:vertAlign w:val="superscript"/>
          <w:lang w:val="en-CA" w:eastAsia="zh-CN"/>
        </w:rPr>
        <w:footnoteReference w:id="9"/>
      </w:r>
      <w:r w:rsidRPr="00363B73">
        <w:rPr>
          <w:rFonts w:eastAsia="SimSun" w:cs="Times New Roman"/>
          <w:szCs w:val="20"/>
          <w:lang w:val="en-CA" w:eastAsia="zh-CN"/>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363B73">
        <w:rPr>
          <w:rFonts w:eastAsia="SimSun" w:cs="Times New Roman"/>
          <w:sz w:val="18"/>
          <w:szCs w:val="20"/>
          <w:vertAlign w:val="superscript"/>
          <w:lang w:val="en-CA" w:eastAsia="zh-CN"/>
        </w:rPr>
        <w:footnoteReference w:id="10"/>
      </w:r>
      <w:r w:rsidRPr="00363B73">
        <w:rPr>
          <w:rFonts w:eastAsia="SimSun" w:cs="Times New Roman"/>
          <w:szCs w:val="20"/>
          <w:lang w:val="en-CA" w:eastAsia="zh-CN"/>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14:paraId="140532B4"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19.</w:t>
      </w:r>
      <w:r w:rsidRPr="00363B73">
        <w:rPr>
          <w:rFonts w:eastAsia="SimSun" w:cs="Times New Roman"/>
          <w:szCs w:val="20"/>
          <w:lang w:val="en-CA" w:eastAsia="zh-CN"/>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14:paraId="2676E27B"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20.</w:t>
      </w:r>
      <w:r w:rsidRPr="00363B73">
        <w:rPr>
          <w:rFonts w:eastAsia="SimSun" w:cs="Times New Roman"/>
          <w:szCs w:val="20"/>
          <w:lang w:val="en-CA" w:eastAsia="zh-CN"/>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14:paraId="39DB6047"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21.</w:t>
      </w:r>
      <w:r w:rsidRPr="00363B73">
        <w:rPr>
          <w:rFonts w:eastAsia="SimSun" w:cs="Times New Roman"/>
          <w:szCs w:val="20"/>
          <w:lang w:val="en-CA" w:eastAsia="zh-CN"/>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14:paraId="3009443C"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10" w:name="_Toc44595489"/>
      <w:r w:rsidRPr="00363B73">
        <w:rPr>
          <w:rFonts w:eastAsia="SimSun" w:cs="Times New Roman"/>
          <w:b/>
          <w:sz w:val="24"/>
          <w:szCs w:val="20"/>
          <w:lang w:val="en-CA" w:eastAsia="zh-CN"/>
        </w:rPr>
        <w:t>B.</w:t>
      </w:r>
      <w:r w:rsidRPr="00363B73">
        <w:rPr>
          <w:rFonts w:eastAsia="SimSun" w:cs="Times New Roman"/>
          <w:b/>
          <w:sz w:val="24"/>
          <w:szCs w:val="20"/>
          <w:lang w:val="en-CA" w:eastAsia="zh-CN"/>
        </w:rPr>
        <w:tab/>
        <w:t>Access to justice and bottom-up legal and policy change: the 2019 lawsuit</w:t>
      </w:r>
      <w:bookmarkEnd w:id="10"/>
    </w:p>
    <w:p w14:paraId="6E8B6D5D"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22.</w:t>
      </w:r>
      <w:r w:rsidRPr="00363B73">
        <w:rPr>
          <w:rFonts w:eastAsia="SimSun" w:cs="Times New Roman"/>
          <w:szCs w:val="20"/>
          <w:lang w:val="en-CA" w:eastAsia="zh-CN"/>
        </w:rPr>
        <w:tab/>
        <w:t xml:space="preserve">In 2016, family members of persons who had been segregated in Hansen’s disease sanatoriums filed lawsuits against the Government, seeking compensation and an apology for their own suffering, claiming that they too had suffered discrimination and prejudice under the isolation policy. As a result of the forced segregation policy, family members, many of them at a very young age, suffered deprivation of family relations, loss of family protection, insufficient means of subsistence (despite the 1953 law providing for welfare of </w:t>
      </w:r>
      <w:r w:rsidRPr="00363B73">
        <w:rPr>
          <w:rFonts w:eastAsia="SimSun" w:cs="Times New Roman"/>
          <w:szCs w:val="20"/>
          <w:lang w:val="en-CA" w:eastAsia="zh-CN"/>
        </w:rPr>
        <w:lastRenderedPageBreak/>
        <w:t>families, which was seldom implemented in practice), gaps in childhood development, social aversion, bullying and rejection from peers, social pressure for not having children, and extreme difficulty dealing with childhood traumas in adult life.</w:t>
      </w:r>
      <w:r w:rsidRPr="00363B73">
        <w:rPr>
          <w:rFonts w:eastAsia="SimSun" w:cs="Times New Roman"/>
          <w:sz w:val="18"/>
          <w:szCs w:val="20"/>
          <w:vertAlign w:val="superscript"/>
          <w:lang w:val="en-CA" w:eastAsia="zh-CN"/>
        </w:rPr>
        <w:footnoteReference w:id="11"/>
      </w:r>
      <w:r w:rsidRPr="00363B73">
        <w:rPr>
          <w:rFonts w:eastAsia="SimSun" w:cs="Times New Roman"/>
          <w:szCs w:val="20"/>
          <w:lang w:val="en-CA" w:eastAsia="zh-CN"/>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14:paraId="75EF7222"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23.</w:t>
      </w:r>
      <w:r w:rsidRPr="00363B73">
        <w:rPr>
          <w:rFonts w:eastAsia="SimSun" w:cs="Times New Roman"/>
          <w:szCs w:val="20"/>
          <w:lang w:val="en-CA" w:eastAsia="zh-CN"/>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14:paraId="7DFA6B2C"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24.</w:t>
      </w:r>
      <w:r w:rsidRPr="00363B73">
        <w:rPr>
          <w:rFonts w:eastAsia="SimSun" w:cs="Times New Roman"/>
          <w:szCs w:val="20"/>
          <w:lang w:val="en-CA" w:eastAsia="zh-CN"/>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14:paraId="0AEE7BB0"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25.</w:t>
      </w:r>
      <w:r w:rsidRPr="00363B73">
        <w:rPr>
          <w:rFonts w:eastAsia="SimSun" w:cs="Times New Roman"/>
          <w:szCs w:val="20"/>
          <w:lang w:val="en-CA" w:eastAsia="zh-CN"/>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14:paraId="7A0BB66C"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26.</w:t>
      </w:r>
      <w:r w:rsidRPr="00363B73">
        <w:rPr>
          <w:rFonts w:eastAsia="SimSun" w:cs="Times New Roman"/>
          <w:szCs w:val="20"/>
          <w:lang w:val="en-CA" w:eastAsia="zh-CN"/>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363B73">
        <w:rPr>
          <w:rFonts w:eastAsia="SimSun" w:cs="Times New Roman"/>
          <w:szCs w:val="18"/>
          <w:lang w:val="en-CA" w:eastAsia="zh-CN"/>
        </w:rPr>
        <w:t>A/69/518)</w:t>
      </w:r>
      <w:r w:rsidRPr="00363B73">
        <w:rPr>
          <w:rFonts w:eastAsia="SimSun" w:cs="Times New Roman"/>
          <w:szCs w:val="20"/>
          <w:lang w:val="en-CA" w:eastAsia="zh-CN"/>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general norms and their benefits have important positive spillover effects, one of which is to exemplify the fulfilment of the legal obligation to take the violation of rights seriously. Such historical processes in Japan allowed persons affected by Hansen’s disease and their </w:t>
      </w:r>
      <w:r w:rsidRPr="00363B73">
        <w:rPr>
          <w:rFonts w:eastAsia="SimSun" w:cs="Times New Roman"/>
          <w:szCs w:val="20"/>
          <w:lang w:val="en-CA" w:eastAsia="zh-CN"/>
        </w:rPr>
        <w:lastRenderedPageBreak/>
        <w:t xml:space="preserve">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14:paraId="2E6242E0"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11" w:name="_Toc44595490"/>
      <w:r w:rsidRPr="00363B73">
        <w:rPr>
          <w:rFonts w:eastAsia="SimSun" w:cs="Times New Roman"/>
          <w:b/>
          <w:sz w:val="24"/>
          <w:szCs w:val="20"/>
          <w:lang w:val="en-CA" w:eastAsia="zh-CN"/>
        </w:rPr>
        <w:t>C.</w:t>
      </w:r>
      <w:r w:rsidRPr="00363B73">
        <w:rPr>
          <w:rFonts w:eastAsia="SimSun" w:cs="Times New Roman"/>
          <w:b/>
          <w:sz w:val="24"/>
          <w:szCs w:val="20"/>
          <w:lang w:val="en-CA" w:eastAsia="zh-CN"/>
        </w:rPr>
        <w:tab/>
        <w:t>International cooperation and transnational activism</w:t>
      </w:r>
      <w:bookmarkEnd w:id="11"/>
    </w:p>
    <w:p w14:paraId="0AAC45BF"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27.</w:t>
      </w:r>
      <w:r w:rsidRPr="00363B73">
        <w:rPr>
          <w:rFonts w:eastAsia="SimSun" w:cs="Times New Roman"/>
          <w:szCs w:val="20"/>
          <w:lang w:val="en-CA" w:eastAsia="zh-CN"/>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Sasakawa Health Foundation. Ultimately, however, the wake-up call to recognize persons affected by Hansen’s disease as rights bearers came from the grass roots. </w:t>
      </w:r>
    </w:p>
    <w:p w14:paraId="0DFC76F9"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28.</w:t>
      </w:r>
      <w:r w:rsidRPr="00363B73">
        <w:rPr>
          <w:rFonts w:eastAsia="SimSun" w:cs="Times New Roman"/>
          <w:szCs w:val="20"/>
          <w:lang w:val="en-CA" w:eastAsia="zh-CN"/>
        </w:rPr>
        <w:tab/>
        <w:t>The Japanese endeavour at the international level concerning Hansen’s disease has been led by the Government’s Goodwill Ambassador for the Human Rights of Persons Affected by Leprosy and WHO Goodwill Ambassador for Leprosy Elimination, Yohei Sasakawa.</w:t>
      </w:r>
      <w:r w:rsidRPr="00363B73">
        <w:rPr>
          <w:rFonts w:eastAsia="SimSun" w:cs="Times New Roman"/>
          <w:sz w:val="18"/>
          <w:szCs w:val="20"/>
          <w:vertAlign w:val="superscript"/>
          <w:lang w:val="en-CA" w:eastAsia="zh-CN"/>
        </w:rPr>
        <w:footnoteReference w:id="12"/>
      </w:r>
      <w:r w:rsidRPr="00363B73">
        <w:rPr>
          <w:rFonts w:eastAsia="SimSun" w:cs="Times New Roman"/>
          <w:szCs w:val="20"/>
          <w:lang w:val="en-CA" w:eastAsia="zh-CN"/>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Yohei Sasakawa started to draw attention to stigmatization as a social determinant of Hansen’s disease. The Nippon Foundation joined forces with the Government of Japan in raising the issue at the United Nations and has been promoting annual </w:t>
      </w:r>
      <w:r w:rsidRPr="00363B73">
        <w:rPr>
          <w:rFonts w:eastAsia="SimSun" w:cs="Times New Roman"/>
          <w:szCs w:val="20"/>
          <w:shd w:val="clear" w:color="auto" w:fill="FFFFFF"/>
          <w:lang w:val="en-CA" w:eastAsia="zh-CN"/>
        </w:rPr>
        <w:t>global appeals to end stigma and discrimination</w:t>
      </w:r>
      <w:r w:rsidRPr="00363B73">
        <w:rPr>
          <w:rFonts w:eastAsia="SimSun" w:cs="Times New Roman"/>
          <w:szCs w:val="20"/>
          <w:lang w:val="en-CA" w:eastAsia="zh-CN"/>
        </w:rPr>
        <w:t xml:space="preserve"> since 2006</w:t>
      </w:r>
      <w:r w:rsidRPr="00363B73">
        <w:rPr>
          <w:rFonts w:eastAsia="SimSun" w:cs="Times New Roman"/>
          <w:szCs w:val="20"/>
          <w:shd w:val="clear" w:color="auto" w:fill="FFFFFF"/>
          <w:lang w:val="en-CA" w:eastAsia="zh-CN"/>
        </w:rPr>
        <w:t>. One important strategy pursued by the Sasakawa Health Foundation</w:t>
      </w:r>
      <w:r w:rsidRPr="00363B73">
        <w:rPr>
          <w:rFonts w:eastAsia="SimSun" w:cs="Times New Roman"/>
          <w:szCs w:val="20"/>
          <w:lang w:val="en-CA" w:eastAsia="zh-CN"/>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363B73">
        <w:rPr>
          <w:rFonts w:eastAsia="SimSun" w:cs="Times New Roman"/>
          <w:sz w:val="18"/>
          <w:szCs w:val="20"/>
          <w:vertAlign w:val="superscript"/>
          <w:lang w:val="en-CA" w:eastAsia="zh-CN"/>
        </w:rPr>
        <w:footnoteReference w:id="13"/>
      </w:r>
    </w:p>
    <w:p w14:paraId="296CE5FB"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color w:val="222222"/>
          <w:szCs w:val="20"/>
          <w:shd w:val="clear" w:color="auto" w:fill="FFFFFF"/>
          <w:lang w:val="en-CA" w:eastAsia="zh-CN"/>
        </w:rPr>
        <w:t>29.</w:t>
      </w:r>
      <w:r w:rsidRPr="00363B73">
        <w:rPr>
          <w:rFonts w:eastAsia="SimSun" w:cs="Times New Roman"/>
          <w:color w:val="222222"/>
          <w:szCs w:val="20"/>
          <w:shd w:val="clear" w:color="auto" w:fill="FFFFFF"/>
          <w:lang w:val="en-CA" w:eastAsia="zh-CN"/>
        </w:rPr>
        <w:tab/>
        <w:t xml:space="preserve">The struggle of persons affected </w:t>
      </w:r>
      <w:r w:rsidRPr="00363B73">
        <w:rPr>
          <w:rFonts w:eastAsia="SimSun" w:cs="Times New Roman"/>
          <w:szCs w:val="20"/>
          <w:lang w:val="en-CA" w:eastAsia="zh-CN"/>
        </w:rPr>
        <w:t xml:space="preserve">by Hansen’s disease </w:t>
      </w:r>
      <w:r w:rsidRPr="00363B73">
        <w:rPr>
          <w:rFonts w:eastAsia="SimSun" w:cs="Times New Roman"/>
          <w:color w:val="222222"/>
          <w:szCs w:val="20"/>
          <w:shd w:val="clear" w:color="auto" w:fill="FFFFFF"/>
          <w:lang w:val="en-CA" w:eastAsia="zh-CN"/>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363B73">
        <w:rPr>
          <w:rFonts w:eastAsia="SimSun" w:cs="Times New Roman"/>
          <w:szCs w:val="20"/>
          <w:lang w:val="en-CA" w:eastAsia="zh-CN"/>
        </w:rPr>
        <w:t>disease</w:t>
      </w:r>
      <w:r w:rsidRPr="00363B73">
        <w:rPr>
          <w:rFonts w:eastAsia="SimSun" w:cs="Times New Roman"/>
          <w:color w:val="222222"/>
          <w:szCs w:val="20"/>
          <w:shd w:val="clear" w:color="auto" w:fill="FFFFFF"/>
          <w:lang w:val="en-CA" w:eastAsia="zh-CN"/>
        </w:rPr>
        <w:t>. The National Assembly of the Republic of Korea subsequently passed legislation in 2007 to provide for support to the post-war victims of violations related to Hansen’s disease. Taiwan Province of China followed suit in 2008.</w:t>
      </w:r>
      <w:r w:rsidRPr="00363B73">
        <w:rPr>
          <w:rFonts w:eastAsia="SimSun" w:cs="Times New Roman"/>
          <w:sz w:val="18"/>
          <w:szCs w:val="20"/>
          <w:vertAlign w:val="superscript"/>
          <w:lang w:val="en-CA" w:eastAsia="zh-CN"/>
        </w:rPr>
        <w:footnoteReference w:id="14"/>
      </w:r>
    </w:p>
    <w:p w14:paraId="51BF9883"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12" w:name="_Toc44595491"/>
      <w:r w:rsidRPr="00363B73">
        <w:rPr>
          <w:rFonts w:eastAsia="SimSun" w:cs="Times New Roman"/>
          <w:b/>
          <w:sz w:val="24"/>
          <w:szCs w:val="20"/>
          <w:lang w:val="en-CA" w:eastAsia="zh-CN"/>
        </w:rPr>
        <w:t>D.</w:t>
      </w:r>
      <w:r w:rsidRPr="00363B73">
        <w:rPr>
          <w:rFonts w:eastAsia="SimSun" w:cs="Times New Roman"/>
          <w:b/>
          <w:sz w:val="24"/>
          <w:szCs w:val="20"/>
          <w:lang w:val="en-CA" w:eastAsia="zh-CN"/>
        </w:rPr>
        <w:tab/>
        <w:t>Good practices</w:t>
      </w:r>
      <w:bookmarkEnd w:id="12"/>
      <w:r w:rsidRPr="00363B73">
        <w:rPr>
          <w:rFonts w:eastAsia="SimSun" w:cs="Times New Roman"/>
          <w:b/>
          <w:sz w:val="24"/>
          <w:szCs w:val="20"/>
          <w:lang w:val="en-CA" w:eastAsia="zh-CN"/>
        </w:rPr>
        <w:t xml:space="preserve"> </w:t>
      </w:r>
    </w:p>
    <w:p w14:paraId="3E4ABA9F"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30.</w:t>
      </w:r>
      <w:r w:rsidRPr="00363B73">
        <w:rPr>
          <w:rFonts w:eastAsia="SimSun" w:cs="Times New Roman"/>
          <w:szCs w:val="20"/>
          <w:lang w:val="en-CA" w:eastAsia="zh-CN"/>
        </w:rPr>
        <w:tab/>
        <w:t xml:space="preserve">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for life. Another important dimension is awareness-raising on Hansen’s disease in schools, encompassing accurate medical knowledge, the history of human rights violations, and </w:t>
      </w:r>
      <w:r w:rsidRPr="00363B73">
        <w:rPr>
          <w:rFonts w:eastAsia="SimSun" w:cs="Times New Roman"/>
          <w:szCs w:val="20"/>
          <w:lang w:val="en-CA" w:eastAsia="zh-CN"/>
        </w:rPr>
        <w:lastRenderedPageBreak/>
        <w:t>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14:paraId="53E64837"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31.</w:t>
      </w:r>
      <w:r w:rsidRPr="00363B73">
        <w:rPr>
          <w:rFonts w:eastAsia="SimSun" w:cs="Times New Roman"/>
          <w:szCs w:val="20"/>
          <w:lang w:val="en-CA" w:eastAsia="zh-CN"/>
        </w:rPr>
        <w:tab/>
        <w:t>The National Hansen’s Disease Museum in Tokyo</w:t>
      </w:r>
      <w:r w:rsidRPr="00363B73">
        <w:rPr>
          <w:rFonts w:eastAsia="SimSun" w:cs="Times New Roman"/>
          <w:sz w:val="18"/>
          <w:szCs w:val="20"/>
          <w:vertAlign w:val="superscript"/>
          <w:lang w:val="en-CA" w:eastAsia="zh-CN"/>
        </w:rPr>
        <w:footnoteReference w:id="15"/>
      </w:r>
      <w:r w:rsidRPr="00363B73">
        <w:rPr>
          <w:rFonts w:eastAsia="SimSun" w:cs="Times New Roman"/>
          <w:szCs w:val="20"/>
          <w:lang w:val="en-CA" w:eastAsia="zh-CN"/>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363B73">
        <w:rPr>
          <w:rFonts w:eastAsia="SimSun" w:cs="Times New Roman"/>
          <w:sz w:val="18"/>
          <w:szCs w:val="20"/>
          <w:vertAlign w:val="superscript"/>
          <w:lang w:val="en-CA" w:eastAsia="zh-CN"/>
        </w:rPr>
        <w:footnoteReference w:id="16"/>
      </w:r>
      <w:r w:rsidRPr="00363B73">
        <w:rPr>
          <w:rFonts w:eastAsia="SimSun" w:cs="Times New Roman"/>
          <w:szCs w:val="20"/>
          <w:lang w:val="en-CA" w:eastAsia="zh-CN"/>
        </w:rPr>
        <w:t xml:space="preserve"> Testimonies and oral history are an effective way to counter public forgetting and the partial writing of history, by rescuing the stories of the victims from the private experience of memory.</w:t>
      </w:r>
      <w:r w:rsidRPr="00363B73">
        <w:rPr>
          <w:rFonts w:eastAsia="SimSun" w:cs="Times New Roman"/>
          <w:sz w:val="18"/>
          <w:szCs w:val="20"/>
          <w:vertAlign w:val="superscript"/>
          <w:lang w:val="en-CA" w:eastAsia="zh-CN"/>
        </w:rPr>
        <w:footnoteReference w:id="17"/>
      </w:r>
      <w:r w:rsidRPr="00363B73">
        <w:rPr>
          <w:rFonts w:eastAsia="SimSun" w:cs="Times New Roman"/>
          <w:szCs w:val="20"/>
          <w:lang w:val="en-CA" w:eastAsia="zh-CN"/>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14:paraId="446D59BF"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32.</w:t>
      </w:r>
      <w:r w:rsidRPr="00363B73">
        <w:rPr>
          <w:rFonts w:eastAsia="SimSun" w:cs="Times New Roman"/>
          <w:szCs w:val="20"/>
          <w:lang w:val="en-CA" w:eastAsia="zh-CN"/>
        </w:rPr>
        <w:tab/>
        <w:t>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schoolchildren, through visits to the museums and lectures at schools. Such good practices should be replicated in the 13 sanatoriums.</w:t>
      </w:r>
    </w:p>
    <w:p w14:paraId="3218C037"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33.</w:t>
      </w:r>
      <w:r w:rsidRPr="00363B73">
        <w:rPr>
          <w:rFonts w:eastAsia="SimSun" w:cs="Times New Roman"/>
          <w:szCs w:val="20"/>
          <w:lang w:val="en-CA" w:eastAsia="zh-CN"/>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363B73">
        <w:rPr>
          <w:rFonts w:eastAsia="SimSun" w:cs="Times New Roman"/>
          <w:szCs w:val="18"/>
          <w:lang w:val="en-CA" w:eastAsia="zh-CN"/>
        </w:rPr>
        <w:t>A/HRC/25/49, para. 13)</w:t>
      </w:r>
      <w:r w:rsidRPr="00363B73">
        <w:rPr>
          <w:rFonts w:eastAsia="SimSun" w:cs="Times New Roman"/>
          <w:szCs w:val="20"/>
          <w:lang w:val="en-CA" w:eastAsia="zh-CN"/>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363B73">
        <w:rPr>
          <w:rFonts w:eastAsia="SimSun" w:cs="Times New Roman"/>
          <w:bCs/>
          <w:szCs w:val="20"/>
          <w:lang w:val="en-CA" w:eastAsia="zh-CN"/>
        </w:rPr>
        <w:t>(2009) on the right of everyone to take part in cultural life</w:t>
      </w:r>
      <w:r w:rsidRPr="00363B73">
        <w:rPr>
          <w:rFonts w:eastAsia="SimSun" w:cs="Times New Roman"/>
          <w:szCs w:val="20"/>
          <w:lang w:val="en-CA" w:eastAsia="zh-CN"/>
        </w:rPr>
        <w:t xml:space="preserve">, culture not only mirrors, but also shapes the core guiding values of social life. That is why the right to participate in cultural life closely relates to economic, social and political rights and should duly respect three main components: participation, </w:t>
      </w:r>
      <w:r w:rsidRPr="00363B73">
        <w:rPr>
          <w:rFonts w:eastAsia="SimSun" w:cs="Times New Roman"/>
          <w:szCs w:val="20"/>
          <w:lang w:val="en-CA" w:eastAsia="zh-CN"/>
        </w:rPr>
        <w:lastRenderedPageBreak/>
        <w:t>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efforts to include the Nagashima-aiseien sanatorium on the United Nations Educational, Scientific and Cultural Organization (UNESCO) World Heritage List.</w:t>
      </w:r>
    </w:p>
    <w:p w14:paraId="7A92D0EC" w14:textId="77777777" w:rsidR="00363B73" w:rsidRPr="00363B73" w:rsidRDefault="00363B73" w:rsidP="00363B73">
      <w:pPr>
        <w:keepNext/>
        <w:keepLines/>
        <w:tabs>
          <w:tab w:val="right" w:pos="851"/>
          <w:tab w:val="left" w:pos="1701"/>
        </w:tabs>
        <w:bidi w:val="0"/>
        <w:spacing w:before="360" w:after="240" w:line="30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13" w:name="_Toc44595492"/>
      <w:r w:rsidRPr="00363B73">
        <w:rPr>
          <w:rFonts w:eastAsia="SimSun" w:cs="Times New Roman"/>
          <w:b/>
          <w:sz w:val="28"/>
          <w:szCs w:val="20"/>
          <w:lang w:val="en-CA" w:eastAsia="zh-CN"/>
        </w:rPr>
        <w:t>V.</w:t>
      </w:r>
      <w:r w:rsidRPr="00363B73">
        <w:rPr>
          <w:rFonts w:eastAsia="SimSun" w:cs="Times New Roman"/>
          <w:b/>
          <w:sz w:val="28"/>
          <w:szCs w:val="20"/>
          <w:lang w:val="en-CA" w:eastAsia="zh-CN"/>
        </w:rPr>
        <w:tab/>
        <w:t>Challenges</w:t>
      </w:r>
      <w:bookmarkEnd w:id="13"/>
      <w:r w:rsidRPr="00363B73">
        <w:rPr>
          <w:rFonts w:eastAsia="SimSun" w:cs="Times New Roman"/>
          <w:b/>
          <w:sz w:val="28"/>
          <w:szCs w:val="20"/>
          <w:lang w:val="en-CA" w:eastAsia="zh-CN"/>
        </w:rPr>
        <w:t xml:space="preserve"> </w:t>
      </w:r>
    </w:p>
    <w:p w14:paraId="6D65F0DB"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14" w:name="_Toc44595493"/>
      <w:r w:rsidRPr="00363B73">
        <w:rPr>
          <w:rFonts w:eastAsia="SimSun" w:cs="Times New Roman"/>
          <w:b/>
          <w:sz w:val="24"/>
          <w:szCs w:val="20"/>
          <w:lang w:val="en-CA" w:eastAsia="zh-CN"/>
        </w:rPr>
        <w:t>A.</w:t>
      </w:r>
      <w:r w:rsidRPr="00363B73">
        <w:rPr>
          <w:rFonts w:eastAsia="SimSun" w:cs="Times New Roman"/>
          <w:b/>
          <w:sz w:val="24"/>
          <w:szCs w:val="20"/>
          <w:lang w:val="en-CA" w:eastAsia="zh-CN"/>
        </w:rPr>
        <w:tab/>
        <w:t>Gaps in the reparation scheme</w:t>
      </w:r>
      <w:bookmarkEnd w:id="14"/>
    </w:p>
    <w:p w14:paraId="7AD5FCF6"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34.</w:t>
      </w:r>
      <w:r w:rsidRPr="00363B73">
        <w:rPr>
          <w:rFonts w:eastAsia="SimSun" w:cs="Times New Roman"/>
          <w:szCs w:val="20"/>
          <w:lang w:val="en-CA" w:eastAsia="zh-CN"/>
        </w:rPr>
        <w:tab/>
        <w:t>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with regard to: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363B73">
        <w:rPr>
          <w:rFonts w:eastAsia="SimSun" w:cs="Times New Roman"/>
          <w:sz w:val="18"/>
          <w:szCs w:val="20"/>
          <w:vertAlign w:val="superscript"/>
          <w:lang w:val="en-CA" w:eastAsia="zh-CN"/>
        </w:rPr>
        <w:footnoteReference w:id="18"/>
      </w:r>
    </w:p>
    <w:p w14:paraId="7E566FDC"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35.</w:t>
      </w:r>
      <w:r w:rsidRPr="00363B73">
        <w:rPr>
          <w:rFonts w:eastAsia="SimSun" w:cs="Times New Roman"/>
          <w:szCs w:val="20"/>
          <w:lang w:val="en-CA" w:eastAsia="zh-CN"/>
        </w:rPr>
        <w:tab/>
        <w:t>R</w:t>
      </w:r>
      <w:r w:rsidRPr="00363B73">
        <w:rPr>
          <w:rFonts w:eastAsia="SimSun" w:cs="Times New Roman"/>
          <w:color w:val="000000"/>
          <w:szCs w:val="20"/>
          <w:lang w:val="en-CA" w:eastAsia="zh-CN"/>
        </w:rPr>
        <w:t>edress should fit the needs of the victims and be proportional to the gravity of the violations. It should also duly compensate for any economically assessable damage that resulted from the violations.</w:t>
      </w:r>
      <w:r w:rsidRPr="00363B73">
        <w:rPr>
          <w:rFonts w:eastAsia="SimSun" w:cs="Times New Roman"/>
          <w:sz w:val="18"/>
          <w:szCs w:val="20"/>
          <w:vertAlign w:val="superscript"/>
          <w:lang w:val="en-CA" w:eastAsia="zh-CN"/>
        </w:rPr>
        <w:footnoteReference w:id="19"/>
      </w:r>
      <w:r w:rsidRPr="00363B73">
        <w:rPr>
          <w:rFonts w:eastAsia="SimSun" w:cs="Times New Roman"/>
          <w:szCs w:val="20"/>
          <w:lang w:val="en-CA" w:eastAsia="zh-CN"/>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363B73">
        <w:rPr>
          <w:rFonts w:eastAsia="SimSun" w:cs="Times New Roman"/>
          <w:szCs w:val="18"/>
          <w:lang w:val="en-CA" w:eastAsia="zh-CN"/>
        </w:rPr>
        <w:t xml:space="preserve"> that their alternatives (A/69/518, para. 30)</w:t>
      </w:r>
      <w:r w:rsidRPr="00363B73">
        <w:rPr>
          <w:rFonts w:eastAsia="SimSun" w:cs="Times New Roman"/>
          <w:szCs w:val="20"/>
          <w:lang w:val="en-CA" w:eastAsia="zh-CN"/>
        </w:rPr>
        <w:t xml:space="preserve">. In order for something to count as reparation, it has to be accompanied by an acknowledgment of responsibility and it has to be linked, precisely, to truth, justice and guarantees of non-recurrence (ibid., para. 11). </w:t>
      </w:r>
    </w:p>
    <w:p w14:paraId="550E4CEC"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36.</w:t>
      </w:r>
      <w:r w:rsidRPr="00363B73">
        <w:rPr>
          <w:rFonts w:eastAsia="SimSun" w:cs="Times New Roman"/>
          <w:szCs w:val="20"/>
          <w:lang w:val="en-CA" w:eastAsia="zh-CN"/>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14:paraId="20A9D945"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37.</w:t>
      </w:r>
      <w:r w:rsidRPr="00363B73">
        <w:rPr>
          <w:rFonts w:eastAsia="SimSun" w:cs="Times New Roman"/>
          <w:szCs w:val="20"/>
          <w:lang w:val="en-CA" w:eastAsia="zh-CN"/>
        </w:rPr>
        <w:tab/>
        <w:t>First, the aforementioned measures fail to acknowledge the responsibility of particular professional communities, such as the medical, law, welfare and media communities, as was indicated in 2005 by the Verification Committee in its report.</w:t>
      </w:r>
      <w:r w:rsidRPr="00363B73">
        <w:rPr>
          <w:rFonts w:eastAsia="SimSun" w:cs="Times New Roman"/>
          <w:sz w:val="18"/>
          <w:szCs w:val="20"/>
          <w:vertAlign w:val="superscript"/>
          <w:lang w:val="en-CA" w:eastAsia="zh-CN"/>
        </w:rPr>
        <w:footnoteReference w:id="20"/>
      </w:r>
      <w:r w:rsidRPr="00363B73">
        <w:rPr>
          <w:rFonts w:eastAsia="SimSun" w:cs="Times New Roman"/>
          <w:szCs w:val="20"/>
          <w:lang w:val="en-CA" w:eastAsia="zh-CN"/>
        </w:rPr>
        <w:t xml:space="preserve"> After hearing several testimonies and examining relevant documentation, the Special Rapporteur believes that the medical community in particular should be held accountable for the implementation of the segregation policies and its anomalous extension over time. She nonetheless recognizes that the medical community is not a homogenous group in any </w:t>
      </w:r>
      <w:r w:rsidRPr="00363B73">
        <w:rPr>
          <w:rFonts w:eastAsia="SimSun" w:cs="Times New Roman"/>
          <w:szCs w:val="20"/>
          <w:lang w:val="en-CA" w:eastAsia="zh-CN"/>
        </w:rPr>
        <w:lastRenderedPageBreak/>
        <w:t>State, and that in Japan, a number of medical doctors did oppose the State’s policy of segregation, but their freedom of expression was curtailed.</w:t>
      </w:r>
    </w:p>
    <w:p w14:paraId="2F00F63F"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38.</w:t>
      </w:r>
      <w:r w:rsidRPr="00363B73">
        <w:rPr>
          <w:rFonts w:eastAsia="SimSun" w:cs="Times New Roman"/>
          <w:szCs w:val="20"/>
          <w:lang w:val="en-CA" w:eastAsia="zh-CN"/>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363B73">
        <w:rPr>
          <w:rFonts w:eastAsia="SimSun" w:cs="Times New Roman"/>
          <w:sz w:val="18"/>
          <w:szCs w:val="20"/>
          <w:vertAlign w:val="superscript"/>
          <w:lang w:val="en-CA" w:eastAsia="zh-CN"/>
        </w:rPr>
        <w:footnoteReference w:id="21"/>
      </w:r>
      <w:r w:rsidRPr="00363B73">
        <w:rPr>
          <w:rFonts w:eastAsia="SimSun" w:cs="Times New Roman"/>
          <w:szCs w:val="20"/>
          <w:lang w:val="en-CA" w:eastAsia="zh-CN"/>
        </w:rPr>
        <w:t xml:space="preserve"> </w:t>
      </w:r>
    </w:p>
    <w:p w14:paraId="52F3A1FB"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39.</w:t>
      </w:r>
      <w:r w:rsidRPr="00363B73">
        <w:rPr>
          <w:rFonts w:eastAsia="SimSun" w:cs="Times New Roman"/>
          <w:szCs w:val="20"/>
          <w:lang w:val="en-CA" w:eastAsia="zh-CN"/>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363B73">
        <w:rPr>
          <w:rFonts w:eastAsia="SimSun" w:cs="Times New Roman"/>
          <w:szCs w:val="18"/>
          <w:lang w:val="en-CA" w:eastAsia="zh-CN"/>
        </w:rPr>
        <w:t xml:space="preserve"> (A/74/174)</w:t>
      </w:r>
      <w:r w:rsidRPr="00363B73">
        <w:rPr>
          <w:rFonts w:eastAsia="SimSun" w:cs="Times New Roman"/>
          <w:szCs w:val="20"/>
          <w:lang w:val="en-CA" w:eastAsia="zh-CN"/>
        </w:rPr>
        <w:t>. The same applies to other professions that have great capacity to influence public opinion, such as the media and legal professionals.</w:t>
      </w:r>
    </w:p>
    <w:p w14:paraId="679A04E1"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40.</w:t>
      </w:r>
      <w:r w:rsidRPr="00363B73">
        <w:rPr>
          <w:rFonts w:eastAsia="SimSun" w:cs="Times New Roman"/>
          <w:szCs w:val="20"/>
          <w:lang w:val="en-CA" w:eastAsia="zh-CN"/>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real psychological and social healing, as well as effective systemic change to the way Hansen’s disease is perceived by society at large. </w:t>
      </w:r>
    </w:p>
    <w:p w14:paraId="1ABA1EC1"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41.</w:t>
      </w:r>
      <w:r w:rsidRPr="00363B73">
        <w:rPr>
          <w:rFonts w:eastAsia="SimSun" w:cs="Times New Roman"/>
          <w:szCs w:val="20"/>
          <w:lang w:val="en-CA" w:eastAsia="zh-CN"/>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with regard to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363B73">
        <w:rPr>
          <w:rFonts w:eastAsia="SimSun" w:cs="Times New Roman"/>
          <w:color w:val="000000"/>
          <w:szCs w:val="20"/>
          <w:lang w:val="en-CA" w:eastAsia="zh-CN"/>
        </w:rPr>
        <w:t xml:space="preserve">nurseries </w:t>
      </w:r>
      <w:r w:rsidRPr="00363B73">
        <w:rPr>
          <w:rFonts w:eastAsia="SimSun" w:cs="Times New Roman"/>
          <w:szCs w:val="20"/>
          <w:lang w:val="en-CA" w:eastAsia="zh-CN"/>
        </w:rPr>
        <w:t>and outpatient care to the surrounding community, should be studied for swift replication. The Special Rapporteur agrees with the view of some experts</w:t>
      </w:r>
      <w:r w:rsidRPr="00363B73">
        <w:rPr>
          <w:rFonts w:eastAsia="SimSun" w:cs="Times New Roman"/>
          <w:sz w:val="18"/>
          <w:szCs w:val="20"/>
          <w:vertAlign w:val="superscript"/>
          <w:lang w:val="en-CA" w:eastAsia="zh-CN"/>
        </w:rPr>
        <w:footnoteReference w:id="22"/>
      </w:r>
      <w:r w:rsidRPr="00363B73">
        <w:rPr>
          <w:rFonts w:eastAsia="SimSun" w:cs="Times New Roman"/>
          <w:szCs w:val="20"/>
          <w:lang w:val="en-CA" w:eastAsia="zh-CN"/>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residents, but also former residents and their families. Such additional measures should also be considered as fulfilling satisfaction measures.</w:t>
      </w:r>
    </w:p>
    <w:p w14:paraId="713AA4FB"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42.</w:t>
      </w:r>
      <w:r w:rsidRPr="00363B73">
        <w:rPr>
          <w:rFonts w:eastAsia="SimSun" w:cs="Times New Roman"/>
          <w:szCs w:val="20"/>
          <w:lang w:val="en-CA" w:eastAsia="zh-CN"/>
        </w:rPr>
        <w:tab/>
        <w:t xml:space="preserve">Fourthly, the importance of prevention as part of reparation is highlighted in the Basic Principles and Guidelines on the Right to a Remedy and Reparation for Victims of </w:t>
      </w:r>
      <w:r w:rsidRPr="00363B73">
        <w:rPr>
          <w:rFonts w:eastAsia="SimSun" w:cs="Times New Roman"/>
          <w:szCs w:val="20"/>
          <w:lang w:val="en-CA" w:eastAsia="zh-CN"/>
        </w:rPr>
        <w:lastRenderedPageBreak/>
        <w:t xml:space="preserve">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14:paraId="71D82D56"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43.</w:t>
      </w:r>
      <w:r w:rsidRPr="00363B73">
        <w:rPr>
          <w:rFonts w:eastAsia="SimSun" w:cs="Times New Roman"/>
          <w:szCs w:val="20"/>
          <w:lang w:val="en-CA" w:eastAsia="zh-CN"/>
        </w:rPr>
        <w:tab/>
        <w:t>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sufficient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14:paraId="0D503BB3"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44.</w:t>
      </w:r>
      <w:r w:rsidRPr="00363B73">
        <w:rPr>
          <w:rFonts w:eastAsia="SimSun" w:cs="Times New Roman"/>
          <w:szCs w:val="20"/>
          <w:lang w:val="en-CA" w:eastAsia="zh-CN"/>
        </w:rPr>
        <w:tab/>
        <w:t>Fifthly, the ideal behind a reparation programme is to distribute a set of benefits in such a way as to turn every victim into a beneficiary (</w:t>
      </w:r>
      <w:r w:rsidRPr="00363B73">
        <w:rPr>
          <w:rFonts w:eastAsia="SimSun" w:cs="Times New Roman"/>
          <w:szCs w:val="18"/>
          <w:lang w:val="en-CA" w:eastAsia="zh-CN"/>
        </w:rPr>
        <w:t>A/69/518, para. 23)</w:t>
      </w:r>
      <w:r w:rsidRPr="00363B73">
        <w:rPr>
          <w:rFonts w:eastAsia="SimSun" w:cs="Times New Roman"/>
          <w:szCs w:val="20"/>
          <w:lang w:val="en-CA" w:eastAsia="zh-CN"/>
        </w:rPr>
        <w:t>.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sufficient to remedy the economic damage they had endured. Furthermore, the Special Rapporteur heard from persons who had undergone forced sterilization, who indicated that there had not been sufficient acknowledgement from the State with regard to what was a permanent violation owing to its enduring effects. Some of them therefore continue to demand more substantive compensation, even though their pleas have been denied in the courts on the grounds of the statute of limitation in Japan.</w:t>
      </w:r>
      <w:r w:rsidRPr="00363B73">
        <w:rPr>
          <w:rFonts w:eastAsia="SimSun" w:cs="Times New Roman"/>
          <w:sz w:val="18"/>
          <w:szCs w:val="20"/>
          <w:vertAlign w:val="superscript"/>
          <w:lang w:val="en-CA" w:eastAsia="zh-CN"/>
        </w:rPr>
        <w:footnoteReference w:id="23"/>
      </w:r>
      <w:r w:rsidRPr="00363B73">
        <w:rPr>
          <w:rFonts w:eastAsia="SimSun" w:cs="Times New Roman"/>
          <w:szCs w:val="20"/>
          <w:lang w:val="en-CA" w:eastAsia="zh-CN"/>
        </w:rPr>
        <w:t xml:space="preserve"> The Special Rapporteur also observed with concern the complete absence of any reference to gender both in grass-roots organizations and in the Government reparation programmes and related policies. </w:t>
      </w:r>
    </w:p>
    <w:p w14:paraId="5A0EF474"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45.</w:t>
      </w:r>
      <w:r w:rsidRPr="00363B73">
        <w:rPr>
          <w:rFonts w:eastAsia="SimSun" w:cs="Times New Roman"/>
          <w:szCs w:val="20"/>
          <w:lang w:val="en-CA" w:eastAsia="zh-CN"/>
        </w:rPr>
        <w:tab/>
        <w:t>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societies.</w:t>
      </w:r>
      <w:r w:rsidRPr="00363B73">
        <w:rPr>
          <w:rFonts w:eastAsia="SimSun" w:cs="Times New Roman"/>
          <w:sz w:val="18"/>
          <w:szCs w:val="20"/>
          <w:vertAlign w:val="superscript"/>
          <w:lang w:val="en-CA" w:eastAsia="zh-CN"/>
        </w:rPr>
        <w:footnoteReference w:id="24"/>
      </w:r>
      <w:r w:rsidRPr="00363B73">
        <w:rPr>
          <w:rFonts w:eastAsia="SimSun" w:cs="Times New Roman"/>
          <w:szCs w:val="20"/>
          <w:lang w:val="en-CA" w:eastAsia="zh-CN"/>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w:t>
      </w:r>
      <w:r w:rsidRPr="00363B73">
        <w:rPr>
          <w:rFonts w:eastAsia="SimSun" w:cs="Times New Roman"/>
          <w:szCs w:val="20"/>
          <w:lang w:val="en-CA" w:eastAsia="zh-CN"/>
        </w:rPr>
        <w:lastRenderedPageBreak/>
        <w:t xml:space="preserve">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5" w:name="_Hlk44330620"/>
      <w:r w:rsidRPr="00363B73">
        <w:rPr>
          <w:rFonts w:eastAsia="SimSun" w:cs="Times New Roman"/>
          <w:szCs w:val="20"/>
          <w:lang w:val="en-CA" w:eastAsia="zh-CN"/>
        </w:rPr>
        <w:t xml:space="preserve">resolution 1325 </w:t>
      </w:r>
      <w:bookmarkEnd w:id="15"/>
      <w:r w:rsidRPr="00363B73">
        <w:rPr>
          <w:rFonts w:eastAsia="SimSun" w:cs="Times New Roman"/>
          <w:szCs w:val="20"/>
          <w:lang w:val="en-CA" w:eastAsia="zh-CN"/>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14:paraId="0AC4E959"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46.</w:t>
      </w:r>
      <w:r w:rsidRPr="00363B73">
        <w:rPr>
          <w:rFonts w:eastAsia="SimSun" w:cs="Times New Roman"/>
          <w:szCs w:val="20"/>
          <w:lang w:val="en-CA" w:eastAsia="zh-CN"/>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14:paraId="3F38C1B1"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47.</w:t>
      </w:r>
      <w:r w:rsidRPr="00363B73">
        <w:rPr>
          <w:rFonts w:eastAsia="SimSun" w:cs="Times New Roman"/>
          <w:szCs w:val="20"/>
          <w:lang w:val="en-CA" w:eastAsia="zh-CN"/>
        </w:rPr>
        <w:tab/>
        <w:t>While there have been some spontaneous reencounters between persons affected by Hansen’s disease and their family members, none resulted from a systematic policy, which is still fairly inexistent.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363B73">
        <w:rPr>
          <w:rFonts w:eastAsia="SimSun" w:cs="Times New Roman"/>
          <w:color w:val="000000"/>
          <w:szCs w:val="20"/>
          <w:shd w:val="clear" w:color="auto" w:fill="FFFFFF"/>
          <w:lang w:val="en-CA" w:eastAsia="zh-CN"/>
        </w:rPr>
        <w:t xml:space="preserve">. Under international human rights instruments, the State is obliged to protect the family, including from any illegal or illegitimate arbitrary interference. The </w:t>
      </w:r>
      <w:r w:rsidRPr="00363B73">
        <w:rPr>
          <w:rFonts w:eastAsia="SimSun" w:cs="Times New Roman"/>
          <w:szCs w:val="20"/>
          <w:lang w:val="en-CA" w:eastAsia="zh-CN"/>
        </w:rPr>
        <w:t>Convention on the Rights of Persons with Disabilities</w:t>
      </w:r>
      <w:r w:rsidRPr="00363B73">
        <w:rPr>
          <w:rFonts w:eastAsia="SimSun" w:cs="Times New Roman"/>
          <w:color w:val="000000"/>
          <w:szCs w:val="20"/>
          <w:shd w:val="clear" w:color="auto" w:fill="FFFFFF"/>
          <w:lang w:val="en-CA" w:eastAsia="zh-CN"/>
        </w:rPr>
        <w:t xml:space="preserve"> explicitly prohibits the separation of children from their parents on the grounds of disability.</w:t>
      </w:r>
      <w:r w:rsidRPr="00363B73">
        <w:rPr>
          <w:rFonts w:eastAsia="SimSun" w:cs="Times New Roman"/>
          <w:szCs w:val="20"/>
          <w:lang w:val="en-CA" w:eastAsia="zh-CN"/>
        </w:rPr>
        <w:t xml:space="preserve"> Guideline No. 4 of the principles and guidelines affirms that States should, where possible, support the reunification of families separated in the past as a result of policies and practices relating to persons affected by Hansen’s disease. </w:t>
      </w:r>
    </w:p>
    <w:p w14:paraId="7F6B6C47"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48.</w:t>
      </w:r>
      <w:r w:rsidRPr="00363B73">
        <w:rPr>
          <w:rFonts w:eastAsia="SimSun" w:cs="Times New Roman"/>
          <w:szCs w:val="20"/>
          <w:lang w:val="en-CA" w:eastAsia="zh-CN"/>
        </w:rPr>
        <w:tab/>
        <w:t xml:space="preserve">The Special Rapporteur urges the Government to fulfil </w:t>
      </w:r>
      <w:bookmarkStart w:id="16" w:name="_Hlk37000100"/>
      <w:r w:rsidRPr="00363B73">
        <w:rPr>
          <w:rFonts w:eastAsia="SimSun" w:cs="Times New Roman"/>
          <w:szCs w:val="20"/>
          <w:lang w:val="en-CA" w:eastAsia="zh-CN"/>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6"/>
      <w:r w:rsidRPr="00363B73">
        <w:rPr>
          <w:rFonts w:eastAsia="SimSun" w:cs="Times New Roman"/>
          <w:szCs w:val="20"/>
          <w:lang w:val="en-CA" w:eastAsia="zh-CN"/>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363B73">
        <w:rPr>
          <w:rFonts w:eastAsia="SimSun" w:cs="Times New Roman"/>
          <w:sz w:val="18"/>
          <w:szCs w:val="20"/>
          <w:vertAlign w:val="superscript"/>
          <w:lang w:val="en-CA" w:eastAsia="zh-CN"/>
        </w:rPr>
        <w:footnoteReference w:id="25"/>
      </w:r>
      <w:r w:rsidRPr="00363B73">
        <w:rPr>
          <w:rFonts w:eastAsia="SimSun" w:cs="Times New Roman"/>
          <w:szCs w:val="20"/>
          <w:lang w:val="en-CA" w:eastAsia="zh-CN"/>
        </w:rPr>
        <w:t xml:space="preserve"> As an example, the Special Rapporteur recalls strategies undertaken with regard to indigenous peoples that have been developed under the principles of: </w:t>
      </w:r>
      <w:bookmarkStart w:id="17" w:name="_Hlk37000112"/>
      <w:r w:rsidRPr="00363B73">
        <w:rPr>
          <w:rFonts w:eastAsia="SimSun" w:cs="Times New Roman"/>
          <w:szCs w:val="20"/>
          <w:lang w:val="en-CA" w:eastAsia="zh-CN"/>
        </w:rPr>
        <w:t xml:space="preserve">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w:t>
      </w:r>
      <w:r w:rsidRPr="00363B73">
        <w:rPr>
          <w:rFonts w:eastAsia="SimSun" w:cs="Times New Roman"/>
          <w:szCs w:val="20"/>
          <w:lang w:val="en-CA" w:eastAsia="zh-CN"/>
        </w:rPr>
        <w:lastRenderedPageBreak/>
        <w:t>members and community members in the reunion process; and the establishment and management of a referral network of relevant professionals as required by concerned individuals. The Special Rapporteur adds peer counselling to this package.</w:t>
      </w:r>
    </w:p>
    <w:bookmarkEnd w:id="17"/>
    <w:p w14:paraId="5725DCD9"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18" w:name="_Toc44595494"/>
      <w:r w:rsidRPr="00363B73">
        <w:rPr>
          <w:rFonts w:eastAsia="SimSun" w:cs="Times New Roman"/>
          <w:b/>
          <w:sz w:val="24"/>
          <w:szCs w:val="20"/>
          <w:lang w:val="en-CA" w:eastAsia="zh-CN"/>
        </w:rPr>
        <w:t>B.</w:t>
      </w:r>
      <w:r w:rsidRPr="00363B73">
        <w:rPr>
          <w:rFonts w:eastAsia="SimSun" w:cs="Times New Roman"/>
          <w:b/>
          <w:sz w:val="24"/>
          <w:szCs w:val="20"/>
          <w:lang w:val="en-CA" w:eastAsia="zh-CN"/>
        </w:rPr>
        <w:tab/>
        <w:t>Intersection of Hansen’s disease with ageing</w:t>
      </w:r>
      <w:bookmarkEnd w:id="18"/>
    </w:p>
    <w:p w14:paraId="629650D0"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49.</w:t>
      </w:r>
      <w:r w:rsidRPr="00363B73">
        <w:rPr>
          <w:rFonts w:eastAsia="SimSun" w:cs="Times New Roman"/>
          <w:szCs w:val="20"/>
          <w:lang w:val="en-CA" w:eastAsia="zh-CN"/>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363B73">
        <w:rPr>
          <w:rFonts w:eastAsia="SimSun" w:cs="Times New Roman"/>
          <w:color w:val="000000"/>
          <w:szCs w:val="20"/>
          <w:lang w:val="en-CA" w:eastAsia="zh-CN"/>
        </w:rPr>
        <w:t>educating health-care providers to recognize and address the specific needs of older women; and supporting the participation of older women in educational opportunities for sharing personal experiences, histories and accumulated observations.</w:t>
      </w:r>
      <w:r w:rsidRPr="00363B73">
        <w:rPr>
          <w:rFonts w:eastAsia="SimSun" w:cs="Times New Roman"/>
          <w:sz w:val="18"/>
          <w:szCs w:val="20"/>
          <w:vertAlign w:val="superscript"/>
          <w:lang w:val="en-CA" w:eastAsia="zh-CN"/>
        </w:rPr>
        <w:footnoteReference w:id="26"/>
      </w:r>
    </w:p>
    <w:p w14:paraId="3BA72F8D"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50.</w:t>
      </w:r>
      <w:r w:rsidRPr="00363B73">
        <w:rPr>
          <w:rFonts w:eastAsia="SimSun" w:cs="Times New Roman"/>
          <w:szCs w:val="20"/>
          <w:lang w:val="en-CA" w:eastAsia="zh-CN"/>
        </w:rPr>
        <w:tab/>
        <w:t>Targeted strategies for each of the aforementioned dimensions (</w:t>
      </w:r>
      <w:bookmarkStart w:id="19" w:name="_Hlk37000139"/>
      <w:r w:rsidRPr="00363B73">
        <w:rPr>
          <w:rFonts w:eastAsia="SimSun" w:cs="Times New Roman"/>
          <w:szCs w:val="20"/>
          <w:lang w:val="en-CA" w:eastAsia="zh-CN"/>
        </w:rPr>
        <w:t>ageing, gender, psychosocial and physical disabilities)</w:t>
      </w:r>
      <w:bookmarkEnd w:id="19"/>
      <w:r w:rsidRPr="00363B73">
        <w:rPr>
          <w:rFonts w:eastAsia="SimSun" w:cs="Times New Roman"/>
          <w:szCs w:val="20"/>
          <w:lang w:val="en-CA" w:eastAsia="zh-CN"/>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14:paraId="17D814F5"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51.</w:t>
      </w:r>
      <w:r w:rsidRPr="00363B73">
        <w:rPr>
          <w:rFonts w:eastAsia="SimSun" w:cs="Times New Roman"/>
          <w:szCs w:val="20"/>
          <w:lang w:val="en-CA" w:eastAsia="zh-CN"/>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14:paraId="57A8C196"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52.</w:t>
      </w:r>
      <w:r w:rsidRPr="00363B73">
        <w:rPr>
          <w:rFonts w:eastAsia="SimSun" w:cs="Times New Roman"/>
          <w:szCs w:val="20"/>
          <w:lang w:val="en-CA" w:eastAsia="zh-CN"/>
        </w:rPr>
        <w:tab/>
        <w:t>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unpunished, it can escalate into more serious forms of abuse. The Special Rapporteur recalls that abuse of older persons includes both harmful actions and lack of action,</w:t>
      </w:r>
      <w:r w:rsidRPr="00363B73">
        <w:rPr>
          <w:rFonts w:eastAsia="SimSun" w:cs="Times New Roman"/>
          <w:sz w:val="18"/>
          <w:szCs w:val="20"/>
          <w:vertAlign w:val="superscript"/>
          <w:lang w:val="en-CA" w:eastAsia="zh-CN"/>
        </w:rPr>
        <w:footnoteReference w:id="27"/>
      </w:r>
      <w:r w:rsidRPr="00363B73">
        <w:rPr>
          <w:rFonts w:eastAsia="SimSun" w:cs="Times New Roman"/>
          <w:szCs w:val="20"/>
          <w:lang w:val="en-CA" w:eastAsia="zh-CN"/>
        </w:rPr>
        <w:t xml:space="preserve"> and that older persons affected by Hansen’s disease are a vulnerable group that is entitled to special measures, if needed, to guarantee their human rights.</w:t>
      </w:r>
      <w:r w:rsidRPr="00363B73">
        <w:rPr>
          <w:rFonts w:eastAsia="SimSun" w:cs="Times New Roman"/>
          <w:sz w:val="18"/>
          <w:szCs w:val="20"/>
          <w:vertAlign w:val="superscript"/>
          <w:lang w:val="en-CA" w:eastAsia="zh-CN"/>
        </w:rPr>
        <w:footnoteReference w:id="28"/>
      </w:r>
    </w:p>
    <w:p w14:paraId="00177562"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lastRenderedPageBreak/>
        <w:t>53.</w:t>
      </w:r>
      <w:r w:rsidRPr="00363B73">
        <w:rPr>
          <w:rFonts w:eastAsia="SimSun" w:cs="Times New Roman"/>
          <w:szCs w:val="20"/>
          <w:lang w:val="en-CA" w:eastAsia="zh-CN"/>
        </w:rPr>
        <w:tab/>
        <w:t xml:space="preserve">Older persons affected by Hansen’s disease and related disabilities should never be denied the </w:t>
      </w:r>
      <w:bookmarkStart w:id="20" w:name="_Hlk37000180"/>
      <w:r w:rsidRPr="00363B73">
        <w:rPr>
          <w:rFonts w:eastAsia="SimSun" w:cs="Times New Roman"/>
          <w:szCs w:val="20"/>
          <w:lang w:val="en-CA" w:eastAsia="zh-CN"/>
        </w:rPr>
        <w:t xml:space="preserve">right to legal capacity </w:t>
      </w:r>
      <w:bookmarkEnd w:id="20"/>
      <w:r w:rsidRPr="00363B73">
        <w:rPr>
          <w:rFonts w:eastAsia="SimSun" w:cs="Times New Roman"/>
          <w:szCs w:val="20"/>
          <w:lang w:val="en-CA" w:eastAsia="zh-CN"/>
        </w:rPr>
        <w:t xml:space="preserve">on the grounds of their age or mental health. Instead, older persons should always have the right to receive support in decision-making in any circumstance they may need it. </w:t>
      </w:r>
      <w:bookmarkStart w:id="21" w:name="_Hlk37000190"/>
      <w:r w:rsidRPr="00363B73">
        <w:rPr>
          <w:rFonts w:eastAsia="SimSun" w:cs="Times New Roman"/>
          <w:szCs w:val="20"/>
          <w:lang w:val="en-CA" w:eastAsia="zh-CN"/>
        </w:rPr>
        <w:t xml:space="preserve">Support in decision-making </w:t>
      </w:r>
      <w:bookmarkEnd w:id="21"/>
      <w:r w:rsidRPr="00363B73">
        <w:rPr>
          <w:rFonts w:eastAsia="SimSun" w:cs="Times New Roman"/>
          <w:szCs w:val="20"/>
          <w:lang w:val="en-CA" w:eastAsia="zh-CN"/>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2" w:name="_Hlk37000204"/>
      <w:r w:rsidRPr="00363B73">
        <w:rPr>
          <w:rFonts w:eastAsia="SimSun" w:cs="Times New Roman"/>
          <w:szCs w:val="20"/>
          <w:lang w:val="en-CA" w:eastAsia="zh-CN"/>
        </w:rPr>
        <w:t>personal autonomy in making decisions, in determining their life plans and in leading autonomous and independent lives in line with their will and preferences and on an equal basis with others.</w:t>
      </w:r>
      <w:bookmarkEnd w:id="22"/>
    </w:p>
    <w:p w14:paraId="1EFED492"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54.</w:t>
      </w:r>
      <w:r w:rsidRPr="00363B73">
        <w:rPr>
          <w:rFonts w:eastAsia="SimSun" w:cs="Times New Roman"/>
          <w:szCs w:val="20"/>
          <w:lang w:val="en-CA" w:eastAsia="zh-CN"/>
        </w:rPr>
        <w:tab/>
        <w:t xml:space="preserve">These rights to autonomy, independence and legal capacity in older age are enshrined in </w:t>
      </w:r>
      <w:bookmarkStart w:id="23" w:name="_Hlk37000229"/>
      <w:r w:rsidRPr="00363B73">
        <w:rPr>
          <w:rFonts w:eastAsia="SimSun" w:cs="Times New Roman"/>
          <w:szCs w:val="20"/>
          <w:lang w:val="en-CA" w:eastAsia="zh-CN"/>
        </w:rPr>
        <w:t>the Convention on the Rights of Persons with Disabilities, article 19 of which</w:t>
      </w:r>
      <w:bookmarkEnd w:id="23"/>
      <w:r w:rsidRPr="00363B73">
        <w:rPr>
          <w:rFonts w:eastAsia="SimSun" w:cs="Times New Roman"/>
          <w:szCs w:val="20"/>
          <w:lang w:val="en-CA" w:eastAsia="zh-CN"/>
        </w:rPr>
        <w:t xml:space="preserve"> provides for the right to independent living for persons with disabilities, and applies to older persons with disabilities. For the enjoyment of this right, support services may be required in </w:t>
      </w:r>
      <w:bookmarkStart w:id="24" w:name="_Hlk37000250"/>
      <w:r w:rsidRPr="00363B73">
        <w:rPr>
          <w:rFonts w:eastAsia="SimSun" w:cs="Times New Roman"/>
          <w:szCs w:val="20"/>
          <w:lang w:val="en-CA" w:eastAsia="zh-CN"/>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14:paraId="312D9FB6"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55.</w:t>
      </w:r>
      <w:r w:rsidRPr="00363B73">
        <w:rPr>
          <w:rFonts w:eastAsia="SimSun" w:cs="Times New Roman"/>
          <w:szCs w:val="20"/>
          <w:lang w:val="en-CA" w:eastAsia="zh-CN"/>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363B73">
        <w:rPr>
          <w:rFonts w:eastAsia="SimSun" w:cs="Times New Roman"/>
          <w:szCs w:val="18"/>
          <w:lang w:val="en-CA" w:eastAsia="zh-CN"/>
        </w:rPr>
        <w:t xml:space="preserve"> (A/HRC/30/43, para. 131)</w:t>
      </w:r>
      <w:r w:rsidRPr="00363B73">
        <w:rPr>
          <w:rFonts w:eastAsia="SimSun" w:cs="Times New Roman"/>
          <w:szCs w:val="20"/>
          <w:lang w:val="en-CA" w:eastAsia="zh-CN"/>
        </w:rPr>
        <w:t xml:space="preserve">. </w:t>
      </w:r>
      <w:bookmarkEnd w:id="24"/>
      <w:r w:rsidRPr="00363B73">
        <w:rPr>
          <w:rFonts w:eastAsia="SimSun" w:cs="Times New Roman"/>
          <w:szCs w:val="20"/>
          <w:lang w:val="en-CA" w:eastAsia="zh-CN"/>
        </w:rPr>
        <w:t>Older persons affected by Hansen’s disease should have the right and opportunity to make free and informed decisions on their palliative care.</w:t>
      </w:r>
    </w:p>
    <w:p w14:paraId="3E54D2D9"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56.</w:t>
      </w:r>
      <w:r w:rsidRPr="00363B73">
        <w:rPr>
          <w:rFonts w:eastAsia="SimSun" w:cs="Times New Roman"/>
          <w:szCs w:val="20"/>
          <w:lang w:val="en-CA" w:eastAsia="zh-CN"/>
        </w:rPr>
        <w:tab/>
        <w:t xml:space="preserve">All the aforementioned measures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5" w:name="_Hlk37000271"/>
      <w:r w:rsidRPr="00363B73">
        <w:rPr>
          <w:rFonts w:eastAsia="SimSun" w:cs="Times New Roman"/>
          <w:szCs w:val="20"/>
          <w:lang w:val="en-CA" w:eastAsia="zh-CN"/>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5"/>
    </w:p>
    <w:p w14:paraId="57299E7B" w14:textId="77777777" w:rsidR="00363B73" w:rsidRPr="00363B73" w:rsidRDefault="00363B73" w:rsidP="007149A7">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57.</w:t>
      </w:r>
      <w:r w:rsidRPr="00363B73">
        <w:rPr>
          <w:rFonts w:eastAsia="SimSun" w:cs="Times New Roman"/>
          <w:szCs w:val="20"/>
          <w:lang w:val="en-CA" w:eastAsia="zh-CN"/>
        </w:rPr>
        <w:tab/>
        <w:t>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members will be more in need of redress for the psychosocial effects of discrimination than with regard to ordinary discriminatory events and practices. The Special Rapporteur therefore recommends that the scope of the mechanism be extended to include psychosocial counselling, support, especially peer support, as a means to redress the internalization of stigmatization and to support people to be open about their personal history and to reunite with their families and communities.</w:t>
      </w:r>
    </w:p>
    <w:p w14:paraId="72B1B1BE"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58.</w:t>
      </w:r>
      <w:r w:rsidRPr="00363B73">
        <w:rPr>
          <w:rFonts w:eastAsia="SimSun" w:cs="Times New Roman"/>
          <w:szCs w:val="20"/>
          <w:lang w:val="en-CA" w:eastAsia="zh-CN"/>
        </w:rPr>
        <w:tab/>
        <w:t xml:space="preserve">Moreover, in order to protect older persons affected by Hansen’s disease from any type of abuse, it is necessary that </w:t>
      </w:r>
      <w:bookmarkStart w:id="26" w:name="_Hlk37000290"/>
      <w:r w:rsidRPr="00363B73">
        <w:rPr>
          <w:rFonts w:eastAsia="SimSun" w:cs="Times New Roman"/>
          <w:szCs w:val="20"/>
          <w:lang w:val="en-CA" w:eastAsia="zh-CN"/>
        </w:rPr>
        <w:t xml:space="preserve">the Government establish standards to regulate and </w:t>
      </w:r>
      <w:r w:rsidRPr="00363B73">
        <w:rPr>
          <w:rFonts w:eastAsia="SimSun" w:cs="Times New Roman"/>
          <w:szCs w:val="20"/>
          <w:lang w:val="en-CA" w:eastAsia="zh-CN"/>
        </w:rPr>
        <w:lastRenderedPageBreak/>
        <w:t>monitor the work of caregivers and care providers dealing with issues related to Hansen’s disease. Training health-care workers to acquire structural competence (</w:t>
      </w:r>
      <w:r w:rsidRPr="00363B73">
        <w:rPr>
          <w:rFonts w:eastAsia="SimSun" w:cs="Times New Roman"/>
          <w:szCs w:val="18"/>
          <w:lang w:val="en-CA" w:eastAsia="zh-CN"/>
        </w:rPr>
        <w:t>A/74/174)</w:t>
      </w:r>
      <w:r w:rsidRPr="00363B73">
        <w:rPr>
          <w:rFonts w:eastAsia="SimSun" w:cs="Times New Roman"/>
          <w:szCs w:val="20"/>
          <w:lang w:val="en-CA" w:eastAsia="zh-CN"/>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6"/>
    <w:p w14:paraId="25FCB6CB" w14:textId="77777777" w:rsidR="00363B73" w:rsidRPr="00363B73" w:rsidRDefault="00363B73" w:rsidP="00363B73">
      <w:pPr>
        <w:keepNext/>
        <w:keepLines/>
        <w:tabs>
          <w:tab w:val="right" w:pos="851"/>
          <w:tab w:val="left" w:pos="1701"/>
        </w:tabs>
        <w:bidi w:val="0"/>
        <w:spacing w:before="360" w:after="240" w:line="270" w:lineRule="exact"/>
        <w:ind w:left="1134" w:right="1134" w:hanging="1134"/>
        <w:jc w:val="left"/>
        <w:rPr>
          <w:rFonts w:eastAsia="SimSun" w:cs="Times New Roman"/>
          <w:b/>
          <w:sz w:val="24"/>
          <w:szCs w:val="20"/>
          <w:lang w:val="en-CA" w:eastAsia="zh-CN"/>
        </w:rPr>
      </w:pPr>
      <w:r w:rsidRPr="00363B73">
        <w:rPr>
          <w:rFonts w:eastAsia="SimSun" w:cs="Times New Roman"/>
          <w:b/>
          <w:sz w:val="24"/>
          <w:szCs w:val="20"/>
          <w:lang w:val="en-CA" w:eastAsia="zh-CN"/>
        </w:rPr>
        <w:tab/>
      </w:r>
      <w:bookmarkStart w:id="27" w:name="_Toc44595495"/>
      <w:r w:rsidRPr="00363B73">
        <w:rPr>
          <w:rFonts w:eastAsia="SimSun" w:cs="Times New Roman"/>
          <w:b/>
          <w:sz w:val="24"/>
          <w:szCs w:val="20"/>
          <w:lang w:val="en-CA" w:eastAsia="zh-CN"/>
        </w:rPr>
        <w:t>C.</w:t>
      </w:r>
      <w:r w:rsidRPr="00363B73">
        <w:rPr>
          <w:rFonts w:eastAsia="SimSun" w:cs="Times New Roman"/>
          <w:b/>
          <w:sz w:val="24"/>
          <w:szCs w:val="20"/>
          <w:lang w:val="en-CA" w:eastAsia="zh-CN"/>
        </w:rPr>
        <w:tab/>
        <w:t>Responses from the health system to a rare disease</w:t>
      </w:r>
      <w:bookmarkEnd w:id="27"/>
    </w:p>
    <w:p w14:paraId="6AFD4B75"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59.</w:t>
      </w:r>
      <w:r w:rsidRPr="00363B73">
        <w:rPr>
          <w:rFonts w:eastAsia="SimSun" w:cs="Times New Roman"/>
          <w:szCs w:val="20"/>
          <w:lang w:val="en-CA" w:eastAsia="zh-CN"/>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363B73">
        <w:rPr>
          <w:rFonts w:eastAsia="SimSun" w:cs="Times New Roman"/>
          <w:sz w:val="18"/>
          <w:szCs w:val="20"/>
          <w:vertAlign w:val="superscript"/>
          <w:lang w:val="en-CA" w:eastAsia="zh-CN"/>
        </w:rPr>
        <w:footnoteReference w:id="29"/>
      </w:r>
    </w:p>
    <w:p w14:paraId="1244ACCF"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60.</w:t>
      </w:r>
      <w:r w:rsidRPr="00363B73">
        <w:rPr>
          <w:rFonts w:eastAsia="SimSun" w:cs="Times New Roman"/>
          <w:szCs w:val="20"/>
          <w:lang w:val="en-CA" w:eastAsia="zh-CN"/>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14:paraId="6FA64ADA"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61.</w:t>
      </w:r>
      <w:r w:rsidRPr="00363B73">
        <w:rPr>
          <w:rFonts w:eastAsia="SimSun" w:cs="Times New Roman"/>
          <w:szCs w:val="20"/>
          <w:lang w:val="en-CA" w:eastAsia="zh-CN"/>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imported disease in the country, it might impose an additional burden on immigrants who may already suffer from the difficulties associated with their status, even more so in the event that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with regard to the </w:t>
      </w:r>
      <w:bookmarkStart w:id="28" w:name="_Hlk37000353"/>
      <w:r w:rsidRPr="00363B73">
        <w:rPr>
          <w:rFonts w:eastAsia="SimSun" w:cs="Times New Roman"/>
          <w:szCs w:val="20"/>
          <w:lang w:val="en-CA" w:eastAsia="zh-CN"/>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29" w:name="_Hlk37000382"/>
      <w:bookmarkEnd w:id="28"/>
    </w:p>
    <w:p w14:paraId="59927C3D"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62.</w:t>
      </w:r>
      <w:r w:rsidRPr="00363B73">
        <w:rPr>
          <w:rFonts w:eastAsia="SimSun" w:cs="Times New Roman"/>
          <w:szCs w:val="20"/>
          <w:lang w:val="en-CA" w:eastAsia="zh-CN"/>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29"/>
    <w:p w14:paraId="63B5117D" w14:textId="77777777" w:rsidR="00363B73" w:rsidRPr="00363B73" w:rsidRDefault="00363B73" w:rsidP="00363B73">
      <w:pPr>
        <w:keepNext/>
        <w:keepLines/>
        <w:tabs>
          <w:tab w:val="right" w:pos="851"/>
          <w:tab w:val="left" w:pos="1701"/>
        </w:tabs>
        <w:bidi w:val="0"/>
        <w:spacing w:before="360" w:after="240" w:line="300" w:lineRule="exac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tab/>
      </w:r>
      <w:bookmarkStart w:id="30" w:name="_Toc44595496"/>
      <w:r w:rsidRPr="00363B73">
        <w:rPr>
          <w:rFonts w:eastAsia="SimSun" w:cs="Times New Roman"/>
          <w:b/>
          <w:sz w:val="28"/>
          <w:szCs w:val="20"/>
          <w:lang w:val="en-CA" w:eastAsia="zh-CN"/>
        </w:rPr>
        <w:t>VI.</w:t>
      </w:r>
      <w:r w:rsidRPr="00363B73">
        <w:rPr>
          <w:rFonts w:eastAsia="SimSun" w:cs="Times New Roman"/>
          <w:b/>
          <w:sz w:val="28"/>
          <w:szCs w:val="20"/>
          <w:lang w:val="en-CA" w:eastAsia="zh-CN"/>
        </w:rPr>
        <w:tab/>
        <w:t>Conclusions</w:t>
      </w:r>
      <w:bookmarkEnd w:id="30"/>
    </w:p>
    <w:p w14:paraId="346CE6BE" w14:textId="77777777" w:rsidR="00363B73" w:rsidRPr="00363B73" w:rsidRDefault="00363B73" w:rsidP="00363B73">
      <w:pPr>
        <w:tabs>
          <w:tab w:val="left" w:pos="1701"/>
        </w:tabs>
        <w:bidi w:val="0"/>
        <w:spacing w:after="120" w:line="240" w:lineRule="auto"/>
        <w:ind w:left="1134" w:right="1134"/>
        <w:jc w:val="both"/>
        <w:rPr>
          <w:rFonts w:eastAsia="SimSun" w:cs="Times New Roman"/>
          <w:szCs w:val="20"/>
          <w:lang w:val="en-CA" w:eastAsia="zh-CN"/>
        </w:rPr>
      </w:pPr>
      <w:r w:rsidRPr="00363B73">
        <w:rPr>
          <w:rFonts w:eastAsia="SimSun" w:cs="Times New Roman"/>
          <w:szCs w:val="20"/>
          <w:lang w:val="en-CA" w:eastAsia="zh-CN"/>
        </w:rPr>
        <w:t>63.</w:t>
      </w:r>
      <w:r w:rsidRPr="00363B73">
        <w:rPr>
          <w:rFonts w:eastAsia="SimSun" w:cs="Times New Roman"/>
          <w:szCs w:val="20"/>
          <w:lang w:val="en-CA" w:eastAsia="zh-CN"/>
        </w:rPr>
        <w:tab/>
      </w:r>
      <w:r w:rsidRPr="00363B73">
        <w:rPr>
          <w:rFonts w:eastAsia="SimSun" w:cs="Times New Roman"/>
          <w:b/>
          <w:bCs/>
          <w:szCs w:val="20"/>
          <w:lang w:val="en-CA" w:eastAsia="zh-CN"/>
        </w:rPr>
        <w:t>Japan became a leading protagonist in the global elimination of discrimination against persons affected by Hansen’s disease and their family members by acknowledging the voices and the choices of all of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the highest attainable standard of physical and mental health in the post-elimination context, in which Hansen’s disease acquired the epidemiological and sociological features of a rare disease.</w:t>
      </w:r>
    </w:p>
    <w:p w14:paraId="50DCC3F0" w14:textId="77777777" w:rsidR="00363B73" w:rsidRPr="00363B73" w:rsidRDefault="00363B73" w:rsidP="00363B73">
      <w:pPr>
        <w:keepNext/>
        <w:keepLines/>
        <w:tabs>
          <w:tab w:val="right" w:pos="851"/>
          <w:tab w:val="left" w:pos="1701"/>
        </w:tabs>
        <w:bidi w:val="0"/>
        <w:spacing w:before="360" w:after="240" w:line="232" w:lineRule="atLeast"/>
        <w:ind w:left="1134" w:right="1134" w:hanging="1134"/>
        <w:jc w:val="left"/>
        <w:rPr>
          <w:rFonts w:eastAsia="SimSun" w:cs="Times New Roman"/>
          <w:b/>
          <w:sz w:val="28"/>
          <w:szCs w:val="20"/>
          <w:lang w:val="en-CA" w:eastAsia="zh-CN"/>
        </w:rPr>
      </w:pPr>
      <w:r w:rsidRPr="00363B73">
        <w:rPr>
          <w:rFonts w:eastAsia="SimSun" w:cs="Times New Roman"/>
          <w:b/>
          <w:sz w:val="28"/>
          <w:szCs w:val="20"/>
          <w:lang w:val="en-CA" w:eastAsia="zh-CN"/>
        </w:rPr>
        <w:lastRenderedPageBreak/>
        <w:tab/>
      </w:r>
      <w:bookmarkStart w:id="31" w:name="_Toc44595497"/>
      <w:r w:rsidRPr="00363B73">
        <w:rPr>
          <w:rFonts w:eastAsia="SimSun" w:cs="Times New Roman"/>
          <w:b/>
          <w:sz w:val="28"/>
          <w:szCs w:val="20"/>
          <w:lang w:val="en-CA" w:eastAsia="zh-CN"/>
        </w:rPr>
        <w:t>VII.</w:t>
      </w:r>
      <w:r w:rsidRPr="00363B73">
        <w:rPr>
          <w:rFonts w:eastAsia="SimSun" w:cs="Times New Roman"/>
          <w:b/>
          <w:sz w:val="28"/>
          <w:szCs w:val="20"/>
          <w:lang w:val="en-CA" w:eastAsia="zh-CN"/>
        </w:rPr>
        <w:tab/>
        <w:t>Recommendations</w:t>
      </w:r>
      <w:bookmarkEnd w:id="31"/>
    </w:p>
    <w:p w14:paraId="4055C1E1" w14:textId="77777777" w:rsidR="00363B73" w:rsidRPr="00363B73" w:rsidRDefault="00363B73" w:rsidP="000E45B2">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64.</w:t>
      </w:r>
      <w:r w:rsidRPr="00363B73">
        <w:rPr>
          <w:rFonts w:eastAsia="SimSun" w:cs="Times New Roman"/>
          <w:szCs w:val="20"/>
          <w:lang w:val="en-CA" w:eastAsia="zh-CN"/>
        </w:rPr>
        <w:tab/>
      </w:r>
      <w:r w:rsidRPr="00363B73">
        <w:rPr>
          <w:rFonts w:eastAsia="SimSun" w:cs="Times New Roman"/>
          <w:b/>
          <w:szCs w:val="20"/>
          <w:lang w:val="en-CA" w:eastAsia="zh-CN"/>
        </w:rPr>
        <w:t>The Special Rapporteur recommends that the Government:</w:t>
      </w:r>
    </w:p>
    <w:p w14:paraId="34FB9999" w14:textId="77777777" w:rsidR="00363B73" w:rsidRPr="00363B73" w:rsidRDefault="00363B73" w:rsidP="000E45B2">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ab/>
        <w:t>(a)</w:t>
      </w:r>
      <w:r w:rsidRPr="00363B73">
        <w:rPr>
          <w:rFonts w:eastAsia="SimSun" w:cs="Times New Roman"/>
          <w:szCs w:val="20"/>
          <w:lang w:val="en-CA" w:eastAsia="zh-CN"/>
        </w:rPr>
        <w:tab/>
      </w:r>
      <w:r w:rsidRPr="00363B73">
        <w:rPr>
          <w:rFonts w:eastAsia="SimSun" w:cs="Times New Roman"/>
          <w:b/>
          <w:szCs w:val="20"/>
          <w:lang w:val="en-CA" w:eastAsia="zh-CN"/>
        </w:rPr>
        <w:t xml:space="preserve">Connect restorative justice to prevention. Concrete strategies should be threefold: </w:t>
      </w:r>
    </w:p>
    <w:p w14:paraId="334059A6"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w:t>
      </w:r>
      <w:r w:rsidRPr="00363B73">
        <w:rPr>
          <w:rFonts w:eastAsia="SimSun" w:cs="Times New Roman"/>
          <w:szCs w:val="20"/>
          <w:lang w:val="en-CA" w:eastAsia="zh-CN"/>
        </w:rPr>
        <w:tab/>
      </w:r>
      <w:bookmarkStart w:id="32" w:name="_Hlk44505826"/>
      <w:r w:rsidRPr="00363B73">
        <w:rPr>
          <w:rFonts w:eastAsia="SimSun" w:cs="Times New Roman"/>
          <w:b/>
          <w:szCs w:val="20"/>
          <w:lang w:val="en-CA" w:eastAsia="zh-CN"/>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2"/>
      <w:r w:rsidRPr="00363B73">
        <w:rPr>
          <w:rFonts w:eastAsia="SimSun" w:cs="Times New Roman"/>
          <w:b/>
          <w:szCs w:val="20"/>
          <w:lang w:val="en-CA" w:eastAsia="zh-CN"/>
        </w:rPr>
        <w:t xml:space="preserve">; </w:t>
      </w:r>
    </w:p>
    <w:p w14:paraId="46BC11B1"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(ii)</w:t>
      </w:r>
      <w:r w:rsidRPr="00363B73">
        <w:rPr>
          <w:rFonts w:eastAsia="SimSun" w:cs="Times New Roman"/>
          <w:szCs w:val="20"/>
          <w:lang w:val="en-CA" w:eastAsia="zh-CN"/>
        </w:rPr>
        <w:tab/>
      </w:r>
      <w:r w:rsidRPr="00363B73">
        <w:rPr>
          <w:rFonts w:eastAsia="SimSun" w:cs="Times New Roman"/>
          <w:b/>
          <w:szCs w:val="20"/>
          <w:lang w:val="en-CA" w:eastAsia="zh-CN"/>
        </w:rPr>
        <w:t>Human rights education based on the history of Hansen’s disease should employ first-hand testimonies, personal and collective memories of the struggle for dignity, and the artistic production of persons affected</w:t>
      </w:r>
      <w:r w:rsidRPr="00363B73">
        <w:rPr>
          <w:rFonts w:eastAsia="SimSun" w:cs="Times New Roman"/>
          <w:szCs w:val="20"/>
          <w:lang w:val="en-CA" w:eastAsia="zh-CN"/>
        </w:rPr>
        <w:t xml:space="preserve"> </w:t>
      </w:r>
      <w:r w:rsidRPr="00363B73">
        <w:rPr>
          <w:rFonts w:eastAsia="SimSun" w:cs="Times New Roman"/>
          <w:b/>
          <w:bCs/>
          <w:szCs w:val="20"/>
          <w:lang w:val="en-CA" w:eastAsia="zh-CN"/>
        </w:rPr>
        <w:t>by Hansen’s disease</w:t>
      </w:r>
      <w:r w:rsidRPr="00363B73">
        <w:rPr>
          <w:rFonts w:eastAsia="SimSun" w:cs="Times New Roman"/>
          <w:b/>
          <w:szCs w:val="20"/>
          <w:lang w:val="en-CA" w:eastAsia="zh-CN"/>
        </w:rPr>
        <w:t xml:space="preserve">, in order to </w:t>
      </w:r>
      <w:r w:rsidRPr="00363B73">
        <w:rPr>
          <w:rFonts w:eastAsia="SimSun" w:cs="Times New Roman"/>
          <w:b/>
          <w:color w:val="000000"/>
          <w:szCs w:val="20"/>
          <w:lang w:val="en-CA" w:eastAsia="zh-CN"/>
        </w:rPr>
        <w:t xml:space="preserve">promote awareness of the experience, capabilities and contributions of affected individuals as </w:t>
      </w:r>
      <w:r w:rsidRPr="00363B73">
        <w:rPr>
          <w:rFonts w:eastAsia="SimSun" w:cs="Times New Roman"/>
          <w:b/>
          <w:szCs w:val="20"/>
          <w:lang w:val="en-CA" w:eastAsia="zh-CN"/>
        </w:rPr>
        <w:t>the most effective instrument for achieving systemic change of mindsets;</w:t>
      </w:r>
      <w:r w:rsidRPr="00363B73">
        <w:rPr>
          <w:rFonts w:eastAsia="SimSun" w:cs="Times New Roman"/>
          <w:szCs w:val="20"/>
          <w:lang w:val="en-CA" w:eastAsia="zh-CN"/>
        </w:rPr>
        <w:t xml:space="preserve"> </w:t>
      </w:r>
    </w:p>
    <w:p w14:paraId="37FF8BB8"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(iii)</w:t>
      </w:r>
      <w:r w:rsidRPr="00363B73">
        <w:rPr>
          <w:rFonts w:eastAsia="SimSun" w:cs="Times New Roman"/>
          <w:szCs w:val="20"/>
          <w:lang w:val="en-CA" w:eastAsia="zh-CN"/>
        </w:rPr>
        <w:tab/>
      </w:r>
      <w:r w:rsidRPr="00363B73">
        <w:rPr>
          <w:rFonts w:eastAsia="SimSun" w:cs="Times New Roman"/>
          <w:b/>
          <w:bCs/>
          <w:szCs w:val="20"/>
          <w:lang w:val="en-CA" w:eastAsia="zh-CN"/>
        </w:rPr>
        <w:t>M</w:t>
      </w:r>
      <w:r w:rsidRPr="00363B73">
        <w:rPr>
          <w:rFonts w:eastAsia="SimSun" w:cs="Times New Roman"/>
          <w:b/>
          <w:szCs w:val="20"/>
          <w:lang w:val="en-CA" w:eastAsia="zh-CN"/>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14:paraId="619FD235" w14:textId="77777777" w:rsidR="00363B73" w:rsidRPr="00363B73" w:rsidRDefault="00363B73" w:rsidP="000E45B2">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ab/>
        <w:t>(b)</w:t>
      </w:r>
      <w:r w:rsidRPr="00363B73">
        <w:rPr>
          <w:rFonts w:eastAsia="SimSun" w:cs="Times New Roman"/>
          <w:szCs w:val="20"/>
          <w:lang w:val="en-CA" w:eastAsia="zh-CN"/>
        </w:rPr>
        <w:tab/>
      </w:r>
      <w:r w:rsidRPr="00363B73">
        <w:rPr>
          <w:rFonts w:eastAsia="SimSun" w:cs="Times New Roman"/>
          <w:b/>
          <w:szCs w:val="20"/>
          <w:lang w:val="en-CA" w:eastAsia="zh-CN"/>
        </w:rPr>
        <w:t>Guarantee the non-recurrence of</w:t>
      </w:r>
      <w:r w:rsidRPr="00363B73">
        <w:rPr>
          <w:rFonts w:eastAsia="SimSun" w:cs="Times New Roman"/>
          <w:szCs w:val="20"/>
          <w:lang w:val="en-CA" w:eastAsia="zh-CN"/>
        </w:rPr>
        <w:t xml:space="preserve"> </w:t>
      </w:r>
      <w:r w:rsidRPr="00363B73">
        <w:rPr>
          <w:rFonts w:eastAsia="SimSun" w:cs="Times New Roman"/>
          <w:b/>
          <w:szCs w:val="20"/>
          <w:lang w:val="en-CA" w:eastAsia="zh-CN"/>
        </w:rPr>
        <w:t>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persons affected by Hansen’s disease should be implemented as a priority so as to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14:paraId="4B501637" w14:textId="77777777" w:rsidR="00363B73" w:rsidRPr="00363B73" w:rsidRDefault="00363B73" w:rsidP="000E45B2">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ab/>
        <w:t>(c)</w:t>
      </w:r>
      <w:r w:rsidRPr="00363B73">
        <w:rPr>
          <w:rFonts w:eastAsia="SimSun" w:cs="Times New Roman"/>
          <w:szCs w:val="20"/>
          <w:lang w:val="en-CA" w:eastAsia="zh-CN"/>
        </w:rPr>
        <w:tab/>
      </w:r>
      <w:r w:rsidRPr="00363B73">
        <w:rPr>
          <w:rFonts w:eastAsia="SimSun" w:cs="Times New Roman"/>
          <w:b/>
          <w:szCs w:val="20"/>
          <w:lang w:val="en-CA" w:eastAsia="zh-CN"/>
        </w:rPr>
        <w:t>Implement additional reparation measures, as follows:</w:t>
      </w:r>
      <w:r w:rsidRPr="00363B73">
        <w:rPr>
          <w:rFonts w:eastAsia="SimSun" w:cs="Times New Roman"/>
          <w:szCs w:val="20"/>
          <w:lang w:val="en-CA" w:eastAsia="zh-CN"/>
        </w:rPr>
        <w:t xml:space="preserve"> </w:t>
      </w:r>
    </w:p>
    <w:p w14:paraId="5A712973"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w:t>
      </w:r>
      <w:r w:rsidRPr="00363B73">
        <w:rPr>
          <w:rFonts w:eastAsia="SimSun" w:cs="Times New Roman"/>
          <w:szCs w:val="20"/>
          <w:lang w:val="en-CA" w:eastAsia="zh-CN"/>
        </w:rPr>
        <w:tab/>
      </w:r>
      <w:r w:rsidRPr="00363B73">
        <w:rPr>
          <w:rFonts w:eastAsia="SimSun" w:cs="Times New Roman"/>
          <w:b/>
          <w:bCs/>
          <w:szCs w:val="20"/>
          <w:lang w:val="en-CA" w:eastAsia="zh-CN"/>
        </w:rPr>
        <w:t>Ensure that r</w:t>
      </w:r>
      <w:r w:rsidRPr="00363B73">
        <w:rPr>
          <w:rFonts w:eastAsia="SimSun" w:cs="Times New Roman"/>
          <w:b/>
          <w:szCs w:val="20"/>
          <w:lang w:val="en-CA" w:eastAsia="zh-CN"/>
        </w:rPr>
        <w:t>ehabilitation, including psychosocial support, is available to persons affected by Hansen’s disease and their family members as part of the reparation schemes;</w:t>
      </w:r>
      <w:r w:rsidRPr="00363B73">
        <w:rPr>
          <w:rFonts w:eastAsia="SimSun" w:cs="Times New Roman"/>
          <w:szCs w:val="20"/>
          <w:lang w:val="en-CA" w:eastAsia="zh-CN"/>
        </w:rPr>
        <w:t xml:space="preserve"> </w:t>
      </w:r>
    </w:p>
    <w:p w14:paraId="42500914"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(ii)</w:t>
      </w:r>
      <w:r w:rsidRPr="00363B73">
        <w:rPr>
          <w:rFonts w:eastAsia="SimSun" w:cs="Times New Roman"/>
          <w:szCs w:val="20"/>
          <w:lang w:val="en-CA" w:eastAsia="zh-CN"/>
        </w:rPr>
        <w:tab/>
      </w:r>
      <w:r w:rsidRPr="00363B73">
        <w:rPr>
          <w:rFonts w:eastAsia="SimSun" w:cs="Times New Roman"/>
          <w:b/>
          <w:szCs w:val="20"/>
          <w:lang w:val="en-CA" w:eastAsia="zh-CN"/>
        </w:rPr>
        <w:t>Ensure that the voices of women affected by Hansen’s disease and their female family members, including their artistic expressions, are collected and heard in order to ensure a gender dimension to awareness-raising and follow-up to existing remedies;</w:t>
      </w:r>
    </w:p>
    <w:p w14:paraId="1379181D" w14:textId="77777777" w:rsidR="00363B73" w:rsidRPr="00363B73" w:rsidRDefault="00363B73" w:rsidP="000E45B2">
      <w:pPr>
        <w:tabs>
          <w:tab w:val="left" w:pos="1701"/>
        </w:tabs>
        <w:bidi w:val="0"/>
        <w:spacing w:after="120" w:line="240" w:lineRule="exact"/>
        <w:ind w:left="1701" w:right="1134"/>
        <w:jc w:val="both"/>
        <w:rPr>
          <w:rFonts w:eastAsia="SimSun" w:cs="Times New Roman"/>
          <w:szCs w:val="20"/>
          <w:lang w:val="en-CA" w:eastAsia="zh-CN"/>
        </w:rPr>
      </w:pPr>
      <w:r w:rsidRPr="00363B73">
        <w:rPr>
          <w:rFonts w:eastAsia="SimSun" w:cs="Times New Roman"/>
          <w:szCs w:val="20"/>
          <w:lang w:val="en-CA" w:eastAsia="zh-CN"/>
        </w:rPr>
        <w:t>(iii)</w:t>
      </w:r>
      <w:r w:rsidRPr="00363B73">
        <w:rPr>
          <w:rFonts w:eastAsia="SimSun" w:cs="Times New Roman"/>
          <w:szCs w:val="20"/>
          <w:lang w:val="en-CA" w:eastAsia="zh-CN"/>
        </w:rPr>
        <w:tab/>
      </w:r>
      <w:r w:rsidRPr="00363B73">
        <w:rPr>
          <w:rFonts w:eastAsia="SimSun" w:cs="Times New Roman"/>
          <w:b/>
          <w:szCs w:val="20"/>
          <w:lang w:val="en-CA" w:eastAsia="zh-CN"/>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14:paraId="279ECDD4" w14:textId="77777777" w:rsidR="00363B73" w:rsidRPr="00363B73" w:rsidRDefault="00363B73" w:rsidP="000E45B2">
      <w:pPr>
        <w:tabs>
          <w:tab w:val="left" w:pos="1701"/>
        </w:tabs>
        <w:bidi w:val="0"/>
        <w:spacing w:after="120" w:line="240" w:lineRule="exact"/>
        <w:ind w:left="1134" w:right="1134"/>
        <w:jc w:val="both"/>
        <w:rPr>
          <w:rFonts w:eastAsia="SimSun" w:cs="Times New Roman"/>
          <w:szCs w:val="20"/>
          <w:lang w:val="en-CA" w:eastAsia="zh-CN"/>
        </w:rPr>
      </w:pPr>
      <w:r w:rsidRPr="00363B73">
        <w:rPr>
          <w:rFonts w:eastAsia="SimSun" w:cs="Times New Roman"/>
          <w:szCs w:val="20"/>
          <w:lang w:val="en-CA" w:eastAsia="zh-CN"/>
        </w:rPr>
        <w:tab/>
        <w:t>(d)</w:t>
      </w:r>
      <w:r w:rsidRPr="00363B73">
        <w:rPr>
          <w:rFonts w:eastAsia="SimSun" w:cs="Times New Roman"/>
          <w:szCs w:val="20"/>
          <w:lang w:val="en-CA" w:eastAsia="zh-CN"/>
        </w:rPr>
        <w:tab/>
      </w:r>
      <w:r w:rsidRPr="00363B73">
        <w:rPr>
          <w:rFonts w:eastAsia="SimSun" w:cs="Times New Roman"/>
          <w:b/>
          <w:szCs w:val="20"/>
          <w:lang w:val="en-CA" w:eastAsia="zh-CN"/>
        </w:rPr>
        <w:t>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and benchmarks; community-based strategies; the availability of counselling and peer counselling; and the establishment of a referral network of relevant professionals;</w:t>
      </w:r>
    </w:p>
    <w:p w14:paraId="124B07D3" w14:textId="77777777" w:rsidR="00363B73" w:rsidRPr="00363B73" w:rsidRDefault="00363B73" w:rsidP="00363B73">
      <w:pPr>
        <w:tabs>
          <w:tab w:val="left" w:pos="1701"/>
        </w:tabs>
        <w:bidi w:val="0"/>
        <w:spacing w:after="120" w:line="232" w:lineRule="atLeast"/>
        <w:ind w:left="1134" w:right="1134"/>
        <w:jc w:val="both"/>
        <w:rPr>
          <w:rFonts w:eastAsia="SimSun" w:cs="Times New Roman"/>
          <w:szCs w:val="20"/>
          <w:lang w:val="en-CA" w:eastAsia="zh-CN"/>
        </w:rPr>
      </w:pPr>
      <w:r w:rsidRPr="00363B73">
        <w:rPr>
          <w:rFonts w:eastAsia="SimSun" w:cs="Times New Roman"/>
          <w:szCs w:val="20"/>
          <w:lang w:val="en-CA" w:eastAsia="zh-CN"/>
        </w:rPr>
        <w:lastRenderedPageBreak/>
        <w:tab/>
        <w:t>(e)</w:t>
      </w:r>
      <w:r w:rsidRPr="00363B73">
        <w:rPr>
          <w:rFonts w:eastAsia="SimSun" w:cs="Times New Roman"/>
          <w:szCs w:val="20"/>
          <w:lang w:val="en-CA" w:eastAsia="zh-CN"/>
        </w:rPr>
        <w:tab/>
      </w:r>
      <w:r w:rsidRPr="00363B73">
        <w:rPr>
          <w:rFonts w:eastAsia="SimSun" w:cs="Times New Roman"/>
          <w:b/>
          <w:szCs w:val="20"/>
          <w:lang w:val="en-CA" w:eastAsia="zh-CN"/>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Pr="00363B73">
        <w:rPr>
          <w:rFonts w:eastAsia="SimSun" w:cs="Times New Roman"/>
          <w:b/>
          <w:bCs/>
          <w:szCs w:val="20"/>
          <w:lang w:val="en-CA" w:eastAsia="zh-CN"/>
        </w:rPr>
        <w:t>by Hansen’s disease</w:t>
      </w:r>
      <w:r w:rsidRPr="00363B73">
        <w:rPr>
          <w:rFonts w:eastAsia="SimSun" w:cs="Times New Roman"/>
          <w:b/>
          <w:szCs w:val="20"/>
          <w:lang w:val="en-CA" w:eastAsia="zh-CN"/>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14:paraId="6377D9E8" w14:textId="77777777" w:rsidR="00363B73" w:rsidRPr="00363B73" w:rsidRDefault="00363B73" w:rsidP="00363B73">
      <w:pPr>
        <w:tabs>
          <w:tab w:val="left" w:pos="1701"/>
        </w:tabs>
        <w:bidi w:val="0"/>
        <w:spacing w:after="120" w:line="232" w:lineRule="atLeast"/>
        <w:ind w:left="1134" w:right="1134"/>
        <w:jc w:val="both"/>
        <w:rPr>
          <w:rFonts w:eastAsia="SimSun" w:cs="Times New Roman"/>
          <w:b/>
          <w:szCs w:val="20"/>
          <w:lang w:val="en-CA" w:eastAsia="zh-CN"/>
        </w:rPr>
      </w:pPr>
      <w:r w:rsidRPr="00363B73">
        <w:rPr>
          <w:rFonts w:eastAsia="SimSun" w:cs="Times New Roman"/>
          <w:szCs w:val="20"/>
          <w:lang w:val="en-CA" w:eastAsia="zh-CN"/>
        </w:rPr>
        <w:tab/>
        <w:t>(f)</w:t>
      </w:r>
      <w:r w:rsidRPr="00363B73">
        <w:rPr>
          <w:rFonts w:eastAsia="SimSun" w:cs="Times New Roman"/>
          <w:szCs w:val="20"/>
          <w:lang w:val="en-CA" w:eastAsia="zh-CN"/>
        </w:rPr>
        <w:tab/>
      </w:r>
      <w:r w:rsidRPr="00363B73">
        <w:rPr>
          <w:rFonts w:eastAsia="SimSun" w:cs="Times New Roman"/>
          <w:b/>
          <w:szCs w:val="20"/>
          <w:lang w:val="en-CA" w:eastAsia="zh-CN"/>
        </w:rPr>
        <w:t>Provide resources to register existing good practices and scale them up into the field of international North-South and triangular cooperation relations. Support the application to include the Nagashima-aiseien Sanatorium on the UNESCO World Heritage List. Support the due recognition of older persons’ rights in international human rights law.</w:t>
      </w:r>
    </w:p>
    <w:p w14:paraId="70B16338" w14:textId="2098E197" w:rsidR="00363B73" w:rsidRPr="000E45B2" w:rsidRDefault="000E45B2" w:rsidP="000E45B2">
      <w:pPr>
        <w:spacing w:before="120"/>
        <w:jc w:val="center"/>
        <w:rPr>
          <w:u w:val="single"/>
          <w:lang w:val="en-CA"/>
        </w:rPr>
      </w:pPr>
      <w:r>
        <w:rPr>
          <w:u w:val="single"/>
          <w:rtl/>
          <w:lang w:val="en-CA"/>
        </w:rPr>
        <w:tab/>
      </w:r>
      <w:r>
        <w:rPr>
          <w:u w:val="single"/>
          <w:rtl/>
          <w:lang w:val="en-CA"/>
        </w:rPr>
        <w:tab/>
      </w:r>
      <w:r>
        <w:rPr>
          <w:u w:val="single"/>
          <w:rtl/>
          <w:lang w:val="en-CA"/>
        </w:rPr>
        <w:tab/>
      </w:r>
    </w:p>
    <w:sectPr w:rsidR="00363B73" w:rsidRPr="000E45B2" w:rsidSect="00D00C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01E11" w14:textId="77777777" w:rsidR="007401AD" w:rsidRPr="002901D9" w:rsidRDefault="007401AD" w:rsidP="002901D9">
      <w:pPr>
        <w:spacing w:after="60" w:line="240" w:lineRule="auto"/>
        <w:rPr>
          <w:i/>
          <w:iCs/>
        </w:rPr>
      </w:pPr>
      <w:r>
        <w:rPr>
          <w:rFonts w:hint="cs"/>
          <w:i/>
          <w:iCs/>
          <w:rtl/>
        </w:rPr>
        <w:t>الحواشي</w:t>
      </w:r>
    </w:p>
  </w:endnote>
  <w:endnote w:type="continuationSeparator" w:id="0">
    <w:p w14:paraId="5068CD21" w14:textId="77777777" w:rsidR="007401AD" w:rsidRDefault="007401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06B47" w14:textId="77777777" w:rsidR="00D00CEB" w:rsidRPr="00281551" w:rsidRDefault="00281551" w:rsidP="00281551">
    <w:pPr>
      <w:pStyle w:val="Footer"/>
      <w:tabs>
        <w:tab w:val="right" w:pos="9598"/>
      </w:tabs>
      <w:rPr>
        <w:sz w:val="17"/>
      </w:rPr>
    </w:pPr>
    <w:r>
      <w:rPr>
        <w:sz w:val="17"/>
      </w:rPr>
      <w:t>GE.20-08960</w:t>
    </w:r>
    <w:r>
      <w:rPr>
        <w:sz w:val="17"/>
      </w:rPr>
      <w:tab/>
    </w:r>
    <w:r w:rsidRPr="00281551">
      <w:rPr>
        <w:b/>
        <w:sz w:val="18"/>
      </w:rPr>
      <w:fldChar w:fldCharType="begin"/>
    </w:r>
    <w:r w:rsidRPr="00281551">
      <w:rPr>
        <w:b/>
        <w:sz w:val="18"/>
      </w:rPr>
      <w:instrText xml:space="preserve"> PAGE  \* MERGEFORMAT </w:instrText>
    </w:r>
    <w:r w:rsidRPr="00281551">
      <w:rPr>
        <w:b/>
        <w:sz w:val="18"/>
      </w:rPr>
      <w:fldChar w:fldCharType="separate"/>
    </w:r>
    <w:r>
      <w:rPr>
        <w:b/>
        <w:sz w:val="18"/>
      </w:rPr>
      <w:t>2</w:t>
    </w:r>
    <w:r w:rsidRPr="002815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B5E30" w14:textId="77777777" w:rsidR="006959B0" w:rsidRPr="00281551" w:rsidRDefault="00281551" w:rsidP="006959B0">
    <w:pPr>
      <w:pStyle w:val="Footer"/>
      <w:tabs>
        <w:tab w:val="right" w:pos="9599"/>
      </w:tabs>
      <w:jc w:val="left"/>
      <w:rPr>
        <w:b/>
        <w:sz w:val="18"/>
        <w:lang w:val="en-US"/>
      </w:rPr>
    </w:pPr>
    <w:r w:rsidRPr="00281551">
      <w:rPr>
        <w:b/>
        <w:sz w:val="18"/>
        <w:lang w:val="en-US"/>
      </w:rPr>
      <w:fldChar w:fldCharType="begin"/>
    </w:r>
    <w:r w:rsidRPr="00281551">
      <w:rPr>
        <w:b/>
        <w:sz w:val="18"/>
        <w:lang w:val="en-US"/>
      </w:rPr>
      <w:instrText xml:space="preserve"> PAGE  \* MERGEFORMAT </w:instrText>
    </w:r>
    <w:r w:rsidRPr="00281551">
      <w:rPr>
        <w:b/>
        <w:sz w:val="18"/>
        <w:lang w:val="en-US"/>
      </w:rPr>
      <w:fldChar w:fldCharType="separate"/>
    </w:r>
    <w:r w:rsidRPr="00281551">
      <w:rPr>
        <w:b/>
        <w:noProof/>
        <w:sz w:val="18"/>
        <w:lang w:val="en-US"/>
      </w:rPr>
      <w:t>3</w:t>
    </w:r>
    <w:r w:rsidRPr="00281551">
      <w:rPr>
        <w:b/>
        <w:sz w:val="18"/>
        <w:lang w:val="en-US"/>
      </w:rPr>
      <w:fldChar w:fldCharType="end"/>
    </w:r>
    <w:r>
      <w:rPr>
        <w:b/>
        <w:sz w:val="18"/>
        <w:lang w:val="en-US"/>
      </w:rPr>
      <w:tab/>
    </w:r>
    <w:r>
      <w:rPr>
        <w:sz w:val="17"/>
        <w:lang w:val="en-US"/>
      </w:rPr>
      <w:t>GE.20-08960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EF4B3" w14:textId="27CE291A" w:rsidR="00FD4BC9" w:rsidRDefault="00D00CEB" w:rsidP="00F6741C">
    <w:pPr>
      <w:pStyle w:val="Footer"/>
      <w:spacing w:before="360"/>
      <w:jc w:val="right"/>
      <w:rPr>
        <w:sz w:val="20"/>
        <w:szCs w:val="20"/>
      </w:rPr>
    </w:pPr>
    <w:r>
      <w:rPr>
        <w:sz w:val="20"/>
        <w:szCs w:val="20"/>
      </w:rPr>
      <w:t>GE.20-08960</w:t>
    </w:r>
    <w:r w:rsidR="00830C84">
      <w:rPr>
        <w:noProof/>
      </w:rPr>
      <w:drawing>
        <wp:anchor distT="0" distB="0" distL="114300" distR="114300" simplePos="0" relativeHeight="251657728" behindDoc="1" locked="1" layoutInCell="0" allowOverlap="1" wp14:anchorId="78ADDE13" wp14:editId="7C4CC27D">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68E5609" w14:textId="6849D45C" w:rsidR="00D00CEB" w:rsidRPr="00D00CEB" w:rsidRDefault="00D00CEB" w:rsidP="00D00CE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830C84">
      <w:rPr>
        <w:noProof/>
      </w:rPr>
      <w:drawing>
        <wp:anchor distT="0" distB="0" distL="114300" distR="114300" simplePos="0" relativeHeight="251659776" behindDoc="0" locked="0" layoutInCell="1" allowOverlap="1" wp14:anchorId="412D7224" wp14:editId="3C9CD951">
          <wp:simplePos x="0" y="0"/>
          <wp:positionH relativeFrom="page">
            <wp:posOffset>719455</wp:posOffset>
          </wp:positionH>
          <wp:positionV relativeFrom="page">
            <wp:posOffset>9611995</wp:posOffset>
          </wp:positionV>
          <wp:extent cx="562610" cy="562610"/>
          <wp:effectExtent l="0" t="0" r="0" b="0"/>
          <wp:wrapNone/>
          <wp:docPr id="2" name="Picture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CEF34" w14:textId="77777777" w:rsidR="007401AD" w:rsidRPr="0054762C" w:rsidRDefault="007401AD" w:rsidP="007149A7">
      <w:pPr>
        <w:pStyle w:val="Footer"/>
        <w:spacing w:after="80" w:line="200" w:lineRule="exact"/>
        <w:ind w:left="680"/>
      </w:pPr>
      <w:r>
        <w:rPr>
          <w:rtl/>
        </w:rPr>
        <w:t>__________</w:t>
      </w:r>
    </w:p>
  </w:footnote>
  <w:footnote w:type="continuationSeparator" w:id="0">
    <w:p w14:paraId="0BFB8496" w14:textId="77777777" w:rsidR="007401AD" w:rsidRDefault="007401AD" w:rsidP="00656392">
      <w:pPr>
        <w:spacing w:line="240" w:lineRule="auto"/>
      </w:pPr>
      <w:r>
        <w:continuationSeparator/>
      </w:r>
    </w:p>
  </w:footnote>
  <w:footnote w:id="1">
    <w:p w14:paraId="07EF723A"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WHO, “Global leprosy update 2018: moving towards a leprosy-free world”, </w:t>
      </w:r>
      <w:r w:rsidRPr="007149A7">
        <w:rPr>
          <w:i/>
          <w:iCs/>
          <w:sz w:val="18"/>
          <w:szCs w:val="18"/>
        </w:rPr>
        <w:t>Weekly Epidemiological Record</w:t>
      </w:r>
      <w:r w:rsidRPr="007149A7">
        <w:rPr>
          <w:sz w:val="18"/>
          <w:szCs w:val="18"/>
        </w:rPr>
        <w:t xml:space="preserve">, vol. 94, Nos. </w:t>
      </w:r>
      <w:r w:rsidRPr="007149A7">
        <w:rPr>
          <w:sz w:val="18"/>
          <w:szCs w:val="18"/>
          <w:cs/>
        </w:rPr>
        <w:t>‎</w:t>
      </w:r>
      <w:r w:rsidRPr="007149A7">
        <w:rPr>
          <w:sz w:val="18"/>
          <w:szCs w:val="18"/>
        </w:rPr>
        <w:t>35/36</w:t>
      </w:r>
      <w:r w:rsidRPr="007149A7">
        <w:rPr>
          <w:sz w:val="18"/>
          <w:szCs w:val="18"/>
          <w:cs/>
        </w:rPr>
        <w:t>‎</w:t>
      </w:r>
      <w:r w:rsidRPr="007149A7">
        <w:rPr>
          <w:sz w:val="18"/>
          <w:szCs w:val="18"/>
        </w:rPr>
        <w:t xml:space="preserve"> (30 August 2019). </w:t>
      </w:r>
    </w:p>
  </w:footnote>
  <w:footnote w:id="2">
    <w:p w14:paraId="07FDBF7D"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G.H. Faget and others, “Present status of promin treatment in leprosy”, </w:t>
      </w:r>
      <w:r w:rsidRPr="007149A7">
        <w:rPr>
          <w:i/>
          <w:iCs/>
          <w:sz w:val="18"/>
          <w:szCs w:val="18"/>
        </w:rPr>
        <w:t>International Journal of Leprosy</w:t>
      </w:r>
      <w:r w:rsidRPr="007149A7">
        <w:rPr>
          <w:sz w:val="18"/>
          <w:szCs w:val="18"/>
        </w:rPr>
        <w:t>, vol. 14, No. 1 (1946).</w:t>
      </w:r>
    </w:p>
  </w:footnote>
  <w:footnote w:id="3">
    <w:p w14:paraId="2CA7DC87"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Fujio Ohtani, </w:t>
      </w:r>
      <w:r w:rsidRPr="007149A7">
        <w:rPr>
          <w:i/>
          <w:iCs/>
          <w:sz w:val="18"/>
          <w:szCs w:val="18"/>
        </w:rPr>
        <w:t>The Walls Crumble: The Emancipation of Persons Affected by Hansen’s Disease in Japan</w:t>
      </w:r>
      <w:r w:rsidRPr="007149A7">
        <w:rPr>
          <w:sz w:val="18"/>
          <w:szCs w:val="18"/>
        </w:rPr>
        <w:t xml:space="preserve"> (Tokyo, Tofu Kyokai Association, 1998). </w:t>
      </w:r>
    </w:p>
  </w:footnote>
  <w:footnote w:id="4">
    <w:p w14:paraId="3EC3F0C6"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lang w:val="es-ES"/>
        </w:rPr>
      </w:pPr>
      <w:r w:rsidRPr="007149A7">
        <w:rPr>
          <w:sz w:val="18"/>
          <w:szCs w:val="18"/>
        </w:rPr>
        <w:tab/>
      </w:r>
      <w:r w:rsidRPr="007149A7">
        <w:rPr>
          <w:rStyle w:val="FootnoteReference"/>
          <w:rFonts w:ascii="Times New Roman"/>
          <w:b w:val="0"/>
          <w:szCs w:val="18"/>
        </w:rPr>
        <w:footnoteRef/>
      </w:r>
      <w:r w:rsidRPr="007149A7">
        <w:rPr>
          <w:sz w:val="18"/>
          <w:szCs w:val="18"/>
          <w:lang w:val="es-ES"/>
        </w:rPr>
        <w:tab/>
      </w:r>
      <w:r w:rsidRPr="007149A7">
        <w:rPr>
          <w:i/>
          <w:sz w:val="18"/>
          <w:szCs w:val="18"/>
          <w:lang w:val="es-ES"/>
        </w:rPr>
        <w:t xml:space="preserve">Memoria del VI Congreso Internacional de Leprología: Madrid, octubre de 1953 </w:t>
      </w:r>
      <w:r w:rsidRPr="007149A7">
        <w:rPr>
          <w:sz w:val="18"/>
          <w:szCs w:val="18"/>
          <w:lang w:val="es-ES"/>
        </w:rPr>
        <w:t>(Madrid, Gráficas González, 1954).</w:t>
      </w:r>
    </w:p>
  </w:footnote>
  <w:footnote w:id="5">
    <w:p w14:paraId="7DF8AB93"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lang w:val="es-ES"/>
        </w:rPr>
        <w:tab/>
      </w:r>
      <w:r w:rsidRPr="007149A7">
        <w:rPr>
          <w:rStyle w:val="FootnoteReference"/>
          <w:rFonts w:ascii="Times New Roman"/>
          <w:b w:val="0"/>
          <w:szCs w:val="18"/>
        </w:rPr>
        <w:footnoteRef/>
      </w:r>
      <w:r w:rsidRPr="007149A7">
        <w:rPr>
          <w:sz w:val="18"/>
          <w:szCs w:val="18"/>
        </w:rPr>
        <w:tab/>
        <w:t xml:space="preserve">Shuichi Mori and Norihisa Ishii, “A study on the entering and out-going trends at Japan’s national Hansen’s disease sanatoriums”, </w:t>
      </w:r>
      <w:r w:rsidRPr="007149A7">
        <w:rPr>
          <w:i/>
          <w:iCs/>
          <w:sz w:val="18"/>
          <w:szCs w:val="18"/>
        </w:rPr>
        <w:t>Japanese Journal of Leprosy</w:t>
      </w:r>
      <w:r w:rsidRPr="007149A7">
        <w:rPr>
          <w:sz w:val="18"/>
          <w:szCs w:val="18"/>
        </w:rPr>
        <w:t>, vol. 86, No. 1 (2017).</w:t>
      </w:r>
    </w:p>
  </w:footnote>
  <w:footnote w:id="6">
    <w:p w14:paraId="47DB29D4"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Makiko Kondo and others, “Bioethics and the experiences of Hansen’s disease survivors”, in </w:t>
      </w:r>
      <w:r w:rsidRPr="007149A7">
        <w:rPr>
          <w:i/>
          <w:iCs/>
          <w:sz w:val="18"/>
          <w:szCs w:val="18"/>
        </w:rPr>
        <w:t>Bioethics: medical, ethical and legal perspectives</w:t>
      </w:r>
      <w:r w:rsidRPr="007149A7">
        <w:rPr>
          <w:sz w:val="18"/>
          <w:szCs w:val="18"/>
        </w:rPr>
        <w:t>, Peter A. Clark, ed. (InTech, Rijeka, Croatia, 2017).</w:t>
      </w:r>
    </w:p>
  </w:footnote>
  <w:footnote w:id="7">
    <w:p w14:paraId="3DE07492"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Hajime Sato and Janet E. Frantz, “Termination of the leprosy isolation policy in the US and Japan: science, policy changes, and the garbage can model”, </w:t>
      </w:r>
      <w:r w:rsidRPr="007149A7">
        <w:rPr>
          <w:i/>
          <w:iCs/>
          <w:sz w:val="18"/>
          <w:szCs w:val="18"/>
        </w:rPr>
        <w:t>BMC International Health and Human Rights</w:t>
      </w:r>
      <w:r w:rsidRPr="007149A7">
        <w:rPr>
          <w:sz w:val="18"/>
          <w:szCs w:val="18"/>
        </w:rPr>
        <w:t>, vol. 5, art. No. 3 (2005); and Mori and Ishii,</w:t>
      </w:r>
      <w:r w:rsidRPr="007149A7">
        <w:rPr>
          <w:i/>
          <w:iCs/>
          <w:sz w:val="18"/>
          <w:szCs w:val="18"/>
        </w:rPr>
        <w:t xml:space="preserve"> </w:t>
      </w:r>
      <w:r w:rsidRPr="007149A7">
        <w:rPr>
          <w:sz w:val="18"/>
          <w:szCs w:val="18"/>
        </w:rPr>
        <w:t xml:space="preserve">“A study on the entering and out-going trends at Japan’s national Hansen’s disease sanatoriums”. </w:t>
      </w:r>
    </w:p>
  </w:footnote>
  <w:footnote w:id="8">
    <w:p w14:paraId="66E4D49C"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In February 2019, Kumamoto District Court declared such trials unconstitutional.</w:t>
      </w:r>
    </w:p>
  </w:footnote>
  <w:footnote w:id="9">
    <w:p w14:paraId="73BD6120"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r w:rsidRPr="007149A7">
        <w:rPr>
          <w:color w:val="222222"/>
          <w:sz w:val="18"/>
          <w:szCs w:val="18"/>
        </w:rPr>
        <w:t xml:space="preserve">Celeste </w:t>
      </w:r>
      <w:r w:rsidRPr="007149A7">
        <w:rPr>
          <w:sz w:val="18"/>
          <w:szCs w:val="18"/>
        </w:rPr>
        <w:t xml:space="preserve">L. Arrington, </w:t>
      </w:r>
      <w:r w:rsidRPr="007149A7">
        <w:rPr>
          <w:i/>
          <w:iCs/>
          <w:sz w:val="18"/>
          <w:szCs w:val="18"/>
        </w:rPr>
        <w:t>Accidental Activists: Victim Movements and Government Accountability in Japan and South Korea</w:t>
      </w:r>
      <w:r w:rsidRPr="007149A7">
        <w:rPr>
          <w:sz w:val="18"/>
          <w:szCs w:val="18"/>
        </w:rPr>
        <w:t xml:space="preserve"> (Ithaca, New York, Cornell University Press, 2016).</w:t>
      </w:r>
    </w:p>
  </w:footnote>
  <w:footnote w:id="10">
    <w:p w14:paraId="4343FD83"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r w:rsidRPr="007149A7">
        <w:rPr>
          <w:color w:val="222222"/>
          <w:sz w:val="18"/>
          <w:szCs w:val="18"/>
        </w:rPr>
        <w:t>Celeste L. Arrington, “Leprosy, legal mobilization, and the public sphere in Japan and South Korea”, </w:t>
      </w:r>
      <w:r w:rsidRPr="007149A7">
        <w:rPr>
          <w:i/>
          <w:iCs/>
          <w:color w:val="222222"/>
          <w:sz w:val="18"/>
          <w:szCs w:val="18"/>
        </w:rPr>
        <w:t>Law &amp; Society Review</w:t>
      </w:r>
      <w:r w:rsidRPr="007149A7">
        <w:rPr>
          <w:color w:val="222222"/>
          <w:sz w:val="18"/>
          <w:szCs w:val="18"/>
        </w:rPr>
        <w:t xml:space="preserve">, vol. 48, No. 3 (September 2014). </w:t>
      </w:r>
    </w:p>
  </w:footnote>
  <w:footnote w:id="11">
    <w:p w14:paraId="22617238"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Ai Kurosaka, </w:t>
      </w:r>
      <w:r w:rsidRPr="007149A7">
        <w:rPr>
          <w:i/>
          <w:iCs/>
          <w:sz w:val="18"/>
          <w:szCs w:val="18"/>
        </w:rPr>
        <w:t>Fighting Prejudice in Japan: The Families of Hansen’s Diseases Patients Speak Out</w:t>
      </w:r>
      <w:r w:rsidRPr="007149A7">
        <w:rPr>
          <w:sz w:val="18"/>
          <w:szCs w:val="18"/>
        </w:rPr>
        <w:t xml:space="preserve"> (Melbourne: Trans Pacific Press, 2019). </w:t>
      </w:r>
    </w:p>
  </w:footnote>
  <w:footnote w:id="12">
    <w:p w14:paraId="0F6789D7"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Yohei Sasakawa, </w:t>
      </w:r>
      <w:r w:rsidRPr="007149A7">
        <w:rPr>
          <w:i/>
          <w:iCs/>
          <w:sz w:val="18"/>
          <w:szCs w:val="18"/>
        </w:rPr>
        <w:t>No Matter Where the Journey Takes Me: One Man’s Quest for a Leprosy-Free World</w:t>
      </w:r>
      <w:r w:rsidRPr="007149A7">
        <w:rPr>
          <w:sz w:val="18"/>
          <w:szCs w:val="18"/>
        </w:rPr>
        <w:t xml:space="preserve"> (London, C. Hurst &amp; Co., 2019).</w:t>
      </w:r>
    </w:p>
  </w:footnote>
  <w:footnote w:id="13">
    <w:p w14:paraId="121FB920" w14:textId="77777777" w:rsidR="00363B73" w:rsidRPr="007149A7" w:rsidRDefault="00363B73" w:rsidP="007149A7">
      <w:pPr>
        <w:pStyle w:val="FootnoteText"/>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hyperlink r:id="rId1" w:history="1">
        <w:r w:rsidRPr="007149A7">
          <w:rPr>
            <w:rStyle w:val="Hyperlink"/>
            <w:sz w:val="18"/>
            <w:szCs w:val="18"/>
          </w:rPr>
          <w:t>See www.shf.or.jp/information/6813?lang=en</w:t>
        </w:r>
      </w:hyperlink>
      <w:r w:rsidRPr="007149A7">
        <w:rPr>
          <w:sz w:val="18"/>
          <w:szCs w:val="18"/>
        </w:rPr>
        <w:t>.</w:t>
      </w:r>
    </w:p>
  </w:footnote>
  <w:footnote w:id="14">
    <w:p w14:paraId="660DC70E"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r w:rsidRPr="007149A7">
        <w:rPr>
          <w:color w:val="222222"/>
          <w:sz w:val="18"/>
          <w:szCs w:val="18"/>
        </w:rPr>
        <w:t>Celeste L. Arrington, ”Leprosy, legal mobilization, and the public sphere in Japan and South Korea”.</w:t>
      </w:r>
      <w:r w:rsidRPr="007149A7">
        <w:rPr>
          <w:sz w:val="18"/>
          <w:szCs w:val="18"/>
        </w:rPr>
        <w:t xml:space="preserve"> </w:t>
      </w:r>
    </w:p>
  </w:footnote>
  <w:footnote w:id="15">
    <w:p w14:paraId="399A5A66"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There is also the Jukambo National Museum, in Kuryu Rakusen-en, which preserves punishment cells.</w:t>
      </w:r>
    </w:p>
  </w:footnote>
  <w:footnote w:id="16">
    <w:p w14:paraId="718ACD9F"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lang w:val="pt-BR"/>
        </w:rPr>
      </w:pPr>
      <w:r w:rsidRPr="007149A7">
        <w:rPr>
          <w:sz w:val="18"/>
          <w:szCs w:val="18"/>
        </w:rPr>
        <w:tab/>
      </w:r>
      <w:r w:rsidRPr="007149A7">
        <w:rPr>
          <w:rStyle w:val="FootnoteReference"/>
          <w:rFonts w:ascii="Times New Roman"/>
          <w:b w:val="0"/>
          <w:szCs w:val="18"/>
        </w:rPr>
        <w:footnoteRef/>
      </w:r>
      <w:r w:rsidRPr="007149A7">
        <w:rPr>
          <w:sz w:val="18"/>
          <w:szCs w:val="18"/>
        </w:rPr>
        <w:tab/>
        <w:t xml:space="preserve">Mahamadou Diallo, “People from different backgrounds write different histories: an essay on historiography (Britain and India)”, </w:t>
      </w:r>
      <w:r w:rsidRPr="007149A7">
        <w:rPr>
          <w:i/>
          <w:sz w:val="18"/>
          <w:szCs w:val="18"/>
        </w:rPr>
        <w:t>African and Asian Studies</w:t>
      </w:r>
      <w:r w:rsidRPr="007149A7">
        <w:rPr>
          <w:sz w:val="18"/>
          <w:szCs w:val="18"/>
        </w:rPr>
        <w:t>, vol. 6, Nos. 1</w:t>
      </w:r>
      <w:r w:rsidRPr="007149A7">
        <w:rPr>
          <w:noProof/>
          <w:sz w:val="18"/>
          <w:szCs w:val="18"/>
        </w:rPr>
        <w:t>–</w:t>
      </w:r>
      <w:r w:rsidRPr="007149A7">
        <w:rPr>
          <w:sz w:val="18"/>
          <w:szCs w:val="18"/>
        </w:rPr>
        <w:t>2 (2007); and Georg Gugelberger and Michael Kearney, “Voices for the voiceless: testimonial literature in Latin America”,</w:t>
      </w:r>
      <w:r w:rsidRPr="007149A7">
        <w:rPr>
          <w:i/>
          <w:sz w:val="18"/>
          <w:szCs w:val="18"/>
        </w:rPr>
        <w:t xml:space="preserve"> Latin American Perspectives</w:t>
      </w:r>
      <w:r w:rsidRPr="007149A7">
        <w:rPr>
          <w:sz w:val="18"/>
          <w:szCs w:val="18"/>
        </w:rPr>
        <w:t xml:space="preserve">, No. 18, vol. </w:t>
      </w:r>
      <w:r w:rsidRPr="007149A7">
        <w:rPr>
          <w:sz w:val="18"/>
          <w:szCs w:val="18"/>
          <w:lang w:val="pt-BR"/>
        </w:rPr>
        <w:t>3 (1991).</w:t>
      </w:r>
    </w:p>
  </w:footnote>
  <w:footnote w:id="17">
    <w:p w14:paraId="74FF5368"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lang w:val="pt-BR"/>
        </w:rPr>
      </w:pPr>
      <w:r w:rsidRPr="007149A7">
        <w:rPr>
          <w:sz w:val="18"/>
          <w:szCs w:val="18"/>
          <w:lang w:val="pt-BR"/>
        </w:rPr>
        <w:tab/>
      </w:r>
      <w:r w:rsidRPr="007149A7">
        <w:rPr>
          <w:rStyle w:val="FootnoteReference"/>
          <w:rFonts w:ascii="Times New Roman"/>
          <w:b w:val="0"/>
          <w:szCs w:val="18"/>
        </w:rPr>
        <w:footnoteRef/>
      </w:r>
      <w:r w:rsidRPr="007149A7">
        <w:rPr>
          <w:sz w:val="18"/>
          <w:szCs w:val="18"/>
          <w:lang w:val="pt-BR"/>
        </w:rPr>
        <w:tab/>
        <w:t xml:space="preserve">Margarida Calafate Ribeiro, </w:t>
      </w:r>
      <w:r w:rsidRPr="007149A7">
        <w:rPr>
          <w:i/>
          <w:sz w:val="18"/>
          <w:szCs w:val="18"/>
          <w:lang w:val="pt-BR"/>
        </w:rPr>
        <w:t>África no Feminino: As Mulheres Portuguesas e a Guerra Colonial</w:t>
      </w:r>
      <w:r w:rsidRPr="007149A7">
        <w:rPr>
          <w:sz w:val="18"/>
          <w:szCs w:val="18"/>
          <w:lang w:val="pt-BR"/>
        </w:rPr>
        <w:t xml:space="preserve"> (Porto, Edições Afrontamento, 2007).</w:t>
      </w:r>
    </w:p>
  </w:footnote>
  <w:footnote w:id="18">
    <w:p w14:paraId="022FA65C"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lang w:val="pt-BR"/>
        </w:rPr>
        <w:tab/>
      </w:r>
      <w:r w:rsidRPr="007149A7">
        <w:rPr>
          <w:rStyle w:val="FootnoteReference"/>
          <w:rFonts w:ascii="Times New Roman"/>
          <w:b w:val="0"/>
          <w:szCs w:val="18"/>
        </w:rPr>
        <w:footnoteRef/>
      </w:r>
      <w:r w:rsidRPr="007149A7">
        <w:rPr>
          <w:sz w:val="18"/>
          <w:szCs w:val="18"/>
        </w:rPr>
        <w:tab/>
        <w:t>Diana Contreras-Garduño and Sebastiaan Rombouts, “Collective reparations for indigenous communities before the Inter-American Court of Human Rights”, Merko</w:t>
      </w:r>
      <w:r w:rsidRPr="007149A7">
        <w:rPr>
          <w:i/>
          <w:iCs/>
          <w:sz w:val="18"/>
          <w:szCs w:val="18"/>
        </w:rPr>
        <w:t>urios</w:t>
      </w:r>
      <w:r w:rsidRPr="007149A7">
        <w:rPr>
          <w:sz w:val="18"/>
          <w:szCs w:val="18"/>
        </w:rPr>
        <w:t>, vol. 27, No. 72 (2010).</w:t>
      </w:r>
    </w:p>
  </w:footnote>
  <w:footnote w:id="19">
    <w:p w14:paraId="790DC859"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Committee against Torture, general comment No. 3</w:t>
      </w:r>
      <w:r w:rsidRPr="007149A7">
        <w:rPr>
          <w:rFonts w:eastAsia="Malgun Gothic"/>
          <w:sz w:val="18"/>
          <w:szCs w:val="18"/>
        </w:rPr>
        <w:t xml:space="preserve"> (2012) on the implementation of article 14, para. 10</w:t>
      </w:r>
      <w:r w:rsidRPr="007149A7">
        <w:rPr>
          <w:sz w:val="18"/>
          <w:szCs w:val="18"/>
        </w:rPr>
        <w:t>.</w:t>
      </w:r>
    </w:p>
  </w:footnote>
  <w:footnote w:id="20">
    <w:p w14:paraId="20CBEFA1" w14:textId="77777777" w:rsidR="00363B73" w:rsidRPr="007149A7" w:rsidRDefault="00363B73" w:rsidP="007149A7">
      <w:pPr>
        <w:pStyle w:val="FootnoteText"/>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See www.mhlw.go.jp/english/policy/health/01/pdf/01.pdf.</w:t>
      </w:r>
    </w:p>
  </w:footnote>
  <w:footnote w:id="21">
    <w:p w14:paraId="4AB4B041"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Dipesh Chakrabarty, “Postcoloniality and the artifice of history”,</w:t>
      </w:r>
      <w:r w:rsidRPr="007149A7">
        <w:rPr>
          <w:i/>
          <w:sz w:val="18"/>
          <w:szCs w:val="18"/>
        </w:rPr>
        <w:t xml:space="preserve"> </w:t>
      </w:r>
      <w:r w:rsidRPr="007149A7">
        <w:rPr>
          <w:i/>
          <w:iCs/>
          <w:sz w:val="18"/>
          <w:szCs w:val="18"/>
        </w:rPr>
        <w:t>The Post-colonial SReader</w:t>
      </w:r>
      <w:r w:rsidRPr="007149A7">
        <w:rPr>
          <w:iCs/>
          <w:sz w:val="18"/>
          <w:szCs w:val="18"/>
        </w:rPr>
        <w:t>,</w:t>
      </w:r>
      <w:r w:rsidRPr="007149A7" w:rsidDel="006A52A2">
        <w:rPr>
          <w:i/>
          <w:sz w:val="18"/>
          <w:szCs w:val="18"/>
        </w:rPr>
        <w:t xml:space="preserve"> </w:t>
      </w:r>
      <w:r w:rsidRPr="007149A7">
        <w:rPr>
          <w:sz w:val="18"/>
          <w:szCs w:val="18"/>
        </w:rPr>
        <w:t>Bill Ashcroft, Gareth Griffiths and Helen Tiffin, eds. (London and New York, Routledge, 1995).</w:t>
      </w:r>
    </w:p>
  </w:footnote>
  <w:footnote w:id="22">
    <w:p w14:paraId="10DA935E"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Kurosaka, </w:t>
      </w:r>
      <w:r w:rsidRPr="007149A7">
        <w:rPr>
          <w:i/>
          <w:iCs/>
          <w:sz w:val="18"/>
          <w:szCs w:val="18"/>
        </w:rPr>
        <w:t>Fighting prejudice in Japan</w:t>
      </w:r>
      <w:r w:rsidRPr="007149A7">
        <w:rPr>
          <w:sz w:val="18"/>
          <w:szCs w:val="18"/>
        </w:rPr>
        <w:t>.</w:t>
      </w:r>
    </w:p>
  </w:footnote>
  <w:footnote w:id="23">
    <w:p w14:paraId="2C544A40"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Committee against Torture, general comment No. 3; and WHO, </w:t>
      </w:r>
      <w:r w:rsidRPr="007149A7">
        <w:rPr>
          <w:i/>
          <w:iCs/>
          <w:sz w:val="18"/>
          <w:szCs w:val="18"/>
        </w:rPr>
        <w:t xml:space="preserve">Eliminating forced, coercive and otherwise involuntary sterilization: an interagency statement, OHCHR, UN-Women, UNAIDS, UNDP, UNFPA, UNICEF, WHO </w:t>
      </w:r>
      <w:r w:rsidRPr="007149A7">
        <w:rPr>
          <w:sz w:val="18"/>
          <w:szCs w:val="18"/>
        </w:rPr>
        <w:t xml:space="preserve">(2014.) </w:t>
      </w:r>
    </w:p>
  </w:footnote>
  <w:footnote w:id="24">
    <w:p w14:paraId="38B14F91"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r w:rsidRPr="007149A7">
        <w:rPr>
          <w:sz w:val="18"/>
          <w:szCs w:val="18"/>
          <w:shd w:val="clear" w:color="auto" w:fill="FFFFFF"/>
        </w:rPr>
        <w:t xml:space="preserve">Ruth Rubio-Marin, ed., </w:t>
      </w:r>
      <w:r w:rsidRPr="007149A7">
        <w:rPr>
          <w:i/>
          <w:iCs/>
          <w:sz w:val="18"/>
          <w:szCs w:val="18"/>
        </w:rPr>
        <w:t>The Gender of Reparations: Unsettling Sexual Hierarchies while Redressing Human Rights Violations</w:t>
      </w:r>
      <w:r w:rsidRPr="007149A7">
        <w:rPr>
          <w:sz w:val="18"/>
          <w:szCs w:val="18"/>
        </w:rPr>
        <w:t xml:space="preserve"> (Cambridge: </w:t>
      </w:r>
      <w:r w:rsidRPr="007149A7">
        <w:rPr>
          <w:sz w:val="18"/>
          <w:szCs w:val="18"/>
          <w:shd w:val="clear" w:color="auto" w:fill="FFFFFF"/>
        </w:rPr>
        <w:t>Cambridge University Press, 2009).</w:t>
      </w:r>
      <w:r w:rsidRPr="007149A7">
        <w:rPr>
          <w:sz w:val="18"/>
          <w:szCs w:val="18"/>
        </w:rPr>
        <w:t xml:space="preserve"> </w:t>
      </w:r>
    </w:p>
  </w:footnote>
  <w:footnote w:id="25">
    <w:p w14:paraId="0546511C"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Human Rights and Equal Opportunity Commission of Australia, </w:t>
      </w:r>
      <w:r w:rsidRPr="007149A7">
        <w:rPr>
          <w:i/>
          <w:iCs/>
          <w:sz w:val="18"/>
          <w:szCs w:val="18"/>
        </w:rPr>
        <w:t>Bringing them home: National Inquiry into the Separation of Aboriginal and Torres Strait Islander Children from Their Families</w:t>
      </w:r>
      <w:r w:rsidRPr="007149A7">
        <w:rPr>
          <w:sz w:val="18"/>
          <w:szCs w:val="18"/>
        </w:rPr>
        <w:t xml:space="preserve"> (1997).</w:t>
      </w:r>
    </w:p>
  </w:footnote>
  <w:footnote w:id="26">
    <w:p w14:paraId="75A25411"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r>
      <w:hyperlink r:id="rId2" w:history="1">
        <w:r w:rsidRPr="007149A7">
          <w:rPr>
            <w:rStyle w:val="Hyperlink"/>
            <w:sz w:val="18"/>
            <w:szCs w:val="18"/>
          </w:rPr>
          <w:t>See www.un.org/womenwatch/daw/csw/aging.htm</w:t>
        </w:r>
      </w:hyperlink>
      <w:r w:rsidRPr="007149A7">
        <w:rPr>
          <w:rStyle w:val="Hyperlink"/>
          <w:sz w:val="18"/>
          <w:szCs w:val="18"/>
        </w:rPr>
        <w:t>.</w:t>
      </w:r>
      <w:r w:rsidRPr="007149A7">
        <w:rPr>
          <w:sz w:val="18"/>
          <w:szCs w:val="18"/>
        </w:rPr>
        <w:t xml:space="preserve"> </w:t>
      </w:r>
    </w:p>
  </w:footnote>
  <w:footnote w:id="27">
    <w:p w14:paraId="6F801984"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Ibid. </w:t>
      </w:r>
    </w:p>
  </w:footnote>
  <w:footnote w:id="28">
    <w:p w14:paraId="205FDB36"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Committee on the Elimination of Discrimination against Women, general recommendation No. 25 </w:t>
      </w:r>
      <w:r w:rsidRPr="007149A7">
        <w:rPr>
          <w:rFonts w:eastAsia="Malgun Gothic"/>
          <w:sz w:val="18"/>
          <w:szCs w:val="18"/>
        </w:rPr>
        <w:t>(2004) on temporary special measures</w:t>
      </w:r>
      <w:r w:rsidRPr="007149A7">
        <w:rPr>
          <w:sz w:val="18"/>
          <w:szCs w:val="18"/>
        </w:rPr>
        <w:t>.</w:t>
      </w:r>
    </w:p>
  </w:footnote>
  <w:footnote w:id="29">
    <w:p w14:paraId="18695CA5" w14:textId="77777777" w:rsidR="00363B73" w:rsidRPr="007149A7" w:rsidRDefault="00363B73" w:rsidP="007149A7">
      <w:pPr>
        <w:pStyle w:val="FootnoteText"/>
        <w:widowControl w:val="0"/>
        <w:tabs>
          <w:tab w:val="left" w:pos="851"/>
        </w:tabs>
        <w:bidi w:val="0"/>
        <w:spacing w:line="220" w:lineRule="exact"/>
        <w:ind w:left="1134" w:right="1134" w:hanging="1134"/>
        <w:jc w:val="left"/>
        <w:rPr>
          <w:sz w:val="18"/>
          <w:szCs w:val="18"/>
        </w:rPr>
      </w:pPr>
      <w:r w:rsidRPr="007149A7">
        <w:rPr>
          <w:sz w:val="18"/>
          <w:szCs w:val="18"/>
        </w:rPr>
        <w:tab/>
      </w:r>
      <w:r w:rsidRPr="007149A7">
        <w:rPr>
          <w:rStyle w:val="FootnoteReference"/>
          <w:rFonts w:ascii="Times New Roman"/>
          <w:b w:val="0"/>
          <w:szCs w:val="18"/>
        </w:rPr>
        <w:footnoteRef/>
      </w:r>
      <w:r w:rsidRPr="007149A7">
        <w:rPr>
          <w:sz w:val="18"/>
          <w:szCs w:val="18"/>
        </w:rPr>
        <w:tab/>
        <w:t xml:space="preserve">See </w:t>
      </w:r>
      <w:hyperlink r:id="rId3" w:history="1">
        <w:r w:rsidRPr="007149A7">
          <w:rPr>
            <w:rStyle w:val="Hyperlink"/>
            <w:sz w:val="18"/>
            <w:szCs w:val="18"/>
          </w:rPr>
          <w:t>www.ngocommitteerarediseases.org/wp-content/uploads/2018/05/NGO-CfRDs-Submission-The-Right-to-Health-in-Rare-Diseases_Feb-15-2018.pdf</w:t>
        </w:r>
      </w:hyperlink>
      <w:r w:rsidRPr="007149A7">
        <w:rPr>
          <w:rStyle w:val="Hyperlink"/>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ED070" w14:textId="77777777" w:rsidR="00D00CEB" w:rsidRPr="00281551" w:rsidRDefault="00281551" w:rsidP="00281551">
    <w:pPr>
      <w:pStyle w:val="Header"/>
      <w:jc w:val="right"/>
    </w:pPr>
    <w:r w:rsidRPr="00281551">
      <w:t>A/HRC/44/46/Add.1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DCCE7" w14:textId="77777777" w:rsidR="00D00CEB" w:rsidRPr="00281551" w:rsidRDefault="00281551" w:rsidP="00281551">
    <w:pPr>
      <w:pStyle w:val="Header"/>
      <w:jc w:val="left"/>
    </w:pPr>
    <w:r w:rsidRPr="00281551">
      <w:t>A/HRC/44/46/Add.1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7401AD"/>
    <w:rsid w:val="000076D5"/>
    <w:rsid w:val="00043663"/>
    <w:rsid w:val="000505CF"/>
    <w:rsid w:val="000D701C"/>
    <w:rsid w:val="000E2A71"/>
    <w:rsid w:val="000E45B2"/>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81551"/>
    <w:rsid w:val="002901D9"/>
    <w:rsid w:val="002976C2"/>
    <w:rsid w:val="00325CC1"/>
    <w:rsid w:val="003260FF"/>
    <w:rsid w:val="00343D95"/>
    <w:rsid w:val="00363B73"/>
    <w:rsid w:val="00374341"/>
    <w:rsid w:val="003D1062"/>
    <w:rsid w:val="003E159A"/>
    <w:rsid w:val="004205C7"/>
    <w:rsid w:val="00420D7B"/>
    <w:rsid w:val="00421AAE"/>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149A7"/>
    <w:rsid w:val="00733704"/>
    <w:rsid w:val="00740188"/>
    <w:rsid w:val="007401AD"/>
    <w:rsid w:val="00764796"/>
    <w:rsid w:val="0078071A"/>
    <w:rsid w:val="007A70BB"/>
    <w:rsid w:val="00830C84"/>
    <w:rsid w:val="00852A9A"/>
    <w:rsid w:val="00871544"/>
    <w:rsid w:val="00885761"/>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00CEB"/>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7443821"/>
  <w15:docId w15:val="{9770AF59-50E8-4D2C-B77B-B0E2D317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363B73"/>
    <w:pPr>
      <w:keepNext/>
      <w:keepLines/>
      <w:tabs>
        <w:tab w:val="right" w:pos="851"/>
      </w:tabs>
      <w:bidi w:val="0"/>
      <w:spacing w:before="360" w:after="240" w:line="300" w:lineRule="exact"/>
      <w:ind w:left="1134" w:right="1134" w:hanging="1134"/>
      <w:jc w:val="left"/>
    </w:pPr>
    <w:rPr>
      <w:rFonts w:eastAsia="SimSun" w:cs="Times New Roman"/>
      <w:b/>
      <w:sz w:val="28"/>
      <w:szCs w:val="20"/>
      <w:lang w:val="en-GB" w:eastAsia="zh-CN"/>
    </w:rPr>
  </w:style>
  <w:style w:type="character" w:styleId="Hyperlink">
    <w:name w:val="Hyperlink"/>
    <w:uiPriority w:val="99"/>
    <w:unhideWhenUsed/>
    <w:rsid w:val="00363B7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50407-8834-4CF2-8F1A-717DBA73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18</Pages>
  <Words>10610</Words>
  <Characters>60479</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A/HRC/44/46/Add.1</vt:lpstr>
    </vt:vector>
  </TitlesOfParts>
  <Company>DCM</Company>
  <LinksUpToDate>false</LinksUpToDate>
  <CharactersWithSpaces>70948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GE.2008960</dc:subject>
  <dc:creator>Gamal MAHMOUD-MIRNA ABBASS</dc:creator>
  <cp:keywords>ODS No.2016391</cp:keywords>
  <dc:description>Distr.: General_x000d_
6 July 2020_x000d_
Original: English</dc:description>
  <cp:lastModifiedBy>Gamal MAHMOUD</cp:lastModifiedBy>
  <cp:revision>2</cp:revision>
  <dcterms:created xsi:type="dcterms:W3CDTF">2020-08-10T20:09:00Z</dcterms:created>
  <dcterms:modified xsi:type="dcterms:W3CDTF">2020-08-10T20:09:00Z</dcterms:modified>
  <cp:category>Final</cp:category>
</cp:coreProperties>
</file>