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342182" w:rsidP="00342182">
            <w:pPr>
              <w:bidi w:val="0"/>
              <w:spacing w:after="20"/>
              <w:jc w:val="left"/>
              <w:rPr>
                <w:szCs w:val="20"/>
              </w:rPr>
            </w:pPr>
            <w:r w:rsidRPr="00342182">
              <w:rPr>
                <w:sz w:val="40"/>
                <w:szCs w:val="20"/>
              </w:rPr>
              <w:t>CCPR</w:t>
            </w:r>
            <w:r>
              <w:rPr>
                <w:szCs w:val="20"/>
              </w:rPr>
              <w:t>/C/SR.2946</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342182" w:rsidRDefault="00342182" w:rsidP="00342182">
            <w:pPr>
              <w:bidi w:val="0"/>
              <w:spacing w:before="240"/>
              <w:jc w:val="left"/>
            </w:pPr>
            <w:r>
              <w:t>Distr.: General</w:t>
            </w:r>
          </w:p>
          <w:p w:rsidR="00342182" w:rsidRDefault="00342182" w:rsidP="00342182">
            <w:pPr>
              <w:bidi w:val="0"/>
              <w:jc w:val="left"/>
            </w:pPr>
            <w:r>
              <w:t>3 December 2012</w:t>
            </w:r>
          </w:p>
          <w:p w:rsidR="00342182" w:rsidRDefault="00342182" w:rsidP="00342182">
            <w:pPr>
              <w:bidi w:val="0"/>
              <w:jc w:val="left"/>
            </w:pPr>
            <w:r>
              <w:t>Arabic</w:t>
            </w:r>
          </w:p>
          <w:p w:rsidR="00257225" w:rsidRPr="008B4BC6" w:rsidRDefault="00342182" w:rsidP="00342182">
            <w:pPr>
              <w:bidi w:val="0"/>
              <w:jc w:val="left"/>
            </w:pPr>
            <w:r>
              <w:t>Original: French</w:t>
            </w:r>
          </w:p>
        </w:tc>
      </w:tr>
    </w:tbl>
    <w:p w:rsidR="00342182" w:rsidRDefault="00342182" w:rsidP="00342182">
      <w:pPr>
        <w:spacing w:before="120" w:line="380" w:lineRule="exact"/>
        <w:jc w:val="left"/>
        <w:rPr>
          <w:rFonts w:hint="cs"/>
          <w:b/>
          <w:bCs/>
          <w:sz w:val="36"/>
          <w:szCs w:val="36"/>
          <w:rtl/>
        </w:rPr>
      </w:pPr>
      <w:r>
        <w:rPr>
          <w:rFonts w:hint="cs"/>
          <w:b/>
          <w:bCs/>
          <w:sz w:val="36"/>
          <w:szCs w:val="36"/>
          <w:rtl/>
        </w:rPr>
        <w:t>اللجنة المعنية بحقوق الإنسان</w:t>
      </w:r>
    </w:p>
    <w:p w:rsidR="00342182" w:rsidRPr="004C2E68" w:rsidRDefault="00342182" w:rsidP="00342182">
      <w:pPr>
        <w:spacing w:line="380" w:lineRule="exact"/>
        <w:jc w:val="left"/>
        <w:rPr>
          <w:rFonts w:hint="cs"/>
          <w:b/>
          <w:bCs/>
          <w:sz w:val="36"/>
          <w:rtl/>
        </w:rPr>
      </w:pPr>
      <w:r w:rsidRPr="004C2E68">
        <w:rPr>
          <w:rFonts w:hint="cs"/>
          <w:b/>
          <w:bCs/>
          <w:sz w:val="36"/>
          <w:rtl/>
        </w:rPr>
        <w:t xml:space="preserve">الدورة </w:t>
      </w:r>
      <w:r>
        <w:rPr>
          <w:rFonts w:hint="cs"/>
          <w:b/>
          <w:bCs/>
          <w:sz w:val="36"/>
          <w:rtl/>
        </w:rPr>
        <w:t>السادسة بعد المائة</w:t>
      </w:r>
    </w:p>
    <w:p w:rsidR="00342182" w:rsidRPr="006F523B" w:rsidRDefault="00342182" w:rsidP="00342182">
      <w:pPr>
        <w:spacing w:before="120" w:line="380" w:lineRule="exact"/>
        <w:jc w:val="left"/>
        <w:rPr>
          <w:rFonts w:hint="cs"/>
          <w:sz w:val="30"/>
          <w:rtl/>
        </w:rPr>
      </w:pPr>
      <w:r w:rsidRPr="006F523B">
        <w:rPr>
          <w:rFonts w:hint="cs"/>
          <w:b/>
          <w:bCs/>
          <w:sz w:val="30"/>
          <w:rtl/>
        </w:rPr>
        <w:t xml:space="preserve">محضر موجز للجزء </w:t>
      </w:r>
      <w:r>
        <w:rPr>
          <w:rFonts w:hint="cs"/>
          <w:b/>
          <w:bCs/>
          <w:sz w:val="30"/>
          <w:rtl/>
        </w:rPr>
        <w:t xml:space="preserve">الثاني </w:t>
      </w:r>
      <w:r w:rsidRPr="006F523B">
        <w:rPr>
          <w:rFonts w:hint="cs"/>
          <w:b/>
          <w:bCs/>
          <w:sz w:val="30"/>
          <w:rtl/>
        </w:rPr>
        <w:t>(العلني)</w:t>
      </w:r>
      <w:r w:rsidRPr="006F523B">
        <w:rPr>
          <w:rStyle w:val="FootnoteReference"/>
          <w:b w:val="0"/>
          <w:bCs/>
          <w:sz w:val="20"/>
          <w:vertAlign w:val="baseline"/>
          <w:rtl/>
        </w:rPr>
        <w:footnoteReference w:customMarkFollows="1" w:id="1"/>
        <w:t>*</w:t>
      </w:r>
      <w:r w:rsidRPr="006F523B">
        <w:rPr>
          <w:rFonts w:hint="cs"/>
          <w:b/>
          <w:bCs/>
          <w:sz w:val="30"/>
          <w:rtl/>
        </w:rPr>
        <w:t xml:space="preserve"> من الجلسة </w:t>
      </w:r>
      <w:r>
        <w:rPr>
          <w:rFonts w:hint="cs"/>
          <w:b/>
          <w:bCs/>
          <w:sz w:val="30"/>
          <w:rtl/>
        </w:rPr>
        <w:t>2946</w:t>
      </w:r>
    </w:p>
    <w:p w:rsidR="00342182" w:rsidRDefault="00342182" w:rsidP="00342182">
      <w:pPr>
        <w:spacing w:after="360" w:line="380" w:lineRule="exact"/>
        <w:jc w:val="left"/>
        <w:rPr>
          <w:rFonts w:hint="cs"/>
          <w:sz w:val="36"/>
          <w:rtl/>
        </w:rPr>
      </w:pPr>
      <w:r>
        <w:rPr>
          <w:rFonts w:hint="cs"/>
          <w:sz w:val="36"/>
          <w:rtl/>
        </w:rPr>
        <w:t>المعقودة في قصر ويلسون، جنيف، يوم الأربعاء، 31 تشرين الأول/أكتوبر 2012، الساعة 00/15</w:t>
      </w:r>
    </w:p>
    <w:p w:rsidR="00342182" w:rsidRDefault="00342182" w:rsidP="00342182">
      <w:pPr>
        <w:tabs>
          <w:tab w:val="left" w:pos="1239"/>
        </w:tabs>
        <w:spacing w:line="380" w:lineRule="exact"/>
        <w:jc w:val="left"/>
        <w:rPr>
          <w:rFonts w:hint="cs"/>
          <w:sz w:val="36"/>
          <w:rtl/>
        </w:rPr>
      </w:pPr>
      <w:r w:rsidRPr="004C2E68">
        <w:rPr>
          <w:rFonts w:hint="cs"/>
          <w:i/>
          <w:iCs/>
          <w:sz w:val="36"/>
          <w:rtl/>
        </w:rPr>
        <w:t>الرئيس</w:t>
      </w:r>
      <w:r>
        <w:rPr>
          <w:rFonts w:hint="cs"/>
          <w:i/>
          <w:iCs/>
          <w:sz w:val="36"/>
          <w:rtl/>
        </w:rPr>
        <w:t>ة</w:t>
      </w:r>
      <w:r w:rsidRPr="004C2E68">
        <w:rPr>
          <w:rFonts w:hint="cs"/>
          <w:i/>
          <w:iCs/>
          <w:sz w:val="36"/>
          <w:rtl/>
        </w:rPr>
        <w:t>:</w:t>
      </w:r>
      <w:r>
        <w:rPr>
          <w:rFonts w:hint="cs"/>
          <w:sz w:val="36"/>
          <w:rtl/>
        </w:rPr>
        <w:tab/>
        <w:t xml:space="preserve">السيدة </w:t>
      </w:r>
      <w:proofErr w:type="spellStart"/>
      <w:r>
        <w:rPr>
          <w:rFonts w:hint="cs"/>
          <w:b/>
          <w:bCs/>
          <w:sz w:val="36"/>
          <w:rtl/>
        </w:rPr>
        <w:t>ماجودينا</w:t>
      </w:r>
      <w:proofErr w:type="spellEnd"/>
    </w:p>
    <w:p w:rsidR="00342182" w:rsidRDefault="00342182" w:rsidP="00342182">
      <w:pPr>
        <w:spacing w:before="360" w:after="120" w:line="380" w:lineRule="exact"/>
        <w:jc w:val="left"/>
        <w:rPr>
          <w:rFonts w:hint="cs"/>
          <w:sz w:val="36"/>
          <w:szCs w:val="36"/>
          <w:rtl/>
        </w:rPr>
      </w:pPr>
      <w:r w:rsidRPr="00AD57F8">
        <w:rPr>
          <w:rFonts w:hint="cs"/>
          <w:sz w:val="36"/>
          <w:szCs w:val="36"/>
          <w:rtl/>
        </w:rPr>
        <w:t>المحتويات</w:t>
      </w:r>
    </w:p>
    <w:p w:rsidR="00342182" w:rsidRPr="00342182" w:rsidRDefault="00342182" w:rsidP="00342182">
      <w:pPr>
        <w:spacing w:line="380" w:lineRule="exact"/>
        <w:ind w:firstLine="680"/>
        <w:jc w:val="left"/>
        <w:rPr>
          <w:rFonts w:hint="cs"/>
          <w:sz w:val="36"/>
          <w:szCs w:val="36"/>
          <w:rtl/>
        </w:rPr>
      </w:pPr>
      <w:r w:rsidRPr="004F5757">
        <w:rPr>
          <w:rFonts w:hint="cs"/>
          <w:rtl/>
        </w:rPr>
        <w:t>متابع</w:t>
      </w:r>
      <w:r>
        <w:rPr>
          <w:rFonts w:hint="cs"/>
          <w:rtl/>
        </w:rPr>
        <w:t>ة الآراء المعتمدة بموجب البروتوكول الاختياري</w:t>
      </w:r>
    </w:p>
    <w:p w:rsidR="00342182" w:rsidRPr="00342182" w:rsidRDefault="00342182" w:rsidP="00342182">
      <w:pPr>
        <w:pStyle w:val="SingleTxtGA"/>
        <w:rPr>
          <w:i/>
          <w:iCs/>
        </w:rPr>
      </w:pPr>
      <w:r>
        <w:rPr>
          <w:rtl/>
          <w:lang w:val="fr-CH"/>
        </w:rPr>
        <w:br w:type="page"/>
      </w:r>
      <w:r w:rsidRPr="00342182">
        <w:rPr>
          <w:rFonts w:hint="cs"/>
          <w:i/>
          <w:iCs/>
          <w:rtl/>
        </w:rPr>
        <w:t>افتتح الجزء الثاني (العلني) من الجلسة الساعة 35/17.</w:t>
      </w:r>
    </w:p>
    <w:p w:rsidR="00342182" w:rsidRDefault="00342182" w:rsidP="00342182">
      <w:pPr>
        <w:pStyle w:val="H23GA"/>
        <w:rPr>
          <w:rFonts w:hint="cs"/>
          <w:rtl/>
        </w:rPr>
      </w:pPr>
      <w:r>
        <w:rPr>
          <w:rFonts w:hint="cs"/>
          <w:rtl/>
        </w:rPr>
        <w:tab/>
      </w:r>
      <w:r>
        <w:rPr>
          <w:rFonts w:hint="cs"/>
          <w:rtl/>
        </w:rPr>
        <w:tab/>
        <w:t>متابعة الآراء المعتمدة بموجب البروتوكول الاختياري</w:t>
      </w:r>
    </w:p>
    <w:p w:rsidR="00342182" w:rsidRPr="002D6BF3" w:rsidRDefault="00342182" w:rsidP="00342182">
      <w:pPr>
        <w:pStyle w:val="SingleTxtGA"/>
        <w:rPr>
          <w:rtl/>
        </w:rPr>
      </w:pPr>
      <w:r>
        <w:rPr>
          <w:rFonts w:hint="cs"/>
          <w:rtl/>
        </w:rPr>
        <w:t>1-</w:t>
      </w:r>
      <w:r>
        <w:rPr>
          <w:rFonts w:hint="cs"/>
          <w:rtl/>
        </w:rPr>
        <w:tab/>
      </w:r>
      <w:r w:rsidRPr="002D6BF3">
        <w:rPr>
          <w:rFonts w:hint="cs"/>
          <w:b/>
          <w:bCs/>
          <w:rtl/>
        </w:rPr>
        <w:t>الرئيسة</w:t>
      </w:r>
      <w:r>
        <w:rPr>
          <w:rFonts w:hint="cs"/>
          <w:rtl/>
        </w:rPr>
        <w:t xml:space="preserve"> </w:t>
      </w:r>
      <w:r>
        <w:rPr>
          <w:rFonts w:hint="cs"/>
          <w:rtl/>
          <w:lang w:val="fr-CH"/>
        </w:rPr>
        <w:t xml:space="preserve">دعت </w:t>
      </w:r>
      <w:r>
        <w:rPr>
          <w:rtl/>
          <w:lang w:val="fr-CH"/>
        </w:rPr>
        <w:t xml:space="preserve">السيد </w:t>
      </w:r>
      <w:proofErr w:type="spellStart"/>
      <w:r>
        <w:rPr>
          <w:rFonts w:hint="cs"/>
          <w:rtl/>
          <w:lang w:val="fr-CH"/>
        </w:rPr>
        <w:t>ت</w:t>
      </w:r>
      <w:r w:rsidRPr="004F5757">
        <w:rPr>
          <w:rtl/>
          <w:lang w:val="fr-CH"/>
        </w:rPr>
        <w:t>يلين</w:t>
      </w:r>
      <w:proofErr w:type="spellEnd"/>
      <w:r w:rsidRPr="004F5757">
        <w:rPr>
          <w:rtl/>
          <w:lang w:val="fr-CH"/>
        </w:rPr>
        <w:t xml:space="preserve">، المقرر الخاص </w:t>
      </w:r>
      <w:r>
        <w:rPr>
          <w:rFonts w:hint="cs"/>
          <w:rtl/>
          <w:lang w:val="fr-CH"/>
        </w:rPr>
        <w:t>المعني ب</w:t>
      </w:r>
      <w:r w:rsidRPr="004F5757">
        <w:rPr>
          <w:rtl/>
          <w:lang w:val="fr-CH"/>
        </w:rPr>
        <w:t xml:space="preserve">متابعة </w:t>
      </w:r>
      <w:r>
        <w:rPr>
          <w:rFonts w:hint="cs"/>
          <w:rtl/>
          <w:lang w:val="fr-CH"/>
        </w:rPr>
        <w:t xml:space="preserve">الآراء إلى تقديم </w:t>
      </w:r>
      <w:r>
        <w:rPr>
          <w:rtl/>
          <w:lang w:val="fr-CH"/>
        </w:rPr>
        <w:t>تقريره</w:t>
      </w:r>
      <w:r w:rsidRPr="004F5757">
        <w:rPr>
          <w:rtl/>
          <w:lang w:val="fr-CH"/>
        </w:rPr>
        <w:t xml:space="preserve"> المؤقت.</w:t>
      </w:r>
    </w:p>
    <w:p w:rsidR="00342182" w:rsidRDefault="00342182" w:rsidP="002C7ED4">
      <w:pPr>
        <w:pStyle w:val="SingleTxtGA"/>
        <w:rPr>
          <w:rFonts w:hint="cs"/>
          <w:rtl/>
          <w:lang w:val="fr-CH"/>
        </w:rPr>
      </w:pPr>
      <w:r>
        <w:rPr>
          <w:rtl/>
          <w:lang w:val="fr-CH"/>
        </w:rPr>
        <w:t>2</w:t>
      </w:r>
      <w:r>
        <w:rPr>
          <w:rFonts w:hint="cs"/>
          <w:rtl/>
          <w:lang w:val="fr-CH"/>
        </w:rPr>
        <w:t>-</w:t>
      </w:r>
      <w:r>
        <w:rPr>
          <w:rFonts w:hint="cs"/>
          <w:rtl/>
          <w:lang w:val="fr-CH"/>
        </w:rPr>
        <w:tab/>
      </w:r>
      <w:r w:rsidRPr="002D6BF3">
        <w:rPr>
          <w:b/>
          <w:bCs/>
          <w:rtl/>
          <w:lang w:val="fr-CH"/>
        </w:rPr>
        <w:t xml:space="preserve">السيد </w:t>
      </w:r>
      <w:proofErr w:type="spellStart"/>
      <w:r>
        <w:rPr>
          <w:rFonts w:hint="cs"/>
          <w:b/>
          <w:bCs/>
          <w:rtl/>
          <w:lang w:val="fr-CH"/>
        </w:rPr>
        <w:t>تيلين</w:t>
      </w:r>
      <w:proofErr w:type="spellEnd"/>
      <w:r>
        <w:rPr>
          <w:rFonts w:hint="cs"/>
          <w:b/>
          <w:bCs/>
          <w:rtl/>
          <w:lang w:val="fr-CH"/>
        </w:rPr>
        <w:t xml:space="preserve"> </w:t>
      </w:r>
      <w:r w:rsidRPr="004F5757">
        <w:rPr>
          <w:rtl/>
          <w:lang w:val="fr-CH"/>
        </w:rPr>
        <w:t xml:space="preserve">(المقرر الخاص </w:t>
      </w:r>
      <w:r>
        <w:rPr>
          <w:rFonts w:hint="cs"/>
          <w:rtl/>
          <w:lang w:val="fr-CH"/>
        </w:rPr>
        <w:t>المعني ب</w:t>
      </w:r>
      <w:r w:rsidRPr="004F5757">
        <w:rPr>
          <w:rtl/>
          <w:lang w:val="fr-CH"/>
        </w:rPr>
        <w:t>متابعة</w:t>
      </w:r>
      <w:r>
        <w:rPr>
          <w:rFonts w:hint="cs"/>
          <w:rtl/>
          <w:lang w:val="fr-CH"/>
        </w:rPr>
        <w:t xml:space="preserve"> الآراء</w:t>
      </w:r>
      <w:r w:rsidRPr="004F5757">
        <w:rPr>
          <w:rtl/>
          <w:lang w:val="fr-CH"/>
        </w:rPr>
        <w:t xml:space="preserve">) </w:t>
      </w:r>
      <w:r>
        <w:rPr>
          <w:rFonts w:hint="cs"/>
          <w:rtl/>
          <w:lang w:val="fr-CH"/>
        </w:rPr>
        <w:t>قال إنه لم يتمكن بسبب قيود الميزانية إعداد تقرير كتابي بشأن الوقائع الرئيسية التي استجدت منذ الجلسة السابقة ولذلك فإنه سيقدمها شفوياً في خطوطها العريضة.</w:t>
      </w:r>
    </w:p>
    <w:p w:rsidR="00342182" w:rsidRDefault="00342182" w:rsidP="00342182">
      <w:pPr>
        <w:pStyle w:val="SingleTxtGA"/>
        <w:rPr>
          <w:rFonts w:hint="cs"/>
          <w:rtl/>
          <w:lang w:val="fr-CH"/>
        </w:rPr>
      </w:pPr>
      <w:r>
        <w:rPr>
          <w:rFonts w:hint="cs"/>
          <w:rtl/>
          <w:lang w:val="fr-CH"/>
        </w:rPr>
        <w:t>3-</w:t>
      </w:r>
      <w:r>
        <w:rPr>
          <w:rFonts w:hint="cs"/>
          <w:rtl/>
          <w:lang w:val="fr-CH"/>
        </w:rPr>
        <w:tab/>
        <w:t xml:space="preserve">فيما يتعلق بقضية </w:t>
      </w:r>
      <w:r w:rsidRPr="00B124C3">
        <w:rPr>
          <w:rFonts w:hint="cs"/>
          <w:i/>
          <w:iCs/>
          <w:rtl/>
          <w:lang w:val="fr-CH"/>
        </w:rPr>
        <w:t>ل. ن. ب. ضد الأرجنتين</w:t>
      </w:r>
      <w:r>
        <w:rPr>
          <w:rFonts w:hint="cs"/>
          <w:rtl/>
          <w:lang w:val="fr-CH"/>
        </w:rPr>
        <w:t xml:space="preserve"> (البلاغ رقم 1610/2007)، التي رأت فيها اللجنة حدوث انتهاك للمادتين 7 و14 من العهد وطلبت التنفيذ الكامل لتدابير الجبر المتفق عليها ودياً بين صاحب البلاغ والدولة الطرف، تلقت الأمانة معلومات تبين أن الضحايا قد مُنحوا مبلغاً إجمالياً قدره 000 53 دولار من دولارات الولايات المتحدة، على سبيل التعويض ومعاشاً شهرياً مدى الحياة. </w:t>
      </w:r>
    </w:p>
    <w:p w:rsidR="00342182" w:rsidRDefault="00342182" w:rsidP="00342182">
      <w:pPr>
        <w:pStyle w:val="SingleTxtGA"/>
        <w:rPr>
          <w:rFonts w:hint="cs"/>
          <w:rtl/>
          <w:lang w:val="fr-CH"/>
        </w:rPr>
      </w:pPr>
      <w:r>
        <w:rPr>
          <w:rFonts w:hint="cs"/>
          <w:rtl/>
          <w:lang w:val="fr-CH"/>
        </w:rPr>
        <w:t>4-</w:t>
      </w:r>
      <w:r>
        <w:rPr>
          <w:rFonts w:hint="cs"/>
          <w:rtl/>
          <w:lang w:val="fr-CH"/>
        </w:rPr>
        <w:tab/>
        <w:t xml:space="preserve">وفيما يتعلق بالبلاغ رقم 1611/2007، </w:t>
      </w:r>
      <w:proofErr w:type="spellStart"/>
      <w:r w:rsidRPr="002C7ED4">
        <w:rPr>
          <w:rFonts w:hint="cs"/>
          <w:i/>
          <w:iCs/>
          <w:rtl/>
          <w:lang w:val="fr-CH"/>
        </w:rPr>
        <w:t>بونيلا</w:t>
      </w:r>
      <w:proofErr w:type="spellEnd"/>
      <w:r w:rsidRPr="002C7ED4">
        <w:rPr>
          <w:rFonts w:hint="cs"/>
          <w:i/>
          <w:iCs/>
          <w:rtl/>
          <w:lang w:val="fr-CH"/>
        </w:rPr>
        <w:t xml:space="preserve"> ليرما ضد كولومبيا</w:t>
      </w:r>
      <w:r>
        <w:rPr>
          <w:rFonts w:hint="cs"/>
          <w:rtl/>
          <w:lang w:val="fr-CH"/>
        </w:rPr>
        <w:t xml:space="preserve">، الذي رأت فيه اللجنة حدوث انتهاك للمادة 14، فإن الدولة الطرف أبلغت أن قانوناً </w:t>
      </w:r>
      <w:proofErr w:type="spellStart"/>
      <w:r>
        <w:rPr>
          <w:rFonts w:hint="cs"/>
          <w:rtl/>
          <w:lang w:val="fr-CH"/>
        </w:rPr>
        <w:t>يعترف</w:t>
      </w:r>
      <w:proofErr w:type="spellEnd"/>
      <w:r>
        <w:rPr>
          <w:rFonts w:hint="cs"/>
          <w:rtl/>
          <w:lang w:val="fr-CH"/>
        </w:rPr>
        <w:t xml:space="preserve"> بالقوة الملزمة لقرارات الهيئات الدولية، ومن بينها اللجنة المعنية بحقوق الإنسان قد اعتُمد</w:t>
      </w:r>
      <w:r w:rsidR="002C7ED4">
        <w:rPr>
          <w:rFonts w:hint="cs"/>
          <w:rtl/>
          <w:lang w:val="fr-CH"/>
        </w:rPr>
        <w:t>،</w:t>
      </w:r>
      <w:r>
        <w:rPr>
          <w:rFonts w:hint="cs"/>
          <w:rtl/>
          <w:lang w:val="fr-CH"/>
        </w:rPr>
        <w:t xml:space="preserve"> وأن لهذا الإجراء أثره أيضاً على 14 قضية أخرى تنظر فيها اللجنة.</w:t>
      </w:r>
    </w:p>
    <w:p w:rsidR="00342182" w:rsidRDefault="00342182" w:rsidP="00342182">
      <w:pPr>
        <w:pStyle w:val="SingleTxtGA"/>
        <w:rPr>
          <w:rFonts w:hint="cs"/>
          <w:rtl/>
          <w:lang w:val="fr-CH"/>
        </w:rPr>
      </w:pPr>
      <w:r>
        <w:rPr>
          <w:rFonts w:hint="cs"/>
          <w:rtl/>
          <w:lang w:val="fr-CH"/>
        </w:rPr>
        <w:t>5-</w:t>
      </w:r>
      <w:r>
        <w:rPr>
          <w:rFonts w:hint="cs"/>
          <w:rtl/>
          <w:lang w:val="fr-CH"/>
        </w:rPr>
        <w:tab/>
        <w:t xml:space="preserve">والتقى المقرر الخاص أيضاً بممثلين لأوكرانيا بشأن قضية </w:t>
      </w:r>
      <w:proofErr w:type="spellStart"/>
      <w:r w:rsidRPr="00B124C3">
        <w:rPr>
          <w:rFonts w:hint="cs"/>
          <w:i/>
          <w:iCs/>
          <w:rtl/>
          <w:lang w:val="fr-CH"/>
        </w:rPr>
        <w:t>علييف</w:t>
      </w:r>
      <w:proofErr w:type="spellEnd"/>
      <w:r>
        <w:rPr>
          <w:rFonts w:hint="cs"/>
          <w:rtl/>
          <w:lang w:val="fr-CH"/>
        </w:rPr>
        <w:t xml:space="preserve"> (البلاغ رقم 781/1997)، المتعلقة بانتهاك المادتين 7 و14 من العهد، طلبت فيها اللجنة الإفراج المبكر عن صاحب البلاغ. ولو إن الدولة الطرف لم تغير موقفها، فإن الممثلين أصغوا باهتمام إلى حجج المقرر الخاص؛ ومن المهم بالتالي مواصلة الحوار. وفيما يخص قضية </w:t>
      </w:r>
      <w:proofErr w:type="spellStart"/>
      <w:r w:rsidRPr="00B124C3">
        <w:rPr>
          <w:rFonts w:hint="cs"/>
          <w:i/>
          <w:iCs/>
          <w:rtl/>
          <w:lang w:val="fr-CH"/>
        </w:rPr>
        <w:t>بوتوفينكو</w:t>
      </w:r>
      <w:proofErr w:type="spellEnd"/>
      <w:r>
        <w:rPr>
          <w:rFonts w:hint="cs"/>
          <w:rtl/>
          <w:lang w:val="fr-CH"/>
        </w:rPr>
        <w:t xml:space="preserve"> (البلاغ رقم 1412/2005) وقضية </w:t>
      </w:r>
      <w:proofErr w:type="spellStart"/>
      <w:r w:rsidRPr="00B124C3">
        <w:rPr>
          <w:rFonts w:hint="cs"/>
          <w:i/>
          <w:iCs/>
          <w:rtl/>
          <w:lang w:val="fr-CH"/>
        </w:rPr>
        <w:t>شيشيتكا</w:t>
      </w:r>
      <w:proofErr w:type="spellEnd"/>
      <w:r>
        <w:rPr>
          <w:rFonts w:hint="cs"/>
          <w:rtl/>
          <w:lang w:val="fr-CH"/>
        </w:rPr>
        <w:t xml:space="preserve"> (البلاغ رقم 1535/2006)، اللتين تتعلقان أيضاً بانتهاكات المادتين 7 و14 من العهد، فإن أوكرانيا لم تقدم حتى هذا اليوم أي رد كتابي. وأعلن صاحبا البلاغين أنهما قدما طلباً إلى المحكمة الأوكرانية العليا لإعادة النظر في إدانتهما، وأن هذه المحكمة رأت، استناداً على وجه الحصر إلى المادة 400-12 من قانون الإجراءات الجنائية، أن قرارات اللجنة المعنية بحقوق الإنسان ليست لها قوة ملزمة. ومع ذلك، فإن المناقشات التي دارت مع الممثلين الأوكرانيين بشأن ضرورة تعديل الحكم المعني بدت مشجعة.</w:t>
      </w:r>
    </w:p>
    <w:p w:rsidR="00342182" w:rsidRDefault="00342182" w:rsidP="00342182">
      <w:pPr>
        <w:pStyle w:val="SingleTxtGA"/>
        <w:rPr>
          <w:rFonts w:hint="cs"/>
          <w:rtl/>
          <w:lang w:val="fr-CH"/>
        </w:rPr>
      </w:pPr>
      <w:r>
        <w:rPr>
          <w:rFonts w:hint="cs"/>
          <w:rtl/>
          <w:lang w:val="fr-CH"/>
        </w:rPr>
        <w:t>6-</w:t>
      </w:r>
      <w:r>
        <w:rPr>
          <w:rFonts w:hint="cs"/>
          <w:rtl/>
          <w:lang w:val="fr-CH"/>
        </w:rPr>
        <w:tab/>
        <w:t xml:space="preserve">وفيما يتعلق بقضية </w:t>
      </w:r>
      <w:r w:rsidRPr="00B124C3">
        <w:rPr>
          <w:rFonts w:hint="cs"/>
          <w:i/>
          <w:iCs/>
          <w:rtl/>
          <w:lang w:val="fr-CH"/>
        </w:rPr>
        <w:t>فاردون</w:t>
      </w:r>
      <w:r>
        <w:rPr>
          <w:rFonts w:hint="cs"/>
          <w:rtl/>
          <w:lang w:val="fr-CH"/>
        </w:rPr>
        <w:t xml:space="preserve"> (البلاغ رقم 1926/2007) وقضية </w:t>
      </w:r>
      <w:proofErr w:type="spellStart"/>
      <w:r w:rsidRPr="00B124C3">
        <w:rPr>
          <w:rFonts w:hint="cs"/>
          <w:i/>
          <w:iCs/>
          <w:rtl/>
          <w:lang w:val="fr-CH"/>
        </w:rPr>
        <w:t>تيلمان</w:t>
      </w:r>
      <w:proofErr w:type="spellEnd"/>
      <w:r>
        <w:rPr>
          <w:rFonts w:hint="cs"/>
          <w:rtl/>
          <w:lang w:val="fr-CH"/>
        </w:rPr>
        <w:t xml:space="preserve"> (البلاغ رقم</w:t>
      </w:r>
      <w:r>
        <w:rPr>
          <w:rFonts w:hint="eastAsia"/>
          <w:rtl/>
          <w:lang w:val="fr-CH"/>
        </w:rPr>
        <w:t> </w:t>
      </w:r>
      <w:r>
        <w:rPr>
          <w:rFonts w:hint="cs"/>
          <w:rtl/>
          <w:lang w:val="fr-CH"/>
        </w:rPr>
        <w:t>1635/2007) اللتين طلبت فيه</w:t>
      </w:r>
      <w:r w:rsidR="002C7ED4">
        <w:rPr>
          <w:rFonts w:hint="cs"/>
          <w:rtl/>
          <w:lang w:val="fr-CH"/>
        </w:rPr>
        <w:t>ا</w:t>
      </w:r>
      <w:r>
        <w:rPr>
          <w:rFonts w:hint="cs"/>
          <w:rtl/>
          <w:lang w:val="fr-CH"/>
        </w:rPr>
        <w:t xml:space="preserve"> اللجنة إنهاء حبس صاحبي البلاغين بموجب القانون الخاص بالجرائم الجزائية، ما تزال أستراليا تطعن في الاستدلال القانوني الذي توخته اللجنة مما يجعل من غير المحتمل حدوث تقدم في هذا الصدد. وفيما يتعلق أخيراً بقضية </w:t>
      </w:r>
      <w:proofErr w:type="spellStart"/>
      <w:r w:rsidRPr="00B124C3">
        <w:rPr>
          <w:rFonts w:hint="cs"/>
          <w:i/>
          <w:iCs/>
          <w:rtl/>
          <w:lang w:val="fr-CH"/>
        </w:rPr>
        <w:t>نيستروم</w:t>
      </w:r>
      <w:proofErr w:type="spellEnd"/>
      <w:r w:rsidRPr="00B124C3">
        <w:rPr>
          <w:rFonts w:hint="cs"/>
          <w:i/>
          <w:iCs/>
          <w:rtl/>
          <w:lang w:val="fr-CH"/>
        </w:rPr>
        <w:t xml:space="preserve"> و</w:t>
      </w:r>
      <w:r>
        <w:rPr>
          <w:rFonts w:hint="cs"/>
          <w:i/>
          <w:iCs/>
          <w:rtl/>
          <w:lang w:val="fr-CH"/>
        </w:rPr>
        <w:t xml:space="preserve">من معه </w:t>
      </w:r>
      <w:r w:rsidRPr="00342182">
        <w:rPr>
          <w:rFonts w:hint="cs"/>
          <w:i/>
          <w:iCs/>
          <w:rtl/>
          <w:lang w:val="fr-CH"/>
        </w:rPr>
        <w:t>ضد أستراليا</w:t>
      </w:r>
      <w:r>
        <w:rPr>
          <w:rFonts w:hint="cs"/>
          <w:rtl/>
          <w:lang w:val="fr-CH"/>
        </w:rPr>
        <w:t xml:space="preserve"> (البلاغ رقم 1557/2007)، تبنت الدولة الطرف الآراء الفردية المخالفة المرفقة بآراء اللجنة؛ ومن ثم لا يبدو أن هناك مجالاً لمواصلة الحوار في هذا الصدد.</w:t>
      </w:r>
    </w:p>
    <w:p w:rsidR="00342182" w:rsidRDefault="00342182" w:rsidP="00BC055C">
      <w:pPr>
        <w:pStyle w:val="SingleTxtGA"/>
        <w:rPr>
          <w:rFonts w:hint="cs"/>
          <w:rtl/>
          <w:lang w:val="fr-CH"/>
        </w:rPr>
      </w:pPr>
      <w:r>
        <w:rPr>
          <w:rFonts w:hint="cs"/>
          <w:rtl/>
          <w:lang w:val="fr-CH"/>
        </w:rPr>
        <w:t>7-</w:t>
      </w:r>
      <w:r>
        <w:rPr>
          <w:rFonts w:hint="cs"/>
          <w:rtl/>
          <w:lang w:val="fr-CH"/>
        </w:rPr>
        <w:tab/>
      </w:r>
      <w:r>
        <w:rPr>
          <w:rFonts w:hint="cs"/>
          <w:b/>
          <w:bCs/>
          <w:rtl/>
          <w:lang w:val="fr-CH"/>
        </w:rPr>
        <w:t>الرئيسة</w:t>
      </w:r>
      <w:r>
        <w:rPr>
          <w:rFonts w:hint="cs"/>
          <w:rtl/>
          <w:lang w:val="fr-CH"/>
        </w:rPr>
        <w:t xml:space="preserve"> وجهت الشكر إلى السيد </w:t>
      </w:r>
      <w:proofErr w:type="spellStart"/>
      <w:r>
        <w:rPr>
          <w:rFonts w:hint="cs"/>
          <w:rtl/>
          <w:lang w:val="fr-CH"/>
        </w:rPr>
        <w:t>تيلين</w:t>
      </w:r>
      <w:proofErr w:type="spellEnd"/>
      <w:r>
        <w:rPr>
          <w:rFonts w:hint="cs"/>
          <w:rtl/>
          <w:lang w:val="fr-CH"/>
        </w:rPr>
        <w:t xml:space="preserve"> على عرضه، وأشارت إلى أن ولايته تنتهي في نهاية الجلسة، </w:t>
      </w:r>
      <w:r w:rsidR="00BC055C">
        <w:rPr>
          <w:rFonts w:hint="cs"/>
          <w:rtl/>
          <w:lang w:val="fr-CH"/>
        </w:rPr>
        <w:t xml:space="preserve">فأشادت </w:t>
      </w:r>
      <w:r>
        <w:rPr>
          <w:rFonts w:hint="cs"/>
          <w:rtl/>
          <w:lang w:val="fr-CH"/>
        </w:rPr>
        <w:t>بمساهمته في أعمال اللجنة.</w:t>
      </w:r>
    </w:p>
    <w:p w:rsidR="00342182" w:rsidRDefault="00BC055C" w:rsidP="00342182">
      <w:pPr>
        <w:pStyle w:val="SingleTxtGA"/>
        <w:rPr>
          <w:rFonts w:hint="cs"/>
          <w:i/>
          <w:iCs/>
          <w:rtl/>
          <w:lang w:val="fr-CH"/>
        </w:rPr>
      </w:pPr>
      <w:r>
        <w:rPr>
          <w:rFonts w:hint="cs"/>
          <w:i/>
          <w:iCs/>
          <w:rtl/>
          <w:lang w:val="fr-CH"/>
        </w:rPr>
        <w:t>رفعت الجلسة الساعة 00/18.</w:t>
      </w:r>
    </w:p>
    <w:p w:rsidR="00BC055C" w:rsidRPr="00BC055C" w:rsidRDefault="00BC055C" w:rsidP="00BC055C">
      <w:pPr>
        <w:spacing w:before="120"/>
        <w:jc w:val="center"/>
        <w:rPr>
          <w:rFonts w:hint="cs"/>
          <w:u w:val="single"/>
        </w:rPr>
      </w:pPr>
      <w:r>
        <w:rPr>
          <w:u w:val="single"/>
          <w:rtl/>
        </w:rPr>
        <w:tab/>
      </w:r>
      <w:r>
        <w:rPr>
          <w:u w:val="single"/>
          <w:rtl/>
        </w:rPr>
        <w:tab/>
      </w:r>
      <w:r>
        <w:rPr>
          <w:u w:val="single"/>
          <w:rtl/>
        </w:rPr>
        <w:tab/>
      </w:r>
    </w:p>
    <w:p w:rsidR="00342182" w:rsidRDefault="00342182" w:rsidP="00342182">
      <w:pPr>
        <w:pStyle w:val="SingleTxtGA"/>
        <w:rPr>
          <w:rFonts w:hint="cs"/>
          <w:rtl/>
          <w:lang w:val="fr-CH"/>
        </w:rPr>
      </w:pPr>
    </w:p>
    <w:p w:rsidR="00342182" w:rsidRDefault="00342182" w:rsidP="00342182">
      <w:pPr>
        <w:pStyle w:val="SingleTxtGA"/>
        <w:rPr>
          <w:rFonts w:hint="cs"/>
          <w:rtl/>
          <w:lang w:val="fr-CH"/>
        </w:rPr>
      </w:pPr>
    </w:p>
    <w:p w:rsidR="00342182" w:rsidRDefault="00342182" w:rsidP="00342182">
      <w:pPr>
        <w:pStyle w:val="SingleTxtGA"/>
        <w:rPr>
          <w:rFonts w:hint="cs"/>
          <w:rtl/>
          <w:lang w:val="fr-CH"/>
        </w:rPr>
      </w:pPr>
    </w:p>
    <w:p w:rsidR="00342182" w:rsidRDefault="00342182" w:rsidP="00342182">
      <w:pPr>
        <w:pStyle w:val="SingleTxtGA"/>
        <w:rPr>
          <w:rFonts w:hint="cs"/>
          <w:rtl/>
        </w:rPr>
      </w:pPr>
    </w:p>
    <w:p w:rsidR="00342182" w:rsidRPr="00CD4EE7" w:rsidRDefault="00342182" w:rsidP="00342182">
      <w:pPr>
        <w:pStyle w:val="SingleTxtGA"/>
        <w:rPr>
          <w:rFonts w:hint="cs"/>
          <w:rtl/>
          <w:lang w:val="fr-CH"/>
        </w:rPr>
      </w:pPr>
    </w:p>
    <w:p w:rsidR="008B4BC6" w:rsidRPr="008B4BC6" w:rsidRDefault="008B4BC6" w:rsidP="00342182">
      <w:pPr>
        <w:pStyle w:val="SingleTxtGA"/>
        <w:rPr>
          <w:rFonts w:hint="cs"/>
          <w:rtl/>
        </w:rPr>
      </w:pPr>
    </w:p>
    <w:sectPr w:rsidR="008B4BC6" w:rsidRPr="008B4BC6"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561E" w:rsidRPr="00FE6865" w:rsidRDefault="00FF561E" w:rsidP="00FE6865">
      <w:pPr>
        <w:pStyle w:val="Footer"/>
      </w:pPr>
    </w:p>
  </w:endnote>
  <w:endnote w:type="continuationSeparator" w:id="0">
    <w:p w:rsidR="00FF561E" w:rsidRDefault="00FF56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2182" w:rsidRPr="00342182" w:rsidRDefault="00342182" w:rsidP="00342182">
    <w:pPr>
      <w:pStyle w:val="Footer"/>
      <w:tabs>
        <w:tab w:val="right" w:pos="9598"/>
      </w:tabs>
    </w:pPr>
    <w:r>
      <w:t>GE.12-47083</w:t>
    </w:r>
    <w:r>
      <w:tab/>
    </w:r>
    <w:r w:rsidRPr="00342182">
      <w:rPr>
        <w:b/>
        <w:sz w:val="18"/>
      </w:rPr>
      <w:fldChar w:fldCharType="begin"/>
    </w:r>
    <w:r w:rsidRPr="00342182">
      <w:rPr>
        <w:b/>
        <w:sz w:val="18"/>
      </w:rPr>
      <w:instrText xml:space="preserve"> PAGE  \* MERGEFORMAT </w:instrText>
    </w:r>
    <w:r w:rsidRPr="00342182">
      <w:rPr>
        <w:b/>
        <w:sz w:val="18"/>
      </w:rPr>
      <w:fldChar w:fldCharType="separate"/>
    </w:r>
    <w:r w:rsidR="002C7ED4">
      <w:rPr>
        <w:b/>
        <w:noProof/>
        <w:sz w:val="18"/>
      </w:rPr>
      <w:t>2</w:t>
    </w:r>
    <w:r w:rsidRPr="00342182">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2182" w:rsidRPr="00342182" w:rsidRDefault="00342182" w:rsidP="00342182">
    <w:pPr>
      <w:pStyle w:val="Footer"/>
      <w:tabs>
        <w:tab w:val="right" w:pos="9598"/>
      </w:tabs>
      <w:rPr>
        <w:b/>
        <w:sz w:val="18"/>
      </w:rPr>
    </w:pPr>
    <w:r w:rsidRPr="00342182">
      <w:rPr>
        <w:b/>
        <w:sz w:val="18"/>
      </w:rPr>
      <w:fldChar w:fldCharType="begin"/>
    </w:r>
    <w:r w:rsidRPr="00342182">
      <w:rPr>
        <w:b/>
        <w:sz w:val="18"/>
      </w:rPr>
      <w:instrText xml:space="preserve"> PAGE  \* MERGEFORMAT </w:instrText>
    </w:r>
    <w:r w:rsidRPr="00342182">
      <w:rPr>
        <w:b/>
        <w:sz w:val="18"/>
      </w:rPr>
      <w:fldChar w:fldCharType="separate"/>
    </w:r>
    <w:r w:rsidR="002C7ED4">
      <w:rPr>
        <w:b/>
        <w:noProof/>
        <w:sz w:val="18"/>
      </w:rPr>
      <w:t>3</w:t>
    </w:r>
    <w:r w:rsidRPr="00342182">
      <w:rPr>
        <w:b/>
        <w:sz w:val="18"/>
      </w:rPr>
      <w:fldChar w:fldCharType="end"/>
    </w:r>
    <w:r>
      <w:rPr>
        <w:b/>
        <w:sz w:val="18"/>
      </w:rPr>
      <w:tab/>
    </w:r>
    <w:r>
      <w:t>GE.12-47083</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4ABC" w:rsidRDefault="00342182" w:rsidP="00342182">
    <w:pPr>
      <w:pStyle w:val="Footer"/>
      <w:jc w:val="right"/>
    </w:pPr>
    <w:r>
      <w:rPr>
        <w:sz w:val="20"/>
      </w:rPr>
      <w:t>(A)   GE.12-47083</w:t>
    </w:r>
    <w:r w:rsidR="00AB4ABC">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 xml:space="preserve">     291112    031212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561E" w:rsidRDefault="00FF561E" w:rsidP="007E4686">
      <w:pPr>
        <w:pStyle w:val="Footer"/>
        <w:bidi/>
        <w:spacing w:after="80" w:line="200" w:lineRule="exact"/>
        <w:ind w:left="680"/>
      </w:pPr>
      <w:r>
        <w:rPr>
          <w:rFonts w:hint="cs"/>
          <w:rtl/>
        </w:rPr>
        <w:t>__________</w:t>
      </w:r>
    </w:p>
  </w:footnote>
  <w:footnote w:type="continuationSeparator" w:id="0">
    <w:p w:rsidR="00FF561E" w:rsidRDefault="00FF561E" w:rsidP="007E4686">
      <w:pPr>
        <w:pStyle w:val="Footer"/>
        <w:bidi/>
        <w:spacing w:after="80" w:line="200" w:lineRule="exact"/>
        <w:ind w:left="680"/>
      </w:pPr>
      <w:r>
        <w:rPr>
          <w:rFonts w:hint="cs"/>
          <w:rtl/>
        </w:rPr>
        <w:t>__________</w:t>
      </w:r>
    </w:p>
  </w:footnote>
  <w:footnote w:id="1">
    <w:p w:rsidR="00342182" w:rsidRDefault="00342182" w:rsidP="00342182">
      <w:pPr>
        <w:pStyle w:val="footnoteText0"/>
        <w:rPr>
          <w:rFonts w:hint="cs"/>
          <w:rtl/>
        </w:rPr>
      </w:pPr>
      <w:r>
        <w:rPr>
          <w:rtl/>
        </w:rPr>
        <w:tab/>
      </w:r>
      <w:r w:rsidRPr="006F523B">
        <w:rPr>
          <w:rStyle w:val="FootnoteReference"/>
          <w:sz w:val="20"/>
          <w:vertAlign w:val="baseline"/>
          <w:rtl/>
        </w:rPr>
        <w:t>*</w:t>
      </w:r>
      <w:r>
        <w:rPr>
          <w:rtl/>
        </w:rPr>
        <w:tab/>
      </w:r>
      <w:r>
        <w:rPr>
          <w:rFonts w:hint="cs"/>
          <w:rtl/>
        </w:rPr>
        <w:t>لم يعد محضر موجز للجزء الأول (المغلق) من الجلسة.</w:t>
      </w:r>
    </w:p>
    <w:p w:rsidR="00342182" w:rsidRPr="00AD57F8" w:rsidRDefault="00342182" w:rsidP="00342182">
      <w:pPr>
        <w:pStyle w:val="footnoteText0"/>
        <w:pBdr>
          <w:bottom w:val="single" w:sz="4" w:space="3" w:color="auto"/>
        </w:pBdr>
        <w:tabs>
          <w:tab w:val="clear" w:pos="1021"/>
        </w:tabs>
        <w:spacing w:after="0" w:line="160" w:lineRule="exact"/>
        <w:ind w:left="0" w:right="0" w:firstLine="0"/>
        <w:jc w:val="left"/>
        <w:rPr>
          <w:rFonts w:hint="cs"/>
          <w:sz w:val="20"/>
          <w:rtl/>
        </w:rPr>
      </w:pPr>
    </w:p>
    <w:p w:rsidR="00342182" w:rsidRPr="00236B1D" w:rsidRDefault="00342182" w:rsidP="00342182">
      <w:pPr>
        <w:pStyle w:val="footnoteText0"/>
        <w:spacing w:before="60"/>
        <w:ind w:firstLine="680"/>
        <w:rPr>
          <w:rtl/>
        </w:rPr>
      </w:pPr>
      <w:r w:rsidRPr="00236B1D">
        <w:rPr>
          <w:rtl/>
        </w:rPr>
        <w:t>هذا المحضر قابل للتصويب.</w:t>
      </w:r>
    </w:p>
    <w:p w:rsidR="00342182" w:rsidRPr="00236B1D" w:rsidRDefault="00342182" w:rsidP="00342182">
      <w:pPr>
        <w:pStyle w:val="footnoteText0"/>
        <w:ind w:firstLine="680"/>
        <w:rPr>
          <w:rtl/>
        </w:rPr>
      </w:pPr>
      <w:r w:rsidRPr="00236B1D">
        <w:rPr>
          <w:rtl/>
        </w:rPr>
        <w:t xml:space="preserve">وينبغي أن تقدم التصويبات بواحدة من لغات العمل، كما ينبغي أن تُعرض التصويبات في مذكرة مع إدخالها على نسخة من المحضر. وينبغي أن ترسـل </w:t>
      </w:r>
      <w:r w:rsidRPr="005115B8">
        <w:rPr>
          <w:i/>
          <w:iCs/>
          <w:rtl/>
        </w:rPr>
        <w:t>خلال أسبوع من تاريخ هذه الوثيقة</w:t>
      </w:r>
      <w:r w:rsidRPr="00236B1D">
        <w:rPr>
          <w:rtl/>
        </w:rPr>
        <w:t xml:space="preserve"> إلى وحدة تحرير الوثائق:</w:t>
      </w:r>
      <w:r>
        <w:rPr>
          <w:rFonts w:hint="cs"/>
          <w:rtl/>
        </w:rPr>
        <w:t xml:space="preserve"> </w:t>
      </w:r>
      <w:r w:rsidRPr="00236B1D">
        <w:t xml:space="preserve">Editing Unit, room E.4108, Palais des Nations, </w:t>
      </w:r>
      <w:smartTag w:uri="urn:schemas-microsoft-com:office:smarttags" w:element="City">
        <w:smartTag w:uri="urn:schemas-microsoft-com:office:smarttags" w:element="place">
          <w:r w:rsidRPr="00236B1D">
            <w:t>Geneva</w:t>
          </w:r>
        </w:smartTag>
      </w:smartTag>
      <w:r w:rsidRPr="00236B1D">
        <w:rPr>
          <w:rtl/>
        </w:rPr>
        <w:t>.</w:t>
      </w:r>
    </w:p>
    <w:p w:rsidR="00342182" w:rsidRPr="00AD57F8" w:rsidRDefault="00342182" w:rsidP="00342182">
      <w:pPr>
        <w:pStyle w:val="footnoteText0"/>
        <w:ind w:firstLine="680"/>
        <w:rPr>
          <w:rFonts w:hint="cs"/>
          <w:rtl/>
        </w:rPr>
      </w:pPr>
      <w:r w:rsidRPr="00236B1D">
        <w:rPr>
          <w:rtl/>
        </w:rPr>
        <w:t>وستُدمج أية تصويبات ترد على محاضر جلسات الاجتماع في وثيقة تصويب واحدة تصدر بعد نهاية الدورة بأمد وجي</w:t>
      </w:r>
      <w:r>
        <w:rPr>
          <w:rtl/>
        </w:rPr>
        <w:t>ز.</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2182" w:rsidRPr="00342182" w:rsidRDefault="00342182" w:rsidP="00342182">
    <w:pPr>
      <w:pStyle w:val="Header"/>
      <w:jc w:val="right"/>
    </w:pPr>
    <w:r w:rsidRPr="00342182">
      <w:t>CCPR/C/SR.2946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4ABC" w:rsidRPr="00342182" w:rsidRDefault="00342182" w:rsidP="00342182">
    <w:pPr>
      <w:pStyle w:val="Header"/>
      <w:jc w:val="left"/>
    </w:pPr>
    <w:r w:rsidRPr="00342182">
      <w:t>CCPR/C/SR.2946</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4ABC" w:rsidRDefault="00AB4ABC"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2" o:allowincell="f" filled="f" stroked="f">
          <v:textbox inset="0,0,0,0">
            <w:txbxContent>
              <w:p w:rsidR="00AB4ABC" w:rsidRPr="008F6743" w:rsidRDefault="00AB4ABC"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B4ABC"/>
    <w:rsid w:val="00014773"/>
    <w:rsid w:val="00040E25"/>
    <w:rsid w:val="00042149"/>
    <w:rsid w:val="000648EA"/>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455A0"/>
    <w:rsid w:val="001602A3"/>
    <w:rsid w:val="001A5161"/>
    <w:rsid w:val="001A60BD"/>
    <w:rsid w:val="001C6D53"/>
    <w:rsid w:val="00232277"/>
    <w:rsid w:val="0023736D"/>
    <w:rsid w:val="00257225"/>
    <w:rsid w:val="002C7ED4"/>
    <w:rsid w:val="00310160"/>
    <w:rsid w:val="00341A8C"/>
    <w:rsid w:val="00342182"/>
    <w:rsid w:val="003519E6"/>
    <w:rsid w:val="00355F81"/>
    <w:rsid w:val="003B4356"/>
    <w:rsid w:val="003F08A8"/>
    <w:rsid w:val="004250E3"/>
    <w:rsid w:val="00472A81"/>
    <w:rsid w:val="004A20A6"/>
    <w:rsid w:val="004B2C92"/>
    <w:rsid w:val="004D6A3A"/>
    <w:rsid w:val="004F4AD7"/>
    <w:rsid w:val="00557CD3"/>
    <w:rsid w:val="00571432"/>
    <w:rsid w:val="005732A2"/>
    <w:rsid w:val="005762A5"/>
    <w:rsid w:val="00590BA3"/>
    <w:rsid w:val="005B46D9"/>
    <w:rsid w:val="005B7AE0"/>
    <w:rsid w:val="005C17C5"/>
    <w:rsid w:val="005E23F5"/>
    <w:rsid w:val="005F146F"/>
    <w:rsid w:val="005F71B6"/>
    <w:rsid w:val="00654786"/>
    <w:rsid w:val="00660FD4"/>
    <w:rsid w:val="00665BE4"/>
    <w:rsid w:val="006A4425"/>
    <w:rsid w:val="006B00A4"/>
    <w:rsid w:val="006B4669"/>
    <w:rsid w:val="006D3CFA"/>
    <w:rsid w:val="006F6BF8"/>
    <w:rsid w:val="00707BDF"/>
    <w:rsid w:val="00710727"/>
    <w:rsid w:val="00715F45"/>
    <w:rsid w:val="0072608F"/>
    <w:rsid w:val="00731815"/>
    <w:rsid w:val="00731B84"/>
    <w:rsid w:val="00734AE7"/>
    <w:rsid w:val="0079344E"/>
    <w:rsid w:val="007E197F"/>
    <w:rsid w:val="007E2786"/>
    <w:rsid w:val="007E4686"/>
    <w:rsid w:val="007F68C4"/>
    <w:rsid w:val="008153DE"/>
    <w:rsid w:val="00852A10"/>
    <w:rsid w:val="00862634"/>
    <w:rsid w:val="00866C59"/>
    <w:rsid w:val="00877306"/>
    <w:rsid w:val="00885524"/>
    <w:rsid w:val="008A6242"/>
    <w:rsid w:val="008B4BC6"/>
    <w:rsid w:val="008F6743"/>
    <w:rsid w:val="00901E57"/>
    <w:rsid w:val="009070DF"/>
    <w:rsid w:val="00935F0E"/>
    <w:rsid w:val="0095208F"/>
    <w:rsid w:val="00977B3F"/>
    <w:rsid w:val="009814AE"/>
    <w:rsid w:val="009901D3"/>
    <w:rsid w:val="00996BBE"/>
    <w:rsid w:val="009B2C03"/>
    <w:rsid w:val="009D17B9"/>
    <w:rsid w:val="009D1DD5"/>
    <w:rsid w:val="009F722C"/>
    <w:rsid w:val="00A26157"/>
    <w:rsid w:val="00A265C3"/>
    <w:rsid w:val="00A43F9A"/>
    <w:rsid w:val="00A53F38"/>
    <w:rsid w:val="00A543D4"/>
    <w:rsid w:val="00AB4ABC"/>
    <w:rsid w:val="00AD0014"/>
    <w:rsid w:val="00AD4CF2"/>
    <w:rsid w:val="00AF0BBA"/>
    <w:rsid w:val="00B25159"/>
    <w:rsid w:val="00B30468"/>
    <w:rsid w:val="00B44E31"/>
    <w:rsid w:val="00BA4F7E"/>
    <w:rsid w:val="00BB2C41"/>
    <w:rsid w:val="00BC055C"/>
    <w:rsid w:val="00BC55C8"/>
    <w:rsid w:val="00BC5C10"/>
    <w:rsid w:val="00BE2964"/>
    <w:rsid w:val="00C21623"/>
    <w:rsid w:val="00C24FBD"/>
    <w:rsid w:val="00C473BA"/>
    <w:rsid w:val="00C611ED"/>
    <w:rsid w:val="00C6490A"/>
    <w:rsid w:val="00C64FE1"/>
    <w:rsid w:val="00C726D2"/>
    <w:rsid w:val="00C74296"/>
    <w:rsid w:val="00C8345E"/>
    <w:rsid w:val="00CA3CAC"/>
    <w:rsid w:val="00CA5F7C"/>
    <w:rsid w:val="00D51067"/>
    <w:rsid w:val="00D75657"/>
    <w:rsid w:val="00D960AD"/>
    <w:rsid w:val="00DA0E0E"/>
    <w:rsid w:val="00DB0885"/>
    <w:rsid w:val="00DB0C39"/>
    <w:rsid w:val="00DB7679"/>
    <w:rsid w:val="00DF1702"/>
    <w:rsid w:val="00DF4DD8"/>
    <w:rsid w:val="00DF668E"/>
    <w:rsid w:val="00E04826"/>
    <w:rsid w:val="00E14D2B"/>
    <w:rsid w:val="00E20DBA"/>
    <w:rsid w:val="00E6524A"/>
    <w:rsid w:val="00E660D6"/>
    <w:rsid w:val="00E771AB"/>
    <w:rsid w:val="00EA796F"/>
    <w:rsid w:val="00EB077B"/>
    <w:rsid w:val="00EB3DB1"/>
    <w:rsid w:val="00EC50B9"/>
    <w:rsid w:val="00ED26A0"/>
    <w:rsid w:val="00F1727A"/>
    <w:rsid w:val="00F34764"/>
    <w:rsid w:val="00F54E3C"/>
    <w:rsid w:val="00F874BD"/>
    <w:rsid w:val="00FB1D0B"/>
    <w:rsid w:val="00FE55A3"/>
    <w:rsid w:val="00FE6865"/>
    <w:rsid w:val="00FF561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6433596">
      <w:bodyDiv w:val="1"/>
      <w:marLeft w:val="0"/>
      <w:marRight w:val="0"/>
      <w:marTop w:val="0"/>
      <w:marBottom w:val="0"/>
      <w:divBdr>
        <w:top w:val="none" w:sz="0" w:space="0" w:color="auto"/>
        <w:left w:val="none" w:sz="0" w:space="0" w:color="auto"/>
        <w:bottom w:val="none" w:sz="0" w:space="0" w:color="auto"/>
        <w:right w:val="none" w:sz="0" w:space="0" w:color="auto"/>
      </w:divBdr>
    </w:div>
    <w:div w:id="168088675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3</Pages>
  <Words>432</Words>
  <Characters>2465</Characters>
  <Application>Microsoft Office Word</Application>
  <DocSecurity>4</DocSecurity>
  <Lines>20</Lines>
  <Paragraphs>5</Paragraphs>
  <ScaleCrop>false</ScaleCrop>
  <HeadingPairs>
    <vt:vector size="2" baseType="variant">
      <vt:variant>
        <vt:lpstr>العنوان</vt:lpstr>
      </vt:variant>
      <vt:variant>
        <vt:i4>1</vt:i4>
      </vt:variant>
    </vt:vector>
  </HeadingPairs>
  <TitlesOfParts>
    <vt:vector size="1" baseType="lpstr">
      <vt:lpstr>CCPR/C/SR.2946</vt:lpstr>
    </vt:vector>
  </TitlesOfParts>
  <Company>CSD</Company>
  <LinksUpToDate>false</LinksUpToDate>
  <CharactersWithSpaces>2892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CCPR/C/SR.2946</dc:title>
  <dc:subject>KHAIRI AZIZ- F. BEN ALI</dc:subject>
  <dc:creator>BUHNAM</dc:creator>
  <cp:keywords/>
  <dc:description/>
  <cp:lastModifiedBy>BUHNAM</cp:lastModifiedBy>
  <cp:revision>2</cp:revision>
  <cp:lastPrinted>2012-12-03T13:12:00Z</cp:lastPrinted>
  <dcterms:created xsi:type="dcterms:W3CDTF">2012-12-03T15:13:00Z</dcterms:created>
  <dcterms:modified xsi:type="dcterms:W3CDTF">2012-12-03T15:13:00Z</dcterms:modified>
</cp:coreProperties>
</file>