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tbl>
      <w:tblPr>
        <w:tblW w:w="9693" w:type="dxa"/>
        <w:tblLayout w:type="fixed"/>
        <w:tblCellMar>
          <w:left w:w="0" w:type="dxa"/>
          <w:right w:w="0" w:type="dxa"/>
        </w:tblCellMar>
        <w:tblLook w:val="0000" w:firstRow="0" w:lastRow="0" w:firstColumn="0" w:lastColumn="0" w:noHBand="0" w:noVBand="0"/>
      </w:tblPr>
      <w:tblGrid>
        <w:gridCol w:w="1873"/>
        <w:gridCol w:w="3536"/>
        <w:gridCol w:w="1488"/>
        <w:gridCol w:w="2796"/>
      </w:tblGrid>
      <w:tr w:rsidR="000D4391" w:rsidTr="00FE5701">
        <w:tc>
          <w:tcPr>
            <w:tcW w:w="5409" w:type="dxa"/>
            <w:gridSpan w:val="2"/>
            <w:tcBorders>
              <w:bottom w:val="single" w:sz="4" w:space="0" w:color="000000"/>
            </w:tcBorders>
          </w:tcPr>
          <w:p w:rsidR="000D4391" w:rsidRDefault="000D4391">
            <w:pPr>
              <w:snapToGrid w:val="0"/>
              <w:rPr>
                <w:rFonts w:ascii="Arial" w:hAnsi="Arial" w:cs="Arial"/>
                <w:b/>
                <w:sz w:val="28"/>
                <w:lang w:val="ru-RU"/>
              </w:rPr>
            </w:pPr>
            <w:r>
              <w:rPr>
                <w:rFonts w:ascii="Arial" w:hAnsi="Arial" w:cs="Arial"/>
                <w:b/>
                <w:sz w:val="28"/>
                <w:lang w:val="ru-RU"/>
              </w:rPr>
              <w:t xml:space="preserve">ОРГАНИЗАЦИЯ </w:t>
            </w:r>
            <w:r>
              <w:rPr>
                <w:rFonts w:ascii="Arial" w:hAnsi="Arial" w:cs="Arial"/>
                <w:b/>
                <w:sz w:val="28"/>
                <w:lang w:val="ru-RU"/>
              </w:rPr>
              <w:br/>
              <w:t>ОБЪЕДИНЕННЫХ НАЦИЙ</w:t>
            </w:r>
          </w:p>
        </w:tc>
        <w:tc>
          <w:tcPr>
            <w:tcW w:w="1488" w:type="dxa"/>
            <w:tcBorders>
              <w:bottom w:val="single" w:sz="4" w:space="0" w:color="000000"/>
            </w:tcBorders>
          </w:tcPr>
          <w:p w:rsidR="000D4391" w:rsidRDefault="000D4391">
            <w:pPr>
              <w:snapToGrid w:val="0"/>
              <w:rPr>
                <w:lang w:val="ru-RU"/>
              </w:rPr>
            </w:pPr>
          </w:p>
        </w:tc>
        <w:tc>
          <w:tcPr>
            <w:tcW w:w="2796" w:type="dxa"/>
            <w:tcBorders>
              <w:bottom w:val="single" w:sz="4" w:space="0" w:color="000000"/>
            </w:tcBorders>
          </w:tcPr>
          <w:p w:rsidR="000D4391" w:rsidRDefault="000D4391">
            <w:pPr>
              <w:snapToGrid w:val="0"/>
              <w:jc w:val="right"/>
              <w:rPr>
                <w:rFonts w:ascii="Arial" w:hAnsi="Arial" w:cs="Arial"/>
                <w:b/>
                <w:iCs/>
                <w:sz w:val="72"/>
                <w:lang w:val="ru-RU"/>
              </w:rPr>
            </w:pPr>
            <w:r>
              <w:rPr>
                <w:rFonts w:ascii="Arial" w:hAnsi="Arial" w:cs="Arial"/>
                <w:b/>
                <w:iCs/>
                <w:sz w:val="72"/>
                <w:lang w:val="ru-RU"/>
              </w:rPr>
              <w:t>CERD</w:t>
            </w:r>
          </w:p>
        </w:tc>
      </w:tr>
      <w:tr w:rsidR="000D4391" w:rsidTr="00FE5701">
        <w:tc>
          <w:tcPr>
            <w:tcW w:w="1873" w:type="dxa"/>
            <w:tcBorders>
              <w:top w:val="single" w:sz="4" w:space="0" w:color="000000"/>
              <w:bottom w:val="single" w:sz="4" w:space="0" w:color="000000"/>
            </w:tcBorders>
          </w:tcPr>
          <w:p w:rsidR="000D4391" w:rsidRDefault="000D4391">
            <w:pPr>
              <w:snapToGrid w:val="0"/>
              <w:spacing w:before="240"/>
              <w:ind w:left="113"/>
              <w:rPr>
                <w:b/>
                <w:bCs/>
                <w:iCs/>
                <w:sz w:val="28"/>
                <w:lang w:val="ru-RU"/>
              </w:rPr>
            </w:pPr>
            <w: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ed="t">
                  <v:fill color2="black"/>
                  <v:imagedata r:id="rId7" o:title=""/>
                </v:shape>
                <o:OLEObject Type="Embed" ProgID="Word.Picture.8" ShapeID="_x0000_i1025" DrawAspect="Content" ObjectID="_1418846501" r:id="rId8"/>
              </w:object>
            </w:r>
          </w:p>
        </w:tc>
        <w:tc>
          <w:tcPr>
            <w:tcW w:w="5024" w:type="dxa"/>
            <w:gridSpan w:val="2"/>
            <w:tcBorders>
              <w:top w:val="single" w:sz="4" w:space="0" w:color="000000"/>
              <w:bottom w:val="single" w:sz="4" w:space="0" w:color="000000"/>
            </w:tcBorders>
          </w:tcPr>
          <w:p w:rsidR="000D4391" w:rsidRDefault="000D4391">
            <w:pPr>
              <w:snapToGrid w:val="0"/>
              <w:spacing w:before="240" w:after="240"/>
              <w:rPr>
                <w:b/>
                <w:bCs/>
                <w:iCs/>
                <w:sz w:val="28"/>
                <w:lang w:val="ru-RU"/>
              </w:rPr>
            </w:pPr>
            <w:r>
              <w:rPr>
                <w:b/>
                <w:bCs/>
                <w:iCs/>
                <w:sz w:val="28"/>
                <w:lang w:val="ru-RU"/>
              </w:rPr>
              <w:t xml:space="preserve">МЕЖДУНАРОДНАЯ </w:t>
            </w:r>
            <w:r>
              <w:rPr>
                <w:b/>
                <w:bCs/>
                <w:iCs/>
                <w:sz w:val="28"/>
                <w:lang w:val="ru-RU"/>
              </w:rPr>
              <w:br/>
              <w:t xml:space="preserve">КОНВЕНЦИЯ </w:t>
            </w:r>
            <w:r>
              <w:rPr>
                <w:b/>
                <w:bCs/>
                <w:iCs/>
                <w:sz w:val="28"/>
                <w:lang w:val="ru-RU"/>
              </w:rPr>
              <w:br/>
              <w:t xml:space="preserve">О ЛИКВИДАЦИИ </w:t>
            </w:r>
            <w:r>
              <w:rPr>
                <w:b/>
                <w:bCs/>
                <w:iCs/>
                <w:sz w:val="28"/>
                <w:lang w:val="ru-RU"/>
              </w:rPr>
              <w:br/>
              <w:t xml:space="preserve">ВСЕХ ФОРМ </w:t>
            </w:r>
            <w:r>
              <w:rPr>
                <w:b/>
                <w:bCs/>
                <w:iCs/>
                <w:sz w:val="28"/>
                <w:lang w:val="ru-RU"/>
              </w:rPr>
              <w:br/>
              <w:t>РАСОВОЙ ДИСКРИМИНАЦИИ</w:t>
            </w:r>
          </w:p>
        </w:tc>
        <w:tc>
          <w:tcPr>
            <w:tcW w:w="2796" w:type="dxa"/>
            <w:tcBorders>
              <w:top w:val="single" w:sz="4" w:space="0" w:color="000000"/>
              <w:bottom w:val="single" w:sz="4" w:space="0" w:color="000000"/>
            </w:tcBorders>
          </w:tcPr>
          <w:p w:rsidR="000D4391" w:rsidRDefault="000D4391">
            <w:pPr>
              <w:snapToGrid w:val="0"/>
              <w:rPr>
                <w:lang w:val="ru-RU"/>
              </w:rPr>
            </w:pPr>
          </w:p>
          <w:p w:rsidR="000D4391" w:rsidRDefault="000D4391">
            <w:pPr>
              <w:spacing w:line="216" w:lineRule="auto"/>
              <w:rPr>
                <w:lang w:val="ru-RU"/>
              </w:rPr>
            </w:pPr>
            <w:r>
              <w:rPr>
                <w:lang w:val="ru-RU"/>
              </w:rPr>
              <w:t>Distr.</w:t>
            </w:r>
            <w:r>
              <w:rPr>
                <w:lang w:val="ru-RU"/>
              </w:rPr>
              <w:br/>
              <w:t>GENERAL</w:t>
            </w:r>
          </w:p>
          <w:p w:rsidR="000D4391" w:rsidRDefault="000D4391">
            <w:pPr>
              <w:pStyle w:val="a"/>
              <w:widowControl/>
              <w:tabs>
                <w:tab w:val="left" w:pos="567"/>
                <w:tab w:val="left" w:pos="1134"/>
                <w:tab w:val="left" w:pos="1701"/>
                <w:tab w:val="left" w:pos="2268"/>
                <w:tab w:val="left" w:pos="6237"/>
              </w:tabs>
              <w:spacing w:line="216" w:lineRule="auto"/>
              <w:rPr>
                <w:rFonts w:ascii="Times New Roman" w:hAnsi="Times New Roman"/>
              </w:rPr>
            </w:pPr>
          </w:p>
          <w:p w:rsidR="000D4391" w:rsidRDefault="000D4391">
            <w:pPr>
              <w:spacing w:line="216" w:lineRule="auto"/>
              <w:rPr>
                <w:lang w:val="ru-RU"/>
              </w:rPr>
            </w:pPr>
            <w:r>
              <w:rPr>
                <w:lang w:val="ru-RU"/>
              </w:rPr>
              <w:t>CERD/C/SR.1428</w:t>
            </w:r>
          </w:p>
          <w:p w:rsidR="000D4391" w:rsidRDefault="000D4391">
            <w:pPr>
              <w:spacing w:line="216" w:lineRule="auto"/>
              <w:rPr>
                <w:lang w:val="ru-RU"/>
              </w:rPr>
            </w:pPr>
            <w:r>
              <w:rPr>
                <w:lang w:val="ru-RU"/>
              </w:rPr>
              <w:t>19 August 2009</w:t>
            </w:r>
          </w:p>
          <w:p w:rsidR="000D4391" w:rsidRDefault="000D4391">
            <w:pPr>
              <w:spacing w:line="216" w:lineRule="auto"/>
              <w:rPr>
                <w:lang w:val="ru-RU"/>
              </w:rPr>
            </w:pPr>
          </w:p>
          <w:p w:rsidR="000D4391" w:rsidRDefault="000D4391">
            <w:pPr>
              <w:spacing w:line="216" w:lineRule="auto"/>
              <w:rPr>
                <w:lang w:val="ru-RU"/>
              </w:rPr>
            </w:pPr>
            <w:r>
              <w:rPr>
                <w:lang w:val="ru-RU"/>
              </w:rPr>
              <w:t>RUSSIAN</w:t>
            </w:r>
          </w:p>
          <w:p w:rsidR="000D4391" w:rsidRDefault="000D4391">
            <w:pPr>
              <w:spacing w:line="216" w:lineRule="auto"/>
              <w:rPr>
                <w:lang w:val="ru-RU"/>
              </w:rPr>
            </w:pPr>
            <w:r>
              <w:rPr>
                <w:lang w:val="ru-RU"/>
              </w:rPr>
              <w:t>Original:  FRANÇAIS</w:t>
            </w:r>
          </w:p>
          <w:p w:rsidR="000D4391" w:rsidRDefault="000D4391">
            <w:pPr>
              <w:rPr>
                <w:lang w:val="ru-RU"/>
              </w:rPr>
            </w:pPr>
          </w:p>
        </w:tc>
      </w:tr>
    </w:tbl>
    <w:p w:rsidR="000D4391" w:rsidRDefault="000D4391">
      <w:pPr>
        <w:spacing w:before="240" w:after="240"/>
        <w:jc w:val="center"/>
        <w:rPr>
          <w:szCs w:val="24"/>
          <w:lang w:val="ru-RU"/>
        </w:rPr>
      </w:pPr>
      <w:r>
        <w:rPr>
          <w:szCs w:val="24"/>
          <w:lang w:val="ru-RU"/>
        </w:rPr>
        <w:t>КОМИТЕТ ПО ЛИКВИДАЦИИ РАСОВОЙ ДИСКРИМИНАЦИИ</w:t>
      </w:r>
    </w:p>
    <w:p w:rsidR="000D4391" w:rsidRDefault="000D4391">
      <w:pPr>
        <w:spacing w:after="240"/>
        <w:jc w:val="center"/>
        <w:rPr>
          <w:szCs w:val="24"/>
          <w:lang w:val="ru-RU"/>
        </w:rPr>
      </w:pPr>
      <w:r>
        <w:rPr>
          <w:szCs w:val="24"/>
          <w:lang w:val="ru-RU"/>
        </w:rPr>
        <w:t xml:space="preserve">Пятьдесят седьмая сессия </w:t>
      </w:r>
    </w:p>
    <w:p w:rsidR="000D4391" w:rsidRDefault="000D4391">
      <w:pPr>
        <w:spacing w:after="240"/>
        <w:jc w:val="center"/>
        <w:rPr>
          <w:szCs w:val="24"/>
          <w:lang w:val="ru-RU"/>
        </w:rPr>
      </w:pPr>
      <w:r>
        <w:rPr>
          <w:szCs w:val="24"/>
          <w:lang w:val="ru-RU"/>
        </w:rPr>
        <w:t>КРАТКИЙ ОТЧЕТ О 1428-м ЗАСЕДАНИИ,</w:t>
      </w:r>
    </w:p>
    <w:p w:rsidR="000D4391" w:rsidRDefault="000D4391">
      <w:pPr>
        <w:jc w:val="center"/>
        <w:rPr>
          <w:szCs w:val="24"/>
          <w:lang w:val="ru-RU"/>
        </w:rPr>
      </w:pPr>
      <w:r>
        <w:rPr>
          <w:szCs w:val="24"/>
          <w:lang w:val="ru-RU"/>
        </w:rPr>
        <w:t>состоявшемся во Дворце Наций в Женеве</w:t>
      </w:r>
    </w:p>
    <w:p w:rsidR="000D4391" w:rsidRDefault="000D4391">
      <w:pPr>
        <w:spacing w:after="240"/>
        <w:jc w:val="center"/>
        <w:rPr>
          <w:szCs w:val="24"/>
          <w:lang w:val="ru-RU"/>
        </w:rPr>
      </w:pPr>
      <w:r>
        <w:rPr>
          <w:szCs w:val="24"/>
          <w:lang w:val="ru-RU"/>
        </w:rPr>
        <w:t>в пятницу, 18 августа 2000 года, в 15 час. 00 мин.</w:t>
      </w:r>
    </w:p>
    <w:p w:rsidR="000D4391" w:rsidRDefault="000D4391">
      <w:pPr>
        <w:jc w:val="center"/>
        <w:rPr>
          <w:lang w:val="ru-RU"/>
        </w:rPr>
      </w:pPr>
      <w:r>
        <w:rPr>
          <w:u w:val="single"/>
          <w:lang w:val="ru-RU"/>
        </w:rPr>
        <w:t>Председатель</w:t>
      </w:r>
      <w:r>
        <w:rPr>
          <w:lang w:val="ru-RU"/>
        </w:rPr>
        <w:t>: г-н ШЕРИФИС</w:t>
      </w:r>
    </w:p>
    <w:p w:rsidR="000D4391" w:rsidRDefault="000D4391">
      <w:pPr>
        <w:ind w:left="2694" w:hanging="2553"/>
        <w:rPr>
          <w:lang w:val="ru-RU"/>
        </w:rPr>
      </w:pPr>
      <w:r>
        <w:rPr>
          <w:lang w:val="ru-RU"/>
        </w:rPr>
        <w:tab/>
      </w:r>
      <w:r>
        <w:rPr>
          <w:lang w:val="ru-RU"/>
        </w:rPr>
        <w:tab/>
      </w:r>
      <w:r>
        <w:rPr>
          <w:lang w:val="ru-RU"/>
        </w:rPr>
        <w:tab/>
      </w:r>
      <w:r>
        <w:rPr>
          <w:lang w:val="ru-RU"/>
        </w:rPr>
        <w:tab/>
      </w:r>
      <w:r>
        <w:rPr>
          <w:lang w:val="ru-RU"/>
        </w:rPr>
        <w:tab/>
      </w:r>
      <w:r>
        <w:rPr>
          <w:lang w:val="ru-RU"/>
        </w:rPr>
        <w:tab/>
      </w:r>
      <w:r>
        <w:rPr>
          <w:lang w:val="ru-RU"/>
        </w:rPr>
        <w:tab/>
        <w:t>затем: г-н ФАЛЛЬ</w:t>
      </w:r>
    </w:p>
    <w:p w:rsidR="000D4391" w:rsidRDefault="000D4391">
      <w:pPr>
        <w:jc w:val="center"/>
        <w:rPr>
          <w:lang w:val="ru-RU"/>
        </w:rPr>
      </w:pPr>
    </w:p>
    <w:p w:rsidR="000D4391" w:rsidRDefault="000D4391">
      <w:pPr>
        <w:spacing w:after="240"/>
        <w:jc w:val="center"/>
        <w:rPr>
          <w:szCs w:val="24"/>
          <w:lang w:val="ru-RU"/>
        </w:rPr>
      </w:pPr>
      <w:r>
        <w:rPr>
          <w:szCs w:val="24"/>
          <w:lang w:val="ru-RU"/>
        </w:rPr>
        <w:t>СОДЕРЖАНИЕ</w:t>
      </w:r>
    </w:p>
    <w:p w:rsidR="000D4391" w:rsidRDefault="000D4391">
      <w:pPr>
        <w:spacing w:after="120"/>
        <w:rPr>
          <w:lang w:val="ru-RU"/>
        </w:rPr>
      </w:pPr>
      <w:r>
        <w:rPr>
          <w:lang w:val="ru-RU"/>
        </w:rPr>
        <w:t>РАССМОТРЕНИЕ ДОКЛАДОВ, ЗАМЕЧАНИЙ И ИНФОРМАЦИИ, ПРЕДСТАВЛЯЕМЫХ ГОСУДАРСТВАМИ-УЧАСТНИКАМИ В СООТВЕТСТВИИ СО СТАТЬЕЙ 9 КОНВЕНЦИИ (</w:t>
      </w:r>
      <w:r>
        <w:rPr>
          <w:u w:val="single"/>
          <w:lang w:val="ru-RU"/>
        </w:rPr>
        <w:t>продолжение</w:t>
      </w:r>
      <w:r>
        <w:rPr>
          <w:lang w:val="ru-RU"/>
        </w:rPr>
        <w:t>)</w:t>
      </w:r>
    </w:p>
    <w:p w:rsidR="000D4391" w:rsidRDefault="000D4391">
      <w:pPr>
        <w:spacing w:after="240"/>
        <w:ind w:firstLine="562"/>
        <w:rPr>
          <w:u w:val="single"/>
          <w:lang w:val="ru-RU"/>
        </w:rPr>
      </w:pPr>
      <w:r>
        <w:rPr>
          <w:u w:val="single"/>
          <w:lang w:val="ru-RU"/>
        </w:rPr>
        <w:t>Первоначальный и второй периодические доклады Узбекистана</w:t>
      </w:r>
    </w:p>
    <w:p w:rsidR="000D4391" w:rsidRDefault="000D4391">
      <w:pPr>
        <w:spacing w:after="240"/>
        <w:ind w:firstLine="562"/>
        <w:rPr>
          <w:u w:val="single"/>
          <w:lang w:val="ru-RU"/>
        </w:rPr>
      </w:pPr>
    </w:p>
    <w:p w:rsidR="000D4391" w:rsidRDefault="000D4391">
      <w:pPr>
        <w:spacing w:after="240"/>
        <w:ind w:firstLine="562"/>
        <w:rPr>
          <w:lang w:val="ru-RU"/>
        </w:rPr>
      </w:pPr>
    </w:p>
    <w:p w:rsidR="000D4391" w:rsidRDefault="000D4391">
      <w:pPr>
        <w:spacing w:after="120"/>
        <w:rPr>
          <w:u w:val="single"/>
          <w:lang w:val="ru-RU"/>
        </w:rPr>
      </w:pPr>
      <w:r>
        <w:rPr>
          <w:u w:val="single"/>
          <w:lang w:val="ru-RU"/>
        </w:rPr>
        <w:tab/>
      </w:r>
      <w:r>
        <w:rPr>
          <w:u w:val="single"/>
          <w:lang w:val="ru-RU"/>
        </w:rPr>
        <w:tab/>
      </w:r>
      <w:r>
        <w:rPr>
          <w:u w:val="single"/>
          <w:lang w:val="ru-RU"/>
        </w:rPr>
        <w:tab/>
      </w:r>
    </w:p>
    <w:p w:rsidR="000D4391" w:rsidRDefault="000D4391">
      <w:pPr>
        <w:spacing w:after="120"/>
        <w:ind w:firstLine="576"/>
        <w:rPr>
          <w:color w:val="000000"/>
          <w:szCs w:val="24"/>
          <w:lang w:val="ru-RU"/>
        </w:rPr>
      </w:pPr>
      <w:r>
        <w:rPr>
          <w:color w:val="000000"/>
          <w:szCs w:val="24"/>
          <w:lang w:val="ru-RU"/>
        </w:rPr>
        <w:t>В настоящий отчет могут вноситься поправки.</w:t>
      </w:r>
    </w:p>
    <w:p w:rsidR="000D4391" w:rsidRDefault="000D4391">
      <w:pPr>
        <w:spacing w:after="120"/>
        <w:rPr>
          <w:color w:val="000000"/>
          <w:szCs w:val="24"/>
          <w:lang w:val="ru-RU"/>
        </w:rPr>
      </w:pPr>
      <w:r>
        <w:rPr>
          <w:color w:val="000000"/>
          <w:szCs w:val="24"/>
          <w:lang w:val="ru-RU"/>
        </w:rPr>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должны направляться </w:t>
      </w:r>
      <w:r>
        <w:rPr>
          <w:color w:val="000000"/>
          <w:szCs w:val="24"/>
          <w:u w:val="single"/>
          <w:lang w:val="ru-RU"/>
        </w:rPr>
        <w:t>в течение одной недели с момента выпуска настоящего документа</w:t>
      </w:r>
      <w:r>
        <w:rPr>
          <w:color w:val="000000"/>
          <w:szCs w:val="24"/>
          <w:lang w:val="ru-RU"/>
        </w:rPr>
        <w:t xml:space="preserve"> в Секцию редактирования официальных отчетов, комната Е.4108, Дворец Наций, Женева. </w:t>
      </w:r>
    </w:p>
    <w:p w:rsidR="000D4391" w:rsidRDefault="000D4391">
      <w:pPr>
        <w:spacing w:after="120"/>
        <w:ind w:firstLine="562"/>
        <w:rPr>
          <w:color w:val="000000"/>
          <w:lang w:val="fr-CH"/>
        </w:rPr>
      </w:pPr>
      <w:r>
        <w:rPr>
          <w:color w:val="000000"/>
          <w:szCs w:val="24"/>
          <w:lang w:val="ru-RU"/>
        </w:rPr>
        <w:t>Любые поправки к отчетам об открытых заседаниях Комитета на этой сессии будут сведены в единое исправление, которое будет издано вскоре после окончания сессии</w:t>
      </w:r>
      <w:r>
        <w:rPr>
          <w:color w:val="000000"/>
          <w:lang w:val="ru-RU"/>
        </w:rPr>
        <w:t>.</w:t>
      </w:r>
    </w:p>
    <w:p w:rsidR="006465DB" w:rsidRPr="006465DB" w:rsidRDefault="006465DB">
      <w:pPr>
        <w:spacing w:after="120"/>
        <w:ind w:firstLine="562"/>
        <w:rPr>
          <w:color w:val="000000"/>
          <w:lang w:val="fr-CH"/>
        </w:rPr>
      </w:pPr>
    </w:p>
    <w:p w:rsidR="000D4391" w:rsidRDefault="000D4391">
      <w:pPr>
        <w:pStyle w:val="Footer"/>
        <w:rPr>
          <w:lang w:val="ru-RU"/>
        </w:rPr>
        <w:sectPr w:rsidR="000D4391" w:rsidSect="006465DB">
          <w:footnotePr>
            <w:pos w:val="beneathText"/>
          </w:footnotePr>
          <w:pgSz w:w="11905" w:h="16837"/>
          <w:pgMar w:top="1134" w:right="851" w:bottom="1780" w:left="1701" w:header="720" w:footer="720" w:gutter="0"/>
          <w:cols w:space="720"/>
          <w:docGrid w:linePitch="360"/>
        </w:sectPr>
      </w:pPr>
      <w:r>
        <w:rPr>
          <w:lang w:val="ru-RU"/>
        </w:rPr>
        <w:t>GE.00-44128 (EXT)</w:t>
      </w:r>
    </w:p>
    <w:p w:rsidR="000D4391" w:rsidRDefault="000D4391">
      <w:pPr>
        <w:pageBreakBefore/>
        <w:spacing w:after="240"/>
        <w:rPr>
          <w:lang w:val="ru-RU"/>
        </w:rPr>
      </w:pPr>
      <w:r>
        <w:rPr>
          <w:lang w:val="ru-RU"/>
        </w:rPr>
        <w:t>РАССМОТРЕНИЕ ДОКЛАДОВ, ЗАМЕЧАНИЙ И ИНФОРМАЦИИ, ПРЕДСТАВЛЯЕМЫХ ГОСУДАРСТВАМИ-УЧАСТНИКАМИ В СООТВЕТСТВИИ СО СТАТЬЕЙ 9 КОНВЕНЦИИ (пункт 4 повестки дня) (</w:t>
      </w:r>
      <w:r>
        <w:rPr>
          <w:u w:val="single"/>
          <w:lang w:val="ru-RU"/>
        </w:rPr>
        <w:t>продолжение</w:t>
      </w:r>
      <w:r>
        <w:rPr>
          <w:lang w:val="ru-RU"/>
        </w:rPr>
        <w:t>)</w:t>
      </w:r>
    </w:p>
    <w:p w:rsidR="000D4391" w:rsidRDefault="000D4391">
      <w:pPr>
        <w:spacing w:after="240"/>
        <w:rPr>
          <w:lang w:val="ru-RU"/>
        </w:rPr>
      </w:pPr>
      <w:r>
        <w:rPr>
          <w:u w:val="single"/>
          <w:lang w:val="ru-RU"/>
        </w:rPr>
        <w:t>Первоначальный и второй периодические доклады Узбекистана</w:t>
      </w:r>
      <w:r>
        <w:rPr>
          <w:lang w:val="ru-RU"/>
        </w:rPr>
        <w:t xml:space="preserve"> (</w:t>
      </w:r>
      <w:r>
        <w:rPr>
          <w:u w:val="single"/>
          <w:lang w:val="ru-RU"/>
        </w:rPr>
        <w:t>CERD/C/327/Add.1</w:t>
      </w:r>
      <w:r>
        <w:rPr>
          <w:lang w:val="ru-RU"/>
        </w:rPr>
        <w:t>)</w:t>
      </w:r>
    </w:p>
    <w:p w:rsidR="000D4391" w:rsidRDefault="000D4391">
      <w:pPr>
        <w:spacing w:after="240"/>
        <w:rPr>
          <w:u w:val="single"/>
          <w:lang w:val="ru-RU"/>
        </w:rPr>
      </w:pPr>
      <w:r>
        <w:rPr>
          <w:lang w:val="ru-RU"/>
        </w:rPr>
        <w:t>1.</w:t>
      </w:r>
      <w:r>
        <w:rPr>
          <w:lang w:val="ru-RU"/>
        </w:rPr>
        <w:tab/>
      </w:r>
      <w:r>
        <w:rPr>
          <w:u w:val="single"/>
          <w:lang w:val="ru-RU"/>
        </w:rPr>
        <w:t>По приглашению Председателя г-н Файзуллаев (Узбекистан) занимает место за столом Комитета.</w:t>
      </w:r>
    </w:p>
    <w:p w:rsidR="000D4391" w:rsidRDefault="000D4391">
      <w:pPr>
        <w:spacing w:after="240"/>
        <w:rPr>
          <w:lang w:val="ru-RU"/>
        </w:rPr>
      </w:pPr>
      <w:r>
        <w:rPr>
          <w:lang w:val="ru-RU"/>
        </w:rPr>
        <w:t>2.</w:t>
      </w:r>
      <w:r>
        <w:rPr>
          <w:lang w:val="ru-RU"/>
        </w:rPr>
        <w:tab/>
      </w:r>
      <w:r>
        <w:rPr>
          <w:u w:val="single"/>
          <w:lang w:val="ru-RU"/>
        </w:rPr>
        <w:t>Г-н ФАЙЗУЛЛАЕВ</w:t>
      </w:r>
      <w:r>
        <w:rPr>
          <w:lang w:val="ru-RU"/>
        </w:rPr>
        <w:t xml:space="preserve"> (Узбекистан) подчеркивает, что политика Узбекистана направлена на формирование климата согласия и терпимости между всеми национальными группами при сохранении культурной самобытности национальных меньшинств.  С момента провозглашения независимости в 1991 году Узбекистан идет по пути демократии, чему сопутствовали многочисленные социально-экономические перемены.  Несмотря на возникающие трудности, власти страны привержены линии на создание прочной юридической базы для защиты сотни этнических меньшинств, проживающих на территории страны.</w:t>
      </w:r>
    </w:p>
    <w:p w:rsidR="000D4391" w:rsidRDefault="000D4391">
      <w:pPr>
        <w:spacing w:after="240"/>
        <w:rPr>
          <w:lang w:val="ru-RU"/>
        </w:rPr>
      </w:pPr>
      <w:r>
        <w:rPr>
          <w:lang w:val="ru-RU"/>
        </w:rPr>
        <w:t>3.</w:t>
      </w:r>
      <w:r>
        <w:rPr>
          <w:lang w:val="ru-RU"/>
        </w:rPr>
        <w:tab/>
        <w:t>В статье 18 Конституции Узбекистана, которая была принята в декабре 1992 года, провозглашается равенство граждан без различия расы, национальности, языка и прочих обстоятельств.  Соответственно, государство обязано не допускать никакой дискриминации по признаку расовой или национальной принадлежности;  эта концепция отражена в трудовом кодексе.  Оно обязалось также обеспечивать уважение языков, обычаев и традиций проживающих в стране национальных и этнических групп и создавать условия для их развития.  Кроме того, Узбекистан признает преимущественную силу признанных международно-правовых норм;  это означает, что положения Конвенции обладают прямым действием в рамках внутренней правовой системы Узбекистана.</w:t>
      </w:r>
    </w:p>
    <w:p w:rsidR="000D4391" w:rsidRDefault="000D4391">
      <w:pPr>
        <w:spacing w:after="240"/>
        <w:rPr>
          <w:lang w:val="ru-RU"/>
        </w:rPr>
      </w:pPr>
      <w:r>
        <w:rPr>
          <w:lang w:val="ru-RU"/>
        </w:rPr>
        <w:t>4.</w:t>
      </w:r>
      <w:r>
        <w:rPr>
          <w:lang w:val="ru-RU"/>
        </w:rPr>
        <w:tab/>
        <w:t>Узбекская Конституция запрещает, в частности, создание политических партий по расовому или национальному признаку, а также любых объединений, ведущих пропаганду расового или религиозного превосходства.  Конституция запрещает также использовать средства массовой информации для пропаганды национальной, расовой или религиозной ненависти.  Кроме того, в рамках этого обязательства Узбекистаном было подписано соответствующее соглашение с Российской Федерацией.  Подписав Декларацию о развитии и углублении всестороннего сотрудничества, обе страны обязались принимать необходимые меры для пресечения на территории своих стран любых форм дискриминации в отношении национальных меньшинств.</w:t>
      </w:r>
    </w:p>
    <w:p w:rsidR="000D4391" w:rsidRDefault="000D4391">
      <w:pPr>
        <w:spacing w:after="240"/>
        <w:rPr>
          <w:lang w:val="ru-RU"/>
        </w:rPr>
      </w:pPr>
      <w:r>
        <w:rPr>
          <w:lang w:val="ru-RU"/>
        </w:rPr>
        <w:t>5.</w:t>
      </w:r>
      <w:r>
        <w:rPr>
          <w:lang w:val="ru-RU"/>
        </w:rPr>
        <w:tab/>
        <w:t>В интересах эффективного выполнения действующих законов и постановлений о запрете расовой дискриминации были созданы национальный Центр по правам человека, а также Институт мониторинга при парламенте и должность парламентского Уполномоченного по правам человека.</w:t>
      </w:r>
    </w:p>
    <w:p w:rsidR="000D4391" w:rsidRDefault="000D4391">
      <w:pPr>
        <w:spacing w:after="240"/>
        <w:rPr>
          <w:lang w:val="ru-RU"/>
        </w:rPr>
      </w:pPr>
      <w:r>
        <w:rPr>
          <w:lang w:val="ru-RU"/>
        </w:rPr>
        <w:t>6.</w:t>
      </w:r>
      <w:r>
        <w:rPr>
          <w:lang w:val="ru-RU"/>
        </w:rPr>
        <w:tab/>
        <w:t xml:space="preserve">В период после провозглашения независимости в Узбекистане не было принято ни одного нормативного положения, которым устанавливалась бы или закреплялась расовая дискриминация.  Многие законы были пересмотрены с целью приведения их в соответствие с международно-правовыми нормами, направленными против расовой дискриминации.  Так, например, в 1995 году было отменено требование об адекватном владении официальном языком страны в качестве обязательного условия для работы в государственных административных органах. </w:t>
      </w:r>
    </w:p>
    <w:p w:rsidR="000D4391" w:rsidRDefault="000D4391">
      <w:pPr>
        <w:spacing w:after="240"/>
        <w:rPr>
          <w:lang w:val="ru-RU"/>
        </w:rPr>
      </w:pPr>
      <w:r>
        <w:rPr>
          <w:lang w:val="ru-RU"/>
        </w:rPr>
        <w:t>7.</w:t>
      </w:r>
      <w:r>
        <w:rPr>
          <w:lang w:val="ru-RU"/>
        </w:rPr>
        <w:tab/>
        <w:t>Помимо этого узбекские власти поддерживают деятельность многонациональных организаций.  В 1992 году был открыт культурный центр, которому поручено координировать усилия около 30 культурных объединений, действующих в стране.  В 1998 году в своем докладе по итогам посещения страны Верховный комиссар ОБСЕ по делам национальных меньшинств положительно отозвался о межнациональных отношениях и о положении этнических меньшинств в Узбекистане.</w:t>
      </w:r>
    </w:p>
    <w:p w:rsidR="000D4391" w:rsidRDefault="000D4391">
      <w:pPr>
        <w:spacing w:after="240"/>
        <w:rPr>
          <w:lang w:val="ru-RU"/>
        </w:rPr>
      </w:pPr>
      <w:r>
        <w:rPr>
          <w:lang w:val="ru-RU"/>
        </w:rPr>
        <w:t>8.</w:t>
      </w:r>
      <w:r>
        <w:rPr>
          <w:lang w:val="ru-RU"/>
        </w:rPr>
        <w:tab/>
        <w:t>Что касается законодательных мер, направленных против подстрекательства к расовой дискриминации, то уголовный кодекс страны запрещает прямое или косвенное нарушение или ограничение прав по признаку расы, национальной принадлежности или языка.  Если подобные деяния сопровождаются актами насилия, то они влекут наказание в виде трудового перевоспитания сроком от двух до трех лет или тюремного заключения сроком от одного до шести месяцев.  Кроме того, уголовный кодекс запрещает предумышленное возбуждение этнической, национальной, расовой или религиозной ненависти.</w:t>
      </w:r>
    </w:p>
    <w:p w:rsidR="000D4391" w:rsidRDefault="000D4391">
      <w:pPr>
        <w:spacing w:after="240"/>
        <w:rPr>
          <w:lang w:val="ru-RU"/>
        </w:rPr>
      </w:pPr>
      <w:r>
        <w:rPr>
          <w:lang w:val="ru-RU"/>
        </w:rPr>
        <w:t>9.</w:t>
      </w:r>
      <w:r>
        <w:rPr>
          <w:lang w:val="ru-RU"/>
        </w:rPr>
        <w:tab/>
        <w:t>Помимо этого Узбекистаном приняты меры, направленные на пресечение и ликвидацию расовой дискриминации и обеспечение всем гражданам равенства перед законом без различий по признаку расы, цвета кожи, этнического или национального происхождения.  В частности, в законодательстве закреплены права на равенство перед законом, на неприкосновенность личности, на защиту со стороны государства от насильственных действий и жестокого обращения, политические права, право принимать участие в управлении государственными делами и на доступ к государственной службе, право свободно передвигаться и выбирать место жительства внутри государства, право покидать любую страну, включая свою собственную, и возвращаться в свою страну, право на вступление в брак и выбор супруга, а также право владеть имуществом.</w:t>
      </w:r>
    </w:p>
    <w:p w:rsidR="000D4391" w:rsidRDefault="000D4391">
      <w:pPr>
        <w:spacing w:after="240"/>
        <w:rPr>
          <w:lang w:val="ru-RU"/>
        </w:rPr>
      </w:pPr>
      <w:r>
        <w:rPr>
          <w:lang w:val="ru-RU"/>
        </w:rPr>
        <w:t>10.</w:t>
      </w:r>
      <w:r>
        <w:rPr>
          <w:lang w:val="ru-RU"/>
        </w:rPr>
        <w:tab/>
        <w:t>Что касается права на свободу мысли, совести и религии, то Конституция Узбекистана гарантирует каждому право исповедовать религию по своему выбору, запрещая при этом навязывание религиозных взглядов.  В 1990 году в стране было зарегистрировано порядка 37 конфессий помимо мусульманства, и на конец года насчитывалось 1258 религиозных организаций, в том числе 1156 мусульманских, 96 христианских и 6 иудаистских.</w:t>
      </w:r>
    </w:p>
    <w:p w:rsidR="000D4391" w:rsidRDefault="000D4391">
      <w:pPr>
        <w:spacing w:after="240"/>
        <w:rPr>
          <w:lang w:val="ru-RU"/>
        </w:rPr>
      </w:pPr>
      <w:r>
        <w:rPr>
          <w:lang w:val="ru-RU"/>
        </w:rPr>
        <w:t>11.</w:t>
      </w:r>
      <w:r>
        <w:rPr>
          <w:lang w:val="ru-RU"/>
        </w:rPr>
        <w:tab/>
        <w:t>Среди узбеков никогда не было межрелигиозной розни или преследований на почве национальной или религиозной принадлежности.  Не было в Узбекистане и проявлений антисемитизма.</w:t>
      </w:r>
    </w:p>
    <w:p w:rsidR="000D4391" w:rsidRDefault="000D4391">
      <w:pPr>
        <w:spacing w:after="240"/>
        <w:rPr>
          <w:lang w:val="ru-RU"/>
        </w:rPr>
      </w:pPr>
      <w:r>
        <w:rPr>
          <w:lang w:val="ru-RU"/>
        </w:rPr>
        <w:t>12.</w:t>
      </w:r>
      <w:r>
        <w:rPr>
          <w:lang w:val="ru-RU"/>
        </w:rPr>
        <w:tab/>
        <w:t>В вопросах права на образование Узбекистан относится к числу немногих стран, которые выделяют 10% своего ВВП на цели образования.  В стране, половина населения которой составляет молодежь в возрасте до 16 лет, образование имеет определяющее значение для будущего страны.  В средних школах учащимся предоставляется возможность получить образование на одном из семи языков:  узбекском, каракалпакском, русском, казахском, туркменском, таджикском и киргизском.  Государство поощряет пополнение преподавательского состава за счет представителей национальных меньшинств.</w:t>
      </w:r>
    </w:p>
    <w:p w:rsidR="000D4391" w:rsidRDefault="000D4391">
      <w:pPr>
        <w:spacing w:after="240"/>
        <w:rPr>
          <w:lang w:val="ru-RU"/>
        </w:rPr>
      </w:pPr>
      <w:r>
        <w:rPr>
          <w:lang w:val="ru-RU"/>
        </w:rPr>
        <w:t>13.</w:t>
      </w:r>
      <w:r>
        <w:rPr>
          <w:lang w:val="ru-RU"/>
        </w:rPr>
        <w:tab/>
        <w:t>Опираясь на финансовую поддержку со стороны Верховного комиссара по правам человека, национальный Центр по правам человека проводил информационно-пропагандистскую кампанию на различные темы, включая Международную конвенцию о ликвидации всех форм расовой дискриминации.  Большая работа по воспитанию терпимости и согласия между национальными группами ведется и средствами массовой информации.</w:t>
      </w:r>
    </w:p>
    <w:p w:rsidR="000D4391" w:rsidRDefault="000D4391">
      <w:pPr>
        <w:spacing w:after="240"/>
        <w:rPr>
          <w:lang w:val="ru-RU"/>
        </w:rPr>
      </w:pPr>
      <w:r>
        <w:rPr>
          <w:lang w:val="ru-RU"/>
        </w:rPr>
        <w:t>14.</w:t>
      </w:r>
      <w:r>
        <w:rPr>
          <w:lang w:val="ru-RU"/>
        </w:rPr>
        <w:tab/>
      </w:r>
      <w:r>
        <w:rPr>
          <w:u w:val="single"/>
          <w:lang w:val="ru-RU"/>
        </w:rPr>
        <w:t>Г-н НОБЕЛЬ</w:t>
      </w:r>
      <w:r>
        <w:rPr>
          <w:lang w:val="ru-RU"/>
        </w:rPr>
        <w:t xml:space="preserve"> (докладчик по Узбекистану), отметив, что в статье 18 Конституции Узбекистана провозглашен принцип равноправия граждан страны независимо от расы, национальной принадлежности, языка и других обстоятельств, вместе с тем подчеркивает, что такое равноправие может быть обеспечено лишь при наличии необходимых механизмов, обеспечивающих его защиту.</w:t>
      </w:r>
    </w:p>
    <w:p w:rsidR="000D4391" w:rsidRDefault="000D4391">
      <w:pPr>
        <w:spacing w:after="240"/>
        <w:rPr>
          <w:lang w:val="ru-RU"/>
        </w:rPr>
      </w:pPr>
      <w:r>
        <w:rPr>
          <w:lang w:val="ru-RU"/>
        </w:rPr>
        <w:t>15.</w:t>
      </w:r>
      <w:r>
        <w:rPr>
          <w:lang w:val="ru-RU"/>
        </w:rPr>
        <w:tab/>
        <w:t>Он выражает удивление тем, что статья 57 Конституции запрещает создание политических партий по этническому или национальному признаку.  Как представляется, существование запрета на ведение той или иной политической партией борьбы за достижение своих целей, будь то национальных, по существу противоречит пунктам с) и d) статьи 5 Конвенции.  Кроме того, представляется, что статья Конституции, где признается право каждого исповедовать любую религию или не исповедовать никакой, прямо противоречит указанной статье 57, которая запрещает создание политических партий по религиозному признаку.</w:t>
      </w:r>
    </w:p>
    <w:p w:rsidR="000D4391" w:rsidRDefault="000D4391">
      <w:pPr>
        <w:spacing w:after="240"/>
        <w:rPr>
          <w:lang w:val="ru-RU"/>
        </w:rPr>
      </w:pPr>
      <w:r>
        <w:rPr>
          <w:lang w:val="ru-RU"/>
        </w:rPr>
        <w:t>16.</w:t>
      </w:r>
      <w:r>
        <w:rPr>
          <w:lang w:val="ru-RU"/>
        </w:rPr>
        <w:tab/>
        <w:t>Согласно сообщениям некоторых международных и национальных организаций и многих НПО, законодательный акт 1998 года жестко ограничивает свободу отправления культа как мусульманами вне разрешенных государствами мечетей, так и лицами, исповедующими христианство, баптистами и приверженцами религиозного объединения Свидетелей Иеговы.  Кроме того, с конца 1997 года наблюдается нарастание партизанских действий против правительства, в частности, в Ферганской долине и в Ташкенте.  Правительство, которое возлагает ответственность за сложившуюся ситуацию главным образом на исламистских экстремистов, именуемых ваххабитами, противопоставляет этим выступлениям силу, что приводит к серьезному ухудшению положения в области прав человека, ощущаемому не только политическими оппозиционерами-исламистами, но и приверженцами других конфессий, а также правозащитниками.</w:t>
      </w:r>
    </w:p>
    <w:p w:rsidR="000D4391" w:rsidRDefault="000D4391">
      <w:pPr>
        <w:spacing w:after="240"/>
        <w:rPr>
          <w:lang w:val="ru-RU"/>
        </w:rPr>
      </w:pPr>
      <w:r>
        <w:rPr>
          <w:lang w:val="ru-RU"/>
        </w:rPr>
        <w:t>17.</w:t>
      </w:r>
      <w:r>
        <w:rPr>
          <w:lang w:val="ru-RU"/>
        </w:rPr>
        <w:tab/>
        <w:t>Учитывая сделанный Объединением за права меньшинств вывод о том, что "нынешняя стабильность в межэтнических отношениях поддерживается правительством в какой-то мере искусственно и что предназначение созданного под эгидой государства Народного собрания состоит в контроле над этническими меньшинствами", он считает желательным выслушать пояснения узбекской делегации о том, какое воздействие оказывают межэтнические трения на развитие ситуации.  Так или иначе, пытки подозреваемых или членов их семей являются глубоко аморальным актом и противоречат международному праву;  такая практика и другие виды ущемления прав человека никак не могут позволить выйти на прочное решение, способны лишь усугубить чувство ненависти и жажду мести и тем самым породить спираль насилия и страданий.  Защита всех граждан страны предполагает строгое применение всех положений Конвенции.</w:t>
      </w:r>
    </w:p>
    <w:p w:rsidR="000D4391" w:rsidRDefault="000D4391">
      <w:pPr>
        <w:keepNext/>
        <w:spacing w:after="240"/>
        <w:rPr>
          <w:lang w:val="ru-RU"/>
        </w:rPr>
      </w:pPr>
      <w:r>
        <w:rPr>
          <w:lang w:val="ru-RU"/>
        </w:rPr>
        <w:t>18.</w:t>
      </w:r>
      <w:r>
        <w:rPr>
          <w:lang w:val="ru-RU"/>
        </w:rPr>
        <w:tab/>
        <w:t>В самом докладе сообщается о масштабных усилиях Узбекистана по строительству демократического государства.  Вместе с тем по некоторым моментам требуется конкретизация или пояснения.  Нет ясности в вопросе о соотношении ратифицированных Узбекистаном международных договоров и внутреннего законодательства.  Узбекистан является участником Конвенции МОТ № 111, но вместе с тем уже четыре года не представляет докладов на этот счет;  по всей видимости, им не ратифицирована Конвенция 1951 года о статусе беженцев и Протокол к ней, равно как и конвенции о статусе апатридов и о сокращении безгражданства.  Представленную им информацию о беженцах нельзя признать достаточной.  По данным Всемирной организации по сбору информации о беженцах, в 1999 году в Узбекистане насчитывалось 38 000 беженцев, в том числе 30 000 из Таджикистана.  Являются ли они узбеками по происхождению, и если нет, то испытывают ли они трудности в плане социальной интеграции?  Согласно данным из того же источника, Узбекистан рассматривает лица, ищущие убежище, и беженцев в качестве иностранцев и отказывает им в доступе к услугам государственных служб, в том числе к образованию и медицинской помощи, что противоречит пунктам d) и e) статьи 5 Конвенции.  В этой связи, как продвигается дело с разработанным в 1999 году законопроектом, посвященным миграции?  И наконец, учитывая, что из того же источника поступают сигналы о притеснениях в отношении лиц, ищущих убежище, а порою и об их высылке в упрощенном порядке, г</w:t>
      </w:r>
      <w:r>
        <w:rPr>
          <w:lang w:val="ru-RU"/>
        </w:rPr>
        <w:noBreakHyphen/>
        <w:t>н Нобель адресует Узбекистану рекомендацию соблюдать положения конвенций, касающихся беженцев и апатридов, и протоколов к ним.</w:t>
      </w:r>
    </w:p>
    <w:p w:rsidR="000D4391" w:rsidRDefault="000D4391">
      <w:pPr>
        <w:spacing w:after="240"/>
        <w:rPr>
          <w:lang w:val="ru-RU"/>
        </w:rPr>
      </w:pPr>
      <w:r>
        <w:rPr>
          <w:lang w:val="ru-RU"/>
        </w:rPr>
        <w:t>19.</w:t>
      </w:r>
      <w:r>
        <w:rPr>
          <w:lang w:val="ru-RU"/>
        </w:rPr>
        <w:tab/>
        <w:t>Он с удовлетворением констатирует, что в своей политике борьбы против расовой дискриминации Узбекистан исходит, в частности, из требований резолюций и рекомендаций международных организаций, членом которых он является, и преследует цель формирования в обществе атмосферы согласия и терпимости в межнациональных отношениях.  Немалый интерес представляют цифры, дающие представление об этническом составе населения.  В своем докладе правительство открыто признает, что не исключены "отдельные случаи проявления межэтнических противоречий".  Было бы желательно получить сведения о числе судебных преследований, возбужденных по жалобам на нарушение прав и свобод, а также статьи 6 трудового кодекса, и о том, какие меры были по ним приняты.  Кроме того, г</w:t>
      </w:r>
      <w:r>
        <w:rPr>
          <w:lang w:val="ru-RU"/>
        </w:rPr>
        <w:noBreakHyphen/>
        <w:t>н Нобель интересуется тем, носит ли запрет на какую бы то ни было пропаганду национальной, расовой или религиозной ненависти, содержащийся в статье 6 закона о средствах массовой информации, всеобщий характер или касается лишь средств массовой информации.  Помимо этого, он желал бы ознакомиться с фактическим текстом статьи 156 уголовного кодекса, с тем чтобы убедиться, в какой мере в нем реализовано требование о запрете распространения идей расового превосходства или ненависти, предусмотренное в статье 4 Конвенции.  Ссылаясь на пункт 58 доклада, оратор просит пояснить различие между наказанием в виде тюремного заключения и наказанием в виде лишения свободы.  Кроме того, он интересуется тем, какими возможностями получения юридической помощи располагают лица, которые возбуждают иски.  Касаясь деятельности Уполномоченного по правам человека и прокуратуры, он с удивлением отмечает несоответствие между количеством поданных жалоб на нарушение прав и свобод и крайне незначительным числом вынесенных обвинительных приговоров.</w:t>
      </w:r>
    </w:p>
    <w:p w:rsidR="000D4391" w:rsidRDefault="000D4391">
      <w:pPr>
        <w:spacing w:after="240"/>
        <w:rPr>
          <w:lang w:val="ru-RU"/>
        </w:rPr>
      </w:pPr>
      <w:r>
        <w:rPr>
          <w:lang w:val="ru-RU"/>
        </w:rPr>
        <w:t>20.</w:t>
      </w:r>
      <w:r>
        <w:rPr>
          <w:lang w:val="ru-RU"/>
        </w:rPr>
        <w:tab/>
        <w:t>Г-н Нобель положительно оценивает усилия правительства Узбекистана по части просветительской и информационной деятельности в вопросах прав человека и предлагает ему рассмотреть вопрос о выступлении с заявлением, предусмотренным статьей 14 Конвенции.  И наконец, он подчеркивает, что считает последнюю фразу доклада:  "На семинаре отмечалось, что узбекские журналисты не всегда знают действующие законы, регламентирующие их деятельность, и не могут вследствие этого объективно строить свою работу", – просто-напросто непонятной.</w:t>
      </w:r>
    </w:p>
    <w:p w:rsidR="000D4391" w:rsidRDefault="000D4391">
      <w:pPr>
        <w:spacing w:after="240"/>
        <w:rPr>
          <w:lang w:val="ru-RU"/>
        </w:rPr>
      </w:pPr>
      <w:r>
        <w:rPr>
          <w:lang w:val="ru-RU"/>
        </w:rPr>
        <w:t>21.</w:t>
      </w:r>
      <w:r>
        <w:rPr>
          <w:lang w:val="ru-RU"/>
        </w:rPr>
        <w:tab/>
      </w:r>
      <w:r>
        <w:rPr>
          <w:u w:val="single"/>
          <w:lang w:val="ru-RU"/>
        </w:rPr>
        <w:t>Место Председателя занимает г-н Фалль</w:t>
      </w:r>
      <w:r>
        <w:rPr>
          <w:lang w:val="ru-RU"/>
        </w:rPr>
        <w:t>.</w:t>
      </w:r>
    </w:p>
    <w:p w:rsidR="000D4391" w:rsidRDefault="000D4391">
      <w:pPr>
        <w:spacing w:after="240"/>
        <w:rPr>
          <w:lang w:val="ru-RU"/>
        </w:rPr>
      </w:pPr>
      <w:r>
        <w:rPr>
          <w:lang w:val="ru-RU"/>
        </w:rPr>
        <w:t>22.</w:t>
      </w:r>
      <w:r>
        <w:rPr>
          <w:lang w:val="ru-RU"/>
        </w:rPr>
        <w:tab/>
      </w:r>
      <w:r>
        <w:rPr>
          <w:u w:val="single"/>
          <w:lang w:val="ru-RU"/>
        </w:rPr>
        <w:t>Г-н ВАЛЕНСИЯ РОДРИГЕС</w:t>
      </w:r>
      <w:r>
        <w:rPr>
          <w:lang w:val="ru-RU"/>
        </w:rPr>
        <w:t xml:space="preserve"> просит подтвердить, что Конвенция является в Узбекистане правовой нормой прямого действия и что на нее можно ссылаться в суде.  Кроме того, он хотел бы ознакомиться с результатами анализа политики правительства в отношении социальной интеграции меньшинств в узбекском обществе и получить более подробную информацию о конкретных функциях и достижениях парламентского Института мониторинга действующего законодательства и Уполномоченного по правам человека.</w:t>
      </w:r>
    </w:p>
    <w:p w:rsidR="000D4391" w:rsidRDefault="000D4391">
      <w:pPr>
        <w:spacing w:after="240"/>
        <w:rPr>
          <w:lang w:val="ru-RU"/>
        </w:rPr>
      </w:pPr>
      <w:r>
        <w:rPr>
          <w:lang w:val="ru-RU"/>
        </w:rPr>
        <w:t>23.</w:t>
      </w:r>
      <w:r>
        <w:rPr>
          <w:lang w:val="ru-RU"/>
        </w:rPr>
        <w:tab/>
        <w:t xml:space="preserve">Касаясь статьи 4, и в частности пункта b), он желал бы ознакомиться с полным текстом статьи 57 Конституции и статьи 3 закона об объединениях.  Он высказывает удовлетворение представленной обширной информацией по вопросу о выполнении статьи 5.  Он принимает к сведению, в частности, тот факт, что лица, принадлежащие к национальным меньшинствам, могут беспрепятственно участвовать в деятельности государственных административных органов и что преподавание в общеобразовательных и профессионально-технических учебных заведениях ведется на многих языках. </w:t>
      </w:r>
    </w:p>
    <w:p w:rsidR="000D4391" w:rsidRDefault="000D4391">
      <w:pPr>
        <w:spacing w:after="240"/>
        <w:rPr>
          <w:lang w:val="ru-RU"/>
        </w:rPr>
      </w:pPr>
      <w:r>
        <w:rPr>
          <w:lang w:val="ru-RU"/>
        </w:rPr>
        <w:t>24.</w:t>
      </w:r>
      <w:r>
        <w:rPr>
          <w:lang w:val="ru-RU"/>
        </w:rPr>
        <w:tab/>
        <w:t>В связи со статьей 6 законодательством страны гарантировано право обращения в суд в случае противоправных действий со стороны государственных органов или должностных лиц;  вместе с тем в нем, по всей видимости, отсутствуют положения, охватывающие случаи подобных нарушений со стороны частных лиц.  Он считает желательным получить дополнительные разъяснения на этот счет.  Кроме того, он интересуется тем, какое количество из 2319 жалоб, поданных Уполномоченному в 1997 году, касалось случаев расовой дискриминации.  Можно предположить, что 777 жалоб на грубые нарушения прав человека имели отношение к "отдельным случаям проявления межэтнических противоречий", которые нельзя исключать, учитывая "как многонациональный состав Республики, так и сложные процессы поиска национальной самоидентификации после распада Советского Союза".</w:t>
      </w:r>
    </w:p>
    <w:p w:rsidR="000D4391" w:rsidRDefault="000D4391">
      <w:pPr>
        <w:spacing w:after="240"/>
        <w:rPr>
          <w:lang w:val="ru-RU"/>
        </w:rPr>
      </w:pPr>
      <w:r>
        <w:rPr>
          <w:lang w:val="ru-RU"/>
        </w:rPr>
        <w:t>25.</w:t>
      </w:r>
      <w:r>
        <w:rPr>
          <w:lang w:val="ru-RU"/>
        </w:rPr>
        <w:tab/>
        <w:t>Г-н Валенсия Родригес просит сообщить, требуется ли вмешательство Генерального прокурора Республики или подведомственных ему подразделений прокуратуры, для того чтобы суды могли удовлетворить иск о компенсации по делам о расовой дискриминации.  Что касается статьи 7, то он высказывает удовлетворение тем, что в программу всех учебных заведений включен курс, посвященный правам человека, и выражает надежду, что в нем будет отведено место и для освещения Конвенции.  Кроме того, хотелось бы надеяться, что национальный Центр по правам человека будет вносить вклад в распространение знаний о Конвенции посредством проведения информационно-пропагандистских мероприятий и семинаров.  Он высказывает пожелание, чтобы Комитету направлялась информация о деятельности различных культурных ассоциаций национальных меньшинств, и подчеркивает важность передачи узбекскими телеканалами программ на языках меньшинств для утверждения взаимопонимания, терпимости и дружбы между различными этническими группами.</w:t>
      </w:r>
    </w:p>
    <w:p w:rsidR="000D4391" w:rsidRDefault="000D4391">
      <w:pPr>
        <w:spacing w:after="240"/>
        <w:rPr>
          <w:lang w:val="ru-RU"/>
        </w:rPr>
      </w:pPr>
      <w:r>
        <w:rPr>
          <w:lang w:val="ru-RU"/>
        </w:rPr>
        <w:t>26.</w:t>
      </w:r>
      <w:r>
        <w:rPr>
          <w:lang w:val="ru-RU"/>
        </w:rPr>
        <w:tab/>
      </w:r>
      <w:r>
        <w:rPr>
          <w:u w:val="single"/>
          <w:lang w:val="ru-RU"/>
        </w:rPr>
        <w:t>Г-н РЕШЕТОВ</w:t>
      </w:r>
      <w:r>
        <w:rPr>
          <w:lang w:val="ru-RU"/>
        </w:rPr>
        <w:t xml:space="preserve"> говорит, что полтора года назад побывал в Узбекистане, где имел беседы с представителями как правительства, так и национальных и этнических меньшинств.  В этой связи он смог убедиться в том, что в стране созданы прочные институты, которые вносят свой вклад в стабилизацию положения, а также в выполнение требований, вытекающих для страны из Конвенции.  Некоторые обстоятельства свидетельствуют о том, что указанные инциденты, по всей видимости, были спровоцированы экстремистскими группировками, которые стремятся дестабилизировать режим.  Он высказывает согласие с г</w:t>
      </w:r>
      <w:r>
        <w:rPr>
          <w:lang w:val="ru-RU"/>
        </w:rPr>
        <w:noBreakHyphen/>
        <w:t xml:space="preserve">ном Нобелем в том, что правительство должно вести борьбу с экстремистскими группировками, соблюдая основные права и принципы гуманитарного права.  Он имел также возможность констатировать, что узбекское общество является светским по своему характеру, но при этом не противится включению в законодательство страны положений, касающихся уважения традиций и обычаев религиозных меньшинств, если такие положения не противоречат принципам прав человека.  Как следует из пункта 87 доклада, это относится не только к религиозным традициям. </w:t>
      </w:r>
    </w:p>
    <w:p w:rsidR="000D4391" w:rsidRDefault="000D4391">
      <w:pPr>
        <w:spacing w:after="240"/>
        <w:rPr>
          <w:lang w:val="ru-RU"/>
        </w:rPr>
      </w:pPr>
      <w:r>
        <w:rPr>
          <w:lang w:val="ru-RU"/>
        </w:rPr>
        <w:t>27.</w:t>
      </w:r>
      <w:r>
        <w:rPr>
          <w:lang w:val="ru-RU"/>
        </w:rPr>
        <w:tab/>
        <w:t>В вопросе о жалобах, поданных Уполномоченному по правам человека, он поддерживает ту точку зрения, что государству-участнику следует указать, не касаются ли они вопросов, представляющих интерес для Комитета.  То же относится и к заявлениям, поступившим в Генеральную прокуратуру Республики.</w:t>
      </w:r>
    </w:p>
    <w:p w:rsidR="000D4391" w:rsidRDefault="000D4391">
      <w:pPr>
        <w:spacing w:after="240"/>
        <w:rPr>
          <w:lang w:val="ru-RU"/>
        </w:rPr>
      </w:pPr>
      <w:r>
        <w:rPr>
          <w:lang w:val="ru-RU"/>
        </w:rPr>
        <w:t>28.</w:t>
      </w:r>
      <w:r>
        <w:rPr>
          <w:lang w:val="ru-RU"/>
        </w:rPr>
        <w:tab/>
      </w:r>
      <w:r>
        <w:rPr>
          <w:u w:val="single"/>
          <w:lang w:val="ru-RU"/>
        </w:rPr>
        <w:t>Г-н ДЬЯКОНУ</w:t>
      </w:r>
      <w:r>
        <w:rPr>
          <w:lang w:val="ru-RU"/>
        </w:rPr>
        <w:t xml:space="preserve"> отмечает, что некоторые проблемы Узбекистана, вне всяких сомнений, обусловлены тем, что это молодое государство, возникшее в процессе распада советской империи.  Обращаясь к вопросу о законодательной базе, он просит пояснить, какие нормы имеют преобладающую силу в случае коллизии между внутренним правом и договорами.  Что касается применения статьи 2 Конвенции, он с удовлетворением отмечает, что антидискриминационные принципы, о которых говорится в пункте 48 доклада, полностью соответствуют требованиям Конвенции.</w:t>
      </w:r>
    </w:p>
    <w:p w:rsidR="000D4391" w:rsidRDefault="000D4391">
      <w:pPr>
        <w:spacing w:after="240"/>
        <w:rPr>
          <w:lang w:val="ru-RU"/>
        </w:rPr>
      </w:pPr>
      <w:r>
        <w:rPr>
          <w:lang w:val="ru-RU"/>
        </w:rPr>
        <w:t>29.</w:t>
      </w:r>
      <w:r>
        <w:rPr>
          <w:lang w:val="ru-RU"/>
        </w:rPr>
        <w:tab/>
        <w:t>Переходя к вопросу о выполнении статьи 4 Конвенции, он, ссылаясь на содержание пункта 58 доклада, интересуется тем, предусмотрены ли правовые санкции, нацеленные на пресечение собственно актов насилия.  Г</w:t>
      </w:r>
      <w:r>
        <w:rPr>
          <w:lang w:val="ru-RU"/>
        </w:rPr>
        <w:noBreakHyphen/>
        <w:t>н Дьякону привлекает внимание государства-участника к возможным пробелам в законодательстве по этому вопросу и призывает его внести в него при необходимости соответствующие коррективы.</w:t>
      </w:r>
    </w:p>
    <w:p w:rsidR="000D4391" w:rsidRDefault="000D4391">
      <w:pPr>
        <w:spacing w:after="240"/>
        <w:rPr>
          <w:lang w:val="ru-RU"/>
        </w:rPr>
      </w:pPr>
      <w:r>
        <w:rPr>
          <w:lang w:val="ru-RU"/>
        </w:rPr>
        <w:t>30.</w:t>
      </w:r>
      <w:r>
        <w:rPr>
          <w:lang w:val="ru-RU"/>
        </w:rPr>
        <w:tab/>
        <w:t>Он не считает запрет на создание политических партий по религиозным признакам противоречащим положениям Конституции в той мере, в какой такой запрет не ущемляет права граждан исповедовать свою религию.</w:t>
      </w:r>
    </w:p>
    <w:p w:rsidR="000D4391" w:rsidRDefault="000D4391">
      <w:pPr>
        <w:spacing w:after="240"/>
        <w:rPr>
          <w:lang w:val="ru-RU"/>
        </w:rPr>
      </w:pPr>
      <w:r>
        <w:rPr>
          <w:lang w:val="ru-RU"/>
        </w:rPr>
        <w:t>31.</w:t>
      </w:r>
      <w:r>
        <w:rPr>
          <w:lang w:val="ru-RU"/>
        </w:rPr>
        <w:tab/>
        <w:t>Касаясь права на гражданство, он просит сообщить, в каком порядке присваивалось узбекское гражданство лицам, проживавшим на территории государства-участника в момент провозглашения им независимости.</w:t>
      </w:r>
    </w:p>
    <w:p w:rsidR="000D4391" w:rsidRDefault="000D4391">
      <w:pPr>
        <w:spacing w:after="240"/>
        <w:rPr>
          <w:lang w:val="ru-RU"/>
        </w:rPr>
      </w:pPr>
      <w:r>
        <w:rPr>
          <w:lang w:val="ru-RU"/>
        </w:rPr>
        <w:t>32.</w:t>
      </w:r>
      <w:r>
        <w:rPr>
          <w:lang w:val="ru-RU"/>
        </w:rPr>
        <w:tab/>
        <w:t>И наконец, переходя к вопросу о реальных средствах правовой защиты, г</w:t>
      </w:r>
      <w:r>
        <w:rPr>
          <w:lang w:val="ru-RU"/>
        </w:rPr>
        <w:noBreakHyphen/>
        <w:t>н Дьякону просит уточнить, располагают ли истцы возможностью напрямую обращаться с исками в гражданские суды, и если нет, то намерено ли государство-участник принять для этого какие-либо меры.</w:t>
      </w:r>
    </w:p>
    <w:p w:rsidR="000D4391" w:rsidRDefault="000D4391">
      <w:pPr>
        <w:spacing w:after="240"/>
        <w:rPr>
          <w:lang w:val="ru-RU"/>
        </w:rPr>
      </w:pPr>
      <w:r>
        <w:rPr>
          <w:lang w:val="ru-RU"/>
        </w:rPr>
        <w:t>33.</w:t>
      </w:r>
      <w:r>
        <w:rPr>
          <w:lang w:val="ru-RU"/>
        </w:rPr>
        <w:tab/>
      </w:r>
      <w:r>
        <w:rPr>
          <w:u w:val="single"/>
          <w:lang w:val="ru-RU"/>
        </w:rPr>
        <w:t>Г-н де ГУТТ</w:t>
      </w:r>
      <w:r>
        <w:rPr>
          <w:lang w:val="ru-RU"/>
        </w:rPr>
        <w:t xml:space="preserve"> выражает удовлетворение по поводу того, что в рассматриваемом докладе содержится обширная информация о существующих институтах и законодательных нормах;  вместе с тем он констатирует отсутствие сведений о претворении в жизнь принципов, провозглашенных в законодательстве.</w:t>
      </w:r>
    </w:p>
    <w:p w:rsidR="000D4391" w:rsidRDefault="000D4391">
      <w:pPr>
        <w:spacing w:after="240"/>
        <w:rPr>
          <w:lang w:val="ru-RU"/>
        </w:rPr>
      </w:pPr>
      <w:r>
        <w:rPr>
          <w:lang w:val="ru-RU"/>
        </w:rPr>
        <w:t>34.</w:t>
      </w:r>
      <w:r>
        <w:rPr>
          <w:lang w:val="ru-RU"/>
        </w:rPr>
        <w:tab/>
        <w:t>Из позитивных аспектов следует отметить:  наличие институтов, предназначенных для защиты прав человека, например, национального Центра по правам человека и Уполномоченного по правам человека;  представляющие интерес статистические данные об этническом составе населения, представленности меньшинств в парламенте и о 37 конфессиях помимо мусульманства;  принятие законодательных мер, нацеленных на выполнение положений Конвенции.  В этой связи он интересуется тем, обладают ли нормы договорного права преимущественной силой по сравнению с внутренним законодательством Узбекистана и допустима ли прямая ссылка на положения Конвенции в судах страны.</w:t>
      </w:r>
    </w:p>
    <w:p w:rsidR="000D4391" w:rsidRDefault="000D4391">
      <w:pPr>
        <w:spacing w:after="240"/>
        <w:rPr>
          <w:lang w:val="ru-RU"/>
        </w:rPr>
      </w:pPr>
      <w:r>
        <w:rPr>
          <w:lang w:val="ru-RU"/>
        </w:rPr>
        <w:t>35.</w:t>
      </w:r>
      <w:r>
        <w:rPr>
          <w:lang w:val="ru-RU"/>
        </w:rPr>
        <w:tab/>
        <w:t>Он высказывает сомнения относительно того, выполняются ли в полном объеме положения статьи 4 Конвенции.  Представляется, что соответствующие положения уголовного, трудового и административного кодексов по сути дела неполностью отвечают требованиям вышеуказанной статьи.  С другой стороны, вовсе не обязательно, что отсутствие жалоб на нарушение прав по соображениям расовой или этнической принадлежности свидетельствует об отсутствии подобных нарушений, поскольку не исключено, что жертвы не осмеливаются обратиться с жалобой, не знакомы со своими правами или не испытывают доверия к властям, чтобы пойти на такой шаг.  Правительству страны следует обеспечить более чуткое отношение к жалобам и принятие мер по тем из них, которые будут сочтены обоснованными.  Касаясь вопроса о беженцах, он просит государство-участник изучить возможность присоединения к Конвенции Организации Объединенных Наций 1951 года о статусе беженцев и Протоколу 1967 года к ней.</w:t>
      </w:r>
    </w:p>
    <w:p w:rsidR="000D4391" w:rsidRDefault="000D4391">
      <w:pPr>
        <w:spacing w:after="240"/>
        <w:rPr>
          <w:lang w:val="ru-RU"/>
        </w:rPr>
      </w:pPr>
      <w:r>
        <w:rPr>
          <w:lang w:val="ru-RU"/>
        </w:rPr>
        <w:t>36.</w:t>
      </w:r>
      <w:r>
        <w:rPr>
          <w:lang w:val="ru-RU"/>
        </w:rPr>
        <w:tab/>
        <w:t>И наконец, г</w:t>
      </w:r>
      <w:r>
        <w:rPr>
          <w:lang w:val="ru-RU"/>
        </w:rPr>
        <w:noBreakHyphen/>
        <w:t>н де Гутт призывает представителя государства-участника прокомментировать упомянутые организацией "Международная амнистия" в ее докладе за 2000 год сигналы о нарушениях прав, и в частности о случаях ареста и осуждения членов мусульманских братств и сторонников запрещенных оппозиционных партий или движений, случаях судебных разбирательств с нарушением международных норм, касающихся справедливого судебного разбирательства, и о существовании неофициальных лагерей для интернированных лиц.</w:t>
      </w:r>
    </w:p>
    <w:p w:rsidR="000D4391" w:rsidRDefault="000D4391">
      <w:pPr>
        <w:spacing w:after="240"/>
        <w:rPr>
          <w:lang w:val="ru-RU"/>
        </w:rPr>
      </w:pPr>
      <w:r>
        <w:rPr>
          <w:lang w:val="ru-RU"/>
        </w:rPr>
        <w:t>37.</w:t>
      </w:r>
      <w:r>
        <w:rPr>
          <w:lang w:val="ru-RU"/>
        </w:rPr>
        <w:tab/>
      </w:r>
      <w:r>
        <w:rPr>
          <w:u w:val="single"/>
          <w:lang w:val="ru-RU"/>
        </w:rPr>
        <w:t>Место Председателя вновь занимает г</w:t>
      </w:r>
      <w:r>
        <w:rPr>
          <w:u w:val="single"/>
          <w:lang w:val="ru-RU"/>
        </w:rPr>
        <w:noBreakHyphen/>
        <w:t>н Шерифис</w:t>
      </w:r>
      <w:r>
        <w:rPr>
          <w:lang w:val="ru-RU"/>
        </w:rPr>
        <w:t>.</w:t>
      </w:r>
    </w:p>
    <w:p w:rsidR="000D4391" w:rsidRDefault="000D4391">
      <w:pPr>
        <w:spacing w:after="240"/>
        <w:rPr>
          <w:lang w:val="ru-RU"/>
        </w:rPr>
      </w:pPr>
      <w:r>
        <w:rPr>
          <w:lang w:val="ru-RU"/>
        </w:rPr>
        <w:t>38.</w:t>
      </w:r>
      <w:r>
        <w:rPr>
          <w:lang w:val="ru-RU"/>
        </w:rPr>
        <w:tab/>
      </w:r>
      <w:r>
        <w:rPr>
          <w:u w:val="single"/>
          <w:lang w:val="ru-RU"/>
        </w:rPr>
        <w:t>Г-н БОССАЙТ</w:t>
      </w:r>
      <w:r>
        <w:rPr>
          <w:lang w:val="ru-RU"/>
        </w:rPr>
        <w:t xml:space="preserve"> интересуется тем, обосновались ли члены корейского меньшинства в Узбекистане уже давно или иммигрировали туда в последнее время и принимаются ли меры по их привлечению в страну.  Происходят ли эти корейцы из Северной или Южной Кореи, и нарастают ли или спадают темпы их иммиграции?  Кроме того, г</w:t>
      </w:r>
      <w:r>
        <w:rPr>
          <w:lang w:val="ru-RU"/>
        </w:rPr>
        <w:noBreakHyphen/>
        <w:t>н Боссайт просит представить информацию о том, не носят ли отношения Узбекистана с одним или другим корейским государством преференциального характера, а также о том, какой политики придерживается государство-участник в сфере иммиграции.</w:t>
      </w:r>
    </w:p>
    <w:p w:rsidR="000D4391" w:rsidRDefault="000D4391">
      <w:pPr>
        <w:spacing w:after="240"/>
        <w:rPr>
          <w:lang w:val="ru-RU"/>
        </w:rPr>
      </w:pPr>
      <w:r>
        <w:rPr>
          <w:lang w:val="ru-RU"/>
        </w:rPr>
        <w:t>39.</w:t>
      </w:r>
      <w:r>
        <w:rPr>
          <w:lang w:val="ru-RU"/>
        </w:rPr>
        <w:tab/>
        <w:t>Учитывая запрет на создание политических партий по расовому и национальному признаку, Узбекистан нельзя признать полностью демократическим государством.  Впрочем, введение такого положения могло быть обусловлено стремлением предупредить возникновение в ходе выборов возможных конфликтов на этнической почве, которые способны поставить под угрозу согласие между различными меньшинствами, что, рассматривая ситуацию через призму Конвенции, государству нельзя поставить в вину.</w:t>
      </w:r>
    </w:p>
    <w:p w:rsidR="000D4391" w:rsidRDefault="000D4391">
      <w:pPr>
        <w:spacing w:after="240"/>
        <w:rPr>
          <w:lang w:val="ru-RU"/>
        </w:rPr>
      </w:pPr>
      <w:r>
        <w:rPr>
          <w:lang w:val="ru-RU"/>
        </w:rPr>
        <w:t>40.</w:t>
      </w:r>
      <w:r>
        <w:rPr>
          <w:lang w:val="ru-RU"/>
        </w:rPr>
        <w:tab/>
      </w:r>
      <w:r>
        <w:rPr>
          <w:u w:val="single"/>
          <w:lang w:val="ru-RU"/>
        </w:rPr>
        <w:t>Г-н АБУЛ-НАСР</w:t>
      </w:r>
      <w:r>
        <w:rPr>
          <w:lang w:val="ru-RU"/>
        </w:rPr>
        <w:t xml:space="preserve"> с удовлетворением отмечает выдающиеся достижения Узбекистана, который продолжает следовать правильным курсом, несмотря на трудности переходного периода.  Констатируя, что среди многочисленных меньшинств, перечисленных в сводной таблице, отражающей этнический состав населения Узбекистана, не фигурируют арабы, он высказывает удивление по этому поводу, учитывая его географическую близость к странам с арабским населением.  Означает ли это просто упущение или отражает последствия наличия в прошлом ограничений в отношениях с арабскими странами?</w:t>
      </w:r>
    </w:p>
    <w:p w:rsidR="000D4391" w:rsidRDefault="000D4391">
      <w:pPr>
        <w:spacing w:after="240"/>
        <w:rPr>
          <w:lang w:val="ru-RU"/>
        </w:rPr>
      </w:pPr>
      <w:r>
        <w:rPr>
          <w:lang w:val="ru-RU"/>
        </w:rPr>
        <w:t>41.</w:t>
      </w:r>
      <w:r>
        <w:rPr>
          <w:lang w:val="ru-RU"/>
        </w:rPr>
        <w:tab/>
        <w:t>Кроме того, он выражает удивление по поводу замечаний г</w:t>
      </w:r>
      <w:r>
        <w:rPr>
          <w:lang w:val="ru-RU"/>
        </w:rPr>
        <w:noBreakHyphen/>
        <w:t xml:space="preserve">на Дьякону относительно политических партий, заявляющих о своей приверженности исламу;  ему представляется, что они отражают имеющиеся у некоторых членов Комитета опасения по поводу экстремизма и фундаментализма, которые они считают присущими всем партиям этого типа.  Направлена ли эта профилактическая мера против всех политических партий религиозного толка, включая крупные христианские партии демократических западноевропейских стран?  </w:t>
      </w:r>
    </w:p>
    <w:p w:rsidR="000D4391" w:rsidRDefault="000D4391">
      <w:pPr>
        <w:spacing w:after="240"/>
        <w:rPr>
          <w:lang w:val="ru-RU"/>
        </w:rPr>
      </w:pPr>
      <w:r>
        <w:rPr>
          <w:lang w:val="ru-RU"/>
        </w:rPr>
        <w:t>42.</w:t>
      </w:r>
      <w:r>
        <w:rPr>
          <w:lang w:val="ru-RU"/>
        </w:rPr>
        <w:tab/>
      </w:r>
      <w:r>
        <w:rPr>
          <w:u w:val="single"/>
          <w:lang w:val="ru-RU"/>
        </w:rPr>
        <w:t>Г-н ФАЙЗУЛЛАЕВ</w:t>
      </w:r>
      <w:r>
        <w:rPr>
          <w:lang w:val="ru-RU"/>
        </w:rPr>
        <w:t xml:space="preserve"> (Узбекистан) подчеркивает, что узбеки искренне гордятся своей Конституцией и что демократия в Узбекистане является реальной, а не искусственной, поскольку узбекскому обществу традиционно присущи открытость и мирное сосуществование религий и национальных групп.  Проблемы, упомянутые г</w:t>
      </w:r>
      <w:r>
        <w:rPr>
          <w:lang w:val="ru-RU"/>
        </w:rPr>
        <w:noBreakHyphen/>
        <w:t xml:space="preserve">ном Нобелем, относятся к сложному периоду, последовавшему за распадом Советского Союза.  Для их решения были предприняты глубокие меры, и власти Узбекистана стремятся не допустить их повторения. </w:t>
      </w:r>
    </w:p>
    <w:p w:rsidR="000D4391" w:rsidRDefault="000D4391">
      <w:pPr>
        <w:spacing w:after="240"/>
        <w:rPr>
          <w:lang w:val="ru-RU"/>
        </w:rPr>
      </w:pPr>
      <w:r>
        <w:rPr>
          <w:lang w:val="ru-RU"/>
        </w:rPr>
        <w:t>43.</w:t>
      </w:r>
      <w:r>
        <w:rPr>
          <w:lang w:val="ru-RU"/>
        </w:rPr>
        <w:tab/>
        <w:t>Конституция страны обеспечивает защиту всех основных прав, в том числе свободы религии и совести, и создает необходимые условия для того, чтобы каждый мог исповедовать свою религию на основах равноправия.  Эти конституционные гарантии относятся как к мусульманству, так и, например, к христианству, иудаизму или буддизму.  Порядка 90 процентов жителей Узбекистана – мусульмане;  они гордятся своей религией, которая пользуется глубоким уважением так же, как и другие конфессии.  Узбекское государство вносит немалый вклад в развитие и процветание культуры и учения ислама и поддержание мусульманских традиций.</w:t>
      </w:r>
    </w:p>
    <w:p w:rsidR="000D4391" w:rsidRDefault="000D4391">
      <w:pPr>
        <w:spacing w:after="240"/>
        <w:rPr>
          <w:lang w:val="ru-RU"/>
        </w:rPr>
      </w:pPr>
      <w:r>
        <w:rPr>
          <w:lang w:val="ru-RU"/>
        </w:rPr>
        <w:t>44.</w:t>
      </w:r>
      <w:r>
        <w:rPr>
          <w:lang w:val="ru-RU"/>
        </w:rPr>
        <w:tab/>
        <w:t>Полностью гарантируя весь комплекс гражданских, политических и иных прав, правительство Узбекистана выступает против создания партий по религиозному принципу или на базе национальных меньшинств, поскольку это может стимулировать практику сегрегации и привести к волнениям и даже к гражданской войне.  В стремлении гарантировать мир и защитить основные права граждан безотносительно к их национальному, расовому или иному происхождению, правительство считает предпочтительным содействовать формированию гражданского общества, которое, на его взгляд, более способно гарантировать демократические принципы.  Оно не желает допустить использования религии экстремистскими партиями и террористами в политических целях.</w:t>
      </w:r>
    </w:p>
    <w:p w:rsidR="000D4391" w:rsidRDefault="000D4391">
      <w:pPr>
        <w:spacing w:after="240"/>
        <w:rPr>
          <w:lang w:val="ru-RU"/>
        </w:rPr>
      </w:pPr>
      <w:r>
        <w:rPr>
          <w:lang w:val="ru-RU"/>
        </w:rPr>
        <w:t>45.</w:t>
      </w:r>
      <w:r>
        <w:rPr>
          <w:lang w:val="ru-RU"/>
        </w:rPr>
        <w:tab/>
        <w:t>Волнения в Ташкенте были спровоцированы небольшой группой вооруженных экстремистов, которые преследовали цель свержения законного правительства не только в Узбекистане, но и во всех центральноазиатских странах ради создания там фундаменталистского общества.  Эти террористы совершают гнусные преступления, прикрываясь исламом.  Ведя интенсивную борьбу с терроризмом, страны региона стремятся оградить от этих явлений не только центральноазиатские, но и европейские страны.</w:t>
      </w:r>
    </w:p>
    <w:p w:rsidR="000D4391" w:rsidRDefault="000D4391">
      <w:pPr>
        <w:spacing w:after="240"/>
        <w:rPr>
          <w:lang w:val="ru-RU"/>
        </w:rPr>
      </w:pPr>
      <w:r>
        <w:rPr>
          <w:lang w:val="ru-RU"/>
        </w:rPr>
        <w:t>46.</w:t>
      </w:r>
      <w:r>
        <w:rPr>
          <w:lang w:val="ru-RU"/>
        </w:rPr>
        <w:tab/>
        <w:t>В Узбекистане многочисленные конфессии веками существовали бок о бок без значительных трений, но по ряду причин некоторые второстепенные проблемы в сфере сосуществования приобрели остроту в момент коллапса Советского Союза.  Правительство Узбекистана стремится нейтрализовать порождаемый этим немалый риск потенциальных этнических конфликтов.</w:t>
      </w:r>
    </w:p>
    <w:p w:rsidR="000D4391" w:rsidRDefault="000D4391">
      <w:pPr>
        <w:spacing w:after="240"/>
        <w:rPr>
          <w:lang w:val="ru-RU"/>
        </w:rPr>
      </w:pPr>
      <w:r>
        <w:rPr>
          <w:lang w:val="ru-RU"/>
        </w:rPr>
        <w:t>47.</w:t>
      </w:r>
      <w:r>
        <w:rPr>
          <w:lang w:val="ru-RU"/>
        </w:rPr>
        <w:tab/>
        <w:t>Что касается вопроса о беженцах, то Узбекистан поддерживает великолепные отношения с Управлением Верховного комиссара по делам беженцев, которое имеет свое представительство в стране.  Положение на местах нельзя назвать идеальным из</w:t>
      </w:r>
      <w:r>
        <w:rPr>
          <w:lang w:val="ru-RU"/>
        </w:rPr>
        <w:noBreakHyphen/>
        <w:t>за проблем, обусловленных переходным периодом.  Правительство прилагает энергичные усилия к их преодолению и намерено присоединиться к Конвенции о статусе беженцев.</w:t>
      </w:r>
    </w:p>
    <w:p w:rsidR="000D4391" w:rsidRDefault="000D4391">
      <w:pPr>
        <w:spacing w:after="240"/>
        <w:rPr>
          <w:lang w:val="ru-RU"/>
        </w:rPr>
      </w:pPr>
      <w:r>
        <w:rPr>
          <w:lang w:val="ru-RU"/>
        </w:rPr>
        <w:t>48.</w:t>
      </w:r>
      <w:r>
        <w:rPr>
          <w:lang w:val="ru-RU"/>
        </w:rPr>
        <w:tab/>
        <w:t>В своем докладе Комитету против пыток узбекское правительство со всей откровенностью сообщило о проблеме, с которой страна сталкивается в этом вопросе.  Комитет против пыток дал весьма благоприятную оценку этому докладу и подготовил положительные заключительные замечания на этот счет.</w:t>
      </w:r>
    </w:p>
    <w:p w:rsidR="000D4391" w:rsidRDefault="000D4391">
      <w:pPr>
        <w:spacing w:after="240"/>
        <w:rPr>
          <w:lang w:val="ru-RU"/>
        </w:rPr>
      </w:pPr>
      <w:r>
        <w:rPr>
          <w:lang w:val="ru-RU"/>
        </w:rPr>
        <w:t>49.</w:t>
      </w:r>
      <w:r>
        <w:rPr>
          <w:lang w:val="ru-RU"/>
        </w:rPr>
        <w:tab/>
        <w:t>Что касается присутствия в Узбекистане корейцев, то цифра численности этого сообщества, приведенная в таблице, содержащейся в пункте 44, возможно, является завышенной.  При этом лица, принадлежащие к этому меньшинству, хорошо интегрированы во все сферы жизни общества.  Члены корейского сообщества, которые были депортированы по приказу Сталина из Манчжурии в крайне бесчеловечных условиях, за истекшее с тех пор время улучшили свое положение в обществе, проведя колоссальную работу в условиях проявлявшегося узбекским населением традиционного гостеприимства.  В указанной таблице приведены данные лишь о наиболее значительных в количественном отношении национальностях из сотни проживающих в Узбекистане, в силу чего арабы в них не указаны.  Тем не менее, в некоторых городах проживают значительные группы арабского населения;  это в особенности касается Самарканда и окружающих его территорий, где расположены небольшие деревни, жители которых говорят на особом арабском диалекте.</w:t>
      </w:r>
    </w:p>
    <w:p w:rsidR="000D4391" w:rsidRDefault="000D4391">
      <w:pPr>
        <w:spacing w:after="240"/>
        <w:rPr>
          <w:lang w:val="ru-RU"/>
        </w:rPr>
      </w:pPr>
      <w:r>
        <w:rPr>
          <w:lang w:val="ru-RU"/>
        </w:rPr>
        <w:t>50.</w:t>
      </w:r>
      <w:r>
        <w:rPr>
          <w:lang w:val="ru-RU"/>
        </w:rPr>
        <w:tab/>
        <w:t xml:space="preserve">Правительство Узбекистана придает важное значение свободе прессы, которую оно считает одним из важнейших атрибутов демократии.  Соответственно, по его инициативе был принят новый закон, который защищает права и свободы журналистов, и предпринимаются усилия по ознакомлению всех заинтересованных сторон с его содержанием. </w:t>
      </w:r>
    </w:p>
    <w:p w:rsidR="000D4391" w:rsidRDefault="000D4391">
      <w:pPr>
        <w:spacing w:after="240"/>
        <w:rPr>
          <w:lang w:val="ru-RU"/>
        </w:rPr>
      </w:pPr>
      <w:r>
        <w:rPr>
          <w:lang w:val="ru-RU"/>
        </w:rPr>
        <w:t>51.</w:t>
      </w:r>
      <w:r>
        <w:rPr>
          <w:lang w:val="ru-RU"/>
        </w:rPr>
        <w:tab/>
      </w:r>
      <w:r>
        <w:rPr>
          <w:u w:val="single"/>
          <w:lang w:val="ru-RU"/>
        </w:rPr>
        <w:t>Г-н НОБЕЛЬ</w:t>
      </w:r>
      <w:r>
        <w:rPr>
          <w:lang w:val="ru-RU"/>
        </w:rPr>
        <w:t xml:space="preserve"> (докладчик по Узбекистану), возвращаясь к замечаниям г</w:t>
      </w:r>
      <w:r>
        <w:rPr>
          <w:lang w:val="ru-RU"/>
        </w:rPr>
        <w:noBreakHyphen/>
        <w:t>на Абул</w:t>
      </w:r>
      <w:r>
        <w:rPr>
          <w:lang w:val="ru-RU"/>
        </w:rPr>
        <w:noBreakHyphen/>
        <w:t>Насра о религиозных партиях, напоминает, что, в свете статьи 57 закона, запрещающего создание политических партий по этническому или религиозному признаку, ему преставляется странным, когда партии, созданной по этническому признаку, отказывают в разрешении бороться за свое дело даже в том случае, когда такая деятельность ведется мирными и законными средствами.  Но он не стал глубже вдаваться в вопрос о политических партиях, создаваемых по религиозному принципу, который, кстати, представляется весьма интересным, поскольку этот вопрос не относится непосредственно к мандату Комитета.</w:t>
      </w:r>
    </w:p>
    <w:p w:rsidR="000D4391" w:rsidRDefault="000D4391">
      <w:pPr>
        <w:spacing w:after="240"/>
        <w:rPr>
          <w:lang w:val="ru-RU"/>
        </w:rPr>
      </w:pPr>
      <w:r>
        <w:rPr>
          <w:lang w:val="ru-RU"/>
        </w:rPr>
        <w:t>52.</w:t>
      </w:r>
      <w:r>
        <w:rPr>
          <w:lang w:val="ru-RU"/>
        </w:rPr>
        <w:tab/>
        <w:t>Он приветствует усилия, приложенные правительством Узбекистана, и, как и другие члены Комитета, считает, что в Узбекистане имеются необходимые институты и ресурсы для продвижения по пути подлинной демократии.</w:t>
      </w:r>
    </w:p>
    <w:p w:rsidR="000D4391" w:rsidRDefault="000D4391">
      <w:pPr>
        <w:spacing w:after="240"/>
        <w:jc w:val="center"/>
        <w:rPr>
          <w:u w:val="single"/>
          <w:lang w:val="ru-RU"/>
        </w:rPr>
      </w:pPr>
      <w:r>
        <w:rPr>
          <w:u w:val="single"/>
          <w:lang w:val="ru-RU"/>
        </w:rPr>
        <w:t>Заседание закрывается в 18 час. 00 мин.</w:t>
      </w:r>
    </w:p>
    <w:p w:rsidR="000D4391" w:rsidRPr="00CD34B3" w:rsidRDefault="00CD34B3">
      <w:pPr>
        <w:spacing w:after="240"/>
        <w:jc w:val="center"/>
        <w:rPr>
          <w:lang w:val="fr-CH"/>
        </w:rPr>
      </w:pPr>
      <w:r>
        <w:rPr>
          <w:lang w:val="fr-CH"/>
        </w:rPr>
        <w:t>-----</w:t>
      </w:r>
    </w:p>
    <w:sectPr w:rsidR="000D4391" w:rsidRPr="00CD34B3">
      <w:headerReference w:type="even" r:id="rId9"/>
      <w:headerReference w:type="default" r:id="rId10"/>
      <w:headerReference w:type="first" r:id="rId11"/>
      <w:footnotePr>
        <w:pos w:val="beneathText"/>
      </w:footnotePr>
      <w:pgSz w:w="11905" w:h="16837"/>
      <w:pgMar w:top="1134" w:right="850" w:bottom="1984" w:left="1701" w:header="85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E2EC8" w:rsidRDefault="00FE2EC8">
      <w:r>
        <w:separator/>
      </w:r>
    </w:p>
  </w:endnote>
  <w:endnote w:type="continuationSeparator" w:id="0">
    <w:p w:rsidR="00FE2EC8" w:rsidRDefault="00FE2E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Roman Gras">
    <w:altName w:val="Times New Roman"/>
    <w:panose1 w:val="02020803070505020304"/>
    <w:charset w:val="00"/>
    <w:family w:val="roman"/>
    <w:pitch w:val="default"/>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E2EC8" w:rsidRDefault="00FE2EC8">
      <w:r>
        <w:separator/>
      </w:r>
    </w:p>
  </w:footnote>
  <w:footnote w:type="continuationSeparator" w:id="0">
    <w:p w:rsidR="00FE2EC8" w:rsidRDefault="00FE2EC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5701" w:rsidRDefault="00FE5701">
    <w:pPr>
      <w:pStyle w:val="Header"/>
    </w:pPr>
    <w:r>
      <w:t>CERD/C/SR.1428</w:t>
    </w:r>
  </w:p>
  <w:p w:rsidR="00FE5701" w:rsidRDefault="00FE5701">
    <w:pPr>
      <w:pStyle w:val="Header"/>
    </w:pPr>
    <w:r>
      <w:t xml:space="preserve">page </w:t>
    </w:r>
    <w:r>
      <w:fldChar w:fldCharType="begin"/>
    </w:r>
    <w:r>
      <w:instrText xml:space="preserve"> PAGE </w:instrText>
    </w:r>
    <w:r>
      <w:fldChar w:fldCharType="separate"/>
    </w:r>
    <w:r>
      <w:rPr>
        <w:noProof/>
      </w:rPr>
      <w:t>10</w:t>
    </w:r>
    <w:r>
      <w:fldChar w:fldCharType="end"/>
    </w:r>
  </w:p>
  <w:p w:rsidR="00FE5701" w:rsidRDefault="00FE570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5701" w:rsidRDefault="00FE5701">
    <w:pPr>
      <w:pStyle w:val="Header"/>
      <w:tabs>
        <w:tab w:val="clear" w:pos="4536"/>
        <w:tab w:val="clear" w:pos="9072"/>
        <w:tab w:val="left" w:pos="7513"/>
      </w:tabs>
    </w:pPr>
    <w:r>
      <w:tab/>
      <w:t>CERD/C/SR.1428</w:t>
    </w:r>
  </w:p>
  <w:p w:rsidR="00FE5701" w:rsidRDefault="00FE5701">
    <w:pPr>
      <w:pStyle w:val="Header"/>
      <w:tabs>
        <w:tab w:val="clear" w:pos="4536"/>
        <w:tab w:val="clear" w:pos="9072"/>
        <w:tab w:val="left" w:pos="7513"/>
      </w:tabs>
    </w:pPr>
    <w:r>
      <w:tab/>
      <w:t xml:space="preserve">page </w:t>
    </w:r>
    <w:r>
      <w:fldChar w:fldCharType="begin"/>
    </w:r>
    <w:r>
      <w:instrText xml:space="preserve"> PAGE </w:instrText>
    </w:r>
    <w:r>
      <w:fldChar w:fldCharType="separate"/>
    </w:r>
    <w:r>
      <w:rPr>
        <w:noProof/>
      </w:rPr>
      <w:t>11</w:t>
    </w:r>
    <w:r>
      <w:fldChar w:fldCharType="end"/>
    </w:r>
  </w:p>
  <w:p w:rsidR="00FE5701" w:rsidRDefault="00FE5701">
    <w:pPr>
      <w:pStyle w:val="Header"/>
      <w:tabs>
        <w:tab w:val="clear" w:pos="4536"/>
        <w:tab w:val="clear" w:pos="9072"/>
        <w:tab w:val="left" w:pos="6803"/>
      </w:tabs>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5701" w:rsidRDefault="00FE5701"/>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evenAndOddHeader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pos w:val="beneathText"/>
    <w:footnote w:id="-1"/>
    <w:footnote w:id="0"/>
  </w:footnotePr>
  <w:endnotePr>
    <w:endnote w:id="-1"/>
    <w:endnote w:id="0"/>
  </w:endnotePr>
  <w:compat>
    <w:wpJustification/>
    <w:noTabHangInd/>
    <w:subFontBySize/>
    <w:suppressBottomSpacing/>
    <w:truncateFontHeightsLikeWP6/>
    <w:usePrinterMetrics/>
    <w:wrapTrailSpace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465DB"/>
    <w:rsid w:val="000D4391"/>
    <w:rsid w:val="006465DB"/>
    <w:rsid w:val="00CD34B3"/>
    <w:rsid w:val="00FE2EC8"/>
    <w:rsid w:val="00FE5701"/>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colormenu v:ext="edit" fillcolor="none [4]" strokecolor="none [1]" shadowcolor="none [2]"/>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pPr>
    <w:rPr>
      <w:sz w:val="24"/>
      <w:lang w:val="fr-FR" w:eastAsia="ar-SA"/>
    </w:rPr>
  </w:style>
  <w:style w:type="paragraph" w:styleId="Heading1">
    <w:name w:val="heading 1"/>
    <w:basedOn w:val="Normal"/>
    <w:next w:val="Normal"/>
    <w:qFormat/>
    <w:pPr>
      <w:keepNext/>
      <w:numPr>
        <w:numId w:val="1"/>
      </w:numPr>
      <w:tabs>
        <w:tab w:val="right" w:pos="2629"/>
      </w:tabs>
      <w:spacing w:after="58"/>
      <w:ind w:firstLine="1263"/>
      <w:outlineLvl w:val="0"/>
    </w:pPr>
    <w:rPr>
      <w:rFonts w:ascii="Times New Roman Gras" w:hAnsi="Times New Roman Gras"/>
      <w:b/>
      <w:sz w:val="72"/>
    </w:rPr>
  </w:style>
  <w:style w:type="paragraph" w:styleId="Heading2">
    <w:name w:val="heading 2"/>
    <w:basedOn w:val="Normal"/>
    <w:next w:val="Normal"/>
    <w:qFormat/>
    <w:pPr>
      <w:keepNext/>
      <w:numPr>
        <w:ilvl w:val="1"/>
        <w:numId w:val="1"/>
      </w:numPr>
      <w:tabs>
        <w:tab w:val="left" w:pos="-382"/>
        <w:tab w:val="left" w:pos="7029"/>
      </w:tabs>
      <w:ind w:hanging="522"/>
      <w:outlineLvl w:val="1"/>
    </w:pPr>
    <w:rPr>
      <w:rFonts w:ascii="Arial" w:hAnsi="Arial"/>
      <w:b/>
      <w:sz w:val="28"/>
    </w:rPr>
  </w:style>
  <w:style w:type="paragraph" w:styleId="Heading3">
    <w:name w:val="heading 3"/>
    <w:basedOn w:val="Normal"/>
    <w:next w:val="Normal"/>
    <w:qFormat/>
    <w:pPr>
      <w:keepNext/>
      <w:numPr>
        <w:ilvl w:val="2"/>
        <w:numId w:val="1"/>
      </w:numPr>
      <w:spacing w:after="240"/>
      <w:ind w:firstLine="567"/>
      <w:outlineLvl w:val="2"/>
    </w:pPr>
    <w:rPr>
      <w:u w:val="single"/>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DefaultParagraphFont0">
    <w:name w:val="Default Paragraph Font"/>
  </w:style>
  <w:style w:type="character" w:customStyle="1" w:styleId="Caractredenotedebasdepage">
    <w:name w:val="Caractère de note de bas de page"/>
    <w:rPr>
      <w:rFonts w:ascii="Times New Roman" w:hAnsi="Times New Roman"/>
      <w:b/>
      <w:sz w:val="24"/>
      <w:vertAlign w:val="superscript"/>
    </w:rPr>
  </w:style>
  <w:style w:type="character" w:customStyle="1" w:styleId="Caractredenotedefin">
    <w:name w:val="Caractère de note de fin"/>
    <w:rPr>
      <w:rFonts w:ascii="Times New Roman" w:hAnsi="Times New Roman"/>
      <w:b/>
      <w:sz w:val="24"/>
      <w:vertAlign w:val="superscript"/>
    </w:rPr>
  </w:style>
  <w:style w:type="paragraph" w:customStyle="1" w:styleId="Titre">
    <w:name w:val="Titre"/>
    <w:basedOn w:val="Normal"/>
    <w:next w:val="BodyText"/>
    <w:pPr>
      <w:keepNext/>
      <w:spacing w:before="240" w:after="120"/>
    </w:pPr>
    <w:rPr>
      <w:rFonts w:ascii="Arial" w:eastAsia="MS Mincho" w:hAnsi="Arial" w:cs="Tahoma"/>
      <w:sz w:val="28"/>
      <w:szCs w:val="28"/>
    </w:rPr>
  </w:style>
  <w:style w:type="paragraph" w:styleId="BodyText">
    <w:name w:val="Body Text"/>
    <w:basedOn w:val="Normal"/>
    <w:pPr>
      <w:spacing w:after="120"/>
    </w:pPr>
  </w:style>
  <w:style w:type="paragraph" w:styleId="List">
    <w:name w:val="List"/>
    <w:basedOn w:val="BodyText"/>
    <w:rPr>
      <w:rFonts w:cs="Tahoma"/>
    </w:rPr>
  </w:style>
  <w:style w:type="paragraph" w:customStyle="1" w:styleId="Lgende">
    <w:name w:val="Légende"/>
    <w:basedOn w:val="Normal"/>
    <w:pPr>
      <w:suppressLineNumbers/>
      <w:spacing w:before="120" w:after="120"/>
    </w:pPr>
    <w:rPr>
      <w:rFonts w:cs="Tahoma"/>
      <w:i/>
      <w:iCs/>
      <w:szCs w:val="24"/>
    </w:rPr>
  </w:style>
  <w:style w:type="paragraph" w:customStyle="1" w:styleId="Rpertoire">
    <w:name w:val="Répertoire"/>
    <w:basedOn w:val="Normal"/>
    <w:pPr>
      <w:suppressLineNumbers/>
    </w:pPr>
    <w:rPr>
      <w:rFonts w:cs="Tahoma"/>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style>
  <w:style w:type="paragraph" w:customStyle="1" w:styleId="Rom1">
    <w:name w:val="Rom1"/>
    <w:basedOn w:val="Normal"/>
    <w:pPr>
      <w:ind w:left="392"/>
    </w:pPr>
  </w:style>
  <w:style w:type="paragraph" w:customStyle="1" w:styleId="Rom2">
    <w:name w:val="Rom2"/>
    <w:basedOn w:val="Normal"/>
    <w:pPr>
      <w:ind w:left="680"/>
    </w:pPr>
  </w:style>
  <w:style w:type="paragraph" w:styleId="Header">
    <w:name w:val="header"/>
    <w:basedOn w:val="Normal"/>
    <w:pPr>
      <w:tabs>
        <w:tab w:val="center" w:pos="4536"/>
        <w:tab w:val="right" w:pos="9072"/>
      </w:tabs>
    </w:pPr>
  </w:style>
  <w:style w:type="paragraph" w:styleId="Footer">
    <w:name w:val="footer"/>
    <w:basedOn w:val="Normal"/>
    <w:pPr>
      <w:tabs>
        <w:tab w:val="center" w:pos="4536"/>
        <w:tab w:val="right" w:pos="9072"/>
      </w:tabs>
    </w:pPr>
  </w:style>
  <w:style w:type="paragraph" w:styleId="BodyText2">
    <w:name w:val="Body Text 2"/>
    <w:basedOn w:val="Normal"/>
    <w:pPr>
      <w:spacing w:after="240"/>
      <w:jc w:val="center"/>
    </w:pPr>
  </w:style>
  <w:style w:type="paragraph" w:customStyle="1" w:styleId="a">
    <w:name w:val="название"/>
    <w:basedOn w:val="Normal"/>
    <w:pPr>
      <w:widowControl w:val="0"/>
    </w:pPr>
    <w:rPr>
      <w:rFonts w:ascii="Courier" w:hAnsi="Courier"/>
      <w:lang w:val="ru-RU"/>
    </w:rPr>
  </w:style>
  <w:style w:type="paragraph" w:customStyle="1" w:styleId="Contenudetableau">
    <w:name w:val="Contenu de tableau"/>
    <w:basedOn w:val="Normal"/>
    <w:pPr>
      <w:suppressLineNumbers/>
    </w:pPr>
  </w:style>
  <w:style w:type="paragraph" w:customStyle="1" w:styleId="Titredetableau">
    <w:name w:val="Titre de tableau"/>
    <w:basedOn w:val="Contenudetableau"/>
    <w:pPr>
      <w:jc w:val="center"/>
    </w:pPr>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TotalTime>
  <Pages>1</Pages>
  <Words>4536</Words>
  <Characters>25860</Characters>
  <Application>Microsoft Office Word</Application>
  <DocSecurity>4</DocSecurity>
  <Lines>215</Lines>
  <Paragraphs>60</Paragraphs>
  <ScaleCrop>false</ScaleCrop>
  <HeadingPairs>
    <vt:vector size="2" baseType="variant">
      <vt:variant>
        <vt:lpstr>Title</vt:lpstr>
      </vt:variant>
      <vt:variant>
        <vt:i4>1</vt:i4>
      </vt:variant>
    </vt:vector>
  </HeadingPairs>
  <TitlesOfParts>
    <vt:vector size="1" baseType="lpstr">
      <vt:lpstr>CERD/C/SR.1428</vt:lpstr>
    </vt:vector>
  </TitlesOfParts>
  <Company>ONU</Company>
  <LinksUpToDate>false</LinksUpToDate>
  <CharactersWithSpaces>30336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CERD/C/SR.1428</dc:title>
  <dc:subject>CERD/C/SR.1428</dc:subject>
  <dc:creator>MALAISÉ</dc:creator>
  <cp:keywords/>
  <cp:lastModifiedBy>CSD</cp:lastModifiedBy>
  <cp:revision>4</cp:revision>
  <cp:lastPrinted>2009-08-17T13:00:00Z</cp:lastPrinted>
  <dcterms:created xsi:type="dcterms:W3CDTF">2009-05-30T19:44:00Z</dcterms:created>
  <dcterms:modified xsi:type="dcterms:W3CDTF">2009-08-17T13:01:00Z</dcterms:modified>
</cp:coreProperties>
</file>